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F7166" w14:textId="77777777" w:rsidR="000E098D" w:rsidRPr="00FA58AB" w:rsidRDefault="000E098D" w:rsidP="00E47067">
      <w:pPr>
        <w:widowControl w:val="0"/>
        <w:spacing w:line="240" w:lineRule="auto"/>
        <w:rPr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1.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4E9E55F5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B54743E" w14:textId="4C5B58A2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Macitentan </w:t>
      </w:r>
      <w:r w:rsidR="00F717BB">
        <w:rPr>
          <w:rFonts w:eastAsia="Times New Roman"/>
          <w:snapToGrid/>
          <w:szCs w:val="22"/>
          <w:lang w:val="hu-HU" w:eastAsia="en-US"/>
        </w:rPr>
        <w:t>Viatris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10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filmtabletta</w:t>
      </w:r>
    </w:p>
    <w:p w14:paraId="61FC3900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423A3F9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563B50" w14:textId="77777777" w:rsidR="000E098D" w:rsidRPr="00FA58AB" w:rsidRDefault="000E098D" w:rsidP="00E47067">
      <w:pPr>
        <w:widowControl w:val="0"/>
        <w:spacing w:line="240" w:lineRule="auto"/>
        <w:rPr>
          <w:b/>
          <w:lang w:val="hu-HU"/>
        </w:rPr>
      </w:pPr>
      <w:r w:rsidRPr="00FA58AB">
        <w:rPr>
          <w:b/>
          <w:lang w:val="hu-HU"/>
        </w:rPr>
        <w:t>2.</w:t>
      </w:r>
      <w:r w:rsidRPr="00FA58AB">
        <w:rPr>
          <w:b/>
          <w:lang w:val="hu-HU"/>
        </w:rPr>
        <w:tab/>
        <w:t>MINŐSÉGI ÉS MENNYISÉGI ÖSSZETÉTEL</w:t>
      </w:r>
    </w:p>
    <w:p w14:paraId="352E13DA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43BC56FB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10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mg macitentánt tartalmaz filmtablettánként.</w:t>
      </w:r>
    </w:p>
    <w:p w14:paraId="2B61AB49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1D519EE6" w14:textId="77777777" w:rsidR="00F717BB" w:rsidRDefault="00F717BB" w:rsidP="00F717BB">
      <w:pPr>
        <w:pStyle w:val="Underlined"/>
      </w:pPr>
      <w:r w:rsidRPr="00F35FA8">
        <w:t>Ismert hatású segédanyagok</w:t>
      </w:r>
    </w:p>
    <w:p w14:paraId="2821E57B" w14:textId="397A8EBB" w:rsidR="00F717BB" w:rsidRPr="00F35FA8" w:rsidRDefault="00900CA5" w:rsidP="00F717BB">
      <w:proofErr w:type="spellStart"/>
      <w:r>
        <w:t>K</w:t>
      </w:r>
      <w:r w:rsidR="00F717BB" w:rsidRPr="00F35FA8">
        <w:t>örülbelül</w:t>
      </w:r>
      <w:proofErr w:type="spellEnd"/>
      <w:r w:rsidR="00F717BB" w:rsidRPr="00F35FA8">
        <w:t xml:space="preserve"> 0</w:t>
      </w:r>
      <w:proofErr w:type="gramStart"/>
      <w:r w:rsidR="00F717BB" w:rsidRPr="00F35FA8">
        <w:t>,06</w:t>
      </w:r>
      <w:proofErr w:type="gramEnd"/>
      <w:r w:rsidR="00F717BB" w:rsidRPr="00F35FA8">
        <w:t xml:space="preserve"> mg </w:t>
      </w:r>
      <w:proofErr w:type="spellStart"/>
      <w:r w:rsidR="00F717BB" w:rsidRPr="00F35FA8">
        <w:t>szójalecitint</w:t>
      </w:r>
      <w:proofErr w:type="spellEnd"/>
      <w:r w:rsidR="00F717BB" w:rsidRPr="00F35FA8">
        <w:t xml:space="preserve"> (E322) </w:t>
      </w:r>
      <w:proofErr w:type="spellStart"/>
      <w:r w:rsidR="00F717BB" w:rsidRPr="00F35FA8">
        <w:t>tartalmaz</w:t>
      </w:r>
      <w:proofErr w:type="spellEnd"/>
      <w:r w:rsidR="00F717BB" w:rsidRPr="00F35FA8">
        <w:t xml:space="preserve"> </w:t>
      </w:r>
      <w:proofErr w:type="spellStart"/>
      <w:r w:rsidR="00F717BB" w:rsidRPr="00F35FA8">
        <w:t>filmtablettánként</w:t>
      </w:r>
      <w:proofErr w:type="spellEnd"/>
      <w:r w:rsidR="00F717BB" w:rsidRPr="00F35FA8">
        <w:t>.</w:t>
      </w:r>
    </w:p>
    <w:p w14:paraId="376D60DF" w14:textId="77777777" w:rsidR="00F717BB" w:rsidRPr="00F35FA8" w:rsidRDefault="00F717BB" w:rsidP="00F717BB"/>
    <w:p w14:paraId="7A2A25E6" w14:textId="77777777" w:rsidR="00F717BB" w:rsidRPr="00F35FA8" w:rsidRDefault="00F717BB" w:rsidP="00F717BB">
      <w:r w:rsidRPr="00F35FA8">
        <w:t xml:space="preserve">A </w:t>
      </w:r>
      <w:proofErr w:type="spellStart"/>
      <w:r w:rsidRPr="00F35FA8">
        <w:t>segédanyagok</w:t>
      </w:r>
      <w:proofErr w:type="spellEnd"/>
      <w:r w:rsidRPr="00F35FA8">
        <w:t xml:space="preserve"> </w:t>
      </w:r>
      <w:proofErr w:type="spellStart"/>
      <w:r w:rsidRPr="00F35FA8">
        <w:t>teljes</w:t>
      </w:r>
      <w:proofErr w:type="spellEnd"/>
      <w:r w:rsidRPr="00F35FA8">
        <w:t xml:space="preserve"> </w:t>
      </w:r>
      <w:proofErr w:type="spellStart"/>
      <w:r w:rsidRPr="00F35FA8">
        <w:t>listáját</w:t>
      </w:r>
      <w:proofErr w:type="spellEnd"/>
      <w:r w:rsidRPr="00F35FA8">
        <w:t xml:space="preserve"> </w:t>
      </w:r>
      <w:proofErr w:type="spellStart"/>
      <w:r w:rsidRPr="00F35FA8">
        <w:t>lásd</w:t>
      </w:r>
      <w:proofErr w:type="spellEnd"/>
      <w:r w:rsidRPr="00F35FA8">
        <w:t xml:space="preserve"> a 6.1 </w:t>
      </w:r>
      <w:proofErr w:type="spellStart"/>
      <w:r w:rsidRPr="00F35FA8">
        <w:t>pontban</w:t>
      </w:r>
      <w:proofErr w:type="spellEnd"/>
      <w:r w:rsidRPr="00F35FA8">
        <w:t>.</w:t>
      </w:r>
    </w:p>
    <w:p w14:paraId="1C79C588" w14:textId="6EBB663D" w:rsidR="001F10D9" w:rsidRPr="00FA58AB" w:rsidRDefault="001F10D9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5CF4C9AA" w14:textId="77777777" w:rsidR="000E098D" w:rsidRPr="00FA58AB" w:rsidRDefault="000E098D" w:rsidP="00E47067">
      <w:pPr>
        <w:widowControl w:val="0"/>
        <w:spacing w:line="240" w:lineRule="auto"/>
        <w:rPr>
          <w:lang w:val="hu-HU"/>
        </w:rPr>
      </w:pPr>
    </w:p>
    <w:p w14:paraId="35E956CD" w14:textId="77777777" w:rsidR="000E098D" w:rsidRPr="00FA58AB" w:rsidRDefault="000E098D" w:rsidP="00E47067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3.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53B3BA5B" w14:textId="77777777" w:rsidR="000E098D" w:rsidRPr="00FA58AB" w:rsidRDefault="000E098D" w:rsidP="00E47067">
      <w:pPr>
        <w:spacing w:line="240" w:lineRule="auto"/>
        <w:ind w:left="567" w:hanging="567"/>
        <w:rPr>
          <w:bCs/>
          <w:lang w:val="hu-HU"/>
        </w:rPr>
      </w:pPr>
    </w:p>
    <w:p w14:paraId="273A71B3" w14:textId="77777777" w:rsidR="00F717BB" w:rsidRPr="00F35FA8" w:rsidRDefault="00F717BB" w:rsidP="00F717BB">
      <w:proofErr w:type="spellStart"/>
      <w:r w:rsidRPr="00F35FA8">
        <w:t>Filmtabletta</w:t>
      </w:r>
      <w:proofErr w:type="spellEnd"/>
      <w:r w:rsidRPr="00F35FA8">
        <w:t>.</w:t>
      </w:r>
    </w:p>
    <w:p w14:paraId="0828B500" w14:textId="77777777" w:rsidR="00F717BB" w:rsidRPr="00F35FA8" w:rsidRDefault="00F717BB" w:rsidP="00F717BB"/>
    <w:p w14:paraId="1CB473BB" w14:textId="07E9E883" w:rsidR="00F717BB" w:rsidRPr="00F35FA8" w:rsidRDefault="00F717BB" w:rsidP="00F717BB">
      <w:proofErr w:type="spellStart"/>
      <w:r w:rsidRPr="00F35FA8">
        <w:t>Fehér</w:t>
      </w:r>
      <w:proofErr w:type="spellEnd"/>
      <w:r w:rsidR="00E755CF">
        <w:t xml:space="preserve"> </w:t>
      </w:r>
      <w:proofErr w:type="spellStart"/>
      <w:r w:rsidR="00E755CF">
        <w:t>vagy</w:t>
      </w:r>
      <w:proofErr w:type="spellEnd"/>
      <w:r w:rsidR="00E755CF">
        <w:t xml:space="preserve"> </w:t>
      </w:r>
      <w:proofErr w:type="spellStart"/>
      <w:r w:rsidRPr="00F35FA8">
        <w:t>törtfehér</w:t>
      </w:r>
      <w:proofErr w:type="spellEnd"/>
      <w:r w:rsidRPr="00F35FA8">
        <w:t xml:space="preserve"> </w:t>
      </w:r>
      <w:proofErr w:type="spellStart"/>
      <w:r w:rsidRPr="00F35FA8">
        <w:t>színű</w:t>
      </w:r>
      <w:proofErr w:type="spellEnd"/>
      <w:r w:rsidRPr="00F35FA8">
        <w:t xml:space="preserve">, </w:t>
      </w:r>
      <w:proofErr w:type="spellStart"/>
      <w:r w:rsidRPr="00F35FA8">
        <w:t>kerek</w:t>
      </w:r>
      <w:proofErr w:type="spellEnd"/>
      <w:r w:rsidRPr="00F35FA8">
        <w:t xml:space="preserve">, </w:t>
      </w:r>
      <w:proofErr w:type="spellStart"/>
      <w:r w:rsidRPr="00F35FA8">
        <w:t>mindkét</w:t>
      </w:r>
      <w:proofErr w:type="spellEnd"/>
      <w:r w:rsidRPr="00F35FA8">
        <w:t xml:space="preserve"> </w:t>
      </w:r>
      <w:proofErr w:type="spellStart"/>
      <w:r w:rsidRPr="00F35FA8">
        <w:t>oldal</w:t>
      </w:r>
      <w:r w:rsidR="00E755CF">
        <w:t>á</w:t>
      </w:r>
      <w:r w:rsidRPr="00F35FA8">
        <w:t>n</w:t>
      </w:r>
      <w:proofErr w:type="spellEnd"/>
      <w:r w:rsidRPr="00F35FA8">
        <w:t xml:space="preserve"> </w:t>
      </w:r>
      <w:proofErr w:type="spellStart"/>
      <w:r w:rsidRPr="00F35FA8">
        <w:t>domború</w:t>
      </w:r>
      <w:proofErr w:type="spellEnd"/>
      <w:r w:rsidR="00E755CF">
        <w:t xml:space="preserve"> </w:t>
      </w:r>
      <w:proofErr w:type="spellStart"/>
      <w:r w:rsidR="00E755CF">
        <w:t>filmtabletta</w:t>
      </w:r>
      <w:proofErr w:type="spellEnd"/>
      <w:r w:rsidRPr="00F35FA8">
        <w:t xml:space="preserve">, </w:t>
      </w:r>
      <w:proofErr w:type="spellStart"/>
      <w:r w:rsidR="00E755CF" w:rsidRPr="00F35FA8">
        <w:t>átmérőj</w:t>
      </w:r>
      <w:r w:rsidR="00E755CF">
        <w:t>e</w:t>
      </w:r>
      <w:proofErr w:type="spellEnd"/>
      <w:r w:rsidR="00E755CF" w:rsidRPr="00F35FA8">
        <w:t xml:space="preserve"> </w:t>
      </w:r>
      <w:proofErr w:type="spellStart"/>
      <w:r w:rsidRPr="00F35FA8">
        <w:t>körülbelül</w:t>
      </w:r>
      <w:proofErr w:type="spellEnd"/>
      <w:r w:rsidRPr="00F35FA8">
        <w:t xml:space="preserve"> 5,5 mm, </w:t>
      </w:r>
      <w:proofErr w:type="spellStart"/>
      <w:r w:rsidRPr="00F35FA8">
        <w:t>egyik</w:t>
      </w:r>
      <w:proofErr w:type="spellEnd"/>
      <w:r w:rsidRPr="00F35FA8">
        <w:t xml:space="preserve"> </w:t>
      </w:r>
      <w:proofErr w:type="spellStart"/>
      <w:r w:rsidRPr="00F35FA8">
        <w:t>oldal</w:t>
      </w:r>
      <w:r w:rsidR="00E755CF">
        <w:t>á</w:t>
      </w:r>
      <w:r w:rsidRPr="00F35FA8">
        <w:t>n</w:t>
      </w:r>
      <w:proofErr w:type="spellEnd"/>
      <w:r w:rsidRPr="00F35FA8">
        <w:t xml:space="preserve"> </w:t>
      </w:r>
      <w:proofErr w:type="spellStart"/>
      <w:r w:rsidR="00E755CF" w:rsidRPr="00F35FA8">
        <w:t>mélynyom</w:t>
      </w:r>
      <w:r w:rsidR="00E755CF">
        <w:t>ású</w:t>
      </w:r>
      <w:proofErr w:type="spellEnd"/>
      <w:r w:rsidR="00E755CF" w:rsidRPr="00F35FA8">
        <w:t xml:space="preserve"> </w:t>
      </w:r>
      <w:r w:rsidRPr="00F35FA8">
        <w:t>„10”</w:t>
      </w:r>
      <w:r w:rsidR="00E755CF">
        <w:t xml:space="preserve"> </w:t>
      </w:r>
      <w:proofErr w:type="spellStart"/>
      <w:r w:rsidR="00E755CF">
        <w:t>jelöléssel</w:t>
      </w:r>
      <w:proofErr w:type="spellEnd"/>
      <w:r w:rsidR="00E755CF">
        <w:t xml:space="preserve"> </w:t>
      </w:r>
      <w:proofErr w:type="spellStart"/>
      <w:r w:rsidR="00E755CF">
        <w:t>ellátva</w:t>
      </w:r>
      <w:proofErr w:type="spellEnd"/>
      <w:r>
        <w:t xml:space="preserve">;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oldal</w:t>
      </w:r>
      <w:r w:rsidR="00E755CF">
        <w:t>a</w:t>
      </w:r>
      <w:proofErr w:type="spellEnd"/>
      <w:r>
        <w:t xml:space="preserve"> </w:t>
      </w:r>
      <w:proofErr w:type="spellStart"/>
      <w:r>
        <w:t>sima</w:t>
      </w:r>
      <w:proofErr w:type="spellEnd"/>
      <w:r w:rsidRPr="00F35FA8">
        <w:t>.</w:t>
      </w:r>
    </w:p>
    <w:p w14:paraId="51C87F49" w14:textId="77777777" w:rsidR="00F717BB" w:rsidRPr="00F35FA8" w:rsidRDefault="00F717BB" w:rsidP="00F717BB"/>
    <w:p w14:paraId="7123FB7A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C7372E1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b/>
          <w:lang w:val="hu-HU"/>
        </w:rPr>
        <w:t>4.</w:t>
      </w:r>
      <w:r w:rsidRPr="00FA58AB">
        <w:rPr>
          <w:b/>
          <w:lang w:val="hu-HU"/>
        </w:rPr>
        <w:tab/>
        <w:t>KLINIKAI JELLEMZŐK</w:t>
      </w:r>
    </w:p>
    <w:p w14:paraId="440AE97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1AA8DB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370C3E8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BC7F47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Felnőttek</w:t>
      </w:r>
    </w:p>
    <w:p w14:paraId="70FB8719" w14:textId="2F3D8379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Macitentan </w:t>
      </w:r>
      <w:r w:rsidR="00F717BB">
        <w:rPr>
          <w:rFonts w:eastAsia="Times New Roman"/>
          <w:snapToGrid/>
          <w:szCs w:val="22"/>
          <w:lang w:val="hu-HU" w:eastAsia="en-US"/>
        </w:rPr>
        <w:t>Viatris</w:t>
      </w:r>
      <w:r w:rsidR="00B41AF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296CF6">
        <w:rPr>
          <w:rFonts w:eastAsia="Times New Roman"/>
          <w:snapToGrid/>
          <w:szCs w:val="22"/>
          <w:lang w:val="hu-HU" w:eastAsia="en-US"/>
        </w:rPr>
        <w:t>–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monoterápiában </w:t>
      </w:r>
      <w:r w:rsidR="00296CF6" w:rsidRPr="00FA58AB">
        <w:rPr>
          <w:rFonts w:eastAsia="Times New Roman"/>
          <w:snapToGrid/>
          <w:szCs w:val="22"/>
          <w:lang w:val="hu-HU" w:eastAsia="en-US"/>
        </w:rPr>
        <w:t xml:space="preserve">vagy kombinálva </w:t>
      </w:r>
      <w:r w:rsidR="00296CF6">
        <w:rPr>
          <w:rFonts w:eastAsia="Times New Roman"/>
          <w:snapToGrid/>
          <w:szCs w:val="22"/>
          <w:lang w:val="hu-HU" w:eastAsia="en-US"/>
        </w:rPr>
        <w:t>–</w:t>
      </w:r>
      <w:r w:rsidR="00296CF6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</w:t>
      </w:r>
      <w:r w:rsidR="009249B1">
        <w:rPr>
          <w:rFonts w:eastAsia="Times New Roman"/>
          <w:snapToGrid/>
          <w:szCs w:val="22"/>
          <w:lang w:val="hu-HU" w:eastAsia="en-US"/>
        </w:rPr>
        <w:t xml:space="preserve">z Egészségügyi </w:t>
      </w:r>
      <w:r w:rsidR="00A26E0B">
        <w:rPr>
          <w:rFonts w:eastAsia="Times New Roman"/>
          <w:snapToGrid/>
          <w:szCs w:val="22"/>
          <w:lang w:val="hu-HU" w:eastAsia="en-US"/>
        </w:rPr>
        <w:t>V</w:t>
      </w:r>
      <w:r w:rsidR="009249B1">
        <w:rPr>
          <w:rFonts w:eastAsia="Times New Roman"/>
          <w:snapToGrid/>
          <w:szCs w:val="22"/>
          <w:lang w:val="hu-HU" w:eastAsia="en-US"/>
        </w:rPr>
        <w:t>ilágszervezet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9249B1">
        <w:rPr>
          <w:rFonts w:eastAsia="Times New Roman"/>
          <w:snapToGrid/>
          <w:szCs w:val="22"/>
          <w:lang w:val="hu-HU" w:eastAsia="en-US"/>
        </w:rPr>
        <w:t>(</w:t>
      </w:r>
      <w:r w:rsidRPr="00FA58AB">
        <w:rPr>
          <w:rFonts w:eastAsia="Times New Roman"/>
          <w:snapToGrid/>
          <w:szCs w:val="22"/>
          <w:lang w:val="hu-HU" w:eastAsia="en-US"/>
        </w:rPr>
        <w:t>WHO</w:t>
      </w:r>
      <w:r w:rsidR="009249B1">
        <w:rPr>
          <w:rFonts w:eastAsia="Times New Roman"/>
          <w:snapToGrid/>
          <w:szCs w:val="22"/>
          <w:lang w:val="hu-HU" w:eastAsia="en-US"/>
        </w:rPr>
        <w:t>)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funkcionális beosztása (</w:t>
      </w:r>
      <w:r w:rsidRPr="00FA58AB">
        <w:rPr>
          <w:szCs w:val="22"/>
          <w:lang w:val="hu-HU"/>
        </w:rPr>
        <w:t xml:space="preserve">Functional Class, FC) </w:t>
      </w:r>
      <w:r w:rsidRPr="00FA58AB">
        <w:rPr>
          <w:rFonts w:eastAsia="Times New Roman"/>
          <w:snapToGrid/>
          <w:szCs w:val="22"/>
          <w:lang w:val="hu-HU" w:eastAsia="en-US"/>
        </w:rPr>
        <w:t>szerinti II. és III. stádiumba sorolt pulmon</w:t>
      </w:r>
      <w:r w:rsidR="007E3B34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>riás h</w:t>
      </w:r>
      <w:r w:rsidR="007E3B34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7E3B34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niában (PAH) szenvedő felnőtt betegek hosszú távú kezelésére javallott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5.1 pont).</w:t>
      </w:r>
    </w:p>
    <w:p w14:paraId="7C7AB7B3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E6445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Gyermekek és serdülők</w:t>
      </w:r>
    </w:p>
    <w:p w14:paraId="3ED89040" w14:textId="4AA92530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Macitentan </w:t>
      </w:r>
      <w:r w:rsidR="00F717BB">
        <w:rPr>
          <w:rFonts w:eastAsia="Times New Roman"/>
          <w:snapToGrid/>
          <w:szCs w:val="22"/>
          <w:lang w:val="hu-HU" w:eastAsia="en-US"/>
        </w:rPr>
        <w:t>Viatris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D26E8D" w:rsidRPr="00FA58AB">
        <w:rPr>
          <w:rFonts w:eastAsia="Times New Roman"/>
          <w:snapToGrid/>
          <w:szCs w:val="22"/>
          <w:lang w:val="hu-HU" w:eastAsia="en-US"/>
        </w:rPr>
        <w:t>–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monoterápiában</w:t>
      </w:r>
      <w:r w:rsidR="00D26E8D">
        <w:rPr>
          <w:rFonts w:eastAsia="Times New Roman"/>
          <w:snapToGrid/>
          <w:szCs w:val="22"/>
          <w:lang w:val="hu-HU" w:eastAsia="en-US"/>
        </w:rPr>
        <w:t xml:space="preserve"> </w:t>
      </w:r>
      <w:r w:rsidR="00D26E8D" w:rsidRPr="00FA58AB">
        <w:rPr>
          <w:rFonts w:eastAsia="Times New Roman"/>
          <w:snapToGrid/>
          <w:szCs w:val="22"/>
          <w:lang w:val="hu-HU" w:eastAsia="en-US"/>
        </w:rPr>
        <w:t xml:space="preserve">vagy kombinálva </w:t>
      </w:r>
      <w:r w:rsidR="008F104B" w:rsidRPr="00FA58AB">
        <w:rPr>
          <w:rFonts w:eastAsia="Times New Roman"/>
          <w:snapToGrid/>
          <w:szCs w:val="22"/>
          <w:lang w:val="hu-HU" w:eastAsia="en-US"/>
        </w:rPr>
        <w:t>–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 WHO funkcionális beosztása szerinti II. és III. stádiumba sorolt pulmon</w:t>
      </w:r>
      <w:r w:rsidR="007E3B34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>riás h</w:t>
      </w:r>
      <w:r w:rsidR="007E3B34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7E3B34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niában (PAH) szenvedő, 18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évesnél fiatalabb, legalább 40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kg testtömegű gyermekek és serdülők hosszú távú kezelésére javallott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5.1 pont).</w:t>
      </w:r>
    </w:p>
    <w:p w14:paraId="1522CE8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358E9E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4.2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35112D5D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F060D58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  <w:r w:rsidRPr="00FA58AB">
        <w:rPr>
          <w:bCs/>
          <w:lang w:val="hu-HU"/>
        </w:rPr>
        <w:t>A kezelést kizárólag a PAH kezelésében jártas orvos kezdheti el és monitorozhatja.</w:t>
      </w:r>
    </w:p>
    <w:p w14:paraId="563ACA8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87863B4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2D95AEE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262DA4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FA58AB">
        <w:rPr>
          <w:i/>
          <w:iCs/>
          <w:lang w:val="hu-HU"/>
        </w:rPr>
        <w:t>Felnőttek és 18</w:t>
      </w:r>
      <w:r w:rsidRPr="00FA58AB">
        <w:rPr>
          <w:szCs w:val="22"/>
          <w:lang w:val="hu-HU"/>
        </w:rPr>
        <w:t> </w:t>
      </w:r>
      <w:r w:rsidRPr="00FA58AB">
        <w:rPr>
          <w:i/>
          <w:iCs/>
          <w:lang w:val="hu-HU"/>
        </w:rPr>
        <w:t>évesnél fiatalabb, legalább 40</w:t>
      </w:r>
      <w:r w:rsidRPr="00FA58AB">
        <w:rPr>
          <w:szCs w:val="22"/>
          <w:lang w:val="hu-HU"/>
        </w:rPr>
        <w:t> </w:t>
      </w:r>
      <w:r w:rsidRPr="00FA58AB">
        <w:rPr>
          <w:i/>
          <w:iCs/>
          <w:lang w:val="hu-HU"/>
        </w:rPr>
        <w:t>kg testtömegű gyermekek és serdülők</w:t>
      </w:r>
    </w:p>
    <w:p w14:paraId="055DEA1C" w14:textId="079BC4E3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A58AB">
        <w:rPr>
          <w:lang w:val="hu-HU"/>
        </w:rPr>
        <w:t>A készítmény ajánlott dózisa naponta egyszer 10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mg.</w:t>
      </w:r>
      <w:r w:rsidR="0010641A" w:rsidRPr="00FA58AB">
        <w:rPr>
          <w:lang w:val="hu-HU"/>
        </w:rPr>
        <w:t xml:space="preserve"> </w:t>
      </w:r>
      <w:r w:rsidRPr="00FA58AB">
        <w:rPr>
          <w:lang w:val="hu-HU"/>
        </w:rPr>
        <w:t xml:space="preserve">A Macitentan </w:t>
      </w:r>
      <w:r w:rsidR="00F717BB">
        <w:rPr>
          <w:lang w:val="hu-HU"/>
        </w:rPr>
        <w:t>Viatris</w:t>
      </w:r>
      <w:r w:rsidRPr="00FA58AB">
        <w:rPr>
          <w:lang w:val="hu-HU"/>
        </w:rPr>
        <w:t>-t minden nap körülbelül ugyanabban az időben kell bevenni.</w:t>
      </w:r>
    </w:p>
    <w:p w14:paraId="7EEAECB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589142F" w14:textId="20C15DCD" w:rsidR="000E098D" w:rsidRPr="00FA58AB" w:rsidRDefault="009249B1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beteget tájékoztatni kell arról, hogy h</w:t>
      </w:r>
      <w:r w:rsidR="000E098D" w:rsidRPr="00FA58AB">
        <w:rPr>
          <w:lang w:val="hu-HU"/>
        </w:rPr>
        <w:t xml:space="preserve">a kihagy egy Macitentan </w:t>
      </w:r>
      <w:r w:rsidR="00F717BB">
        <w:rPr>
          <w:lang w:val="hu-HU"/>
        </w:rPr>
        <w:t>Viatris</w:t>
      </w:r>
      <w:r w:rsidR="00A26E0B">
        <w:rPr>
          <w:lang w:val="hu-HU"/>
        </w:rPr>
        <w:t>-</w:t>
      </w:r>
      <w:r w:rsidR="000E098D" w:rsidRPr="00FA58AB">
        <w:rPr>
          <w:lang w:val="hu-HU"/>
        </w:rPr>
        <w:t xml:space="preserve">dózist, akkor azt a lehető leghamarabb vegye be, majd a következő dózist az előírt adagolásnak megfelelő időpontban vegye be. A beteget figyelmeztetni kell arra, hogy ne vegyen be egyszerre két dózist, ha kihagyott egy </w:t>
      </w:r>
      <w:r w:rsidR="00A26E0B">
        <w:rPr>
          <w:lang w:val="hu-HU"/>
        </w:rPr>
        <w:t>dózist</w:t>
      </w:r>
      <w:r w:rsidR="000E098D" w:rsidRPr="00FA58AB">
        <w:rPr>
          <w:lang w:val="hu-HU"/>
        </w:rPr>
        <w:t>.</w:t>
      </w:r>
    </w:p>
    <w:p w14:paraId="46D81CE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8554018" w14:textId="316B5689" w:rsidR="000E098D" w:rsidRPr="00FA58AB" w:rsidRDefault="00E47067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A58AB">
        <w:rPr>
          <w:lang w:val="hu-HU"/>
        </w:rPr>
        <w:t>A 10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mg-os filmtabletta alkalmazása kizárólag a legalább 40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kg testtömegű gyermekeknél és serdülőknél javasolt.</w:t>
      </w:r>
      <w:r w:rsidR="00727D64" w:rsidRPr="00727D64">
        <w:rPr>
          <w:lang w:val="hu-HU"/>
        </w:rPr>
        <w:t xml:space="preserve"> </w:t>
      </w:r>
      <w:r w:rsidR="00727D64" w:rsidRPr="00FA58AB">
        <w:rPr>
          <w:lang w:val="hu-HU"/>
        </w:rPr>
        <w:t>A 40</w:t>
      </w:r>
      <w:r w:rsidR="00727D64" w:rsidRPr="00FA58AB">
        <w:rPr>
          <w:szCs w:val="22"/>
          <w:lang w:val="hu-HU"/>
        </w:rPr>
        <w:t> </w:t>
      </w:r>
      <w:r w:rsidR="00727D64" w:rsidRPr="00FA58AB">
        <w:rPr>
          <w:lang w:val="hu-HU"/>
        </w:rPr>
        <w:t>kg</w:t>
      </w:r>
      <w:r w:rsidR="00A26E0B">
        <w:rPr>
          <w:lang w:val="hu-HU"/>
        </w:rPr>
        <w:t>-nál kisebb</w:t>
      </w:r>
      <w:r w:rsidR="00727D64" w:rsidRPr="00FA58AB">
        <w:rPr>
          <w:lang w:val="hu-HU"/>
        </w:rPr>
        <w:t xml:space="preserve"> testtömegű gyermekek és serdülők számára</w:t>
      </w:r>
      <w:r w:rsidR="00F677E5">
        <w:rPr>
          <w:lang w:val="hu-HU"/>
        </w:rPr>
        <w:t xml:space="preserve"> másik néven</w:t>
      </w:r>
      <w:r w:rsidR="00727D64" w:rsidRPr="00FA58AB">
        <w:rPr>
          <w:lang w:val="hu-HU"/>
        </w:rPr>
        <w:t xml:space="preserve"> </w:t>
      </w:r>
      <w:r w:rsidR="00F677E5">
        <w:rPr>
          <w:lang w:val="hu-HU"/>
        </w:rPr>
        <w:t xml:space="preserve">kisebb hatáserősségű </w:t>
      </w:r>
      <w:proofErr w:type="spellStart"/>
      <w:r w:rsidR="00F677E5">
        <w:rPr>
          <w:lang w:val="hu-HU"/>
        </w:rPr>
        <w:t>macitentán</w:t>
      </w:r>
      <w:proofErr w:type="spellEnd"/>
      <w:r w:rsidR="00F677E5">
        <w:rPr>
          <w:lang w:val="hu-HU"/>
        </w:rPr>
        <w:t xml:space="preserve"> </w:t>
      </w:r>
      <w:proofErr w:type="spellStart"/>
      <w:r w:rsidR="00F677E5">
        <w:rPr>
          <w:lang w:val="hu-HU"/>
        </w:rPr>
        <w:t>diszpergálódó</w:t>
      </w:r>
      <w:proofErr w:type="spellEnd"/>
      <w:r w:rsidR="00F677E5">
        <w:rPr>
          <w:lang w:val="hu-HU"/>
        </w:rPr>
        <w:t xml:space="preserve"> tablettát engedélyeztek</w:t>
      </w:r>
      <w:r w:rsidR="00727D64">
        <w:rPr>
          <w:lang w:val="hu-HU"/>
        </w:rPr>
        <w:t>.</w:t>
      </w:r>
    </w:p>
    <w:p w14:paraId="4C9E1319" w14:textId="77777777" w:rsidR="00E47067" w:rsidRPr="00FA58AB" w:rsidRDefault="00E47067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988B7CE" w14:textId="77777777" w:rsidR="000E098D" w:rsidRPr="00FA58AB" w:rsidRDefault="000E098D" w:rsidP="00A07A6E">
      <w:pPr>
        <w:keepNext/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bCs/>
          <w:snapToGrid/>
          <w:szCs w:val="22"/>
          <w:u w:val="single"/>
          <w:lang w:val="hu-HU" w:eastAsia="en-US"/>
        </w:rPr>
        <w:lastRenderedPageBreak/>
        <w:t>Különleges betegcsoportok</w:t>
      </w:r>
    </w:p>
    <w:p w14:paraId="4D002091" w14:textId="77777777" w:rsidR="000E098D" w:rsidRPr="00FA58AB" w:rsidRDefault="000E098D" w:rsidP="00A07A6E">
      <w:pPr>
        <w:keepNext/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</w:p>
    <w:p w14:paraId="18EE4680" w14:textId="77777777" w:rsidR="000E098D" w:rsidRPr="00FA58AB" w:rsidRDefault="000E098D" w:rsidP="00A07A6E">
      <w:pPr>
        <w:keepNext/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Idősek</w:t>
      </w:r>
    </w:p>
    <w:p w14:paraId="08135E97" w14:textId="7624CBAD" w:rsidR="000E098D" w:rsidRPr="00FA58AB" w:rsidRDefault="000E098D" w:rsidP="00A07A6E">
      <w:pPr>
        <w:keepNext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65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évesnél idősebb betegeknél nincs szükség a dózis módosítására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5.2 pont).</w:t>
      </w:r>
    </w:p>
    <w:p w14:paraId="6A208245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7C3292D7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Májkárosodás</w:t>
      </w:r>
    </w:p>
    <w:p w14:paraId="3B383306" w14:textId="4A53C8EE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Farmakokinetikai (FK) adatok alapján enyhe, közepesen súlyos vagy súlyos fokú májkárosodásban szenvedő betegeknél nem szükséges a dózis </w:t>
      </w:r>
      <w:r w:rsidR="00A26E0B">
        <w:rPr>
          <w:rFonts w:eastAsia="Times New Roman"/>
          <w:bCs/>
          <w:snapToGrid/>
          <w:szCs w:val="22"/>
          <w:lang w:val="hu-HU" w:eastAsia="en-US"/>
        </w:rPr>
        <w:t>módosítása</w:t>
      </w:r>
      <w:r w:rsidR="00A26E0B"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 és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5.2 pont). Azonban közepesen súlyos és súlyos májkárosodásban szenvedő PAH betegek esetében nincs klinikai tapasztalat a macitentán alkalmazásá</w:t>
      </w:r>
      <w:r w:rsidR="002B6B8C">
        <w:rPr>
          <w:rFonts w:eastAsia="Times New Roman"/>
          <w:bCs/>
          <w:snapToGrid/>
          <w:szCs w:val="22"/>
          <w:lang w:val="hu-HU" w:eastAsia="en-US"/>
        </w:rPr>
        <w:t>ra vonatkozóan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. A Macitentan </w:t>
      </w:r>
      <w:r w:rsidR="00F717BB">
        <w:rPr>
          <w:rFonts w:eastAsia="Times New Roman"/>
          <w:bCs/>
          <w:snapToGrid/>
          <w:szCs w:val="22"/>
          <w:lang w:val="hu-HU" w:eastAsia="en-US"/>
        </w:rPr>
        <w:t>Viatris</w:t>
      </w:r>
      <w:r w:rsidR="0010641A" w:rsidRPr="00FA58AB">
        <w:rPr>
          <w:rFonts w:eastAsia="Times New Roman"/>
          <w:bCs/>
          <w:snapToGrid/>
          <w:szCs w:val="22"/>
          <w:lang w:val="hu-HU" w:eastAsia="en-US"/>
        </w:rPr>
        <w:t>-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kezelést tilos elkezdeni súlyos májkárosodásban szenvedő, valamint klinikailag szignifikáns mértékben megemelkedett májtranszamináz-szinttel </w:t>
      </w:r>
      <w:r w:rsidR="00306C4A" w:rsidRPr="00FA58AB">
        <w:rPr>
          <w:rFonts w:eastAsia="Times New Roman"/>
          <w:bCs/>
          <w:snapToGrid/>
          <w:szCs w:val="22"/>
          <w:lang w:val="hu-HU" w:eastAsia="en-US"/>
        </w:rPr>
        <w:t xml:space="preserve">rendelkező betegeknél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(a normálérték felső határának több mint 3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>-</w:t>
      </w:r>
      <w:r w:rsidRPr="00FA58AB">
        <w:rPr>
          <w:rFonts w:eastAsia="Times New Roman"/>
          <w:bCs/>
          <w:snapToGrid/>
          <w:szCs w:val="22"/>
          <w:lang w:val="hu-HU" w:eastAsia="en-US"/>
        </w:rPr>
        <w:t>szorosa [&gt;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ULN]; 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4.3 és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 pont).</w:t>
      </w:r>
    </w:p>
    <w:p w14:paraId="760A3CD3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1CC6E15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Vesekárosodás</w:t>
      </w:r>
    </w:p>
    <w:p w14:paraId="1AA7BFD2" w14:textId="1CFCE071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Farmakokinetikai adatok alapján 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vesekárosodás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>ban szenvedő betegeknél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 xml:space="preserve">nem szükséges 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dózis </w:t>
      </w:r>
      <w:r w:rsidR="00A26E0B">
        <w:rPr>
          <w:rFonts w:eastAsia="Times New Roman"/>
          <w:bCs/>
          <w:snapToGrid/>
          <w:szCs w:val="22"/>
          <w:lang w:val="hu-HU" w:eastAsia="en-US"/>
        </w:rPr>
        <w:t>módosítása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. Súlyos vesekárosodásban szenvedő PAH-betegek esetében nincs klinikai tapasztalat a macitentán alkalmazását illetően. A </w:t>
      </w:r>
      <w:r w:rsidR="00306C4A">
        <w:rPr>
          <w:rFonts w:eastAsia="Times New Roman"/>
          <w:bCs/>
          <w:snapToGrid/>
          <w:szCs w:val="22"/>
          <w:lang w:val="hu-HU" w:eastAsia="en-US"/>
        </w:rPr>
        <w:t>M</w:t>
      </w:r>
      <w:r w:rsidRPr="00FA58AB">
        <w:rPr>
          <w:rFonts w:eastAsia="Times New Roman"/>
          <w:bCs/>
          <w:snapToGrid/>
          <w:szCs w:val="22"/>
          <w:lang w:val="hu-HU" w:eastAsia="en-US"/>
        </w:rPr>
        <w:t>acitent</w:t>
      </w:r>
      <w:r w:rsidR="00306C4A">
        <w:rPr>
          <w:rFonts w:eastAsia="Times New Roman"/>
          <w:bCs/>
          <w:snapToGrid/>
          <w:szCs w:val="22"/>
          <w:lang w:val="hu-HU" w:eastAsia="en-US"/>
        </w:rPr>
        <w:t xml:space="preserve">an </w:t>
      </w:r>
      <w:r w:rsidR="00F717BB">
        <w:rPr>
          <w:rFonts w:eastAsia="Times New Roman"/>
          <w:bCs/>
          <w:snapToGrid/>
          <w:szCs w:val="22"/>
          <w:lang w:val="hu-HU" w:eastAsia="en-US"/>
        </w:rPr>
        <w:t>Viatris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alkalmazása nem ajánlott dialíziskezelés alatt álló betegeknél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 és 5.2 pont).</w:t>
      </w:r>
    </w:p>
    <w:p w14:paraId="3076AADE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5385CD61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Gyermekek és serdülők</w:t>
      </w:r>
    </w:p>
    <w:p w14:paraId="4F24EE0F" w14:textId="209179CC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A macitentán adagolását és hatásosságát 2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évesnél fiatalabb gyermekeknél nem igazolták. A jelenleg rendelkezésre álló adatok leírása a 4.8, 5.1 és 5.2 pontban található, de az adagolásra vonatkozóan nem adható ajánlás.</w:t>
      </w:r>
    </w:p>
    <w:p w14:paraId="56CD9DE6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</w:p>
    <w:p w14:paraId="292F6256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bCs/>
          <w:snapToGrid/>
          <w:szCs w:val="22"/>
          <w:u w:val="single"/>
          <w:lang w:val="hu-HU" w:eastAsia="en-US"/>
        </w:rPr>
        <w:t>Az alkalmazás módja</w:t>
      </w:r>
    </w:p>
    <w:p w14:paraId="19DC58A8" w14:textId="59DC1840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A filmtabletta nem törhető, egészben, vízzel kell lenyelni</w:t>
      </w:r>
      <w:r w:rsidR="0049037D" w:rsidRPr="00A07A6E">
        <w:rPr>
          <w:rFonts w:eastAsia="Times New Roman"/>
          <w:bCs/>
          <w:snapToGrid/>
          <w:szCs w:val="22"/>
          <w:lang w:val="hu-HU" w:eastAsia="en-US"/>
        </w:rPr>
        <w:t xml:space="preserve">. </w:t>
      </w:r>
      <w:proofErr w:type="spellStart"/>
      <w:r w:rsidR="00F677E5" w:rsidRPr="00F35FA8">
        <w:t>Minderre</w:t>
      </w:r>
      <w:proofErr w:type="spellEnd"/>
      <w:r w:rsidR="00F677E5" w:rsidRPr="00F35FA8">
        <w:t xml:space="preserve"> </w:t>
      </w:r>
      <w:proofErr w:type="spellStart"/>
      <w:r w:rsidR="00F677E5" w:rsidRPr="00F35FA8">
        <w:t>azért</w:t>
      </w:r>
      <w:proofErr w:type="spellEnd"/>
      <w:r w:rsidR="00F677E5" w:rsidRPr="00F35FA8">
        <w:t xml:space="preserve"> van </w:t>
      </w:r>
      <w:proofErr w:type="spellStart"/>
      <w:r w:rsidR="00F677E5" w:rsidRPr="00F35FA8">
        <w:t>szükség</w:t>
      </w:r>
      <w:proofErr w:type="spellEnd"/>
      <w:r w:rsidR="00F677E5" w:rsidRPr="00F35FA8">
        <w:t xml:space="preserve">, </w:t>
      </w:r>
      <w:proofErr w:type="spellStart"/>
      <w:r w:rsidR="00F677E5" w:rsidRPr="00F35FA8">
        <w:t>mert</w:t>
      </w:r>
      <w:proofErr w:type="spellEnd"/>
      <w:r w:rsidR="00F677E5" w:rsidRPr="00F35FA8">
        <w:t xml:space="preserve"> a </w:t>
      </w:r>
      <w:proofErr w:type="spellStart"/>
      <w:r w:rsidR="00F677E5" w:rsidRPr="00F35FA8">
        <w:t>tabletta</w:t>
      </w:r>
      <w:proofErr w:type="spellEnd"/>
      <w:r w:rsidR="00F677E5" w:rsidRPr="00F35FA8">
        <w:t xml:space="preserve"> </w:t>
      </w:r>
      <w:proofErr w:type="spellStart"/>
      <w:r w:rsidR="00F677E5" w:rsidRPr="00F35FA8">
        <w:t>bevonata</w:t>
      </w:r>
      <w:proofErr w:type="spellEnd"/>
      <w:r w:rsidR="00F677E5" w:rsidRPr="00F35FA8">
        <w:t xml:space="preserve"> </w:t>
      </w:r>
      <w:proofErr w:type="spellStart"/>
      <w:r w:rsidR="00F677E5" w:rsidRPr="00F35FA8">
        <w:t>védi</w:t>
      </w:r>
      <w:proofErr w:type="spellEnd"/>
      <w:r w:rsidR="00F677E5" w:rsidRPr="00F35FA8">
        <w:t xml:space="preserve"> a </w:t>
      </w:r>
      <w:proofErr w:type="spellStart"/>
      <w:r w:rsidR="00F677E5" w:rsidRPr="00F35FA8">
        <w:t>gyomrot</w:t>
      </w:r>
      <w:proofErr w:type="spellEnd"/>
      <w:r w:rsidR="00F677E5" w:rsidRPr="00F35FA8">
        <w:t xml:space="preserve">, és </w:t>
      </w:r>
      <w:proofErr w:type="spellStart"/>
      <w:r w:rsidR="00F677E5" w:rsidRPr="00F35FA8">
        <w:t>biztosítja</w:t>
      </w:r>
      <w:proofErr w:type="spellEnd"/>
      <w:r w:rsidR="00F677E5" w:rsidRPr="00F35FA8">
        <w:t xml:space="preserve">, </w:t>
      </w:r>
      <w:proofErr w:type="spellStart"/>
      <w:r w:rsidR="00F677E5" w:rsidRPr="00F35FA8">
        <w:t>hogy</w:t>
      </w:r>
      <w:proofErr w:type="spellEnd"/>
      <w:r w:rsidR="00F677E5" w:rsidRPr="00F35FA8">
        <w:t xml:space="preserve"> a </w:t>
      </w:r>
      <w:proofErr w:type="spellStart"/>
      <w:r w:rsidR="00F677E5" w:rsidRPr="00F35FA8">
        <w:t>gyógyszer</w:t>
      </w:r>
      <w:proofErr w:type="spellEnd"/>
      <w:r w:rsidR="00F677E5" w:rsidRPr="00F35FA8">
        <w:t xml:space="preserve"> a </w:t>
      </w:r>
      <w:proofErr w:type="spellStart"/>
      <w:r w:rsidR="00F677E5" w:rsidRPr="00F35FA8">
        <w:t>szervezetben</w:t>
      </w:r>
      <w:proofErr w:type="spellEnd"/>
      <w:r w:rsidR="00F677E5" w:rsidRPr="00F35FA8">
        <w:t xml:space="preserve"> </w:t>
      </w:r>
      <w:proofErr w:type="spellStart"/>
      <w:r w:rsidR="00F677E5" w:rsidRPr="00F35FA8">
        <w:t>megfelelően</w:t>
      </w:r>
      <w:proofErr w:type="spellEnd"/>
      <w:r w:rsidR="00F677E5" w:rsidRPr="00F35FA8">
        <w:t xml:space="preserve"> </w:t>
      </w:r>
      <w:proofErr w:type="spellStart"/>
      <w:r w:rsidR="00F677E5" w:rsidRPr="00F35FA8">
        <w:t>fejtse</w:t>
      </w:r>
      <w:proofErr w:type="spellEnd"/>
      <w:r w:rsidR="00F677E5" w:rsidRPr="00F35FA8">
        <w:t xml:space="preserve"> </w:t>
      </w:r>
      <w:proofErr w:type="spellStart"/>
      <w:r w:rsidR="00F677E5" w:rsidRPr="00F35FA8">
        <w:t>ki</w:t>
      </w:r>
      <w:proofErr w:type="spellEnd"/>
      <w:r w:rsidR="00F677E5" w:rsidRPr="00F35FA8">
        <w:t xml:space="preserve"> a </w:t>
      </w:r>
      <w:proofErr w:type="spellStart"/>
      <w:r w:rsidR="00F677E5" w:rsidRPr="00F35FA8">
        <w:t>hatását</w:t>
      </w:r>
      <w:proofErr w:type="spellEnd"/>
      <w:r w:rsidR="00F677E5" w:rsidRPr="00F35FA8">
        <w:t xml:space="preserve">. A </w:t>
      </w:r>
      <w:proofErr w:type="spellStart"/>
      <w:r w:rsidR="00F677E5" w:rsidRPr="00F35FA8">
        <w:t>tabletta</w:t>
      </w:r>
      <w:proofErr w:type="spellEnd"/>
      <w:r w:rsidR="00F677E5" w:rsidRPr="00F35FA8">
        <w:t xml:space="preserve"> </w:t>
      </w:r>
      <w:proofErr w:type="spellStart"/>
      <w:r w:rsidR="00F677E5" w:rsidRPr="00F35FA8">
        <w:t>széttörése</w:t>
      </w:r>
      <w:proofErr w:type="spellEnd"/>
      <w:r w:rsidR="00F677E5" w:rsidRPr="00F35FA8">
        <w:t xml:space="preserve"> </w:t>
      </w:r>
      <w:proofErr w:type="spellStart"/>
      <w:r w:rsidR="00F677E5" w:rsidRPr="00F35FA8">
        <w:t>azt</w:t>
      </w:r>
      <w:proofErr w:type="spellEnd"/>
      <w:r w:rsidR="00F677E5" w:rsidRPr="00F35FA8">
        <w:t xml:space="preserve"> </w:t>
      </w:r>
      <w:proofErr w:type="spellStart"/>
      <w:r w:rsidR="00F677E5" w:rsidRPr="00F35FA8">
        <w:t>eredményezheti</w:t>
      </w:r>
      <w:proofErr w:type="spellEnd"/>
      <w:r w:rsidR="00F677E5" w:rsidRPr="00F35FA8">
        <w:t xml:space="preserve">, </w:t>
      </w:r>
      <w:proofErr w:type="spellStart"/>
      <w:r w:rsidR="00F677E5" w:rsidRPr="00F35FA8">
        <w:t>hogy</w:t>
      </w:r>
      <w:proofErr w:type="spellEnd"/>
      <w:r w:rsidR="00F677E5" w:rsidRPr="00F35FA8">
        <w:t xml:space="preserve"> a </w:t>
      </w:r>
      <w:proofErr w:type="spellStart"/>
      <w:r w:rsidR="00F677E5" w:rsidRPr="00F35FA8">
        <w:t>gyógyszer</w:t>
      </w:r>
      <w:proofErr w:type="spellEnd"/>
      <w:r w:rsidR="00F677E5" w:rsidRPr="00F35FA8">
        <w:t xml:space="preserve"> </w:t>
      </w:r>
      <w:proofErr w:type="spellStart"/>
      <w:r w:rsidR="00F677E5" w:rsidRPr="00F35FA8">
        <w:t>irritálja</w:t>
      </w:r>
      <w:proofErr w:type="spellEnd"/>
      <w:r w:rsidR="00F677E5" w:rsidRPr="00F35FA8">
        <w:t xml:space="preserve"> a </w:t>
      </w:r>
      <w:proofErr w:type="spellStart"/>
      <w:r w:rsidR="00F677E5" w:rsidRPr="00F35FA8">
        <w:t>gyomrot</w:t>
      </w:r>
      <w:proofErr w:type="spellEnd"/>
      <w:r w:rsidR="00F677E5" w:rsidRPr="00F35FA8">
        <w:t xml:space="preserve">, </w:t>
      </w:r>
      <w:proofErr w:type="spellStart"/>
      <w:r w:rsidR="00F677E5" w:rsidRPr="00F35FA8">
        <w:t>vagy</w:t>
      </w:r>
      <w:proofErr w:type="spellEnd"/>
      <w:r w:rsidR="00F677E5" w:rsidRPr="00F35FA8">
        <w:t xml:space="preserve"> </w:t>
      </w:r>
      <w:proofErr w:type="spellStart"/>
      <w:r w:rsidR="00F677E5" w:rsidRPr="00F35FA8">
        <w:t>nem</w:t>
      </w:r>
      <w:proofErr w:type="spellEnd"/>
      <w:r w:rsidR="00F677E5" w:rsidRPr="00F35FA8">
        <w:t xml:space="preserve"> </w:t>
      </w:r>
      <w:proofErr w:type="spellStart"/>
      <w:r w:rsidR="00F677E5" w:rsidRPr="00F35FA8">
        <w:t>fejti</w:t>
      </w:r>
      <w:proofErr w:type="spellEnd"/>
      <w:r w:rsidR="00F677E5" w:rsidRPr="00F35FA8">
        <w:t xml:space="preserve"> </w:t>
      </w:r>
      <w:proofErr w:type="spellStart"/>
      <w:r w:rsidR="00F677E5" w:rsidRPr="00F35FA8">
        <w:t>ki</w:t>
      </w:r>
      <w:proofErr w:type="spellEnd"/>
      <w:r w:rsidR="00F677E5" w:rsidRPr="00F35FA8">
        <w:t xml:space="preserve"> </w:t>
      </w:r>
      <w:proofErr w:type="spellStart"/>
      <w:r w:rsidR="00F677E5" w:rsidRPr="00F35FA8">
        <w:t>kellő</w:t>
      </w:r>
      <w:proofErr w:type="spellEnd"/>
      <w:r w:rsidR="00F677E5" w:rsidRPr="00F35FA8">
        <w:t xml:space="preserve"> </w:t>
      </w:r>
      <w:proofErr w:type="spellStart"/>
      <w:r w:rsidR="00F677E5" w:rsidRPr="00F35FA8">
        <w:t>mértékben</w:t>
      </w:r>
      <w:proofErr w:type="spellEnd"/>
      <w:r w:rsidR="00F677E5" w:rsidRPr="00F35FA8">
        <w:t xml:space="preserve"> a </w:t>
      </w:r>
      <w:proofErr w:type="spellStart"/>
      <w:r w:rsidR="00F677E5" w:rsidRPr="00F35FA8">
        <w:t>kívánt</w:t>
      </w:r>
      <w:proofErr w:type="spellEnd"/>
      <w:r w:rsidR="00F677E5" w:rsidRPr="00F35FA8">
        <w:t xml:space="preserve"> </w:t>
      </w:r>
      <w:proofErr w:type="spellStart"/>
      <w:r w:rsidR="00F677E5" w:rsidRPr="00F35FA8">
        <w:t>hatást</w:t>
      </w:r>
      <w:proofErr w:type="spellEnd"/>
      <w:r w:rsidR="00F677E5" w:rsidRPr="00F35FA8">
        <w:t>.</w:t>
      </w:r>
      <w:r w:rsidR="00F677E5"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Étkezés közben vagy attól függetlenül is bevehető.</w:t>
      </w:r>
    </w:p>
    <w:p w14:paraId="3541EF9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D911D11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0314EB4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75B4E77" w14:textId="38B9B394" w:rsidR="005F4589" w:rsidRPr="00FA58AB" w:rsidRDefault="00DC5436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A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készítmény hatóanyagával, </w:t>
      </w:r>
      <w:r w:rsidRPr="00A07A6E">
        <w:rPr>
          <w:rFonts w:eastAsia="Times New Roman"/>
          <w:snapToGrid/>
          <w:szCs w:val="22"/>
          <w:lang w:val="hu-HU" w:eastAsia="en-US"/>
        </w:rPr>
        <w:t>a szójával</w:t>
      </w:r>
      <w:r w:rsidR="00AE21FB" w:rsidRPr="00A07A6E">
        <w:rPr>
          <w:rFonts w:eastAsia="Times New Roman"/>
          <w:snapToGrid/>
          <w:szCs w:val="22"/>
          <w:lang w:val="hu-HU" w:eastAsia="en-US"/>
        </w:rPr>
        <w:t xml:space="preserve">, </w:t>
      </w:r>
      <w:r w:rsidR="00AA6C6F" w:rsidRPr="00A07A6E">
        <w:rPr>
          <w:rFonts w:eastAsia="Times New Roman"/>
          <w:snapToGrid/>
          <w:szCs w:val="22"/>
          <w:lang w:val="hu-HU" w:eastAsia="en-US"/>
        </w:rPr>
        <w:t xml:space="preserve">a </w:t>
      </w:r>
      <w:r w:rsidR="00AE21FB" w:rsidRPr="00A07A6E">
        <w:rPr>
          <w:rFonts w:eastAsia="Times New Roman"/>
          <w:snapToGrid/>
          <w:szCs w:val="22"/>
          <w:lang w:val="hu-HU" w:eastAsia="en-US"/>
        </w:rPr>
        <w:t>földimogyoróval</w:t>
      </w:r>
      <w:r w:rsidRPr="00A07A6E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vagy a 6.1 pontban felsorolt </w:t>
      </w:r>
      <w:r w:rsidR="00A26E0B">
        <w:rPr>
          <w:rFonts w:eastAsia="Times New Roman"/>
          <w:snapToGrid/>
          <w:szCs w:val="22"/>
          <w:lang w:val="hu-HU" w:eastAsia="en-US"/>
        </w:rPr>
        <w:t xml:space="preserve">bármely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segédanyag</w:t>
      </w:r>
      <w:r w:rsidR="00A26E0B">
        <w:rPr>
          <w:rFonts w:eastAsia="Times New Roman"/>
          <w:snapToGrid/>
          <w:szCs w:val="22"/>
          <w:lang w:val="hu-HU" w:eastAsia="en-US"/>
        </w:rPr>
        <w:t>á</w:t>
      </w:r>
      <w:r w:rsidR="002B6B8C">
        <w:rPr>
          <w:rFonts w:eastAsia="Times New Roman"/>
          <w:snapToGrid/>
          <w:szCs w:val="22"/>
          <w:lang w:val="hu-HU" w:eastAsia="en-US"/>
        </w:rPr>
        <w:t>val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szembeni túlérzékenység.</w:t>
      </w:r>
    </w:p>
    <w:p w14:paraId="769DD6EA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Terhesség (lásd 4.6 pont).</w:t>
      </w:r>
    </w:p>
    <w:p w14:paraId="2207A2BF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Fogamzóképes nők, akik nem alkalmaznak megbízható fogamzásgátlást (lásd 4.4 és 4.6 pont).</w:t>
      </w:r>
    </w:p>
    <w:p w14:paraId="6A4D9EFB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Szoptatás (lásd 4.6 pont).</w:t>
      </w:r>
    </w:p>
    <w:p w14:paraId="6CE66849" w14:textId="6DCCCA02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Súlyos májkárosodásban szenvedő betegek (cirrhosissal vagy cirrhosis nélkül) (lásd 4.2 pont).</w:t>
      </w:r>
    </w:p>
    <w:p w14:paraId="429C462A" w14:textId="18AAD627" w:rsidR="000E098D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Ha a máj transzaminázok (glutamát-oxálacetát-transzamináz [GOT] és/vagy a glutamát-piruvát-transzamináz [GPT]) kiindulási szintje &gt;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ULN (lásd 4.2 és 4.4 pont).</w:t>
      </w:r>
    </w:p>
    <w:p w14:paraId="003C84D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CC1D054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4.4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2261E94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13F2AF4" w14:textId="7B7506AE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macitentán-kezelés előny</w:t>
      </w:r>
      <w:r w:rsidR="00E919A7" w:rsidRPr="00FA58AB">
        <w:rPr>
          <w:lang w:val="hu-HU"/>
        </w:rPr>
        <w:t>/</w:t>
      </w:r>
      <w:r w:rsidRPr="00FA58AB">
        <w:rPr>
          <w:lang w:val="hu-HU"/>
        </w:rPr>
        <w:t>kockázat arányát a WHO funkcionális beosztása szerinti I.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stádiumba sorolt pulmon</w:t>
      </w:r>
      <w:r w:rsidR="007E3B34">
        <w:rPr>
          <w:lang w:val="hu-HU"/>
        </w:rPr>
        <w:t>a</w:t>
      </w:r>
      <w:r w:rsidRPr="00FA58AB">
        <w:rPr>
          <w:lang w:val="hu-HU"/>
        </w:rPr>
        <w:t>lis art</w:t>
      </w:r>
      <w:r w:rsidR="006E7ED1">
        <w:rPr>
          <w:lang w:val="hu-HU"/>
        </w:rPr>
        <w:t>é</w:t>
      </w:r>
      <w:r w:rsidRPr="00FA58AB">
        <w:rPr>
          <w:lang w:val="hu-HU"/>
        </w:rPr>
        <w:t>riás h</w:t>
      </w:r>
      <w:r w:rsidR="007E3B34">
        <w:rPr>
          <w:lang w:val="hu-HU"/>
        </w:rPr>
        <w:t>y</w:t>
      </w:r>
      <w:r w:rsidRPr="00FA58AB">
        <w:rPr>
          <w:lang w:val="hu-HU"/>
        </w:rPr>
        <w:t>pert</w:t>
      </w:r>
      <w:r w:rsidR="007E3B34">
        <w:rPr>
          <w:lang w:val="hu-HU"/>
        </w:rPr>
        <w:t>o</w:t>
      </w:r>
      <w:r w:rsidRPr="00FA58AB">
        <w:rPr>
          <w:lang w:val="hu-HU"/>
        </w:rPr>
        <w:t>niában szenvedő betegek esetében még nem állapították meg.</w:t>
      </w:r>
    </w:p>
    <w:p w14:paraId="0F5F842C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E5E41EE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Májfunkció</w:t>
      </w:r>
    </w:p>
    <w:p w14:paraId="048A2871" w14:textId="77777777" w:rsidR="00E919A7" w:rsidRPr="00FA58AB" w:rsidRDefault="00E919A7" w:rsidP="00E47067">
      <w:pPr>
        <w:spacing w:line="240" w:lineRule="auto"/>
        <w:rPr>
          <w:lang w:val="hu-HU"/>
        </w:rPr>
      </w:pPr>
    </w:p>
    <w:p w14:paraId="61143F45" w14:textId="2549BEBB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máj transzaminázok (GOT, GPT) emelkedett szintjét a PAH és endothelinreceptor-antagonisták (ERA-k) hatásának tulajdonították. Súlyos májkárosodás vagy emelkedett </w:t>
      </w:r>
      <w:r w:rsidR="00A26E0B" w:rsidRPr="00FA58AB">
        <w:rPr>
          <w:lang w:val="hu-HU"/>
        </w:rPr>
        <w:t xml:space="preserve">transzamináz-szintek esetén </w:t>
      </w:r>
      <w:r w:rsidR="00632BC6" w:rsidRPr="00FA58AB">
        <w:rPr>
          <w:lang w:val="hu-HU"/>
        </w:rPr>
        <w:t>(</w:t>
      </w:r>
      <w:r w:rsidR="00632BC6" w:rsidRPr="00FA58AB">
        <w:rPr>
          <w:iCs/>
          <w:lang w:val="hu-HU"/>
        </w:rPr>
        <w:t>normálérték felső határának háromszorosánál magasabb</w:t>
      </w:r>
      <w:r w:rsidR="00632BC6">
        <w:rPr>
          <w:iCs/>
          <w:lang w:val="hu-HU"/>
        </w:rPr>
        <w:t xml:space="preserve"> [</w:t>
      </w:r>
      <w:r w:rsidR="00632BC6" w:rsidRPr="00FA58AB">
        <w:rPr>
          <w:lang w:val="hu-HU"/>
        </w:rPr>
        <w:t>(&gt;</w:t>
      </w:r>
      <w:r w:rsidR="00632BC6" w:rsidRPr="00FA58AB">
        <w:rPr>
          <w:szCs w:val="22"/>
          <w:lang w:val="hu-HU"/>
        </w:rPr>
        <w:t> </w:t>
      </w:r>
      <w:r w:rsidR="00632BC6">
        <w:rPr>
          <w:szCs w:val="22"/>
          <w:lang w:val="hu-HU"/>
        </w:rPr>
        <w:t>3</w:t>
      </w:r>
      <w:r w:rsidR="00632BC6" w:rsidRPr="00FA58AB">
        <w:rPr>
          <w:szCs w:val="22"/>
          <w:lang w:val="hu-HU"/>
        </w:rPr>
        <w:t> </w:t>
      </w:r>
      <w:r w:rsidR="00632BC6" w:rsidRPr="00FA58AB">
        <w:rPr>
          <w:lang w:val="hu-HU"/>
        </w:rPr>
        <w:t>×</w:t>
      </w:r>
      <w:r w:rsidR="00632BC6" w:rsidRPr="00FA58AB">
        <w:rPr>
          <w:szCs w:val="22"/>
          <w:lang w:val="hu-HU"/>
        </w:rPr>
        <w:t> </w:t>
      </w:r>
      <w:r w:rsidR="00632BC6" w:rsidRPr="00FA58AB">
        <w:rPr>
          <w:lang w:val="hu-HU"/>
        </w:rPr>
        <w:t>ULN</w:t>
      </w:r>
      <w:r w:rsidR="00632BC6">
        <w:rPr>
          <w:lang w:val="hu-HU"/>
        </w:rPr>
        <w:t>]</w:t>
      </w:r>
      <w:r w:rsidR="00A26E0B">
        <w:rPr>
          <w:iCs/>
          <w:lang w:val="hu-HU"/>
        </w:rPr>
        <w:t>;</w:t>
      </w:r>
      <w:r w:rsidR="00632BC6" w:rsidRPr="00FA58AB">
        <w:rPr>
          <w:iCs/>
          <w:lang w:val="hu-HU"/>
        </w:rPr>
        <w:t xml:space="preserve"> </w:t>
      </w:r>
      <w:r w:rsidRPr="00FA58AB">
        <w:rPr>
          <w:lang w:val="hu-HU"/>
        </w:rPr>
        <w:t xml:space="preserve">lásd 4.2 és 4.3 pont) nem szabad elkezdeni a </w:t>
      </w:r>
      <w:r w:rsidR="00E919A7" w:rsidRPr="00FA58AB">
        <w:rPr>
          <w:lang w:val="hu-HU"/>
        </w:rPr>
        <w:t>M</w:t>
      </w:r>
      <w:r w:rsidRPr="00FA58AB">
        <w:rPr>
          <w:lang w:val="hu-HU"/>
        </w:rPr>
        <w:t>acitent</w:t>
      </w:r>
      <w:r w:rsidR="00E919A7" w:rsidRPr="00FA58AB">
        <w:rPr>
          <w:lang w:val="hu-HU"/>
        </w:rPr>
        <w:t xml:space="preserve">an </w:t>
      </w:r>
      <w:r w:rsidR="00F717BB">
        <w:rPr>
          <w:lang w:val="hu-HU"/>
        </w:rPr>
        <w:t>Viatris</w:t>
      </w:r>
      <w:r w:rsidRPr="00FA58AB">
        <w:rPr>
          <w:lang w:val="hu-HU"/>
        </w:rPr>
        <w:t xml:space="preserve">-kezelést, valamint közepesen súlyos májkárosodásban szenvedő betegeknél sem javasolt. A </w:t>
      </w:r>
      <w:r w:rsidR="00E919A7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Pr="00FA58AB">
        <w:rPr>
          <w:lang w:val="hu-HU"/>
        </w:rPr>
        <w:t>-kezelés megkezdése előtt májenzimvizsgálatot kell végezni.</w:t>
      </w:r>
    </w:p>
    <w:p w14:paraId="60CC24EA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2B0FF99" w14:textId="7ECC0DD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lastRenderedPageBreak/>
        <w:t>A betegeket monitorozni kell a májkárosodás jeleinek észlelése érdekében, illetve havonta ajánlott a GPT- és GOT-szint ellenőrzése. A transzamináz-szint hosszan tartó, megmagyarázhatatlan, klinikailag jelentős emelkedése esetén, vagy ha az emelkedést a bilirubinszint emelkedése (&gt;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2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ULN) kíséri, illetve</w:t>
      </w:r>
      <w:r w:rsidR="00636FA5" w:rsidRPr="00FA58AB">
        <w:rPr>
          <w:lang w:val="hu-HU"/>
        </w:rPr>
        <w:t>,</w:t>
      </w:r>
      <w:r w:rsidRPr="00FA58AB">
        <w:rPr>
          <w:lang w:val="hu-HU"/>
        </w:rPr>
        <w:t xml:space="preserve"> ha májkárosodás klinikai tünetei jelentkeznek (például sárgaság), a </w:t>
      </w:r>
      <w:r w:rsidR="00636FA5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="00636FA5" w:rsidRPr="00FA58AB">
        <w:rPr>
          <w:lang w:val="hu-HU"/>
        </w:rPr>
        <w:noBreakHyphen/>
      </w:r>
      <w:r w:rsidRPr="00FA58AB">
        <w:rPr>
          <w:lang w:val="hu-HU"/>
        </w:rPr>
        <w:t>kezelést le kell állítani.</w:t>
      </w:r>
    </w:p>
    <w:p w14:paraId="2B4A5B3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E99FD28" w14:textId="14DF3551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májenzimszintek normál tartományba való visszatérése után a </w:t>
      </w:r>
      <w:r w:rsidR="00636FA5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Pr="00FA58AB">
        <w:rPr>
          <w:lang w:val="hu-HU"/>
        </w:rPr>
        <w:t xml:space="preserve">-kezelés újraindítása megfontolható azoknál a betegeknél, akiknél nem voltak tapasztalhatók </w:t>
      </w:r>
      <w:r w:rsidR="00A26E0B">
        <w:rPr>
          <w:lang w:val="hu-HU"/>
        </w:rPr>
        <w:t xml:space="preserve">a </w:t>
      </w:r>
      <w:r w:rsidRPr="00FA58AB">
        <w:rPr>
          <w:lang w:val="hu-HU"/>
        </w:rPr>
        <w:t>májkárosodás klinikai tünetei. Hepatológiai szakvélemény kérése ajánlott.</w:t>
      </w:r>
    </w:p>
    <w:p w14:paraId="5491DFDD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7B46168B" w14:textId="48CC6CFD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Hemoglobin</w:t>
      </w:r>
      <w:r w:rsidR="00183080">
        <w:rPr>
          <w:u w:val="single"/>
          <w:lang w:val="hu-HU"/>
        </w:rPr>
        <w:t>-</w:t>
      </w:r>
      <w:r w:rsidRPr="00FA58AB">
        <w:rPr>
          <w:u w:val="single"/>
          <w:lang w:val="hu-HU"/>
        </w:rPr>
        <w:t>koncentráció</w:t>
      </w:r>
    </w:p>
    <w:p w14:paraId="2D5E0AC7" w14:textId="77777777" w:rsidR="00636FA5" w:rsidRPr="00FA58AB" w:rsidRDefault="00636FA5" w:rsidP="00E47067">
      <w:pPr>
        <w:spacing w:line="240" w:lineRule="auto"/>
        <w:rPr>
          <w:lang w:val="hu-HU"/>
        </w:rPr>
      </w:pPr>
    </w:p>
    <w:p w14:paraId="4ADBDCF7" w14:textId="5E5D27EE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hemoglobinkoncentrációk csökkenését kapcsolatba hozták az endot</w:t>
      </w:r>
      <w:r w:rsidR="00636FA5" w:rsidRPr="00FA58AB">
        <w:rPr>
          <w:lang w:val="hu-HU"/>
        </w:rPr>
        <w:t>h</w:t>
      </w:r>
      <w:r w:rsidRPr="00FA58AB">
        <w:rPr>
          <w:lang w:val="hu-HU"/>
        </w:rPr>
        <w:t>elinreceptor-antagonistákkal (ERA-k), köztük a macitentánnal is (lásd 4.8 pont). Placebokontrollos vizsgálatokban a macitentánnal összefüggő hemoglobinkoncentráció-csökkenés nem volt progresszív, a kezelés első 4-12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 xml:space="preserve">hete után stabilizálódott és stabil maradt a tartós kezelés ideje alatt. A macitentán és más ERA-k esetében vértranszfúziót indokló anémiás esetekről számoltak be. Súlyos anémiában szenvedő betegeknél nem ajánlott a </w:t>
      </w:r>
      <w:r w:rsidR="00CC7945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Pr="00FA58AB">
        <w:rPr>
          <w:lang w:val="hu-HU"/>
        </w:rPr>
        <w:t>-kezelés megkezdése. Ajánlott hemoglobinkoncentráció-mérést végezni a kezelés megkezdése előtt, illetve a kezelés ideje alatt, amikor az klinikailag indokolt.</w:t>
      </w:r>
    </w:p>
    <w:p w14:paraId="6FB8BCF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D36CD71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Pulmonális venookkluzív betegség</w:t>
      </w:r>
    </w:p>
    <w:p w14:paraId="4989210F" w14:textId="77777777" w:rsidR="00C83882" w:rsidRPr="00FA58AB" w:rsidRDefault="00C83882" w:rsidP="00E47067">
      <w:pPr>
        <w:spacing w:line="240" w:lineRule="auto"/>
        <w:rPr>
          <w:lang w:val="hu-HU"/>
        </w:rPr>
      </w:pPr>
    </w:p>
    <w:p w14:paraId="5A741D06" w14:textId="1017B7CC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Tüdőödéma eseteit jelentették az értágító szerek (főként prosztaciklinek) pulmonális venookkluzív betegségben szenvedő betegeknél történő alkalmazása során. Ezért, amennyiben pulmon</w:t>
      </w:r>
      <w:r w:rsidR="00E4568D">
        <w:rPr>
          <w:lang w:val="hu-HU"/>
        </w:rPr>
        <w:t>a</w:t>
      </w:r>
      <w:r w:rsidRPr="00FA58AB">
        <w:rPr>
          <w:lang w:val="hu-HU"/>
        </w:rPr>
        <w:t>lis art</w:t>
      </w:r>
      <w:r w:rsidR="006E7ED1">
        <w:rPr>
          <w:lang w:val="hu-HU"/>
        </w:rPr>
        <w:t>é</w:t>
      </w:r>
      <w:r w:rsidRPr="00FA58AB">
        <w:rPr>
          <w:lang w:val="hu-HU"/>
        </w:rPr>
        <w:t>riás h</w:t>
      </w:r>
      <w:r w:rsidR="00E4568D">
        <w:rPr>
          <w:lang w:val="hu-HU"/>
        </w:rPr>
        <w:t>y</w:t>
      </w:r>
      <w:r w:rsidRPr="00FA58AB">
        <w:rPr>
          <w:lang w:val="hu-HU"/>
        </w:rPr>
        <w:t>pert</w:t>
      </w:r>
      <w:r w:rsidR="00E4568D">
        <w:rPr>
          <w:lang w:val="hu-HU"/>
        </w:rPr>
        <w:t>o</w:t>
      </w:r>
      <w:r w:rsidRPr="00FA58AB">
        <w:rPr>
          <w:lang w:val="hu-HU"/>
        </w:rPr>
        <w:t>niában szenvedő betegeknél a macitentán szedése közben tüdőödémára utaló jeleket észlelnek, számolni kell a pulmonális venookkluzív betegség lehetőségével.</w:t>
      </w:r>
    </w:p>
    <w:p w14:paraId="338A5921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D8A1AAF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Alkalmazás fogamzóképes nőknél</w:t>
      </w:r>
    </w:p>
    <w:p w14:paraId="406695AE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162E814C" w14:textId="264C73C0" w:rsidR="000E098D" w:rsidRPr="00FA58AB" w:rsidRDefault="00E51257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F</w:t>
      </w:r>
      <w:r w:rsidR="000E098D" w:rsidRPr="00FA58AB">
        <w:rPr>
          <w:lang w:val="hu-HU"/>
        </w:rPr>
        <w:t>ogamzóképes nők</w:t>
      </w:r>
      <w:r w:rsidRPr="00FA58AB">
        <w:rPr>
          <w:lang w:val="hu-HU"/>
        </w:rPr>
        <w:t>nél a</w:t>
      </w:r>
      <w:r w:rsidR="000E098D" w:rsidRPr="00FA58AB">
        <w:rPr>
          <w:lang w:val="hu-HU"/>
        </w:rPr>
        <w:t xml:space="preserve"> </w:t>
      </w:r>
      <w:r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="000E098D" w:rsidRPr="00FA58AB">
        <w:rPr>
          <w:lang w:val="hu-HU"/>
        </w:rPr>
        <w:t>-kezelés</w:t>
      </w:r>
      <w:r w:rsidRPr="00FA58AB">
        <w:rPr>
          <w:lang w:val="hu-HU"/>
        </w:rPr>
        <w:t xml:space="preserve"> csak akkor kezdhető el, ha kizárták a terhességet</w:t>
      </w:r>
      <w:r w:rsidR="000E098D" w:rsidRPr="00FA58AB">
        <w:rPr>
          <w:lang w:val="hu-HU"/>
        </w:rPr>
        <w:t xml:space="preserve">, </w:t>
      </w:r>
      <w:r w:rsidR="00AB6180" w:rsidRPr="00FA58AB">
        <w:rPr>
          <w:lang w:val="hu-HU"/>
        </w:rPr>
        <w:t xml:space="preserve">a beteg </w:t>
      </w:r>
      <w:r w:rsidR="000E098D" w:rsidRPr="00FA58AB">
        <w:rPr>
          <w:lang w:val="hu-HU"/>
        </w:rPr>
        <w:t xml:space="preserve">szakszerű útmutatást </w:t>
      </w:r>
      <w:r w:rsidR="00AB6180" w:rsidRPr="00FA58AB">
        <w:rPr>
          <w:lang w:val="hu-HU"/>
        </w:rPr>
        <w:t>kapott</w:t>
      </w:r>
      <w:r w:rsidR="000E098D" w:rsidRPr="00FA58AB">
        <w:rPr>
          <w:lang w:val="hu-HU"/>
        </w:rPr>
        <w:t xml:space="preserve"> a fogamzásgátló módszerekről, és megbízható fogamzásgátlást alkalmaz (lásd 4.3 és 4.6 pont). A nők a </w:t>
      </w:r>
      <w:r w:rsidR="00AB6180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="000E098D" w:rsidRPr="00FA58AB">
        <w:rPr>
          <w:lang w:val="hu-HU"/>
        </w:rPr>
        <w:t xml:space="preserve">-kezelés befejezése után egy hónapig nem eshetnek teherbe. A </w:t>
      </w:r>
      <w:r w:rsidR="00AB6180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="000E098D" w:rsidRPr="00FA58AB">
        <w:rPr>
          <w:lang w:val="hu-HU"/>
        </w:rPr>
        <w:t>-kezelés ideje alatt ajánlott havonta egyszer terhességi tesztet végezni, a terhesség korai felismerése érdekében.</w:t>
      </w:r>
    </w:p>
    <w:p w14:paraId="1122EC4C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3CFCF1E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Erős CYP3A4-induktorokkal történő egyidejű alkalmazás</w:t>
      </w:r>
    </w:p>
    <w:p w14:paraId="354EED05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56496B84" w14:textId="3A890343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Erős CYP3A4-induktorok jelenlétében csökkenhet a macitentán hatásossága. A macitentán erős CYP3A4-induktorokkal (például rifampicin, közönséges orbáncfű, karbamazepin és fenitoin) való kombinált alkalmazása kerülendő (lásd 4.5 pont).</w:t>
      </w:r>
    </w:p>
    <w:p w14:paraId="59AE9AF1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A7AF049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Erős CYP3A4-inhibitorokkal történő egyidejű alkalmazás</w:t>
      </w:r>
    </w:p>
    <w:p w14:paraId="639E8CA7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7960E719" w14:textId="2FE79DD4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macitentán erős CYP3A4-inhibitorokkal (például itrakonazol, ketokonazol, vorikonazol, klaritromicin, telitromicin, nefazodon, ritonavir és szakvinavir) történő együttes adásakor megfelelő körültekintéssel kell eljárni (lásd 4.5 pont).</w:t>
      </w:r>
    </w:p>
    <w:p w14:paraId="158EAE55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DC2BD49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Egyidejű alkalmazás közepesen erős, kettős vagy kombinált CYP3A4- és CYP2C9-inhibitorokkal</w:t>
      </w:r>
    </w:p>
    <w:p w14:paraId="3DEBCD92" w14:textId="77777777" w:rsidR="00AB6180" w:rsidRPr="00FA58AB" w:rsidRDefault="00AB6180" w:rsidP="00E47067">
      <w:pPr>
        <w:spacing w:line="240" w:lineRule="auto"/>
        <w:rPr>
          <w:lang w:val="hu-HU"/>
        </w:rPr>
      </w:pPr>
    </w:p>
    <w:p w14:paraId="4F2A716C" w14:textId="2383E913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Elővigyázatosság szükséges, amikor a macitentánt közepesen erős, kettős CYP3A4- és CYP2C9</w:t>
      </w:r>
      <w:r w:rsidRPr="00FA58AB">
        <w:rPr>
          <w:lang w:val="hu-HU"/>
        </w:rPr>
        <w:noBreakHyphen/>
        <w:t>inhibitorokkal (például flukonazollal és amiodaronnal) alkalmazzák egyidejűleg (lásd 4.5 pont).</w:t>
      </w:r>
      <w:r w:rsidR="00AB6180" w:rsidRPr="00FA58AB">
        <w:rPr>
          <w:lang w:val="hu-HU"/>
        </w:rPr>
        <w:t xml:space="preserve"> </w:t>
      </w:r>
      <w:r w:rsidRPr="00FA58AB">
        <w:rPr>
          <w:lang w:val="hu-HU"/>
        </w:rPr>
        <w:t>Akkor is elővigyázatosság szükséges, amikor a macitentánt egy közepesen erős CYP3A4-inhibitorral (például ciprofloxacinnal, ciklosporinnal, diltiazemmel, eritromicinnel, verapamillal), valamint egy közepesen erős CYP2C9-inhibitorral (például mikonazollal, piperinnel) adják együtt (lásd 4.5 pont).</w:t>
      </w:r>
    </w:p>
    <w:p w14:paraId="2A4E2AE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3D0C4A0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Vesekárosodás</w:t>
      </w:r>
    </w:p>
    <w:p w14:paraId="1839E303" w14:textId="77777777" w:rsidR="00702140" w:rsidRPr="00FA58AB" w:rsidRDefault="00702140" w:rsidP="00E47067">
      <w:pPr>
        <w:spacing w:line="240" w:lineRule="auto"/>
        <w:rPr>
          <w:lang w:val="hu-HU"/>
        </w:rPr>
      </w:pPr>
    </w:p>
    <w:p w14:paraId="4B13E665" w14:textId="71FB37E0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Vesekárosodásban szenvedő betegeknél nagyobb a h</w:t>
      </w:r>
      <w:r w:rsidR="00690E27">
        <w:rPr>
          <w:lang w:val="hu-HU"/>
        </w:rPr>
        <w:t>y</w:t>
      </w:r>
      <w:r w:rsidRPr="00FA58AB">
        <w:rPr>
          <w:lang w:val="hu-HU"/>
        </w:rPr>
        <w:t>pot</w:t>
      </w:r>
      <w:r w:rsidR="00B07E12">
        <w:rPr>
          <w:lang w:val="hu-HU"/>
        </w:rPr>
        <w:t>e</w:t>
      </w:r>
      <w:r w:rsidRPr="00FA58AB">
        <w:rPr>
          <w:lang w:val="hu-HU"/>
        </w:rPr>
        <w:t>n</w:t>
      </w:r>
      <w:r w:rsidR="00B07E12">
        <w:rPr>
          <w:lang w:val="hu-HU"/>
        </w:rPr>
        <w:t>s</w:t>
      </w:r>
      <w:r w:rsidRPr="00FA58AB">
        <w:rPr>
          <w:lang w:val="hu-HU"/>
        </w:rPr>
        <w:t>i</w:t>
      </w:r>
      <w:r w:rsidR="00B07E12">
        <w:rPr>
          <w:lang w:val="hu-HU"/>
        </w:rPr>
        <w:t>o</w:t>
      </w:r>
      <w:r w:rsidRPr="00FA58AB">
        <w:rPr>
          <w:lang w:val="hu-HU"/>
        </w:rPr>
        <w:t xml:space="preserve"> és az an</w:t>
      </w:r>
      <w:r w:rsidR="007E3B34">
        <w:rPr>
          <w:lang w:val="hu-HU"/>
        </w:rPr>
        <w:t>ae</w:t>
      </w:r>
      <w:r w:rsidRPr="00FA58AB">
        <w:rPr>
          <w:lang w:val="hu-HU"/>
        </w:rPr>
        <w:t xml:space="preserve">mia előfordulásának kockázata </w:t>
      </w:r>
      <w:r w:rsidR="00B07E12">
        <w:rPr>
          <w:lang w:val="hu-HU"/>
        </w:rPr>
        <w:t xml:space="preserve">a </w:t>
      </w:r>
      <w:r w:rsidRPr="00FA58AB">
        <w:rPr>
          <w:lang w:val="hu-HU"/>
        </w:rPr>
        <w:t xml:space="preserve">macitentán-kezelés alatt. Következésképpen fontolóra kell venni a vérnyomás és a hemoglobinszint monitorozását. A súlyos vesekárosodásban szenvedő PAH-betegek esetében nincs klinikai tapasztalat a macitentán alkalmazását illetően. Ezen populáció kezelésekor elővigyázatossággal kell eljárni. Nincs tapasztalat a macitentán alkalmazását illetően azoknál a betegeknél, akik dialíziskezelés alatt állnak, ezért ennél a populációnál a </w:t>
      </w:r>
      <w:r w:rsidR="00702140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="00702140" w:rsidRPr="00FA58AB">
        <w:rPr>
          <w:lang w:val="hu-HU"/>
        </w:rPr>
        <w:t xml:space="preserve"> </w:t>
      </w:r>
      <w:r w:rsidRPr="00FA58AB">
        <w:rPr>
          <w:lang w:val="hu-HU"/>
        </w:rPr>
        <w:t>alkalmazása nem ajánlott (lásd 4.2 és 5.2 pontok).</w:t>
      </w:r>
    </w:p>
    <w:p w14:paraId="557A9A5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C7C0985" w14:textId="77777777" w:rsidR="00366871" w:rsidRPr="00F35FA8" w:rsidRDefault="00366871" w:rsidP="00366871">
      <w:pPr>
        <w:pStyle w:val="Underlined"/>
      </w:pPr>
      <w:r w:rsidRPr="00F35FA8">
        <w:t>Ismert hatású segédanyagok</w:t>
      </w:r>
    </w:p>
    <w:p w14:paraId="02E712A8" w14:textId="7BDC3921" w:rsidR="00366871" w:rsidRPr="00F35FA8" w:rsidRDefault="00366871" w:rsidP="00366871">
      <w:r w:rsidRPr="00F35FA8">
        <w:t xml:space="preserve">A </w:t>
      </w:r>
      <w:proofErr w:type="spellStart"/>
      <w:r w:rsidRPr="00F35FA8">
        <w:t>Macitentan</w:t>
      </w:r>
      <w:proofErr w:type="spellEnd"/>
      <w:r w:rsidRPr="00F35FA8">
        <w:t xml:space="preserve"> </w:t>
      </w:r>
      <w:proofErr w:type="spellStart"/>
      <w:r w:rsidRPr="00F35FA8">
        <w:t>Viatris</w:t>
      </w:r>
      <w:proofErr w:type="spellEnd"/>
      <w:r w:rsidRPr="00F35FA8">
        <w:t xml:space="preserve"> </w:t>
      </w:r>
      <w:proofErr w:type="spellStart"/>
      <w:r w:rsidRPr="00F35FA8">
        <w:t>tabletták</w:t>
      </w:r>
      <w:proofErr w:type="spellEnd"/>
      <w:r w:rsidRPr="00F35FA8">
        <w:t xml:space="preserve"> </w:t>
      </w:r>
      <w:proofErr w:type="spellStart"/>
      <w:r w:rsidRPr="00F35FA8">
        <w:t>szójalecitint</w:t>
      </w:r>
      <w:proofErr w:type="spellEnd"/>
      <w:r w:rsidRPr="00F35FA8">
        <w:t xml:space="preserve"> </w:t>
      </w:r>
      <w:proofErr w:type="spellStart"/>
      <w:r w:rsidRPr="00F35FA8">
        <w:t>tartalmaznak</w:t>
      </w:r>
      <w:proofErr w:type="spellEnd"/>
      <w:r w:rsidRPr="00F35FA8">
        <w:t xml:space="preserve">. </w:t>
      </w:r>
      <w:proofErr w:type="spellStart"/>
      <w:r w:rsidRPr="00F35FA8">
        <w:t>Amennyiben</w:t>
      </w:r>
      <w:proofErr w:type="spellEnd"/>
      <w:r w:rsidRPr="00F35FA8">
        <w:t xml:space="preserve"> a </w:t>
      </w:r>
      <w:proofErr w:type="spellStart"/>
      <w:r w:rsidRPr="00F35FA8">
        <w:t>beteg</w:t>
      </w:r>
      <w:proofErr w:type="spellEnd"/>
      <w:r w:rsidRPr="00F35FA8">
        <w:t xml:space="preserve"> </w:t>
      </w:r>
      <w:proofErr w:type="spellStart"/>
      <w:r w:rsidR="00F677E5">
        <w:t>allergi</w:t>
      </w:r>
      <w:r w:rsidR="003D65DC">
        <w:t>á</w:t>
      </w:r>
      <w:r w:rsidR="00F677E5">
        <w:t>s</w:t>
      </w:r>
      <w:proofErr w:type="spellEnd"/>
      <w:r w:rsidR="00F677E5">
        <w:t xml:space="preserve"> a </w:t>
      </w:r>
      <w:proofErr w:type="spellStart"/>
      <w:r w:rsidR="00F677E5">
        <w:t>földimogyoróra</w:t>
      </w:r>
      <w:proofErr w:type="spellEnd"/>
      <w:r w:rsidR="00F677E5">
        <w:t xml:space="preserve"> </w:t>
      </w:r>
      <w:proofErr w:type="spellStart"/>
      <w:r w:rsidR="00F677E5">
        <w:t>vagy</w:t>
      </w:r>
      <w:proofErr w:type="spellEnd"/>
      <w:r w:rsidR="00F677E5" w:rsidRPr="00F35FA8">
        <w:t xml:space="preserve"> </w:t>
      </w:r>
      <w:r w:rsidRPr="00F35FA8">
        <w:t xml:space="preserve">a </w:t>
      </w:r>
      <w:proofErr w:type="spellStart"/>
      <w:r w:rsidRPr="00F35FA8">
        <w:t>szójára</w:t>
      </w:r>
      <w:proofErr w:type="spellEnd"/>
      <w:r w:rsidRPr="00F35FA8">
        <w:t xml:space="preserve">, a </w:t>
      </w:r>
      <w:proofErr w:type="spellStart"/>
      <w:r w:rsidRPr="00F35FA8">
        <w:t>Macitentan</w:t>
      </w:r>
      <w:proofErr w:type="spellEnd"/>
      <w:r w:rsidRPr="00F35FA8">
        <w:t xml:space="preserve"> </w:t>
      </w:r>
      <w:proofErr w:type="spellStart"/>
      <w:r w:rsidRPr="00F35FA8">
        <w:t>Viatris</w:t>
      </w:r>
      <w:proofErr w:type="spellEnd"/>
      <w:r w:rsidR="00F677E5">
        <w:t xml:space="preserve">-t </w:t>
      </w:r>
      <w:proofErr w:type="spellStart"/>
      <w:r w:rsidR="00F677E5">
        <w:t>tilos</w:t>
      </w:r>
      <w:proofErr w:type="spellEnd"/>
      <w:r w:rsidR="00F677E5">
        <w:t xml:space="preserve"> </w:t>
      </w:r>
      <w:proofErr w:type="spellStart"/>
      <w:r w:rsidR="00F677E5">
        <w:t>alkalmazni</w:t>
      </w:r>
      <w:proofErr w:type="spellEnd"/>
      <w:r w:rsidRPr="00F35FA8">
        <w:t xml:space="preserve"> (</w:t>
      </w:r>
      <w:proofErr w:type="spellStart"/>
      <w:r w:rsidRPr="00F35FA8">
        <w:t>lásd</w:t>
      </w:r>
      <w:proofErr w:type="spellEnd"/>
      <w:r w:rsidRPr="00F35FA8">
        <w:t xml:space="preserve"> 4.3 </w:t>
      </w:r>
      <w:proofErr w:type="spellStart"/>
      <w:r w:rsidRPr="00F35FA8">
        <w:t>pont</w:t>
      </w:r>
      <w:proofErr w:type="spellEnd"/>
      <w:r w:rsidRPr="00F35FA8">
        <w:t>).</w:t>
      </w:r>
    </w:p>
    <w:p w14:paraId="75C36C9A" w14:textId="77777777" w:rsidR="00366871" w:rsidRPr="00F35FA8" w:rsidRDefault="00366871" w:rsidP="00366871"/>
    <w:p w14:paraId="652A4B47" w14:textId="77777777" w:rsidR="00366871" w:rsidRPr="00F35FA8" w:rsidRDefault="00366871" w:rsidP="00366871">
      <w:pPr>
        <w:pStyle w:val="Underlined"/>
      </w:pPr>
      <w:r w:rsidRPr="00F35FA8">
        <w:t>Egyéb segédanyagok</w:t>
      </w:r>
    </w:p>
    <w:p w14:paraId="0C47857E" w14:textId="4A88925C" w:rsidR="00366871" w:rsidRPr="00F35FA8" w:rsidRDefault="00366871" w:rsidP="00366871">
      <w:proofErr w:type="spellStart"/>
      <w:r w:rsidRPr="00F35FA8">
        <w:t>Ez</w:t>
      </w:r>
      <w:proofErr w:type="spellEnd"/>
      <w:r w:rsidRPr="00F35FA8">
        <w:t xml:space="preserve"> a </w:t>
      </w:r>
      <w:proofErr w:type="spellStart"/>
      <w:r w:rsidRPr="00F35FA8">
        <w:t>gyógyszer</w:t>
      </w:r>
      <w:proofErr w:type="spellEnd"/>
      <w:r w:rsidRPr="00F35FA8">
        <w:t xml:space="preserve"> </w:t>
      </w:r>
      <w:proofErr w:type="spellStart"/>
      <w:r w:rsidRPr="00F35FA8">
        <w:t>kevesebb</w:t>
      </w:r>
      <w:proofErr w:type="spellEnd"/>
      <w:r w:rsidRPr="00F35FA8">
        <w:t xml:space="preserve"> mint 1 </w:t>
      </w:r>
      <w:proofErr w:type="spellStart"/>
      <w:r w:rsidRPr="00F35FA8">
        <w:t>mmol</w:t>
      </w:r>
      <w:proofErr w:type="spellEnd"/>
      <w:r w:rsidRPr="00F35FA8">
        <w:t xml:space="preserve"> (23 mg) </w:t>
      </w:r>
      <w:proofErr w:type="spellStart"/>
      <w:r w:rsidRPr="00F35FA8">
        <w:t>nátriumot</w:t>
      </w:r>
      <w:proofErr w:type="spellEnd"/>
      <w:r w:rsidRPr="00F35FA8">
        <w:t xml:space="preserve"> </w:t>
      </w:r>
      <w:proofErr w:type="spellStart"/>
      <w:r w:rsidRPr="00F35FA8">
        <w:t>tartalmaz</w:t>
      </w:r>
      <w:proofErr w:type="spellEnd"/>
      <w:r w:rsidRPr="00F35FA8">
        <w:t xml:space="preserve"> </w:t>
      </w:r>
      <w:proofErr w:type="spellStart"/>
      <w:r w:rsidRPr="00F35FA8">
        <w:t>tablettánként</w:t>
      </w:r>
      <w:proofErr w:type="spellEnd"/>
      <w:r w:rsidRPr="00F35FA8">
        <w:t xml:space="preserve">, </w:t>
      </w:r>
      <w:proofErr w:type="spellStart"/>
      <w:r w:rsidRPr="00F35FA8">
        <w:t>azaz</w:t>
      </w:r>
      <w:proofErr w:type="spellEnd"/>
      <w:r w:rsidRPr="00F35FA8">
        <w:t xml:space="preserve"> </w:t>
      </w:r>
      <w:proofErr w:type="spellStart"/>
      <w:r w:rsidRPr="00F35FA8">
        <w:t>gyakorlatilag</w:t>
      </w:r>
      <w:proofErr w:type="spellEnd"/>
      <w:r w:rsidR="00F677E5">
        <w:t xml:space="preserve"> </w:t>
      </w:r>
      <w:r w:rsidRPr="00F35FA8">
        <w:t>„</w:t>
      </w:r>
      <w:proofErr w:type="spellStart"/>
      <w:r w:rsidRPr="00F35FA8">
        <w:t>nátriummentes</w:t>
      </w:r>
      <w:proofErr w:type="spellEnd"/>
      <w:r w:rsidRPr="00F35FA8">
        <w:t>”.</w:t>
      </w:r>
    </w:p>
    <w:p w14:paraId="03CA4B0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2ADA29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4.5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5A433A2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01B701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u w:val="single"/>
          <w:lang w:val="hu-HU" w:eastAsia="en-US"/>
        </w:rPr>
        <w:t>In vitro</w:t>
      </w:r>
      <w:r w:rsidRPr="00FA58AB">
        <w:rPr>
          <w:rFonts w:eastAsia="Times New Roman"/>
          <w:snapToGrid/>
          <w:szCs w:val="22"/>
          <w:u w:val="single"/>
          <w:lang w:val="hu-HU" w:eastAsia="en-US"/>
        </w:rPr>
        <w:t xml:space="preserve"> vizsgálatok</w:t>
      </w:r>
    </w:p>
    <w:p w14:paraId="170FDC52" w14:textId="77777777" w:rsidR="00573159" w:rsidRPr="00FA58AB" w:rsidRDefault="0057315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7A92058" w14:textId="7463B87F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 citokróm P450 CYP3A4 a fő enzim, mely részt vesz a macitentán metabolizmusában, valamint aktív metabolitjának</w:t>
      </w:r>
      <w:r w:rsidR="00F677E5">
        <w:rPr>
          <w:rFonts w:eastAsia="Times New Roman"/>
          <w:snapToGrid/>
          <w:szCs w:val="22"/>
          <w:lang w:val="hu-HU" w:eastAsia="en-US"/>
        </w:rPr>
        <w:t>,</w:t>
      </w:r>
      <w:r w:rsidR="00AE21FB" w:rsidRPr="00AE21FB">
        <w:rPr>
          <w:rFonts w:eastAsia="Times New Roman"/>
          <w:snapToGrid/>
          <w:szCs w:val="22"/>
          <w:lang w:val="hu-HU" w:eastAsia="en-US"/>
        </w:rPr>
        <w:t xml:space="preserve"> </w:t>
      </w:r>
      <w:r w:rsidR="00F677E5">
        <w:rPr>
          <w:rFonts w:eastAsia="Times New Roman"/>
          <w:snapToGrid/>
          <w:szCs w:val="22"/>
          <w:lang w:val="hu-HU" w:eastAsia="en-US"/>
        </w:rPr>
        <w:t>az aprocitentánnak</w:t>
      </w:r>
      <w:r w:rsidR="00F677E5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AE21FB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képződésében, a CYP2C8-, CYP2C9- és CYP2C19-enzimek csekély mértékű közreműködése mellett (lásd 5.2 pont).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B07E12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="00F677E5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nincs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gátló vagy serkentő hatása a citokróm P450 enzimekre.</w:t>
      </w:r>
    </w:p>
    <w:p w14:paraId="4E4A839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BA73DD4" w14:textId="276C4791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 macitentán és aktív metabolitja klinikailag releváns koncentrációban nem gátolják a hepatikus és vese uptake-transzportereket, beleértve a szervesanion-transzporter polipeptideket is (OATP1B1 és OATP1B3). A macitentán és aktív metabolitja nem releváns szubsztrátjai az OATP1B1-nek és az OATP1B3-nak, azonban passzív diffúzióval bejutnak a májba.</w:t>
      </w:r>
    </w:p>
    <w:p w14:paraId="79FBBF2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9E17D3B" w14:textId="00023DA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 macitentán és aktív metabolitja klinikailag releváns koncentrációban nem gátolják a máj és a vese effluxpumpáit, beleértve a multidrog-rezisztencia fehérjét (P-gp, MDR-1) és a multidrog- és toxikuskomponens-kilökő transzportereket (</w:t>
      </w:r>
      <w:r w:rsidR="00336751" w:rsidRPr="00A07A6E">
        <w:rPr>
          <w:szCs w:val="22"/>
          <w:lang w:val="hu-HU"/>
        </w:rPr>
        <w:t xml:space="preserve">multidrug and toxin extrusion transporters, </w:t>
      </w:r>
      <w:r w:rsidRPr="00FA58AB">
        <w:rPr>
          <w:rFonts w:eastAsia="Times New Roman"/>
          <w:snapToGrid/>
          <w:szCs w:val="22"/>
          <w:lang w:val="hu-HU" w:eastAsia="en-US"/>
        </w:rPr>
        <w:t>MATE1 és MATE2-K). A macitentán nem szubsztrátja a P-gp/MDR-1-nek.</w:t>
      </w:r>
    </w:p>
    <w:p w14:paraId="6A8E2BA7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2DA318" w14:textId="7103D71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Klinikailag releváns koncentrációkban a macitentán és aktív metabolitja nem lépnek kölcsönhatásba azokkal a fehérjékkel, amelyek érintettek a máj epesótranszportjában, úgymint az epesóexport-pumpa (</w:t>
      </w:r>
      <w:r w:rsidRPr="00FA58AB">
        <w:rPr>
          <w:lang w:val="hu-HU"/>
        </w:rPr>
        <w:t xml:space="preserve">bile salt export pump, </w:t>
      </w:r>
      <w:r w:rsidRPr="00FA58AB">
        <w:rPr>
          <w:rFonts w:eastAsia="Times New Roman"/>
          <w:snapToGrid/>
          <w:szCs w:val="22"/>
          <w:lang w:val="hu-HU" w:eastAsia="en-US"/>
        </w:rPr>
        <w:t>BSEP) és a nátriumfüggő taurokolát-kotranszporter polipeptid (</w:t>
      </w:r>
      <w:r w:rsidRPr="00FA58AB">
        <w:rPr>
          <w:lang w:val="hu-HU"/>
        </w:rPr>
        <w:t>sodium-dependent taurocholate co-transporting polypeptide</w:t>
      </w:r>
      <w:r w:rsidRPr="00FA58AB">
        <w:rPr>
          <w:rFonts w:eastAsia="Times New Roman"/>
          <w:snapToGrid/>
          <w:szCs w:val="22"/>
          <w:lang w:val="hu-HU" w:eastAsia="en-US"/>
        </w:rPr>
        <w:t>, NTCP).</w:t>
      </w:r>
    </w:p>
    <w:p w14:paraId="50D6D27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551E1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u w:val="single"/>
          <w:lang w:val="hu-HU" w:eastAsia="en-US"/>
        </w:rPr>
        <w:t>In vivo</w:t>
      </w:r>
      <w:r w:rsidRPr="00FA58AB">
        <w:rPr>
          <w:rFonts w:eastAsia="Times New Roman"/>
          <w:snapToGrid/>
          <w:szCs w:val="22"/>
          <w:u w:val="single"/>
          <w:lang w:val="hu-HU" w:eastAsia="en-US"/>
        </w:rPr>
        <w:t xml:space="preserve"> vizsgálatok</w:t>
      </w:r>
    </w:p>
    <w:p w14:paraId="0A606EA7" w14:textId="77777777" w:rsidR="006461BE" w:rsidRPr="00FA58AB" w:rsidRDefault="006461BE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86FF953" w14:textId="7325C0C0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Erős CYP3A4-induktorok: </w:t>
      </w:r>
      <w:r w:rsidRPr="00FA58AB">
        <w:rPr>
          <w:rFonts w:eastAsia="Times New Roman"/>
          <w:snapToGrid/>
          <w:szCs w:val="22"/>
          <w:lang w:val="hu-HU" w:eastAsia="en-US"/>
        </w:rPr>
        <w:t>Napi 600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rifampicin (erős CYP3A4-induktor) egyidejű alkalmazása 79%-kal csökkentette 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dinamikus egyensúlyi állapotú macitentán-expozíciót, azonban nem befolyásolta az aktív metabolitok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expozícióját. Olyan, erős CYP3A4-induktor jelenlétében, mint például a rifampicin, számolni kell 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macitentán hatásosságának csökkenésével. Kerülni kell a macitentán és az erős CYP3A4-induktorok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kombinációját (lásd 4.4 pont).</w:t>
      </w:r>
    </w:p>
    <w:p w14:paraId="0ABCBBF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84ED1F" w14:textId="3B5F08F0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Ketokonazol: </w:t>
      </w:r>
      <w:r w:rsidRPr="00FA58AB">
        <w:rPr>
          <w:rFonts w:eastAsia="Times New Roman"/>
          <w:snapToGrid/>
          <w:szCs w:val="22"/>
          <w:lang w:val="hu-HU" w:eastAsia="en-US"/>
        </w:rPr>
        <w:t>A napi egyszer 400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dózisban adott ketokonazol – ami egy erős CYP3A4-inhibitor -jelenlétében a macitentán-expozíció körülbelül kétszeresére növekedett. A fiziológiai alapú farmakokinetikai (</w:t>
      </w:r>
      <w:r w:rsidRPr="00FA58AB">
        <w:rPr>
          <w:lang w:val="hu-HU"/>
        </w:rPr>
        <w:t xml:space="preserve">physiologically based pharmacokinetic, </w:t>
      </w:r>
      <w:r w:rsidRPr="00FA58AB">
        <w:rPr>
          <w:rFonts w:eastAsia="Times New Roman"/>
          <w:snapToGrid/>
          <w:szCs w:val="22"/>
          <w:lang w:val="hu-HU" w:eastAsia="en-US"/>
        </w:rPr>
        <w:t>PBPK) modellezéssel meghatározott várható növekedés, naponta kétszer 200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ketokonazolt alkalmazva körülbelül háromszoros volt. Figyelembe kell venni az ilyen modelle</w:t>
      </w:r>
      <w:r w:rsidR="00C955F9">
        <w:rPr>
          <w:rFonts w:eastAsia="Times New Roman"/>
          <w:snapToGrid/>
          <w:szCs w:val="22"/>
          <w:lang w:val="hu-HU" w:eastAsia="en-US"/>
        </w:rPr>
        <w:t>zés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bizonytalanságait. A macitentán aktív metabolitj</w:t>
      </w:r>
      <w:r w:rsidR="00B07E12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 expozíciója 26%-kal csökkent. Óvatosan kell eljárni a macitentán és erős CYP3A4-inhibitorok egyidejű alkalmazásakor (lásd 4.4 pont).</w:t>
      </w:r>
    </w:p>
    <w:p w14:paraId="57897CA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080DE73" w14:textId="47E6AB64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lastRenderedPageBreak/>
        <w:t xml:space="preserve">Flukonazol: </w:t>
      </w:r>
      <w:r w:rsidRPr="00FA58AB">
        <w:rPr>
          <w:rFonts w:eastAsia="Times New Roman"/>
          <w:snapToGrid/>
          <w:szCs w:val="22"/>
          <w:lang w:val="hu-HU" w:eastAsia="en-US"/>
        </w:rPr>
        <w:t>Napi 400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flukonazol, egy közepesen erős, kettős CYP3A4- és CYP2C9-inhibitor</w:t>
      </w:r>
      <w:r w:rsidR="008262C3">
        <w:rPr>
          <w:rFonts w:eastAsia="Times New Roman"/>
          <w:snapToGrid/>
          <w:szCs w:val="22"/>
          <w:lang w:val="hu-HU" w:eastAsia="en-US"/>
        </w:rPr>
        <w:t>,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jelenlétében a macitentán-expozíció a</w:t>
      </w:r>
      <w:r w:rsidR="00AD2572">
        <w:rPr>
          <w:rFonts w:eastAsia="Times New Roman"/>
          <w:snapToGrid/>
          <w:szCs w:val="22"/>
          <w:lang w:val="hu-HU" w:eastAsia="en-US"/>
        </w:rPr>
        <w:t xml:space="preserve"> fiziológiai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alapú farmakokinetikai modellezés alapján megközelítőleg 3,8-szorosára emelkedhet. Ugyanakkor nem volt klinikailag jelentős változás a macitentán aktív metabolitjának expozíciójában. Az ilyen modellezés bizonytalansági tényezőit azonban figyelembe kell venni. Elővigyázatosság szükséges, amikor a macitentánt közepesen erős, kettős CYP3A4- és CYP2C9-inhibitorokkal (például flukonazollal és amiodaronnal) alkalmazzák egyidejűleg (lásd 4.4 pont).</w:t>
      </w:r>
    </w:p>
    <w:p w14:paraId="7AE2C74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904D9E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Szintén elővigyázatosság szükséges, amikor a macitentánt egy közepesen erős CYP3A4-inhibitorral (például ciprofloxacinnal, ciklosporinnal, diltiazemmel, eritromicinnel, verapamillal), valamint egy közepesen erős CYP2C9-inhibitorral (például mikonazollal, piperinnel) adják együtt (lásd 4.4 pont).</w:t>
      </w:r>
    </w:p>
    <w:p w14:paraId="7A28090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CEEF50E" w14:textId="1942E577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Warfarin: </w:t>
      </w:r>
      <w:r w:rsidRPr="00FA58AB">
        <w:rPr>
          <w:rFonts w:eastAsia="Times New Roman"/>
          <w:snapToGrid/>
          <w:szCs w:val="22"/>
          <w:lang w:val="hu-HU" w:eastAsia="en-US"/>
        </w:rPr>
        <w:t>A naponta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</w:t>
      </w:r>
      <w:r w:rsidR="008262C3">
        <w:rPr>
          <w:rFonts w:eastAsia="Times New Roman"/>
          <w:snapToGrid/>
          <w:szCs w:val="22"/>
          <w:lang w:val="hu-HU" w:eastAsia="en-US"/>
        </w:rPr>
        <w:t>-os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macitentán dózis </w:t>
      </w:r>
      <w:r w:rsidR="008262C3">
        <w:rPr>
          <w:rFonts w:eastAsia="Times New Roman"/>
          <w:snapToGrid/>
          <w:szCs w:val="22"/>
          <w:lang w:val="hu-HU" w:eastAsia="en-US"/>
        </w:rPr>
        <w:t>többszöri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adagolása nem volt hatással az S</w:t>
      </w:r>
      <w:r w:rsidR="006461BE" w:rsidRPr="00FA58AB">
        <w:rPr>
          <w:rFonts w:eastAsia="Times New Roman"/>
          <w:snapToGrid/>
          <w:szCs w:val="22"/>
          <w:lang w:val="hu-HU" w:eastAsia="en-US"/>
        </w:rPr>
        <w:noBreakHyphen/>
      </w:r>
      <w:r w:rsidRPr="00FA58AB">
        <w:rPr>
          <w:rFonts w:eastAsia="Times New Roman"/>
          <w:snapToGrid/>
          <w:szCs w:val="22"/>
          <w:lang w:val="hu-HU" w:eastAsia="en-US"/>
        </w:rPr>
        <w:t>warfarin (CYP2C9-szubsztrát) vagy az R-warfarin (CYP3A4-szubsztrát) expozíciójára, egy egyszeri 25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mg-os warfarin-dózis alkalmazását követően. A macitentán nem befolyásolta a warfarin 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farmakodinámiás hatását </w:t>
      </w:r>
      <w:r w:rsidR="008262C3">
        <w:rPr>
          <w:rFonts w:eastAsia="Times New Roman"/>
          <w:snapToGrid/>
          <w:szCs w:val="22"/>
          <w:lang w:val="hu-HU" w:eastAsia="en-US"/>
        </w:rPr>
        <w:t xml:space="preserve">az INR 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értékre </w:t>
      </w:r>
      <w:r w:rsidR="008262C3">
        <w:rPr>
          <w:rFonts w:eastAsia="Times New Roman"/>
          <w:snapToGrid/>
          <w:szCs w:val="22"/>
          <w:lang w:val="hu-HU" w:eastAsia="en-US"/>
        </w:rPr>
        <w:t>(</w:t>
      </w:r>
      <w:r w:rsidR="00AD2572" w:rsidRPr="00FA58AB">
        <w:rPr>
          <w:rFonts w:eastAsia="Times New Roman"/>
          <w:snapToGrid/>
          <w:szCs w:val="22"/>
          <w:lang w:val="hu-HU" w:eastAsia="en-US"/>
        </w:rPr>
        <w:t>nemzetközi normalizált arány</w:t>
      </w:r>
      <w:r w:rsidR="008262C3">
        <w:rPr>
          <w:rFonts w:eastAsia="Times New Roman"/>
          <w:snapToGrid/>
          <w:szCs w:val="22"/>
          <w:lang w:val="hu-HU" w:eastAsia="en-US"/>
        </w:rPr>
        <w:t xml:space="preserve">, </w:t>
      </w:r>
      <w:r w:rsidR="00AD2572" w:rsidRPr="00FA58AB">
        <w:rPr>
          <w:szCs w:val="22"/>
          <w:lang w:val="hu-HU"/>
        </w:rPr>
        <w:t>International Normalised Ratio</w:t>
      </w:r>
      <w:r w:rsidR="00AD2572" w:rsidRPr="00FA58AB">
        <w:rPr>
          <w:rFonts w:eastAsia="Times New Roman"/>
          <w:snapToGrid/>
          <w:szCs w:val="22"/>
          <w:lang w:val="hu-HU" w:eastAsia="en-US"/>
        </w:rPr>
        <w:t>)</w:t>
      </w:r>
      <w:r w:rsidRPr="00FA58AB">
        <w:rPr>
          <w:rFonts w:eastAsia="Times New Roman"/>
          <w:snapToGrid/>
          <w:szCs w:val="22"/>
          <w:lang w:val="hu-HU" w:eastAsia="en-US"/>
        </w:rPr>
        <w:t>. A warfarin nem befolyásolta a macitentán és aktív 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 farmakokinetikáját.</w:t>
      </w:r>
    </w:p>
    <w:p w14:paraId="263C1E3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5ED3E7" w14:textId="70E46CAD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Szildenafil: </w:t>
      </w:r>
      <w:r w:rsidRPr="00FA58AB">
        <w:rPr>
          <w:rFonts w:eastAsia="Times New Roman"/>
          <w:snapToGrid/>
          <w:szCs w:val="22"/>
          <w:lang w:val="hu-HU" w:eastAsia="en-US"/>
        </w:rPr>
        <w:t>Dinamikus egyensúlyi állapotban, a naponta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macitentánnal együtt alkalmazott napi háromszor 20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szildenafil expozíciója 15%-kal növekedett. A CYP3A4-szubsztrát szildenafil nem befolyásolja a macitentán farmakokinetikáját, azonban 15%-kal csökkent a macitentán aktív 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 expozíciója. Ezeket a változásokat nem tekintik klinikailag relevánsnak. A szildenafillel kombinálva adott macitentán hatékonyságát és biztonságosságát PAH</w:t>
      </w:r>
      <w:r w:rsidR="008262C3">
        <w:rPr>
          <w:rFonts w:eastAsia="Times New Roman"/>
          <w:snapToGrid/>
          <w:szCs w:val="22"/>
          <w:lang w:val="hu-HU" w:eastAsia="en-US"/>
        </w:rPr>
        <w:t>-</w:t>
      </w:r>
      <w:r w:rsidRPr="00FA58AB">
        <w:rPr>
          <w:rFonts w:eastAsia="Times New Roman"/>
          <w:snapToGrid/>
          <w:szCs w:val="22"/>
          <w:lang w:val="hu-HU" w:eastAsia="en-US"/>
        </w:rPr>
        <w:t>betegek</w:t>
      </w:r>
      <w:r w:rsidR="008262C3">
        <w:rPr>
          <w:rFonts w:eastAsia="Times New Roman"/>
          <w:snapToGrid/>
          <w:szCs w:val="22"/>
          <w:lang w:val="hu-HU" w:eastAsia="en-US"/>
        </w:rPr>
        <w:t>né</w:t>
      </w:r>
      <w:r w:rsidR="00AD2572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végzett placebokontrollos vizsgálatban igazolták.</w:t>
      </w:r>
    </w:p>
    <w:p w14:paraId="2FF4352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6A843A1" w14:textId="062A138D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>Ciklosporin A:</w:t>
      </w:r>
      <w:r w:rsidR="004D3824"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 naponta kétszer 100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ciklosporin A-val egyidejűleg alkalmazott CYP3A4- és OATP-inhibitorok nem befolyásolták klinikailag jelentős mértékben a macitentán és aktív 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 dinamikus egyensúlyi állapotú (steady state) expozícióját.</w:t>
      </w:r>
    </w:p>
    <w:p w14:paraId="40375A3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68DE5CD" w14:textId="0DFFAA77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Hormonális fogamzásgátlók: </w:t>
      </w:r>
      <w:r w:rsidRPr="00FA58AB">
        <w:rPr>
          <w:rFonts w:eastAsia="Times New Roman"/>
          <w:snapToGrid/>
          <w:szCs w:val="22"/>
          <w:lang w:val="hu-HU" w:eastAsia="en-US"/>
        </w:rPr>
        <w:t>Napi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macitentán nem befolyásolta a </w:t>
      </w:r>
      <w:r w:rsidR="008262C3" w:rsidRPr="002437AB">
        <w:rPr>
          <w:rFonts w:eastAsia="Times New Roman"/>
          <w:i/>
          <w:snapToGrid/>
          <w:szCs w:val="22"/>
          <w:lang w:val="hu-HU" w:eastAsia="en-US"/>
        </w:rPr>
        <w:t>per os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alkalmazott fogamzásgátló (1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noretiszteron és 35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μg etinilösztradiol) farmakokinetikáját.</w:t>
      </w:r>
    </w:p>
    <w:p w14:paraId="2CB5A4D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80BA5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>Emlőrákrezisztencia-fehérje-</w:t>
      </w:r>
      <w:r w:rsidRPr="00FA58AB" w:rsidDel="00736E4A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(b</w:t>
      </w:r>
      <w:r w:rsidRPr="00FA58AB">
        <w:rPr>
          <w:i/>
          <w:iCs/>
          <w:lang w:val="hu-HU"/>
        </w:rPr>
        <w:t xml:space="preserve">reast cancer resistance protein,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BCRP) szubsztrát gyógyszerek: </w:t>
      </w:r>
      <w:r w:rsidRPr="00FA58AB">
        <w:rPr>
          <w:rFonts w:eastAsia="Times New Roman"/>
          <w:snapToGrid/>
          <w:szCs w:val="22"/>
          <w:lang w:val="hu-HU" w:eastAsia="en-US"/>
        </w:rPr>
        <w:t>Napi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macitentán nem befolyásolta a BCRP-szubsztrát gyógyszer (1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riociguát;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rozuvasztatin) farmakokinetikáját.</w:t>
      </w:r>
    </w:p>
    <w:p w14:paraId="187A9D3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ED09A3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Gyermekek és serdülők</w:t>
      </w:r>
    </w:p>
    <w:p w14:paraId="4CB8EB93" w14:textId="77777777" w:rsidR="004D3824" w:rsidRPr="00FA58AB" w:rsidRDefault="004D382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A978BD4" w14:textId="611DBBC2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Interakciós vizsgálatokat csak felnőttek körében végeztek.</w:t>
      </w:r>
    </w:p>
    <w:p w14:paraId="32DC272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D69C3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4.6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3E32F744" w14:textId="77777777" w:rsidR="000E098D" w:rsidRPr="00FA58AB" w:rsidRDefault="000E098D" w:rsidP="00E47067">
      <w:pPr>
        <w:spacing w:line="240" w:lineRule="auto"/>
        <w:rPr>
          <w:i/>
          <w:lang w:val="hu-HU"/>
        </w:rPr>
      </w:pPr>
    </w:p>
    <w:p w14:paraId="4444C205" w14:textId="1416570F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Alkalmazás fogamzóképes nők</w:t>
      </w:r>
      <w:r w:rsidR="00E673BD" w:rsidRPr="00FA58AB">
        <w:rPr>
          <w:u w:val="single"/>
          <w:lang w:val="hu-HU"/>
        </w:rPr>
        <w:t>nél</w:t>
      </w:r>
      <w:r w:rsidRPr="00FA58AB">
        <w:rPr>
          <w:u w:val="single"/>
          <w:lang w:val="hu-HU"/>
        </w:rPr>
        <w:t>/</w:t>
      </w:r>
      <w:r w:rsidR="00E673BD" w:rsidRPr="00FA58AB">
        <w:rPr>
          <w:u w:val="single"/>
          <w:lang w:val="hu-HU"/>
        </w:rPr>
        <w:t>f</w:t>
      </w:r>
      <w:r w:rsidRPr="00FA58AB">
        <w:rPr>
          <w:u w:val="single"/>
          <w:lang w:val="hu-HU"/>
        </w:rPr>
        <w:t>ogamzásgátlás nőknél és férfiaknál</w:t>
      </w:r>
    </w:p>
    <w:p w14:paraId="1CD41D40" w14:textId="70862A64" w:rsidR="000E098D" w:rsidRPr="00FA58AB" w:rsidRDefault="000E098D" w:rsidP="00E47067">
      <w:pPr>
        <w:spacing w:line="240" w:lineRule="auto"/>
        <w:rPr>
          <w:lang w:val="hu-HU"/>
        </w:rPr>
      </w:pPr>
      <w:r w:rsidRPr="00B501B1">
        <w:rPr>
          <w:lang w:val="hu-HU"/>
        </w:rPr>
        <w:t xml:space="preserve">A fogamzóképes nők </w:t>
      </w:r>
      <w:r w:rsidR="00E673BD" w:rsidRPr="00B501B1">
        <w:rPr>
          <w:lang w:val="hu-HU"/>
        </w:rPr>
        <w:t>M</w:t>
      </w:r>
      <w:r w:rsidRPr="00B501B1">
        <w:rPr>
          <w:lang w:val="hu-HU"/>
        </w:rPr>
        <w:t>acitent</w:t>
      </w:r>
      <w:r w:rsidR="00E673BD" w:rsidRPr="00B501B1">
        <w:rPr>
          <w:lang w:val="hu-HU"/>
        </w:rPr>
        <w:t xml:space="preserve">an </w:t>
      </w:r>
      <w:r w:rsidR="00F717BB">
        <w:rPr>
          <w:lang w:val="hu-HU"/>
        </w:rPr>
        <w:t>Viatris</w:t>
      </w:r>
      <w:r w:rsidR="00E673BD" w:rsidRPr="00B501B1">
        <w:rPr>
          <w:lang w:val="hu-HU"/>
        </w:rPr>
        <w:t>-</w:t>
      </w:r>
      <w:r w:rsidRPr="00B501B1">
        <w:rPr>
          <w:lang w:val="hu-HU"/>
        </w:rPr>
        <w:t>kezelés</w:t>
      </w:r>
      <w:r w:rsidR="00E673BD" w:rsidRPr="00B501B1">
        <w:rPr>
          <w:lang w:val="hu-HU"/>
        </w:rPr>
        <w:t>e</w:t>
      </w:r>
      <w:r w:rsidRPr="00B501B1">
        <w:rPr>
          <w:lang w:val="hu-HU"/>
        </w:rPr>
        <w:t xml:space="preserve"> </w:t>
      </w:r>
      <w:r w:rsidR="00E673BD" w:rsidRPr="00B501B1">
        <w:rPr>
          <w:lang w:val="hu-HU"/>
        </w:rPr>
        <w:t>csak akkor kezdhető el, ha kizárták a terhességet</w:t>
      </w:r>
      <w:r w:rsidRPr="00B501B1">
        <w:rPr>
          <w:lang w:val="hu-HU"/>
        </w:rPr>
        <w:t xml:space="preserve">, </w:t>
      </w:r>
      <w:r w:rsidR="00136BDE" w:rsidRPr="00B501B1">
        <w:rPr>
          <w:lang w:val="hu-HU"/>
        </w:rPr>
        <w:t>a</w:t>
      </w:r>
      <w:r w:rsidR="00136BDE" w:rsidRPr="00FA58AB">
        <w:rPr>
          <w:lang w:val="hu-HU"/>
        </w:rPr>
        <w:t xml:space="preserve"> beteg szakszerű útmutatást kapott a fogamzásgátló módszerekről, és megbízható fogamzásgátlást alkalmaz </w:t>
      </w:r>
      <w:r w:rsidRPr="00FA58AB">
        <w:rPr>
          <w:lang w:val="hu-HU"/>
        </w:rPr>
        <w:t xml:space="preserve">(lásd 4.3 és 4.4 pont). A </w:t>
      </w:r>
      <w:r w:rsidR="00136BDE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Pr="00FA58AB">
        <w:rPr>
          <w:lang w:val="hu-HU"/>
        </w:rPr>
        <w:t>-kezelés befejezését követően a nő</w:t>
      </w:r>
      <w:r w:rsidR="00B501B1">
        <w:rPr>
          <w:lang w:val="hu-HU"/>
        </w:rPr>
        <w:t>k</w:t>
      </w:r>
      <w:r w:rsidRPr="00FA58AB">
        <w:rPr>
          <w:lang w:val="hu-HU"/>
        </w:rPr>
        <w:t>nek egy hónapig nem szabad teherbe esni</w:t>
      </w:r>
      <w:r w:rsidR="00B501B1">
        <w:rPr>
          <w:lang w:val="hu-HU"/>
        </w:rPr>
        <w:t>ük</w:t>
      </w:r>
      <w:r w:rsidRPr="00FA58AB">
        <w:rPr>
          <w:lang w:val="hu-HU"/>
        </w:rPr>
        <w:t xml:space="preserve">. A </w:t>
      </w:r>
      <w:r w:rsidR="00136BDE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Pr="00FA58AB">
        <w:rPr>
          <w:lang w:val="hu-HU"/>
        </w:rPr>
        <w:t>-kezelés ideje alatt ajánlott havonta egyszer terhességi tesztet végezni, a terhesség korai felismerése érdekében.</w:t>
      </w:r>
    </w:p>
    <w:p w14:paraId="1072D52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067F5CA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Terhesség</w:t>
      </w:r>
    </w:p>
    <w:p w14:paraId="4F4CF7D6" w14:textId="58BEF122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macitentán terhes nőknél történő alkalmazása tekintetében nem áll rendelkezésre információ. Állatkísérletek során reproduktív toxicitást igazoltak (lásd 5.3 pont). Az emberre kifejtett lehetséges kockázat nem ismert. A </w:t>
      </w:r>
      <w:r w:rsidR="0083494C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="0083494C" w:rsidRPr="00FA58AB">
        <w:rPr>
          <w:lang w:val="hu-HU"/>
        </w:rPr>
        <w:t xml:space="preserve"> </w:t>
      </w:r>
      <w:r w:rsidRPr="00FA58AB">
        <w:rPr>
          <w:lang w:val="hu-HU"/>
        </w:rPr>
        <w:t>ellenjavallt a terhesség alatt és azoknál a fogamzóképes nőknél, akik nem alkalmaznak megbízható fogamzásgátlást (lásd 4.3 pont).</w:t>
      </w:r>
    </w:p>
    <w:p w14:paraId="56CCA21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372FB90" w14:textId="77777777" w:rsidR="000E098D" w:rsidRPr="00FA58AB" w:rsidRDefault="000E098D" w:rsidP="00A07A6E">
      <w:pPr>
        <w:keepNext/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lastRenderedPageBreak/>
        <w:t>Szoptatás</w:t>
      </w:r>
    </w:p>
    <w:p w14:paraId="6D29876B" w14:textId="124B8AB9" w:rsidR="000E098D" w:rsidRPr="00FA58AB" w:rsidRDefault="000E098D" w:rsidP="00A07A6E">
      <w:pPr>
        <w:keepNext/>
        <w:spacing w:line="240" w:lineRule="auto"/>
        <w:rPr>
          <w:lang w:val="hu-HU"/>
        </w:rPr>
      </w:pPr>
      <w:r w:rsidRPr="00FA58AB">
        <w:rPr>
          <w:lang w:val="hu-HU"/>
        </w:rPr>
        <w:t xml:space="preserve">Nem ismert, hogy a macitentán kiválasztódik-e az anyatejbe. A macitentán és metabolitjai bekerülnek a szoptató patkányok tejébe (lásd 5.3 pont). Az anyatejjel táplált csecsemőre nézve a kockázatot nem lehet kizárni. A </w:t>
      </w:r>
      <w:r w:rsidR="0083494C" w:rsidRPr="00FA58AB">
        <w:rPr>
          <w:lang w:val="hu-HU"/>
        </w:rPr>
        <w:t xml:space="preserve">Macitentan </w:t>
      </w:r>
      <w:r w:rsidR="00F717BB">
        <w:rPr>
          <w:lang w:val="hu-HU"/>
        </w:rPr>
        <w:t>Viatris</w:t>
      </w:r>
      <w:r w:rsidR="0083494C" w:rsidRPr="00FA58AB">
        <w:rPr>
          <w:lang w:val="hu-HU"/>
        </w:rPr>
        <w:t xml:space="preserve"> </w:t>
      </w:r>
      <w:r w:rsidRPr="00FA58AB">
        <w:rPr>
          <w:lang w:val="hu-HU"/>
        </w:rPr>
        <w:t>alkalmazása ellenjavallt szoptatás alatt (lásd 4.3 pont).</w:t>
      </w:r>
    </w:p>
    <w:p w14:paraId="6D3D185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BDBC734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Férfi termékenység</w:t>
      </w:r>
    </w:p>
    <w:p w14:paraId="4D78777B" w14:textId="11129A6A" w:rsidR="0083494C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macitentán-kezelést követően hím állatoknál tubuláris atrófia volt megfigyelhető a herékben (lásd 5.3 pont). Az ERA-</w:t>
      </w:r>
      <w:r w:rsidR="0083494C" w:rsidRPr="00FA58AB">
        <w:rPr>
          <w:lang w:val="hu-HU"/>
        </w:rPr>
        <w:t>ka</w:t>
      </w:r>
      <w:r w:rsidRPr="00FA58AB">
        <w:rPr>
          <w:lang w:val="hu-HU"/>
        </w:rPr>
        <w:t>t szedő betegeknél a spermiumok számának csökkenését figyelték meg.</w:t>
      </w:r>
    </w:p>
    <w:p w14:paraId="1975EAA3" w14:textId="39715FE4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macitentánnak, más ERA-khoz hasonlóan, nemkívánatos hatása lehet a férfiak spermatogenezisére.</w:t>
      </w:r>
    </w:p>
    <w:p w14:paraId="5BB7336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E3BB523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4.7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73A0B47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7380E45" w14:textId="3AC92E30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 macitentán kismértékben befolyásolja a gépjárművezetéshez és a gépek kezeléséhez szükséges képességeket. A gépjárművezetéshez vagy gépek kezeléséhez szükséges képességekre gyakorolt hatásokat nem vizsgálták. Azonban a gépjárművezetéshez és a gépek kezeléséhez szükséges képességeket esetleg befolyásoló mellékhatások (például fejfájás, h</w:t>
      </w:r>
      <w:r w:rsidR="00690E27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pot</w:t>
      </w:r>
      <w:r w:rsidR="00B501B1">
        <w:rPr>
          <w:rFonts w:eastAsia="Times New Roman"/>
          <w:snapToGrid/>
          <w:szCs w:val="22"/>
          <w:lang w:val="hu-HU" w:eastAsia="en-US"/>
        </w:rPr>
        <w:t>e</w:t>
      </w:r>
      <w:r w:rsidRPr="00FA58AB">
        <w:rPr>
          <w:rFonts w:eastAsia="Times New Roman"/>
          <w:snapToGrid/>
          <w:szCs w:val="22"/>
          <w:lang w:val="hu-HU" w:eastAsia="en-US"/>
        </w:rPr>
        <w:t>n</w:t>
      </w:r>
      <w:r w:rsidR="00B501B1">
        <w:rPr>
          <w:rFonts w:eastAsia="Times New Roman"/>
          <w:snapToGrid/>
          <w:szCs w:val="22"/>
          <w:lang w:val="hu-HU" w:eastAsia="en-US"/>
        </w:rPr>
        <w:t>s</w:t>
      </w:r>
      <w:r w:rsidRPr="00FA58AB">
        <w:rPr>
          <w:rFonts w:eastAsia="Times New Roman"/>
          <w:snapToGrid/>
          <w:szCs w:val="22"/>
          <w:lang w:val="hu-HU" w:eastAsia="en-US"/>
        </w:rPr>
        <w:t>i</w:t>
      </w:r>
      <w:r w:rsidR="00B501B1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) előfordulhatnak (lásd 4.8 pont).</w:t>
      </w:r>
    </w:p>
    <w:p w14:paraId="3C88739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C636F3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4.8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2436E7BD" w14:textId="77777777" w:rsidR="000E098D" w:rsidRPr="00FA58AB" w:rsidRDefault="000E098D" w:rsidP="00E47067">
      <w:pPr>
        <w:spacing w:line="240" w:lineRule="auto"/>
        <w:rPr>
          <w:i/>
          <w:lang w:val="hu-HU"/>
        </w:rPr>
      </w:pPr>
    </w:p>
    <w:p w14:paraId="696500DE" w14:textId="7E1A860A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A biztonságossági profil össze</w:t>
      </w:r>
      <w:r w:rsidR="0083494C" w:rsidRPr="00FA58AB">
        <w:rPr>
          <w:iCs/>
          <w:u w:val="single"/>
          <w:lang w:val="hu-HU"/>
        </w:rPr>
        <w:t>foglalása</w:t>
      </w:r>
    </w:p>
    <w:p w14:paraId="62DF423A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29FC9565" w14:textId="24582C39" w:rsidR="000E098D" w:rsidRPr="00FA58AB" w:rsidRDefault="00DF206F" w:rsidP="00E47067">
      <w:pPr>
        <w:spacing w:line="240" w:lineRule="auto"/>
        <w:rPr>
          <w:iCs/>
          <w:lang w:val="hu-HU"/>
        </w:rPr>
      </w:pPr>
      <w:r w:rsidRPr="00A07A6E">
        <w:rPr>
          <w:iCs/>
          <w:lang w:val="hu-HU"/>
        </w:rPr>
        <w:t>A SERAPHIN vizsgálatban a</w:t>
      </w:r>
      <w:r w:rsidR="000E098D" w:rsidRPr="00FA58AB">
        <w:rPr>
          <w:iCs/>
          <w:lang w:val="hu-HU"/>
        </w:rPr>
        <w:t xml:space="preserve"> leggyakrabban jelentett mellékhatás a nasopharyngitis (14%), a fejfájás (13,6%) és az an</w:t>
      </w:r>
      <w:r w:rsidR="007E3B34">
        <w:rPr>
          <w:iCs/>
          <w:lang w:val="hu-HU"/>
        </w:rPr>
        <w:t>ae</w:t>
      </w:r>
      <w:r w:rsidR="000E098D" w:rsidRPr="00FA58AB">
        <w:rPr>
          <w:iCs/>
          <w:lang w:val="hu-HU"/>
        </w:rPr>
        <w:t>mia (13,2%, lásd 4.4 pont)</w:t>
      </w:r>
      <w:r w:rsidR="00B501B1">
        <w:rPr>
          <w:iCs/>
          <w:lang w:val="hu-HU"/>
        </w:rPr>
        <w:t xml:space="preserve"> volt</w:t>
      </w:r>
      <w:r w:rsidR="000E098D" w:rsidRPr="00FA58AB">
        <w:rPr>
          <w:iCs/>
          <w:lang w:val="hu-HU"/>
        </w:rPr>
        <w:t>.</w:t>
      </w:r>
    </w:p>
    <w:p w14:paraId="59FC13DD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692ECC3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A mellékhatások táblázatos felsorolása</w:t>
      </w:r>
    </w:p>
    <w:p w14:paraId="3D91C8C3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1CCFA51A" w14:textId="1C2E248A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>A macitentán biztonságosságát egy hosszú távú, placebokontrollos klinikai vizsgálat során 742, PAH</w:t>
      </w:r>
      <w:r w:rsidRPr="00FA58AB">
        <w:rPr>
          <w:iCs/>
          <w:lang w:val="hu-HU"/>
        </w:rPr>
        <w:noBreakHyphen/>
        <w:t xml:space="preserve">ban szenvedő és tüneteket mutató </w:t>
      </w:r>
      <w:r w:rsidR="00DF206F" w:rsidRPr="00A07A6E">
        <w:rPr>
          <w:iCs/>
          <w:lang w:val="hu-HU"/>
        </w:rPr>
        <w:t xml:space="preserve">felnőtt és serdülő </w:t>
      </w:r>
      <w:r w:rsidRPr="00FA58AB">
        <w:rPr>
          <w:iCs/>
          <w:lang w:val="hu-HU"/>
        </w:rPr>
        <w:t>betegnél vizsgálták (SERAPHIN vizsgálat). A kezelés átlagos időtartama 103,9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hét volt a 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mg macitentánnal kezelt csoport és 85,3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hét volt a placebocsoport esetében. A klinikai vizsgálat során azonosított, macitentánnal kapcsolatos mellékhatások felsorolását az alábbi táblázat tartalmazza. A táblázatban a forgalomba hozatalt követően azonosított mellékhatások is szerepelnek.</w:t>
      </w:r>
    </w:p>
    <w:p w14:paraId="64FD9C20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705B74FA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>A gyakorisági kategóriák meghatározása: nagyon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1/10);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1/10); nem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1/100); ritka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000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1/1000); nagyon ritka (&lt;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000); nem ismert (a rendelkezésre álló adatokból a gyakoriság nem állapítható meg).</w:t>
      </w:r>
    </w:p>
    <w:p w14:paraId="7FA39699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1792"/>
        <w:gridCol w:w="3021"/>
      </w:tblGrid>
      <w:tr w:rsidR="000E098D" w:rsidRPr="00B501B1" w14:paraId="033A0FB8" w14:textId="77777777" w:rsidTr="002771CC">
        <w:tc>
          <w:tcPr>
            <w:tcW w:w="4248" w:type="dxa"/>
            <w:vAlign w:val="center"/>
          </w:tcPr>
          <w:p w14:paraId="41D56E7B" w14:textId="77777777" w:rsidR="000E098D" w:rsidRPr="00A51AC5" w:rsidRDefault="000E098D" w:rsidP="00E47067">
            <w:pPr>
              <w:spacing w:line="240" w:lineRule="auto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b/>
                <w:bCs/>
                <w:iCs/>
                <w:szCs w:val="22"/>
                <w:lang w:val="hu-HU"/>
              </w:rPr>
              <w:t>Szervrendszeri kategória</w:t>
            </w:r>
          </w:p>
        </w:tc>
        <w:tc>
          <w:tcPr>
            <w:tcW w:w="1792" w:type="dxa"/>
            <w:vAlign w:val="center"/>
          </w:tcPr>
          <w:p w14:paraId="33FC4B1D" w14:textId="77777777" w:rsidR="000E098D" w:rsidRPr="00A51AC5" w:rsidRDefault="000E098D" w:rsidP="00E47067">
            <w:pPr>
              <w:spacing w:line="240" w:lineRule="auto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b/>
                <w:bCs/>
                <w:iCs/>
                <w:szCs w:val="22"/>
                <w:lang w:val="hu-HU"/>
              </w:rPr>
              <w:t>Gyakoriság</w:t>
            </w:r>
          </w:p>
        </w:tc>
        <w:tc>
          <w:tcPr>
            <w:tcW w:w="3021" w:type="dxa"/>
            <w:vAlign w:val="center"/>
          </w:tcPr>
          <w:p w14:paraId="70DA569F" w14:textId="77777777" w:rsidR="000E098D" w:rsidRPr="00A51AC5" w:rsidRDefault="000E098D" w:rsidP="00E47067">
            <w:pPr>
              <w:spacing w:line="240" w:lineRule="auto"/>
              <w:rPr>
                <w:b/>
                <w:bCs/>
                <w:iCs/>
                <w:sz w:val="22"/>
                <w:szCs w:val="22"/>
                <w:lang w:val="hu-HU"/>
              </w:rPr>
            </w:pPr>
            <w:r w:rsidRPr="00A51AC5">
              <w:rPr>
                <w:b/>
                <w:bCs/>
                <w:iCs/>
                <w:szCs w:val="22"/>
                <w:lang w:val="hu-HU"/>
              </w:rPr>
              <w:t>Mellékhatás</w:t>
            </w:r>
          </w:p>
        </w:tc>
      </w:tr>
      <w:tr w:rsidR="002F60E9" w:rsidRPr="00B501B1" w14:paraId="423CE5C8" w14:textId="77777777" w:rsidTr="002437AB">
        <w:tc>
          <w:tcPr>
            <w:tcW w:w="4248" w:type="dxa"/>
            <w:vMerge w:val="restart"/>
            <w:vAlign w:val="center"/>
          </w:tcPr>
          <w:p w14:paraId="6579C65B" w14:textId="77777777" w:rsidR="002F60E9" w:rsidRPr="00A51AC5" w:rsidRDefault="002F60E9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792" w:type="dxa"/>
            <w:vAlign w:val="center"/>
          </w:tcPr>
          <w:p w14:paraId="0BBB79F7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242A83C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Nasopharyngitis</w:t>
            </w:r>
          </w:p>
        </w:tc>
      </w:tr>
      <w:tr w:rsidR="002F60E9" w:rsidRPr="00B501B1" w14:paraId="5F667407" w14:textId="77777777" w:rsidTr="002771CC">
        <w:tc>
          <w:tcPr>
            <w:tcW w:w="4248" w:type="dxa"/>
            <w:vMerge/>
            <w:vAlign w:val="center"/>
          </w:tcPr>
          <w:p w14:paraId="3547F748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4E665E4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5DFA269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Bronchitis</w:t>
            </w:r>
          </w:p>
        </w:tc>
      </w:tr>
      <w:tr w:rsidR="002F60E9" w:rsidRPr="00B501B1" w14:paraId="3D746D3B" w14:textId="77777777" w:rsidTr="002771CC">
        <w:tc>
          <w:tcPr>
            <w:tcW w:w="4248" w:type="dxa"/>
            <w:vMerge/>
            <w:vAlign w:val="center"/>
          </w:tcPr>
          <w:p w14:paraId="787E213B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19CDDBD5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977368D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Pharyngitis</w:t>
            </w:r>
          </w:p>
        </w:tc>
      </w:tr>
      <w:tr w:rsidR="002F60E9" w:rsidRPr="00B501B1" w14:paraId="3A8E8DE6" w14:textId="77777777" w:rsidTr="002771CC">
        <w:tc>
          <w:tcPr>
            <w:tcW w:w="4248" w:type="dxa"/>
            <w:vMerge/>
            <w:vAlign w:val="center"/>
          </w:tcPr>
          <w:p w14:paraId="368F3824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F699066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7FD5724A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Influenza</w:t>
            </w:r>
          </w:p>
        </w:tc>
      </w:tr>
      <w:tr w:rsidR="002F60E9" w:rsidRPr="00B501B1" w14:paraId="7664083C" w14:textId="77777777" w:rsidTr="002771CC">
        <w:tc>
          <w:tcPr>
            <w:tcW w:w="4248" w:type="dxa"/>
            <w:vMerge/>
            <w:vAlign w:val="center"/>
          </w:tcPr>
          <w:p w14:paraId="09E684B4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6B7DA031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4D77577C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Húgyúti fertőzés</w:t>
            </w:r>
          </w:p>
        </w:tc>
      </w:tr>
      <w:tr w:rsidR="002F60E9" w:rsidRPr="00B501B1" w14:paraId="6C0B13D9" w14:textId="77777777" w:rsidTr="002437AB">
        <w:tc>
          <w:tcPr>
            <w:tcW w:w="4248" w:type="dxa"/>
            <w:vMerge w:val="restart"/>
            <w:vAlign w:val="center"/>
          </w:tcPr>
          <w:p w14:paraId="769CDDFB" w14:textId="77777777" w:rsidR="002F60E9" w:rsidRPr="00A51AC5" w:rsidRDefault="002F60E9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792" w:type="dxa"/>
            <w:vAlign w:val="center"/>
          </w:tcPr>
          <w:p w14:paraId="7AFCCD82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4F64E0A6" w14:textId="65D694B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Anaemia, hemoglobinszint csökkenése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5</w:t>
            </w:r>
          </w:p>
        </w:tc>
      </w:tr>
      <w:tr w:rsidR="002F60E9" w:rsidRPr="00B501B1" w14:paraId="4BCFC08D" w14:textId="77777777" w:rsidTr="002771CC">
        <w:tc>
          <w:tcPr>
            <w:tcW w:w="4248" w:type="dxa"/>
            <w:vMerge/>
            <w:vAlign w:val="center"/>
          </w:tcPr>
          <w:p w14:paraId="000559FB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6859A642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524C1508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Leukopenia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6</w:t>
            </w:r>
          </w:p>
        </w:tc>
      </w:tr>
      <w:tr w:rsidR="002F60E9" w:rsidRPr="00B501B1" w14:paraId="12DC2A41" w14:textId="77777777" w:rsidTr="002771CC">
        <w:tc>
          <w:tcPr>
            <w:tcW w:w="4248" w:type="dxa"/>
            <w:vMerge/>
            <w:vAlign w:val="center"/>
          </w:tcPr>
          <w:p w14:paraId="7C1AC998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AB4CD66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75387B39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Thrombocytopenia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7</w:t>
            </w:r>
          </w:p>
        </w:tc>
      </w:tr>
      <w:tr w:rsidR="000E098D" w:rsidRPr="00296CF6" w14:paraId="48552148" w14:textId="77777777" w:rsidTr="002771CC">
        <w:tc>
          <w:tcPr>
            <w:tcW w:w="4248" w:type="dxa"/>
            <w:vAlign w:val="center"/>
          </w:tcPr>
          <w:p w14:paraId="234DAC7F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Immunrendszeri betegségek és tünetek</w:t>
            </w:r>
          </w:p>
        </w:tc>
        <w:tc>
          <w:tcPr>
            <w:tcW w:w="1792" w:type="dxa"/>
            <w:vAlign w:val="center"/>
          </w:tcPr>
          <w:p w14:paraId="75DF5668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Nem gyakori</w:t>
            </w:r>
          </w:p>
        </w:tc>
        <w:tc>
          <w:tcPr>
            <w:tcW w:w="3021" w:type="dxa"/>
            <w:vAlign w:val="center"/>
          </w:tcPr>
          <w:p w14:paraId="1402BE8F" w14:textId="22C15131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Túlérzékenységi reakciók (például angio</w:t>
            </w:r>
            <w:r w:rsidR="00FC6A93" w:rsidRPr="00A51AC5">
              <w:rPr>
                <w:iCs/>
                <w:szCs w:val="22"/>
                <w:lang w:val="hu-HU"/>
              </w:rPr>
              <w:t>oe</w:t>
            </w:r>
            <w:r w:rsidRPr="00A51AC5">
              <w:rPr>
                <w:iCs/>
                <w:szCs w:val="22"/>
                <w:lang w:val="hu-HU"/>
              </w:rPr>
              <w:t>d</w:t>
            </w:r>
            <w:r w:rsidR="00FC6A93" w:rsidRPr="00A51AC5">
              <w:rPr>
                <w:iCs/>
                <w:szCs w:val="22"/>
                <w:lang w:val="hu-HU"/>
              </w:rPr>
              <w:t>e</w:t>
            </w:r>
            <w:r w:rsidRPr="00A51AC5">
              <w:rPr>
                <w:iCs/>
                <w:szCs w:val="22"/>
                <w:lang w:val="hu-HU"/>
              </w:rPr>
              <w:t>ma, pruritus, kiütés)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1</w:t>
            </w:r>
          </w:p>
        </w:tc>
      </w:tr>
      <w:tr w:rsidR="000E098D" w:rsidRPr="00B501B1" w14:paraId="2D515D6E" w14:textId="77777777" w:rsidTr="002771CC">
        <w:tc>
          <w:tcPr>
            <w:tcW w:w="4248" w:type="dxa"/>
            <w:vAlign w:val="center"/>
          </w:tcPr>
          <w:p w14:paraId="04EA9CE1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Idegrendszeri betegségek és tünetek</w:t>
            </w:r>
          </w:p>
        </w:tc>
        <w:tc>
          <w:tcPr>
            <w:tcW w:w="1792" w:type="dxa"/>
            <w:vAlign w:val="center"/>
          </w:tcPr>
          <w:p w14:paraId="37910F6C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5309781A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Fejfájás</w:t>
            </w:r>
          </w:p>
        </w:tc>
      </w:tr>
      <w:tr w:rsidR="000E098D" w:rsidRPr="00B501B1" w14:paraId="5EFFEC8D" w14:textId="77777777" w:rsidTr="002771CC">
        <w:tc>
          <w:tcPr>
            <w:tcW w:w="4248" w:type="dxa"/>
            <w:vAlign w:val="center"/>
          </w:tcPr>
          <w:p w14:paraId="257A1297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Érbetegségek és tünetek</w:t>
            </w:r>
          </w:p>
        </w:tc>
        <w:tc>
          <w:tcPr>
            <w:tcW w:w="1792" w:type="dxa"/>
            <w:vAlign w:val="center"/>
          </w:tcPr>
          <w:p w14:paraId="5727E539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3091A8A7" w14:textId="6990ED9F" w:rsidR="000E098D" w:rsidRPr="00A51AC5" w:rsidRDefault="000E098D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H</w:t>
            </w:r>
            <w:r w:rsidR="00690E27" w:rsidRPr="00A51AC5">
              <w:rPr>
                <w:iCs/>
                <w:szCs w:val="22"/>
                <w:lang w:val="hu-HU"/>
              </w:rPr>
              <w:t>y</w:t>
            </w:r>
            <w:r w:rsidRPr="00A51AC5">
              <w:rPr>
                <w:iCs/>
                <w:szCs w:val="22"/>
                <w:lang w:val="hu-HU"/>
              </w:rPr>
              <w:t>pot</w:t>
            </w:r>
            <w:r w:rsidR="002F60E9" w:rsidRPr="00A51AC5">
              <w:rPr>
                <w:iCs/>
                <w:sz w:val="22"/>
                <w:szCs w:val="22"/>
                <w:lang w:val="hu-HU"/>
              </w:rPr>
              <w:t>e</w:t>
            </w:r>
            <w:r w:rsidRPr="00A51AC5">
              <w:rPr>
                <w:iCs/>
                <w:szCs w:val="22"/>
                <w:lang w:val="hu-HU"/>
              </w:rPr>
              <w:t>n</w:t>
            </w:r>
            <w:r w:rsidR="002F60E9" w:rsidRPr="00A51AC5">
              <w:rPr>
                <w:iCs/>
                <w:sz w:val="22"/>
                <w:szCs w:val="22"/>
                <w:lang w:val="hu-HU"/>
              </w:rPr>
              <w:t>s</w:t>
            </w:r>
            <w:r w:rsidRPr="00A51AC5">
              <w:rPr>
                <w:iCs/>
                <w:szCs w:val="22"/>
                <w:lang w:val="hu-HU"/>
              </w:rPr>
              <w:t>i</w:t>
            </w:r>
            <w:r w:rsidR="002F60E9" w:rsidRPr="00A51AC5">
              <w:rPr>
                <w:iCs/>
                <w:sz w:val="22"/>
                <w:szCs w:val="22"/>
                <w:lang w:val="hu-HU"/>
              </w:rPr>
              <w:t>o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2</w:t>
            </w:r>
            <w:r w:rsidRPr="00A51AC5">
              <w:rPr>
                <w:iCs/>
                <w:szCs w:val="22"/>
                <w:lang w:val="hu-HU"/>
              </w:rPr>
              <w:t>, kipirulás</w:t>
            </w:r>
          </w:p>
        </w:tc>
      </w:tr>
      <w:tr w:rsidR="000E098D" w:rsidRPr="00B501B1" w14:paraId="0CFADCC3" w14:textId="77777777" w:rsidTr="002771CC">
        <w:tc>
          <w:tcPr>
            <w:tcW w:w="4248" w:type="dxa"/>
            <w:vAlign w:val="center"/>
          </w:tcPr>
          <w:p w14:paraId="1B22CDEB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1792" w:type="dxa"/>
            <w:vAlign w:val="center"/>
          </w:tcPr>
          <w:p w14:paraId="21426B0B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C114118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Orrdugulás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1</w:t>
            </w:r>
          </w:p>
        </w:tc>
      </w:tr>
      <w:tr w:rsidR="000E098D" w:rsidRPr="00B501B1" w14:paraId="4FF42744" w14:textId="77777777" w:rsidTr="002771CC">
        <w:tc>
          <w:tcPr>
            <w:tcW w:w="4248" w:type="dxa"/>
            <w:vAlign w:val="center"/>
          </w:tcPr>
          <w:p w14:paraId="0EF3CA4F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Máj- és epebetegségek és tünetek</w:t>
            </w:r>
          </w:p>
        </w:tc>
        <w:tc>
          <w:tcPr>
            <w:tcW w:w="1792" w:type="dxa"/>
            <w:vAlign w:val="center"/>
          </w:tcPr>
          <w:p w14:paraId="39A4E548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5FCD7EC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Emelkedett transzamináz-szintek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4</w:t>
            </w:r>
          </w:p>
        </w:tc>
      </w:tr>
      <w:tr w:rsidR="00DF206F" w:rsidRPr="00B501B1" w14:paraId="196C034A" w14:textId="77777777" w:rsidTr="002771CC">
        <w:tc>
          <w:tcPr>
            <w:tcW w:w="4248" w:type="dxa"/>
            <w:vAlign w:val="center"/>
          </w:tcPr>
          <w:p w14:paraId="372D2B14" w14:textId="4F8C6660" w:rsidR="00DF206F" w:rsidRPr="00A51AC5" w:rsidRDefault="00DF206F" w:rsidP="00DF206F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792" w:type="dxa"/>
            <w:vAlign w:val="center"/>
          </w:tcPr>
          <w:p w14:paraId="5ADA6E5D" w14:textId="2034150F" w:rsidR="00DF206F" w:rsidRPr="00A51AC5" w:rsidRDefault="00DF206F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8C8C64C" w14:textId="6162C178" w:rsidR="00DF206F" w:rsidRPr="00A51AC5" w:rsidRDefault="00DF206F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A51AC5">
              <w:rPr>
                <w:iCs/>
                <w:szCs w:val="22"/>
                <w:lang w:val="en-US"/>
              </w:rPr>
              <w:t>Fokozott</w:t>
            </w:r>
            <w:proofErr w:type="spellEnd"/>
            <w:r w:rsidRPr="00A51AC5">
              <w:rPr>
                <w:iCs/>
                <w:szCs w:val="22"/>
                <w:lang w:val="en-US"/>
              </w:rPr>
              <w:t xml:space="preserve"> uterus vérzés</w:t>
            </w:r>
            <w:r w:rsidRPr="00A51AC5">
              <w:rPr>
                <w:iCs/>
                <w:szCs w:val="22"/>
                <w:vertAlign w:val="superscript"/>
                <w:lang w:val="en-US"/>
              </w:rPr>
              <w:t>8</w:t>
            </w:r>
          </w:p>
        </w:tc>
      </w:tr>
      <w:tr w:rsidR="000E098D" w:rsidRPr="00B501B1" w14:paraId="69FC9277" w14:textId="77777777" w:rsidTr="002771CC">
        <w:tc>
          <w:tcPr>
            <w:tcW w:w="4248" w:type="dxa"/>
            <w:vAlign w:val="center"/>
          </w:tcPr>
          <w:p w14:paraId="4B3D0AEA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lastRenderedPageBreak/>
              <w:t>Általános tünetek, az alkalmazás helyén fellépő reakciók</w:t>
            </w:r>
          </w:p>
        </w:tc>
        <w:tc>
          <w:tcPr>
            <w:tcW w:w="1792" w:type="dxa"/>
            <w:vAlign w:val="center"/>
          </w:tcPr>
          <w:p w14:paraId="7FD8831A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02A8351" w14:textId="77BD4C60" w:rsidR="000E098D" w:rsidRPr="00A51AC5" w:rsidRDefault="00FC6A93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Oe</w:t>
            </w:r>
            <w:r w:rsidR="000E098D" w:rsidRPr="00A51AC5">
              <w:rPr>
                <w:iCs/>
                <w:szCs w:val="22"/>
                <w:lang w:val="hu-HU"/>
              </w:rPr>
              <w:t>d</w:t>
            </w:r>
            <w:r w:rsidRPr="00A51AC5">
              <w:rPr>
                <w:iCs/>
                <w:szCs w:val="22"/>
                <w:lang w:val="hu-HU"/>
              </w:rPr>
              <w:t>e</w:t>
            </w:r>
            <w:r w:rsidR="000E098D" w:rsidRPr="00A51AC5">
              <w:rPr>
                <w:iCs/>
                <w:szCs w:val="22"/>
                <w:lang w:val="hu-HU"/>
              </w:rPr>
              <w:t>ma, folyadékretenció</w:t>
            </w:r>
            <w:r w:rsidR="000E098D" w:rsidRPr="00A51AC5">
              <w:rPr>
                <w:iCs/>
                <w:szCs w:val="22"/>
                <w:vertAlign w:val="superscript"/>
                <w:lang w:val="hu-HU"/>
              </w:rPr>
              <w:t>3</w:t>
            </w:r>
          </w:p>
        </w:tc>
      </w:tr>
    </w:tbl>
    <w:p w14:paraId="198BC97B" w14:textId="77777777" w:rsidR="000E098D" w:rsidRPr="00FA58AB" w:rsidRDefault="000E098D" w:rsidP="00E47067">
      <w:pPr>
        <w:tabs>
          <w:tab w:val="left" w:pos="284"/>
        </w:tabs>
        <w:spacing w:line="240" w:lineRule="auto"/>
        <w:rPr>
          <w:iCs/>
          <w:sz w:val="20"/>
          <w:lang w:val="hu-HU"/>
        </w:rPr>
      </w:pPr>
      <w:r w:rsidRPr="00FA58AB">
        <w:rPr>
          <w:iCs/>
          <w:sz w:val="20"/>
          <w:vertAlign w:val="superscript"/>
          <w:lang w:val="hu-HU"/>
        </w:rPr>
        <w:t>1</w:t>
      </w:r>
      <w:r w:rsidRPr="00FA58AB">
        <w:rPr>
          <w:iCs/>
          <w:sz w:val="20"/>
          <w:lang w:val="hu-HU"/>
        </w:rPr>
        <w:t xml:space="preserve"> </w:t>
      </w:r>
      <w:r w:rsidRPr="00FA58AB">
        <w:rPr>
          <w:iCs/>
          <w:sz w:val="20"/>
          <w:vertAlign w:val="superscript"/>
          <w:lang w:val="hu-HU"/>
        </w:rPr>
        <w:tab/>
      </w:r>
      <w:r w:rsidRPr="00FA58AB">
        <w:rPr>
          <w:iCs/>
          <w:sz w:val="20"/>
          <w:lang w:val="hu-HU"/>
        </w:rPr>
        <w:t>Összesített, placebokontrollos vizsgálatokból származó adatok.</w:t>
      </w:r>
    </w:p>
    <w:p w14:paraId="50D5BC10" w14:textId="26D1CB78" w:rsidR="000E098D" w:rsidRDefault="0012449C" w:rsidP="0012449C">
      <w:pPr>
        <w:tabs>
          <w:tab w:val="left" w:pos="284"/>
        </w:tabs>
        <w:spacing w:line="240" w:lineRule="auto"/>
        <w:rPr>
          <w:iCs/>
          <w:sz w:val="20"/>
          <w:lang w:val="hu-HU"/>
        </w:rPr>
      </w:pPr>
      <w:r w:rsidRPr="0012449C">
        <w:rPr>
          <w:iCs/>
          <w:vertAlign w:val="superscript"/>
          <w:lang w:val="hu-HU"/>
        </w:rPr>
        <w:t>8</w:t>
      </w:r>
      <w:r>
        <w:rPr>
          <w:iCs/>
          <w:vertAlign w:val="superscript"/>
          <w:lang w:val="hu-HU"/>
        </w:rPr>
        <w:t xml:space="preserve"> </w:t>
      </w:r>
      <w:r w:rsidRPr="00FA58AB">
        <w:rPr>
          <w:iCs/>
          <w:sz w:val="20"/>
          <w:vertAlign w:val="superscript"/>
          <w:lang w:val="hu-HU"/>
        </w:rPr>
        <w:tab/>
      </w:r>
      <w:r w:rsidRPr="0012449C">
        <w:rPr>
          <w:iCs/>
          <w:sz w:val="20"/>
          <w:lang w:val="hu-HU"/>
        </w:rPr>
        <w:t>Beleértve a következő preferált kifejezéseket is: erős menstruációs vérzés, kóros uterus vérzés, menstruációk közötti vérzés, uterus/vaginalis vérzés, polymennorhoea és szabálytalan menstruáció. A gyakoriság a nőknél történt expozíción alapul.</w:t>
      </w:r>
    </w:p>
    <w:p w14:paraId="58F115BD" w14:textId="77777777" w:rsidR="0012449C" w:rsidRPr="00FA58AB" w:rsidRDefault="0012449C" w:rsidP="0012449C">
      <w:pPr>
        <w:tabs>
          <w:tab w:val="left" w:pos="284"/>
        </w:tabs>
        <w:spacing w:line="240" w:lineRule="auto"/>
        <w:rPr>
          <w:iCs/>
          <w:lang w:val="hu-HU"/>
        </w:rPr>
      </w:pPr>
    </w:p>
    <w:p w14:paraId="329C855C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Kiválasztott mellékhatások leírása</w:t>
      </w:r>
    </w:p>
    <w:p w14:paraId="21792392" w14:textId="77777777" w:rsidR="001E0F67" w:rsidRPr="00FA58AB" w:rsidRDefault="001E0F67" w:rsidP="00E47067">
      <w:pPr>
        <w:spacing w:line="240" w:lineRule="auto"/>
        <w:rPr>
          <w:iCs/>
          <w:u w:val="single"/>
          <w:lang w:val="hu-HU"/>
        </w:rPr>
      </w:pPr>
    </w:p>
    <w:p w14:paraId="39B4E234" w14:textId="570ECBAC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2</w:t>
      </w:r>
      <w:r w:rsidRPr="00FA58AB">
        <w:rPr>
          <w:iCs/>
          <w:lang w:val="hu-HU"/>
        </w:rPr>
        <w:t>A h</w:t>
      </w:r>
      <w:r w:rsidR="00690E27">
        <w:rPr>
          <w:iCs/>
          <w:lang w:val="hu-HU"/>
        </w:rPr>
        <w:t>y</w:t>
      </w:r>
      <w:r w:rsidRPr="00FA58AB">
        <w:rPr>
          <w:iCs/>
          <w:lang w:val="hu-HU"/>
        </w:rPr>
        <w:t>pot</w:t>
      </w:r>
      <w:r w:rsidR="002F60E9">
        <w:rPr>
          <w:iCs/>
          <w:lang w:val="hu-HU"/>
        </w:rPr>
        <w:t>e</w:t>
      </w:r>
      <w:r w:rsidRPr="00FA58AB">
        <w:rPr>
          <w:iCs/>
          <w:lang w:val="hu-HU"/>
        </w:rPr>
        <w:t>n</w:t>
      </w:r>
      <w:r w:rsidR="002F60E9">
        <w:rPr>
          <w:iCs/>
          <w:lang w:val="hu-HU"/>
        </w:rPr>
        <w:t>s</w:t>
      </w:r>
      <w:r w:rsidRPr="00FA58AB">
        <w:rPr>
          <w:iCs/>
          <w:lang w:val="hu-HU"/>
        </w:rPr>
        <w:t>i</w:t>
      </w:r>
      <w:r w:rsidR="002F60E9">
        <w:rPr>
          <w:iCs/>
          <w:lang w:val="hu-HU"/>
        </w:rPr>
        <w:t>ó</w:t>
      </w:r>
      <w:r w:rsidRPr="00FA58AB">
        <w:rPr>
          <w:iCs/>
          <w:lang w:val="hu-HU"/>
        </w:rPr>
        <w:t xml:space="preserve">t </w:t>
      </w:r>
      <w:r w:rsidR="004067FC" w:rsidRPr="00FA58AB">
        <w:rPr>
          <w:iCs/>
          <w:lang w:val="hu-HU"/>
        </w:rPr>
        <w:t xml:space="preserve">összefüggésbe hozták </w:t>
      </w:r>
      <w:r w:rsidRPr="00FA58AB">
        <w:rPr>
          <w:iCs/>
          <w:lang w:val="hu-HU"/>
        </w:rPr>
        <w:t xml:space="preserve">az ERA-k, köztük a macitentán alkalmazásával. </w:t>
      </w:r>
      <w:r w:rsidR="00897536">
        <w:rPr>
          <w:iCs/>
          <w:lang w:val="hu-HU"/>
        </w:rPr>
        <w:t xml:space="preserve">A </w:t>
      </w:r>
      <w:r w:rsidR="00897536" w:rsidRPr="00A07A6E">
        <w:rPr>
          <w:iCs/>
          <w:lang w:val="hu-HU"/>
        </w:rPr>
        <w:t>SERAPHIN</w:t>
      </w:r>
      <w:r w:rsidR="002F60E9" w:rsidRPr="00A07A6E">
        <w:rPr>
          <w:iCs/>
          <w:lang w:val="hu-HU"/>
        </w:rPr>
        <w:t xml:space="preserve"> vizsgálat</w:t>
      </w:r>
      <w:r w:rsidR="00897536" w:rsidRPr="00A07A6E">
        <w:rPr>
          <w:iCs/>
          <w:lang w:val="hu-HU"/>
        </w:rPr>
        <w:t>ban, e</w:t>
      </w:r>
      <w:r w:rsidRPr="00FA58AB">
        <w:rPr>
          <w:iCs/>
          <w:lang w:val="hu-HU"/>
        </w:rPr>
        <w:t>gy PAH-ban szenvedő betegek</w:t>
      </w:r>
      <w:r w:rsidR="0001018D" w:rsidRPr="00FA58AB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 hosszú távú, kettős vak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 macitentánnal kezelt betegek 7,0%-a, míg a placebót kapó betegek 4,4%-a számolt be h</w:t>
      </w:r>
      <w:r w:rsidR="007E3B34">
        <w:rPr>
          <w:iCs/>
          <w:lang w:val="hu-HU"/>
        </w:rPr>
        <w:t>y</w:t>
      </w:r>
      <w:r w:rsidRPr="00FA58AB">
        <w:rPr>
          <w:iCs/>
          <w:lang w:val="hu-HU"/>
        </w:rPr>
        <w:t>pot</w:t>
      </w:r>
      <w:r w:rsidR="00281E66">
        <w:rPr>
          <w:iCs/>
          <w:lang w:val="hu-HU"/>
        </w:rPr>
        <w:t>e</w:t>
      </w:r>
      <w:r w:rsidRPr="00FA58AB">
        <w:rPr>
          <w:iCs/>
          <w:lang w:val="hu-HU"/>
        </w:rPr>
        <w:t>n</w:t>
      </w:r>
      <w:r w:rsidR="00281E66">
        <w:rPr>
          <w:iCs/>
          <w:lang w:val="hu-HU"/>
        </w:rPr>
        <w:t>s</w:t>
      </w:r>
      <w:r w:rsidRPr="00FA58AB">
        <w:rPr>
          <w:iCs/>
          <w:lang w:val="hu-HU"/>
        </w:rPr>
        <w:t>i</w:t>
      </w:r>
      <w:r w:rsidR="00281E66">
        <w:rPr>
          <w:iCs/>
          <w:lang w:val="hu-HU"/>
        </w:rPr>
        <w:t>ó</w:t>
      </w:r>
      <w:r w:rsidRPr="00FA58AB">
        <w:rPr>
          <w:iCs/>
          <w:lang w:val="hu-HU"/>
        </w:rPr>
        <w:t>ról. Ez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</w:t>
      </w:r>
      <w:r w:rsidR="00281E66">
        <w:rPr>
          <w:iCs/>
          <w:lang w:val="hu-HU"/>
        </w:rPr>
        <w:t>-os</w:t>
      </w:r>
      <w:r w:rsidRPr="00FA58AB">
        <w:rPr>
          <w:iCs/>
          <w:lang w:val="hu-HU"/>
        </w:rPr>
        <w:t xml:space="preserve"> dózisú macitentán-kezelés esetében 3,5 esemény/100 betegévnek, míg a placebo esetében 2,7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esemény/100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betegévnek felel meg.</w:t>
      </w:r>
    </w:p>
    <w:p w14:paraId="6B56BF2D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79F11CD4" w14:textId="1E2C46CE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3</w:t>
      </w:r>
      <w:r w:rsidRPr="00FA58AB">
        <w:rPr>
          <w:iCs/>
          <w:lang w:val="hu-HU"/>
        </w:rPr>
        <w:t xml:space="preserve">Az </w:t>
      </w:r>
      <w:r w:rsidR="0072780D">
        <w:rPr>
          <w:iCs/>
          <w:lang w:val="hu-HU"/>
        </w:rPr>
        <w:t>oedemát</w:t>
      </w:r>
      <w:r w:rsidRPr="00FA58AB">
        <w:rPr>
          <w:iCs/>
          <w:lang w:val="hu-HU"/>
        </w:rPr>
        <w:t xml:space="preserve">/folyadékretenciót </w:t>
      </w:r>
      <w:r w:rsidR="006B4A03" w:rsidRPr="00FA58AB">
        <w:rPr>
          <w:iCs/>
          <w:lang w:val="hu-HU"/>
        </w:rPr>
        <w:t xml:space="preserve">összefüggésbe hozták </w:t>
      </w:r>
      <w:r w:rsidRPr="00FA58AB">
        <w:rPr>
          <w:iCs/>
          <w:lang w:val="hu-HU"/>
        </w:rPr>
        <w:t xml:space="preserve">az ERA-k, köztük a macitentán alkalmazásával. </w:t>
      </w:r>
      <w:r w:rsidR="00897536">
        <w:rPr>
          <w:iCs/>
          <w:lang w:val="hu-HU"/>
        </w:rPr>
        <w:t xml:space="preserve">A </w:t>
      </w:r>
      <w:r w:rsidR="00897536"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="00897536" w:rsidRPr="00A07A6E">
        <w:rPr>
          <w:iCs/>
          <w:lang w:val="hu-HU"/>
        </w:rPr>
        <w:t>ban, e</w:t>
      </w:r>
      <w:r w:rsidRPr="00FA58AB">
        <w:rPr>
          <w:iCs/>
          <w:lang w:val="hu-HU"/>
        </w:rPr>
        <w:t>gy</w:t>
      </w:r>
      <w:r w:rsidR="00897536">
        <w:rPr>
          <w:iCs/>
          <w:lang w:val="hu-HU"/>
        </w:rPr>
        <w:t xml:space="preserve"> </w:t>
      </w:r>
      <w:r w:rsidRPr="00FA58AB">
        <w:rPr>
          <w:iCs/>
          <w:lang w:val="hu-HU"/>
        </w:rPr>
        <w:t>PAH-ban szenvedő betegek</w:t>
      </w:r>
      <w:r w:rsidR="008A2073" w:rsidRPr="00FA58AB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végzett, hosszú távú, kettős vak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macitentánnal kezelt betegeknél 21,9%-nál, míg a placebo esetében 20,5%-nál jelentkezett mellékhatásként </w:t>
      </w:r>
      <w:r w:rsidR="0072780D">
        <w:rPr>
          <w:iCs/>
          <w:lang w:val="hu-HU"/>
        </w:rPr>
        <w:t>oedema</w:t>
      </w:r>
      <w:r w:rsidRPr="00FA58AB">
        <w:rPr>
          <w:iCs/>
          <w:lang w:val="hu-HU"/>
        </w:rPr>
        <w:t>. Egy</w:t>
      </w:r>
      <w:r w:rsidR="008A2073" w:rsidRPr="00FA58AB">
        <w:rPr>
          <w:iCs/>
          <w:lang w:val="hu-HU"/>
        </w:rPr>
        <w:t>,</w:t>
      </w:r>
      <w:r w:rsidRPr="00FA58AB">
        <w:rPr>
          <w:iCs/>
          <w:lang w:val="hu-HU"/>
        </w:rPr>
        <w:t xml:space="preserve"> idiop</w:t>
      </w:r>
      <w:r w:rsidR="0072780D">
        <w:rPr>
          <w:iCs/>
          <w:lang w:val="hu-HU"/>
        </w:rPr>
        <w:t>ath</w:t>
      </w:r>
      <w:r w:rsidRPr="00FA58AB">
        <w:rPr>
          <w:iCs/>
          <w:lang w:val="hu-HU"/>
        </w:rPr>
        <w:t xml:space="preserve">iás tüdőfibrózisban szenvedő, felnőtt betegek </w:t>
      </w:r>
      <w:r w:rsidR="008A2073" w:rsidRPr="00FA58AB">
        <w:rPr>
          <w:iCs/>
          <w:lang w:val="hu-HU"/>
        </w:rPr>
        <w:t>bevonásával</w:t>
      </w:r>
      <w:r w:rsidRPr="00FA58AB">
        <w:rPr>
          <w:iCs/>
          <w:lang w:val="hu-HU"/>
        </w:rPr>
        <w:t xml:space="preserve"> végzett, kettős vak vizsgálatban </w:t>
      </w:r>
      <w:r w:rsidR="008A2073" w:rsidRPr="00FA58AB">
        <w:rPr>
          <w:iCs/>
          <w:lang w:val="hu-HU"/>
        </w:rPr>
        <w:t xml:space="preserve">perifériás </w:t>
      </w:r>
      <w:r w:rsidR="0072780D">
        <w:rPr>
          <w:iCs/>
          <w:lang w:val="hu-HU"/>
        </w:rPr>
        <w:t>oedema</w:t>
      </w:r>
      <w:r w:rsidR="008A2073" w:rsidRPr="00FA58AB">
        <w:rPr>
          <w:iCs/>
          <w:lang w:val="hu-HU"/>
        </w:rPr>
        <w:t xml:space="preserve"> </w:t>
      </w:r>
      <w:r w:rsidR="00281E66" w:rsidRPr="00FA58AB">
        <w:rPr>
          <w:iCs/>
          <w:lang w:val="hu-HU"/>
        </w:rPr>
        <w:t xml:space="preserve">mellékhatásként </w:t>
      </w:r>
      <w:r w:rsidRPr="00FA58AB">
        <w:rPr>
          <w:iCs/>
          <w:lang w:val="hu-HU"/>
        </w:rPr>
        <w:t>a macitentánnal kezelt betegeknél 11,8%-nál, míg a placebo esetében 6,8%-nál jelentkezett. K</w:t>
      </w:r>
      <w:r w:rsidR="0072780D">
        <w:rPr>
          <w:iCs/>
          <w:lang w:val="hu-HU"/>
        </w:rPr>
        <w:t>ét</w:t>
      </w:r>
      <w:r w:rsidRPr="00FA58AB">
        <w:rPr>
          <w:iCs/>
          <w:lang w:val="hu-HU"/>
        </w:rPr>
        <w:t>, szisztémás szklerózissal összefüggésbe hozható ujjfekélyes, felnőtt betegek</w:t>
      </w:r>
      <w:r w:rsidR="006B4A03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végzett, kettős vak klinikai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 macitentánnal kezelt csoportban 13,4-16,1%-nál, míg a placebocsoportban 6,2</w:t>
      </w:r>
      <w:r w:rsidRPr="00FA58AB">
        <w:rPr>
          <w:iCs/>
          <w:lang w:val="hu-HU"/>
        </w:rPr>
        <w:noBreakHyphen/>
        <w:t xml:space="preserve">4,5%-nál jelentkezett mellékhatásként a perifériás </w:t>
      </w:r>
      <w:r w:rsidR="0072780D">
        <w:rPr>
          <w:iCs/>
          <w:lang w:val="hu-HU"/>
        </w:rPr>
        <w:t>oedema</w:t>
      </w:r>
      <w:r w:rsidRPr="00FA58AB">
        <w:rPr>
          <w:iCs/>
          <w:lang w:val="hu-HU"/>
        </w:rPr>
        <w:t>.</w:t>
      </w:r>
    </w:p>
    <w:p w14:paraId="31EBD80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FCBEE8B" w14:textId="77777777" w:rsidR="000E098D" w:rsidRPr="00FA58AB" w:rsidRDefault="000E098D" w:rsidP="00E47067">
      <w:pPr>
        <w:spacing w:line="240" w:lineRule="auto"/>
        <w:rPr>
          <w:b/>
          <w:bCs/>
          <w:i/>
          <w:lang w:val="hu-HU"/>
        </w:rPr>
      </w:pPr>
      <w:r w:rsidRPr="00FA58AB">
        <w:rPr>
          <w:b/>
          <w:bCs/>
          <w:i/>
          <w:lang w:val="hu-HU"/>
        </w:rPr>
        <w:t>Kóros laboratóriumi eredmények</w:t>
      </w:r>
    </w:p>
    <w:p w14:paraId="0D8B2E74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2F81D775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vertAlign w:val="superscript"/>
          <w:lang w:val="hu-HU"/>
        </w:rPr>
        <w:t>4</w:t>
      </w:r>
      <w:r w:rsidRPr="00FA58AB">
        <w:rPr>
          <w:iCs/>
          <w:u w:val="single"/>
          <w:lang w:val="hu-HU"/>
        </w:rPr>
        <w:t>Máj transzaminázok</w:t>
      </w:r>
    </w:p>
    <w:p w14:paraId="233369A4" w14:textId="30404DB8" w:rsidR="000E098D" w:rsidRPr="00FA58AB" w:rsidRDefault="00897536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Pr="00A07A6E">
        <w:rPr>
          <w:iCs/>
          <w:lang w:val="hu-HU"/>
        </w:rPr>
        <w:t>ban, e</w:t>
      </w:r>
      <w:r w:rsidR="000E098D" w:rsidRPr="00FA58AB">
        <w:rPr>
          <w:iCs/>
          <w:lang w:val="hu-HU"/>
        </w:rPr>
        <w:t>gy kettős vak, PAH-ban szenvedő betegek</w:t>
      </w:r>
      <w:r w:rsidR="006B4A03">
        <w:rPr>
          <w:iCs/>
          <w:lang w:val="hu-HU"/>
        </w:rPr>
        <w:t>kel</w:t>
      </w:r>
      <w:r w:rsidR="000E098D" w:rsidRPr="00FA58AB">
        <w:rPr>
          <w:iCs/>
          <w:lang w:val="hu-HU"/>
        </w:rPr>
        <w:t xml:space="preserve"> végzett vizsgálatban a transzaminázok (GPT/GOT) szintjének a normálérték felső határának háromszorosánál magasabb szintre történő emelkedése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 dózisú macitentán-kezelésben részesült betegek 3,4%-ánál, míg a placebokezelésben részesült betegek 4,5%-ánál fordult elő. A normálérték felső határának ötszörösénél magasabb szint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-os</w:t>
      </w:r>
      <w:r w:rsidR="000E098D" w:rsidRPr="00FA58AB">
        <w:rPr>
          <w:iCs/>
          <w:lang w:val="hu-HU"/>
        </w:rPr>
        <w:t xml:space="preserve"> macitentán</w:t>
      </w:r>
      <w:r w:rsidR="00281E66">
        <w:rPr>
          <w:iCs/>
          <w:lang w:val="hu-HU"/>
        </w:rPr>
        <w:t>-</w:t>
      </w:r>
      <w:r w:rsidR="000E098D" w:rsidRPr="00FA58AB">
        <w:rPr>
          <w:iCs/>
          <w:lang w:val="hu-HU"/>
        </w:rPr>
        <w:t>dózissal kezelt betegek 2,5%-ánál, a placebocsoportban pedig a betegek 2%-ánál volt megfigyelhető.</w:t>
      </w:r>
    </w:p>
    <w:p w14:paraId="06686CA8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6F1D25B8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5</w:t>
      </w:r>
      <w:r w:rsidRPr="00FA58AB">
        <w:rPr>
          <w:iCs/>
          <w:u w:val="single"/>
          <w:lang w:val="hu-HU"/>
        </w:rPr>
        <w:t>Hemoglobin</w:t>
      </w:r>
    </w:p>
    <w:p w14:paraId="4C3D08FE" w14:textId="2DF260D0" w:rsidR="000E098D" w:rsidRPr="00FA58AB" w:rsidRDefault="00F82625" w:rsidP="00E47067">
      <w:pPr>
        <w:spacing w:line="240" w:lineRule="auto"/>
        <w:rPr>
          <w:iCs/>
          <w:lang w:val="hu-HU"/>
        </w:rPr>
      </w:pPr>
      <w:r w:rsidRPr="00281E66">
        <w:rPr>
          <w:iCs/>
          <w:lang w:val="hu-HU"/>
        </w:rPr>
        <w:t xml:space="preserve">A </w:t>
      </w:r>
      <w:r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Pr="00A07A6E">
        <w:rPr>
          <w:iCs/>
          <w:lang w:val="hu-HU"/>
        </w:rPr>
        <w:t>ban, e</w:t>
      </w:r>
      <w:r w:rsidR="000E098D" w:rsidRPr="00281E66">
        <w:rPr>
          <w:iCs/>
          <w:lang w:val="hu-HU"/>
        </w:rPr>
        <w:t>gy PAH-ban szenvedő betegek</w:t>
      </w:r>
      <w:r w:rsidR="00F061F6" w:rsidRPr="00281E66">
        <w:rPr>
          <w:iCs/>
          <w:lang w:val="hu-HU"/>
        </w:rPr>
        <w:t>kel</w:t>
      </w:r>
      <w:r w:rsidR="000E098D" w:rsidRPr="00281E66">
        <w:rPr>
          <w:iCs/>
          <w:lang w:val="hu-HU"/>
        </w:rPr>
        <w:t xml:space="preserve"> végzett, kettős vak vizsgálatban a</w:t>
      </w:r>
      <w:r w:rsidR="000E098D" w:rsidRPr="00FA58AB">
        <w:rPr>
          <w:iCs/>
          <w:lang w:val="hu-HU"/>
        </w:rPr>
        <w:t xml:space="preserve"> placebocsoport hemoglobinszintjéhez képest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-os</w:t>
      </w:r>
      <w:r w:rsidR="000E098D" w:rsidRPr="00FA58AB">
        <w:rPr>
          <w:iCs/>
          <w:lang w:val="hu-HU"/>
        </w:rPr>
        <w:t xml:space="preserve"> dózisú macitentán-</w:t>
      </w:r>
      <w:r w:rsidR="00281E66">
        <w:rPr>
          <w:iCs/>
          <w:lang w:val="hu-HU"/>
        </w:rPr>
        <w:t xml:space="preserve">kezelést kapó </w:t>
      </w:r>
      <w:r w:rsidR="000E098D" w:rsidRPr="00FA58AB">
        <w:rPr>
          <w:iCs/>
          <w:lang w:val="hu-HU"/>
        </w:rPr>
        <w:t>csoportban átlagosan 1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g/dl csökkenés volt megfigyelhető. A </w:t>
      </w:r>
      <w:r w:rsidR="00D5769C" w:rsidRPr="00FA58AB">
        <w:rPr>
          <w:iCs/>
          <w:lang w:val="hu-HU"/>
        </w:rPr>
        <w:t xml:space="preserve">hemoglobinkoncentráció </w:t>
      </w:r>
      <w:r w:rsidR="00D5769C">
        <w:rPr>
          <w:iCs/>
          <w:lang w:val="hu-HU"/>
        </w:rPr>
        <w:t xml:space="preserve">a </w:t>
      </w:r>
      <w:r w:rsidR="000E098D" w:rsidRPr="00FA58AB">
        <w:rPr>
          <w:iCs/>
          <w:lang w:val="hu-HU"/>
        </w:rPr>
        <w:t>kiindulási értékről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g/dl alá csökkent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 macitentánnal kezelt betegek 8,7%-nál és a placebót kapó betegek 3,4%-ánál.</w:t>
      </w:r>
    </w:p>
    <w:p w14:paraId="5C8EC992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6CD7C2F3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6</w:t>
      </w:r>
      <w:r w:rsidRPr="00FA58AB">
        <w:rPr>
          <w:iCs/>
          <w:u w:val="single"/>
          <w:lang w:val="hu-HU"/>
        </w:rPr>
        <w:t>Fehérvérsejtek</w:t>
      </w:r>
    </w:p>
    <w:p w14:paraId="2C5EC71C" w14:textId="483692D7" w:rsidR="000E098D" w:rsidRPr="00FA58AB" w:rsidRDefault="00F82625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Pr="00A07A6E">
        <w:rPr>
          <w:iCs/>
          <w:lang w:val="hu-HU"/>
        </w:rPr>
        <w:t>ban, e</w:t>
      </w:r>
      <w:r w:rsidR="000E098D" w:rsidRPr="00FA58AB">
        <w:rPr>
          <w:iCs/>
          <w:lang w:val="hu-HU"/>
        </w:rPr>
        <w:t xml:space="preserve">gy PAH-ban szenvedő betegek </w:t>
      </w:r>
      <w:r w:rsidR="00F061F6" w:rsidRPr="00FA58AB">
        <w:rPr>
          <w:iCs/>
          <w:lang w:val="hu-HU"/>
        </w:rPr>
        <w:t>bevonásával</w:t>
      </w:r>
      <w:r w:rsidR="000E098D" w:rsidRPr="00FA58AB">
        <w:rPr>
          <w:iCs/>
          <w:lang w:val="hu-HU"/>
        </w:rPr>
        <w:t xml:space="preserve"> végzett, kettős vak vizsgálatban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-os</w:t>
      </w:r>
      <w:r w:rsidR="000E098D" w:rsidRPr="00FA58AB">
        <w:rPr>
          <w:iCs/>
          <w:lang w:val="hu-HU"/>
        </w:rPr>
        <w:t xml:space="preserve"> macitentán</w:t>
      </w:r>
      <w:r w:rsidR="00281E66">
        <w:rPr>
          <w:iCs/>
          <w:lang w:val="hu-HU"/>
        </w:rPr>
        <w:t>-</w:t>
      </w:r>
      <w:r w:rsidR="00281E66" w:rsidRPr="00FA58AB">
        <w:rPr>
          <w:iCs/>
          <w:lang w:val="hu-HU"/>
        </w:rPr>
        <w:t>dózis</w:t>
      </w:r>
      <w:r w:rsidR="00281E66">
        <w:rPr>
          <w:iCs/>
          <w:lang w:val="hu-HU"/>
        </w:rPr>
        <w:t>sal</w:t>
      </w:r>
      <w:r w:rsidR="00281E66" w:rsidRPr="00FA58AB">
        <w:rPr>
          <w:iCs/>
          <w:lang w:val="hu-HU"/>
        </w:rPr>
        <w:t xml:space="preserve"> </w:t>
      </w:r>
      <w:r w:rsidR="000E098D" w:rsidRPr="00FA58AB">
        <w:rPr>
          <w:iCs/>
          <w:lang w:val="hu-HU"/>
        </w:rPr>
        <w:t>kezelt betegeknél a 0,7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/l-es kiindulási értékéhez képest az átlagos leukocitaszám csökkenése volt megfigyelhető, míg a placebocsoportban nem mutatkozott változás.</w:t>
      </w:r>
    </w:p>
    <w:p w14:paraId="4B094720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DFA7B2E" w14:textId="77777777" w:rsidR="000E098D" w:rsidRPr="00FA58AB" w:rsidRDefault="000E098D" w:rsidP="003E2A8B">
      <w:pPr>
        <w:keepNext/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7</w:t>
      </w:r>
      <w:r w:rsidRPr="00FA58AB">
        <w:rPr>
          <w:iCs/>
          <w:u w:val="single"/>
          <w:lang w:val="hu-HU"/>
        </w:rPr>
        <w:t>Trombociták</w:t>
      </w:r>
    </w:p>
    <w:p w14:paraId="4D546469" w14:textId="22CF7084" w:rsidR="000E098D" w:rsidRPr="00FA58AB" w:rsidRDefault="00F82625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Pr="00A07A6E">
        <w:rPr>
          <w:iCs/>
          <w:lang w:val="hu-HU"/>
        </w:rPr>
        <w:t>ban, e</w:t>
      </w:r>
      <w:r w:rsidR="000E098D" w:rsidRPr="00FA58AB">
        <w:rPr>
          <w:iCs/>
          <w:lang w:val="hu-HU"/>
        </w:rPr>
        <w:t>gy PAH-ban szenvedő betegek</w:t>
      </w:r>
      <w:r w:rsidR="003E2A8B">
        <w:rPr>
          <w:iCs/>
          <w:lang w:val="hu-HU"/>
        </w:rPr>
        <w:t>kel</w:t>
      </w:r>
      <w:r w:rsidR="000E098D" w:rsidRPr="00FA58AB">
        <w:rPr>
          <w:iCs/>
          <w:lang w:val="hu-HU"/>
        </w:rPr>
        <w:t xml:space="preserve"> végzett, kettős vak vizsgálatban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-os</w:t>
      </w:r>
      <w:r w:rsidR="000E098D" w:rsidRPr="00FA58AB">
        <w:rPr>
          <w:iCs/>
          <w:lang w:val="hu-HU"/>
        </w:rPr>
        <w:t xml:space="preserve"> dózisú macitentán</w:t>
      </w:r>
      <w:r w:rsidR="00281E66">
        <w:rPr>
          <w:iCs/>
          <w:lang w:val="hu-HU"/>
        </w:rPr>
        <w:t>-</w:t>
      </w:r>
      <w:r w:rsidR="000E098D" w:rsidRPr="00FA58AB">
        <w:rPr>
          <w:iCs/>
          <w:lang w:val="hu-HU"/>
        </w:rPr>
        <w:t>kezelés 17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/l-rel, míg a placeb</w:t>
      </w:r>
      <w:r w:rsidR="00F061F6" w:rsidRPr="00FA58AB">
        <w:rPr>
          <w:iCs/>
          <w:lang w:val="hu-HU"/>
        </w:rPr>
        <w:t>o</w:t>
      </w:r>
      <w:r w:rsidR="000E098D" w:rsidRPr="00FA58AB">
        <w:rPr>
          <w:iCs/>
          <w:lang w:val="hu-HU"/>
        </w:rPr>
        <w:t>kezelés 11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/l-rel csökkentette az átlagos trombocitaszámot.</w:t>
      </w:r>
    </w:p>
    <w:p w14:paraId="399CDBAC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51A432EB" w14:textId="77777777" w:rsidR="000E098D" w:rsidRPr="00FA58AB" w:rsidRDefault="000E098D" w:rsidP="00A07A6E">
      <w:pPr>
        <w:keepNext/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Hosszú távú biztonságosság</w:t>
      </w:r>
    </w:p>
    <w:p w14:paraId="6B40E239" w14:textId="77777777" w:rsidR="00F061F6" w:rsidRPr="00FA58AB" w:rsidRDefault="00F061F6" w:rsidP="00A07A6E">
      <w:pPr>
        <w:keepNext/>
        <w:spacing w:line="240" w:lineRule="auto"/>
        <w:rPr>
          <w:iCs/>
          <w:lang w:val="hu-HU"/>
        </w:rPr>
      </w:pPr>
    </w:p>
    <w:p w14:paraId="23424E9E" w14:textId="041630C7" w:rsidR="000E098D" w:rsidRPr="00FA58AB" w:rsidRDefault="000E098D" w:rsidP="00A07A6E">
      <w:pPr>
        <w:keepNext/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>A kulcsfontosságú (pivotális) SERAPHIN kettős vak vizsgálatban résztvevő 742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 közül 550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 lépett be a hosszú távú, nyílt elrendezésű (open-label</w:t>
      </w:r>
      <w:r w:rsidR="00C92A9E">
        <w:rPr>
          <w:iCs/>
          <w:lang w:val="hu-HU"/>
        </w:rPr>
        <w:t xml:space="preserve">, </w:t>
      </w:r>
      <w:r w:rsidRPr="00FA58AB">
        <w:rPr>
          <w:iCs/>
          <w:lang w:val="hu-HU"/>
        </w:rPr>
        <w:t xml:space="preserve">OL) kiterjesztéses vizsgálatba. (A </w:t>
      </w:r>
      <w:r w:rsidRPr="00FA58AB">
        <w:rPr>
          <w:iCs/>
          <w:lang w:val="hu-HU"/>
        </w:rPr>
        <w:lastRenderedPageBreak/>
        <w:t>nyílt elrendezésű kohorszban 182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olyan beteg volt, akik folytatták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 macitentán-kezelést és 368 olyan beteg, akik eddig placebót vagy 3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 macitentánt kaptak, és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 macitentán-kezelésre váltottak.)</w:t>
      </w:r>
    </w:p>
    <w:p w14:paraId="41CED6C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71309F4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>Ennek az 550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betegnek a hosszú távú, 3,3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éves medián időtartamú követése, valamint egy 10,9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éves maximális expozíció adatai olyan biztonságossági profilt mutattak, ami konzisztens volt a SERAPHIN kettős vak fázisa alapján fent leírtakkal.</w:t>
      </w:r>
    </w:p>
    <w:p w14:paraId="7071B82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55B3445A" w14:textId="58766836" w:rsidR="000E098D" w:rsidRPr="00662DE7" w:rsidRDefault="000E098D" w:rsidP="00E47067">
      <w:pPr>
        <w:spacing w:line="240" w:lineRule="auto"/>
        <w:rPr>
          <w:iCs/>
          <w:u w:val="single"/>
          <w:lang w:val="hu-HU"/>
        </w:rPr>
      </w:pPr>
      <w:r w:rsidRPr="00662DE7">
        <w:rPr>
          <w:iCs/>
          <w:u w:val="single"/>
          <w:lang w:val="hu-HU"/>
        </w:rPr>
        <w:t>Gyermekek és serdülők</w:t>
      </w:r>
      <w:r w:rsidR="00F82625" w:rsidRPr="00662DE7">
        <w:rPr>
          <w:iCs/>
          <w:u w:val="single"/>
          <w:lang w:val="hu-HU"/>
        </w:rPr>
        <w:t xml:space="preserve"> (</w:t>
      </w:r>
      <w:r w:rsidR="00E4361E" w:rsidRPr="00662DE7">
        <w:rPr>
          <w:szCs w:val="22"/>
          <w:u w:val="single"/>
          <w:lang w:val="hu-HU" w:eastAsia="nl-NL"/>
        </w:rPr>
        <w:t xml:space="preserve">≥ </w:t>
      </w:r>
      <w:r w:rsidR="00F82625" w:rsidRPr="00662DE7">
        <w:rPr>
          <w:iCs/>
          <w:u w:val="single"/>
          <w:lang w:val="hu-HU"/>
        </w:rPr>
        <w:t>2 éves kortól 18 évesnél fiatalabb korig)</w:t>
      </w:r>
    </w:p>
    <w:p w14:paraId="76DC2597" w14:textId="77777777" w:rsidR="000E098D" w:rsidRPr="00662DE7" w:rsidRDefault="000E098D" w:rsidP="00E47067">
      <w:pPr>
        <w:spacing w:line="240" w:lineRule="auto"/>
        <w:rPr>
          <w:iCs/>
          <w:lang w:val="hu-HU"/>
        </w:rPr>
      </w:pPr>
    </w:p>
    <w:p w14:paraId="139DC845" w14:textId="1C86EFEE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A macitentán biztonságosságát a TOMORROW vizsgálatban értékelték, ami egy, PAH-ban szenvedő</w:t>
      </w:r>
      <w:r w:rsidRPr="00662DE7">
        <w:rPr>
          <w:iCs/>
          <w:lang w:val="hu-HU"/>
        </w:rPr>
        <w:t xml:space="preserve"> </w:t>
      </w:r>
      <w:r w:rsidR="00281E66" w:rsidRPr="00A07A6E">
        <w:rPr>
          <w:iCs/>
          <w:lang w:val="hu-HU"/>
        </w:rPr>
        <w:t xml:space="preserve">gyermekeknél és serdülőknél </w:t>
      </w:r>
      <w:r w:rsidRPr="00F82625">
        <w:rPr>
          <w:iCs/>
          <w:lang w:val="hu-HU"/>
        </w:rPr>
        <w:t>végzett, III. fázisú vizsgálat volt. Összesen 72, legalább 2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éves, de</w:t>
      </w:r>
      <w:r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18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évesnél fiatalabb beteget randomizáltak, és mindannyian </w:t>
      </w:r>
      <w:r w:rsidR="00662DE7" w:rsidRPr="00F82625">
        <w:rPr>
          <w:iCs/>
          <w:lang w:val="hu-HU"/>
        </w:rPr>
        <w:t>macitentán</w:t>
      </w:r>
      <w:r w:rsidR="00662DE7">
        <w:rPr>
          <w:iCs/>
          <w:lang w:val="hu-HU"/>
        </w:rPr>
        <w:t xml:space="preserve">t </w:t>
      </w:r>
      <w:r w:rsidRPr="00F82625">
        <w:rPr>
          <w:iCs/>
          <w:lang w:val="hu-HU"/>
        </w:rPr>
        <w:t>kaptak. A beválasztáskor az</w:t>
      </w:r>
      <w:r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átlagéletkor 10,5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év volt (tartomány: 2,</w:t>
      </w:r>
      <w:r w:rsidRPr="00F82625">
        <w:rPr>
          <w:lang w:val="hu-HU"/>
        </w:rPr>
        <w:t>1</w:t>
      </w:r>
      <w:r w:rsidR="00662DE7" w:rsidRPr="00A07A6E">
        <w:rPr>
          <w:lang w:val="hu-HU"/>
        </w:rPr>
        <w:t> </w:t>
      </w:r>
      <w:r w:rsidRPr="00F82625">
        <w:rPr>
          <w:lang w:val="hu-HU"/>
        </w:rPr>
        <w:t>év</w:t>
      </w:r>
      <w:r w:rsidRPr="00F82625">
        <w:rPr>
          <w:iCs/>
          <w:lang w:val="hu-HU"/>
        </w:rPr>
        <w:t>–17,9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év). A randomizált vizsgálatban a kezelés </w:t>
      </w:r>
      <w:r w:rsidR="00662DE7" w:rsidRPr="00662DE7">
        <w:rPr>
          <w:iCs/>
          <w:lang w:val="hu-HU"/>
        </w:rPr>
        <w:t>medián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időtartama 168,4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hét volt (tartomány: 12,9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hét–312,4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hét) a </w:t>
      </w:r>
      <w:r w:rsidR="00662DE7" w:rsidRPr="00F82625">
        <w:rPr>
          <w:iCs/>
          <w:lang w:val="hu-HU"/>
        </w:rPr>
        <w:t>macitentán</w:t>
      </w:r>
      <w:r w:rsidRPr="00F82625">
        <w:rPr>
          <w:iCs/>
          <w:lang w:val="hu-HU"/>
        </w:rPr>
        <w:t>-karon.</w:t>
      </w:r>
    </w:p>
    <w:p w14:paraId="28FA9AC6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1EBC588A" w14:textId="01B2994F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Összességében a biztonságossági profil ebben a gyermekgyógyászati populációban összhangban volt 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felnőtt populációban megfigyelttel. A fenti táblázatba foglalt mellékhatások mellett az alábbi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mellékhatásokról számoltak be</w:t>
      </w:r>
      <w:r w:rsidR="005966F3">
        <w:rPr>
          <w:iCs/>
          <w:lang w:val="hu-HU"/>
        </w:rPr>
        <w:t xml:space="preserve"> </w:t>
      </w:r>
      <w:r w:rsidR="005966F3" w:rsidRPr="00A07A6E">
        <w:rPr>
          <w:iCs/>
          <w:lang w:val="hu-HU"/>
        </w:rPr>
        <w:t>gyermekeknél és serdülőknél</w:t>
      </w:r>
      <w:r w:rsidRPr="00F82625">
        <w:rPr>
          <w:iCs/>
          <w:lang w:val="hu-HU"/>
        </w:rPr>
        <w:t>: felső légúti fertőzés (31,9%), rhinitis (8,3%) és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gastroenteritis (11,1%).</w:t>
      </w:r>
    </w:p>
    <w:p w14:paraId="1609F220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3A9D7230" w14:textId="04201C1D" w:rsidR="00F82625" w:rsidRPr="00662DE7" w:rsidRDefault="00F82625" w:rsidP="00F82625">
      <w:pPr>
        <w:spacing w:line="240" w:lineRule="auto"/>
        <w:rPr>
          <w:iCs/>
          <w:u w:val="single"/>
          <w:lang w:val="hu-HU"/>
        </w:rPr>
      </w:pPr>
      <w:r w:rsidRPr="00F82625">
        <w:rPr>
          <w:iCs/>
          <w:u w:val="single"/>
          <w:lang w:val="hu-HU"/>
        </w:rPr>
        <w:t>Gyermekek (</w:t>
      </w:r>
      <w:r w:rsidR="00E4361E" w:rsidRPr="00662DE7">
        <w:rPr>
          <w:szCs w:val="22"/>
          <w:u w:val="single"/>
          <w:lang w:val="hu-HU" w:eastAsia="nl-NL"/>
        </w:rPr>
        <w:t>≥</w:t>
      </w:r>
      <w:r w:rsidRPr="00F82625">
        <w:rPr>
          <w:iCs/>
          <w:u w:val="single"/>
          <w:lang w:val="hu-HU"/>
        </w:rPr>
        <w:t xml:space="preserve"> 1 hónapos kortól 2 évesnél fiatalabb korig)</w:t>
      </w:r>
    </w:p>
    <w:p w14:paraId="5620BA17" w14:textId="77777777" w:rsidR="00E4361E" w:rsidRPr="00F82625" w:rsidRDefault="00E4361E" w:rsidP="00F82625">
      <w:pPr>
        <w:spacing w:line="240" w:lineRule="auto"/>
        <w:rPr>
          <w:iCs/>
          <w:u w:val="single"/>
          <w:lang w:val="hu-HU"/>
        </w:rPr>
      </w:pPr>
    </w:p>
    <w:p w14:paraId="2D953A0F" w14:textId="3BB016C9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További 11, legalább 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hónapos, de 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beteget választottak be, akik randomizáció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 xml:space="preserve">nélkül kaptak </w:t>
      </w:r>
      <w:r w:rsidR="000251B4" w:rsidRPr="00F82625">
        <w:rPr>
          <w:iCs/>
          <w:lang w:val="hu-HU"/>
        </w:rPr>
        <w:t>macitentán</w:t>
      </w:r>
      <w:r w:rsidR="000251B4">
        <w:rPr>
          <w:iCs/>
          <w:lang w:val="hu-HU"/>
        </w:rPr>
        <w:t>t</w:t>
      </w:r>
      <w:r w:rsidRPr="00F82625">
        <w:rPr>
          <w:iCs/>
          <w:lang w:val="hu-HU"/>
        </w:rPr>
        <w:t>. Kilenc beteg a TOMORROW vizsgálat nyílt elrendezésű karjáról, két japán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beteg pedig a PAH3001</w:t>
      </w:r>
      <w:r w:rsidR="005966F3">
        <w:rPr>
          <w:iCs/>
          <w:lang w:val="hu-HU"/>
        </w:rPr>
        <w:t xml:space="preserve"> </w:t>
      </w:r>
      <w:r w:rsidRPr="00F82625">
        <w:rPr>
          <w:iCs/>
          <w:lang w:val="hu-HU"/>
        </w:rPr>
        <w:t>vizsgálatból került beválasztásra. A beválasztáskor a TOMORROW vizsgálat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betegeinek életkor tartománya 1,2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év–1,9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 volt, és a kezelés medián időtartam 37,1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hét volt</w:t>
      </w:r>
      <w:r w:rsidR="000251B4">
        <w:rPr>
          <w:iCs/>
          <w:lang w:val="hu-HU"/>
        </w:rPr>
        <w:t xml:space="preserve"> </w:t>
      </w:r>
      <w:r w:rsidRPr="00F82625">
        <w:rPr>
          <w:iCs/>
          <w:lang w:val="hu-HU"/>
        </w:rPr>
        <w:t>(tartomány: 7,0–72,9 hét). A beválasztáskor a PAH3001 vizsgálat 2 betegének életkora 21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 és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22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 volt.</w:t>
      </w:r>
    </w:p>
    <w:p w14:paraId="680ED513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4FA06268" w14:textId="43DBA08B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Összességében a biztonságossági profil ebben a gyermekgyógyászati populációban összhangban volt</w:t>
      </w:r>
      <w:r w:rsidR="005966F3" w:rsidRPr="00A07A6E">
        <w:rPr>
          <w:lang w:val="hu-HU"/>
        </w:rPr>
        <w:t xml:space="preserve"> azzal, </w:t>
      </w:r>
      <w:r w:rsidR="005966F3" w:rsidRPr="00A07A6E">
        <w:rPr>
          <w:iCs/>
          <w:lang w:val="hu-HU"/>
        </w:rPr>
        <w:t xml:space="preserve">amit </w:t>
      </w:r>
      <w:r w:rsidRPr="00F82625">
        <w:rPr>
          <w:iCs/>
          <w:lang w:val="hu-HU"/>
        </w:rPr>
        <w:t>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felnőtt populációban és a legalább 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éves, de 18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korú gyermekeknél és serdülőknél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megfigyelte</w:t>
      </w:r>
      <w:r w:rsidR="005966F3">
        <w:rPr>
          <w:iCs/>
          <w:lang w:val="hu-HU"/>
        </w:rPr>
        <w:t>k</w:t>
      </w:r>
      <w:r w:rsidRPr="00F82625">
        <w:rPr>
          <w:iCs/>
          <w:lang w:val="hu-HU"/>
        </w:rPr>
        <w:t>, ugyanakkor nagyon korlátozott mennyiségű klinikai biztonságossági adat áll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rendelkezésre ahhoz, hogy megbízható biztonságossági következtetést lehessen megállapítani 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gyermek</w:t>
      </w:r>
      <w:r w:rsidR="005966F3">
        <w:rPr>
          <w:iCs/>
          <w:lang w:val="hu-HU"/>
        </w:rPr>
        <w:t>ekre vonatkozóan</w:t>
      </w:r>
      <w:r w:rsidRPr="00F82625">
        <w:rPr>
          <w:iCs/>
          <w:lang w:val="hu-HU"/>
        </w:rPr>
        <w:t>.</w:t>
      </w:r>
    </w:p>
    <w:p w14:paraId="637AF30A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363319A5" w14:textId="780A6B72" w:rsidR="000E098D" w:rsidRPr="00662DE7" w:rsidRDefault="00F82625" w:rsidP="00F82625">
      <w:pPr>
        <w:spacing w:line="240" w:lineRule="auto"/>
        <w:rPr>
          <w:iCs/>
          <w:lang w:val="hu-HU"/>
        </w:rPr>
      </w:pPr>
      <w:r w:rsidRPr="00662DE7">
        <w:rPr>
          <w:iCs/>
          <w:lang w:val="hu-HU"/>
        </w:rPr>
        <w:t>A macitentán biztonságosságát 2</w:t>
      </w:r>
      <w:r w:rsidR="000251B4">
        <w:rPr>
          <w:iCs/>
          <w:lang w:val="hu-HU"/>
        </w:rPr>
        <w:t> </w:t>
      </w:r>
      <w:r w:rsidRPr="00662DE7">
        <w:rPr>
          <w:iCs/>
          <w:lang w:val="hu-HU"/>
        </w:rPr>
        <w:t>évesnél fiatalabb gyermekeknél nem igazolták (lásd 4.2 pont).</w:t>
      </w:r>
    </w:p>
    <w:p w14:paraId="4171F17D" w14:textId="77777777" w:rsidR="00E4361E" w:rsidRPr="00FA58AB" w:rsidRDefault="00E4361E" w:rsidP="00F82625">
      <w:pPr>
        <w:spacing w:line="240" w:lineRule="auto"/>
        <w:rPr>
          <w:u w:val="single"/>
          <w:lang w:val="hu-HU"/>
        </w:rPr>
      </w:pPr>
    </w:p>
    <w:p w14:paraId="616BA448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Feltételezett mellékhatások bejelentése</w:t>
      </w:r>
    </w:p>
    <w:p w14:paraId="798A5A16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BAEE877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FA58AB">
          <w:rPr>
            <w:rStyle w:val="Hiperhivatkozs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Pr="00FA58AB">
          <w:rPr>
            <w:rStyle w:val="Hiperhivatkozs"/>
            <w:highlight w:val="lightGray"/>
            <w:lang w:val="hu-HU"/>
          </w:rPr>
          <w:t>g</w:t>
        </w:r>
        <w:bookmarkEnd w:id="0"/>
        <w:bookmarkEnd w:id="1"/>
        <w:r w:rsidRPr="00FA58AB">
          <w:rPr>
            <w:rStyle w:val="Hiperhivatkozs"/>
            <w:highlight w:val="lightGray"/>
            <w:lang w:val="hu-HU"/>
          </w:rPr>
          <w:t>elékben</w:t>
        </w:r>
      </w:hyperlink>
      <w:r w:rsidRPr="00FA58AB">
        <w:rPr>
          <w:highlight w:val="lightGray"/>
          <w:lang w:val="hu-HU"/>
        </w:rPr>
        <w:t xml:space="preserve"> található elérhetőségek valamelyikén keresztül</w:t>
      </w:r>
      <w:r w:rsidRPr="00FA58AB">
        <w:rPr>
          <w:lang w:val="hu-HU"/>
        </w:rPr>
        <w:t>.</w:t>
      </w:r>
    </w:p>
    <w:p w14:paraId="1018FB6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971F7B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4.9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1438D1A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2D04AB6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FA58AB">
        <w:rPr>
          <w:bCs/>
          <w:lang w:val="hu-HU"/>
        </w:rPr>
        <w:t>A macitentánt egyszeri, legfeljebb 600</w:t>
      </w:r>
      <w:r w:rsidRPr="00FA58AB">
        <w:rPr>
          <w:iCs/>
          <w:szCs w:val="22"/>
          <w:lang w:val="hu-HU"/>
        </w:rPr>
        <w:t> </w:t>
      </w:r>
      <w:r w:rsidRPr="00FA58AB">
        <w:rPr>
          <w:bCs/>
          <w:lang w:val="hu-HU"/>
        </w:rPr>
        <w:t>mg-os dózisban alkalmazták egészséges felnőtt vizsgálati alanyoknál. A megfigyelt nemkívánatos reakciók a következők voltak: fejfájás, hányinger és hányás. Túladagolás esetén a szokásos szupportív kezelést kell szükség szerint alkalmazni. A macitentán nagyfokú fehérjekötő tulajdonsága miatt nem valószínű, hogy a dialízis hatásos lehet.</w:t>
      </w:r>
    </w:p>
    <w:p w14:paraId="6BCF0DCB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0151113F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1E0F51F7" w14:textId="77777777" w:rsidR="000E098D" w:rsidRPr="00FA58AB" w:rsidRDefault="000E098D" w:rsidP="00A07A6E">
      <w:pPr>
        <w:keepNext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lastRenderedPageBreak/>
        <w:t>5.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4CC82D6C" w14:textId="77777777" w:rsidR="000E098D" w:rsidRPr="00FA58AB" w:rsidRDefault="000E098D" w:rsidP="00A07A6E">
      <w:pPr>
        <w:keepNext/>
        <w:spacing w:line="240" w:lineRule="auto"/>
        <w:ind w:left="567" w:hanging="567"/>
        <w:outlineLvl w:val="0"/>
        <w:rPr>
          <w:rFonts w:eastAsia="Times New Roman"/>
          <w:bCs/>
          <w:snapToGrid/>
          <w:szCs w:val="22"/>
          <w:lang w:val="hu-HU" w:eastAsia="en-US"/>
        </w:rPr>
      </w:pPr>
    </w:p>
    <w:p w14:paraId="36837285" w14:textId="77777777" w:rsidR="000E098D" w:rsidRPr="00FA58AB" w:rsidRDefault="000E098D" w:rsidP="00A07A6E">
      <w:pPr>
        <w:keepNext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Farmakodinámiás tulajdonságok</w:t>
      </w:r>
    </w:p>
    <w:p w14:paraId="6BCD3839" w14:textId="77777777" w:rsidR="000E098D" w:rsidRPr="00FA58AB" w:rsidRDefault="000E098D" w:rsidP="00A07A6E">
      <w:pPr>
        <w:keepNext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017F781" w14:textId="5BAAC68B" w:rsidR="000E098D" w:rsidRPr="00FA58AB" w:rsidRDefault="000E098D" w:rsidP="00A07A6E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Farmakoterápiás csoport: vérnyomáscsökkentők, vérnyomáscsökkentők pulmon</w:t>
      </w:r>
      <w:r w:rsidR="00E4568D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>riás h</w:t>
      </w:r>
      <w:r w:rsidR="00E4568D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E4568D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</w:t>
      </w:r>
      <w:r w:rsidR="005966F3">
        <w:rPr>
          <w:rFonts w:eastAsia="Times New Roman"/>
          <w:snapToGrid/>
          <w:szCs w:val="22"/>
          <w:lang w:val="hu-HU" w:eastAsia="en-US"/>
        </w:rPr>
        <w:t>ár</w:t>
      </w:r>
      <w:r w:rsidR="00F52A30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.</w:t>
      </w:r>
      <w:r w:rsidR="00517CC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ATC-kód: C02KX04</w:t>
      </w:r>
    </w:p>
    <w:p w14:paraId="027EB6AE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32E82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Hatásmechanizmus</w:t>
      </w:r>
    </w:p>
    <w:p w14:paraId="42CCF987" w14:textId="77777777" w:rsidR="00517CCD" w:rsidRPr="00FA58AB" w:rsidRDefault="00517CC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003FAB" w14:textId="418F985D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Az 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 (ET)-1 és receptorai (ET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>) számos folyamatban vesznek</w:t>
      </w:r>
      <w:r w:rsidR="005966F3" w:rsidRPr="005966F3">
        <w:rPr>
          <w:rFonts w:eastAsia="Times New Roman"/>
          <w:snapToGrid/>
          <w:szCs w:val="22"/>
          <w:lang w:val="hu-HU" w:eastAsia="en-US"/>
        </w:rPr>
        <w:t xml:space="preserve"> </w:t>
      </w:r>
      <w:r w:rsidR="005966F3" w:rsidRPr="00FA58AB">
        <w:rPr>
          <w:rFonts w:eastAsia="Times New Roman"/>
          <w:snapToGrid/>
          <w:szCs w:val="22"/>
          <w:lang w:val="hu-HU" w:eastAsia="en-US"/>
        </w:rPr>
        <w:t>részt</w:t>
      </w:r>
      <w:r w:rsidRPr="00FA58AB">
        <w:rPr>
          <w:rFonts w:eastAsia="Times New Roman"/>
          <w:snapToGrid/>
          <w:szCs w:val="22"/>
          <w:lang w:val="hu-HU" w:eastAsia="en-US"/>
        </w:rPr>
        <w:t>, úgymint va</w:t>
      </w:r>
      <w:r w:rsidR="002F54C3">
        <w:rPr>
          <w:rFonts w:eastAsia="Times New Roman"/>
          <w:snapToGrid/>
          <w:szCs w:val="22"/>
          <w:lang w:val="hu-HU" w:eastAsia="en-US"/>
        </w:rPr>
        <w:t>soconstrictio</w:t>
      </w:r>
      <w:r w:rsidRPr="00FA58AB">
        <w:rPr>
          <w:rFonts w:eastAsia="Times New Roman"/>
          <w:snapToGrid/>
          <w:szCs w:val="22"/>
          <w:lang w:val="hu-HU" w:eastAsia="en-US"/>
        </w:rPr>
        <w:t>, fibr</w:t>
      </w:r>
      <w:r w:rsidR="002F54C3">
        <w:rPr>
          <w:rFonts w:eastAsia="Times New Roman"/>
          <w:snapToGrid/>
          <w:szCs w:val="22"/>
          <w:lang w:val="hu-HU" w:eastAsia="en-US"/>
        </w:rPr>
        <w:t>osis</w:t>
      </w:r>
      <w:r w:rsidRPr="00FA58AB">
        <w:rPr>
          <w:rFonts w:eastAsia="Times New Roman"/>
          <w:snapToGrid/>
          <w:szCs w:val="22"/>
          <w:lang w:val="hu-HU" w:eastAsia="en-US"/>
        </w:rPr>
        <w:t>, proliferáció, h</w:t>
      </w:r>
      <w:r w:rsidR="002F54C3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pertr</w:t>
      </w:r>
      <w:r w:rsidR="002F54C3">
        <w:rPr>
          <w:rFonts w:eastAsia="Times New Roman"/>
          <w:snapToGrid/>
          <w:szCs w:val="22"/>
          <w:lang w:val="hu-HU" w:eastAsia="en-US"/>
        </w:rPr>
        <w:t>ophia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gyulladás. Olyan kóros állapotokban, mint a PAH</w:t>
      </w:r>
      <w:r w:rsidR="005966F3">
        <w:rPr>
          <w:rFonts w:eastAsia="Times New Roman"/>
          <w:snapToGrid/>
          <w:szCs w:val="22"/>
          <w:lang w:val="hu-HU" w:eastAsia="en-US"/>
        </w:rPr>
        <w:t>,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 helyi ET-rendszer upregulálódik és szerepet játszik a vas</w:t>
      </w:r>
      <w:r w:rsidR="0014348C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ul</w:t>
      </w:r>
      <w:r w:rsidR="0014348C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ris h</w:t>
      </w:r>
      <w:r w:rsidR="0014348C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pertr</w:t>
      </w:r>
      <w:r w:rsidR="0014348C">
        <w:rPr>
          <w:rFonts w:eastAsia="Times New Roman"/>
          <w:snapToGrid/>
          <w:szCs w:val="22"/>
          <w:lang w:val="hu-HU" w:eastAsia="en-US"/>
        </w:rPr>
        <w:t>ophi</w:t>
      </w:r>
      <w:r w:rsidRPr="00FA58AB">
        <w:rPr>
          <w:rFonts w:eastAsia="Times New Roman"/>
          <w:snapToGrid/>
          <w:szCs w:val="22"/>
          <w:lang w:val="hu-HU" w:eastAsia="en-US"/>
        </w:rPr>
        <w:t>ában és a szervi károsodásban.</w:t>
      </w:r>
    </w:p>
    <w:p w14:paraId="52972909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C0E14AA" w14:textId="4335D23A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 macitentán egy orálisan aktív, hatásos 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elinreceptor-antagonista, amely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- és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-receptoron egyaránt kifejti hatását és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körülmények között hozzávetőlegesen 100-szorosan szelektívebb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iránt, mint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iránt. A macitentán nagy receptoraffinitást és tartós kötődést mutat a humán pulmonalis artériás simaizomsejtek ET receptoraihoz. Ez megakadályozza az 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 által mediált másodlagos hírvivőrendszerek aktiválódását, így a vazokonstrikciót és simaizomsejt-proliferációt.</w:t>
      </w:r>
    </w:p>
    <w:p w14:paraId="133B81CC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6CEF1FE3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Klinikai hatásosság és biztonságosság</w:t>
      </w:r>
    </w:p>
    <w:p w14:paraId="2CA72AD2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4228EBC" w14:textId="4FBE3142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>Hatásosság pulmon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lis art</w:t>
      </w:r>
      <w:r w:rsidR="006E7ED1">
        <w:rPr>
          <w:rFonts w:eastAsia="Times New Roman"/>
          <w:i/>
          <w:iCs/>
          <w:snapToGrid/>
          <w:szCs w:val="22"/>
          <w:lang w:val="hu-HU" w:eastAsia="en-US"/>
        </w:rPr>
        <w:t>é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riás h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y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pert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o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niában szenvedő betegeknél</w:t>
      </w:r>
    </w:p>
    <w:p w14:paraId="5CCA90F8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2286FA8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 hosszú távú morbiditás és mortalitás értékeléséhez egy multicentrikus, kettős vak, placebokontrollos, párhuzamos csoportos, eseményvezérelt, III.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fázisú (AC-055-302/SERAPHIN) kimenetelt elemző vizsgálatot végeztek 742, PAH tüneteket mutató beteg részvételével, akiket három kezelési csoportba randomizáltak (placebo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250], illetve 3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250] vagy 10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242] macitentán naponta egyszer).</w:t>
      </w:r>
    </w:p>
    <w:p w14:paraId="445059A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8BF212" w14:textId="29D82CE8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vizsgálat kezdetekor a legtöbb bevont beteget (64%) állandó dózisú, speciális PAH-terápiával, azaz orálisan alkalmazott foszfodiészteráz-inhibitorokkal (61%) és/vagy belélegzett/orálisan alkalmazott prosztanoidokkal (6%) kezelt</w:t>
      </w:r>
      <w:r w:rsidR="002F54C3">
        <w:rPr>
          <w:bCs/>
          <w:iCs/>
          <w:lang w:val="hu-HU"/>
        </w:rPr>
        <w:t>é</w:t>
      </w:r>
      <w:r w:rsidRPr="00FA58AB">
        <w:rPr>
          <w:bCs/>
          <w:iCs/>
          <w:lang w:val="hu-HU"/>
        </w:rPr>
        <w:t>k.</w:t>
      </w:r>
    </w:p>
    <w:p w14:paraId="68D2824A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6EDD4458" w14:textId="3CD507C5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0F16CA">
        <w:rPr>
          <w:bCs/>
          <w:iCs/>
          <w:lang w:val="hu-HU"/>
        </w:rPr>
        <w:t>A vizsgálat elsődleges végpontj</w:t>
      </w:r>
      <w:r w:rsidR="000F16CA">
        <w:rPr>
          <w:bCs/>
          <w:iCs/>
          <w:lang w:val="hu-HU"/>
        </w:rPr>
        <w:t>a</w:t>
      </w:r>
      <w:r w:rsidRPr="000F16CA">
        <w:rPr>
          <w:bCs/>
          <w:iCs/>
          <w:lang w:val="hu-HU"/>
        </w:rPr>
        <w:t xml:space="preserve"> a kettős vak kezelés végéig előforduló első morbiditási vagy</w:t>
      </w:r>
      <w:r w:rsidRPr="00FA58AB">
        <w:rPr>
          <w:bCs/>
          <w:iCs/>
          <w:lang w:val="hu-HU"/>
        </w:rPr>
        <w:t xml:space="preserve"> mortalitási esemény (úgymint halál, pitvari septostomia, tüdőtranszplantáció, intravénás </w:t>
      </w:r>
      <w:r w:rsidR="002F54C3">
        <w:rPr>
          <w:bCs/>
          <w:iCs/>
          <w:lang w:val="hu-HU"/>
        </w:rPr>
        <w:t>[</w:t>
      </w:r>
      <w:r w:rsidRPr="00FA58AB">
        <w:rPr>
          <w:bCs/>
          <w:iCs/>
          <w:lang w:val="hu-HU"/>
        </w:rPr>
        <w:t>iv.</w:t>
      </w:r>
      <w:r w:rsidR="002F54C3">
        <w:rPr>
          <w:bCs/>
          <w:iCs/>
          <w:lang w:val="hu-HU"/>
        </w:rPr>
        <w:t>]</w:t>
      </w:r>
      <w:r w:rsidRPr="00FA58AB">
        <w:rPr>
          <w:bCs/>
          <w:iCs/>
          <w:lang w:val="hu-HU"/>
        </w:rPr>
        <w:t xml:space="preserve"> vagy szubkután </w:t>
      </w:r>
      <w:r w:rsidR="002F54C3">
        <w:rPr>
          <w:bCs/>
          <w:iCs/>
          <w:lang w:val="hu-HU"/>
        </w:rPr>
        <w:t>[</w:t>
      </w:r>
      <w:r w:rsidRPr="00FA58AB">
        <w:rPr>
          <w:bCs/>
          <w:iCs/>
          <w:lang w:val="hu-HU"/>
        </w:rPr>
        <w:t>sc.</w:t>
      </w:r>
      <w:r w:rsidR="002F54C3">
        <w:rPr>
          <w:bCs/>
          <w:iCs/>
          <w:lang w:val="hu-HU"/>
        </w:rPr>
        <w:t>]</w:t>
      </w:r>
      <w:r w:rsidRPr="00FA58AB">
        <w:rPr>
          <w:bCs/>
          <w:iCs/>
          <w:lang w:val="hu-HU"/>
        </w:rPr>
        <w:t xml:space="preserve"> prosztanoid-kezelés megkezdése vagy a PAH egyéb súlyosbodása) időpontja volt. A vizsgálat meghatározása alapján a PAH egyéb súlyosbodása akkor áll fenn, ha az alábbiak közül mindhárom állítás igaz: a 6</w:t>
      </w:r>
      <w:r w:rsidRPr="00FA58AB">
        <w:rPr>
          <w:iCs/>
          <w:szCs w:val="22"/>
          <w:lang w:val="hu-HU"/>
        </w:rPr>
        <w:t> </w:t>
      </w:r>
      <w:r w:rsidRPr="00FA58AB">
        <w:rPr>
          <w:bCs/>
          <w:iCs/>
          <w:lang w:val="hu-HU"/>
        </w:rPr>
        <w:t>perces séta alatt megtett távolság (</w:t>
      </w:r>
      <w:r w:rsidRPr="00FA58AB">
        <w:rPr>
          <w:snapToGrid/>
          <w:lang w:val="hu-HU" w:eastAsia="en-US"/>
        </w:rPr>
        <w:t>6-min</w:t>
      </w:r>
      <w:r w:rsidR="008D3DE0" w:rsidRPr="00FA58AB">
        <w:rPr>
          <w:snapToGrid/>
          <w:lang w:val="hu-HU" w:eastAsia="en-US"/>
        </w:rPr>
        <w:t>ute</w:t>
      </w:r>
      <w:r w:rsidRPr="00FA58AB">
        <w:rPr>
          <w:snapToGrid/>
          <w:lang w:val="hu-HU" w:eastAsia="en-US"/>
        </w:rPr>
        <w:t xml:space="preserve"> walk distance, </w:t>
      </w:r>
      <w:r w:rsidRPr="00FA58AB">
        <w:rPr>
          <w:bCs/>
          <w:iCs/>
          <w:lang w:val="hu-HU"/>
        </w:rPr>
        <w:t>6MWD) tartósan, legalább 15%-kal csökkent a kiindulási értékhez képest, súlyosbodtak a PAH tünetei (a WHO funkcionális beosztása szerinti súlyosbodás vagy jobbszívfél-elégtelenség), illetve újabb PAH-kezelés szükségessége. Minden eseményt egy független, a kezelési beosztást nem ismerő bizottság igazolt.</w:t>
      </w:r>
    </w:p>
    <w:p w14:paraId="3993E0A6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791E23BB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vizsgálat végéig (end-of-study, EOS) minden betegnek nyomon követték a vitális állapotát. Egy előre meghatározott számú elsődleges végpont elérése jelentette a vizsgálat végét. A kezelés vége (end-of-treatment, EOT) és a vizsgálat vége közötti időszakban a betegek nyílt elrendezésben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 macitentánt vagy más PAH-kezelést kaphattak. A teljes kettős vak kezelés medián időtartama 115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hét volt (legfeljebb 188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hetes macitentán-kezelés).</w:t>
      </w:r>
    </w:p>
    <w:p w14:paraId="144DBE90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0594571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betegek átlagéletkora 46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(12 és 85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közöttiek, ebből 20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18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évesnél fiatalabb, 706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18 és 74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közötti, és 16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75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éves vagy annál idősebb) volt, többségük kaukázusi (55%) és nő (77%) volt. Körülbelül a betegek 52%-a volt II-es, 46%-a volt III-as és 2%-a volt IV-es stádiumú a WHO funkcionális besorolása alapján.</w:t>
      </w:r>
    </w:p>
    <w:p w14:paraId="26DD800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1A850CEC" w14:textId="359518E1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vizsgált populációban az idiop</w:t>
      </w:r>
      <w:r w:rsidR="0014348C">
        <w:rPr>
          <w:bCs/>
          <w:iCs/>
          <w:lang w:val="hu-HU"/>
        </w:rPr>
        <w:t>athiás</w:t>
      </w:r>
      <w:r w:rsidRPr="00FA58AB">
        <w:rPr>
          <w:bCs/>
          <w:iCs/>
          <w:lang w:val="hu-HU"/>
        </w:rPr>
        <w:t xml:space="preserve"> vagy öröklődő PAH volt a leggyakoribb betegség (57%), ezt követte a kötőszöveti rendellenességekkel kapcsolatos PAH (31%), a korrigált, egyszerű veleszületett </w:t>
      </w:r>
      <w:r w:rsidRPr="00FA58AB">
        <w:rPr>
          <w:bCs/>
          <w:iCs/>
          <w:lang w:val="hu-HU"/>
        </w:rPr>
        <w:lastRenderedPageBreak/>
        <w:t>szívbetegséggel kapcsolatos PAH (8%) és más eredetű PAH (gyógyszerek és toxinok [3%] és HIV [1%]).</w:t>
      </w:r>
    </w:p>
    <w:p w14:paraId="7D4D69A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1DDC685F" w14:textId="77777777" w:rsidR="000E098D" w:rsidRPr="00FA58AB" w:rsidRDefault="000E098D" w:rsidP="00A07A6E">
      <w:pPr>
        <w:keepNext/>
        <w:autoSpaceDE w:val="0"/>
        <w:autoSpaceDN w:val="0"/>
        <w:adjustRightInd w:val="0"/>
        <w:spacing w:line="240" w:lineRule="auto"/>
        <w:rPr>
          <w:bCs/>
          <w:iCs/>
          <w:u w:val="single"/>
          <w:lang w:val="hu-HU"/>
        </w:rPr>
      </w:pPr>
      <w:r w:rsidRPr="00FA58AB">
        <w:rPr>
          <w:bCs/>
          <w:iCs/>
          <w:u w:val="single"/>
          <w:lang w:val="hu-HU"/>
        </w:rPr>
        <w:t>Kimeneti végpontok</w:t>
      </w:r>
    </w:p>
    <w:p w14:paraId="2B9CB97D" w14:textId="77777777" w:rsidR="000E098D" w:rsidRPr="00FA58AB" w:rsidRDefault="000E098D" w:rsidP="00A07A6E">
      <w:pPr>
        <w:keepNext/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3684B3FF" w14:textId="5397DE31" w:rsidR="000E098D" w:rsidRPr="00FA58AB" w:rsidRDefault="000E098D" w:rsidP="00A07A6E">
      <w:pPr>
        <w:keepNext/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</w:t>
      </w:r>
      <w:r w:rsidR="000F16CA">
        <w:rPr>
          <w:bCs/>
          <w:iCs/>
          <w:lang w:val="hu-HU"/>
        </w:rPr>
        <w:t>-os</w:t>
      </w:r>
      <w:r w:rsidRPr="00FA58AB">
        <w:rPr>
          <w:bCs/>
          <w:iCs/>
          <w:lang w:val="hu-HU"/>
        </w:rPr>
        <w:t xml:space="preserve"> dózisú macitentán</w:t>
      </w:r>
      <w:r w:rsidR="000F16CA">
        <w:rPr>
          <w:bCs/>
          <w:iCs/>
          <w:lang w:val="hu-HU"/>
        </w:rPr>
        <w:t>-</w:t>
      </w:r>
      <w:r w:rsidRPr="00FA58AB">
        <w:rPr>
          <w:bCs/>
          <w:iCs/>
          <w:lang w:val="hu-HU"/>
        </w:rPr>
        <w:t>kezelés a placebóhoz képest 45%-os kockázatcsökkenést (kockázati arány [HR] 0,55; 97,5%-os CI (konfidencia</w:t>
      </w:r>
      <w:r w:rsidR="003F6A4A" w:rsidRPr="00FA58AB">
        <w:rPr>
          <w:bCs/>
          <w:iCs/>
          <w:lang w:val="hu-HU"/>
        </w:rPr>
        <w:t xml:space="preserve"> </w:t>
      </w:r>
      <w:r w:rsidRPr="00FA58AB">
        <w:rPr>
          <w:bCs/>
          <w:iCs/>
          <w:lang w:val="hu-HU"/>
        </w:rPr>
        <w:t>intervallum) 0,39–0,76; log-rank p</w:t>
      </w:r>
      <w:r w:rsidR="003F6A4A" w:rsidRPr="00FA58AB">
        <w:rPr>
          <w:bCs/>
          <w:iCs/>
          <w:lang w:val="hu-HU"/>
        </w:rPr>
        <w:t> </w:t>
      </w:r>
      <w:r w:rsidRPr="00FA58AB">
        <w:rPr>
          <w:bCs/>
          <w:iCs/>
          <w:lang w:val="hu-HU"/>
        </w:rPr>
        <w:t>&lt; 0,0001) eredményezett a kompozit morbiditási és mortalitási végpont tekintetében a kezelés befejezéséig tartó időszakban (1. ábra és 1. táblázat). A kezelés hatása gyorsan jelentkezett és fennmaradt.</w:t>
      </w:r>
    </w:p>
    <w:p w14:paraId="1BFA1156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6377BF98" w14:textId="78B3969F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</w:t>
      </w:r>
      <w:r w:rsidR="000F16CA">
        <w:rPr>
          <w:bCs/>
          <w:iCs/>
          <w:lang w:val="hu-HU"/>
        </w:rPr>
        <w:t>-os</w:t>
      </w:r>
      <w:r w:rsidRPr="00FA58AB">
        <w:rPr>
          <w:bCs/>
          <w:iCs/>
          <w:lang w:val="hu-HU"/>
        </w:rPr>
        <w:t xml:space="preserve"> dózisú macitentán</w:t>
      </w:r>
      <w:r w:rsidR="000F16CA">
        <w:rPr>
          <w:bCs/>
          <w:iCs/>
          <w:lang w:val="hu-HU"/>
        </w:rPr>
        <w:t>-</w:t>
      </w:r>
      <w:r w:rsidRPr="00FA58AB">
        <w:rPr>
          <w:bCs/>
          <w:iCs/>
          <w:lang w:val="hu-HU"/>
        </w:rPr>
        <w:t xml:space="preserve">kezelés hatásossága az elsődleges végpontra monoterápiás </w:t>
      </w:r>
      <w:r w:rsidR="00334065" w:rsidRPr="00FA58AB">
        <w:rPr>
          <w:bCs/>
          <w:iCs/>
          <w:lang w:val="hu-HU"/>
        </w:rPr>
        <w:t xml:space="preserve">és kombinált </w:t>
      </w:r>
      <w:r w:rsidRPr="00FA58AB">
        <w:rPr>
          <w:bCs/>
          <w:iCs/>
          <w:lang w:val="hu-HU"/>
        </w:rPr>
        <w:t>formában alkalmazva</w:t>
      </w:r>
      <w:r w:rsidR="00334065">
        <w:rPr>
          <w:bCs/>
          <w:iCs/>
          <w:lang w:val="hu-HU"/>
        </w:rPr>
        <w:t xml:space="preserve"> is</w:t>
      </w:r>
      <w:r w:rsidRPr="00FA58AB">
        <w:rPr>
          <w:bCs/>
          <w:iCs/>
          <w:lang w:val="hu-HU"/>
        </w:rPr>
        <w:t xml:space="preserve">, a WHO funkcionális besorolásának (I/II és III/IV) </w:t>
      </w:r>
      <w:r w:rsidR="00360FC7" w:rsidRPr="00FA58AB">
        <w:rPr>
          <w:bCs/>
          <w:iCs/>
          <w:lang w:val="hu-HU"/>
        </w:rPr>
        <w:t xml:space="preserve">megfelelően </w:t>
      </w:r>
      <w:r w:rsidRPr="00FA58AB">
        <w:rPr>
          <w:bCs/>
          <w:iCs/>
          <w:lang w:val="hu-HU"/>
        </w:rPr>
        <w:t>konzisztens volt az életkor, a nem, az etnikai hovatartozás, a földrajzi régió és a betegség etiológiája szerinti alcsoportokban.</w:t>
      </w:r>
    </w:p>
    <w:p w14:paraId="03FE22A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4783505B" w14:textId="77777777" w:rsidR="000E098D" w:rsidRPr="00FA58AB" w:rsidRDefault="000E098D" w:rsidP="00E47067">
      <w:pPr>
        <w:keepNext/>
        <w:autoSpaceDE w:val="0"/>
        <w:autoSpaceDN w:val="0"/>
        <w:adjustRightInd w:val="0"/>
        <w:spacing w:line="240" w:lineRule="auto"/>
        <w:ind w:left="1134" w:hanging="1145"/>
        <w:rPr>
          <w:b/>
          <w:iCs/>
          <w:lang w:val="hu-HU"/>
        </w:rPr>
      </w:pPr>
      <w:r w:rsidRPr="00FA58AB">
        <w:rPr>
          <w:b/>
          <w:iCs/>
          <w:lang w:val="hu-HU"/>
        </w:rPr>
        <w:t>1. ábra</w:t>
      </w:r>
      <w:r w:rsidRPr="00FA58AB">
        <w:rPr>
          <w:b/>
          <w:iCs/>
          <w:lang w:val="hu-HU"/>
        </w:rPr>
        <w:tab/>
        <w:t>A Kaplan–Meier-becslés szerint az első morbiditási-mortalitási esemény a SERAPHIN vizsgálatban.</w:t>
      </w:r>
    </w:p>
    <w:p w14:paraId="13AE930B" w14:textId="77777777" w:rsidR="000E098D" w:rsidRPr="00FA58AB" w:rsidRDefault="000E098D" w:rsidP="00E47067">
      <w:pPr>
        <w:rPr>
          <w:lang w:val="hu-HU"/>
        </w:rPr>
      </w:pPr>
      <w:r w:rsidRPr="00FA58AB">
        <w:rPr>
          <w:noProof/>
          <w:snapToGrid/>
          <w:lang w:val="hu-HU" w:eastAsia="hu-HU"/>
        </w:rPr>
        <w:drawing>
          <wp:anchor distT="0" distB="0" distL="114300" distR="114300" simplePos="0" relativeHeight="251658752" behindDoc="0" locked="0" layoutInCell="1" allowOverlap="1" wp14:anchorId="5A0EED07" wp14:editId="09A8139E">
            <wp:simplePos x="0" y="0"/>
            <wp:positionH relativeFrom="margin">
              <wp:align>left</wp:align>
            </wp:positionH>
            <wp:positionV relativeFrom="paragraph">
              <wp:posOffset>272480</wp:posOffset>
            </wp:positionV>
            <wp:extent cx="5372100" cy="4777740"/>
            <wp:effectExtent l="0" t="0" r="0" b="3810"/>
            <wp:wrapTopAndBottom/>
            <wp:docPr id="11648632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863253" name="Picture 116486325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BDAA0" w14:textId="77777777" w:rsidR="000E098D" w:rsidRPr="00FA58AB" w:rsidRDefault="000E098D" w:rsidP="00E47067">
      <w:pPr>
        <w:rPr>
          <w:lang w:val="hu-HU"/>
        </w:rPr>
      </w:pPr>
    </w:p>
    <w:p w14:paraId="180EE67F" w14:textId="77777777" w:rsidR="000E098D" w:rsidRPr="00FA58AB" w:rsidRDefault="000E098D" w:rsidP="00A07A6E">
      <w:pPr>
        <w:keepNext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FA58AB">
        <w:rPr>
          <w:rFonts w:eastAsia="Times New Roman"/>
          <w:b/>
          <w:bCs/>
          <w:snapToGrid/>
          <w:szCs w:val="22"/>
          <w:lang w:val="hu-HU" w:eastAsia="en-US"/>
        </w:rPr>
        <w:lastRenderedPageBreak/>
        <w:t xml:space="preserve">1. táblázat </w:t>
      </w:r>
      <w:r w:rsidRPr="00FA58AB">
        <w:rPr>
          <w:rFonts w:eastAsia="Times New Roman"/>
          <w:b/>
          <w:bCs/>
          <w:snapToGrid/>
          <w:szCs w:val="22"/>
          <w:lang w:val="hu-HU" w:eastAsia="en-US"/>
        </w:rPr>
        <w:tab/>
        <w:t>Kimeneti események összefoglalása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1696"/>
        <w:gridCol w:w="1134"/>
        <w:gridCol w:w="1276"/>
        <w:gridCol w:w="1276"/>
        <w:gridCol w:w="1417"/>
        <w:gridCol w:w="1276"/>
        <w:gridCol w:w="992"/>
      </w:tblGrid>
      <w:tr w:rsidR="000E098D" w:rsidRPr="00296CF6" w14:paraId="28C219F8" w14:textId="77777777" w:rsidTr="003F6A4A">
        <w:tc>
          <w:tcPr>
            <w:tcW w:w="1696" w:type="dxa"/>
            <w:vMerge w:val="restart"/>
            <w:vAlign w:val="center"/>
          </w:tcPr>
          <w:p w14:paraId="0EAD5CB9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Végpontok és statisztika</w:t>
            </w:r>
          </w:p>
        </w:tc>
        <w:tc>
          <w:tcPr>
            <w:tcW w:w="2410" w:type="dxa"/>
            <w:gridSpan w:val="2"/>
            <w:vAlign w:val="center"/>
          </w:tcPr>
          <w:p w14:paraId="2BCADCBB" w14:textId="77777777" w:rsidR="000E098D" w:rsidRPr="00FA58AB" w:rsidRDefault="000E098D" w:rsidP="00A07A6E">
            <w:pPr>
              <w:keepNext/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Betegek, akiknél valamilyen esemény jelentkezett</w:t>
            </w:r>
          </w:p>
        </w:tc>
        <w:tc>
          <w:tcPr>
            <w:tcW w:w="4961" w:type="dxa"/>
            <w:gridSpan w:val="4"/>
            <w:vAlign w:val="center"/>
          </w:tcPr>
          <w:p w14:paraId="2082BC44" w14:textId="7B9553C1" w:rsidR="000E098D" w:rsidRPr="00FA58AB" w:rsidRDefault="000E098D" w:rsidP="00A07A6E">
            <w:pPr>
              <w:keepNext/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kezelés összehasonlítása:</w:t>
            </w:r>
          </w:p>
          <w:p w14:paraId="527D375F" w14:textId="77777777" w:rsidR="000E098D" w:rsidRPr="00FA58AB" w:rsidRDefault="000E098D" w:rsidP="00A07A6E">
            <w:pPr>
              <w:keepNext/>
              <w:ind w:right="-337"/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10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mg macitentán vs. placebo</w:t>
            </w:r>
          </w:p>
        </w:tc>
      </w:tr>
      <w:tr w:rsidR="000E098D" w:rsidRPr="00FA58AB" w14:paraId="449A1543" w14:textId="77777777" w:rsidTr="003F6A4A">
        <w:tc>
          <w:tcPr>
            <w:tcW w:w="1696" w:type="dxa"/>
            <w:vMerge/>
          </w:tcPr>
          <w:p w14:paraId="396B0C7F" w14:textId="77777777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1134" w:type="dxa"/>
            <w:vAlign w:val="center"/>
          </w:tcPr>
          <w:p w14:paraId="5ACB2FF6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Placebo</w:t>
            </w:r>
          </w:p>
          <w:p w14:paraId="3FFBE9AD" w14:textId="77777777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(N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=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250)</w:t>
            </w:r>
          </w:p>
        </w:tc>
        <w:tc>
          <w:tcPr>
            <w:tcW w:w="1276" w:type="dxa"/>
            <w:vAlign w:val="center"/>
          </w:tcPr>
          <w:p w14:paraId="3E406E9C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10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mg macitentán</w:t>
            </w:r>
          </w:p>
          <w:p w14:paraId="48E02B91" w14:textId="2ABB1F28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(N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=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242)</w:t>
            </w:r>
          </w:p>
        </w:tc>
        <w:tc>
          <w:tcPr>
            <w:tcW w:w="1276" w:type="dxa"/>
            <w:vAlign w:val="center"/>
          </w:tcPr>
          <w:p w14:paraId="5AF42BCC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Az abszolút kockázat csökkenése</w:t>
            </w:r>
          </w:p>
          <w:p w14:paraId="64410DF2" w14:textId="77777777" w:rsidR="000E098D" w:rsidRPr="00FA58AB" w:rsidRDefault="000E098D" w:rsidP="00A07A6E">
            <w:pPr>
              <w:keepNext/>
              <w:rPr>
                <w:b/>
                <w:bCs/>
                <w:szCs w:val="22"/>
                <w:lang w:val="hu-HU" w:eastAsia="en-US"/>
              </w:rPr>
            </w:pPr>
          </w:p>
        </w:tc>
        <w:tc>
          <w:tcPr>
            <w:tcW w:w="1417" w:type="dxa"/>
            <w:vAlign w:val="center"/>
          </w:tcPr>
          <w:p w14:paraId="2EC0D8C7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relatív kockázat csökkenése</w:t>
            </w:r>
          </w:p>
          <w:p w14:paraId="3749184B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(97,5%-os CI)</w:t>
            </w:r>
          </w:p>
        </w:tc>
        <w:tc>
          <w:tcPr>
            <w:tcW w:w="1276" w:type="dxa"/>
            <w:vAlign w:val="center"/>
          </w:tcPr>
          <w:p w14:paraId="0A35D276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HR 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a</w:t>
            </w:r>
          </w:p>
          <w:p w14:paraId="4DD7AAD8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(97,5%-os CI)</w:t>
            </w:r>
          </w:p>
        </w:tc>
        <w:tc>
          <w:tcPr>
            <w:tcW w:w="992" w:type="dxa"/>
            <w:vAlign w:val="center"/>
          </w:tcPr>
          <w:p w14:paraId="65C2003A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Log-rank</w:t>
            </w:r>
          </w:p>
          <w:p w14:paraId="5E8F9027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p-érték</w:t>
            </w:r>
          </w:p>
        </w:tc>
      </w:tr>
      <w:tr w:rsidR="000E098D" w:rsidRPr="00FA58AB" w14:paraId="29725E3D" w14:textId="77777777" w:rsidTr="000A71B7">
        <w:tc>
          <w:tcPr>
            <w:tcW w:w="1696" w:type="dxa"/>
          </w:tcPr>
          <w:p w14:paraId="662E9729" w14:textId="77777777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Morbiditási-mortalitási esemény 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b</w:t>
            </w:r>
          </w:p>
        </w:tc>
        <w:tc>
          <w:tcPr>
            <w:tcW w:w="1134" w:type="dxa"/>
            <w:vAlign w:val="center"/>
          </w:tcPr>
          <w:p w14:paraId="2469E859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53%</w:t>
            </w:r>
          </w:p>
        </w:tc>
        <w:tc>
          <w:tcPr>
            <w:tcW w:w="1276" w:type="dxa"/>
            <w:vAlign w:val="center"/>
          </w:tcPr>
          <w:p w14:paraId="0E0359C1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37%</w:t>
            </w:r>
          </w:p>
        </w:tc>
        <w:tc>
          <w:tcPr>
            <w:tcW w:w="1276" w:type="dxa"/>
            <w:vAlign w:val="center"/>
          </w:tcPr>
          <w:p w14:paraId="3196F62A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16%</w:t>
            </w:r>
          </w:p>
        </w:tc>
        <w:tc>
          <w:tcPr>
            <w:tcW w:w="1417" w:type="dxa"/>
            <w:vAlign w:val="center"/>
          </w:tcPr>
          <w:p w14:paraId="076E73D1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45%</w:t>
            </w:r>
          </w:p>
          <w:p w14:paraId="335DC223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(24%–61%)</w:t>
            </w:r>
          </w:p>
        </w:tc>
        <w:tc>
          <w:tcPr>
            <w:tcW w:w="1276" w:type="dxa"/>
            <w:vAlign w:val="center"/>
          </w:tcPr>
          <w:p w14:paraId="2EED8ECF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0,55</w:t>
            </w:r>
          </w:p>
          <w:p w14:paraId="6A8C69B9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(0,39–0,76)</w:t>
            </w:r>
          </w:p>
        </w:tc>
        <w:tc>
          <w:tcPr>
            <w:tcW w:w="992" w:type="dxa"/>
            <w:vAlign w:val="center"/>
          </w:tcPr>
          <w:p w14:paraId="27C0C5D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&lt; 0,0001</w:t>
            </w:r>
          </w:p>
        </w:tc>
      </w:tr>
      <w:tr w:rsidR="000E098D" w:rsidRPr="00FA58AB" w14:paraId="5922687C" w14:textId="77777777" w:rsidTr="000A71B7">
        <w:tc>
          <w:tcPr>
            <w:tcW w:w="1696" w:type="dxa"/>
          </w:tcPr>
          <w:p w14:paraId="5D4B9EF9" w14:textId="77777777" w:rsidR="000F16CA" w:rsidRDefault="000E098D" w:rsidP="00A07A6E">
            <w:pPr>
              <w:keepNext/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Halál 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c</w:t>
            </w:r>
            <w:r w:rsidR="003F6A4A"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 xml:space="preserve"> </w:t>
            </w:r>
          </w:p>
          <w:p w14:paraId="4D77D925" w14:textId="4F507955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09D23065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19 (7,6%)</w:t>
            </w:r>
          </w:p>
        </w:tc>
        <w:tc>
          <w:tcPr>
            <w:tcW w:w="1276" w:type="dxa"/>
            <w:vAlign w:val="center"/>
          </w:tcPr>
          <w:p w14:paraId="5F973EE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14 (5,8%)</w:t>
            </w:r>
          </w:p>
        </w:tc>
        <w:tc>
          <w:tcPr>
            <w:tcW w:w="1276" w:type="dxa"/>
            <w:vAlign w:val="center"/>
          </w:tcPr>
          <w:p w14:paraId="4854DDD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2%</w:t>
            </w:r>
          </w:p>
        </w:tc>
        <w:tc>
          <w:tcPr>
            <w:tcW w:w="1417" w:type="dxa"/>
            <w:vAlign w:val="center"/>
          </w:tcPr>
          <w:p w14:paraId="7ACF443D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36%</w:t>
            </w:r>
          </w:p>
          <w:p w14:paraId="7C79CEC5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(-42%- 71%)</w:t>
            </w:r>
          </w:p>
        </w:tc>
        <w:tc>
          <w:tcPr>
            <w:tcW w:w="1276" w:type="dxa"/>
            <w:vAlign w:val="center"/>
          </w:tcPr>
          <w:p w14:paraId="67FE4A15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0,64</w:t>
            </w:r>
          </w:p>
          <w:p w14:paraId="216D04D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(0,29–1,42)</w:t>
            </w:r>
          </w:p>
        </w:tc>
        <w:tc>
          <w:tcPr>
            <w:tcW w:w="992" w:type="dxa"/>
            <w:vAlign w:val="center"/>
          </w:tcPr>
          <w:p w14:paraId="6E5F4D39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0,20</w:t>
            </w:r>
          </w:p>
        </w:tc>
      </w:tr>
      <w:tr w:rsidR="000E098D" w:rsidRPr="00FA58AB" w14:paraId="3CBF861E" w14:textId="77777777" w:rsidTr="000A71B7">
        <w:tc>
          <w:tcPr>
            <w:tcW w:w="1696" w:type="dxa"/>
          </w:tcPr>
          <w:p w14:paraId="61BFDA37" w14:textId="54ECF45A" w:rsidR="000F16CA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PAH súlyosbodása</w:t>
            </w:r>
          </w:p>
          <w:p w14:paraId="1C7F9FB5" w14:textId="39B4A237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671E96D4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93 (37,2%)</w:t>
            </w:r>
          </w:p>
        </w:tc>
        <w:tc>
          <w:tcPr>
            <w:tcW w:w="1276" w:type="dxa"/>
            <w:vAlign w:val="center"/>
          </w:tcPr>
          <w:p w14:paraId="1B8D2613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59 (24,4%)</w:t>
            </w:r>
          </w:p>
        </w:tc>
        <w:tc>
          <w:tcPr>
            <w:tcW w:w="1276" w:type="dxa"/>
            <w:vAlign w:val="center"/>
          </w:tcPr>
          <w:p w14:paraId="10FA5F54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13%</w:t>
            </w:r>
          </w:p>
        </w:tc>
        <w:tc>
          <w:tcPr>
            <w:tcW w:w="1417" w:type="dxa"/>
            <w:vMerge w:val="restart"/>
            <w:vAlign w:val="center"/>
          </w:tcPr>
          <w:p w14:paraId="7027C45F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49%</w:t>
            </w:r>
          </w:p>
          <w:p w14:paraId="40A56CD1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(27%–65%)</w:t>
            </w:r>
          </w:p>
        </w:tc>
        <w:tc>
          <w:tcPr>
            <w:tcW w:w="1276" w:type="dxa"/>
            <w:vMerge w:val="restart"/>
            <w:vAlign w:val="center"/>
          </w:tcPr>
          <w:p w14:paraId="254C74F4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0,51</w:t>
            </w:r>
          </w:p>
          <w:p w14:paraId="012F851E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(0,35–0,73)</w:t>
            </w:r>
          </w:p>
        </w:tc>
        <w:tc>
          <w:tcPr>
            <w:tcW w:w="992" w:type="dxa"/>
            <w:vMerge w:val="restart"/>
            <w:vAlign w:val="center"/>
          </w:tcPr>
          <w:p w14:paraId="1712868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&lt; 0,0001</w:t>
            </w:r>
          </w:p>
        </w:tc>
      </w:tr>
      <w:tr w:rsidR="000E098D" w:rsidRPr="00FA58AB" w14:paraId="2E45556D" w14:textId="77777777" w:rsidTr="000A71B7">
        <w:tc>
          <w:tcPr>
            <w:tcW w:w="1696" w:type="dxa"/>
          </w:tcPr>
          <w:p w14:paraId="1A88FE29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Az iv./sc.</w:t>
            </w:r>
          </w:p>
          <w:p w14:paraId="24C0569E" w14:textId="77777777" w:rsidR="00614D1D" w:rsidRDefault="000E098D" w:rsidP="000A71B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prosztanoid-kezelés kezdete</w:t>
            </w:r>
          </w:p>
          <w:p w14:paraId="3AEA73B9" w14:textId="2166FE95" w:rsidR="000E098D" w:rsidRPr="00FA58AB" w:rsidRDefault="000E098D" w:rsidP="000A71B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4F665B0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6 (2,4%)</w:t>
            </w:r>
          </w:p>
        </w:tc>
        <w:tc>
          <w:tcPr>
            <w:tcW w:w="1276" w:type="dxa"/>
            <w:vAlign w:val="center"/>
          </w:tcPr>
          <w:p w14:paraId="24BEAE5A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 (0,4%)</w:t>
            </w:r>
          </w:p>
        </w:tc>
        <w:tc>
          <w:tcPr>
            <w:tcW w:w="1276" w:type="dxa"/>
            <w:vAlign w:val="center"/>
          </w:tcPr>
          <w:p w14:paraId="42337CE0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2%</w:t>
            </w:r>
          </w:p>
        </w:tc>
        <w:tc>
          <w:tcPr>
            <w:tcW w:w="1417" w:type="dxa"/>
            <w:vMerge/>
          </w:tcPr>
          <w:p w14:paraId="4C4A7078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1276" w:type="dxa"/>
            <w:vMerge/>
          </w:tcPr>
          <w:p w14:paraId="5EC9964A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992" w:type="dxa"/>
            <w:vMerge/>
          </w:tcPr>
          <w:p w14:paraId="769787E5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</w:tr>
    </w:tbl>
    <w:p w14:paraId="34EB0C8B" w14:textId="6B04D7AB" w:rsidR="000E098D" w:rsidRPr="00FA58AB" w:rsidRDefault="000E098D" w:rsidP="00E47067">
      <w:pPr>
        <w:rPr>
          <w:snapToGrid/>
          <w:szCs w:val="22"/>
          <w:lang w:val="hu-HU" w:eastAsia="en-US"/>
        </w:rPr>
      </w:pPr>
      <w:r w:rsidRPr="00FA58AB">
        <w:rPr>
          <w:snapToGrid/>
          <w:szCs w:val="22"/>
          <w:vertAlign w:val="superscript"/>
          <w:lang w:val="hu-HU" w:eastAsia="en-US"/>
        </w:rPr>
        <w:t>a</w:t>
      </w:r>
      <w:r w:rsidRPr="00FA58AB">
        <w:rPr>
          <w:snapToGrid/>
          <w:szCs w:val="22"/>
          <w:lang w:val="hu-HU" w:eastAsia="en-US"/>
        </w:rPr>
        <w:t xml:space="preserve"> = a Cox-féle proporcionális veszélyek modell alapján</w:t>
      </w:r>
      <w:r w:rsidR="004D015B">
        <w:rPr>
          <w:snapToGrid/>
          <w:szCs w:val="22"/>
          <w:lang w:val="hu-HU" w:eastAsia="en-US"/>
        </w:rPr>
        <w:t>.</w:t>
      </w:r>
    </w:p>
    <w:p w14:paraId="384CF116" w14:textId="37A90A81" w:rsidR="000E098D" w:rsidRPr="00FA58AB" w:rsidRDefault="000E098D" w:rsidP="00E47067">
      <w:pPr>
        <w:rPr>
          <w:snapToGrid/>
          <w:szCs w:val="22"/>
          <w:lang w:val="hu-HU" w:eastAsia="en-US"/>
        </w:rPr>
      </w:pPr>
      <w:r w:rsidRPr="00FA58AB">
        <w:rPr>
          <w:snapToGrid/>
          <w:szCs w:val="22"/>
          <w:vertAlign w:val="superscript"/>
          <w:lang w:val="hu-HU" w:eastAsia="en-US"/>
        </w:rPr>
        <w:t>b</w:t>
      </w:r>
      <w:r w:rsidRPr="00FA58AB">
        <w:rPr>
          <w:snapToGrid/>
          <w:szCs w:val="22"/>
          <w:lang w:val="hu-HU" w:eastAsia="en-US"/>
        </w:rPr>
        <w:t xml:space="preserve"> = azon betegek %-os aránya, akiknél valamilyen esemény jelentkezett 36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hónap alatt =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100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×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(1</w:t>
      </w:r>
      <w:r w:rsidR="004D015B">
        <w:rPr>
          <w:snapToGrid/>
          <w:szCs w:val="22"/>
          <w:lang w:val="hu-HU" w:eastAsia="en-US"/>
        </w:rPr>
        <w:noBreakHyphen/>
      </w:r>
      <w:r w:rsidRPr="00FA58AB">
        <w:rPr>
          <w:snapToGrid/>
          <w:szCs w:val="22"/>
          <w:lang w:val="hu-HU" w:eastAsia="en-US"/>
        </w:rPr>
        <w:t>KM-becslés)</w:t>
      </w:r>
      <w:r w:rsidR="004D015B">
        <w:rPr>
          <w:snapToGrid/>
          <w:szCs w:val="22"/>
          <w:lang w:val="hu-HU" w:eastAsia="en-US"/>
        </w:rPr>
        <w:t>.</w:t>
      </w:r>
    </w:p>
    <w:p w14:paraId="7AC9A27E" w14:textId="59FF7143" w:rsidR="000E098D" w:rsidRPr="00FA58AB" w:rsidRDefault="000E098D" w:rsidP="00E47067">
      <w:pPr>
        <w:rPr>
          <w:snapToGrid/>
          <w:szCs w:val="22"/>
          <w:lang w:val="hu-HU" w:eastAsia="en-US"/>
        </w:rPr>
      </w:pPr>
      <w:r w:rsidRPr="00FA58AB">
        <w:rPr>
          <w:snapToGrid/>
          <w:szCs w:val="22"/>
          <w:vertAlign w:val="superscript"/>
          <w:lang w:val="hu-HU" w:eastAsia="en-US"/>
        </w:rPr>
        <w:t>c</w:t>
      </w:r>
      <w:r w:rsidRPr="00FA58AB">
        <w:rPr>
          <w:snapToGrid/>
          <w:szCs w:val="22"/>
          <w:lang w:val="hu-HU" w:eastAsia="en-US"/>
        </w:rPr>
        <w:t xml:space="preserve"> = bármely okból bekövetkező halál a kezelés időszakának végéig, tekintet nélkül a korábbi súlyosbodásra</w:t>
      </w:r>
      <w:r w:rsidR="004D015B">
        <w:rPr>
          <w:snapToGrid/>
          <w:szCs w:val="22"/>
          <w:lang w:val="hu-HU" w:eastAsia="en-US"/>
        </w:rPr>
        <w:t>.</w:t>
      </w:r>
    </w:p>
    <w:p w14:paraId="246BC33F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52E0AF2" w14:textId="4EB9CF84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bármely okból bekövetkezett halálozások száma a vizsgálat végéig tartó időszakban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 macitentánnal kezelt csoportban 35, míg a placebót kapó csoportban 44 volt (HR 0,77; 97,5%-os CI 0,46</w:t>
      </w:r>
      <w:r w:rsidR="00A815B9" w:rsidRPr="00FA58AB">
        <w:rPr>
          <w:snapToGrid/>
          <w:lang w:val="hu-HU" w:eastAsia="en-US"/>
        </w:rPr>
        <w:noBreakHyphen/>
      </w:r>
      <w:r w:rsidRPr="00FA58AB">
        <w:rPr>
          <w:snapToGrid/>
          <w:lang w:val="hu-HU" w:eastAsia="en-US"/>
        </w:rPr>
        <w:t>1,28).</w:t>
      </w:r>
    </w:p>
    <w:p w14:paraId="6266D58E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E1B9B27" w14:textId="4202D09B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 xml:space="preserve">A PAH-hal összefüggő halálesetek kockázata és a PAH miatti kórházi kezelés a kezelés időszakának végéig a placebocsoporthoz (84 esemény) képest 50%-kal </w:t>
      </w:r>
      <w:r w:rsidR="00360FC7" w:rsidRPr="00FA58AB">
        <w:rPr>
          <w:snapToGrid/>
          <w:lang w:val="hu-HU" w:eastAsia="en-US"/>
        </w:rPr>
        <w:t xml:space="preserve">csökkent </w:t>
      </w:r>
      <w:r w:rsidRPr="00FA58AB">
        <w:rPr>
          <w:snapToGrid/>
          <w:lang w:val="hu-HU" w:eastAsia="en-US"/>
        </w:rPr>
        <w:t>(HR 0,50; 97,5%-os CI 0,34</w:t>
      </w:r>
      <w:r w:rsidRPr="00FA58AB">
        <w:rPr>
          <w:snapToGrid/>
          <w:lang w:val="hu-HU" w:eastAsia="en-US"/>
        </w:rPr>
        <w:noBreakHyphen/>
        <w:t>0,75; log-rank p &lt; 0,0001)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</w:t>
      </w:r>
      <w:r w:rsidR="00614D1D">
        <w:rPr>
          <w:snapToGrid/>
          <w:lang w:val="hu-HU" w:eastAsia="en-US"/>
        </w:rPr>
        <w:t>-os</w:t>
      </w:r>
      <w:r w:rsidRPr="00FA58AB">
        <w:rPr>
          <w:snapToGrid/>
          <w:lang w:val="hu-HU" w:eastAsia="en-US"/>
        </w:rPr>
        <w:t xml:space="preserve"> dózisú macitentán-csoportban (50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esemény). 36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 alatt a placebót kapó betegek 44,6%-a,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 macitentánnal kezelt betegeknek pedig a 29,4%-a (abszolút kockázat csökkenése: ARR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15,2%) szorult kórházi ellátásra vagy halt meg PAH</w:t>
      </w:r>
      <w:r w:rsidRPr="00FA58AB">
        <w:rPr>
          <w:snapToGrid/>
          <w:lang w:val="hu-HU" w:eastAsia="en-US"/>
        </w:rPr>
        <w:noBreakHyphen/>
        <w:t>hal kapcsolatos ok miatt.</w:t>
      </w:r>
    </w:p>
    <w:p w14:paraId="241BF698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FCFED60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t>Tüneti végpontok</w:t>
      </w:r>
    </w:p>
    <w:p w14:paraId="7C75B96B" w14:textId="77777777" w:rsidR="00A815B9" w:rsidRPr="00FA58AB" w:rsidRDefault="00A815B9" w:rsidP="00E47067">
      <w:pPr>
        <w:rPr>
          <w:snapToGrid/>
          <w:lang w:val="hu-HU" w:eastAsia="en-US"/>
        </w:rPr>
      </w:pPr>
    </w:p>
    <w:p w14:paraId="46D252A4" w14:textId="07416476" w:rsidR="000E098D" w:rsidRPr="00FA58AB" w:rsidRDefault="000E098D" w:rsidP="00E47067">
      <w:pPr>
        <w:rPr>
          <w:snapToGrid/>
          <w:lang w:val="hu-HU" w:eastAsia="en-US"/>
        </w:rPr>
      </w:pPr>
      <w:r w:rsidRPr="00261226">
        <w:rPr>
          <w:snapToGrid/>
          <w:lang w:val="hu-HU" w:eastAsia="en-US"/>
        </w:rPr>
        <w:t>Másodlagos végpontként a fizikai terhelhetőséget definiálták. A 6.</w:t>
      </w:r>
      <w:r w:rsidRPr="00261226">
        <w:rPr>
          <w:lang w:val="hu-HU"/>
        </w:rPr>
        <w:t> </w:t>
      </w:r>
      <w:r w:rsidRPr="00261226">
        <w:rPr>
          <w:snapToGrid/>
          <w:lang w:val="hu-HU" w:eastAsia="en-US"/>
        </w:rPr>
        <w:t>hónapra a 10</w:t>
      </w:r>
      <w:r w:rsidRPr="00261226">
        <w:rPr>
          <w:lang w:val="hu-HU"/>
        </w:rPr>
        <w:t> </w:t>
      </w:r>
      <w:r w:rsidRPr="00261226">
        <w:rPr>
          <w:snapToGrid/>
          <w:lang w:val="hu-HU" w:eastAsia="en-US"/>
        </w:rPr>
        <w:t>mg macitentán</w:t>
      </w:r>
      <w:r w:rsidR="00261226">
        <w:rPr>
          <w:snapToGrid/>
          <w:lang w:val="hu-HU" w:eastAsia="en-US"/>
        </w:rPr>
        <w:t>-</w:t>
      </w:r>
      <w:r w:rsidRPr="00FA58AB">
        <w:rPr>
          <w:snapToGrid/>
          <w:lang w:val="hu-HU" w:eastAsia="en-US"/>
        </w:rPr>
        <w:t>dózissal végzett kezelés hatására a 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perces séta alatt megtett távolság (6MWD) placebokorrigált átlagos távolságnövekménye 22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 volt (97,5%-os CI: 3–41; p = 0,0078). A 6MWD értékelése funkcionális besorolás alapján placebokorrigált átlagos növekedést eredményezett a 6.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hónapra a kiindulási értékhez képest, ami 37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métert (97,5%-os CI: 5–69) jelentett a III-as/IV-es stádiumba sorolt és 12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métert (97,5%-os CI: –8-tól 33-ig) a I-es/II-es stádiumba sorolt betegek esetében. A macitentánnal elért növekedés a 6MWD felmérés eredményét illetően a vizsgálat teljes időtartama alatt fennmaradt.</w:t>
      </w:r>
    </w:p>
    <w:p w14:paraId="0DB94475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783FF0B" w14:textId="72B7BD89" w:rsidR="000E098D" w:rsidRPr="00FA58AB" w:rsidRDefault="000E098D" w:rsidP="00E47067">
      <w:pPr>
        <w:rPr>
          <w:snapToGrid/>
          <w:lang w:val="hu-HU" w:eastAsia="en-US"/>
        </w:rPr>
      </w:pPr>
      <w:r w:rsidRPr="0081722C">
        <w:rPr>
          <w:snapToGrid/>
          <w:lang w:val="hu-HU" w:eastAsia="en-US"/>
        </w:rPr>
        <w:t>A 10</w:t>
      </w:r>
      <w:r w:rsidRPr="0081722C">
        <w:rPr>
          <w:lang w:val="hu-HU"/>
        </w:rPr>
        <w:t> </w:t>
      </w:r>
      <w:r w:rsidRPr="0081722C">
        <w:rPr>
          <w:snapToGrid/>
          <w:lang w:val="hu-HU" w:eastAsia="en-US"/>
        </w:rPr>
        <w:t>mg-os macitentán</w:t>
      </w:r>
      <w:r w:rsidR="0081722C">
        <w:rPr>
          <w:snapToGrid/>
          <w:lang w:val="hu-HU" w:eastAsia="en-US"/>
        </w:rPr>
        <w:t>-dóziss</w:t>
      </w:r>
      <w:r w:rsidRPr="0081722C">
        <w:rPr>
          <w:snapToGrid/>
          <w:lang w:val="hu-HU" w:eastAsia="en-US"/>
        </w:rPr>
        <w:t>al való kezelés hatására a 6.</w:t>
      </w:r>
      <w:r w:rsidRPr="0081722C">
        <w:rPr>
          <w:lang w:val="hu-HU"/>
        </w:rPr>
        <w:t> </w:t>
      </w:r>
      <w:r w:rsidRPr="0081722C">
        <w:rPr>
          <w:snapToGrid/>
          <w:lang w:val="hu-HU" w:eastAsia="en-US"/>
        </w:rPr>
        <w:t>hónapra 74%-kal nagyobb volt az esély a jobb</w:t>
      </w:r>
      <w:r w:rsidRPr="00FA58AB">
        <w:rPr>
          <w:snapToGrid/>
          <w:lang w:val="hu-HU" w:eastAsia="en-US"/>
        </w:rPr>
        <w:t xml:space="preserve"> WHO funkcionális besorolásra a placebocsoport betegeinél tapasztaltakhoz képest (kockázati arány 1,74; 97,5%-os CI: 1,10–2,74; p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0,0063).</w:t>
      </w:r>
    </w:p>
    <w:p w14:paraId="3DDC07DD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3D266BF9" w14:textId="27C1659F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Az SF-36-os kérdőív eredményei alapján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</w:t>
      </w:r>
      <w:r w:rsidR="0081722C">
        <w:rPr>
          <w:snapToGrid/>
          <w:lang w:val="hu-HU" w:eastAsia="en-US"/>
        </w:rPr>
        <w:t>-os</w:t>
      </w:r>
      <w:r w:rsidRPr="00FA58AB">
        <w:rPr>
          <w:snapToGrid/>
          <w:lang w:val="hu-HU" w:eastAsia="en-US"/>
        </w:rPr>
        <w:t xml:space="preserve"> macitentán</w:t>
      </w:r>
      <w:r w:rsidR="0081722C">
        <w:rPr>
          <w:snapToGrid/>
          <w:lang w:val="hu-HU" w:eastAsia="en-US"/>
        </w:rPr>
        <w:t>-dózissal</w:t>
      </w:r>
      <w:r w:rsidR="0081722C" w:rsidRPr="00FA58AB">
        <w:rPr>
          <w:snapToGrid/>
          <w:lang w:val="hu-HU" w:eastAsia="en-US"/>
        </w:rPr>
        <w:t xml:space="preserve"> </w:t>
      </w:r>
      <w:r w:rsidRPr="00FA58AB">
        <w:rPr>
          <w:snapToGrid/>
          <w:lang w:val="hu-HU" w:eastAsia="en-US"/>
        </w:rPr>
        <w:t>végzett kezelés javította az életminőséget.</w:t>
      </w:r>
    </w:p>
    <w:p w14:paraId="0608FC43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21C250C9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lastRenderedPageBreak/>
        <w:t>Hemodinamikai végpontok</w:t>
      </w:r>
    </w:p>
    <w:p w14:paraId="040D6464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36A1FC92" w14:textId="41645E87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hónapos kezelést követően a betegek egy részénél (placebo [N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67],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 dózisú macitentán [N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57]) megvizsgálták a hemodinamikai paramétereket.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 dózisú macitentánnal kezelt betegeknél 36,5%-os (medián érték) csökkenés (97,5%-os CI: 21,7–49,2%) volt megfigyelhető a pulmonalis vascularis rezisztencia előfordulását illetően, és 0,58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l/perc/m</w:t>
      </w:r>
      <w:r w:rsidRPr="00FA58AB">
        <w:rPr>
          <w:snapToGrid/>
          <w:vertAlign w:val="superscript"/>
          <w:lang w:val="hu-HU" w:eastAsia="en-US"/>
        </w:rPr>
        <w:t>2</w:t>
      </w:r>
      <w:r w:rsidRPr="00FA58AB">
        <w:rPr>
          <w:snapToGrid/>
          <w:lang w:val="hu-HU" w:eastAsia="en-US"/>
        </w:rPr>
        <w:t xml:space="preserve">-rel növekedett </w:t>
      </w:r>
      <w:r w:rsidR="00A81986" w:rsidRPr="00FA58AB">
        <w:rPr>
          <w:snapToGrid/>
          <w:lang w:val="hu-HU" w:eastAsia="en-US"/>
        </w:rPr>
        <w:t xml:space="preserve">a szívindex </w:t>
      </w:r>
      <w:r w:rsidRPr="00FA58AB">
        <w:rPr>
          <w:snapToGrid/>
          <w:lang w:val="hu-HU" w:eastAsia="en-US"/>
        </w:rPr>
        <w:t>(97,5%-os CI: 0,28–0,93</w:t>
      </w:r>
      <w:r w:rsidR="0081722C">
        <w:rPr>
          <w:snapToGrid/>
          <w:lang w:val="hu-HU" w:eastAsia="en-US"/>
        </w:rPr>
        <w:t> </w:t>
      </w:r>
      <w:r w:rsidRPr="00FA58AB">
        <w:rPr>
          <w:snapToGrid/>
          <w:lang w:val="hu-HU" w:eastAsia="en-US"/>
        </w:rPr>
        <w:t>l/perc/m</w:t>
      </w:r>
      <w:r w:rsidRPr="00FA58AB">
        <w:rPr>
          <w:snapToGrid/>
          <w:vertAlign w:val="superscript"/>
          <w:lang w:val="hu-HU" w:eastAsia="en-US"/>
        </w:rPr>
        <w:t>2</w:t>
      </w:r>
      <w:r w:rsidRPr="00FA58AB">
        <w:rPr>
          <w:snapToGrid/>
          <w:lang w:val="hu-HU" w:eastAsia="en-US"/>
        </w:rPr>
        <w:t>) a placebóval kezelt betegek értékeihez képest.</w:t>
      </w:r>
    </w:p>
    <w:p w14:paraId="7F6346CD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EA0178B" w14:textId="77777777" w:rsidR="000E098D" w:rsidRPr="00FA58AB" w:rsidRDefault="000E098D" w:rsidP="00E47067">
      <w:pPr>
        <w:rPr>
          <w:i/>
          <w:iCs/>
          <w:snapToGrid/>
          <w:lang w:val="hu-HU" w:eastAsia="en-US"/>
        </w:rPr>
      </w:pPr>
      <w:r w:rsidRPr="00FA58AB">
        <w:rPr>
          <w:i/>
          <w:iCs/>
          <w:snapToGrid/>
          <w:lang w:val="hu-HU" w:eastAsia="en-US"/>
        </w:rPr>
        <w:t>Hosszú távú adatok PAH-ban</w:t>
      </w:r>
    </w:p>
    <w:p w14:paraId="3A9D8943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7EB3E6B7" w14:textId="428B2BBF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SERAPHIN vizsgálat kettős vak (double-blind</w:t>
      </w:r>
      <w:r w:rsidR="00A81986">
        <w:rPr>
          <w:snapToGrid/>
          <w:lang w:val="hu-HU" w:eastAsia="en-US"/>
        </w:rPr>
        <w:t xml:space="preserve">, </w:t>
      </w:r>
      <w:r w:rsidRPr="00FA58AB">
        <w:rPr>
          <w:snapToGrid/>
          <w:lang w:val="hu-HU" w:eastAsia="en-US"/>
        </w:rPr>
        <w:t>DB) fázisában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 macitentánnal kezelt 242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beteg hosszú távú követése esetén, akik közül 182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beteg folytatta a macitentán-kezelést a nyílt elrendezésű (open-label</w:t>
      </w:r>
      <w:r w:rsidR="00A81986">
        <w:rPr>
          <w:snapToGrid/>
          <w:lang w:val="hu-HU" w:eastAsia="en-US"/>
        </w:rPr>
        <w:t xml:space="preserve">, </w:t>
      </w:r>
      <w:r w:rsidRPr="00FA58AB">
        <w:rPr>
          <w:snapToGrid/>
          <w:lang w:val="hu-HU" w:eastAsia="en-US"/>
        </w:rPr>
        <w:t>OL) kiterjesztéses vizsgálatban (SERAPHIN OL) (DB/OL kohorsz), a túlélés Kaplan–Meier</w:t>
      </w:r>
      <w:r w:rsidR="0081722C">
        <w:rPr>
          <w:snapToGrid/>
          <w:lang w:val="hu-HU" w:eastAsia="en-US"/>
        </w:rPr>
        <w:t>-</w:t>
      </w:r>
      <w:r w:rsidRPr="00FA58AB">
        <w:rPr>
          <w:snapToGrid/>
          <w:lang w:val="hu-HU" w:eastAsia="en-US"/>
        </w:rPr>
        <w:t>féle becslése az 1., 2., 5., 7. és 9.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évben sorrendben 95%, 89%, 73%, 63% és 53% volt. A medián utánkövetési idő 5,9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év volt.</w:t>
      </w:r>
    </w:p>
    <w:p w14:paraId="56A6F5A9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E2B45E9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t>Gyermekek és serdülők</w:t>
      </w:r>
    </w:p>
    <w:p w14:paraId="633779B3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71CA7DAF" w14:textId="77777777" w:rsidR="0077334B" w:rsidRDefault="008E5107" w:rsidP="008E5107">
      <w:pPr>
        <w:rPr>
          <w:snapToGrid/>
          <w:lang w:val="hu-HU" w:eastAsia="en-US"/>
        </w:rPr>
      </w:pPr>
      <w:r w:rsidRPr="008E5107">
        <w:rPr>
          <w:snapToGrid/>
          <w:lang w:val="hu-HU" w:eastAsia="en-US"/>
        </w:rPr>
        <w:t>Gyermekeknél és serdülőknél a hatásosságot főként extrapolációs módszerrel határozták meg, mely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egyrészt az expozíciónak a felnőttek hatásos dózistartományával való megfeleltetésen alapul,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tekintettel arra, hogy a betegség gyermekeknél és felnőtteknél hasonló, másrészt az alább leírt,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III. fázisú TOMORROW vizsgálat szupportív hatásossági és biztonságossági adatain.</w:t>
      </w:r>
    </w:p>
    <w:p w14:paraId="6433DD51" w14:textId="77777777" w:rsidR="0077334B" w:rsidRDefault="0077334B" w:rsidP="008E5107">
      <w:pPr>
        <w:rPr>
          <w:snapToGrid/>
          <w:lang w:val="hu-HU" w:eastAsia="en-US"/>
        </w:rPr>
      </w:pPr>
    </w:p>
    <w:p w14:paraId="705912A6" w14:textId="5C6BF453" w:rsidR="000E098D" w:rsidRDefault="008E5107" w:rsidP="008E5107">
      <w:pPr>
        <w:rPr>
          <w:snapToGrid/>
          <w:lang w:val="hu-HU" w:eastAsia="en-US"/>
        </w:rPr>
      </w:pPr>
      <w:r w:rsidRPr="008E5107">
        <w:rPr>
          <w:snapToGrid/>
          <w:lang w:val="hu-HU" w:eastAsia="en-US"/>
        </w:rPr>
        <w:t>Egy multicentrikus, nyílt elrendezésű, randomizált, III. fázisú vizsgálatot végeztek, egy nyílt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elrendezésű, egykaros, kiterjesztéses periódussal (TOMORROW), ami a tünetekkel járó PAH-ban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 xml:space="preserve">szenvedő, </w:t>
      </w:r>
      <w:r w:rsidR="0081722C" w:rsidRPr="004F4AC7">
        <w:rPr>
          <w:lang w:val="hu-HU"/>
        </w:rPr>
        <w:t xml:space="preserve">gyermekeknél és serdülőknél </w:t>
      </w:r>
      <w:r w:rsidRPr="008E5107">
        <w:rPr>
          <w:snapToGrid/>
          <w:lang w:val="hu-HU" w:eastAsia="en-US"/>
        </w:rPr>
        <w:t xml:space="preserve">értékelte a </w:t>
      </w:r>
      <w:proofErr w:type="spellStart"/>
      <w:r w:rsidRPr="008E5107">
        <w:rPr>
          <w:snapToGrid/>
          <w:lang w:val="hu-HU" w:eastAsia="en-US"/>
        </w:rPr>
        <w:t>macitentán</w:t>
      </w:r>
      <w:proofErr w:type="spellEnd"/>
      <w:r w:rsidR="00F677E5">
        <w:rPr>
          <w:snapToGrid/>
          <w:lang w:val="hu-HU" w:eastAsia="en-US"/>
        </w:rPr>
        <w:t xml:space="preserve"> </w:t>
      </w:r>
      <w:proofErr w:type="spellStart"/>
      <w:r w:rsidRPr="008E5107">
        <w:rPr>
          <w:snapToGrid/>
          <w:lang w:val="hu-HU" w:eastAsia="en-US"/>
        </w:rPr>
        <w:t>farmakokinetikai</w:t>
      </w:r>
      <w:proofErr w:type="spellEnd"/>
      <w:r w:rsidRPr="008E5107">
        <w:rPr>
          <w:snapToGrid/>
          <w:lang w:val="hu-HU" w:eastAsia="en-US"/>
        </w:rPr>
        <w:t xml:space="preserve"> tulajdonságait,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hatásosságát és biztonságosságát.</w:t>
      </w:r>
    </w:p>
    <w:p w14:paraId="7DB3DD2D" w14:textId="77777777" w:rsidR="008E5107" w:rsidRDefault="008E5107" w:rsidP="008E5107">
      <w:pPr>
        <w:rPr>
          <w:snapToGrid/>
          <w:lang w:val="hu-HU" w:eastAsia="en-US"/>
        </w:rPr>
      </w:pPr>
    </w:p>
    <w:p w14:paraId="5C2E924E" w14:textId="77777777" w:rsidR="00521F9D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Az elsődleges végpont a farmakokinetikai tulajdonságok jellemzése volt (lásd 5.2 pont).</w:t>
      </w:r>
    </w:p>
    <w:p w14:paraId="49C2BDC6" w14:textId="77777777" w:rsidR="00521F9D" w:rsidRPr="00424896" w:rsidRDefault="00521F9D" w:rsidP="0077334B">
      <w:pPr>
        <w:rPr>
          <w:snapToGrid/>
          <w:lang w:val="hu-HU" w:eastAsia="en-US"/>
        </w:rPr>
      </w:pPr>
    </w:p>
    <w:p w14:paraId="1DCC1A49" w14:textId="1256F8C8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 legfontosabb másodlagos összesített végpont a </w:t>
      </w:r>
      <w:r w:rsidR="0081722C" w:rsidRPr="00A07A6E">
        <w:rPr>
          <w:lang w:val="hu-HU"/>
        </w:rPr>
        <w:t>Klinikai Esemény Bizottság (</w:t>
      </w:r>
      <w:r w:rsidRPr="0077334B">
        <w:rPr>
          <w:snapToGrid/>
          <w:lang w:val="hu-HU" w:eastAsia="en-US"/>
        </w:rPr>
        <w:t>Clinical Events Committee</w:t>
      </w:r>
      <w:r w:rsidR="0081722C">
        <w:rPr>
          <w:snapToGrid/>
          <w:lang w:val="hu-HU" w:eastAsia="en-US"/>
        </w:rPr>
        <w:t>,</w:t>
      </w:r>
      <w:r w:rsidRPr="0077334B">
        <w:rPr>
          <w:snapToGrid/>
          <w:lang w:val="hu-HU" w:eastAsia="en-US"/>
        </w:rPr>
        <w:t xml:space="preserve"> CEC) által megerősített,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randomizáció és vizsgálat törzsidőszakának végét (end of the core period – EOCP) jelző vizit alatt a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betegség első progressziójáig eltelt idő volt, ami meghatározás szerint a halálozás (bármilyen okból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bekövetkező halálozás) vagy pitvari septostomia vagy Potts-féle anasztomózis, vagy a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tüdőtranszplantációs listára történő regisztráció, vagy a PAH súlyosbodása miatti hospitalizáció vagy a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 klinikai súlyosbodása. Meghatározása szerint a PAH klinikai súlyosbodása: egy új,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PAH-specifikus terápia vagy iv. diuretikum vagy folyamatos oxigén alkalmazásának szükségessége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vagy annak elkezdése, VALAMINT az alábbiak közül legalább </w:t>
      </w:r>
      <w:r w:rsidR="0081722C">
        <w:rPr>
          <w:snapToGrid/>
          <w:lang w:val="hu-HU" w:eastAsia="en-US"/>
        </w:rPr>
        <w:t>egy</w:t>
      </w:r>
      <w:r w:rsidRPr="0077334B">
        <w:rPr>
          <w:snapToGrid/>
          <w:lang w:val="hu-HU" w:eastAsia="en-US"/>
        </w:rPr>
        <w:t>: a WHO szerinti funkcionális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osztályozás súlyosbodása, újonnan kialakuló vagy súlyosbodó ájulás, vagy újonnan kialakuló vagy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súlyosbodó, legalább </w:t>
      </w:r>
      <w:r w:rsidR="0081722C">
        <w:rPr>
          <w:snapToGrid/>
          <w:lang w:val="hu-HU" w:eastAsia="en-US"/>
        </w:rPr>
        <w:t>két</w:t>
      </w:r>
      <w:r w:rsidRPr="0077334B">
        <w:rPr>
          <w:snapToGrid/>
          <w:lang w:val="hu-HU" w:eastAsia="en-US"/>
        </w:rPr>
        <w:t xml:space="preserve"> PAH tünet, vagy újonnan kialakuló vagy súlyosbodó, </w:t>
      </w:r>
      <w:r w:rsidR="0081722C" w:rsidRPr="002437AB">
        <w:rPr>
          <w:i/>
          <w:snapToGrid/>
          <w:lang w:val="hu-HU" w:eastAsia="en-US"/>
        </w:rPr>
        <w:t>per os</w:t>
      </w:r>
      <w:r w:rsidR="0081722C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diuretikumokra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nem reagáló, jobbszívfél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>elégtelenség jelei.</w:t>
      </w:r>
    </w:p>
    <w:p w14:paraId="7EBB425B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69925C46" w14:textId="6B4DB20B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További másodlagos végpontok közé tartozott az első, CEC által megerősített, PAH miatti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hospitalizációig eltelt idő, a CEC által megerősített, PAH miatti halálozásig eltelt idő, a randomizáció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és az EOCP között, a randomizáció és az EOCP között a bármilyen okból bekövetkező halálozásig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eltelt idő, a WHO szerinti funkcionális osztályozásban bekövetkezett változás, valamint az agyi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natriureticus peptid N-terminális proho</w:t>
      </w:r>
      <w:r w:rsidR="00424896">
        <w:rPr>
          <w:snapToGrid/>
          <w:lang w:val="hu-HU" w:eastAsia="en-US"/>
        </w:rPr>
        <w:t>r</w:t>
      </w:r>
      <w:r w:rsidRPr="0077334B">
        <w:rPr>
          <w:snapToGrid/>
          <w:lang w:val="hu-HU" w:eastAsia="en-US"/>
        </w:rPr>
        <w:t>mon (N-terminal prohormone of brain natriuretic peptide –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NT-proBNP) adatok.</w:t>
      </w:r>
    </w:p>
    <w:p w14:paraId="43AB16AC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2EEADC25" w14:textId="7E1851F1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Gyermekek és serdül</w:t>
      </w:r>
      <w:r w:rsidRPr="0077334B">
        <w:rPr>
          <w:rFonts w:ascii="Cambria" w:hAnsi="Cambria" w:cs="Cambria"/>
          <w:i/>
          <w:iCs/>
          <w:snapToGrid/>
          <w:lang w:val="hu-HU" w:eastAsia="en-US"/>
        </w:rPr>
        <w:t>ő</w:t>
      </w:r>
      <w:r w:rsidRPr="0077334B">
        <w:rPr>
          <w:i/>
          <w:iCs/>
          <w:snapToGrid/>
          <w:lang w:val="hu-HU" w:eastAsia="en-US"/>
        </w:rPr>
        <w:t>k (</w:t>
      </w:r>
      <w:r w:rsidR="005F50E0" w:rsidRPr="00424896">
        <w:rPr>
          <w:i/>
          <w:iCs/>
          <w:szCs w:val="22"/>
          <w:lang w:val="hu-HU"/>
        </w:rPr>
        <w:t>≥</w:t>
      </w:r>
      <w:r w:rsidRPr="0077334B">
        <w:rPr>
          <w:i/>
          <w:iCs/>
          <w:snapToGrid/>
          <w:lang w:val="hu-HU" w:eastAsia="en-US"/>
        </w:rPr>
        <w:t xml:space="preserve"> 2 éves kortól 18 évesnél fiatalabb korig)</w:t>
      </w:r>
    </w:p>
    <w:p w14:paraId="0EDE030B" w14:textId="77777777" w:rsidR="00521F9D" w:rsidRPr="0077334B" w:rsidRDefault="00521F9D" w:rsidP="0077334B">
      <w:pPr>
        <w:rPr>
          <w:i/>
          <w:iCs/>
          <w:snapToGrid/>
          <w:lang w:val="hu-HU" w:eastAsia="en-US"/>
        </w:rPr>
      </w:pPr>
    </w:p>
    <w:p w14:paraId="5F2DA0EE" w14:textId="2BB78319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Összesen 148, legalább 2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éves, de 18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korú beteget randomizáltak 1:1 arányban vagy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macitentánra vagy hagyományos kezelésre. A hagyományos kezelés részét képezi a nem specifikus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 xml:space="preserve">kezelés és/vagy legfeljebb </w:t>
      </w:r>
      <w:r w:rsidR="0081722C">
        <w:rPr>
          <w:snapToGrid/>
          <w:lang w:val="hu-HU" w:eastAsia="en-US"/>
        </w:rPr>
        <w:t>kettő</w:t>
      </w:r>
      <w:r w:rsidRPr="0077334B">
        <w:rPr>
          <w:snapToGrid/>
          <w:lang w:val="hu-HU" w:eastAsia="en-US"/>
        </w:rPr>
        <w:t>, PAH-specifikus gyógyszer (köztük egy másik endothelinreceptor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>antagonista), kivéve a macitentánt és az iv./sc. prosztanoidokat. Az átlagéletkor 9,8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volt (tartomány: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2,1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év–17,9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év), köztük 35 (23,6%) </w:t>
      </w:r>
      <w:r w:rsidR="00D07789" w:rsidRPr="00424896">
        <w:rPr>
          <w:szCs w:val="22"/>
          <w:lang w:val="hu-HU"/>
        </w:rPr>
        <w:t>≥</w:t>
      </w:r>
      <w:r w:rsidR="00D07789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2–&lt;6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éves, 61 (41,2%) </w:t>
      </w:r>
      <w:r w:rsidR="00D0778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6–&lt;12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éves, </w:t>
      </w:r>
      <w:r w:rsidRPr="0077334B">
        <w:rPr>
          <w:snapToGrid/>
          <w:lang w:val="hu-HU" w:eastAsia="en-US"/>
        </w:rPr>
        <w:lastRenderedPageBreak/>
        <w:t xml:space="preserve">valamint 52 (35,1%) </w:t>
      </w:r>
      <w:r w:rsidR="004557A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12–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&lt;18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éves. A betegek többsége fehér bőrű (51,4%) és </w:t>
      </w:r>
      <w:r w:rsidR="0081722C">
        <w:rPr>
          <w:snapToGrid/>
          <w:lang w:val="hu-HU" w:eastAsia="en-US"/>
        </w:rPr>
        <w:t>lány</w:t>
      </w:r>
      <w:r w:rsidR="0081722C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(59,5%) volt. A betegek WHO funkcionális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stádiuma I</w:t>
      </w:r>
      <w:r w:rsidR="0081722C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(25,0%), II</w:t>
      </w:r>
      <w:r w:rsidR="0081722C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(56,1%) vagy III</w:t>
      </w:r>
      <w:r w:rsidR="0081722C">
        <w:rPr>
          <w:snapToGrid/>
          <w:lang w:val="hu-HU" w:eastAsia="en-US"/>
        </w:rPr>
        <w:t>-as</w:t>
      </w:r>
      <w:r w:rsidRPr="0077334B">
        <w:rPr>
          <w:snapToGrid/>
          <w:lang w:val="hu-HU" w:eastAsia="en-US"/>
        </w:rPr>
        <w:t xml:space="preserve"> (18,9%) volt.</w:t>
      </w:r>
    </w:p>
    <w:p w14:paraId="3C0F2563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2AFBA0C3" w14:textId="5A406843" w:rsidR="0077334B" w:rsidRPr="00424896" w:rsidRDefault="009F39B9" w:rsidP="0077334B">
      <w:pPr>
        <w:rPr>
          <w:snapToGrid/>
          <w:lang w:val="hu-HU" w:eastAsia="en-US"/>
        </w:rPr>
      </w:pPr>
      <w:r w:rsidRPr="00A07A6E">
        <w:rPr>
          <w:lang w:val="hu-HU"/>
        </w:rPr>
        <w:t xml:space="preserve">A vizsgálati populációban az idiopathiás PAH volt a leggyakoribb etiológia </w:t>
      </w:r>
      <w:r w:rsidR="0077334B" w:rsidRPr="0077334B">
        <w:rPr>
          <w:snapToGrid/>
          <w:lang w:val="hu-HU" w:eastAsia="en-US"/>
        </w:rPr>
        <w:t>(48,0%), amit a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veleszületett szívbetegség műtétje utáni, társuló PAH (28,4%), a veleszületett szívbetegséggel együtt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járó PAH (17,6%), az öröklődő PAH (4,1%), valamint a kötőszöveti betegséggel járó PAH (2,0%)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 xml:space="preserve">követett. Az egyidejűleg fennálló krónikus szívbetegségbe csak </w:t>
      </w:r>
      <w:r>
        <w:rPr>
          <w:snapToGrid/>
          <w:lang w:val="hu-HU" w:eastAsia="en-US"/>
        </w:rPr>
        <w:t xml:space="preserve">jellemzően </w:t>
      </w:r>
      <w:r w:rsidR="0077334B" w:rsidRPr="0077334B">
        <w:rPr>
          <w:snapToGrid/>
          <w:lang w:val="hu-HU" w:eastAsia="en-US"/>
        </w:rPr>
        <w:t>kisebb, kísérő eltérések</w:t>
      </w:r>
      <w:r w:rsidR="003B0125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tartoztak, mint például a pre-tricuspidalis és post-tricuspidalis söntök, a pitvari septum defectus, a</w:t>
      </w:r>
      <w:r w:rsidR="003B0125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kamrai septum defectus, az átjárható ductus arteriosus Botalli, melyek egyik</w:t>
      </w:r>
      <w:r>
        <w:rPr>
          <w:snapToGrid/>
          <w:lang w:val="hu-HU" w:eastAsia="en-US"/>
        </w:rPr>
        <w:t>ét</w:t>
      </w:r>
      <w:r w:rsidR="0077334B" w:rsidRPr="0077334B">
        <w:rPr>
          <w:snapToGrid/>
          <w:lang w:val="hu-HU" w:eastAsia="en-US"/>
        </w:rPr>
        <w:t xml:space="preserve"> sem </w:t>
      </w:r>
      <w:r w:rsidRPr="00A07A6E">
        <w:rPr>
          <w:lang w:val="hu-HU"/>
        </w:rPr>
        <w:t>tekintették olyan hatásúnak, amely meghatározná a PAH súlyosságát</w:t>
      </w:r>
      <w:r w:rsidR="0077334B" w:rsidRPr="0077334B">
        <w:rPr>
          <w:snapToGrid/>
          <w:lang w:val="hu-HU" w:eastAsia="en-US"/>
        </w:rPr>
        <w:t>.</w:t>
      </w:r>
    </w:p>
    <w:p w14:paraId="6038A72C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1ADDA521" w14:textId="1DD5ACE6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randomizált vizsgálatban a kezelés átlagos időtartama 183,4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 volt a macitentán-karon, és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130,6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 volt a hagyományos kezelési karon.</w:t>
      </w:r>
    </w:p>
    <w:p w14:paraId="63B391EA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599540AB" w14:textId="73ECB75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Kevesebb, CEC által megerősített betegség progressziót, mint legfontosabb másodlagos végpont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eseményt figyeltek meg a macitentán-karon (21 esemény/73 beteg, 29%), szemben a hagyományos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kezelési karral (24 esemény/75 beteg, 32%), az abszolút kockázatcsökkenés 3%. A relatív </w:t>
      </w:r>
      <w:r w:rsidR="003B0125" w:rsidRPr="00424896">
        <w:rPr>
          <w:snapToGrid/>
          <w:lang w:val="hu-HU" w:eastAsia="en-US"/>
        </w:rPr>
        <w:t>haz</w:t>
      </w:r>
      <w:r w:rsidR="009F39B9">
        <w:rPr>
          <w:snapToGrid/>
          <w:lang w:val="hu-HU" w:eastAsia="en-US"/>
        </w:rPr>
        <w:t>á</w:t>
      </w:r>
      <w:r w:rsidR="003B0125" w:rsidRPr="00424896">
        <w:rPr>
          <w:snapToGrid/>
          <w:lang w:val="hu-HU" w:eastAsia="en-US"/>
        </w:rPr>
        <w:t xml:space="preserve">rd </w:t>
      </w:r>
      <w:r w:rsidRPr="0077334B">
        <w:rPr>
          <w:snapToGrid/>
          <w:lang w:val="hu-HU" w:eastAsia="en-US"/>
        </w:rPr>
        <w:t>0,828 volt (95%-os CI: 0,460; 1,492; 2-oldalas stratifikált p-érték = 0,567). A kedvező hatás irányába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mutató, számszerű tendenciát főként a PAH klinikai súlyosbodása okozta.</w:t>
      </w:r>
    </w:p>
    <w:p w14:paraId="1FE10F4D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4DDED8E8" w14:textId="77777777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Egyéb másodlagos hatásossági analízisek</w:t>
      </w:r>
    </w:p>
    <w:p w14:paraId="6F87FD81" w14:textId="77777777" w:rsidR="003B0125" w:rsidRPr="0077334B" w:rsidRDefault="003B0125" w:rsidP="0077334B">
      <w:pPr>
        <w:rPr>
          <w:i/>
          <w:iCs/>
          <w:snapToGrid/>
          <w:lang w:val="hu-HU" w:eastAsia="en-US"/>
        </w:rPr>
      </w:pPr>
    </w:p>
    <w:p w14:paraId="3C73BA1C" w14:textId="4A7062A5" w:rsidR="008E5107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Ugyanolyan számú, PAH miatti első, megerősített hospitalizáció eseményt figyeltek meg mindkét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csoportban (macitentán 11, illetve hagyományos kezelés 11; korrigált HR = 0,912, 95%-os CI =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[0,393; 2,118]). A PAH miatti, CEC által megerősített halálozásig és a bármely okból bekövetkezett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halálozásig eltelt idő vonatkozásában 7 halálesetet figyeltek meg a macitentán-karon (amelyből a CEC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szerint 6 volt a PAH következménye), szemben a hagyományos kezelési karon megfigyelt</w:t>
      </w:r>
      <w:r w:rsidR="003B0125" w:rsidRPr="00424896">
        <w:rPr>
          <w:snapToGrid/>
          <w:lang w:val="hu-HU" w:eastAsia="en-US"/>
        </w:rPr>
        <w:t xml:space="preserve"> </w:t>
      </w:r>
      <w:r w:rsidRPr="00424896">
        <w:rPr>
          <w:snapToGrid/>
          <w:lang w:val="hu-HU" w:eastAsia="en-US"/>
        </w:rPr>
        <w:t>6 halálesettel (amelyből a CEC szerint 4 volt a PAH következménye).</w:t>
      </w:r>
    </w:p>
    <w:p w14:paraId="66210996" w14:textId="77777777" w:rsidR="0077334B" w:rsidRPr="00424896" w:rsidRDefault="0077334B" w:rsidP="0077334B">
      <w:pPr>
        <w:rPr>
          <w:snapToGrid/>
          <w:lang w:val="hu-HU" w:eastAsia="en-US"/>
        </w:rPr>
      </w:pPr>
    </w:p>
    <w:p w14:paraId="57748AB8" w14:textId="211354C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12. héten a WHO 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vagy II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funkcionális stádiumba</w:t>
      </w:r>
      <w:r w:rsidR="009F39B9">
        <w:rPr>
          <w:snapToGrid/>
          <w:lang w:val="hu-HU" w:eastAsia="en-US"/>
        </w:rPr>
        <w:t xml:space="preserve"> </w:t>
      </w:r>
      <w:r w:rsidR="009F39B9" w:rsidRPr="00A07A6E">
        <w:rPr>
          <w:lang w:val="hu-HU"/>
        </w:rPr>
        <w:t xml:space="preserve">tartozó betegek arányát </w:t>
      </w:r>
      <w:r w:rsidRPr="0077334B">
        <w:rPr>
          <w:snapToGrid/>
          <w:lang w:val="hu-HU" w:eastAsia="en-US"/>
        </w:rPr>
        <w:t>számszerűen nagyobb</w:t>
      </w:r>
      <w:r w:rsidR="009F39B9">
        <w:rPr>
          <w:snapToGrid/>
          <w:lang w:val="hu-HU" w:eastAsia="en-US"/>
        </w:rPr>
        <w:t>nak</w:t>
      </w:r>
      <w:r w:rsidRPr="0077334B">
        <w:rPr>
          <w:snapToGrid/>
          <w:lang w:val="hu-HU" w:eastAsia="en-US"/>
        </w:rPr>
        <w:t xml:space="preserve"> jelentették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macitentán-karon, mint a hagyományos kezelési karon (88,7% a macitentán-karon, illetve 81,7%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hagyományos kezelési karon), csakúgy, mint a 24. héten (90,0% a macitentán-karon, illetve 82,5%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hagyományos kezelési karon).</w:t>
      </w:r>
    </w:p>
    <w:p w14:paraId="3BDCA17B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069475A2" w14:textId="34772620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macitentán-kezelés csökkenteni tudta a kiindulási NT-proBNP (pmol/l) százalékarányát a 12. héten,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hagyományos kezelési karhoz képest (</w:t>
      </w:r>
      <w:r w:rsidR="009F39B9" w:rsidRPr="00A07A6E">
        <w:rPr>
          <w:lang w:val="hu-HU"/>
        </w:rPr>
        <w:t xml:space="preserve">mértani </w:t>
      </w:r>
      <w:r w:rsidRPr="0077334B">
        <w:rPr>
          <w:snapToGrid/>
          <w:lang w:val="hu-HU" w:eastAsia="en-US"/>
        </w:rPr>
        <w:t>átlagarány: 0,72; 95%-os CI: 0,49 – 1,05); de az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eredmények nem voltak statisztikailag szignifikánsak (2-oldalas p-érték: 0,086). A nem szignifikáns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tendencia kevésbé volt kifejezett a 24. héten (</w:t>
      </w:r>
      <w:r w:rsidR="009F39B9" w:rsidRPr="00A07A6E">
        <w:rPr>
          <w:lang w:val="hu-HU"/>
        </w:rPr>
        <w:t xml:space="preserve">mértani </w:t>
      </w:r>
      <w:r w:rsidRPr="0077334B">
        <w:rPr>
          <w:snapToGrid/>
          <w:lang w:val="hu-HU" w:eastAsia="en-US"/>
        </w:rPr>
        <w:t>átlagarány: 0,97; 95%-os CI: 0,66 – 1,43;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2-oldalas p-érték: 0,884).</w:t>
      </w:r>
    </w:p>
    <w:p w14:paraId="60AA4DAE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0308690A" w14:textId="219AAD9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</w:t>
      </w:r>
      <w:r w:rsidR="005F50E0" w:rsidRPr="00424896">
        <w:rPr>
          <w:snapToGrid/>
          <w:lang w:val="hu-HU" w:eastAsia="en-US"/>
        </w:rPr>
        <w:t xml:space="preserve"> </w:t>
      </w:r>
      <w:r w:rsidR="005F50E0" w:rsidRPr="00424896">
        <w:rPr>
          <w:szCs w:val="22"/>
          <w:lang w:val="hu-HU"/>
        </w:rPr>
        <w:t>≥</w:t>
      </w:r>
      <w:r w:rsidRPr="0077334B">
        <w:rPr>
          <w:lang w:val="hu-HU" w:eastAsia="en-US"/>
        </w:rPr>
        <w:t>2</w:t>
      </w:r>
      <w:r w:rsidR="004557A9" w:rsidRPr="00424896">
        <w:rPr>
          <w:lang w:val="hu-HU"/>
        </w:rPr>
        <w:t> </w:t>
      </w:r>
      <w:r w:rsidRPr="0077334B">
        <w:rPr>
          <w:lang w:val="hu-HU" w:eastAsia="en-US"/>
        </w:rPr>
        <w:t>éves</w:t>
      </w:r>
      <w:r w:rsidRPr="0077334B">
        <w:rPr>
          <w:snapToGrid/>
          <w:lang w:val="hu-HU" w:eastAsia="en-US"/>
        </w:rPr>
        <w:t xml:space="preserve"> </w:t>
      </w:r>
      <w:r w:rsidR="009F39B9">
        <w:rPr>
          <w:snapToGrid/>
          <w:lang w:val="hu-HU" w:eastAsia="en-US"/>
        </w:rPr>
        <w:t>és</w:t>
      </w:r>
      <w:r w:rsidR="009F39B9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18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</w:t>
      </w:r>
      <w:r w:rsidR="009F39B9">
        <w:rPr>
          <w:snapToGrid/>
          <w:lang w:val="hu-HU" w:eastAsia="en-US"/>
        </w:rPr>
        <w:t>ú</w:t>
      </w:r>
      <w:r w:rsidRPr="0077334B">
        <w:rPr>
          <w:snapToGrid/>
          <w:lang w:val="hu-HU" w:eastAsia="en-US"/>
        </w:rPr>
        <w:t xml:space="preserve"> betegek hatásossági eredményei hasonlóak voltak a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felnőtt betegek eredményeihez.</w:t>
      </w:r>
    </w:p>
    <w:p w14:paraId="0316144F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74B250EA" w14:textId="3E76504C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Gyermekek és serdül</w:t>
      </w:r>
      <w:r w:rsidRPr="0077334B">
        <w:rPr>
          <w:rFonts w:ascii="Cambria" w:hAnsi="Cambria" w:cs="Cambria"/>
          <w:i/>
          <w:iCs/>
          <w:snapToGrid/>
          <w:lang w:val="hu-HU" w:eastAsia="en-US"/>
        </w:rPr>
        <w:t>ő</w:t>
      </w:r>
      <w:r w:rsidRPr="0077334B">
        <w:rPr>
          <w:i/>
          <w:iCs/>
          <w:snapToGrid/>
          <w:lang w:val="hu-HU" w:eastAsia="en-US"/>
        </w:rPr>
        <w:t>k (</w:t>
      </w:r>
      <w:r w:rsidR="005F50E0" w:rsidRPr="00424896">
        <w:rPr>
          <w:i/>
          <w:iCs/>
          <w:szCs w:val="22"/>
          <w:lang w:val="hu-HU"/>
        </w:rPr>
        <w:t>≥</w:t>
      </w:r>
      <w:r w:rsidRPr="0077334B">
        <w:rPr>
          <w:i/>
          <w:iCs/>
          <w:snapToGrid/>
          <w:lang w:val="hu-HU" w:eastAsia="en-US"/>
        </w:rPr>
        <w:t xml:space="preserve"> 1 hónapos kortól 2 évesnél fiatalabb korig)</w:t>
      </w:r>
    </w:p>
    <w:p w14:paraId="4C722C94" w14:textId="77777777" w:rsidR="005F50E0" w:rsidRPr="0077334B" w:rsidRDefault="005F50E0" w:rsidP="0077334B">
      <w:pPr>
        <w:rPr>
          <w:i/>
          <w:iCs/>
          <w:snapToGrid/>
          <w:lang w:val="hu-HU" w:eastAsia="en-US"/>
        </w:rPr>
      </w:pPr>
    </w:p>
    <w:p w14:paraId="6467C201" w14:textId="15B7698E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További 11, legalább 1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hónapos, de 2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korú betegeket vontak be, 9 beteget a TOMORROW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 nyílt elrendezésű karjáról, és két, japán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beteget a PAH3001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vizsgálatból</w:t>
      </w:r>
      <w:r w:rsidR="009F39B9">
        <w:rPr>
          <w:snapToGrid/>
          <w:lang w:val="hu-HU" w:eastAsia="en-US"/>
        </w:rPr>
        <w:t>,</w:t>
      </w:r>
      <w:r w:rsidR="009F39B9" w:rsidRPr="009F39B9">
        <w:rPr>
          <w:snapToGrid/>
          <w:lang w:val="hu-HU" w:eastAsia="en-US"/>
        </w:rPr>
        <w:t xml:space="preserve"> </w:t>
      </w:r>
      <w:r w:rsidR="009F39B9" w:rsidRPr="0077334B">
        <w:rPr>
          <w:snapToGrid/>
          <w:lang w:val="hu-HU" w:eastAsia="en-US"/>
        </w:rPr>
        <w:t>aki</w:t>
      </w:r>
      <w:r w:rsidR="009F39B9">
        <w:rPr>
          <w:snapToGrid/>
          <w:lang w:val="hu-HU" w:eastAsia="en-US"/>
        </w:rPr>
        <w:t>k</w:t>
      </w:r>
      <w:r w:rsidR="009F39B9" w:rsidRPr="0077334B">
        <w:rPr>
          <w:snapToGrid/>
          <w:lang w:val="hu-HU" w:eastAsia="en-US"/>
        </w:rPr>
        <w:t xml:space="preserve"> randomizáció</w:t>
      </w:r>
      <w:r w:rsidR="009F39B9" w:rsidRPr="00424896">
        <w:rPr>
          <w:snapToGrid/>
          <w:lang w:val="hu-HU" w:eastAsia="en-US"/>
        </w:rPr>
        <w:t xml:space="preserve"> </w:t>
      </w:r>
      <w:r w:rsidR="009F39B9" w:rsidRPr="0077334B">
        <w:rPr>
          <w:snapToGrid/>
          <w:lang w:val="hu-HU" w:eastAsia="en-US"/>
        </w:rPr>
        <w:t>nélkül kapt</w:t>
      </w:r>
      <w:r w:rsidR="009F39B9">
        <w:rPr>
          <w:snapToGrid/>
          <w:lang w:val="hu-HU" w:eastAsia="en-US"/>
        </w:rPr>
        <w:t>ak</w:t>
      </w:r>
      <w:r w:rsidR="009F39B9" w:rsidRPr="0077334B">
        <w:rPr>
          <w:snapToGrid/>
          <w:lang w:val="hu-HU" w:eastAsia="en-US"/>
        </w:rPr>
        <w:t xml:space="preserve"> macitentánt</w:t>
      </w:r>
      <w:r w:rsidRPr="0077334B">
        <w:rPr>
          <w:snapToGrid/>
          <w:lang w:val="hu-HU" w:eastAsia="en-US"/>
        </w:rPr>
        <w:t xml:space="preserve">. A PAH3001 egy multicentrikus, </w:t>
      </w:r>
      <w:r w:rsidR="009F39B9" w:rsidRPr="00A07A6E">
        <w:rPr>
          <w:color w:val="212121"/>
          <w:lang w:val="hu-HU"/>
        </w:rPr>
        <w:t xml:space="preserve">nyílt elrendezésű, </w:t>
      </w:r>
      <w:r w:rsidRPr="0077334B">
        <w:rPr>
          <w:snapToGrid/>
          <w:lang w:val="hu-HU" w:eastAsia="en-US"/>
        </w:rPr>
        <w:t>egykaros, III. fázisú vizsgálat volt,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PAH-ban szenvedő, japán </w:t>
      </w:r>
      <w:r w:rsidR="009F39B9" w:rsidRPr="00A07A6E">
        <w:rPr>
          <w:lang w:val="hu-HU"/>
        </w:rPr>
        <w:t xml:space="preserve">gyermekek és serdülők részvételével </w:t>
      </w:r>
      <w:r w:rsidRPr="0077334B">
        <w:rPr>
          <w:snapToGrid/>
          <w:lang w:val="hu-HU" w:eastAsia="en-US"/>
        </w:rPr>
        <w:t xml:space="preserve">(életkoruk </w:t>
      </w:r>
      <w:r w:rsidR="002D3BAD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 xml:space="preserve"> 3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hónap és &lt; 15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között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volt), amit a macitentán farmakokinetikai tulajdonságainak és hatásosságának értékelése érdekében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végeztek.</w:t>
      </w:r>
    </w:p>
    <w:p w14:paraId="49065DC3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6756F816" w14:textId="4F71C900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vizsgálat megkezdésekor a TOMORROW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vizsgálat 6 betege kapott </w:t>
      </w:r>
      <w:r w:rsidR="009F39B9" w:rsidRPr="00A07A6E">
        <w:rPr>
          <w:lang w:val="hu-HU"/>
        </w:rPr>
        <w:t>foszfodiészteráz-5-gátló (</w:t>
      </w:r>
      <w:r w:rsidRPr="0077334B">
        <w:rPr>
          <w:snapToGrid/>
          <w:lang w:val="hu-HU" w:eastAsia="en-US"/>
        </w:rPr>
        <w:t>PDE5i</w:t>
      </w:r>
      <w:r w:rsidR="009F39B9">
        <w:rPr>
          <w:snapToGrid/>
          <w:lang w:val="hu-HU" w:eastAsia="en-US"/>
        </w:rPr>
        <w:t xml:space="preserve">) </w:t>
      </w:r>
      <w:r w:rsidRPr="0077334B">
        <w:rPr>
          <w:snapToGrid/>
          <w:lang w:val="hu-HU" w:eastAsia="en-US"/>
        </w:rPr>
        <w:t>-kezelést. 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beválogatáskor a betegek életkora 1,2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és 1,9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közé esett. A betegek WHO funkcionális stádiuma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II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(4) vagy III</w:t>
      </w:r>
      <w:r w:rsidR="009F39B9">
        <w:rPr>
          <w:snapToGrid/>
          <w:lang w:val="hu-HU" w:eastAsia="en-US"/>
        </w:rPr>
        <w:t>-as</w:t>
      </w:r>
      <w:r w:rsidRPr="0077334B">
        <w:rPr>
          <w:snapToGrid/>
          <w:lang w:val="hu-HU" w:eastAsia="en-US"/>
        </w:rPr>
        <w:t xml:space="preserve"> (5) volt. A veleszületett szívbetegséggel együtt járó PAH volt a leggyakoribb etiológia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(5 beteg), amit az idiopathiás PAH követett (4 beteg). A kezdetben </w:t>
      </w:r>
      <w:r w:rsidRPr="0077334B">
        <w:rPr>
          <w:snapToGrid/>
          <w:lang w:val="hu-HU" w:eastAsia="en-US"/>
        </w:rPr>
        <w:lastRenderedPageBreak/>
        <w:t xml:space="preserve">alkalmazott napi </w:t>
      </w:r>
      <w:r w:rsidR="009F39B9">
        <w:rPr>
          <w:snapToGrid/>
          <w:lang w:val="hu-HU" w:eastAsia="en-US"/>
        </w:rPr>
        <w:t>dózis</w:t>
      </w:r>
      <w:r w:rsidR="009F39B9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2,5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mg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macitentán volt, amíg a betegek elérték a 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 életkort. A 37,3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hetes medián követési idő után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egyetlen betegnél sem észleltek CEC által megerősített betegség progresszió eseményt, CEC által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megerősített, PAH miatti hospitalizációt, CEC által megerősített, PAH miatti halálesetet, sem bármely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okból bekövetkezett halálozás eseményt. Az NT-proBNP 42,9%-kal csökkent (n = 6) a 12. héten,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53,2%-kal (n = 5) a 24.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héten, és 26,1%-kal (n = 6) a 36.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héten.</w:t>
      </w:r>
    </w:p>
    <w:p w14:paraId="25A7DCAD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68CD717D" w14:textId="6D5C2516" w:rsidR="00997039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vizsgálat megkezdésekor a PAH3001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 1 japán betege kapott PDE5i-kezelést. Mindkét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japán beteg fiú volt, és a beválogatáskor az életkoruk 21</w:t>
      </w:r>
      <w:r w:rsidR="002D3BAD" w:rsidRPr="00424896">
        <w:rPr>
          <w:snapToGrid/>
          <w:lang w:val="hu-HU" w:eastAsia="en-US"/>
        </w:rPr>
        <w:t> </w:t>
      </w:r>
      <w:r w:rsidR="0087792E" w:rsidRPr="0077334B">
        <w:rPr>
          <w:snapToGrid/>
          <w:lang w:val="hu-HU" w:eastAsia="en-US"/>
        </w:rPr>
        <w:t>hónap,</w:t>
      </w:r>
      <w:r w:rsidRPr="0077334B">
        <w:rPr>
          <w:snapToGrid/>
          <w:lang w:val="hu-HU" w:eastAsia="en-US"/>
        </w:rPr>
        <w:t xml:space="preserve"> illetve </w:t>
      </w:r>
      <w:r w:rsidRPr="0077334B">
        <w:rPr>
          <w:lang w:val="hu-HU" w:eastAsia="en-US"/>
        </w:rPr>
        <w:t>22</w:t>
      </w:r>
      <w:r w:rsidR="002D3BAD" w:rsidRPr="00424896">
        <w:rPr>
          <w:lang w:val="hu-HU"/>
        </w:rPr>
        <w:t> </w:t>
      </w:r>
      <w:r w:rsidRPr="0077334B">
        <w:rPr>
          <w:lang w:val="hu-HU" w:eastAsia="en-US"/>
        </w:rPr>
        <w:t>hónap</w:t>
      </w:r>
      <w:r w:rsidRPr="0077334B">
        <w:rPr>
          <w:snapToGrid/>
          <w:lang w:val="hu-HU" w:eastAsia="en-US"/>
        </w:rPr>
        <w:t xml:space="preserve"> volt. Mindkét beteg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Panama funkcionális stádiuma I és II volt, és a vezető etiológia a posztoperatív PAH volt. A 24.</w:t>
      </w:r>
      <w:r w:rsidR="002D3BAD" w:rsidRPr="00424896">
        <w:rPr>
          <w:snapToGrid/>
          <w:lang w:val="hu-HU" w:eastAsia="en-US"/>
        </w:rPr>
        <w:t> </w:t>
      </w:r>
      <w:r w:rsidR="00F25CE1" w:rsidRPr="00424896">
        <w:rPr>
          <w:snapToGrid/>
          <w:lang w:val="hu-HU" w:eastAsia="en-US"/>
        </w:rPr>
        <w:t>h</w:t>
      </w:r>
      <w:r w:rsidRPr="0077334B">
        <w:rPr>
          <w:snapToGrid/>
          <w:lang w:val="hu-HU" w:eastAsia="en-US"/>
        </w:rPr>
        <w:t>éten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kiindulási NT-proBNP-szint 3,894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pmol/l-es, illetve 16,402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pmol/l-es csökkenését figyelték meg.</w:t>
      </w:r>
    </w:p>
    <w:p w14:paraId="6D174403" w14:textId="77777777" w:rsidR="00997039" w:rsidRPr="00424896" w:rsidRDefault="00997039" w:rsidP="0077334B">
      <w:pPr>
        <w:rPr>
          <w:snapToGrid/>
          <w:lang w:val="hu-HU" w:eastAsia="en-US"/>
        </w:rPr>
      </w:pPr>
    </w:p>
    <w:p w14:paraId="0393FA2C" w14:textId="0307A958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Felnőtt betegekhez </w:t>
      </w:r>
      <w:r w:rsidR="009F39B9" w:rsidRPr="00A07A6E">
        <w:rPr>
          <w:color w:val="212121"/>
          <w:lang w:val="hu-HU"/>
        </w:rPr>
        <w:t xml:space="preserve">viszonyítva az expozíció megfelelőségét nem állapították </w:t>
      </w:r>
      <w:r w:rsidRPr="0077334B">
        <w:rPr>
          <w:snapToGrid/>
          <w:lang w:val="hu-HU" w:eastAsia="en-US"/>
        </w:rPr>
        <w:t>meg ebben a korcsoportban (lásd</w:t>
      </w:r>
      <w:r w:rsidR="00F25CE1" w:rsidRPr="00424896">
        <w:rPr>
          <w:snapToGrid/>
          <w:lang w:val="hu-HU" w:eastAsia="en-US"/>
        </w:rPr>
        <w:t xml:space="preserve"> </w:t>
      </w:r>
      <w:r w:rsidRPr="00424896">
        <w:rPr>
          <w:snapToGrid/>
          <w:lang w:val="hu-HU" w:eastAsia="en-US"/>
        </w:rPr>
        <w:t>4.2 és 5.2 pont).</w:t>
      </w:r>
    </w:p>
    <w:p w14:paraId="0EB5E3AE" w14:textId="77777777" w:rsidR="0077334B" w:rsidRPr="00FA58AB" w:rsidRDefault="0077334B" w:rsidP="0077334B">
      <w:pPr>
        <w:rPr>
          <w:snapToGrid/>
          <w:lang w:val="hu-HU" w:eastAsia="en-US"/>
        </w:rPr>
      </w:pPr>
    </w:p>
    <w:p w14:paraId="242D68C9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b/>
          <w:lang w:val="hu-HU"/>
        </w:rPr>
        <w:t>5.2</w:t>
      </w:r>
      <w:r w:rsidRPr="00FA58AB">
        <w:rPr>
          <w:b/>
          <w:lang w:val="hu-HU"/>
        </w:rPr>
        <w:tab/>
        <w:t>Farmakokinetikai tulajdonságok</w:t>
      </w:r>
    </w:p>
    <w:p w14:paraId="7D19B1DF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D8567C3" w14:textId="53910A70" w:rsidR="00DF0641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>A macitentán és aktív metabolitj</w:t>
      </w:r>
      <w:r w:rsidR="009F39B9">
        <w:rPr>
          <w:iCs/>
          <w:szCs w:val="24"/>
          <w:lang w:val="hu-HU"/>
        </w:rPr>
        <w:t>á</w:t>
      </w:r>
      <w:r w:rsidRPr="00FA58AB">
        <w:rPr>
          <w:iCs/>
          <w:szCs w:val="24"/>
          <w:lang w:val="hu-HU"/>
        </w:rPr>
        <w:t>nak farmakokinetikáját főként egészséges felnőtt vizsgálati alanyokra vonatkozóan dokumentálták. A macitentán expozíciója PAH-betegeknél körülbelül 1,2</w:t>
      </w:r>
      <w:r w:rsidRPr="00FA58AB">
        <w:rPr>
          <w:iCs/>
          <w:szCs w:val="24"/>
          <w:lang w:val="hu-HU"/>
        </w:rPr>
        <w:noBreakHyphen/>
        <w:t>szer nagyobb volt, mint egészséges vizsgálati alanyoknál. A betegeknél az aktív metabolit – amely körülbelül 5-ször kevésbé hatásos</w:t>
      </w:r>
      <w:r w:rsidR="00DF0641" w:rsidRPr="00FA58AB">
        <w:rPr>
          <w:iCs/>
          <w:szCs w:val="24"/>
          <w:lang w:val="hu-HU"/>
        </w:rPr>
        <w:t>,</w:t>
      </w:r>
      <w:r w:rsidRPr="00FA58AB">
        <w:rPr>
          <w:iCs/>
          <w:szCs w:val="24"/>
          <w:lang w:val="hu-HU"/>
        </w:rPr>
        <w:t xml:space="preserve"> mint a macitentán –</w:t>
      </w:r>
      <w:r w:rsidR="009F39B9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expozíciója körülbelül 1,3-szer nagyobb volt, mint az egészségeseknél. A macitentán farmakokinetikáját a PAH-betegeknél nem befolyásolta a betegség súlyossága.</w:t>
      </w:r>
    </w:p>
    <w:p w14:paraId="35839757" w14:textId="77777777" w:rsidR="00DF0641" w:rsidRPr="00FA58AB" w:rsidRDefault="00DF0641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5DC9A375" w14:textId="7E4A3D41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Ismételt alkalmazást követően a macitentán farmakokinetikája </w:t>
      </w:r>
      <w:r w:rsidR="009F39B9" w:rsidRPr="00FA58AB">
        <w:rPr>
          <w:iCs/>
          <w:szCs w:val="24"/>
          <w:lang w:val="hu-HU"/>
        </w:rPr>
        <w:t xml:space="preserve">dózisarányos </w:t>
      </w:r>
      <w:r w:rsidRPr="00FA58AB">
        <w:rPr>
          <w:iCs/>
          <w:szCs w:val="24"/>
          <w:lang w:val="hu-HU"/>
        </w:rPr>
        <w:t>egészen 30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mg-ig.</w:t>
      </w:r>
    </w:p>
    <w:p w14:paraId="1B90ABA1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1814F716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Felszívódás</w:t>
      </w:r>
    </w:p>
    <w:p w14:paraId="7757D849" w14:textId="626B5F94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>A macitentán maximális plazmakoncentrációját az alkalmazást követően körülbelül 8</w:t>
      </w:r>
      <w:r w:rsidR="009F39B9">
        <w:rPr>
          <w:iCs/>
          <w:szCs w:val="24"/>
          <w:lang w:val="hu-HU"/>
        </w:rPr>
        <w:t>-9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óra múlva éri el. Ezt követően a macitentán és aktív metabolitjának plazmakoncentrációja lassan csökkenni kezd, így a macitentán látszólagos eliminációs felezési ideje körülbelül 16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óra, aktív metabolitjáé pedig körülbelül 48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óra.</w:t>
      </w:r>
    </w:p>
    <w:p w14:paraId="00116BCC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37612D94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>Egészséges vizsgálati alanyoknál a macitentán és aktív metabolitjának expozícióját az étel nem befolyásolja, ezért a macitentánt étkezés közben és attól függetlenül is be lehet venni.</w:t>
      </w:r>
    </w:p>
    <w:p w14:paraId="261E50A6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7408B529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Eloszlás</w:t>
      </w:r>
    </w:p>
    <w:p w14:paraId="0D1AE354" w14:textId="0E74E221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>A macitentán és aktív metabolitja</w:t>
      </w:r>
      <w:r w:rsidR="00F677E5">
        <w:rPr>
          <w:iCs/>
          <w:szCs w:val="24"/>
          <w:lang w:val="hu-HU"/>
        </w:rPr>
        <w:t>, az aprocitentán</w:t>
      </w:r>
      <w:r w:rsidR="00697C68" w:rsidRPr="00697C68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nagymértékben kötődnek a plazmafehérjékhez (&gt; 99%), elsősorban az albuminhoz, kisebb mértékben az alfa-1 savas glikoproteinhez. A macitentán látszólagos eloszlási térfogata (Vss/F) körülbelül 50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l, míg aktív </w:t>
      </w:r>
      <w:proofErr w:type="spellStart"/>
      <w:r w:rsidRPr="00FA58AB">
        <w:rPr>
          <w:iCs/>
          <w:szCs w:val="24"/>
          <w:lang w:val="hu-HU"/>
        </w:rPr>
        <w:t>metabolitjáé</w:t>
      </w:r>
      <w:proofErr w:type="spellEnd"/>
      <w:r w:rsidR="00F677E5">
        <w:rPr>
          <w:iCs/>
          <w:szCs w:val="24"/>
          <w:lang w:val="hu-HU"/>
        </w:rPr>
        <w:t>, az</w:t>
      </w:r>
      <w:r w:rsidR="001E11C9" w:rsidRPr="00697C68">
        <w:rPr>
          <w:iCs/>
          <w:szCs w:val="24"/>
          <w:lang w:val="hu-HU"/>
        </w:rPr>
        <w:t xml:space="preserve"> </w:t>
      </w:r>
      <w:proofErr w:type="spellStart"/>
      <w:r w:rsidR="00F677E5">
        <w:rPr>
          <w:iCs/>
          <w:szCs w:val="24"/>
          <w:lang w:val="hu-HU"/>
        </w:rPr>
        <w:t>aprocitentáné</w:t>
      </w:r>
      <w:proofErr w:type="spellEnd"/>
      <w:r w:rsidRPr="00FA58AB">
        <w:rPr>
          <w:iCs/>
          <w:szCs w:val="24"/>
          <w:lang w:val="hu-HU"/>
        </w:rPr>
        <w:t xml:space="preserve"> körülbelül 40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l, ami azt jelzi, hogy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az </w:t>
      </w:r>
      <w:proofErr w:type="spellStart"/>
      <w:r w:rsidR="00F677E5">
        <w:rPr>
          <w:iCs/>
          <w:szCs w:val="24"/>
          <w:lang w:val="hu-HU"/>
        </w:rPr>
        <w:t>aprocitentán</w:t>
      </w:r>
      <w:proofErr w:type="spellEnd"/>
      <w:r w:rsidR="00F677E5" w:rsidRPr="00697C68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jól eloszlik a szövetekben.</w:t>
      </w:r>
    </w:p>
    <w:p w14:paraId="5B8FC3B0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</w:p>
    <w:p w14:paraId="35531D4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Biotranszformáció</w:t>
      </w:r>
    </w:p>
    <w:p w14:paraId="50977E5E" w14:textId="53C44870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macitentánnak négy elsődleges anyagcsereútja van. A szulfamid propil-csoportjának eltávolítása oxidatív úton farmakológiailag </w:t>
      </w:r>
      <w:r w:rsidR="00A54176">
        <w:rPr>
          <w:iCs/>
          <w:szCs w:val="24"/>
          <w:lang w:val="hu-HU"/>
        </w:rPr>
        <w:t xml:space="preserve">az </w:t>
      </w:r>
      <w:r w:rsidRPr="00FA58AB">
        <w:rPr>
          <w:iCs/>
          <w:szCs w:val="24"/>
          <w:lang w:val="hu-HU"/>
        </w:rPr>
        <w:t>aktív metabolitot</w:t>
      </w:r>
      <w:r w:rsidR="005D48D5">
        <w:rPr>
          <w:iCs/>
          <w:szCs w:val="24"/>
          <w:lang w:val="hu-HU"/>
        </w:rPr>
        <w:t>, az aprocitentánt</w:t>
      </w:r>
      <w:r w:rsidR="001E11C9" w:rsidRPr="00697C68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eredményez</w:t>
      </w:r>
      <w:r w:rsidR="001E11C9">
        <w:rPr>
          <w:iCs/>
          <w:szCs w:val="24"/>
          <w:lang w:val="hu-HU"/>
        </w:rPr>
        <w:t>i</w:t>
      </w:r>
      <w:r w:rsidRPr="00FA58AB">
        <w:rPr>
          <w:iCs/>
          <w:szCs w:val="24"/>
          <w:lang w:val="hu-HU"/>
        </w:rPr>
        <w:t>. Ez a reakció a citokróm P450 enzimrendszertől, főként (körülbelül 99%-ban) a CYP3A4-től függ, a CYP2C8, CYP2C9 és CYP2C19 kis mértékű hozzájárulásával.</w:t>
      </w:r>
    </w:p>
    <w:p w14:paraId="5ED7B7DC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>Az aktív metabolit a humán plazmában kering és hozzájárulhat a farmakológiai hatáshoz. Az egyéb anyagcsereutak nem eredményeznek farmakológiailag aktív termékeket. Ezen útvonalakban túlnyomórészt a CYP2C9 szerepel, a CYP2C8-, CYP2C19- és CYP3A4 csekély mértékben vesz részt.</w:t>
      </w:r>
    </w:p>
    <w:p w14:paraId="14B5595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0C3190C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Elimináció</w:t>
      </w:r>
    </w:p>
    <w:p w14:paraId="648C469C" w14:textId="011CED43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macitentán csak nagymértékű metabolizáció után választódik ki. A fő eliminációs útvonal a vizelettel </w:t>
      </w:r>
      <w:r w:rsidR="009F39B9">
        <w:rPr>
          <w:iCs/>
          <w:szCs w:val="24"/>
          <w:lang w:val="hu-HU"/>
        </w:rPr>
        <w:t>történő</w:t>
      </w:r>
      <w:r w:rsidR="009F39B9" w:rsidRPr="00FA58AB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kiürülés, ez körülbelül a dózis 50%</w:t>
      </w:r>
      <w:r w:rsidRPr="00FA58AB">
        <w:rPr>
          <w:iCs/>
          <w:szCs w:val="24"/>
          <w:lang w:val="hu-HU"/>
        </w:rPr>
        <w:noBreakHyphen/>
        <w:t>át jelenti.</w:t>
      </w:r>
    </w:p>
    <w:p w14:paraId="747DB578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/>
          <w:szCs w:val="24"/>
          <w:lang w:val="hu-HU"/>
        </w:rPr>
      </w:pPr>
    </w:p>
    <w:p w14:paraId="15A7C4E4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Különleges betegcsoportok</w:t>
      </w:r>
    </w:p>
    <w:p w14:paraId="726D9283" w14:textId="77777777" w:rsidR="00DF0641" w:rsidRPr="00FA58AB" w:rsidRDefault="00DF0641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603921E3" w14:textId="57DA72A9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>A kornak, a nemnek és az etnikai hovatartozásnak nincs klinikailag jelentős hatása a macitentán és aktív metabolitjának farmakokinetikájára.</w:t>
      </w:r>
    </w:p>
    <w:p w14:paraId="0AD5F11D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4C8F8B60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Vesekárosodás</w:t>
      </w:r>
    </w:p>
    <w:p w14:paraId="39E2B14D" w14:textId="709A929D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>Súlyos vesekárosodásban szenvedő felnőtt betegeknél a macitentán expozíciója 1,3-szorosával, aktív metabolitjának expozíciója pedig 1,6-szorosával növekedett. Ez az emelkedés nem tekinthető klinikailag jelentősnek (lásd 4.2 és 4.4 pont).</w:t>
      </w:r>
    </w:p>
    <w:p w14:paraId="48B89F21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6DBD8BC1" w14:textId="77777777" w:rsidR="000E098D" w:rsidRPr="00FA58AB" w:rsidRDefault="000E098D" w:rsidP="00DF0641">
      <w:pPr>
        <w:keepNext/>
        <w:numPr>
          <w:ilvl w:val="12"/>
          <w:numId w:val="0"/>
        </w:numPr>
        <w:spacing w:line="240" w:lineRule="auto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Májkárosodás</w:t>
      </w:r>
    </w:p>
    <w:p w14:paraId="1BA751FE" w14:textId="4863BEB5" w:rsidR="000E098D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Enyhe, közepesen súlyos, illetve súlyos májkárosodásban szenvedő felnőtt betegeknél a macitentán expozíciója sorrendben 21%-kal, 34%-kal, illetve 6%-kal, míg az aktív metabolit expozíciója </w:t>
      </w:r>
      <w:r w:rsidR="00E94214">
        <w:rPr>
          <w:iCs/>
          <w:szCs w:val="24"/>
          <w:lang w:val="hu-HU"/>
        </w:rPr>
        <w:t xml:space="preserve">sorrendben </w:t>
      </w:r>
      <w:r w:rsidRPr="00FA58AB">
        <w:rPr>
          <w:iCs/>
          <w:szCs w:val="24"/>
          <w:lang w:val="hu-HU"/>
        </w:rPr>
        <w:t>20%-kal, 25%-kal, illetve 25%-kal csökkent. Ez a csökkenés nem tekinthető klinikailag jelentősnek (lásd 4.2 és 4.4 pont).</w:t>
      </w:r>
    </w:p>
    <w:p w14:paraId="5328E1A3" w14:textId="77777777" w:rsidR="00997039" w:rsidRDefault="00997039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2134BD2F" w14:textId="05B61C3A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997039">
        <w:rPr>
          <w:iCs/>
          <w:szCs w:val="24"/>
          <w:u w:val="single"/>
          <w:lang w:val="hu-HU"/>
        </w:rPr>
        <w:t>Gyermekek és serdülők (</w:t>
      </w:r>
      <w:r w:rsidRPr="00424896">
        <w:rPr>
          <w:szCs w:val="22"/>
          <w:lang w:val="hu-HU"/>
        </w:rPr>
        <w:t>≥</w:t>
      </w:r>
      <w:r w:rsidRPr="00997039">
        <w:rPr>
          <w:iCs/>
          <w:szCs w:val="24"/>
          <w:u w:val="single"/>
          <w:lang w:val="hu-HU"/>
        </w:rPr>
        <w:t xml:space="preserve"> 1 hónapos kortól 18 évesnél fiatalabb korig)</w:t>
      </w:r>
    </w:p>
    <w:p w14:paraId="44ACA35C" w14:textId="62878670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>A macitentán és aktív metabolitjának, az aprocitentánnak a farmakokinetikai tulajdonságait 47,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legalább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 xml:space="preserve">éves </w:t>
      </w:r>
      <w:r w:rsidR="0009633A" w:rsidRPr="00A07A6E">
        <w:rPr>
          <w:iCs/>
          <w:szCs w:val="24"/>
          <w:lang w:val="hu-HU"/>
        </w:rPr>
        <w:t>gyermeknél és serdülőnél</w:t>
      </w:r>
      <w:r w:rsidRPr="00997039">
        <w:rPr>
          <w:iCs/>
          <w:szCs w:val="24"/>
          <w:lang w:val="hu-HU"/>
        </w:rPr>
        <w:t>, és 11, legalább 1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hónapos, de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évesnél fiatalabb</w:t>
      </w:r>
      <w:r w:rsidR="00424896" w:rsidRPr="00424896">
        <w:rPr>
          <w:iCs/>
          <w:szCs w:val="24"/>
          <w:lang w:val="hu-HU"/>
        </w:rPr>
        <w:t xml:space="preserve"> </w:t>
      </w:r>
      <w:r w:rsidR="0009633A">
        <w:rPr>
          <w:iCs/>
          <w:szCs w:val="24"/>
          <w:lang w:val="hu-HU"/>
        </w:rPr>
        <w:t>gyermeknél</w:t>
      </w:r>
      <w:r w:rsidR="0009633A" w:rsidRPr="00997039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jellemezték.</w:t>
      </w:r>
    </w:p>
    <w:p w14:paraId="4731AC70" w14:textId="043D6C7B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>A macitentán testtömegen alapuló adagolási rendje olyan megfigyelt/szimulált expozíciókat</w:t>
      </w:r>
      <w:r w:rsidR="00424896" w:rsidRPr="00424896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eredményezett a 2</w:t>
      </w:r>
      <w:r w:rsidR="00424896" w:rsidRPr="00424896">
        <w:rPr>
          <w:iCs/>
          <w:szCs w:val="24"/>
          <w:lang w:val="hu-HU"/>
        </w:rPr>
        <w:t> </w:t>
      </w:r>
      <w:r w:rsidRPr="00424896">
        <w:rPr>
          <w:iCs/>
          <w:szCs w:val="24"/>
          <w:lang w:val="hu-HU"/>
        </w:rPr>
        <w:t>éves és idősebb, de</w:t>
      </w:r>
      <w:r w:rsidR="0009633A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18</w:t>
      </w:r>
      <w:r w:rsidR="00424896" w:rsidRPr="00424896">
        <w:rPr>
          <w:iCs/>
          <w:szCs w:val="24"/>
          <w:lang w:val="hu-HU"/>
        </w:rPr>
        <w:t> </w:t>
      </w:r>
      <w:r w:rsidRPr="00424896">
        <w:rPr>
          <w:iCs/>
          <w:szCs w:val="24"/>
          <w:lang w:val="hu-HU"/>
        </w:rPr>
        <w:t xml:space="preserve">évesnél fiatalabb </w:t>
      </w:r>
      <w:r w:rsidR="0009633A" w:rsidRPr="00A07A6E">
        <w:rPr>
          <w:iCs/>
          <w:szCs w:val="24"/>
          <w:lang w:val="hu-HU"/>
        </w:rPr>
        <w:t>gyermekeknél és serdülőknél</w:t>
      </w:r>
      <w:r w:rsidRPr="00424896">
        <w:rPr>
          <w:iCs/>
          <w:szCs w:val="24"/>
          <w:lang w:val="hu-HU"/>
        </w:rPr>
        <w:t>, ami a</w:t>
      </w:r>
      <w:r w:rsidR="00424896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 xml:space="preserve">naponta egyszer </w:t>
      </w:r>
      <w:r w:rsidRPr="00424896">
        <w:rPr>
          <w:lang w:val="hu-HU"/>
        </w:rPr>
        <w:t>10</w:t>
      </w:r>
      <w:r w:rsidR="00424896" w:rsidRPr="00424896">
        <w:rPr>
          <w:lang w:val="hu-HU"/>
        </w:rPr>
        <w:t> </w:t>
      </w:r>
      <w:r w:rsidRPr="00424896">
        <w:rPr>
          <w:lang w:val="hu-HU"/>
        </w:rPr>
        <w:t>mg</w:t>
      </w:r>
      <w:r w:rsidRPr="00424896">
        <w:rPr>
          <w:iCs/>
          <w:szCs w:val="24"/>
          <w:lang w:val="hu-HU"/>
        </w:rPr>
        <w:t>-ot kapott felnőtt, PAH-ban szenvedő betegeknél és egészséges vizsgálati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alanyoknál megfigyelt expozícióhoz hasonló volt.</w:t>
      </w:r>
    </w:p>
    <w:p w14:paraId="597E9191" w14:textId="4A91AE69" w:rsidR="00997039" w:rsidRPr="00424896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>A naponta egyszer 10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mg-ot kapott felnőtt, PAH-ban szenvedő betegeknél észlelt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macitentán-expozícióhoz hasonló expozíció</w:t>
      </w:r>
      <w:r w:rsidR="0009633A">
        <w:rPr>
          <w:iCs/>
          <w:szCs w:val="24"/>
          <w:lang w:val="hu-HU"/>
        </w:rPr>
        <w:t>t</w:t>
      </w:r>
      <w:r w:rsidRPr="00997039">
        <w:rPr>
          <w:iCs/>
          <w:szCs w:val="24"/>
          <w:lang w:val="hu-HU"/>
        </w:rPr>
        <w:t xml:space="preserve"> nem ér</w:t>
      </w:r>
      <w:r w:rsidR="0009633A">
        <w:rPr>
          <w:iCs/>
          <w:szCs w:val="24"/>
          <w:lang w:val="hu-HU"/>
        </w:rPr>
        <w:t>tek el</w:t>
      </w:r>
      <w:r w:rsidRPr="00997039">
        <w:rPr>
          <w:iCs/>
          <w:szCs w:val="24"/>
          <w:lang w:val="hu-HU"/>
        </w:rPr>
        <w:t xml:space="preserve"> a legalább 1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hónapos, de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évesnél</w:t>
      </w:r>
      <w:r w:rsidR="0037076C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fiatalabb korcsoportban (lásd 4.2 pont).</w:t>
      </w:r>
    </w:p>
    <w:p w14:paraId="7D013FE2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273C1DD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preklinikai biztonságossági vizsgálatok eredményei</w:t>
      </w:r>
    </w:p>
    <w:p w14:paraId="4851EA1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98D7F0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Kutyáknál, a humán terápiás expozíciónak megfelelő expozíció mellett, a macitentán csökkentette a vérnyomást. A humán terápiás expozíció 17-szeresénél, 4-39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hetes kezelést követően megfigyelhető volt az intima megvastagodása a koszorúereknél. A fajspecifikus érzékenység és a biztonságossági határ miatt ez az eredmény nem tekinthető relevánsnak az emberre nézve.</w:t>
      </w:r>
    </w:p>
    <w:p w14:paraId="144EAB6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9132873" w14:textId="53BF21DE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 macitentán-kezelést követően a máj tömegének növekedése és a májsejtek hypertrophiája volt megfigyelhető egereknél, patkányoknál és kutyáknál. Ezek a nagyrészt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>bilis változások a máj a megnövekedett metabolikus igényhez való fiziológiás adaptációjának tekinthetők.</w:t>
      </w:r>
    </w:p>
    <w:p w14:paraId="5F0391E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021C3F" w14:textId="5F2865CC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Egerek</w:t>
      </w:r>
      <w:r w:rsidR="0009633A">
        <w:rPr>
          <w:rFonts w:eastAsia="Times New Roman"/>
          <w:snapToGrid/>
          <w:szCs w:val="22"/>
          <w:lang w:val="hu-HU" w:eastAsia="en-US"/>
        </w:rPr>
        <w:t>né</w:t>
      </w:r>
      <w:r w:rsidRPr="00FA58AB">
        <w:rPr>
          <w:rFonts w:eastAsia="Times New Roman"/>
          <w:snapToGrid/>
          <w:szCs w:val="22"/>
          <w:lang w:val="hu-HU" w:eastAsia="en-US"/>
        </w:rPr>
        <w:t>l végzett karcinogenitási vizsgálatokban a macitentán minden dózisa minimális vagy enyhe nyálkahártya-h</w:t>
      </w:r>
      <w:r w:rsidR="0014348C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perpl</w:t>
      </w:r>
      <w:r w:rsidR="00AE009A">
        <w:rPr>
          <w:rFonts w:eastAsia="Times New Roman"/>
          <w:snapToGrid/>
          <w:szCs w:val="22"/>
          <w:lang w:val="hu-HU" w:eastAsia="en-US"/>
        </w:rPr>
        <w:t>asiát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gyulladásos infiltrációt idézett elő az orrüreg submucosa rétegében. A 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hónapig tartó, egerek</w:t>
      </w:r>
      <w:r w:rsidR="0009633A">
        <w:rPr>
          <w:rFonts w:eastAsia="Times New Roman"/>
          <w:snapToGrid/>
          <w:szCs w:val="22"/>
          <w:lang w:val="hu-HU" w:eastAsia="en-US"/>
        </w:rPr>
        <w:t>nél</w:t>
      </w:r>
      <w:r w:rsidRPr="00FA58AB">
        <w:rPr>
          <w:rFonts w:eastAsia="Times New Roman"/>
          <w:snapToGrid/>
          <w:szCs w:val="22"/>
          <w:lang w:val="hu-HU" w:eastAsia="en-US"/>
        </w:rPr>
        <w:t>, valamint a patkányok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Pr="00FA58AB">
        <w:rPr>
          <w:rFonts w:eastAsia="Times New Roman"/>
          <w:snapToGrid/>
          <w:szCs w:val="22"/>
          <w:lang w:val="hu-HU" w:eastAsia="en-US"/>
        </w:rPr>
        <w:t>l és kutyák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Pr="00FA58AB">
        <w:rPr>
          <w:rFonts w:eastAsia="Times New Roman"/>
          <w:snapToGrid/>
          <w:szCs w:val="22"/>
          <w:lang w:val="hu-HU" w:eastAsia="en-US"/>
        </w:rPr>
        <w:t>l végzett toxikológiai vizsgálatok során nem észleltek elváltozásokat az orrüregben.</w:t>
      </w:r>
    </w:p>
    <w:p w14:paraId="17026CF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1BE00E" w14:textId="2BD623EB" w:rsidR="000E098D" w:rsidRPr="00FA58AB" w:rsidRDefault="00FD7EA2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E</w:t>
      </w:r>
      <w:r w:rsidR="000E098D" w:rsidRPr="00FA58AB">
        <w:rPr>
          <w:rFonts w:eastAsia="Times New Roman"/>
          <w:snapToGrid/>
          <w:szCs w:val="22"/>
          <w:lang w:val="hu-HU" w:eastAsia="en-US"/>
        </w:rPr>
        <w:t>gy standard</w:t>
      </w:r>
      <w:r w:rsidR="008C0080" w:rsidRPr="00FA58AB">
        <w:rPr>
          <w:rFonts w:eastAsia="Times New Roman"/>
          <w:snapToGrid/>
          <w:szCs w:val="22"/>
          <w:lang w:val="hu-HU" w:eastAsia="en-US"/>
        </w:rPr>
        <w:t>,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és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tesztsorozatban </w:t>
      </w:r>
      <w:r>
        <w:rPr>
          <w:rFonts w:eastAsia="Times New Roman"/>
          <w:snapToGrid/>
          <w:szCs w:val="22"/>
          <w:lang w:val="hu-HU" w:eastAsia="en-US"/>
        </w:rPr>
        <w:t xml:space="preserve">a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macitentán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nem mutatott genotoxikus hatást. A macitentán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nem mutatott fototoxikus hatást a humán terápiás dózis </w:t>
      </w:r>
      <w:r w:rsidR="0009633A">
        <w:rPr>
          <w:rFonts w:eastAsia="Times New Roman"/>
          <w:snapToGrid/>
          <w:szCs w:val="22"/>
          <w:lang w:val="hu-HU" w:eastAsia="en-US"/>
        </w:rPr>
        <w:t>akár</w:t>
      </w:r>
      <w:r w:rsidR="0009633A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24</w:t>
      </w:r>
      <w:r w:rsidR="000E098D" w:rsidRPr="00FA58AB">
        <w:rPr>
          <w:rFonts w:eastAsia="Times New Roman"/>
          <w:snapToGrid/>
          <w:szCs w:val="22"/>
          <w:lang w:val="hu-HU" w:eastAsia="en-US"/>
        </w:rPr>
        <w:noBreakHyphen/>
        <w:t>szeresének megfelelő expozíciót okozó egyszeri dózis beadása után.</w:t>
      </w:r>
    </w:p>
    <w:p w14:paraId="6F6F512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C8822E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Patkányoknál a humán terápiás expozíció 18-szorosa, egereknél annak 116-szorosa mellett sem találtak karcinogenitásra utaló jeleket a karcinogenitási vizsgálatok 2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 időtartama alatt.</w:t>
      </w:r>
    </w:p>
    <w:p w14:paraId="2DAEB4B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2583D1B" w14:textId="5815F366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Hím patkányok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="0053300F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kutyá</w:t>
      </w:r>
      <w:r w:rsidR="0053300F">
        <w:rPr>
          <w:rFonts w:eastAsia="Times New Roman"/>
          <w:snapToGrid/>
          <w:szCs w:val="22"/>
          <w:lang w:val="hu-HU" w:eastAsia="en-US"/>
        </w:rPr>
        <w:t>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="0053300F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végzett krónikus toxicitási vizsgálatok során testicularis tubularis dilatatiot figyeltek meg 11,6-os (patkány) és 5,8-as (kutya) biztonsági határokkal. A tubularis dilatatio teljesen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>bilis volt. A humán terápiás expozíció 4-szerese mellett testicularis tubularis atrophia volt megfigyelhető patkányoknál 2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 kezelést követően.</w:t>
      </w:r>
    </w:p>
    <w:p w14:paraId="0F6A2112" w14:textId="2A74CDFF" w:rsidR="000E098D" w:rsidRPr="00FA58AB" w:rsidRDefault="0053300F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A07A6E">
        <w:rPr>
          <w:szCs w:val="22"/>
          <w:lang w:val="hu-HU" w:eastAsia="nl-NL"/>
        </w:rPr>
        <w:t>Hypospermatogenesis</w:t>
      </w:r>
      <w:r>
        <w:rPr>
          <w:rFonts w:eastAsia="Times New Roman"/>
          <w:snapToGrid/>
          <w:szCs w:val="22"/>
          <w:lang w:val="hu-HU" w:eastAsia="en-US"/>
        </w:rPr>
        <w:t xml:space="preserve">t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figyeltek meg </w:t>
      </w:r>
      <w:r>
        <w:rPr>
          <w:rFonts w:eastAsia="Times New Roman"/>
          <w:snapToGrid/>
          <w:szCs w:val="22"/>
          <w:lang w:val="hu-HU" w:eastAsia="en-US"/>
        </w:rPr>
        <w:t xml:space="preserve">a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teljes élettartamot lefedő karcinogenicitási vizsgálatban patkányoknál, és ismételt adagolású toxicitási vizsgálatokban kutyáknál olyan expozíció </w:t>
      </w:r>
      <w:r>
        <w:rPr>
          <w:rFonts w:eastAsia="Times New Roman"/>
          <w:snapToGrid/>
          <w:szCs w:val="22"/>
          <w:lang w:val="hu-HU" w:eastAsia="en-US"/>
        </w:rPr>
        <w:t>mellett</w:t>
      </w:r>
      <w:r w:rsidR="000E098D" w:rsidRPr="00FA58AB">
        <w:rPr>
          <w:rFonts w:eastAsia="Times New Roman"/>
          <w:snapToGrid/>
          <w:szCs w:val="22"/>
          <w:lang w:val="hu-HU" w:eastAsia="en-US"/>
        </w:rPr>
        <w:t>, amely alapján a biztonsági határ értéke patkányoknál 9,7 és kutyáknál 23 volt. A termékenységet illetően a biztonsági határ értéke 18 volt a hím és 44 volt a nőstény patkányok esetében. Az egerek 2</w:t>
      </w:r>
      <w:r w:rsidR="000E098D" w:rsidRPr="00FA58AB">
        <w:rPr>
          <w:lang w:val="hu-HU"/>
        </w:rPr>
        <w:t> </w:t>
      </w:r>
      <w:r w:rsidR="000E098D" w:rsidRPr="00FA58AB">
        <w:rPr>
          <w:rFonts w:eastAsia="Times New Roman"/>
          <w:snapToGrid/>
          <w:szCs w:val="22"/>
          <w:lang w:val="hu-HU" w:eastAsia="en-US"/>
        </w:rPr>
        <w:t>évig tartó kezelése alatt nem észleltek hereelváltozásokat.</w:t>
      </w:r>
    </w:p>
    <w:p w14:paraId="75835C6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7D6D81" w14:textId="5D27844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lastRenderedPageBreak/>
        <w:t>A macitentán minden vizsgált dózisban teratogén hatásúnak bizonyult nyulaknál és patkányoknál. Mindkét fajn</w:t>
      </w:r>
      <w:r w:rsidR="0009633A">
        <w:rPr>
          <w:rFonts w:eastAsia="Times New Roman"/>
          <w:snapToGrid/>
          <w:szCs w:val="22"/>
          <w:lang w:val="hu-HU" w:eastAsia="en-US"/>
        </w:rPr>
        <w:t>ál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tapasztaltak eltéréseket a mandibuláris ív fúziójánál, valamint </w:t>
      </w:r>
      <w:r w:rsidR="005E576B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ardiovas</w:t>
      </w:r>
      <w:r w:rsidR="005E576B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ul</w:t>
      </w:r>
      <w:r w:rsidR="005E576B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ris rendellenességeket is.</w:t>
      </w:r>
    </w:p>
    <w:p w14:paraId="25DED8CA" w14:textId="77777777" w:rsidR="000E098D" w:rsidRPr="0009633A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8D404E" w14:textId="77777777" w:rsidR="0009633A" w:rsidRPr="002437AB" w:rsidRDefault="0009633A" w:rsidP="0009633A">
      <w:pPr>
        <w:pStyle w:val="Szvegtrzs"/>
        <w:rPr>
          <w:b w:val="0"/>
          <w:i w:val="0"/>
          <w:lang w:eastAsia="en-US"/>
        </w:rPr>
      </w:pPr>
      <w:r w:rsidRPr="002437AB">
        <w:rPr>
          <w:b w:val="0"/>
          <w:i w:val="0"/>
        </w:rPr>
        <w:t>Egy nőstény patkányoknál végzett vizsgálatban a humán terápiás expozíció 5-szörösének megfelelő anyai expozíciót okozó macitentán-dózissal kezelték az állatokat a vemhesség késői szakaszától kezdve, végig a szoptatás ideje alatt. A kezelés csökkentette a vemhesség késői szakaszában, illetve a szoptatási időszakban – a tej által – macitentánnak kitett utódok túlélését, valamint azok reprodukciós képességét.</w:t>
      </w:r>
    </w:p>
    <w:p w14:paraId="45318C46" w14:textId="77777777" w:rsidR="000E098D" w:rsidRPr="0009633A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8DF306D" w14:textId="4D65078A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Fiatal patkányoknál a születés utáni 4. és 114.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nap között végzett kezelés hatására csökkent a testtömeg-gyarapodás, aminek másodlagos hatásai voltak a fejlődésre (a herék enyhén késve szálltak le, a csöves csontok hossza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>bilisen csökkent, megnyúlt az ivari ciklus). Enyhén megnövekedett pre- és posztimplantációs veszteséget, csökkent átlagutódszámot, valamint csökkent here- és mellékheretömeget figyeltek meg a humán terápiás expozíció 7-szeresének megfelelő expozíció mellett. A humán terápiás expozíció 3,8-szorosának megfelelő expozíció mellett testicularis tubularis atrophiát, illetve a reprodukciós változók és a spermiumok morfológiájának minimális változását jegyezték fel.</w:t>
      </w:r>
    </w:p>
    <w:p w14:paraId="455174A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60F50734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3223C3E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436DF50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C5D297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D0B941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BF2EF25" w14:textId="3513CE60" w:rsidR="00F717BB" w:rsidRPr="00F35FA8" w:rsidRDefault="00F717BB" w:rsidP="00F717BB">
      <w:pPr>
        <w:pStyle w:val="Underlined"/>
      </w:pPr>
      <w:r w:rsidRPr="00F35FA8">
        <w:t>Tablettamag</w:t>
      </w:r>
      <w:r w:rsidR="00E755CF">
        <w:t>:</w:t>
      </w:r>
    </w:p>
    <w:p w14:paraId="31CD4D09" w14:textId="53E1102A" w:rsidR="00F717BB" w:rsidRPr="00F35FA8" w:rsidRDefault="00F717BB" w:rsidP="00F717BB">
      <w:proofErr w:type="spellStart"/>
      <w:proofErr w:type="gramStart"/>
      <w:r w:rsidRPr="00F35FA8">
        <w:t>mannit</w:t>
      </w:r>
      <w:proofErr w:type="spellEnd"/>
      <w:proofErr w:type="gramEnd"/>
      <w:r w:rsidRPr="00F35FA8">
        <w:t xml:space="preserve"> (E 421)</w:t>
      </w:r>
      <w:r w:rsidR="00E755CF">
        <w:t>;</w:t>
      </w:r>
    </w:p>
    <w:p w14:paraId="2C113002" w14:textId="7C360C8C" w:rsidR="00F717BB" w:rsidRPr="00F35FA8" w:rsidRDefault="00F717BB" w:rsidP="00F717BB">
      <w:proofErr w:type="spellStart"/>
      <w:proofErr w:type="gramStart"/>
      <w:r w:rsidRPr="00F35FA8">
        <w:t>mikrokristályos</w:t>
      </w:r>
      <w:proofErr w:type="spellEnd"/>
      <w:proofErr w:type="gramEnd"/>
      <w:r w:rsidRPr="00F35FA8">
        <w:t xml:space="preserve"> </w:t>
      </w:r>
      <w:proofErr w:type="spellStart"/>
      <w:r w:rsidRPr="00F35FA8">
        <w:t>cellulóz</w:t>
      </w:r>
      <w:proofErr w:type="spellEnd"/>
      <w:r w:rsidR="00E755CF">
        <w:t>;</w:t>
      </w:r>
    </w:p>
    <w:p w14:paraId="2A6B791F" w14:textId="408C4946" w:rsidR="00F717BB" w:rsidRPr="00F35FA8" w:rsidRDefault="00F717BB" w:rsidP="00F717BB">
      <w:proofErr w:type="spellStart"/>
      <w:proofErr w:type="gramStart"/>
      <w:r w:rsidRPr="00F35FA8">
        <w:t>karboximetilkeményítő-nátrium</w:t>
      </w:r>
      <w:proofErr w:type="spellEnd"/>
      <w:proofErr w:type="gramEnd"/>
      <w:r w:rsidRPr="00F35FA8">
        <w:t xml:space="preserve"> (A </w:t>
      </w:r>
      <w:proofErr w:type="spellStart"/>
      <w:r w:rsidRPr="00F35FA8">
        <w:t>típus</w:t>
      </w:r>
      <w:proofErr w:type="spellEnd"/>
      <w:r w:rsidRPr="00F35FA8">
        <w:t>)</w:t>
      </w:r>
      <w:r w:rsidR="00E755CF">
        <w:t>;</w:t>
      </w:r>
    </w:p>
    <w:p w14:paraId="78125D2B" w14:textId="0433626A" w:rsidR="00F717BB" w:rsidRPr="00F35FA8" w:rsidRDefault="00F717BB" w:rsidP="00F717BB">
      <w:proofErr w:type="spellStart"/>
      <w:proofErr w:type="gramStart"/>
      <w:r w:rsidRPr="00F35FA8">
        <w:t>povidon</w:t>
      </w:r>
      <w:proofErr w:type="spellEnd"/>
      <w:proofErr w:type="gramEnd"/>
      <w:r w:rsidRPr="00F35FA8">
        <w:t xml:space="preserve"> K</w:t>
      </w:r>
      <w:r w:rsidRPr="00F35FA8">
        <w:noBreakHyphen/>
        <w:t>30</w:t>
      </w:r>
      <w:r w:rsidR="00E755CF">
        <w:t>;</w:t>
      </w:r>
    </w:p>
    <w:p w14:paraId="738D42B0" w14:textId="4D9F2FCA" w:rsidR="00F717BB" w:rsidRPr="00F35FA8" w:rsidRDefault="00F717BB" w:rsidP="00F717BB">
      <w:proofErr w:type="spellStart"/>
      <w:proofErr w:type="gramStart"/>
      <w:r w:rsidRPr="00F35FA8">
        <w:t>poliszorbát</w:t>
      </w:r>
      <w:proofErr w:type="spellEnd"/>
      <w:proofErr w:type="gramEnd"/>
      <w:r w:rsidRPr="00F35FA8">
        <w:t xml:space="preserve"> 80</w:t>
      </w:r>
      <w:r w:rsidR="00E755CF">
        <w:t>;</w:t>
      </w:r>
    </w:p>
    <w:p w14:paraId="0D4454C0" w14:textId="60E3EA5B" w:rsidR="00F717BB" w:rsidRPr="00F35FA8" w:rsidRDefault="00F717BB" w:rsidP="00F717BB">
      <w:proofErr w:type="spellStart"/>
      <w:proofErr w:type="gramStart"/>
      <w:r w:rsidRPr="00F35FA8">
        <w:t>magnézium-sztearát</w:t>
      </w:r>
      <w:proofErr w:type="spellEnd"/>
      <w:proofErr w:type="gramEnd"/>
      <w:r w:rsidR="00E755CF">
        <w:t>.</w:t>
      </w:r>
    </w:p>
    <w:p w14:paraId="1173F224" w14:textId="77777777" w:rsidR="00F717BB" w:rsidRPr="00F35FA8" w:rsidRDefault="00F717BB" w:rsidP="00F717BB"/>
    <w:p w14:paraId="281CFEE2" w14:textId="6626E032" w:rsidR="00F717BB" w:rsidRPr="00F35FA8" w:rsidRDefault="00F717BB" w:rsidP="00F717BB">
      <w:pPr>
        <w:pStyle w:val="Underlined"/>
      </w:pPr>
      <w:r w:rsidRPr="00F35FA8">
        <w:t>Filmbevonat</w:t>
      </w:r>
      <w:r w:rsidR="00E755CF">
        <w:t>:</w:t>
      </w:r>
    </w:p>
    <w:p w14:paraId="7B6AF997" w14:textId="14A4C848" w:rsidR="00F717BB" w:rsidRPr="00F35FA8" w:rsidRDefault="00F717BB" w:rsidP="00F717BB">
      <w:pPr>
        <w:keepNext/>
      </w:pPr>
      <w:proofErr w:type="spellStart"/>
      <w:proofErr w:type="gramStart"/>
      <w:r w:rsidRPr="00F35FA8">
        <w:t>poli</w:t>
      </w:r>
      <w:proofErr w:type="spellEnd"/>
      <w:r w:rsidR="00E755CF">
        <w:t>(</w:t>
      </w:r>
      <w:proofErr w:type="spellStart"/>
      <w:proofErr w:type="gramEnd"/>
      <w:r w:rsidRPr="00F35FA8">
        <w:t>vinil-alkohol</w:t>
      </w:r>
      <w:proofErr w:type="spellEnd"/>
      <w:r w:rsidR="00E755CF">
        <w:t>);</w:t>
      </w:r>
    </w:p>
    <w:p w14:paraId="51F61FB9" w14:textId="2F92147E" w:rsidR="00F717BB" w:rsidRPr="00F35FA8" w:rsidRDefault="00F717BB" w:rsidP="00F717BB">
      <w:pPr>
        <w:keepNext/>
      </w:pPr>
      <w:proofErr w:type="spellStart"/>
      <w:proofErr w:type="gramStart"/>
      <w:r w:rsidRPr="00F35FA8">
        <w:t>titán-dioxid</w:t>
      </w:r>
      <w:proofErr w:type="spellEnd"/>
      <w:proofErr w:type="gramEnd"/>
      <w:r w:rsidRPr="00F35FA8">
        <w:t xml:space="preserve"> (E 171)</w:t>
      </w:r>
      <w:r w:rsidR="00E755CF">
        <w:t>;</w:t>
      </w:r>
    </w:p>
    <w:p w14:paraId="6A2BDE70" w14:textId="0FFF3396" w:rsidR="00F717BB" w:rsidRPr="00F35FA8" w:rsidRDefault="00F717BB" w:rsidP="00F717BB">
      <w:pPr>
        <w:keepNext/>
      </w:pPr>
      <w:proofErr w:type="spellStart"/>
      <w:proofErr w:type="gramStart"/>
      <w:r w:rsidRPr="00F35FA8">
        <w:t>szójalecitin</w:t>
      </w:r>
      <w:proofErr w:type="spellEnd"/>
      <w:proofErr w:type="gramEnd"/>
      <w:r w:rsidRPr="00F35FA8">
        <w:t xml:space="preserve"> (E 322)</w:t>
      </w:r>
      <w:r w:rsidR="00E755CF">
        <w:t>;</w:t>
      </w:r>
    </w:p>
    <w:p w14:paraId="30014D8C" w14:textId="22A27C6D" w:rsidR="00F717BB" w:rsidRPr="00F35FA8" w:rsidRDefault="00F717BB" w:rsidP="00F717BB">
      <w:pPr>
        <w:keepNext/>
      </w:pPr>
      <w:proofErr w:type="spellStart"/>
      <w:proofErr w:type="gramStart"/>
      <w:r w:rsidRPr="00F35FA8">
        <w:t>talkum</w:t>
      </w:r>
      <w:proofErr w:type="spellEnd"/>
      <w:proofErr w:type="gramEnd"/>
      <w:r w:rsidR="00E755CF">
        <w:t>;</w:t>
      </w:r>
    </w:p>
    <w:p w14:paraId="3D08CC0D" w14:textId="5944D51C" w:rsidR="00F717BB" w:rsidRPr="00F35FA8" w:rsidRDefault="00F717BB" w:rsidP="00F717BB">
      <w:proofErr w:type="spellStart"/>
      <w:r w:rsidRPr="00F35FA8">
        <w:t>xantán</w:t>
      </w:r>
      <w:proofErr w:type="spellEnd"/>
      <w:r w:rsidR="00037CE3">
        <w:t xml:space="preserve"> </w:t>
      </w:r>
      <w:proofErr w:type="spellStart"/>
      <w:r w:rsidRPr="00F35FA8">
        <w:t>gumi</w:t>
      </w:r>
      <w:proofErr w:type="spellEnd"/>
      <w:r w:rsidR="00E755CF">
        <w:t>.</w:t>
      </w:r>
    </w:p>
    <w:p w14:paraId="5B83AF7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EE69C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6.2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065BD394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D08CAA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Nem értelmezhető.</w:t>
      </w:r>
    </w:p>
    <w:p w14:paraId="5AB11C90" w14:textId="77777777" w:rsidR="000E098D" w:rsidRPr="00FA58AB" w:rsidRDefault="000E098D" w:rsidP="00E47067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57A1B31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7160D0C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A361E1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3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</w:t>
      </w:r>
    </w:p>
    <w:p w14:paraId="792D0A0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E6BF2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6.4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62402AE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FCEEB13" w14:textId="7386BD5F" w:rsidR="000E098D" w:rsidRPr="00FA58AB" w:rsidRDefault="00E87994" w:rsidP="00E47067">
      <w:pPr>
        <w:spacing w:line="240" w:lineRule="auto"/>
        <w:rPr>
          <w:bCs/>
          <w:lang w:val="hu-HU"/>
        </w:rPr>
      </w:pPr>
      <w:r w:rsidRPr="00FA58AB">
        <w:rPr>
          <w:lang w:val="hu-HU"/>
        </w:rPr>
        <w:t>Ez a gyógyszer nem igényel különleges tárolást.</w:t>
      </w:r>
    </w:p>
    <w:p w14:paraId="1A1401A7" w14:textId="77777777" w:rsidR="00E87994" w:rsidRPr="00FA58AB" w:rsidRDefault="00E8799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1D309D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6.5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Csomagolás típusa és kiszerelése</w:t>
      </w:r>
    </w:p>
    <w:p w14:paraId="3ADEC27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bookmarkStart w:id="2" w:name="_Hlk195457894"/>
    </w:p>
    <w:p w14:paraId="7BDEB397" w14:textId="73A05711" w:rsidR="00F717BB" w:rsidRPr="00F35FA8" w:rsidRDefault="00F717BB" w:rsidP="00F717BB">
      <w:proofErr w:type="spellStart"/>
      <w:r w:rsidRPr="00F35FA8">
        <w:t>Átlátszatlan</w:t>
      </w:r>
      <w:proofErr w:type="spellEnd"/>
      <w:r w:rsidRPr="00F35FA8">
        <w:t xml:space="preserve"> PVC/PE/PVDC</w:t>
      </w:r>
      <w:r w:rsidR="00E755CF">
        <w:t>//A</w:t>
      </w:r>
      <w:r w:rsidRPr="00F35FA8">
        <w:t>l</w:t>
      </w:r>
      <w:r w:rsidR="00E755CF">
        <w:t xml:space="preserve"> </w:t>
      </w:r>
      <w:proofErr w:type="spellStart"/>
      <w:r w:rsidR="00E755CF">
        <w:t>buborékcsomagolásban</w:t>
      </w:r>
      <w:proofErr w:type="spellEnd"/>
      <w:r w:rsidR="00E755CF">
        <w:t xml:space="preserve"> </w:t>
      </w:r>
      <w:proofErr w:type="spellStart"/>
      <w:r w:rsidR="00E755CF">
        <w:t>vagy</w:t>
      </w:r>
      <w:proofErr w:type="spellEnd"/>
      <w:r w:rsidR="00E755CF">
        <w:t xml:space="preserve"> </w:t>
      </w:r>
      <w:proofErr w:type="spellStart"/>
      <w:r w:rsidR="00E755CF">
        <w:t>adagonként</w:t>
      </w:r>
      <w:proofErr w:type="spellEnd"/>
      <w:r w:rsidR="00E755CF">
        <w:t xml:space="preserve"> </w:t>
      </w:r>
      <w:proofErr w:type="spellStart"/>
      <w:r w:rsidR="00E755CF">
        <w:t>perforált</w:t>
      </w:r>
      <w:proofErr w:type="spellEnd"/>
      <w:r w:rsidR="005D48D5">
        <w:t>,</w:t>
      </w:r>
      <w:r w:rsidR="00E755CF">
        <w:t xml:space="preserve"> </w:t>
      </w:r>
      <w:proofErr w:type="spellStart"/>
      <w:r w:rsidR="00012514">
        <w:t>á</w:t>
      </w:r>
      <w:r w:rsidR="00012514" w:rsidRPr="00F35FA8">
        <w:t>tlátszatlan</w:t>
      </w:r>
      <w:proofErr w:type="spellEnd"/>
      <w:r w:rsidR="00012514" w:rsidRPr="00F35FA8">
        <w:t xml:space="preserve"> PVC/PE/PVDC</w:t>
      </w:r>
      <w:r w:rsidR="00012514">
        <w:t>//A</w:t>
      </w:r>
      <w:r w:rsidR="00012514" w:rsidRPr="00F35FA8">
        <w:t>l</w:t>
      </w:r>
      <w:r w:rsidR="00012514">
        <w:t xml:space="preserve"> </w:t>
      </w:r>
      <w:proofErr w:type="spellStart"/>
      <w:r w:rsidR="00012514">
        <w:t>buborékcsomagolásban</w:t>
      </w:r>
      <w:proofErr w:type="spellEnd"/>
      <w:r w:rsidR="00012514">
        <w:t xml:space="preserve"> és </w:t>
      </w:r>
      <w:proofErr w:type="spellStart"/>
      <w:r w:rsidR="00012514">
        <w:t>dobozban</w:t>
      </w:r>
      <w:proofErr w:type="spellEnd"/>
      <w:r w:rsidRPr="00F35FA8">
        <w:t>.</w:t>
      </w:r>
    </w:p>
    <w:p w14:paraId="299CAD01" w14:textId="77777777" w:rsidR="00F717BB" w:rsidRPr="00F35FA8" w:rsidRDefault="00F717BB" w:rsidP="00F717BB"/>
    <w:p w14:paraId="7AA5D0A8" w14:textId="69390F66" w:rsidR="00F717BB" w:rsidRPr="00F35FA8" w:rsidRDefault="00F717BB" w:rsidP="00F717BB">
      <w:r w:rsidRPr="00F35FA8">
        <w:t xml:space="preserve">30 és 60 </w:t>
      </w:r>
      <w:proofErr w:type="spellStart"/>
      <w:r w:rsidRPr="00F35FA8">
        <w:t>tabletta</w:t>
      </w:r>
      <w:proofErr w:type="spellEnd"/>
      <w:r w:rsidR="00E2142D" w:rsidRPr="00E2142D">
        <w:t xml:space="preserve"> </w:t>
      </w:r>
      <w:proofErr w:type="spellStart"/>
      <w:r w:rsidR="00E2142D">
        <w:t>b</w:t>
      </w:r>
      <w:r w:rsidR="00E2142D" w:rsidRPr="00F35FA8">
        <w:t>uborékcsomagolás</w:t>
      </w:r>
      <w:r w:rsidR="00E2142D">
        <w:t>ban</w:t>
      </w:r>
      <w:proofErr w:type="spellEnd"/>
      <w:r w:rsidR="00E2142D">
        <w:t xml:space="preserve"> és </w:t>
      </w:r>
      <w:proofErr w:type="spellStart"/>
      <w:r w:rsidR="00E2142D">
        <w:t>dobozban</w:t>
      </w:r>
      <w:proofErr w:type="spellEnd"/>
      <w:r w:rsidR="00E2142D">
        <w:t>.</w:t>
      </w:r>
    </w:p>
    <w:p w14:paraId="4642C04E" w14:textId="4D10AF5E" w:rsidR="00F717BB" w:rsidRPr="00F35FA8" w:rsidRDefault="00F717BB" w:rsidP="00F717BB">
      <w:r w:rsidRPr="00F35FA8">
        <w:lastRenderedPageBreak/>
        <w:t>30</w:t>
      </w:r>
      <w:r w:rsidR="00E2142D">
        <w:t>×1</w:t>
      </w:r>
      <w:r w:rsidRPr="00F35FA8">
        <w:t xml:space="preserve"> </w:t>
      </w:r>
      <w:proofErr w:type="spellStart"/>
      <w:r w:rsidRPr="00F35FA8">
        <w:t>tabletta</w:t>
      </w:r>
      <w:proofErr w:type="spellEnd"/>
      <w:r w:rsidR="00E2142D">
        <w:t xml:space="preserve"> </w:t>
      </w:r>
      <w:proofErr w:type="spellStart"/>
      <w:r w:rsidR="00E2142D">
        <w:t>adagonként</w:t>
      </w:r>
      <w:proofErr w:type="spellEnd"/>
      <w:r w:rsidR="00E2142D">
        <w:t xml:space="preserve"> </w:t>
      </w:r>
      <w:proofErr w:type="spellStart"/>
      <w:r w:rsidR="00E2142D">
        <w:t>perforált</w:t>
      </w:r>
      <w:proofErr w:type="spellEnd"/>
      <w:r w:rsidR="00E2142D">
        <w:t xml:space="preserve"> </w:t>
      </w:r>
      <w:proofErr w:type="spellStart"/>
      <w:r w:rsidR="00E2142D">
        <w:t>b</w:t>
      </w:r>
      <w:r w:rsidR="00E2142D" w:rsidRPr="00F35FA8">
        <w:t>uborékcsomagolás</w:t>
      </w:r>
      <w:r w:rsidR="00E2142D">
        <w:t>ban</w:t>
      </w:r>
      <w:proofErr w:type="spellEnd"/>
      <w:r w:rsidR="00E2142D">
        <w:t xml:space="preserve"> és </w:t>
      </w:r>
      <w:proofErr w:type="spellStart"/>
      <w:r w:rsidR="00E2142D">
        <w:t>dobozban</w:t>
      </w:r>
      <w:proofErr w:type="spellEnd"/>
      <w:r w:rsidR="00E2142D">
        <w:t>.</w:t>
      </w:r>
    </w:p>
    <w:p w14:paraId="09D8532C" w14:textId="77777777" w:rsidR="00F717BB" w:rsidRPr="00F35FA8" w:rsidRDefault="00F717BB" w:rsidP="00F717BB"/>
    <w:p w14:paraId="4AFB6280" w14:textId="6D1F81BA" w:rsidR="00F717BB" w:rsidRPr="00F35FA8" w:rsidRDefault="00F717BB" w:rsidP="00F717BB">
      <w:proofErr w:type="spellStart"/>
      <w:r w:rsidRPr="00F35FA8">
        <w:t>Nem</w:t>
      </w:r>
      <w:proofErr w:type="spellEnd"/>
      <w:r w:rsidRPr="00F35FA8">
        <w:t xml:space="preserve"> </w:t>
      </w:r>
      <w:proofErr w:type="spellStart"/>
      <w:r w:rsidRPr="00F35FA8">
        <w:t>feltétlenül</w:t>
      </w:r>
      <w:proofErr w:type="spellEnd"/>
      <w:r w:rsidRPr="00F35FA8">
        <w:t xml:space="preserve"> </w:t>
      </w:r>
      <w:proofErr w:type="spellStart"/>
      <w:r w:rsidRPr="00F35FA8">
        <w:t>kerül</w:t>
      </w:r>
      <w:proofErr w:type="spellEnd"/>
      <w:r w:rsidRPr="00F35FA8">
        <w:t xml:space="preserve"> </w:t>
      </w:r>
      <w:proofErr w:type="spellStart"/>
      <w:r w:rsidRPr="00F35FA8">
        <w:t>mindegyik</w:t>
      </w:r>
      <w:proofErr w:type="spellEnd"/>
      <w:r w:rsidRPr="00F35FA8">
        <w:t xml:space="preserve"> </w:t>
      </w:r>
      <w:proofErr w:type="spellStart"/>
      <w:r w:rsidRPr="00F35FA8">
        <w:t>kiszerelés</w:t>
      </w:r>
      <w:proofErr w:type="spellEnd"/>
      <w:r w:rsidRPr="00F35FA8">
        <w:t xml:space="preserve"> </w:t>
      </w:r>
      <w:proofErr w:type="spellStart"/>
      <w:r w:rsidRPr="00F35FA8">
        <w:t>kereskedelmi</w:t>
      </w:r>
      <w:proofErr w:type="spellEnd"/>
      <w:r w:rsidRPr="00F35FA8">
        <w:t xml:space="preserve"> </w:t>
      </w:r>
      <w:proofErr w:type="spellStart"/>
      <w:r w:rsidRPr="00F35FA8">
        <w:t>forgalomba</w:t>
      </w:r>
      <w:proofErr w:type="spellEnd"/>
      <w:r w:rsidRPr="00F35FA8">
        <w:t>.</w:t>
      </w:r>
    </w:p>
    <w:p w14:paraId="114C81B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bookmarkEnd w:id="2"/>
    <w:p w14:paraId="74EABE8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6.6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6C9CC81D" w14:textId="77777777" w:rsidR="000E098D" w:rsidRPr="00FA58AB" w:rsidRDefault="000E098D" w:rsidP="00E47067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</w:p>
    <w:p w14:paraId="40CBB57A" w14:textId="08B6A152" w:rsidR="000E098D" w:rsidRPr="00FA58AB" w:rsidRDefault="00E87994" w:rsidP="00E47067">
      <w:pPr>
        <w:spacing w:line="240" w:lineRule="auto"/>
        <w:outlineLvl w:val="0"/>
        <w:rPr>
          <w:bCs/>
          <w:lang w:val="hu-HU"/>
        </w:rPr>
      </w:pPr>
      <w:r w:rsidRPr="00FA58AB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61FDF092" w14:textId="6440997A" w:rsidR="000E098D" w:rsidRDefault="000E098D" w:rsidP="00E47067">
      <w:pPr>
        <w:spacing w:line="240" w:lineRule="auto"/>
        <w:outlineLvl w:val="0"/>
        <w:rPr>
          <w:bCs/>
          <w:lang w:val="hu-HU"/>
        </w:rPr>
      </w:pPr>
    </w:p>
    <w:p w14:paraId="3F7E1BB7" w14:textId="77777777" w:rsidR="001D32EE" w:rsidRDefault="001D32EE" w:rsidP="001D32EE">
      <w:pPr>
        <w:spacing w:line="240" w:lineRule="exact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zCs w:val="22"/>
          <w:lang w:val="hu-HU" w:eastAsia="en-US"/>
        </w:rPr>
        <w:t xml:space="preserve">Megjegyzés: </w:t>
      </w:r>
      <w:r>
        <w:rPr>
          <w:b/>
          <w:szCs w:val="22"/>
        </w:rPr>
        <w:sym w:font="Wingdings" w:char="F058"/>
      </w:r>
      <w:r w:rsidRPr="00A07A6E">
        <w:rPr>
          <w:b/>
          <w:szCs w:val="22"/>
          <w:lang w:val="hu-HU"/>
        </w:rPr>
        <w:t xml:space="preserve"> (egy keresztes)</w:t>
      </w:r>
    </w:p>
    <w:p w14:paraId="63FA0489" w14:textId="77777777" w:rsidR="001D32EE" w:rsidRPr="002437AB" w:rsidRDefault="001D32EE" w:rsidP="001D32EE">
      <w:pPr>
        <w:pStyle w:val="Cmsor2"/>
        <w:tabs>
          <w:tab w:val="left" w:pos="708"/>
        </w:tabs>
        <w:spacing w:before="0" w:after="0" w:line="240" w:lineRule="auto"/>
        <w:rPr>
          <w:rFonts w:ascii="Times New Roman" w:eastAsia="Times New Roman" w:hAnsi="Times New Roman"/>
          <w:b/>
          <w:noProof/>
          <w:color w:val="auto"/>
          <w:sz w:val="22"/>
          <w:szCs w:val="22"/>
          <w:lang w:val="hu-HU" w:eastAsia="en-US"/>
        </w:rPr>
      </w:pPr>
      <w:r w:rsidRPr="00A07A6E">
        <w:rPr>
          <w:rFonts w:ascii="Times New Roman" w:hAnsi="Times New Roman"/>
          <w:b/>
          <w:noProof/>
          <w:color w:val="auto"/>
          <w:sz w:val="22"/>
          <w:szCs w:val="22"/>
          <w:lang w:val="hu-HU" w:eastAsia="en-US"/>
        </w:rPr>
        <w:t>Osztályozás: II./2. csoport</w:t>
      </w:r>
    </w:p>
    <w:p w14:paraId="098CD96F" w14:textId="77777777" w:rsidR="001D32EE" w:rsidRDefault="001D32EE" w:rsidP="001D32EE">
      <w:pPr>
        <w:spacing w:line="240" w:lineRule="auto"/>
        <w:outlineLvl w:val="0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Korlátozott érvényű orvosi rendelvényhez kötött, szakorvosi/kórházi diagnózist követően folyamatos szakorvosi ellenőrzés mellett alkalmazható gyógyszer (Sz).</w:t>
      </w:r>
    </w:p>
    <w:p w14:paraId="1D4CB750" w14:textId="77777777" w:rsidR="001D32EE" w:rsidRPr="00FA58AB" w:rsidRDefault="001D32EE" w:rsidP="00E47067">
      <w:pPr>
        <w:spacing w:line="240" w:lineRule="auto"/>
        <w:outlineLvl w:val="0"/>
        <w:rPr>
          <w:bCs/>
          <w:lang w:val="hu-HU"/>
        </w:rPr>
      </w:pPr>
    </w:p>
    <w:p w14:paraId="5F4F8538" w14:textId="77777777" w:rsidR="00E87994" w:rsidRPr="00FA58AB" w:rsidRDefault="00E87994" w:rsidP="00E47067">
      <w:pPr>
        <w:spacing w:line="240" w:lineRule="auto"/>
        <w:outlineLvl w:val="0"/>
        <w:rPr>
          <w:bCs/>
          <w:lang w:val="hu-HU"/>
        </w:rPr>
      </w:pPr>
    </w:p>
    <w:p w14:paraId="6602F66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7.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1AB4377F" w14:textId="77777777" w:rsidR="000E098D" w:rsidRPr="00FA58AB" w:rsidRDefault="000E098D" w:rsidP="00E47067">
      <w:pPr>
        <w:spacing w:line="240" w:lineRule="auto"/>
        <w:outlineLvl w:val="0"/>
        <w:rPr>
          <w:bCs/>
          <w:lang w:val="hu-HU"/>
        </w:rPr>
      </w:pPr>
    </w:p>
    <w:p w14:paraId="006F3D1C" w14:textId="77777777" w:rsidR="00F717BB" w:rsidRPr="00F35FA8" w:rsidRDefault="00F717BB" w:rsidP="00F717BB">
      <w:pPr>
        <w:keepNext/>
      </w:pPr>
      <w:r w:rsidRPr="00F35FA8">
        <w:t>Viatris Limited</w:t>
      </w:r>
    </w:p>
    <w:p w14:paraId="46881EAF" w14:textId="77777777" w:rsidR="00F717BB" w:rsidRPr="00F35FA8" w:rsidRDefault="00F717BB" w:rsidP="00F717BB">
      <w:pPr>
        <w:keepNext/>
      </w:pPr>
      <w:proofErr w:type="spellStart"/>
      <w:r w:rsidRPr="00F35FA8">
        <w:t>Damastown</w:t>
      </w:r>
      <w:proofErr w:type="spellEnd"/>
      <w:r w:rsidRPr="00F35FA8">
        <w:t xml:space="preserve"> Industrial Park</w:t>
      </w:r>
    </w:p>
    <w:p w14:paraId="6F0DEC4D" w14:textId="77777777" w:rsidR="00F717BB" w:rsidRPr="00F35FA8" w:rsidRDefault="00F717BB" w:rsidP="00F717BB">
      <w:pPr>
        <w:keepNext/>
      </w:pPr>
      <w:proofErr w:type="spellStart"/>
      <w:r w:rsidRPr="00F35FA8">
        <w:t>Mulhuddart</w:t>
      </w:r>
      <w:proofErr w:type="spellEnd"/>
      <w:r w:rsidRPr="00F35FA8">
        <w:t>, Dublin 15</w:t>
      </w:r>
    </w:p>
    <w:p w14:paraId="042F2B48" w14:textId="77777777" w:rsidR="00F717BB" w:rsidRPr="00F35FA8" w:rsidRDefault="00F717BB" w:rsidP="00F717BB">
      <w:pPr>
        <w:keepNext/>
      </w:pPr>
      <w:r w:rsidRPr="00F35FA8">
        <w:t>DUBLIN</w:t>
      </w:r>
    </w:p>
    <w:p w14:paraId="209C0C73" w14:textId="77777777" w:rsidR="00F717BB" w:rsidRPr="00F35FA8" w:rsidRDefault="00F717BB" w:rsidP="00F717BB">
      <w:proofErr w:type="spellStart"/>
      <w:r w:rsidRPr="00F35FA8">
        <w:t>Írország</w:t>
      </w:r>
      <w:proofErr w:type="spellEnd"/>
    </w:p>
    <w:p w14:paraId="3CB11CAC" w14:textId="22059410" w:rsidR="005B649E" w:rsidRDefault="005B649E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4B0DFA49" w14:textId="77777777" w:rsidR="005D48D5" w:rsidRPr="00FA58AB" w:rsidRDefault="005D48D5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B2990CC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8.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1C4A42B" w14:textId="77777777" w:rsidR="00147E6A" w:rsidRPr="00727F8D" w:rsidRDefault="00147E6A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45EE9B0A" w14:textId="56279F46" w:rsidR="00147E6A" w:rsidRPr="00537BAE" w:rsidRDefault="00537BAE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  <w:r w:rsidRPr="00537BAE">
        <w:rPr>
          <w:szCs w:val="22"/>
          <w:lang w:eastAsia="hu-HU"/>
        </w:rPr>
        <w:t>OGYI-T-24818/01</w:t>
      </w:r>
      <w:r>
        <w:rPr>
          <w:szCs w:val="22"/>
          <w:lang w:eastAsia="hu-HU"/>
        </w:rPr>
        <w:tab/>
      </w:r>
      <w:r w:rsidRPr="00537BAE">
        <w:rPr>
          <w:szCs w:val="22"/>
          <w:lang w:eastAsia="hu-HU"/>
        </w:rPr>
        <w:t>30</w:t>
      </w:r>
      <w:r>
        <w:rPr>
          <w:szCs w:val="22"/>
          <w:lang w:eastAsia="hu-HU"/>
        </w:rPr>
        <w:t>×</w:t>
      </w:r>
      <w:r>
        <w:rPr>
          <w:szCs w:val="22"/>
          <w:lang w:eastAsia="hu-HU"/>
        </w:rPr>
        <w:tab/>
      </w:r>
      <w:proofErr w:type="spellStart"/>
      <w:r w:rsidRPr="00537BAE">
        <w:rPr>
          <w:szCs w:val="22"/>
          <w:lang w:eastAsia="hu-HU"/>
        </w:rPr>
        <w:t>átlátszatlan</w:t>
      </w:r>
      <w:proofErr w:type="spellEnd"/>
      <w:r w:rsidRPr="00537BAE">
        <w:rPr>
          <w:szCs w:val="22"/>
          <w:lang w:eastAsia="hu-HU"/>
        </w:rPr>
        <w:t xml:space="preserve"> PVC/PE/PVDC//Al </w:t>
      </w:r>
      <w:proofErr w:type="spellStart"/>
      <w:r w:rsidRPr="00537BAE">
        <w:rPr>
          <w:szCs w:val="22"/>
          <w:lang w:eastAsia="hu-HU"/>
        </w:rPr>
        <w:t>buborékcsomagolásban</w:t>
      </w:r>
      <w:proofErr w:type="spellEnd"/>
    </w:p>
    <w:p w14:paraId="137AAE15" w14:textId="2F29FB0A" w:rsidR="004F4AC7" w:rsidRDefault="004F4AC7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78907A58" w14:textId="77777777" w:rsidR="00537BAE" w:rsidRPr="00727F8D" w:rsidRDefault="00537BAE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A62D3B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9.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FA58AB">
        <w:rPr>
          <w:b/>
          <w:lang w:val="hu-HU"/>
        </w:rPr>
        <w:t xml:space="preserve"> DÁTUMA</w:t>
      </w:r>
    </w:p>
    <w:p w14:paraId="5C617DA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31D7B62" w14:textId="73A1DC2E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A forgalomba hozatali engedély első kiadásának dátuma</w:t>
      </w:r>
      <w:r w:rsidR="00582A16">
        <w:rPr>
          <w:rFonts w:eastAsia="Times New Roman"/>
          <w:snapToGrid/>
          <w:szCs w:val="22"/>
          <w:lang w:val="hu-HU" w:eastAsia="en-US"/>
        </w:rPr>
        <w:t>:</w:t>
      </w:r>
      <w:r w:rsidR="00537BAE">
        <w:rPr>
          <w:rFonts w:eastAsia="Times New Roman"/>
          <w:snapToGrid/>
          <w:szCs w:val="22"/>
          <w:lang w:val="hu-HU" w:eastAsia="en-US"/>
        </w:rPr>
        <w:t xml:space="preserve"> 2026. október 16.</w:t>
      </w:r>
    </w:p>
    <w:p w14:paraId="3D1315A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03354B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C465D54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10.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62773FB9" w14:textId="31B20710" w:rsidR="000E098D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5C5C017" w14:textId="2550E1E0" w:rsidR="00537BAE" w:rsidRDefault="00537BAE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2026. október 16.</w:t>
      </w:r>
      <w:bookmarkStart w:id="3" w:name="_GoBack"/>
      <w:bookmarkEnd w:id="3"/>
    </w:p>
    <w:sectPr w:rsidR="00537BAE" w:rsidSect="000E098D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DB686" w14:textId="77777777" w:rsidR="00E755CF" w:rsidRDefault="00E755CF">
      <w:pPr>
        <w:spacing w:line="240" w:lineRule="auto"/>
      </w:pPr>
      <w:r>
        <w:separator/>
      </w:r>
    </w:p>
  </w:endnote>
  <w:endnote w:type="continuationSeparator" w:id="0">
    <w:p w14:paraId="011C39F1" w14:textId="77777777" w:rsidR="00E755CF" w:rsidRDefault="00E755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C5F43" w14:textId="77777777" w:rsidR="00E755CF" w:rsidRPr="00995983" w:rsidRDefault="00E755CF">
    <w:pPr>
      <w:pStyle w:val="llb"/>
      <w:tabs>
        <w:tab w:val="right" w:pos="8931"/>
      </w:tabs>
      <w:ind w:right="96"/>
      <w:jc w:val="center"/>
      <w:rPr>
        <w:rFonts w:ascii="Times New Roman" w:hAnsi="Times New Roman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664C" w14:textId="32872B9A" w:rsidR="00E755CF" w:rsidRDefault="00E755CF">
    <w:pPr>
      <w:pStyle w:val="llb"/>
      <w:rPr>
        <w:rFonts w:ascii="Times New Roman" w:hAnsi="Times New Roman"/>
        <w:sz w:val="18"/>
        <w:szCs w:val="18"/>
      </w:rPr>
    </w:pPr>
    <w:r w:rsidRPr="002D43BA">
      <w:rPr>
        <w:rFonts w:ascii="Times New Roman" w:hAnsi="Times New Roman"/>
        <w:sz w:val="18"/>
        <w:szCs w:val="18"/>
      </w:rPr>
      <w:t>NNGYK/GYSZ/43669/2024</w:t>
    </w:r>
  </w:p>
  <w:p w14:paraId="06A072F0" w14:textId="585A411E" w:rsidR="00E2142D" w:rsidRPr="002D43BA" w:rsidRDefault="00E2142D">
    <w:pPr>
      <w:pStyle w:val="llb"/>
      <w:rPr>
        <w:rFonts w:ascii="Times New Roman" w:hAnsi="Times New Roman"/>
        <w:sz w:val="18"/>
        <w:szCs w:val="18"/>
      </w:rPr>
    </w:pPr>
    <w:r w:rsidRPr="00E2142D">
      <w:rPr>
        <w:rFonts w:ascii="Times New Roman" w:hAnsi="Times New Roman"/>
        <w:sz w:val="18"/>
        <w:szCs w:val="18"/>
      </w:rPr>
      <w:t>NNGYK/ETGY/20271/2026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ABAC4" w14:textId="77777777" w:rsidR="00E755CF" w:rsidRDefault="00E755CF">
      <w:pPr>
        <w:spacing w:line="240" w:lineRule="auto"/>
      </w:pPr>
      <w:r>
        <w:separator/>
      </w:r>
    </w:p>
  </w:footnote>
  <w:footnote w:type="continuationSeparator" w:id="0">
    <w:p w14:paraId="6436ADD1" w14:textId="77777777" w:rsidR="00E755CF" w:rsidRDefault="00E755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5415C" w14:textId="6DCB30C9" w:rsidR="00E755CF" w:rsidRPr="008D44B6" w:rsidRDefault="00537BAE" w:rsidP="002771CC">
    <w:pPr>
      <w:pStyle w:val="lfej"/>
      <w:jc w:val="center"/>
      <w:rPr>
        <w:sz w:val="18"/>
        <w:szCs w:val="18"/>
      </w:rPr>
    </w:pPr>
    <w:sdt>
      <w:sdtPr>
        <w:id w:val="-1307770242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E755CF" w:rsidRPr="008D44B6">
          <w:rPr>
            <w:sz w:val="18"/>
            <w:szCs w:val="18"/>
          </w:rPr>
          <w:fldChar w:fldCharType="begin"/>
        </w:r>
        <w:r w:rsidR="00E755CF" w:rsidRPr="008D44B6">
          <w:rPr>
            <w:sz w:val="18"/>
            <w:szCs w:val="18"/>
          </w:rPr>
          <w:instrText>PAGE   \* MERGEFORMAT</w:instrText>
        </w:r>
        <w:r w:rsidR="00E755CF" w:rsidRPr="008D44B6">
          <w:rPr>
            <w:sz w:val="18"/>
            <w:szCs w:val="18"/>
          </w:rPr>
          <w:fldChar w:fldCharType="separate"/>
        </w:r>
        <w:r w:rsidRPr="00537BAE">
          <w:rPr>
            <w:noProof/>
            <w:sz w:val="18"/>
            <w:szCs w:val="18"/>
            <w:lang w:val="hu-HU"/>
          </w:rPr>
          <w:t>17</w:t>
        </w:r>
        <w:r w:rsidR="00E755CF" w:rsidRPr="008D44B6">
          <w:rPr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821C7F"/>
    <w:multiLevelType w:val="hybridMultilevel"/>
    <w:tmpl w:val="7D5837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72733"/>
    <w:multiLevelType w:val="hybridMultilevel"/>
    <w:tmpl w:val="18E0BE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8DB0CBC"/>
    <w:multiLevelType w:val="hybridMultilevel"/>
    <w:tmpl w:val="1D1C0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13415F3"/>
    <w:multiLevelType w:val="hybridMultilevel"/>
    <w:tmpl w:val="633A203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044AC6"/>
    <w:multiLevelType w:val="hybridMultilevel"/>
    <w:tmpl w:val="A544ACC2"/>
    <w:lvl w:ilvl="0" w:tplc="6AB078CC">
      <w:start w:val="4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9"/>
  </w:num>
  <w:num w:numId="8">
    <w:abstractNumId w:val="21"/>
  </w:num>
  <w:num w:numId="9">
    <w:abstractNumId w:val="33"/>
  </w:num>
  <w:num w:numId="10">
    <w:abstractNumId w:val="29"/>
  </w:num>
  <w:num w:numId="11">
    <w:abstractNumId w:val="20"/>
  </w:num>
  <w:num w:numId="12">
    <w:abstractNumId w:val="17"/>
  </w:num>
  <w:num w:numId="13">
    <w:abstractNumId w:val="14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30"/>
  </w:num>
  <w:num w:numId="16">
    <w:abstractNumId w:val="22"/>
  </w:num>
  <w:num w:numId="17">
    <w:abstractNumId w:val="24"/>
  </w:num>
  <w:num w:numId="18">
    <w:abstractNumId w:val="13"/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9"/>
  </w:num>
  <w:num w:numId="2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"/>
  </w:num>
  <w:num w:numId="30">
    <w:abstractNumId w:val="3"/>
  </w:num>
  <w:num w:numId="31">
    <w:abstractNumId w:val="4"/>
  </w:num>
  <w:num w:numId="32">
    <w:abstractNumId w:val="5"/>
  </w:num>
  <w:num w:numId="33">
    <w:abstractNumId w:val="6"/>
  </w:num>
  <w:num w:numId="34">
    <w:abstractNumId w:val="7"/>
  </w:num>
  <w:num w:numId="35">
    <w:abstractNumId w:val="10"/>
  </w:num>
  <w:num w:numId="36">
    <w:abstractNumId w:val="23"/>
  </w:num>
  <w:num w:numId="37">
    <w:abstractNumId w:val="12"/>
  </w:num>
  <w:num w:numId="3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9">
    <w:abstractNumId w:val="26"/>
  </w:num>
  <w:num w:numId="40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18"/>
  </w:num>
  <w:num w:numId="43">
    <w:abstractNumId w:val="16"/>
  </w:num>
  <w:num w:numId="44">
    <w:abstractNumId w:val="15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8D"/>
    <w:rsid w:val="0001018D"/>
    <w:rsid w:val="00010965"/>
    <w:rsid w:val="00012514"/>
    <w:rsid w:val="00020736"/>
    <w:rsid w:val="00024E6B"/>
    <w:rsid w:val="000251B4"/>
    <w:rsid w:val="00037CE3"/>
    <w:rsid w:val="0009633A"/>
    <w:rsid w:val="000A71B7"/>
    <w:rsid w:val="000C0987"/>
    <w:rsid w:val="000C1C09"/>
    <w:rsid w:val="000C6B58"/>
    <w:rsid w:val="000E098D"/>
    <w:rsid w:val="000F11A6"/>
    <w:rsid w:val="000F16CA"/>
    <w:rsid w:val="0010641A"/>
    <w:rsid w:val="0012449C"/>
    <w:rsid w:val="00136BDE"/>
    <w:rsid w:val="0014348C"/>
    <w:rsid w:val="00147E6A"/>
    <w:rsid w:val="00183080"/>
    <w:rsid w:val="001D32EE"/>
    <w:rsid w:val="001E0F67"/>
    <w:rsid w:val="001E11C9"/>
    <w:rsid w:val="001E5FE0"/>
    <w:rsid w:val="001F10D9"/>
    <w:rsid w:val="001F2822"/>
    <w:rsid w:val="002437AB"/>
    <w:rsid w:val="002509DC"/>
    <w:rsid w:val="00261226"/>
    <w:rsid w:val="002771CC"/>
    <w:rsid w:val="00281CDD"/>
    <w:rsid w:val="00281E66"/>
    <w:rsid w:val="00293790"/>
    <w:rsid w:val="00296CF6"/>
    <w:rsid w:val="002B16D7"/>
    <w:rsid w:val="002B6739"/>
    <w:rsid w:val="002B6B8C"/>
    <w:rsid w:val="002D3BAD"/>
    <w:rsid w:val="002D43BA"/>
    <w:rsid w:val="002D64FD"/>
    <w:rsid w:val="002F54C3"/>
    <w:rsid w:val="002F60E9"/>
    <w:rsid w:val="00306C4A"/>
    <w:rsid w:val="0031164F"/>
    <w:rsid w:val="003147F3"/>
    <w:rsid w:val="00334065"/>
    <w:rsid w:val="00336751"/>
    <w:rsid w:val="00337DD4"/>
    <w:rsid w:val="003445B1"/>
    <w:rsid w:val="0036096C"/>
    <w:rsid w:val="00360FC7"/>
    <w:rsid w:val="00366871"/>
    <w:rsid w:val="0037076C"/>
    <w:rsid w:val="00372936"/>
    <w:rsid w:val="00373556"/>
    <w:rsid w:val="00397A31"/>
    <w:rsid w:val="003B0125"/>
    <w:rsid w:val="003D6512"/>
    <w:rsid w:val="003D65DC"/>
    <w:rsid w:val="003E2A8B"/>
    <w:rsid w:val="003F6A4A"/>
    <w:rsid w:val="004067FC"/>
    <w:rsid w:val="00424896"/>
    <w:rsid w:val="004557A9"/>
    <w:rsid w:val="0049037D"/>
    <w:rsid w:val="004A28CD"/>
    <w:rsid w:val="004D015B"/>
    <w:rsid w:val="004D3824"/>
    <w:rsid w:val="004E4A04"/>
    <w:rsid w:val="004E5B98"/>
    <w:rsid w:val="004F3E7D"/>
    <w:rsid w:val="004F4AC7"/>
    <w:rsid w:val="00517CCD"/>
    <w:rsid w:val="00521F9D"/>
    <w:rsid w:val="0053300F"/>
    <w:rsid w:val="00537BAE"/>
    <w:rsid w:val="00560ADC"/>
    <w:rsid w:val="005634C4"/>
    <w:rsid w:val="00573159"/>
    <w:rsid w:val="00582A16"/>
    <w:rsid w:val="00591532"/>
    <w:rsid w:val="005966F3"/>
    <w:rsid w:val="0059768F"/>
    <w:rsid w:val="005A2FED"/>
    <w:rsid w:val="005B649E"/>
    <w:rsid w:val="005C5219"/>
    <w:rsid w:val="005D48D5"/>
    <w:rsid w:val="005E33AA"/>
    <w:rsid w:val="005E576B"/>
    <w:rsid w:val="005E7C4F"/>
    <w:rsid w:val="005F4589"/>
    <w:rsid w:val="005F50E0"/>
    <w:rsid w:val="005F6FED"/>
    <w:rsid w:val="00614D1D"/>
    <w:rsid w:val="006309BC"/>
    <w:rsid w:val="00630F22"/>
    <w:rsid w:val="00632BC6"/>
    <w:rsid w:val="00636FA5"/>
    <w:rsid w:val="006461BE"/>
    <w:rsid w:val="00656F59"/>
    <w:rsid w:val="00662DE7"/>
    <w:rsid w:val="00673486"/>
    <w:rsid w:val="00690E27"/>
    <w:rsid w:val="00696A2F"/>
    <w:rsid w:val="00697C68"/>
    <w:rsid w:val="006A53A1"/>
    <w:rsid w:val="006A5E9F"/>
    <w:rsid w:val="006B4A03"/>
    <w:rsid w:val="006B6440"/>
    <w:rsid w:val="006C4844"/>
    <w:rsid w:val="006D7F53"/>
    <w:rsid w:val="006E4384"/>
    <w:rsid w:val="006E7ED1"/>
    <w:rsid w:val="00702140"/>
    <w:rsid w:val="007160E3"/>
    <w:rsid w:val="0072780D"/>
    <w:rsid w:val="00727D64"/>
    <w:rsid w:val="00727F8D"/>
    <w:rsid w:val="007330AB"/>
    <w:rsid w:val="0074131B"/>
    <w:rsid w:val="0077334B"/>
    <w:rsid w:val="007A0651"/>
    <w:rsid w:val="007E3B34"/>
    <w:rsid w:val="008052C6"/>
    <w:rsid w:val="0081722C"/>
    <w:rsid w:val="008262C3"/>
    <w:rsid w:val="0083494C"/>
    <w:rsid w:val="00852267"/>
    <w:rsid w:val="00876CD5"/>
    <w:rsid w:val="0087792E"/>
    <w:rsid w:val="0088729B"/>
    <w:rsid w:val="00897536"/>
    <w:rsid w:val="008A2073"/>
    <w:rsid w:val="008A6559"/>
    <w:rsid w:val="008C0080"/>
    <w:rsid w:val="008D3DE0"/>
    <w:rsid w:val="008E5107"/>
    <w:rsid w:val="008F104B"/>
    <w:rsid w:val="00900CA5"/>
    <w:rsid w:val="009249B1"/>
    <w:rsid w:val="00931A1B"/>
    <w:rsid w:val="00963EF9"/>
    <w:rsid w:val="00997039"/>
    <w:rsid w:val="009C62C1"/>
    <w:rsid w:val="009E4060"/>
    <w:rsid w:val="009F0DCE"/>
    <w:rsid w:val="009F0E11"/>
    <w:rsid w:val="009F39B9"/>
    <w:rsid w:val="00A07A6E"/>
    <w:rsid w:val="00A134C9"/>
    <w:rsid w:val="00A17AA6"/>
    <w:rsid w:val="00A26E0B"/>
    <w:rsid w:val="00A36248"/>
    <w:rsid w:val="00A42BF9"/>
    <w:rsid w:val="00A51AC5"/>
    <w:rsid w:val="00A54176"/>
    <w:rsid w:val="00A57CD7"/>
    <w:rsid w:val="00A71C53"/>
    <w:rsid w:val="00A8043B"/>
    <w:rsid w:val="00A805D1"/>
    <w:rsid w:val="00A815B9"/>
    <w:rsid w:val="00A81986"/>
    <w:rsid w:val="00A826FA"/>
    <w:rsid w:val="00A8408D"/>
    <w:rsid w:val="00A95C99"/>
    <w:rsid w:val="00AA1652"/>
    <w:rsid w:val="00AA2531"/>
    <w:rsid w:val="00AA6C6F"/>
    <w:rsid w:val="00AB6180"/>
    <w:rsid w:val="00AC08A4"/>
    <w:rsid w:val="00AC1F6B"/>
    <w:rsid w:val="00AD2572"/>
    <w:rsid w:val="00AD28F7"/>
    <w:rsid w:val="00AE009A"/>
    <w:rsid w:val="00AE01E6"/>
    <w:rsid w:val="00AE0C95"/>
    <w:rsid w:val="00AE21FB"/>
    <w:rsid w:val="00AF1481"/>
    <w:rsid w:val="00B07E12"/>
    <w:rsid w:val="00B15C7F"/>
    <w:rsid w:val="00B359B4"/>
    <w:rsid w:val="00B41AF3"/>
    <w:rsid w:val="00B501B1"/>
    <w:rsid w:val="00B709E7"/>
    <w:rsid w:val="00B70E93"/>
    <w:rsid w:val="00B933E0"/>
    <w:rsid w:val="00BA4008"/>
    <w:rsid w:val="00BB3A88"/>
    <w:rsid w:val="00BC2FE5"/>
    <w:rsid w:val="00BD6776"/>
    <w:rsid w:val="00BF1BCD"/>
    <w:rsid w:val="00C00E2F"/>
    <w:rsid w:val="00C430C1"/>
    <w:rsid w:val="00C47E3A"/>
    <w:rsid w:val="00C56BDC"/>
    <w:rsid w:val="00C66A96"/>
    <w:rsid w:val="00C81B30"/>
    <w:rsid w:val="00C83882"/>
    <w:rsid w:val="00C92A9E"/>
    <w:rsid w:val="00C955F9"/>
    <w:rsid w:val="00CB1235"/>
    <w:rsid w:val="00CC7945"/>
    <w:rsid w:val="00CD484C"/>
    <w:rsid w:val="00D07789"/>
    <w:rsid w:val="00D26E8D"/>
    <w:rsid w:val="00D33E2D"/>
    <w:rsid w:val="00D534D0"/>
    <w:rsid w:val="00D53BB5"/>
    <w:rsid w:val="00D5769C"/>
    <w:rsid w:val="00D646A8"/>
    <w:rsid w:val="00D76A58"/>
    <w:rsid w:val="00D96FF4"/>
    <w:rsid w:val="00DA4FBD"/>
    <w:rsid w:val="00DC5436"/>
    <w:rsid w:val="00DC5E9F"/>
    <w:rsid w:val="00DE03E6"/>
    <w:rsid w:val="00DE5910"/>
    <w:rsid w:val="00DF0641"/>
    <w:rsid w:val="00DF206F"/>
    <w:rsid w:val="00E2142D"/>
    <w:rsid w:val="00E26185"/>
    <w:rsid w:val="00E30CD9"/>
    <w:rsid w:val="00E4361E"/>
    <w:rsid w:val="00E4568D"/>
    <w:rsid w:val="00E47067"/>
    <w:rsid w:val="00E51257"/>
    <w:rsid w:val="00E5128F"/>
    <w:rsid w:val="00E673BD"/>
    <w:rsid w:val="00E72DF5"/>
    <w:rsid w:val="00E755CF"/>
    <w:rsid w:val="00E87994"/>
    <w:rsid w:val="00E919A7"/>
    <w:rsid w:val="00E9294D"/>
    <w:rsid w:val="00E94214"/>
    <w:rsid w:val="00EC4D02"/>
    <w:rsid w:val="00EE4D90"/>
    <w:rsid w:val="00EE57C2"/>
    <w:rsid w:val="00EF3999"/>
    <w:rsid w:val="00F061F6"/>
    <w:rsid w:val="00F25CE1"/>
    <w:rsid w:val="00F5208B"/>
    <w:rsid w:val="00F527A8"/>
    <w:rsid w:val="00F52A30"/>
    <w:rsid w:val="00F6507C"/>
    <w:rsid w:val="00F677E5"/>
    <w:rsid w:val="00F70480"/>
    <w:rsid w:val="00F717BB"/>
    <w:rsid w:val="00F77752"/>
    <w:rsid w:val="00F82625"/>
    <w:rsid w:val="00FA58AB"/>
    <w:rsid w:val="00FC6A93"/>
    <w:rsid w:val="00FD27AB"/>
    <w:rsid w:val="00FD4EED"/>
    <w:rsid w:val="00FD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83093"/>
  <w15:chartTrackingRefBased/>
  <w15:docId w15:val="{01100B8E-CFC7-4D4D-8536-B25A20771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098D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0E0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0E0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0E098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nhideWhenUsed/>
    <w:qFormat/>
    <w:rsid w:val="000E09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nhideWhenUsed/>
    <w:qFormat/>
    <w:rsid w:val="000E09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nhideWhenUsed/>
    <w:qFormat/>
    <w:rsid w:val="000E098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nhideWhenUsed/>
    <w:qFormat/>
    <w:rsid w:val="000E098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nhideWhenUsed/>
    <w:qFormat/>
    <w:rsid w:val="000E098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nhideWhenUsed/>
    <w:qFormat/>
    <w:rsid w:val="000E098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0E09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rsid w:val="000E09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rsid w:val="000E09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rsid w:val="000E098D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rsid w:val="000E098D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rsid w:val="000E098D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rsid w:val="000E098D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rsid w:val="000E098D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rsid w:val="000E098D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E09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E09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E098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E09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E098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E098D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E098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E098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E09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E098D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E098D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0E098D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0E098D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Oldalszm">
    <w:name w:val="page number"/>
    <w:rsid w:val="000E098D"/>
    <w:rPr>
      <w:rFonts w:cs="Times New Roman"/>
    </w:rPr>
  </w:style>
  <w:style w:type="character" w:styleId="Hiperhivatkozs">
    <w:name w:val="Hyperlink"/>
    <w:rsid w:val="000E098D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0E098D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0E098D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0E098D"/>
    <w:rPr>
      <w:color w:val="0000FF"/>
    </w:rPr>
  </w:style>
  <w:style w:type="character" w:customStyle="1" w:styleId="tw4winPopup">
    <w:name w:val="tw4winPopup"/>
    <w:uiPriority w:val="99"/>
    <w:rsid w:val="000E098D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0E098D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0E098D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0E098D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0E098D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0E09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0E098D"/>
    <w:rPr>
      <w:rFonts w:ascii="Tahoma" w:eastAsia="SimSun" w:hAnsi="Tahoma" w:cs="Tahoma"/>
      <w:snapToGrid w:val="0"/>
      <w:kern w:val="0"/>
      <w:sz w:val="16"/>
      <w:szCs w:val="16"/>
      <w:lang w:val="en-GB" w:eastAsia="zh-CN"/>
    </w:rPr>
  </w:style>
  <w:style w:type="paragraph" w:styleId="lfej">
    <w:name w:val="header"/>
    <w:basedOn w:val="Norml"/>
    <w:link w:val="lfejChar"/>
    <w:uiPriority w:val="99"/>
    <w:rsid w:val="000E098D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0E098D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character" w:styleId="Jegyzethivatkozs">
    <w:name w:val="annotation reference"/>
    <w:semiHidden/>
    <w:rsid w:val="000E09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0E098D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0E098D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0E098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0E098D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customStyle="1" w:styleId="EMEAEnBodyText">
    <w:name w:val="EMEA En Body Text"/>
    <w:basedOn w:val="Norml"/>
    <w:rsid w:val="000E098D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styleId="Mrltotthiperhivatkozs">
    <w:name w:val="FollowedHyperlink"/>
    <w:rsid w:val="000E098D"/>
    <w:rPr>
      <w:color w:val="800080"/>
      <w:u w:val="single"/>
    </w:rPr>
  </w:style>
  <w:style w:type="paragraph" w:styleId="Szvegtrzs">
    <w:name w:val="Body Text"/>
    <w:basedOn w:val="Norml"/>
    <w:link w:val="SzvegtrzsChar"/>
    <w:rsid w:val="000E098D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0E098D"/>
    <w:rPr>
      <w:rFonts w:ascii="Times New Roman" w:hAnsi="Times New Roman" w:cs="Times New Roman"/>
      <w:b/>
      <w:i/>
      <w:kern w:val="0"/>
      <w:szCs w:val="20"/>
      <w:lang w:eastAsia="zh-CN"/>
    </w:rPr>
  </w:style>
  <w:style w:type="paragraph" w:styleId="Lista">
    <w:name w:val="List"/>
    <w:basedOn w:val="Szvegtrzs"/>
    <w:rsid w:val="000E098D"/>
    <w:rPr>
      <w:rFonts w:cs="Tahoma"/>
    </w:rPr>
  </w:style>
  <w:style w:type="paragraph" w:styleId="Szvegtrzsbehzssal">
    <w:name w:val="Body Text Indent"/>
    <w:basedOn w:val="Norml"/>
    <w:link w:val="SzvegtrzsbehzssalChar"/>
    <w:rsid w:val="000E098D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0E098D"/>
    <w:rPr>
      <w:rFonts w:ascii="Times New Roman" w:hAnsi="Times New Roman" w:cs="Times New Roman"/>
      <w:b/>
      <w:color w:val="808080"/>
      <w:kern w:val="0"/>
      <w:szCs w:val="20"/>
      <w:lang w:eastAsia="zh-CN"/>
    </w:rPr>
  </w:style>
  <w:style w:type="paragraph" w:styleId="Bortkcm">
    <w:name w:val="envelope address"/>
    <w:basedOn w:val="Norml"/>
    <w:next w:val="Szvegtrzs"/>
    <w:rsid w:val="000E098D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0E098D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rsid w:val="000E098D"/>
    <w:rPr>
      <w:rFonts w:ascii="Times New Roman" w:hAnsi="Times New Roman" w:cs="Times New Roman"/>
      <w:kern w:val="0"/>
      <w:sz w:val="20"/>
      <w:szCs w:val="20"/>
      <w:lang w:eastAsia="zh-CN"/>
    </w:rPr>
  </w:style>
  <w:style w:type="paragraph" w:styleId="Vgjegyzetszvege">
    <w:name w:val="endnote text"/>
    <w:basedOn w:val="Norml"/>
    <w:next w:val="Norml"/>
    <w:link w:val="VgjegyzetszvegeChar"/>
    <w:rsid w:val="000E098D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0E098D"/>
    <w:rPr>
      <w:rFonts w:ascii="Times New Roman" w:hAnsi="Times New Roman" w:cs="Times New Roman"/>
      <w:kern w:val="0"/>
      <w:szCs w:val="20"/>
      <w:lang w:eastAsia="zh-CN"/>
    </w:rPr>
  </w:style>
  <w:style w:type="paragraph" w:styleId="Szvegblokk">
    <w:name w:val="Block Text"/>
    <w:basedOn w:val="Norml"/>
    <w:rsid w:val="000E098D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0E098D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styleId="Rcsostblzat">
    <w:name w:val="Table Grid"/>
    <w:basedOn w:val="Normltblzat"/>
    <w:rsid w:val="000E098D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E098D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customStyle="1" w:styleId="Default">
    <w:name w:val="Default"/>
    <w:rsid w:val="000E098D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eastAsia="en-GB"/>
    </w:rPr>
  </w:style>
  <w:style w:type="paragraph" w:customStyle="1" w:styleId="Underlined">
    <w:name w:val="_Underlined"/>
    <w:basedOn w:val="Norml"/>
    <w:qFormat/>
    <w:rsid w:val="00F717BB"/>
    <w:pPr>
      <w:keepNext/>
      <w:tabs>
        <w:tab w:val="clear" w:pos="567"/>
      </w:tabs>
      <w:autoSpaceDE w:val="0"/>
      <w:autoSpaceDN w:val="0"/>
      <w:spacing w:line="240" w:lineRule="auto"/>
    </w:pPr>
    <w:rPr>
      <w:rFonts w:eastAsia="Times New Roman"/>
      <w:snapToGrid/>
      <w:szCs w:val="22"/>
      <w:u w:val="single"/>
      <w:lang w:val="hu-HU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56FBA-3F40-4FC5-B0FE-3DC1D51ACCE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6398</Words>
  <Characters>44150</Characters>
  <Application>Microsoft Office Word</Application>
  <DocSecurity>0</DocSecurity>
  <Lines>367</Lines>
  <Paragraphs>100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4</cp:revision>
  <dcterms:created xsi:type="dcterms:W3CDTF">2026-10-07T08:47:00Z</dcterms:created>
  <dcterms:modified xsi:type="dcterms:W3CDTF">2026-10-16T08:13:00Z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2026-05-26T13:12:12Z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697784c7-b42e-44a6-83b0-02fc121489c0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  <property fmtid="{D5CDD505-2E9C-101B-9397-08002B2CF9AE}" pid="10" name="MSIP_Label_d56ee2b5-6f31-444f-a952-51f9d8d772b6_Enabled">
    <vt:lpwstr>true</vt:lpwstr>
  </property>
  <property fmtid="{D5CDD505-2E9C-101B-9397-08002B2CF9AE}" pid="11" name="MSIP_Label_d56ee2b5-6f31-444f-a952-51f9d8d772b6_SetDate">
    <vt:lpwstr>2026-10-07T08:32:54Z</vt:lpwstr>
  </property>
  <property fmtid="{D5CDD505-2E9C-101B-9397-08002B2CF9AE}" pid="12" name="MSIP_Label_d56ee2b5-6f31-444f-a952-51f9d8d772b6_Method">
    <vt:lpwstr>Privileged</vt:lpwstr>
  </property>
  <property fmtid="{D5CDD505-2E9C-101B-9397-08002B2CF9AE}" pid="13" name="MSIP_Label_d56ee2b5-6f31-444f-a952-51f9d8d772b6_Name">
    <vt:lpwstr>Confidential</vt:lpwstr>
  </property>
  <property fmtid="{D5CDD505-2E9C-101B-9397-08002B2CF9AE}" pid="14" name="MSIP_Label_d56ee2b5-6f31-444f-a952-51f9d8d772b6_SiteId">
    <vt:lpwstr>b7dcea4e-d150-4ba1-8b2a-c8b27a75525c</vt:lpwstr>
  </property>
  <property fmtid="{D5CDD505-2E9C-101B-9397-08002B2CF9AE}" pid="15" name="MSIP_Label_d56ee2b5-6f31-444f-a952-51f9d8d772b6_ActionId">
    <vt:lpwstr>3b6c71cc-cfb5-4759-81c9-df47b0a8785b</vt:lpwstr>
  </property>
  <property fmtid="{D5CDD505-2E9C-101B-9397-08002B2CF9AE}" pid="16" name="MSIP_Label_d56ee2b5-6f31-444f-a952-51f9d8d772b6_ContentBits">
    <vt:lpwstr>0</vt:lpwstr>
  </property>
  <property fmtid="{D5CDD505-2E9C-101B-9397-08002B2CF9AE}" pid="17" name="MSIP_Label_d56ee2b5-6f31-444f-a952-51f9d8d772b6_Tag">
    <vt:lpwstr>10, 0, 1, 1</vt:lpwstr>
  </property>
</Properties>
</file>