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C9340F" w14:textId="77777777" w:rsidR="00FC0D76" w:rsidRPr="00343258" w:rsidRDefault="00FC0D76" w:rsidP="00FC0D76">
      <w:pPr>
        <w:pStyle w:val="Heading10"/>
        <w:numPr>
          <w:ilvl w:val="0"/>
          <w:numId w:val="23"/>
        </w:numPr>
        <w:shd w:val="clear" w:color="auto" w:fill="auto"/>
        <w:tabs>
          <w:tab w:val="left" w:pos="567"/>
        </w:tabs>
        <w:spacing w:line="240" w:lineRule="auto"/>
        <w:jc w:val="left"/>
        <w:rPr>
          <w:sz w:val="22"/>
          <w:szCs w:val="22"/>
        </w:rPr>
      </w:pPr>
      <w:bookmarkStart w:id="0" w:name="bookmark0"/>
      <w:r w:rsidRPr="00343258">
        <w:rPr>
          <w:sz w:val="22"/>
          <w:szCs w:val="22"/>
        </w:rPr>
        <w:t>GYÓGYSZER NEVE</w:t>
      </w:r>
      <w:bookmarkEnd w:id="0"/>
    </w:p>
    <w:p w14:paraId="50DF13C4" w14:textId="77777777" w:rsidR="00FC0D76" w:rsidRPr="00343258" w:rsidRDefault="00FC0D76" w:rsidP="00FC0D7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19062AC2" w14:textId="77777777" w:rsidR="00FC0D76" w:rsidRPr="00343258" w:rsidRDefault="00FC0D76" w:rsidP="00FC0D7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931686">
        <w:rPr>
          <w:sz w:val="22"/>
          <w:szCs w:val="22"/>
        </w:rPr>
        <w:t>Imatinib 1 A Pharma</w:t>
      </w:r>
      <w:r w:rsidRPr="00343258">
        <w:rPr>
          <w:sz w:val="22"/>
          <w:szCs w:val="22"/>
        </w:rPr>
        <w:t xml:space="preserve"> 100 mg filmtabletta</w:t>
      </w:r>
    </w:p>
    <w:p w14:paraId="1CA3252D" w14:textId="77777777" w:rsidR="00FC0D76" w:rsidRPr="00343258" w:rsidRDefault="00FC0D76" w:rsidP="00FC0D7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931686">
        <w:rPr>
          <w:sz w:val="22"/>
          <w:szCs w:val="22"/>
        </w:rPr>
        <w:t>Imatinib 1 A Pharma</w:t>
      </w:r>
      <w:r w:rsidRPr="00343258">
        <w:rPr>
          <w:sz w:val="22"/>
          <w:szCs w:val="22"/>
        </w:rPr>
        <w:t xml:space="preserve"> 400 mg filmtabletta</w:t>
      </w:r>
    </w:p>
    <w:p w14:paraId="39D5FAE0" w14:textId="77777777" w:rsidR="00FC0D76" w:rsidRPr="00343258" w:rsidRDefault="00FC0D76" w:rsidP="00FC0D76"/>
    <w:p w14:paraId="610640CF" w14:textId="77777777" w:rsidR="00FC0D76" w:rsidRPr="00343258" w:rsidRDefault="00FC0D76" w:rsidP="00FC0D76"/>
    <w:p w14:paraId="47F13272" w14:textId="1186C112" w:rsidR="00FC0D76" w:rsidRPr="00CC170B" w:rsidRDefault="00FC0D76" w:rsidP="00C01460">
      <w:pPr>
        <w:pStyle w:val="Listaszerbekezds"/>
        <w:numPr>
          <w:ilvl w:val="0"/>
          <w:numId w:val="23"/>
        </w:numPr>
        <w:ind w:left="567" w:hanging="567"/>
        <w:rPr>
          <w:b/>
          <w:bCs/>
        </w:rPr>
      </w:pPr>
      <w:r w:rsidRPr="00CC170B">
        <w:rPr>
          <w:b/>
          <w:bCs/>
        </w:rPr>
        <w:t>MINŐSÉGI ÉS MENNYISÉGI</w:t>
      </w:r>
      <w:r w:rsidRPr="00CC170B">
        <w:rPr>
          <w:b/>
          <w:bCs/>
          <w:spacing w:val="-4"/>
        </w:rPr>
        <w:t xml:space="preserve"> </w:t>
      </w:r>
      <w:r w:rsidRPr="00CC170B">
        <w:rPr>
          <w:b/>
          <w:bCs/>
        </w:rPr>
        <w:t>ÖSSZETÉTEL</w:t>
      </w:r>
    </w:p>
    <w:p w14:paraId="0B2912D0" w14:textId="77777777" w:rsidR="00FC0D76" w:rsidRPr="00CC170B" w:rsidRDefault="00FC0D76" w:rsidP="00FC0D76">
      <w:pPr>
        <w:rPr>
          <w:bCs/>
        </w:rPr>
      </w:pPr>
    </w:p>
    <w:p w14:paraId="41C36F68" w14:textId="77777777" w:rsidR="00FC0D76" w:rsidRPr="00931686" w:rsidRDefault="00FC0D76" w:rsidP="00FC0D76">
      <w:pPr>
        <w:rPr>
          <w:u w:val="single"/>
        </w:rPr>
      </w:pPr>
      <w:r w:rsidRPr="00931686">
        <w:rPr>
          <w:u w:val="single"/>
        </w:rPr>
        <w:t>Imatinib 1 A Pharma 100 mg</w:t>
      </w:r>
      <w:r w:rsidRPr="00931686">
        <w:rPr>
          <w:spacing w:val="-9"/>
          <w:u w:val="single"/>
        </w:rPr>
        <w:t xml:space="preserve"> </w:t>
      </w:r>
      <w:r w:rsidRPr="00931686">
        <w:rPr>
          <w:u w:val="single"/>
        </w:rPr>
        <w:t>filmtabletta</w:t>
      </w:r>
    </w:p>
    <w:p w14:paraId="47A3D066" w14:textId="74AF8EE9" w:rsidR="003E211B" w:rsidRPr="00CC170B" w:rsidRDefault="00FC0D76" w:rsidP="00FC0D76">
      <w:pPr>
        <w:rPr>
          <w:u w:val="single"/>
        </w:rPr>
      </w:pPr>
      <w:r w:rsidRPr="00CC170B">
        <w:t>100 mg imatinib</w:t>
      </w:r>
      <w:r w:rsidR="003E211B" w:rsidRPr="00CC170B">
        <w:t>nek megfelelő</w:t>
      </w:r>
      <w:r w:rsidRPr="00CC170B">
        <w:t xml:space="preserve"> </w:t>
      </w:r>
      <w:r w:rsidR="003E211B" w:rsidRPr="00CC170B">
        <w:t xml:space="preserve">imatinib-mezilátot </w:t>
      </w:r>
      <w:r w:rsidRPr="00CC170B">
        <w:t>tartalmaz filmtablettánként.</w:t>
      </w:r>
    </w:p>
    <w:p w14:paraId="70A9504D" w14:textId="77777777" w:rsidR="003E211B" w:rsidRPr="00CC170B" w:rsidRDefault="003E211B" w:rsidP="00FC0D76">
      <w:pPr>
        <w:rPr>
          <w:u w:val="single"/>
        </w:rPr>
      </w:pPr>
    </w:p>
    <w:p w14:paraId="6AA5906E" w14:textId="31FA76B8" w:rsidR="00FC0D76" w:rsidRPr="00931686" w:rsidRDefault="003E211B" w:rsidP="00FC0D76">
      <w:pPr>
        <w:rPr>
          <w:u w:val="single"/>
        </w:rPr>
      </w:pPr>
      <w:r w:rsidRPr="00931686">
        <w:rPr>
          <w:u w:val="single"/>
        </w:rPr>
        <w:t xml:space="preserve">Imatinib 1 A Pharma </w:t>
      </w:r>
      <w:r w:rsidR="00FC0D76" w:rsidRPr="00931686">
        <w:rPr>
          <w:u w:val="single"/>
        </w:rPr>
        <w:t>400 mg</w:t>
      </w:r>
      <w:r w:rsidR="00FC0D76" w:rsidRPr="00931686">
        <w:rPr>
          <w:spacing w:val="-2"/>
          <w:u w:val="single"/>
        </w:rPr>
        <w:t xml:space="preserve"> </w:t>
      </w:r>
      <w:r w:rsidR="00FC0D76" w:rsidRPr="00931686">
        <w:rPr>
          <w:u w:val="single"/>
        </w:rPr>
        <w:t>filmtabletta</w:t>
      </w:r>
    </w:p>
    <w:p w14:paraId="4EDD179D" w14:textId="0E0A6700" w:rsidR="003E211B" w:rsidRPr="00CC170B" w:rsidRDefault="003E211B" w:rsidP="003E211B">
      <w:pPr>
        <w:rPr>
          <w:u w:val="single"/>
        </w:rPr>
      </w:pPr>
      <w:r w:rsidRPr="00CC170B">
        <w:t>400 mg imatinibnek megfelelő imatinib-mezilátot tartalmaz filmtablettánként.</w:t>
      </w:r>
    </w:p>
    <w:p w14:paraId="2619C398" w14:textId="77777777" w:rsidR="003E211B" w:rsidRPr="00CC170B" w:rsidRDefault="003E211B" w:rsidP="00FC0D76"/>
    <w:p w14:paraId="6CA2BA08" w14:textId="3237EA06" w:rsidR="00FC0D76" w:rsidRPr="00CC170B" w:rsidRDefault="00FC0D76" w:rsidP="00FC0D76">
      <w:r w:rsidRPr="00CC170B">
        <w:t>A segédanyagok teljes listáját lásd a 6.1 pontban.</w:t>
      </w:r>
    </w:p>
    <w:p w14:paraId="39C7A3B1" w14:textId="77777777" w:rsidR="00FC0D76" w:rsidRPr="00CC170B" w:rsidRDefault="00FC0D76" w:rsidP="00FC0D76"/>
    <w:p w14:paraId="6FB79B8E" w14:textId="77777777" w:rsidR="00C01460" w:rsidRPr="00CC170B" w:rsidRDefault="00C01460" w:rsidP="00FC0D76"/>
    <w:p w14:paraId="3ADF8E99" w14:textId="34F4172B" w:rsidR="00FC0D76" w:rsidRPr="00CC170B" w:rsidRDefault="00FC0D76" w:rsidP="00C01460">
      <w:pPr>
        <w:pStyle w:val="Listaszerbekezds"/>
        <w:numPr>
          <w:ilvl w:val="0"/>
          <w:numId w:val="23"/>
        </w:numPr>
        <w:ind w:left="567" w:hanging="567"/>
        <w:rPr>
          <w:b/>
          <w:bCs/>
        </w:rPr>
      </w:pPr>
      <w:r w:rsidRPr="00CC170B">
        <w:rPr>
          <w:b/>
          <w:bCs/>
        </w:rPr>
        <w:t>GYÓGYSZERFORMA</w:t>
      </w:r>
    </w:p>
    <w:p w14:paraId="2D6E607F" w14:textId="77777777" w:rsidR="00FC0D76" w:rsidRPr="00CC170B" w:rsidRDefault="00FC0D76" w:rsidP="00CE48E8">
      <w:pPr>
        <w:tabs>
          <w:tab w:val="left" w:pos="567"/>
        </w:tabs>
        <w:rPr>
          <w:bCs/>
        </w:rPr>
      </w:pPr>
    </w:p>
    <w:p w14:paraId="7E78A49A" w14:textId="7D098913" w:rsidR="00FC0D76" w:rsidRPr="00CC170B" w:rsidRDefault="00FC0D76" w:rsidP="00FC0D76">
      <w:r w:rsidRPr="00CC170B">
        <w:t>Filmtabletta</w:t>
      </w:r>
      <w:r w:rsidR="00EA3335">
        <w:t xml:space="preserve"> (tabletta).</w:t>
      </w:r>
    </w:p>
    <w:p w14:paraId="754F982F" w14:textId="77777777" w:rsidR="00FC0D76" w:rsidRPr="00CC170B" w:rsidRDefault="00FC0D76" w:rsidP="00FC0D76"/>
    <w:p w14:paraId="098E472D" w14:textId="77777777" w:rsidR="00FC0D76" w:rsidRPr="00CC170B" w:rsidRDefault="00FC0D76" w:rsidP="00FC0D76">
      <w:r w:rsidRPr="00CC170B">
        <w:rPr>
          <w:u w:val="single"/>
        </w:rPr>
        <w:t>Imatinib 1 A Pharma 100 mg filmtabletta</w:t>
      </w:r>
    </w:p>
    <w:p w14:paraId="3D5B5976" w14:textId="1A9B05AB" w:rsidR="00C01460" w:rsidRPr="00343258" w:rsidRDefault="00C01460" w:rsidP="00C01460">
      <w:r w:rsidRPr="00343258">
        <w:t xml:space="preserve">Fehér vagy törtfehér színű, kerek, metszett élű filmtabletta, egyik oldalán </w:t>
      </w:r>
      <w:r w:rsidR="00343258" w:rsidRPr="00343258">
        <w:t>„</w:t>
      </w:r>
      <w:r w:rsidRPr="00931686">
        <w:t>H</w:t>
      </w:r>
      <w:r w:rsidR="00343258" w:rsidRPr="00931686">
        <w:t>”</w:t>
      </w:r>
      <w:r w:rsidRPr="00343258">
        <w:t xml:space="preserve">, másik oldalán </w:t>
      </w:r>
      <w:r w:rsidR="00343258" w:rsidRPr="00343258">
        <w:t>„</w:t>
      </w:r>
      <w:r w:rsidRPr="00931686">
        <w:t>19</w:t>
      </w:r>
      <w:r w:rsidR="00343258" w:rsidRPr="00931686">
        <w:t>”</w:t>
      </w:r>
      <w:r w:rsidRPr="00931686">
        <w:t xml:space="preserve"> </w:t>
      </w:r>
      <w:r w:rsidRPr="00343258">
        <w:t xml:space="preserve">mélynyomású jelzéssel, az </w:t>
      </w:r>
      <w:r w:rsidR="00343258">
        <w:t>„</w:t>
      </w:r>
      <w:r w:rsidRPr="00931686">
        <w:t>1</w:t>
      </w:r>
      <w:r w:rsidR="00343258">
        <w:t>”</w:t>
      </w:r>
      <w:r w:rsidRPr="00343258">
        <w:t xml:space="preserve"> és </w:t>
      </w:r>
      <w:r w:rsidR="00343258">
        <w:t>„</w:t>
      </w:r>
      <w:r w:rsidRPr="00931686">
        <w:t>9</w:t>
      </w:r>
      <w:r w:rsidR="00343258">
        <w:t>”</w:t>
      </w:r>
      <w:r w:rsidRPr="00343258">
        <w:t xml:space="preserve"> számokat bemetszés választja el egymástól, átmérője 7,05</w:t>
      </w:r>
      <w:r w:rsidR="00343258" w:rsidRPr="00343258">
        <w:t>–</w:t>
      </w:r>
      <w:r w:rsidRPr="00343258">
        <w:t>7,25 mm, vastagsága 3,0</w:t>
      </w:r>
      <w:r w:rsidR="00343258" w:rsidRPr="00343258">
        <w:t>–</w:t>
      </w:r>
      <w:r w:rsidRPr="00343258">
        <w:t>3,6 mm.</w:t>
      </w:r>
    </w:p>
    <w:p w14:paraId="3AE2DC0E" w14:textId="77777777" w:rsidR="00FC0D76" w:rsidRPr="00CC170B" w:rsidRDefault="00FC0D76" w:rsidP="00FC0D76"/>
    <w:p w14:paraId="2C20D03E" w14:textId="77777777" w:rsidR="00FC0D76" w:rsidRPr="00CC170B" w:rsidRDefault="00FC0D76" w:rsidP="00FC0D76">
      <w:r w:rsidRPr="00CC170B">
        <w:rPr>
          <w:u w:val="single"/>
        </w:rPr>
        <w:t>Imatinib 1 A Pharma 400 mg filmtabletta</w:t>
      </w:r>
    </w:p>
    <w:p w14:paraId="7149BDAF" w14:textId="10AF672F" w:rsidR="00091B04" w:rsidRPr="0009105E" w:rsidRDefault="00091B04" w:rsidP="00091B04">
      <w:r w:rsidRPr="0009105E">
        <w:t xml:space="preserve">Fehér vagy törtfehér színű, </w:t>
      </w:r>
      <w:r w:rsidR="0009105E">
        <w:t>kapszula alakú</w:t>
      </w:r>
      <w:r w:rsidRPr="0009105E">
        <w:t xml:space="preserve">, metszett élű filmtabletta, egyik oldalán </w:t>
      </w:r>
      <w:r w:rsidR="0009105E">
        <w:t>„</w:t>
      </w:r>
      <w:r w:rsidRPr="00931686">
        <w:t>H</w:t>
      </w:r>
      <w:r w:rsidR="0009105E">
        <w:t>”</w:t>
      </w:r>
      <w:r w:rsidRPr="0009105E">
        <w:t xml:space="preserve">, másik oldalán </w:t>
      </w:r>
      <w:r w:rsidR="0009105E">
        <w:t>„</w:t>
      </w:r>
      <w:r w:rsidRPr="00931686">
        <w:t>20</w:t>
      </w:r>
      <w:r w:rsidR="0009105E">
        <w:t>”</w:t>
      </w:r>
      <w:r w:rsidRPr="00931686">
        <w:t> </w:t>
      </w:r>
      <w:r w:rsidRPr="0009105E">
        <w:t xml:space="preserve">mélynyomású jelzéssel, a </w:t>
      </w:r>
      <w:r w:rsidR="0009105E">
        <w:t>„</w:t>
      </w:r>
      <w:r w:rsidRPr="00931686">
        <w:t>2</w:t>
      </w:r>
      <w:r w:rsidR="0009105E">
        <w:t>”</w:t>
      </w:r>
      <w:r w:rsidRPr="0009105E">
        <w:t xml:space="preserve"> és </w:t>
      </w:r>
      <w:r w:rsidR="0009105E">
        <w:t>„</w:t>
      </w:r>
      <w:r w:rsidRPr="00931686">
        <w:t>0</w:t>
      </w:r>
      <w:r w:rsidR="0009105E">
        <w:t>”</w:t>
      </w:r>
      <w:r w:rsidRPr="0009105E">
        <w:t xml:space="preserve"> számokat bemetszés választja el egymástól, hosszúsága 14,9</w:t>
      </w:r>
      <w:r w:rsidR="0009105E">
        <w:t>–</w:t>
      </w:r>
      <w:r w:rsidRPr="0009105E">
        <w:t>15,1 mm, szélessége 6,4</w:t>
      </w:r>
      <w:r w:rsidR="0009105E">
        <w:t>–</w:t>
      </w:r>
      <w:r w:rsidRPr="0009105E">
        <w:t>6,6 mm, vastagsága 5,2</w:t>
      </w:r>
      <w:r w:rsidR="0009105E">
        <w:t>–</w:t>
      </w:r>
      <w:r w:rsidRPr="0009105E">
        <w:t>6,0 mm.</w:t>
      </w:r>
    </w:p>
    <w:p w14:paraId="46227B63" w14:textId="77777777" w:rsidR="00FC0D76" w:rsidRPr="00CC170B" w:rsidRDefault="00FC0D76" w:rsidP="00FC0D76"/>
    <w:p w14:paraId="33E4567D" w14:textId="77777777" w:rsidR="00FC0D76" w:rsidRPr="00CC170B" w:rsidRDefault="00FC0D76" w:rsidP="00FC0D76">
      <w:r w:rsidRPr="00CC170B">
        <w:t>A filmtabletta egyenlő adagokra osztható.</w:t>
      </w:r>
    </w:p>
    <w:p w14:paraId="59D6DBDD" w14:textId="77777777" w:rsidR="00FC0D76" w:rsidRPr="00CC170B" w:rsidRDefault="00FC0D76" w:rsidP="00FC0D76"/>
    <w:p w14:paraId="22BDA10D" w14:textId="77777777" w:rsidR="00FC0D76" w:rsidRPr="00CC170B" w:rsidRDefault="00FC0D76" w:rsidP="00FC0D76"/>
    <w:p w14:paraId="5FD83B8C" w14:textId="20FA7C2E" w:rsidR="00FC0D76" w:rsidRPr="00CC170B" w:rsidRDefault="00FC0D76" w:rsidP="00091B04">
      <w:pPr>
        <w:pStyle w:val="Listaszerbekezds"/>
        <w:numPr>
          <w:ilvl w:val="0"/>
          <w:numId w:val="23"/>
        </w:numPr>
        <w:ind w:left="567" w:hanging="567"/>
        <w:rPr>
          <w:b/>
          <w:bCs/>
        </w:rPr>
      </w:pPr>
      <w:r w:rsidRPr="00CC170B">
        <w:rPr>
          <w:b/>
          <w:bCs/>
        </w:rPr>
        <w:t>KLINIKAI</w:t>
      </w:r>
      <w:r w:rsidRPr="00CC170B">
        <w:rPr>
          <w:b/>
          <w:bCs/>
          <w:spacing w:val="-1"/>
        </w:rPr>
        <w:t xml:space="preserve"> </w:t>
      </w:r>
      <w:r w:rsidRPr="00CC170B">
        <w:rPr>
          <w:b/>
          <w:bCs/>
        </w:rPr>
        <w:t>JELLEMZŐK</w:t>
      </w:r>
    </w:p>
    <w:p w14:paraId="0571632C" w14:textId="77777777" w:rsidR="00FC0D76" w:rsidRPr="00CC170B" w:rsidRDefault="00FC0D76" w:rsidP="00FC0D76">
      <w:pPr>
        <w:rPr>
          <w:bCs/>
        </w:rPr>
      </w:pPr>
    </w:p>
    <w:p w14:paraId="69F64561" w14:textId="0C2FCE55" w:rsidR="00FC0D76" w:rsidRPr="00CC170B" w:rsidRDefault="00091B04" w:rsidP="00CE48E8">
      <w:pPr>
        <w:tabs>
          <w:tab w:val="left" w:pos="567"/>
        </w:tabs>
        <w:rPr>
          <w:b/>
        </w:rPr>
      </w:pPr>
      <w:r w:rsidRPr="00CC170B">
        <w:rPr>
          <w:b/>
        </w:rPr>
        <w:t>4.1</w:t>
      </w:r>
      <w:r w:rsidRPr="00CC170B">
        <w:rPr>
          <w:b/>
        </w:rPr>
        <w:tab/>
      </w:r>
      <w:r w:rsidR="00FC0D76" w:rsidRPr="00CC170B">
        <w:rPr>
          <w:b/>
        </w:rPr>
        <w:t>Terápiás</w:t>
      </w:r>
      <w:r w:rsidR="00FC0D76" w:rsidRPr="00CC170B">
        <w:rPr>
          <w:b/>
          <w:spacing w:val="-2"/>
        </w:rPr>
        <w:t xml:space="preserve"> </w:t>
      </w:r>
      <w:r w:rsidR="00FC0D76" w:rsidRPr="00CC170B">
        <w:rPr>
          <w:b/>
        </w:rPr>
        <w:t>javallatok</w:t>
      </w:r>
    </w:p>
    <w:p w14:paraId="27D0957F" w14:textId="77777777" w:rsidR="00FC0D76" w:rsidRPr="00CC170B" w:rsidRDefault="00FC0D76" w:rsidP="00FC0D76">
      <w:pPr>
        <w:rPr>
          <w:bCs/>
        </w:rPr>
      </w:pPr>
    </w:p>
    <w:p w14:paraId="0803FB43" w14:textId="2684C868" w:rsidR="00FC0D76" w:rsidRPr="00CC170B" w:rsidRDefault="00430469" w:rsidP="00FC0D76">
      <w:r w:rsidRPr="00CC170B">
        <w:t xml:space="preserve">Az Imatinib </w:t>
      </w:r>
      <w:r w:rsidR="00FC0D76" w:rsidRPr="00CC170B">
        <w:t xml:space="preserve">1 A Pharma </w:t>
      </w:r>
      <w:r w:rsidR="003D5D7A">
        <w:t xml:space="preserve">filmtabletta </w:t>
      </w:r>
      <w:r w:rsidR="00CE48E8" w:rsidRPr="00CC170B">
        <w:t>az alábbiak kezelésére javallott</w:t>
      </w:r>
      <w:r w:rsidR="00FC0D76" w:rsidRPr="00CC170B">
        <w:t>:</w:t>
      </w:r>
    </w:p>
    <w:p w14:paraId="78EE5598" w14:textId="34162608" w:rsidR="00FC0D76" w:rsidRPr="00CC170B" w:rsidRDefault="00FC0D76" w:rsidP="00CE48E8">
      <w:pPr>
        <w:pStyle w:val="Listaszerbekezds"/>
        <w:numPr>
          <w:ilvl w:val="0"/>
          <w:numId w:val="24"/>
        </w:numPr>
        <w:ind w:left="567" w:hanging="567"/>
      </w:pPr>
      <w:r w:rsidRPr="00CC170B">
        <w:t>újonnan diagnosztizált Philadelphia-kromoszóma- (BCR-ABL-) pozitív (Ph+) krónikus</w:t>
      </w:r>
      <w:r w:rsidRPr="00CC170B">
        <w:rPr>
          <w:spacing w:val="-10"/>
        </w:rPr>
        <w:t xml:space="preserve"> </w:t>
      </w:r>
      <w:r w:rsidRPr="00CC170B">
        <w:t>myeloid</w:t>
      </w:r>
      <w:r w:rsidR="00CE48E8" w:rsidRPr="00CC170B">
        <w:t xml:space="preserve"> </w:t>
      </w:r>
      <w:r w:rsidRPr="00CC170B">
        <w:t>leukaemiás (CML) felnőttek, gyermekek és serdülők kezelése, akiknél a</w:t>
      </w:r>
      <w:r w:rsidR="00CE48E8" w:rsidRPr="00CC170B">
        <w:t xml:space="preserve"> </w:t>
      </w:r>
      <w:r w:rsidRPr="00CC170B">
        <w:t>csontvelő-transzplantáció első vonalbeli kezelésként nem jön szóba</w:t>
      </w:r>
      <w:r w:rsidR="00C72AF7">
        <w:t>;</w:t>
      </w:r>
    </w:p>
    <w:p w14:paraId="1A096317" w14:textId="50BDBDF9" w:rsidR="00FC0D76" w:rsidRPr="00CC170B" w:rsidRDefault="00FC0D76" w:rsidP="00CE48E8">
      <w:pPr>
        <w:pStyle w:val="Listaszerbekezds"/>
        <w:numPr>
          <w:ilvl w:val="0"/>
          <w:numId w:val="24"/>
        </w:numPr>
        <w:ind w:left="567" w:hanging="567"/>
      </w:pPr>
      <w:r w:rsidRPr="00CC170B">
        <w:t>Ph+ CML-es, sikertelen alfa-interferon-kezelésen átesett krónikus fázisban, valamint</w:t>
      </w:r>
      <w:r w:rsidRPr="00CC170B">
        <w:rPr>
          <w:spacing w:val="-9"/>
        </w:rPr>
        <w:t xml:space="preserve"> </w:t>
      </w:r>
      <w:r w:rsidRPr="00CC170B">
        <w:t>akcelerált</w:t>
      </w:r>
      <w:r w:rsidR="00CE48E8" w:rsidRPr="00CC170B">
        <w:t xml:space="preserve"> </w:t>
      </w:r>
      <w:r w:rsidRPr="00CC170B">
        <w:t>fázisban vagy blasztos krízisben levő felnőttek, gyermekek és serdülők kezelése</w:t>
      </w:r>
      <w:r w:rsidR="00C72AF7">
        <w:t>;</w:t>
      </w:r>
    </w:p>
    <w:p w14:paraId="752B22BF" w14:textId="6B4679D2" w:rsidR="00FC0D76" w:rsidRPr="00CC170B" w:rsidRDefault="00FC0D76" w:rsidP="00CE48E8">
      <w:pPr>
        <w:pStyle w:val="Listaszerbekezds"/>
        <w:numPr>
          <w:ilvl w:val="0"/>
          <w:numId w:val="24"/>
        </w:numPr>
        <w:ind w:left="567" w:hanging="567"/>
      </w:pPr>
      <w:r w:rsidRPr="00CC170B">
        <w:t>újonnan diagnosztizált Philadelphia-kromoszóma-pozitív akut lymphoblastos leukaemiás (Ph+</w:t>
      </w:r>
      <w:r w:rsidR="00C72AF7">
        <w:t> </w:t>
      </w:r>
      <w:r w:rsidRPr="00CC170B">
        <w:t>ALL) felnőttek, gyermekek és serdülők kezelése, kemoterápiával</w:t>
      </w:r>
      <w:r w:rsidRPr="00CC170B">
        <w:rPr>
          <w:spacing w:val="-10"/>
        </w:rPr>
        <w:t xml:space="preserve"> </w:t>
      </w:r>
      <w:r w:rsidRPr="00CC170B">
        <w:t>kiegészítve</w:t>
      </w:r>
      <w:r w:rsidR="00C72AF7">
        <w:t>;</w:t>
      </w:r>
    </w:p>
    <w:p w14:paraId="12E0FED6" w14:textId="1D315FC2" w:rsidR="00FC0D76" w:rsidRPr="00CC170B" w:rsidRDefault="00FC0D76" w:rsidP="00CE48E8">
      <w:pPr>
        <w:pStyle w:val="Listaszerbekezds"/>
        <w:numPr>
          <w:ilvl w:val="0"/>
          <w:numId w:val="24"/>
        </w:numPr>
        <w:ind w:left="567" w:hanging="567"/>
      </w:pPr>
      <w:r w:rsidRPr="00CC170B">
        <w:t>rela</w:t>
      </w:r>
      <w:r w:rsidR="00C72AF7">
        <w:t>b</w:t>
      </w:r>
      <w:r w:rsidR="00E56CE8" w:rsidRPr="00CC170B">
        <w:t>áló</w:t>
      </w:r>
      <w:r w:rsidRPr="00CC170B">
        <w:t xml:space="preserve"> vagy refrakter Ph+</w:t>
      </w:r>
      <w:r w:rsidR="00C72AF7">
        <w:t> </w:t>
      </w:r>
      <w:r w:rsidRPr="00CC170B">
        <w:t>ALL-es felnőtt betegek kezelése,</w:t>
      </w:r>
      <w:r w:rsidRPr="00CC170B">
        <w:rPr>
          <w:spacing w:val="-4"/>
        </w:rPr>
        <w:t xml:space="preserve"> </w:t>
      </w:r>
      <w:r w:rsidRPr="00CC170B">
        <w:t>monoterápiaként</w:t>
      </w:r>
      <w:r w:rsidR="00C72AF7">
        <w:t>;</w:t>
      </w:r>
    </w:p>
    <w:p w14:paraId="5C9D1E8C" w14:textId="2FE141B9" w:rsidR="00FC0D76" w:rsidRPr="00CC170B" w:rsidRDefault="00C72AF7" w:rsidP="00CE48E8">
      <w:pPr>
        <w:pStyle w:val="Listaszerbekezds"/>
        <w:numPr>
          <w:ilvl w:val="0"/>
          <w:numId w:val="24"/>
        </w:numPr>
        <w:ind w:left="567" w:hanging="567"/>
      </w:pPr>
      <w:r w:rsidRPr="00CC170B">
        <w:t>PDGFR-</w:t>
      </w:r>
      <w:r>
        <w:t xml:space="preserve"> (</w:t>
      </w:r>
      <w:r w:rsidRPr="00BF49A4">
        <w:rPr>
          <w:i/>
          <w:iCs/>
        </w:rPr>
        <w:t>platelet-derived growth factor receptor</w:t>
      </w:r>
      <w:r>
        <w:t>,</w:t>
      </w:r>
      <w:r w:rsidRPr="00CC170B" w:rsidDel="00C72AF7">
        <w:t xml:space="preserve"> </w:t>
      </w:r>
      <w:r w:rsidR="00E56CE8" w:rsidRPr="00CC170B">
        <w:t>vérlemezke eredetű növekedési faktor receptor</w:t>
      </w:r>
      <w:r w:rsidR="00FC0D76" w:rsidRPr="00CC170B">
        <w:t>) génátrendeződéssel társuló myelodysplasiás/myeloproliferat</w:t>
      </w:r>
      <w:r>
        <w:t>i</w:t>
      </w:r>
      <w:r w:rsidR="00FC0D76" w:rsidRPr="00CC170B">
        <w:t xml:space="preserve">v betegségben </w:t>
      </w:r>
      <w:r w:rsidRPr="00CC170B">
        <w:t>(MDS/MPD)</w:t>
      </w:r>
      <w:r>
        <w:t xml:space="preserve"> </w:t>
      </w:r>
      <w:r w:rsidR="00FC0D76" w:rsidRPr="00CC170B">
        <w:t>szenvedő felnőttek</w:t>
      </w:r>
      <w:r w:rsidR="00FC0D76" w:rsidRPr="00CC170B">
        <w:rPr>
          <w:spacing w:val="-28"/>
        </w:rPr>
        <w:t xml:space="preserve"> </w:t>
      </w:r>
      <w:r w:rsidR="00FC0D76" w:rsidRPr="00CC170B">
        <w:t>kezelése.</w:t>
      </w:r>
    </w:p>
    <w:p w14:paraId="18296BA3" w14:textId="7AA2A731" w:rsidR="00FC0D76" w:rsidRPr="00CC170B" w:rsidRDefault="00FC0D76" w:rsidP="00CE48E8">
      <w:pPr>
        <w:pStyle w:val="Listaszerbekezds"/>
        <w:numPr>
          <w:ilvl w:val="0"/>
          <w:numId w:val="24"/>
        </w:numPr>
        <w:ind w:left="567" w:hanging="567"/>
      </w:pPr>
      <w:r w:rsidRPr="00CC170B">
        <w:t>FIP1L1-PDGFR</w:t>
      </w:r>
      <w:r w:rsidRPr="00CC170B">
        <w:rPr>
          <w:rFonts w:ascii="Symbol" w:hAnsi="Symbol"/>
        </w:rPr>
        <w:t></w:t>
      </w:r>
      <w:r w:rsidRPr="00CC170B">
        <w:t xml:space="preserve"> átrendeződéssel járó, előrehaladott hypereosinophilia szindrómában</w:t>
      </w:r>
      <w:r w:rsidRPr="00CC170B">
        <w:rPr>
          <w:spacing w:val="-7"/>
        </w:rPr>
        <w:t xml:space="preserve"> </w:t>
      </w:r>
      <w:r w:rsidRPr="00CC170B">
        <w:t>(HES)</w:t>
      </w:r>
      <w:r w:rsidR="00C23E0B" w:rsidRPr="00CC170B">
        <w:t xml:space="preserve"> </w:t>
      </w:r>
      <w:r w:rsidRPr="00CC170B">
        <w:t>és/vagy krónikus eosinophiliás leukaemiában (CEL) szenvedő felnőttek kezelése.</w:t>
      </w:r>
    </w:p>
    <w:p w14:paraId="08130803" w14:textId="77777777" w:rsidR="00FC0D76" w:rsidRPr="00CC170B" w:rsidRDefault="00FC0D76" w:rsidP="00FC0D76"/>
    <w:p w14:paraId="5D270C9E" w14:textId="373B6AF6" w:rsidR="00FC0D76" w:rsidRPr="00CC170B" w:rsidRDefault="00430469" w:rsidP="00FC0D76">
      <w:r w:rsidRPr="00CC170B">
        <w:t xml:space="preserve">Az </w:t>
      </w:r>
      <w:r w:rsidR="00DF7FCE">
        <w:t>i</w:t>
      </w:r>
      <w:r w:rsidRPr="00CC170B">
        <w:t xml:space="preserve">matinib </w:t>
      </w:r>
      <w:r w:rsidR="00DF7FCE">
        <w:t xml:space="preserve">hatása </w:t>
      </w:r>
      <w:r w:rsidR="003D5D7A">
        <w:t xml:space="preserve">a </w:t>
      </w:r>
      <w:r w:rsidR="00C23E0B" w:rsidRPr="00CC170B">
        <w:t xml:space="preserve">csontvelő-transzplantáció kimenetelére </w:t>
      </w:r>
      <w:r w:rsidR="00FC0D76" w:rsidRPr="00CC170B">
        <w:t xml:space="preserve">még </w:t>
      </w:r>
      <w:r w:rsidR="00C23E0B" w:rsidRPr="00CC170B">
        <w:t>nem</w:t>
      </w:r>
      <w:r w:rsidR="00FC0D76" w:rsidRPr="00CC170B">
        <w:t xml:space="preserve"> </w:t>
      </w:r>
      <w:r w:rsidR="00DF7FCE">
        <w:t>tisztázott</w:t>
      </w:r>
      <w:r w:rsidR="00FC0D76" w:rsidRPr="00CC170B">
        <w:t>.</w:t>
      </w:r>
    </w:p>
    <w:p w14:paraId="3E1BE5B6" w14:textId="77777777" w:rsidR="00FC0D76" w:rsidRPr="00CC170B" w:rsidRDefault="00FC0D76" w:rsidP="00FC0D76">
      <w:bookmarkStart w:id="1" w:name="_GoBack"/>
      <w:bookmarkEnd w:id="1"/>
    </w:p>
    <w:p w14:paraId="4F484890" w14:textId="552BFDA0" w:rsidR="00FC0D76" w:rsidRPr="00CC170B" w:rsidRDefault="00430469" w:rsidP="00931686">
      <w:pPr>
        <w:keepNext/>
        <w:widowControl/>
      </w:pPr>
      <w:r w:rsidRPr="00CC170B">
        <w:lastRenderedPageBreak/>
        <w:t xml:space="preserve">Az Imatinib </w:t>
      </w:r>
      <w:r w:rsidR="00FC0D76" w:rsidRPr="00CC170B">
        <w:t xml:space="preserve">1 A Pharma </w:t>
      </w:r>
      <w:r w:rsidR="003D5D7A">
        <w:t xml:space="preserve">filmtabletta </w:t>
      </w:r>
      <w:r w:rsidR="00FC0D76" w:rsidRPr="00CC170B">
        <w:t>alkalmazása javallott:</w:t>
      </w:r>
    </w:p>
    <w:p w14:paraId="2314A72A" w14:textId="46D94008" w:rsidR="00FC0D76" w:rsidRPr="00CC170B" w:rsidRDefault="00FC0D76" w:rsidP="00931686">
      <w:pPr>
        <w:pStyle w:val="Listaszerbekezds"/>
        <w:keepNext/>
        <w:widowControl/>
        <w:numPr>
          <w:ilvl w:val="0"/>
          <w:numId w:val="25"/>
        </w:numPr>
        <w:ind w:left="567" w:hanging="567"/>
      </w:pPr>
      <w:r w:rsidRPr="00CC170B">
        <w:t xml:space="preserve">felnőttek esetén Kit- (CD117-) pozitív, nem reszekábilis és/vagy </w:t>
      </w:r>
      <w:r w:rsidR="006276E6" w:rsidRPr="00CC170B">
        <w:t>metasztatizáló</w:t>
      </w:r>
      <w:r w:rsidRPr="00CC170B">
        <w:t xml:space="preserve"> malignus gastrointestinalis stroma tumor (GIST)</w:t>
      </w:r>
      <w:r w:rsidRPr="00CC170B">
        <w:rPr>
          <w:spacing w:val="-2"/>
        </w:rPr>
        <w:t xml:space="preserve"> </w:t>
      </w:r>
      <w:r w:rsidRPr="00CC170B">
        <w:t>kezelésére.</w:t>
      </w:r>
    </w:p>
    <w:p w14:paraId="6A5DAA7B" w14:textId="77777777" w:rsidR="00FC0D76" w:rsidRPr="00CC170B" w:rsidRDefault="00FC0D76" w:rsidP="00C23E0B">
      <w:pPr>
        <w:pStyle w:val="Listaszerbekezds"/>
        <w:numPr>
          <w:ilvl w:val="0"/>
          <w:numId w:val="25"/>
        </w:numPr>
        <w:ind w:left="567" w:hanging="567"/>
      </w:pPr>
      <w:r w:rsidRPr="00CC170B">
        <w:t>olyan felnőtt betegek adjuváns kezelésére a Kit- (CD117-) pozitív gastrointestinalis stromalis tumor (GIST) reszekcióját követően, akiknél jelentős a relapszus kockázata. Nem kaphatnak adjuváns kezelést azok a betegek, akiknél a kiújulás kockázata alacsony vagy nagyon</w:t>
      </w:r>
      <w:r w:rsidRPr="00931686">
        <w:t xml:space="preserve"> </w:t>
      </w:r>
      <w:r w:rsidRPr="00CC170B">
        <w:t>alacsony.</w:t>
      </w:r>
    </w:p>
    <w:p w14:paraId="266221AD" w14:textId="7D8328A5" w:rsidR="00FC0D76" w:rsidRPr="00CC170B" w:rsidRDefault="00FC0D76" w:rsidP="00C23E0B">
      <w:pPr>
        <w:pStyle w:val="Listaszerbekezds"/>
        <w:numPr>
          <w:ilvl w:val="0"/>
          <w:numId w:val="25"/>
        </w:numPr>
        <w:ind w:left="567" w:hanging="567"/>
      </w:pPr>
      <w:r w:rsidRPr="00CC170B">
        <w:t>nem reszekábilis dermatofibrosarcoma protuberans (DFSP), valamint rela</w:t>
      </w:r>
      <w:r w:rsidR="00DF7FCE">
        <w:t>b</w:t>
      </w:r>
      <w:r w:rsidR="00F65A4E" w:rsidRPr="00CC170B">
        <w:t>áló</w:t>
      </w:r>
      <w:r w:rsidRPr="00CC170B">
        <w:t xml:space="preserve"> és/vagy </w:t>
      </w:r>
      <w:r w:rsidR="006276E6" w:rsidRPr="00CC170B">
        <w:t>metasztatizáló</w:t>
      </w:r>
      <w:r w:rsidRPr="00CC170B">
        <w:t xml:space="preserve"> DFSP-ben szenvedő, műtétre nem alkalmas felnőtt betegek</w:t>
      </w:r>
      <w:r w:rsidRPr="00CC170B">
        <w:rPr>
          <w:spacing w:val="-24"/>
        </w:rPr>
        <w:t xml:space="preserve"> </w:t>
      </w:r>
      <w:r w:rsidRPr="00CC170B">
        <w:t>kezelésére.</w:t>
      </w:r>
    </w:p>
    <w:p w14:paraId="1DB2C064" w14:textId="77777777" w:rsidR="00FC0D76" w:rsidRPr="00CC170B" w:rsidRDefault="00FC0D76" w:rsidP="00FC0D76"/>
    <w:p w14:paraId="1DDEEEE0" w14:textId="47DA2EBA" w:rsidR="00FC0D76" w:rsidRPr="00CC170B" w:rsidRDefault="00FC0D76" w:rsidP="00FC0D76">
      <w:r w:rsidRPr="00CC170B">
        <w:t>Felnőtt és gyermek, illetve serdülő betegeknél a</w:t>
      </w:r>
      <w:r w:rsidR="00F65A4E" w:rsidRPr="00CC170B">
        <w:t>z</w:t>
      </w:r>
      <w:r w:rsidRPr="00CC170B">
        <w:t xml:space="preserve"> </w:t>
      </w:r>
      <w:r w:rsidR="003D5D7A">
        <w:t>imatinib</w:t>
      </w:r>
      <w:r w:rsidRPr="00CC170B">
        <w:t xml:space="preserve"> hatásosságát az alábbiak határozzák meg: CML-ben a teljes hematológiai és citogenetikai válaszarány és a progressziómentes túlélés, Ph+</w:t>
      </w:r>
      <w:r w:rsidR="00DF7FCE">
        <w:t> </w:t>
      </w:r>
      <w:r w:rsidRPr="00CC170B">
        <w:t>ALL</w:t>
      </w:r>
      <w:r w:rsidR="00DF7FCE">
        <w:noBreakHyphen/>
      </w:r>
      <w:r w:rsidRPr="00CC170B">
        <w:t xml:space="preserve">ben és MDS/MPD-ben a hematológiai és citogenetikai válaszarány, HES/CEL-ben a hematológiai válaszarány, nem reszekábilis és/vagy </w:t>
      </w:r>
      <w:r w:rsidR="006276E6" w:rsidRPr="00CC170B">
        <w:t>metasztatizáló</w:t>
      </w:r>
      <w:r w:rsidRPr="00CC170B">
        <w:t xml:space="preserve"> GIST-ben és DFSP-ben szenvedő felnőtteknél az objektív válaszarány, a GIST adjuváns kezelésében pedig a kiújulásmentes túlélés. PDGFR-génátrendeződéssel társuló MDS/MPD-ben szenvedő betegek </w:t>
      </w:r>
      <w:r w:rsidR="003D5D7A">
        <w:t>imatinib</w:t>
      </w:r>
      <w:r w:rsidRPr="00CC170B">
        <w:t>-kezelésére vonatkozóan nagyon korlátozott tapasztalat áll rendelkezésre (lásd 5.1 pont). Az újonnan diagnosztizált, krónikus fázisú CML kivételével nincsenek olyan kontrollos vizsgálatok, amelyek klinikai előnyt, vagy hosszabb túlélést igazolnának e betegségek bármelyikében.</w:t>
      </w:r>
    </w:p>
    <w:p w14:paraId="0C7EC532" w14:textId="77777777" w:rsidR="00FC0D76" w:rsidRPr="00CC170B" w:rsidRDefault="00FC0D76" w:rsidP="00FC0D76"/>
    <w:p w14:paraId="765FBD04" w14:textId="00A77952" w:rsidR="00FC0D76" w:rsidRPr="00CC170B" w:rsidRDefault="003C4363" w:rsidP="003C4363">
      <w:pPr>
        <w:tabs>
          <w:tab w:val="left" w:pos="567"/>
        </w:tabs>
        <w:rPr>
          <w:b/>
          <w:bCs/>
        </w:rPr>
      </w:pPr>
      <w:r w:rsidRPr="00CC170B">
        <w:rPr>
          <w:b/>
          <w:bCs/>
        </w:rPr>
        <w:t>4.2</w:t>
      </w:r>
      <w:r w:rsidRPr="00CC170B">
        <w:rPr>
          <w:b/>
          <w:bCs/>
        </w:rPr>
        <w:tab/>
      </w:r>
      <w:r w:rsidR="00FC0D76" w:rsidRPr="00CC170B">
        <w:rPr>
          <w:b/>
          <w:bCs/>
        </w:rPr>
        <w:t>Adagolás és</w:t>
      </w:r>
      <w:r w:rsidR="00FC0D76" w:rsidRPr="00CC170B">
        <w:rPr>
          <w:b/>
          <w:bCs/>
          <w:spacing w:val="-3"/>
        </w:rPr>
        <w:t xml:space="preserve"> </w:t>
      </w:r>
      <w:r w:rsidR="00FC0D76" w:rsidRPr="00CC170B">
        <w:rPr>
          <w:b/>
          <w:bCs/>
        </w:rPr>
        <w:t>alkalmazás</w:t>
      </w:r>
    </w:p>
    <w:p w14:paraId="51E348F3" w14:textId="77777777" w:rsidR="00FC0D76" w:rsidRPr="00CC170B" w:rsidRDefault="00FC0D76" w:rsidP="00FC0D76">
      <w:pPr>
        <w:rPr>
          <w:bCs/>
        </w:rPr>
      </w:pPr>
    </w:p>
    <w:p w14:paraId="17726DEB" w14:textId="183F64B3" w:rsidR="00FC0D76" w:rsidRPr="00CC170B" w:rsidRDefault="00FC0D76" w:rsidP="00FC0D76">
      <w:r w:rsidRPr="00CC170B">
        <w:t xml:space="preserve">A terápiát – a betegségtől függően – a hematológiai malignitások vagy malignus sarcomák kezelésében jártas orvosnak kell </w:t>
      </w:r>
      <w:r w:rsidR="00DF7FCE">
        <w:t>indítania</w:t>
      </w:r>
      <w:r w:rsidRPr="00CC170B">
        <w:t>.</w:t>
      </w:r>
    </w:p>
    <w:p w14:paraId="1BEF8978" w14:textId="77777777" w:rsidR="00FC0D76" w:rsidRPr="00CC170B" w:rsidRDefault="00FC0D76" w:rsidP="00FC0D76"/>
    <w:p w14:paraId="4F7983CE" w14:textId="427F2AFF" w:rsidR="00FC0D76" w:rsidRPr="00CC170B" w:rsidRDefault="00FC0D76" w:rsidP="00FC0D76">
      <w:r w:rsidRPr="00CC170B">
        <w:t>A 400 mg-tól és a 800 mg-tól eltérő adagokhoz (</w:t>
      </w:r>
      <w:r w:rsidR="00DF7FCE">
        <w:t xml:space="preserve">az </w:t>
      </w:r>
      <w:r w:rsidRPr="00CC170B">
        <w:t>ajánlott adagolást lásd alább) a 100 mg-os és a 400 mg-os osztható tabletta áll rendelkezésre.</w:t>
      </w:r>
    </w:p>
    <w:p w14:paraId="03C24D0E" w14:textId="77777777" w:rsidR="00FC0D76" w:rsidRPr="00CC170B" w:rsidRDefault="00FC0D76" w:rsidP="00FC0D76"/>
    <w:p w14:paraId="5012D60C" w14:textId="5306D34F" w:rsidR="00FC0D76" w:rsidRPr="00CC170B" w:rsidRDefault="00FC0D76" w:rsidP="00FC0D76">
      <w:r w:rsidRPr="00CC170B">
        <w:t xml:space="preserve">Az előírt adagot </w:t>
      </w:r>
      <w:r w:rsidRPr="00CC170B">
        <w:rPr>
          <w:i/>
        </w:rPr>
        <w:t>per os</w:t>
      </w:r>
      <w:r w:rsidRPr="00CC170B">
        <w:t xml:space="preserve">, étkezés közben, egy nagy pohár vízzel kell bevenni, a </w:t>
      </w:r>
      <w:r w:rsidR="003C4363" w:rsidRPr="00CC170B">
        <w:t>gastrointestinalis</w:t>
      </w:r>
      <w:r w:rsidRPr="00CC170B">
        <w:t xml:space="preserve"> irritáció kockázatának </w:t>
      </w:r>
      <w:r w:rsidR="00DF7FCE">
        <w:t>minimalizálása</w:t>
      </w:r>
      <w:r w:rsidRPr="00CC170B">
        <w:t xml:space="preserve"> érdekében. A 400 mg-os és 600 mg-os adagot</w:t>
      </w:r>
      <w:r w:rsidR="00063A40">
        <w:t xml:space="preserve"> </w:t>
      </w:r>
      <w:r w:rsidR="0087414E" w:rsidRPr="00CC170B">
        <w:t>nap</w:t>
      </w:r>
      <w:r w:rsidRPr="00CC170B">
        <w:t>onta egyszer kell alkalmazni, míg a 800 mg-os</w:t>
      </w:r>
      <w:r w:rsidR="00063A40">
        <w:t xml:space="preserve"> </w:t>
      </w:r>
      <w:r w:rsidR="0087414E" w:rsidRPr="00CC170B">
        <w:t>nap</w:t>
      </w:r>
      <w:r w:rsidRPr="00CC170B">
        <w:t>i adagot két 400 mg-os részre elosztva, reggel és este kell bevenni.</w:t>
      </w:r>
    </w:p>
    <w:p w14:paraId="7DAA5A87" w14:textId="77777777" w:rsidR="00FC0D76" w:rsidRPr="00CC170B" w:rsidRDefault="00FC0D76" w:rsidP="00FC0D76"/>
    <w:p w14:paraId="39607E50" w14:textId="1F3FFB9A" w:rsidR="00FC0D76" w:rsidRPr="00CC170B" w:rsidRDefault="00FC0D76" w:rsidP="0097317E">
      <w:r w:rsidRPr="00CC170B">
        <w:t xml:space="preserve">Azon betegek, akik nem </w:t>
      </w:r>
      <w:r w:rsidR="0097317E">
        <w:t>tudják lenyelni</w:t>
      </w:r>
      <w:r w:rsidRPr="00CC170B">
        <w:t xml:space="preserve"> a filmtablettát, </w:t>
      </w:r>
      <w:r w:rsidR="0097317E">
        <w:t xml:space="preserve">feloldhatják </w:t>
      </w:r>
      <w:r w:rsidRPr="00CC170B">
        <w:t>a</w:t>
      </w:r>
      <w:r w:rsidR="0097317E">
        <w:t>zt</w:t>
      </w:r>
      <w:r w:rsidRPr="00CC170B">
        <w:t xml:space="preserve"> egy pohár </w:t>
      </w:r>
      <w:r w:rsidR="0097317E">
        <w:t xml:space="preserve">szénsavmentes </w:t>
      </w:r>
      <w:r w:rsidRPr="00CC170B">
        <w:t>vízben vagy almalében. Az előírt mennyiségű tablettát</w:t>
      </w:r>
      <w:r w:rsidR="0097317E">
        <w:t xml:space="preserve"> a</w:t>
      </w:r>
      <w:r w:rsidRPr="00CC170B">
        <w:t xml:space="preserve"> megfelelő mennyiségű (</w:t>
      </w:r>
      <w:r w:rsidR="0097317E">
        <w:t xml:space="preserve">a </w:t>
      </w:r>
      <w:r w:rsidR="0097317E" w:rsidRPr="00CC170B">
        <w:t xml:space="preserve">100 mg-os tablettát </w:t>
      </w:r>
      <w:r w:rsidRPr="00CC170B">
        <w:t>hozzávetőlegesen 50</w:t>
      </w:r>
      <w:r w:rsidR="006A5C1F" w:rsidRPr="00CC170B">
        <w:t> </w:t>
      </w:r>
      <w:r w:rsidRPr="00CC170B">
        <w:t xml:space="preserve">ml, </w:t>
      </w:r>
      <w:r w:rsidR="0097317E">
        <w:t xml:space="preserve">míg a </w:t>
      </w:r>
      <w:r w:rsidRPr="00CC170B">
        <w:t>400 mg-os tablettát</w:t>
      </w:r>
      <w:r w:rsidR="0097317E" w:rsidRPr="0097317E">
        <w:t xml:space="preserve"> hozzávetőlegesen </w:t>
      </w:r>
      <w:r w:rsidR="0097317E">
        <w:t>20</w:t>
      </w:r>
      <w:r w:rsidR="0097317E" w:rsidRPr="0097317E">
        <w:t>0 ml</w:t>
      </w:r>
      <w:r w:rsidRPr="00CC170B">
        <w:t>)</w:t>
      </w:r>
      <w:r w:rsidR="0097317E" w:rsidRPr="0097317E">
        <w:t xml:space="preserve"> </w:t>
      </w:r>
      <w:r w:rsidR="0097317E" w:rsidRPr="00CC170B">
        <w:t>folyadékba</w:t>
      </w:r>
      <w:r w:rsidR="0097317E">
        <w:t xml:space="preserve">n </w:t>
      </w:r>
      <w:r w:rsidR="0097317E" w:rsidRPr="0097317E">
        <w:t>kanállal el kell keverni</w:t>
      </w:r>
      <w:r w:rsidRPr="00CC170B">
        <w:t>. A szuszpenziót a tabletta</w:t>
      </w:r>
      <w:r w:rsidR="0097317E">
        <w:t>/</w:t>
      </w:r>
      <w:r w:rsidRPr="00CC170B">
        <w:t xml:space="preserve">tabletták teljes </w:t>
      </w:r>
      <w:r w:rsidR="0097317E">
        <w:t>szétesése után azonnal meg</w:t>
      </w:r>
      <w:r w:rsidRPr="00CC170B">
        <w:t xml:space="preserve"> kell inni.</w:t>
      </w:r>
    </w:p>
    <w:p w14:paraId="45DA84A0" w14:textId="77777777" w:rsidR="00FC0D76" w:rsidRPr="00CC170B" w:rsidRDefault="00FC0D76" w:rsidP="00FC0D76"/>
    <w:p w14:paraId="6B1EC57D" w14:textId="77777777" w:rsidR="00FC0D76" w:rsidRPr="00CC170B" w:rsidRDefault="00FC0D76" w:rsidP="00FC0D76">
      <w:r w:rsidRPr="00CC170B">
        <w:rPr>
          <w:u w:val="single"/>
        </w:rPr>
        <w:t>Adagolás CML-es felnőttek számára</w:t>
      </w:r>
    </w:p>
    <w:p w14:paraId="168B44AC" w14:textId="77777777" w:rsidR="00FC0D76" w:rsidRPr="00CC170B" w:rsidRDefault="00FC0D76" w:rsidP="00FC0D76"/>
    <w:p w14:paraId="71C1A49A" w14:textId="230D6745" w:rsidR="00FC0D76" w:rsidRPr="00CC170B" w:rsidRDefault="00FC0D76" w:rsidP="00FC0D76">
      <w:r w:rsidRPr="00CC170B">
        <w:t xml:space="preserve">A krónikus fázisban levő CML-es felnőtt betegeknek </w:t>
      </w:r>
      <w:r w:rsidR="00F65A4E" w:rsidRPr="00CC170B">
        <w:t xml:space="preserve">az </w:t>
      </w:r>
      <w:r w:rsidR="003D5D7A">
        <w:t>imatinib</w:t>
      </w:r>
      <w:r w:rsidRPr="00CC170B">
        <w:t xml:space="preserve"> ajánlott adagja 400 mg/nap. A CML krónikus fázisa az alábbi kritériumok egyidejű teljesülésekor áll fenn: a blasztsejtek aránya &lt;15% a vérben és a csontvelőben, a basophil sejtek aránya a perifériás vér</w:t>
      </w:r>
      <w:r w:rsidR="005102F6">
        <w:t>kép</w:t>
      </w:r>
      <w:r w:rsidRPr="00CC170B">
        <w:t>ben &lt;20%, míg a thrombocytaszám:</w:t>
      </w:r>
      <w:r w:rsidR="006A5C1F" w:rsidRPr="00CC170B">
        <w:t> </w:t>
      </w:r>
      <w:r w:rsidRPr="00CC170B">
        <w:t>&gt;100</w:t>
      </w:r>
      <w:r w:rsidR="005102F6">
        <w:t> G</w:t>
      </w:r>
      <w:r w:rsidRPr="00CC170B">
        <w:t>/l.</w:t>
      </w:r>
    </w:p>
    <w:p w14:paraId="2CD49711" w14:textId="77777777" w:rsidR="00FC0D76" w:rsidRPr="00CC170B" w:rsidRDefault="00FC0D76" w:rsidP="00FC0D76"/>
    <w:p w14:paraId="72B42909" w14:textId="19674002" w:rsidR="00FC0D76" w:rsidRPr="00CC170B" w:rsidRDefault="00FC0D76" w:rsidP="00FC0D76">
      <w:r w:rsidRPr="00CC170B">
        <w:t xml:space="preserve">Akcelerált fázisban levő felnőtt betegeknek </w:t>
      </w:r>
      <w:r w:rsidR="00F65A4E" w:rsidRPr="00CC170B">
        <w:t xml:space="preserve">az </w:t>
      </w:r>
      <w:r w:rsidR="003D5D7A">
        <w:t>imatinib</w:t>
      </w:r>
      <w:r w:rsidRPr="00CC170B">
        <w:t xml:space="preserve"> ajánlott adagja 600 mg/nap. Akcelerált fázisról beszélünk az alábbi kritériumok bármelyikének fennállásakor: </w:t>
      </w:r>
      <w:r w:rsidR="005102F6">
        <w:t xml:space="preserve">a </w:t>
      </w:r>
      <w:r w:rsidRPr="00CC170B">
        <w:t xml:space="preserve">blasztsejtek aránya a vérben vagy a csontvelőben </w:t>
      </w:r>
      <w:r w:rsidRPr="00CC170B">
        <w:rPr>
          <w:rFonts w:ascii="Symbol" w:hAnsi="Symbol"/>
        </w:rPr>
        <w:t></w:t>
      </w:r>
      <w:r w:rsidRPr="00CC170B">
        <w:t xml:space="preserve">15%, de &lt;30%; </w:t>
      </w:r>
      <w:r w:rsidR="005102F6">
        <w:t xml:space="preserve">a </w:t>
      </w:r>
      <w:r w:rsidRPr="00CC170B">
        <w:t xml:space="preserve">blasztsejtek és promyelocyták együttes aránya a vérben vagy a csontvelőben </w:t>
      </w:r>
      <w:r w:rsidRPr="00CC170B">
        <w:rPr>
          <w:rFonts w:ascii="Symbol" w:hAnsi="Symbol"/>
        </w:rPr>
        <w:t></w:t>
      </w:r>
      <w:r w:rsidRPr="00CC170B">
        <w:t xml:space="preserve">30% (feltéve, hogy a blasztsejtek száma &lt;30%); a basophil sejtek aránya a perifériás vérképben </w:t>
      </w:r>
      <w:r w:rsidRPr="00CC170B">
        <w:rPr>
          <w:rFonts w:ascii="Symbol" w:hAnsi="Symbol"/>
        </w:rPr>
        <w:t></w:t>
      </w:r>
      <w:r w:rsidRPr="00CC170B">
        <w:t>20%; thrombocytaszám &lt;100</w:t>
      </w:r>
      <w:r w:rsidR="005102F6">
        <w:t> G</w:t>
      </w:r>
      <w:r w:rsidRPr="00CC170B">
        <w:t>/l a terápiától függetlenül.</w:t>
      </w:r>
    </w:p>
    <w:p w14:paraId="04973183" w14:textId="77777777" w:rsidR="00FC0D76" w:rsidRPr="00CC170B" w:rsidRDefault="00FC0D76" w:rsidP="00FC0D76"/>
    <w:p w14:paraId="37533027" w14:textId="290F5004" w:rsidR="00FC0D76" w:rsidRPr="00CC170B" w:rsidRDefault="00FC0D76" w:rsidP="00FC0D76">
      <w:r w:rsidRPr="00CC170B">
        <w:t xml:space="preserve">Blasztos krízisben levő felnőtt betegeknek </w:t>
      </w:r>
      <w:r w:rsidR="00F65A4E" w:rsidRPr="00CC170B">
        <w:t xml:space="preserve">az </w:t>
      </w:r>
      <w:r w:rsidR="003D5D7A">
        <w:t>imatinib</w:t>
      </w:r>
      <w:r w:rsidRPr="00CC170B">
        <w:t xml:space="preserve"> ajánlott adagja 600 mg/nap. </w:t>
      </w:r>
      <w:r w:rsidR="00F41EEF">
        <w:t>A b</w:t>
      </w:r>
      <w:r w:rsidRPr="00CC170B">
        <w:t>lasztos krízis</w:t>
      </w:r>
      <w:r w:rsidR="00F41EEF">
        <w:t xml:space="preserve"> meghatározása:</w:t>
      </w:r>
      <w:r w:rsidRPr="00CC170B">
        <w:t xml:space="preserve"> a blasztsejtek aránya a vérben vagy a csontvelőben </w:t>
      </w:r>
      <w:r w:rsidRPr="00CC170B">
        <w:rPr>
          <w:rFonts w:ascii="Symbol" w:hAnsi="Symbol"/>
        </w:rPr>
        <w:t></w:t>
      </w:r>
      <w:r w:rsidRPr="00CC170B">
        <w:t xml:space="preserve">30%, vagy </w:t>
      </w:r>
      <w:r w:rsidR="005102F6">
        <w:t xml:space="preserve">a </w:t>
      </w:r>
      <w:r w:rsidRPr="00CC170B">
        <w:t>hepatosplenomegalián kívül más extramedullaris betegség áll fenn.</w:t>
      </w:r>
    </w:p>
    <w:p w14:paraId="0D6B1F8A" w14:textId="77777777" w:rsidR="00FC0D76" w:rsidRPr="00CC170B" w:rsidRDefault="00FC0D76" w:rsidP="00FC0D76"/>
    <w:p w14:paraId="61A59CAA" w14:textId="20643767" w:rsidR="00FC0D76" w:rsidRPr="00CC170B" w:rsidRDefault="00FC0D76" w:rsidP="005102F6">
      <w:r w:rsidRPr="00CC170B">
        <w:t xml:space="preserve">A kezelés időtartama: </w:t>
      </w:r>
      <w:r w:rsidR="005102F6">
        <w:t>K</w:t>
      </w:r>
      <w:r w:rsidRPr="00CC170B">
        <w:t xml:space="preserve">linikai vizsgálatokban </w:t>
      </w:r>
      <w:r w:rsidR="00F65A4E" w:rsidRPr="00CC170B">
        <w:t xml:space="preserve">az </w:t>
      </w:r>
      <w:r w:rsidR="003D5D7A">
        <w:t>imatinib</w:t>
      </w:r>
      <w:r w:rsidRPr="00CC170B">
        <w:t>-kezelést a betegség progressziójáig folytatták. A teljes citogenetikai válasz elérése után történ</w:t>
      </w:r>
      <w:r w:rsidR="005102F6">
        <w:t xml:space="preserve">ő </w:t>
      </w:r>
      <w:r w:rsidR="005102F6" w:rsidRPr="005102F6">
        <w:t>kezelésleállítás hatását</w:t>
      </w:r>
      <w:r w:rsidRPr="00CC170B">
        <w:t xml:space="preserve"> nem vizsgálták.</w:t>
      </w:r>
    </w:p>
    <w:p w14:paraId="2978140E" w14:textId="77777777" w:rsidR="00FC0D76" w:rsidRPr="00CC170B" w:rsidRDefault="00FC0D76" w:rsidP="00FC0D76"/>
    <w:p w14:paraId="40B14918" w14:textId="399AA093" w:rsidR="00FC0D76" w:rsidRPr="00CC170B" w:rsidRDefault="00FC0D76" w:rsidP="00FC0D76">
      <w:r w:rsidRPr="00CC170B">
        <w:lastRenderedPageBreak/>
        <w:t>Krónikus fázisban lévő betegeknél a dózis 400 mg-ról 600 mg-ra vagy 800 mg-ra emelhető, akcelerált fázisban, illetve blasztos krízisben pedig 600 mg-ról a maximális 800 mg-ra (naponta 2 × 400 mg formájában) – ha nincs súlyos mellékhatás, illetve nincs súlyos, nem a leukaemiával összefüggő neutropenia vagy thrombocytopenia – az alábbi esetekben: betegségprogresszió (bármikor); legalább 3</w:t>
      </w:r>
      <w:r w:rsidR="00645FEE" w:rsidRPr="00CC170B">
        <w:t> hónap</w:t>
      </w:r>
      <w:r w:rsidRPr="00CC170B">
        <w:t>os kezelés után sincs megfelelő hematológiai válasz; 12</w:t>
      </w:r>
      <w:r w:rsidR="00645FEE" w:rsidRPr="00CC170B">
        <w:t> hónap</w:t>
      </w:r>
      <w:r w:rsidRPr="00CC170B">
        <w:t>os kezelés után sincs citogenetikai válasz; vagy a korábban elért hematológiai és/vagy citogenetikai válasz</w:t>
      </w:r>
      <w:r w:rsidRPr="00CC170B">
        <w:rPr>
          <w:spacing w:val="-12"/>
        </w:rPr>
        <w:t xml:space="preserve"> </w:t>
      </w:r>
      <w:r w:rsidRPr="00CC170B">
        <w:t>megszűnik.</w:t>
      </w:r>
      <w:r w:rsidR="002A699F">
        <w:t xml:space="preserve"> </w:t>
      </w:r>
      <w:r w:rsidRPr="00CC170B">
        <w:t>Dózisemeléskor a betegek szoros monitorozása szükséges, mivel nagyobb dózisok mellett a</w:t>
      </w:r>
      <w:r w:rsidR="00EC1D24" w:rsidRPr="00CC170B">
        <w:t xml:space="preserve"> </w:t>
      </w:r>
      <w:r w:rsidRPr="00CC170B">
        <w:t>mellékhatások előfordulásának kockázata fokozódik.</w:t>
      </w:r>
    </w:p>
    <w:p w14:paraId="6C4DF515" w14:textId="77777777" w:rsidR="00FC0D76" w:rsidRPr="00CC170B" w:rsidRDefault="00FC0D76" w:rsidP="00FC0D76"/>
    <w:p w14:paraId="05C01EE5" w14:textId="77777777" w:rsidR="00FC0D76" w:rsidRPr="00CC170B" w:rsidRDefault="00FC0D76" w:rsidP="00FC0D76">
      <w:r w:rsidRPr="00CC170B">
        <w:rPr>
          <w:u w:val="single"/>
        </w:rPr>
        <w:t>Adagolás CML-es gyermekek és serdülők számára</w:t>
      </w:r>
    </w:p>
    <w:p w14:paraId="366DD8D6" w14:textId="77777777" w:rsidR="00FC0D76" w:rsidRPr="00CC170B" w:rsidRDefault="00FC0D76" w:rsidP="00FC0D76"/>
    <w:p w14:paraId="2F245293" w14:textId="1741BA68" w:rsidR="00FC0D76" w:rsidRPr="00CC170B" w:rsidRDefault="00796503" w:rsidP="00FC0D76">
      <w:r>
        <w:t>A g</w:t>
      </w:r>
      <w:r w:rsidR="00FC0D76" w:rsidRPr="00CC170B">
        <w:t>yermekek és serdülők adagja a testfelszín (mg/m</w:t>
      </w:r>
      <w:r w:rsidR="00FC0D76" w:rsidRPr="00CC170B">
        <w:rPr>
          <w:vertAlign w:val="superscript"/>
        </w:rPr>
        <w:t>2</w:t>
      </w:r>
      <w:r w:rsidR="00FC0D76" w:rsidRPr="00CC170B">
        <w:t xml:space="preserve">) alapján számolandó. </w:t>
      </w:r>
      <w:r w:rsidR="00645FEE" w:rsidRPr="00CC170B">
        <w:t>Krónikus, illetve előrehaladott fázisú CML-</w:t>
      </w:r>
      <w:r w:rsidR="002A699F">
        <w:t>b</w:t>
      </w:r>
      <w:r w:rsidR="00645FEE" w:rsidRPr="00CC170B">
        <w:t>en szenvedő g</w:t>
      </w:r>
      <w:r w:rsidR="00FC0D76" w:rsidRPr="00CC170B">
        <w:t xml:space="preserve">yermekek és serdülők </w:t>
      </w:r>
      <w:r w:rsidR="00645FEE" w:rsidRPr="00CC170B">
        <w:t>számára</w:t>
      </w:r>
      <w:r w:rsidR="002A699F">
        <w:t xml:space="preserve"> </w:t>
      </w:r>
      <w:r w:rsidR="0087414E" w:rsidRPr="00CC170B">
        <w:t>nap</w:t>
      </w:r>
      <w:r w:rsidR="00FC0D76" w:rsidRPr="00CC170B">
        <w:t>i 340 mg/m</w:t>
      </w:r>
      <w:r w:rsidR="00FC0D76" w:rsidRPr="00CC170B">
        <w:rPr>
          <w:vertAlign w:val="superscript"/>
        </w:rPr>
        <w:t>2</w:t>
      </w:r>
      <w:r w:rsidR="00FC0D76" w:rsidRPr="00CC170B">
        <w:t xml:space="preserve"> adag javasolt (a teljes dózis nem haladhatja meg a 800 mg-ot). A kezelés</w:t>
      </w:r>
      <w:r w:rsidR="002A699F">
        <w:t xml:space="preserve"> </w:t>
      </w:r>
      <w:r w:rsidR="0087414E" w:rsidRPr="00CC170B">
        <w:t>nap</w:t>
      </w:r>
      <w:r w:rsidR="00FC0D76" w:rsidRPr="00CC170B">
        <w:t>i egyszeri vagy alternatívaként a</w:t>
      </w:r>
      <w:r w:rsidR="002A699F">
        <w:t xml:space="preserve"> </w:t>
      </w:r>
      <w:r w:rsidR="0087414E" w:rsidRPr="00CC170B">
        <w:t>nap</w:t>
      </w:r>
      <w:r w:rsidR="00FC0D76" w:rsidRPr="00CC170B">
        <w:t xml:space="preserve">i </w:t>
      </w:r>
      <w:r>
        <w:t xml:space="preserve">adag </w:t>
      </w:r>
      <w:r w:rsidR="00FC0D76" w:rsidRPr="00CC170B">
        <w:t>2</w:t>
      </w:r>
      <w:r w:rsidR="00FC0DA5">
        <w:t> </w:t>
      </w:r>
      <w:r w:rsidR="00FC0D76" w:rsidRPr="00CC170B">
        <w:t>részre osztott (reggeli és esti) bevételével történhet. Az adagolási javaslat jelenleg még kisszámú gyermek és serdülő beteg adatára támaszkodik (lásd 5.1 és 5.2 pont). 2</w:t>
      </w:r>
      <w:r w:rsidR="00645FEE" w:rsidRPr="00CC170B">
        <w:t> </w:t>
      </w:r>
      <w:r w:rsidR="00FC0D76" w:rsidRPr="00CC170B">
        <w:t>éves kor alatti gyermekek kezelésére vonatkozóan nincs tapasztalat.</w:t>
      </w:r>
    </w:p>
    <w:p w14:paraId="1F809A29" w14:textId="77777777" w:rsidR="00FC0D76" w:rsidRPr="00CC170B" w:rsidRDefault="00FC0D76" w:rsidP="00FC0D76"/>
    <w:p w14:paraId="52D3777B" w14:textId="38EC0472" w:rsidR="00FC0D76" w:rsidRPr="00CC170B" w:rsidRDefault="00FC0D76" w:rsidP="00FC0D76">
      <w:r w:rsidRPr="00CC170B">
        <w:t>A</w:t>
      </w:r>
      <w:r w:rsidR="00FC0DA5">
        <w:t xml:space="preserve"> </w:t>
      </w:r>
      <w:r w:rsidR="0087414E" w:rsidRPr="00CC170B">
        <w:t>nap</w:t>
      </w:r>
      <w:r w:rsidRPr="00CC170B">
        <w:t>i adag 340 mg/m</w:t>
      </w:r>
      <w:r w:rsidRPr="00CC170B">
        <w:rPr>
          <w:vertAlign w:val="superscript"/>
        </w:rPr>
        <w:t>2</w:t>
      </w:r>
      <w:r w:rsidRPr="00CC170B">
        <w:t>-ről 570 mg/m</w:t>
      </w:r>
      <w:r w:rsidRPr="00CC170B">
        <w:rPr>
          <w:vertAlign w:val="superscript"/>
        </w:rPr>
        <w:t>2</w:t>
      </w:r>
      <w:r w:rsidRPr="00CC170B">
        <w:t>-re emel</w:t>
      </w:r>
      <w:r w:rsidR="00FC0DA5">
        <w:t>ése megfontolható</w:t>
      </w:r>
      <w:r w:rsidRPr="00CC170B">
        <w:t xml:space="preserve"> (a teljes dózis nem haladhatja meg a 800 mg-ot)</w:t>
      </w:r>
      <w:r w:rsidR="00645FEE" w:rsidRPr="00CC170B">
        <w:t xml:space="preserve"> </w:t>
      </w:r>
      <w:r w:rsidRPr="00CC170B">
        <w:t>– ha nincs súlyos mellékhatás, illetve súlyos, nem a leukaemiával összefüggő neutropenia vagy thrombocytopenia – az alábbi esetekben: betegségprogresszió (bármikor); legalább 3</w:t>
      </w:r>
      <w:r w:rsidR="00645FEE" w:rsidRPr="00CC170B">
        <w:t> hónap</w:t>
      </w:r>
      <w:r w:rsidRPr="00CC170B">
        <w:t>os kezelés után sincs megfelelő hematológiai válasz; 12</w:t>
      </w:r>
      <w:r w:rsidR="00645FEE" w:rsidRPr="00CC170B">
        <w:t> hónap</w:t>
      </w:r>
      <w:r w:rsidRPr="00CC170B">
        <w:t>os kezelés után sincs citogenetikai válasz; vagy a korábban elért hematológiai és/vagy citogenetikai válasz megszűnik. Dózisemeléskor a betegek szoros monitorozása szükséges, mivel nagyobb dózisok mellett</w:t>
      </w:r>
      <w:r w:rsidR="00645FEE" w:rsidRPr="00CC170B">
        <w:t xml:space="preserve"> </w:t>
      </w:r>
      <w:r w:rsidRPr="00CC170B">
        <w:t>a mellékhatások előfordulásának kockázata</w:t>
      </w:r>
      <w:r w:rsidR="00796503" w:rsidRPr="00CC170B">
        <w:t xml:space="preserve"> fokozódik</w:t>
      </w:r>
      <w:r w:rsidRPr="00CC170B">
        <w:t>.</w:t>
      </w:r>
    </w:p>
    <w:p w14:paraId="159B9595" w14:textId="77777777" w:rsidR="00FC0D76" w:rsidRPr="00CC170B" w:rsidRDefault="00FC0D76" w:rsidP="00FC0D76"/>
    <w:p w14:paraId="0CC63E30" w14:textId="6EFD1AEB" w:rsidR="00FC0D76" w:rsidRPr="00CC170B" w:rsidRDefault="00FC0D76" w:rsidP="00FC0D76">
      <w:r w:rsidRPr="00CC170B">
        <w:rPr>
          <w:u w:val="single"/>
        </w:rPr>
        <w:t>Adagolás Ph+ ALL-</w:t>
      </w:r>
      <w:r w:rsidR="009F6F3A" w:rsidRPr="00CC170B">
        <w:rPr>
          <w:u w:val="single"/>
        </w:rPr>
        <w:t>ben szenvedő f</w:t>
      </w:r>
      <w:r w:rsidRPr="00CC170B">
        <w:rPr>
          <w:u w:val="single"/>
        </w:rPr>
        <w:t>elnőtt betegek számára</w:t>
      </w:r>
    </w:p>
    <w:p w14:paraId="2C4C6EBC" w14:textId="77777777" w:rsidR="00FC0D76" w:rsidRPr="00CC170B" w:rsidRDefault="00FC0D76" w:rsidP="00FC0D76"/>
    <w:p w14:paraId="0B40FE16" w14:textId="54151661" w:rsidR="00FC0D76" w:rsidRPr="00CC170B" w:rsidRDefault="00FC0D76" w:rsidP="00FC0D76">
      <w:r w:rsidRPr="00CC170B">
        <w:t xml:space="preserve">Ph+ ALL-ben szenvedő felnőtt betegeknek </w:t>
      </w:r>
      <w:r w:rsidR="00F65A4E" w:rsidRPr="00CC170B">
        <w:t xml:space="preserve">az </w:t>
      </w:r>
      <w:r w:rsidR="003D5D7A">
        <w:t>imatinib</w:t>
      </w:r>
      <w:r w:rsidRPr="00CC170B">
        <w:t xml:space="preserve"> ajánlott adagja 600 mg/nap. A terápi</w:t>
      </w:r>
      <w:r w:rsidR="00796503">
        <w:t>át annak</w:t>
      </w:r>
      <w:r w:rsidRPr="00CC170B">
        <w:t xml:space="preserve"> minden fázisában az ezen kórkép kezelésében jártas hematológus szakorvos</w:t>
      </w:r>
      <w:r w:rsidR="009F6F3A" w:rsidRPr="00CC170B">
        <w:t>nak kell</w:t>
      </w:r>
      <w:r w:rsidRPr="00CC170B">
        <w:t xml:space="preserve"> felügyel</w:t>
      </w:r>
      <w:r w:rsidR="009F6F3A" w:rsidRPr="00CC170B">
        <w:t>nie</w:t>
      </w:r>
      <w:r w:rsidRPr="00CC170B">
        <w:t>.</w:t>
      </w:r>
    </w:p>
    <w:p w14:paraId="57605906" w14:textId="77777777" w:rsidR="00FC0D76" w:rsidRPr="00CC170B" w:rsidRDefault="00FC0D76" w:rsidP="00FC0D76"/>
    <w:p w14:paraId="000A1BDF" w14:textId="7A53BD88" w:rsidR="00FC0D76" w:rsidRPr="00CC170B" w:rsidRDefault="00FC0D76" w:rsidP="00FC0D76">
      <w:r w:rsidRPr="00CC170B">
        <w:t xml:space="preserve">Kezelési protokoll: a rendelkezésre álló adatok alapján </w:t>
      </w:r>
      <w:r w:rsidR="00F65A4E" w:rsidRPr="00CC170B">
        <w:t xml:space="preserve">az </w:t>
      </w:r>
      <w:r w:rsidR="003D5D7A">
        <w:t>imatinib</w:t>
      </w:r>
      <w:r w:rsidRPr="00CC170B">
        <w:t xml:space="preserve"> hatásos és biztonságos újonnan diagnosztizált Ph+ ALL-es felnőtt betegeknél kemoterápiával egyidejűleg alkalmazva a kemoterápia indukciós, konszolidációs és fenntartó fázisában (lásd 5.1 pont), 600 mg/nap adagban. A</w:t>
      </w:r>
      <w:r w:rsidR="009F6F3A" w:rsidRPr="00CC170B">
        <w:t xml:space="preserve">z </w:t>
      </w:r>
      <w:r w:rsidR="00796503">
        <w:t>i</w:t>
      </w:r>
      <w:r w:rsidRPr="00CC170B">
        <w:t>matinib-kezelés időtartama a választott kezelési program függvényében változhat, de a hosszabb</w:t>
      </w:r>
      <w:r w:rsidR="009F6F3A" w:rsidRPr="00CC170B">
        <w:t xml:space="preserve"> </w:t>
      </w:r>
      <w:r w:rsidR="00AC5E7C">
        <w:t>Imatinib 1 A Pharma filmtabletta</w:t>
      </w:r>
      <w:r w:rsidRPr="00CC170B">
        <w:t>-kezelés általában jobb eredményekkel járt.</w:t>
      </w:r>
    </w:p>
    <w:p w14:paraId="1EDBE0FA" w14:textId="77777777" w:rsidR="00FC0D76" w:rsidRPr="00CC170B" w:rsidRDefault="00FC0D76" w:rsidP="00FC0D76"/>
    <w:p w14:paraId="74529BAE" w14:textId="4FD38091" w:rsidR="00FC0D76" w:rsidRPr="00CC170B" w:rsidRDefault="009F6F3A" w:rsidP="00FC0D76">
      <w:r w:rsidRPr="00CC170B">
        <w:t>Rela</w:t>
      </w:r>
      <w:r w:rsidR="00796503">
        <w:t>b</w:t>
      </w:r>
      <w:r w:rsidRPr="00CC170B">
        <w:t>áló</w:t>
      </w:r>
      <w:r w:rsidR="00FC0D76" w:rsidRPr="00CC170B">
        <w:t xml:space="preserve"> vagy refrakter Ph+ ALL-ben szenvedő felnőtt betegek esetében </w:t>
      </w:r>
      <w:r w:rsidR="00F65A4E" w:rsidRPr="00CC170B">
        <w:t xml:space="preserve">az </w:t>
      </w:r>
      <w:r w:rsidR="00AC5E7C">
        <w:t>Imatinib 1 A Pharma filmtabletta</w:t>
      </w:r>
      <w:r w:rsidR="00FC0D76" w:rsidRPr="00CC170B">
        <w:t>-monoterápia 600 mg/nap adaggal biztonságos, hatásos és a betegség progressziójáig alkalmazható.</w:t>
      </w:r>
    </w:p>
    <w:p w14:paraId="202B46EB" w14:textId="77777777" w:rsidR="00FC0D76" w:rsidRPr="00CC170B" w:rsidRDefault="00FC0D76" w:rsidP="00FC0D76"/>
    <w:p w14:paraId="374C5DA5" w14:textId="2122F704" w:rsidR="00FC0D76" w:rsidRPr="00CC170B" w:rsidRDefault="00FC0D76" w:rsidP="00FC0D76">
      <w:r w:rsidRPr="00CC170B">
        <w:rPr>
          <w:u w:val="single"/>
        </w:rPr>
        <w:t>Adagolás Ph+ ALL-</w:t>
      </w:r>
      <w:r w:rsidR="0087414E" w:rsidRPr="00CC170B">
        <w:rPr>
          <w:u w:val="single"/>
        </w:rPr>
        <w:t xml:space="preserve">ben szenvedő </w:t>
      </w:r>
      <w:r w:rsidRPr="00CC170B">
        <w:rPr>
          <w:u w:val="single"/>
        </w:rPr>
        <w:t>gyermekek és serdülők számára</w:t>
      </w:r>
    </w:p>
    <w:p w14:paraId="07B1463B" w14:textId="77777777" w:rsidR="00FC0D76" w:rsidRPr="00CC170B" w:rsidRDefault="00FC0D76" w:rsidP="00FC0D76"/>
    <w:p w14:paraId="36DFFD42" w14:textId="5FC02842" w:rsidR="00FC0D76" w:rsidRPr="00CC170B" w:rsidRDefault="00FC0D76" w:rsidP="00FC0D76">
      <w:r w:rsidRPr="00CC170B">
        <w:t xml:space="preserve">Gyermekeknél és serdülőknél az adagolást a testfelszín alapján </w:t>
      </w:r>
      <w:r w:rsidR="00A75A9A" w:rsidRPr="00CC170B">
        <w:t>(mg/m</w:t>
      </w:r>
      <w:r w:rsidR="00A75A9A" w:rsidRPr="00CC170B">
        <w:rPr>
          <w:vertAlign w:val="superscript"/>
        </w:rPr>
        <w:t>2</w:t>
      </w:r>
      <w:r w:rsidR="00A75A9A" w:rsidRPr="00CC170B">
        <w:t>)</w:t>
      </w:r>
      <w:r w:rsidR="00A75A9A">
        <w:t xml:space="preserve"> </w:t>
      </w:r>
      <w:r w:rsidRPr="00CC170B">
        <w:t>kell kiszámolni. A Ph+</w:t>
      </w:r>
      <w:r w:rsidR="00796503">
        <w:t> </w:t>
      </w:r>
      <w:r w:rsidRPr="00CC170B">
        <w:t>ALL</w:t>
      </w:r>
      <w:r w:rsidR="0087414E" w:rsidRPr="00CC170B">
        <w:noBreakHyphen/>
      </w:r>
      <w:r w:rsidRPr="00CC170B">
        <w:t>ben szenvedő gyermekeknél és serdülőknél</w:t>
      </w:r>
      <w:r w:rsidR="00A75A9A">
        <w:t xml:space="preserve"> </w:t>
      </w:r>
      <w:r w:rsidR="0087414E" w:rsidRPr="00CC170B">
        <w:t>nap</w:t>
      </w:r>
      <w:r w:rsidRPr="00CC170B">
        <w:t>i 340 mg/m</w:t>
      </w:r>
      <w:r w:rsidRPr="00CC170B">
        <w:rPr>
          <w:vertAlign w:val="superscript"/>
        </w:rPr>
        <w:t>2</w:t>
      </w:r>
      <w:r w:rsidRPr="00CC170B">
        <w:t>-es dózis javasolt (</w:t>
      </w:r>
      <w:r w:rsidR="00796503">
        <w:t xml:space="preserve">ami </w:t>
      </w:r>
      <w:r w:rsidRPr="00CC170B">
        <w:t>nem haladja meg a 600 mg-os összdózist).</w:t>
      </w:r>
    </w:p>
    <w:p w14:paraId="4A038CD1" w14:textId="77777777" w:rsidR="00FC0D76" w:rsidRPr="00CC170B" w:rsidRDefault="00FC0D76" w:rsidP="00FC0D76"/>
    <w:p w14:paraId="053DFE7A" w14:textId="77777777" w:rsidR="00FC0D76" w:rsidRPr="00CC170B" w:rsidRDefault="00FC0D76" w:rsidP="00FC0D76">
      <w:r w:rsidRPr="00CC170B">
        <w:rPr>
          <w:u w:val="single"/>
        </w:rPr>
        <w:t>Adagolás MDS/MPD-ben</w:t>
      </w:r>
    </w:p>
    <w:p w14:paraId="36584BEA" w14:textId="77777777" w:rsidR="00FC0D76" w:rsidRPr="00CC170B" w:rsidRDefault="00FC0D76" w:rsidP="00FC0D76"/>
    <w:p w14:paraId="74650F52" w14:textId="2E0D3623" w:rsidR="00FC0D76" w:rsidRPr="00CC170B" w:rsidRDefault="00FC0D76" w:rsidP="00FC0D76">
      <w:r w:rsidRPr="00CC170B">
        <w:t xml:space="preserve">MDS/MPD-ben szenvedő felnőtt betegeknek </w:t>
      </w:r>
      <w:r w:rsidR="00F65A4E" w:rsidRPr="00CC170B">
        <w:t xml:space="preserve">az </w:t>
      </w:r>
      <w:r w:rsidR="003D5D7A">
        <w:t>imatinib</w:t>
      </w:r>
      <w:r w:rsidRPr="00CC170B">
        <w:t xml:space="preserve"> ajánlott adagja 400 mg/nap.</w:t>
      </w:r>
    </w:p>
    <w:p w14:paraId="6409A949" w14:textId="77777777" w:rsidR="00FC0D76" w:rsidRPr="00CC170B" w:rsidRDefault="00FC0D76" w:rsidP="00FC0D76"/>
    <w:p w14:paraId="3F2CAD0F" w14:textId="5B888D8E" w:rsidR="00FC0D76" w:rsidRPr="00CC170B" w:rsidRDefault="00FC0D76" w:rsidP="00FC0D76">
      <w:r w:rsidRPr="00CC170B">
        <w:t xml:space="preserve">A kezelés időtartama: Az ez ideig elvégzett egyetlen klinikai vizsgálatban </w:t>
      </w:r>
      <w:r w:rsidR="00F65A4E" w:rsidRPr="00CC170B">
        <w:t xml:space="preserve">az </w:t>
      </w:r>
      <w:r w:rsidR="003D5D7A">
        <w:t>imatinib</w:t>
      </w:r>
      <w:r w:rsidRPr="00CC170B">
        <w:t>-kezelést a betegség progressziójáig folytatták (lásd 5.1 pont). Az analízis időpontjában a kezelés medián időtartama</w:t>
      </w:r>
      <w:r w:rsidR="0087414E" w:rsidRPr="00CC170B">
        <w:t xml:space="preserve"> </w:t>
      </w:r>
      <w:r w:rsidRPr="00CC170B">
        <w:t>47</w:t>
      </w:r>
      <w:r w:rsidR="00645FEE" w:rsidRPr="00CC170B">
        <w:t> hónap</w:t>
      </w:r>
      <w:r w:rsidRPr="00CC170B">
        <w:t xml:space="preserve"> (24</w:t>
      </w:r>
      <w:r w:rsidR="0087414E" w:rsidRPr="00CC170B">
        <w:t> nap</w:t>
      </w:r>
      <w:r w:rsidRPr="00CC170B">
        <w:t xml:space="preserve"> – 60</w:t>
      </w:r>
      <w:r w:rsidR="00645FEE" w:rsidRPr="00CC170B">
        <w:t> hónap</w:t>
      </w:r>
      <w:r w:rsidRPr="00CC170B">
        <w:t>) volt.</w:t>
      </w:r>
    </w:p>
    <w:p w14:paraId="5A175593" w14:textId="77777777" w:rsidR="0087414E" w:rsidRPr="00CC170B" w:rsidRDefault="0087414E" w:rsidP="00FC0D76"/>
    <w:p w14:paraId="2FF7F73C" w14:textId="0F08A7BA" w:rsidR="00FC0D76" w:rsidRPr="00CC170B" w:rsidRDefault="00FC0D76" w:rsidP="00A75A9A">
      <w:pPr>
        <w:keepNext/>
        <w:widowControl/>
      </w:pPr>
      <w:r w:rsidRPr="00CC170B">
        <w:rPr>
          <w:u w:val="single"/>
        </w:rPr>
        <w:t>Adagolás HES/CEL-ben</w:t>
      </w:r>
    </w:p>
    <w:p w14:paraId="56D48A05" w14:textId="77777777" w:rsidR="00FC0D76" w:rsidRPr="00CC170B" w:rsidRDefault="00FC0D76" w:rsidP="00FC0D76"/>
    <w:p w14:paraId="32BFB7C3" w14:textId="49ECA41B" w:rsidR="00FC0D76" w:rsidRPr="00CC170B" w:rsidRDefault="00FC0D76" w:rsidP="00FC0D76">
      <w:r w:rsidRPr="00CC170B">
        <w:lastRenderedPageBreak/>
        <w:t xml:space="preserve">HES/CEL-ben szenvedő felnőtt betegeknek </w:t>
      </w:r>
      <w:r w:rsidR="00F65A4E" w:rsidRPr="00CC170B">
        <w:t xml:space="preserve">az </w:t>
      </w:r>
      <w:r w:rsidR="003D5D7A">
        <w:t>imatinib</w:t>
      </w:r>
      <w:r w:rsidRPr="00CC170B">
        <w:t xml:space="preserve"> ajánlott adagja 100 mg/nap.</w:t>
      </w:r>
    </w:p>
    <w:p w14:paraId="7FF9746D" w14:textId="77777777" w:rsidR="00FC0D76" w:rsidRPr="00CC170B" w:rsidRDefault="00FC0D76" w:rsidP="00FC0D76"/>
    <w:p w14:paraId="1FF46978" w14:textId="77777777" w:rsidR="00FC0D76" w:rsidRPr="00CC170B" w:rsidRDefault="00FC0D76" w:rsidP="00FC0D76">
      <w:r w:rsidRPr="00CC170B">
        <w:t>Amennyiben a vizsgálati eredmények a terápiás válasz elégtelenségét mutatják, és nincsenek jelen gyógyszermellékhatások, megfontolható az adag 100 mg-ról 400 mg-ra történő emelése.</w:t>
      </w:r>
    </w:p>
    <w:p w14:paraId="7E7EDB69" w14:textId="77777777" w:rsidR="00FC0D76" w:rsidRPr="00CC170B" w:rsidRDefault="00FC0D76" w:rsidP="00FC0D76"/>
    <w:p w14:paraId="63B43B89" w14:textId="77777777" w:rsidR="00FC0D76" w:rsidRPr="00CC170B" w:rsidRDefault="00FC0D76" w:rsidP="00FC0D76">
      <w:r w:rsidRPr="00CC170B">
        <w:t>A kezelést mindaddig folytatni kell, amíg az a beteg számára előnyös.</w:t>
      </w:r>
    </w:p>
    <w:p w14:paraId="145CE24B" w14:textId="77777777" w:rsidR="00FC0D76" w:rsidRPr="00CC170B" w:rsidRDefault="00FC0D76" w:rsidP="00FC0D76"/>
    <w:p w14:paraId="4A6223D3" w14:textId="3640A468" w:rsidR="00FC0D76" w:rsidRPr="00CC170B" w:rsidRDefault="00FC0D76" w:rsidP="00FC0D76">
      <w:r w:rsidRPr="00CC170B">
        <w:rPr>
          <w:u w:val="single"/>
        </w:rPr>
        <w:t>Adagolás GIST-ben</w:t>
      </w:r>
    </w:p>
    <w:p w14:paraId="3205218E" w14:textId="77777777" w:rsidR="00FC0D76" w:rsidRPr="00CC170B" w:rsidRDefault="00FC0D76" w:rsidP="00FC0D76"/>
    <w:p w14:paraId="09E51E81" w14:textId="12C402AA" w:rsidR="00FC0D76" w:rsidRPr="00CC170B" w:rsidRDefault="00FC0D76" w:rsidP="00FC0D76">
      <w:r w:rsidRPr="00CC170B">
        <w:t xml:space="preserve">Nem reszekábilis és/vagy </w:t>
      </w:r>
      <w:r w:rsidR="006276E6" w:rsidRPr="00CC170B">
        <w:t>metasztatizáló</w:t>
      </w:r>
      <w:r w:rsidRPr="00CC170B">
        <w:t xml:space="preserve"> malignus GIST-ben szenvedő felnőtt betegek kezelésére </w:t>
      </w:r>
      <w:r w:rsidR="00F65A4E" w:rsidRPr="00CC170B">
        <w:t xml:space="preserve">az </w:t>
      </w:r>
      <w:r w:rsidR="003D5D7A">
        <w:t>imatinib</w:t>
      </w:r>
      <w:r w:rsidRPr="00CC170B">
        <w:t xml:space="preserve"> ajánlott</w:t>
      </w:r>
      <w:r w:rsidR="0038306D" w:rsidRPr="00CC170B">
        <w:t xml:space="preserve"> </w:t>
      </w:r>
      <w:r w:rsidR="0087414E" w:rsidRPr="00CC170B">
        <w:t>nap</w:t>
      </w:r>
      <w:r w:rsidRPr="00CC170B">
        <w:t>i adagja 400 mg.</w:t>
      </w:r>
    </w:p>
    <w:p w14:paraId="35CFED24" w14:textId="77777777" w:rsidR="00FC0D76" w:rsidRPr="00CC170B" w:rsidRDefault="00FC0D76" w:rsidP="00FC0D76"/>
    <w:p w14:paraId="04C9535A" w14:textId="7EBDF09D" w:rsidR="00FC0D76" w:rsidRPr="00CC170B" w:rsidRDefault="00FC0D76" w:rsidP="00FC0D76">
      <w:r w:rsidRPr="00CC170B">
        <w:t>Kevés adat áll rendelkezése olyan betegekről, akiknek az adagját 400 mg-ról 600 mg-ra vagy 800 mg</w:t>
      </w:r>
      <w:r w:rsidR="0038306D" w:rsidRPr="00CC170B">
        <w:noBreakHyphen/>
      </w:r>
      <w:r w:rsidRPr="00CC170B">
        <w:t>ra emelték a kisebb dózis mellett észlelt progresszió miatt (lásd 5.1 pont).</w:t>
      </w:r>
    </w:p>
    <w:p w14:paraId="3A8F4BEF" w14:textId="77777777" w:rsidR="00FC0D76" w:rsidRPr="00CC170B" w:rsidRDefault="00FC0D76" w:rsidP="00FC0D76"/>
    <w:p w14:paraId="2660D80F" w14:textId="69663293" w:rsidR="00FC0D76" w:rsidRPr="00CC170B" w:rsidRDefault="00FC0D76" w:rsidP="00FC0D76">
      <w:r w:rsidRPr="00CC170B">
        <w:t xml:space="preserve">A kezelés időtartama: GIST-ben szenvedő betegek klinikai vizsgálataiban </w:t>
      </w:r>
      <w:r w:rsidR="00F65A4E" w:rsidRPr="00CC170B">
        <w:t xml:space="preserve">az </w:t>
      </w:r>
      <w:r w:rsidR="003D5D7A">
        <w:t>imatinib</w:t>
      </w:r>
      <w:r w:rsidR="0038306D" w:rsidRPr="00CC170B">
        <w:noBreakHyphen/>
      </w:r>
      <w:r w:rsidRPr="00CC170B">
        <w:t>kezelés a betegség progressziójáig tartott. A kiértékelés idején a kezelés medián időtartama 7</w:t>
      </w:r>
      <w:r w:rsidR="00645FEE" w:rsidRPr="00CC170B">
        <w:t> hónap</w:t>
      </w:r>
      <w:r w:rsidRPr="00CC170B">
        <w:t xml:space="preserve"> (7</w:t>
      </w:r>
      <w:r w:rsidR="0087414E" w:rsidRPr="00CC170B">
        <w:t> nap</w:t>
      </w:r>
      <w:r w:rsidRPr="00CC170B">
        <w:t xml:space="preserve"> – 13</w:t>
      </w:r>
      <w:r w:rsidR="00645FEE" w:rsidRPr="00CC170B">
        <w:t> hónap</w:t>
      </w:r>
      <w:r w:rsidRPr="00CC170B">
        <w:t>) volt. A terápiás válasz elérése után történ</w:t>
      </w:r>
      <w:r w:rsidR="00F063CD">
        <w:t>ő</w:t>
      </w:r>
      <w:r w:rsidR="00F063CD" w:rsidRPr="00F063CD">
        <w:t xml:space="preserve"> </w:t>
      </w:r>
      <w:r w:rsidR="00F063CD" w:rsidRPr="00CC170B">
        <w:t>kezelésleállítás hatását</w:t>
      </w:r>
      <w:r w:rsidRPr="00CC170B">
        <w:t xml:space="preserve"> nem vizsgálták.</w:t>
      </w:r>
    </w:p>
    <w:p w14:paraId="6C4D6ED2" w14:textId="77777777" w:rsidR="00FC0D76" w:rsidRPr="00CC170B" w:rsidRDefault="00FC0D76" w:rsidP="00FC0D76"/>
    <w:p w14:paraId="28E1473E" w14:textId="10AF1A3B" w:rsidR="0038306D" w:rsidRPr="00CC170B" w:rsidRDefault="00FC0D76" w:rsidP="00FC0D76">
      <w:r w:rsidRPr="00CC170B">
        <w:t xml:space="preserve">Felnőtt betegeknél adjuváns kezelésre a GIST reszekcióját követően </w:t>
      </w:r>
      <w:r w:rsidR="00F65A4E" w:rsidRPr="00CC170B">
        <w:t xml:space="preserve">az </w:t>
      </w:r>
      <w:r w:rsidR="003D5D7A">
        <w:t>imatinib</w:t>
      </w:r>
      <w:r w:rsidRPr="00CC170B">
        <w:t xml:space="preserve"> javasolt adagja</w:t>
      </w:r>
      <w:r w:rsidR="0087414E" w:rsidRPr="00CC170B">
        <w:t> nap</w:t>
      </w:r>
      <w:r w:rsidRPr="00CC170B">
        <w:t>i</w:t>
      </w:r>
      <w:r w:rsidR="0038306D" w:rsidRPr="00CC170B">
        <w:t xml:space="preserve"> </w:t>
      </w:r>
      <w:r w:rsidRPr="00CC170B">
        <w:t>400 mg. A kezelés optimális időtartamát még nem állapították meg. Az indikációt alátámasztó klinikai vizsgálatban a kezelés hossza 36</w:t>
      </w:r>
      <w:r w:rsidR="00645FEE" w:rsidRPr="00CC170B">
        <w:t> hónap</w:t>
      </w:r>
      <w:r w:rsidRPr="00CC170B">
        <w:t xml:space="preserve"> volt (lásd 5.1 pont).</w:t>
      </w:r>
    </w:p>
    <w:p w14:paraId="19D5ED7E" w14:textId="77777777" w:rsidR="0038306D" w:rsidRPr="00CC170B" w:rsidRDefault="0038306D" w:rsidP="00FC0D76"/>
    <w:p w14:paraId="54AEFC6B" w14:textId="6576CE51" w:rsidR="00FC0D76" w:rsidRPr="00CC170B" w:rsidRDefault="00FC0D76" w:rsidP="00FC0D76">
      <w:r w:rsidRPr="00CC170B">
        <w:rPr>
          <w:u w:val="single"/>
        </w:rPr>
        <w:t>Adagolás DFSP-ben</w:t>
      </w:r>
    </w:p>
    <w:p w14:paraId="33B166FF" w14:textId="77777777" w:rsidR="0038306D" w:rsidRPr="00CC170B" w:rsidRDefault="0038306D" w:rsidP="00FC0D76"/>
    <w:p w14:paraId="3A4C985D" w14:textId="288E0155" w:rsidR="0038306D" w:rsidRPr="00CC170B" w:rsidRDefault="00FC0D76" w:rsidP="00FC0D76">
      <w:r w:rsidRPr="00CC170B">
        <w:t xml:space="preserve">DFSP-ben szenvedő felnőtt betegeknek </w:t>
      </w:r>
      <w:r w:rsidR="00F65A4E" w:rsidRPr="00CC170B">
        <w:t xml:space="preserve">az </w:t>
      </w:r>
      <w:r w:rsidR="003D5D7A">
        <w:t>imatinib</w:t>
      </w:r>
      <w:r w:rsidRPr="00CC170B">
        <w:t xml:space="preserve"> ajánlott adagja 800 mg/nap.</w:t>
      </w:r>
    </w:p>
    <w:p w14:paraId="260E9FF3" w14:textId="77777777" w:rsidR="0038306D" w:rsidRPr="00CC170B" w:rsidRDefault="0038306D" w:rsidP="00FC0D76"/>
    <w:p w14:paraId="58168497" w14:textId="277DF437" w:rsidR="00FC0D76" w:rsidRPr="00CC170B" w:rsidRDefault="00FC0D76" w:rsidP="00FC0D76">
      <w:pPr>
        <w:rPr>
          <w:u w:val="single"/>
        </w:rPr>
      </w:pPr>
      <w:r w:rsidRPr="00CC170B">
        <w:rPr>
          <w:u w:val="single"/>
        </w:rPr>
        <w:t>Dózismódosítás mellékhatások esetén</w:t>
      </w:r>
    </w:p>
    <w:p w14:paraId="156C2F6F" w14:textId="77777777" w:rsidR="0038306D" w:rsidRPr="00CC170B" w:rsidRDefault="0038306D" w:rsidP="00FC0D76"/>
    <w:p w14:paraId="72E96806" w14:textId="77777777" w:rsidR="00FC0D76" w:rsidRPr="00CC170B" w:rsidRDefault="00FC0D76" w:rsidP="00FC0D76">
      <w:pPr>
        <w:rPr>
          <w:i/>
          <w:u w:val="single"/>
        </w:rPr>
      </w:pPr>
      <w:r w:rsidRPr="00CC170B">
        <w:rPr>
          <w:i/>
          <w:u w:val="single"/>
        </w:rPr>
        <w:t>Nem hematológiai mellékhatások</w:t>
      </w:r>
    </w:p>
    <w:p w14:paraId="11742DE1" w14:textId="77777777" w:rsidR="0038306D" w:rsidRPr="00CC170B" w:rsidRDefault="0038306D" w:rsidP="00FC0D76">
      <w:pPr>
        <w:rPr>
          <w:iCs/>
        </w:rPr>
      </w:pPr>
    </w:p>
    <w:p w14:paraId="7F489FD8" w14:textId="2BE2214E" w:rsidR="00FC0D76" w:rsidRPr="00CC170B" w:rsidRDefault="00FC0D76" w:rsidP="00FC0D76">
      <w:r w:rsidRPr="00CC170B">
        <w:t xml:space="preserve">Ha súlyos, nem hematológiai mellékhatás lép fel </w:t>
      </w:r>
      <w:r w:rsidR="00F65A4E" w:rsidRPr="00CC170B">
        <w:t xml:space="preserve">az </w:t>
      </w:r>
      <w:r w:rsidR="00D07FC6" w:rsidRPr="00CC170B">
        <w:t>Imatinib</w:t>
      </w:r>
      <w:r w:rsidRPr="00CC170B">
        <w:t xml:space="preserve"> 1 A Pharma</w:t>
      </w:r>
      <w:r w:rsidR="003D5D7A">
        <w:t xml:space="preserve"> filmtabletta</w:t>
      </w:r>
      <w:r w:rsidRPr="00CC170B">
        <w:t>-kezelés során, a kezelést fel kell függeszteni, amíg az állapot nem rendeződik. Ezután a kezelés szükség szerint újrakezdhető az esemény kezdeti súlyosságától függően.</w:t>
      </w:r>
    </w:p>
    <w:p w14:paraId="20291071" w14:textId="77777777" w:rsidR="00FC0D76" w:rsidRPr="00CC170B" w:rsidRDefault="00FC0D76" w:rsidP="00FC0D76"/>
    <w:p w14:paraId="626872F9" w14:textId="312AB01E" w:rsidR="00FC0D76" w:rsidRPr="00CC170B" w:rsidRDefault="00FC0D76" w:rsidP="00FC0D76">
      <w:r w:rsidRPr="00CC170B">
        <w:t>Ha a bilirubinszint növekedése meghaladja az adott intézményben alkalmazott normálérték felső határának (</w:t>
      </w:r>
      <w:r w:rsidRPr="00931686">
        <w:rPr>
          <w:i/>
        </w:rPr>
        <w:t>Institutional Upper Limit of Normal</w:t>
      </w:r>
      <w:r w:rsidRPr="00CC170B">
        <w:t xml:space="preserve">, IULN) háromszorosát, vagy a májtranszaminázok esetében az IULN ötszörösét, </w:t>
      </w:r>
      <w:r w:rsidR="00F65A4E" w:rsidRPr="00CC170B">
        <w:t>az Imatinib</w:t>
      </w:r>
      <w:r w:rsidRPr="00CC170B">
        <w:t xml:space="preserve"> 1 A Pharma</w:t>
      </w:r>
      <w:r w:rsidR="003D5D7A">
        <w:t xml:space="preserve"> filmtabletta</w:t>
      </w:r>
      <w:r w:rsidRPr="00CC170B">
        <w:t xml:space="preserve">-kezelést fel kell függeszteni addig, amíg a bilirubinszint </w:t>
      </w:r>
      <w:r w:rsidR="00F063CD">
        <w:t xml:space="preserve">le nem csökken </w:t>
      </w:r>
      <w:r w:rsidRPr="00CC170B">
        <w:t>az IULN kevesebb mint 1,5-szeresére</w:t>
      </w:r>
      <w:r w:rsidR="00F063CD">
        <w:t>,</w:t>
      </w:r>
      <w:r w:rsidRPr="00CC170B">
        <w:t xml:space="preserve"> a transzamináz</w:t>
      </w:r>
      <w:r w:rsidR="00F063CD">
        <w:t xml:space="preserve">szint </w:t>
      </w:r>
      <w:r w:rsidR="00D07FC6" w:rsidRPr="00CC170B">
        <w:t xml:space="preserve">pedig </w:t>
      </w:r>
      <w:r w:rsidRPr="00CC170B">
        <w:t xml:space="preserve">az IULN kevesebb mint 2,5-szeresére. </w:t>
      </w:r>
      <w:r w:rsidR="00430469" w:rsidRPr="00CC170B">
        <w:t xml:space="preserve">Az Imatinib </w:t>
      </w:r>
      <w:r w:rsidRPr="00CC170B">
        <w:t>1 A Pharma</w:t>
      </w:r>
      <w:r w:rsidR="003D5D7A">
        <w:t xml:space="preserve"> filmtabletta</w:t>
      </w:r>
      <w:r w:rsidRPr="00CC170B">
        <w:t>-terápia ekkor csökkentett</w:t>
      </w:r>
      <w:r w:rsidR="00D07FC6" w:rsidRPr="00CC170B">
        <w:t xml:space="preserve"> </w:t>
      </w:r>
      <w:r w:rsidR="0087414E" w:rsidRPr="00CC170B">
        <w:t>nap</w:t>
      </w:r>
      <w:r w:rsidRPr="00CC170B">
        <w:t>i dózissal folytatható. Felnőttek esetében a dózis</w:t>
      </w:r>
      <w:r w:rsidR="00460645">
        <w:t>t</w:t>
      </w:r>
      <w:r w:rsidRPr="00CC170B">
        <w:t xml:space="preserve"> 400 mg-ról 300 mg-ra, 600 mg-ról 400 mg-ra vagy 800 mg-ról 600 mg-ra, gyermekeknél és serdülőknél pedig 340 mg/m</w:t>
      </w:r>
      <w:r w:rsidRPr="00CC170B">
        <w:rPr>
          <w:vertAlign w:val="superscript"/>
        </w:rPr>
        <w:t>2</w:t>
      </w:r>
      <w:r w:rsidRPr="00CC170B">
        <w:t>/napról 260 mg/m</w:t>
      </w:r>
      <w:r w:rsidRPr="00CC170B">
        <w:rPr>
          <w:vertAlign w:val="superscript"/>
        </w:rPr>
        <w:t>2</w:t>
      </w:r>
      <w:r w:rsidRPr="00CC170B">
        <w:t xml:space="preserve">/napra </w:t>
      </w:r>
      <w:r w:rsidR="00460645">
        <w:t xml:space="preserve">kell </w:t>
      </w:r>
      <w:r w:rsidRPr="00CC170B">
        <w:t>csökkent</w:t>
      </w:r>
      <w:r w:rsidR="001D4A3D">
        <w:t>eni</w:t>
      </w:r>
      <w:r w:rsidRPr="00CC170B">
        <w:t>.</w:t>
      </w:r>
    </w:p>
    <w:p w14:paraId="5C0FB5F0" w14:textId="77777777" w:rsidR="00FC0D76" w:rsidRPr="00CC170B" w:rsidRDefault="00FC0D76" w:rsidP="00FC0D76"/>
    <w:p w14:paraId="61C39F36" w14:textId="77777777" w:rsidR="00FC0D76" w:rsidRPr="00CC170B" w:rsidRDefault="00FC0D76" w:rsidP="0088382A">
      <w:pPr>
        <w:keepNext/>
        <w:widowControl/>
        <w:rPr>
          <w:i/>
        </w:rPr>
      </w:pPr>
      <w:r w:rsidRPr="00CC170B">
        <w:rPr>
          <w:i/>
          <w:u w:val="single"/>
        </w:rPr>
        <w:t>Hematológiai mellékhatások</w:t>
      </w:r>
    </w:p>
    <w:p w14:paraId="410DD8E0" w14:textId="77777777" w:rsidR="00D07FC6" w:rsidRPr="00CC170B" w:rsidRDefault="00D07FC6" w:rsidP="0088382A">
      <w:pPr>
        <w:keepNext/>
        <w:widowControl/>
      </w:pPr>
    </w:p>
    <w:p w14:paraId="28BFD175" w14:textId="4DB32AB1" w:rsidR="00FC0D76" w:rsidRPr="00CC170B" w:rsidRDefault="00FC0D76" w:rsidP="00D07FC6">
      <w:pPr>
        <w:keepNext/>
        <w:widowControl/>
      </w:pPr>
      <w:r w:rsidRPr="00CC170B">
        <w:t xml:space="preserve">Súlyos neutropenia és thrombocytopenia esetén </w:t>
      </w:r>
      <w:r w:rsidR="00F063CD">
        <w:t>dózis</w:t>
      </w:r>
      <w:r w:rsidRPr="00CC170B">
        <w:t>csökkentés vagy a kezelés megszakítása javasolt az alábbi táblázat szerint.</w:t>
      </w:r>
    </w:p>
    <w:p w14:paraId="61D32C20" w14:textId="77777777" w:rsidR="00FC0D76" w:rsidRPr="00CC170B" w:rsidRDefault="00FC0D76" w:rsidP="00D07FC6">
      <w:pPr>
        <w:keepNext/>
        <w:widowControl/>
      </w:pPr>
    </w:p>
    <w:p w14:paraId="7D50B16C" w14:textId="77777777" w:rsidR="00FC0D76" w:rsidRPr="00CC170B" w:rsidRDefault="00FC0D76" w:rsidP="00D07FC6">
      <w:pPr>
        <w:keepNext/>
        <w:widowControl/>
      </w:pPr>
      <w:r w:rsidRPr="00CC170B">
        <w:t>Dózismódosítás neutropenia és thrombocytopenia esetén:</w:t>
      </w:r>
    </w:p>
    <w:p w14:paraId="1BB3685C" w14:textId="77777777" w:rsidR="00FC0D76" w:rsidRPr="00CC170B" w:rsidRDefault="00FC0D76" w:rsidP="00D07FC6">
      <w:pPr>
        <w:keepNext/>
        <w:widowControl/>
      </w:pP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805"/>
        <w:gridCol w:w="3999"/>
      </w:tblGrid>
      <w:tr w:rsidR="00FC0D76" w:rsidRPr="00CC170B" w14:paraId="71B76DC0" w14:textId="77777777" w:rsidTr="001D4A3D">
        <w:trPr>
          <w:trHeight w:val="1551"/>
        </w:trPr>
        <w:tc>
          <w:tcPr>
            <w:tcW w:w="2268" w:type="dxa"/>
          </w:tcPr>
          <w:p w14:paraId="7A02AFE9" w14:textId="77777777" w:rsidR="00F063CD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HES/CEL</w:t>
            </w:r>
          </w:p>
          <w:p w14:paraId="2E7BF5FC" w14:textId="6D79A030" w:rsidR="00FC0D76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(kezdő adag</w:t>
            </w:r>
            <w:r w:rsidR="00D07FC6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100 mg)</w:t>
            </w:r>
          </w:p>
        </w:tc>
        <w:tc>
          <w:tcPr>
            <w:tcW w:w="2805" w:type="dxa"/>
          </w:tcPr>
          <w:p w14:paraId="64989D56" w14:textId="10BEADFC" w:rsidR="00FC0D76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ANC &lt;1,0</w:t>
            </w:r>
            <w:r w:rsidR="00F063CD">
              <w:rPr>
                <w:lang w:val="hu-HU"/>
              </w:rPr>
              <w:t> G</w:t>
            </w:r>
            <w:r w:rsidRPr="00CC170B">
              <w:rPr>
                <w:lang w:val="hu-HU"/>
              </w:rPr>
              <w:t>/l</w:t>
            </w:r>
          </w:p>
          <w:p w14:paraId="77CB4491" w14:textId="7E25611A" w:rsidR="00C47289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és/vagy</w:t>
            </w:r>
          </w:p>
          <w:p w14:paraId="119B3523" w14:textId="205BA9C4" w:rsidR="00FC0D76" w:rsidRPr="00CC170B" w:rsidRDefault="00F063CD" w:rsidP="00EA0123">
            <w:pPr>
              <w:ind w:left="142"/>
              <w:rPr>
                <w:lang w:val="hu-HU"/>
              </w:rPr>
            </w:pPr>
            <w:r>
              <w:rPr>
                <w:w w:val="95"/>
                <w:lang w:val="hu-HU"/>
              </w:rPr>
              <w:t xml:space="preserve">a </w:t>
            </w:r>
            <w:r w:rsidR="00FC0D76" w:rsidRPr="00CC170B">
              <w:rPr>
                <w:w w:val="95"/>
                <w:lang w:val="hu-HU"/>
              </w:rPr>
              <w:t>thrombocyta</w:t>
            </w:r>
            <w:r w:rsidR="00C47289" w:rsidRPr="00CC170B">
              <w:rPr>
                <w:w w:val="95"/>
                <w:lang w:val="hu-HU"/>
              </w:rPr>
              <w:t>s</w:t>
            </w:r>
            <w:r w:rsidR="00F84372" w:rsidRPr="00CC170B">
              <w:rPr>
                <w:lang w:val="hu-HU"/>
              </w:rPr>
              <w:t>z</w:t>
            </w:r>
            <w:r w:rsidR="00C47289" w:rsidRPr="00CC170B">
              <w:rPr>
                <w:w w:val="95"/>
                <w:lang w:val="hu-HU"/>
              </w:rPr>
              <w:t>ám</w:t>
            </w:r>
            <w:r w:rsidR="00445CF3" w:rsidRPr="00CC170B">
              <w:rPr>
                <w:w w:val="95"/>
                <w:lang w:val="hu-HU"/>
              </w:rPr>
              <w:t xml:space="preserve"> </w:t>
            </w:r>
            <w:r w:rsidR="00FC0D76" w:rsidRPr="00CC170B">
              <w:rPr>
                <w:lang w:val="hu-HU"/>
              </w:rPr>
              <w:t>&lt;50</w:t>
            </w:r>
            <w:r>
              <w:rPr>
                <w:lang w:val="hu-HU"/>
              </w:rPr>
              <w:t> G</w:t>
            </w:r>
            <w:r w:rsidR="00FC0D76" w:rsidRPr="00CC170B">
              <w:rPr>
                <w:lang w:val="hu-HU"/>
              </w:rPr>
              <w:t>/l</w:t>
            </w:r>
          </w:p>
        </w:tc>
        <w:tc>
          <w:tcPr>
            <w:tcW w:w="3999" w:type="dxa"/>
          </w:tcPr>
          <w:p w14:paraId="0A5248B3" w14:textId="08911151" w:rsidR="00FC0D76" w:rsidRPr="00CC170B" w:rsidRDefault="00FC0D76" w:rsidP="00F84372">
            <w:pPr>
              <w:pStyle w:val="Listaszerbekezds"/>
              <w:numPr>
                <w:ilvl w:val="0"/>
                <w:numId w:val="26"/>
              </w:numPr>
              <w:ind w:left="457" w:hanging="426"/>
              <w:rPr>
                <w:lang w:val="hu-HU"/>
              </w:rPr>
            </w:pPr>
            <w:r w:rsidRPr="00CC170B">
              <w:rPr>
                <w:lang w:val="hu-HU"/>
              </w:rPr>
              <w:t xml:space="preserve">Állítsa le </w:t>
            </w:r>
            <w:r w:rsidR="00F65A4E" w:rsidRPr="00CC170B">
              <w:rPr>
                <w:lang w:val="hu-HU"/>
              </w:rPr>
              <w:t xml:space="preserve">az </w:t>
            </w:r>
            <w:r w:rsidR="00F84372" w:rsidRPr="00CC170B">
              <w:rPr>
                <w:lang w:val="hu-HU"/>
              </w:rPr>
              <w:t>i</w:t>
            </w:r>
            <w:r w:rsidR="00D07FC6" w:rsidRPr="00CC170B">
              <w:rPr>
                <w:lang w:val="hu-HU"/>
              </w:rPr>
              <w:t>matinib</w:t>
            </w:r>
            <w:r w:rsidRPr="00CC170B">
              <w:rPr>
                <w:lang w:val="hu-HU"/>
              </w:rPr>
              <w:t>-kezelést, amíg az</w:t>
            </w:r>
            <w:r w:rsidRPr="00CC170B">
              <w:rPr>
                <w:spacing w:val="-18"/>
                <w:lang w:val="hu-HU"/>
              </w:rPr>
              <w:t xml:space="preserve"> </w:t>
            </w:r>
            <w:r w:rsidRPr="00CC170B">
              <w:rPr>
                <w:lang w:val="hu-HU"/>
              </w:rPr>
              <w:t xml:space="preserve">ANC eléri a </w:t>
            </w:r>
            <w:r w:rsidRPr="00CC170B">
              <w:rPr>
                <w:rFonts w:ascii="Symbol" w:hAnsi="Symbol"/>
                <w:lang w:val="hu-HU"/>
              </w:rPr>
              <w:t></w:t>
            </w:r>
            <w:r w:rsidRPr="00CC170B">
              <w:rPr>
                <w:lang w:val="hu-HU"/>
              </w:rPr>
              <w:t>1,5</w:t>
            </w:r>
            <w:r w:rsidR="00F84372" w:rsidRPr="00CC170B">
              <w:rPr>
                <w:lang w:val="hu-HU"/>
              </w:rPr>
              <w:t> </w:t>
            </w:r>
            <w:r w:rsidR="00F063CD">
              <w:rPr>
                <w:lang w:val="hu-HU"/>
              </w:rPr>
              <w:t>G</w:t>
            </w:r>
            <w:r w:rsidRPr="00CC170B">
              <w:rPr>
                <w:lang w:val="hu-HU"/>
              </w:rPr>
              <w:t xml:space="preserve">/l, a thrombocytaszám pedig a </w:t>
            </w:r>
            <w:r w:rsidRPr="00CC170B">
              <w:rPr>
                <w:rFonts w:ascii="Symbol" w:hAnsi="Symbol"/>
                <w:lang w:val="hu-HU"/>
              </w:rPr>
              <w:t></w:t>
            </w:r>
            <w:r w:rsidRPr="00CC170B">
              <w:rPr>
                <w:lang w:val="hu-HU"/>
              </w:rPr>
              <w:t>75</w:t>
            </w:r>
            <w:r w:rsidR="00F063CD">
              <w:rPr>
                <w:lang w:val="hu-HU"/>
              </w:rPr>
              <w:t> G</w:t>
            </w:r>
            <w:r w:rsidRPr="00CC170B">
              <w:rPr>
                <w:lang w:val="hu-HU"/>
              </w:rPr>
              <w:t>/l</w:t>
            </w:r>
            <w:r w:rsidRPr="00CC170B">
              <w:rPr>
                <w:spacing w:val="-2"/>
                <w:lang w:val="hu-HU"/>
              </w:rPr>
              <w:t xml:space="preserve"> </w:t>
            </w:r>
            <w:r w:rsidRPr="00CC170B">
              <w:rPr>
                <w:lang w:val="hu-HU"/>
              </w:rPr>
              <w:t>értéket.</w:t>
            </w:r>
          </w:p>
          <w:p w14:paraId="67A9A1F7" w14:textId="4A02188A" w:rsidR="00FC0D76" w:rsidRPr="00CC170B" w:rsidRDefault="00FC0D76" w:rsidP="00F84372">
            <w:pPr>
              <w:pStyle w:val="Listaszerbekezds"/>
              <w:numPr>
                <w:ilvl w:val="0"/>
                <w:numId w:val="26"/>
              </w:numPr>
              <w:ind w:left="457" w:hanging="426"/>
              <w:rPr>
                <w:lang w:val="hu-HU"/>
              </w:rPr>
            </w:pPr>
            <w:r w:rsidRPr="00CC170B">
              <w:rPr>
                <w:lang w:val="hu-HU"/>
              </w:rPr>
              <w:t xml:space="preserve">Kezdje újra </w:t>
            </w:r>
            <w:r w:rsidR="00F65A4E" w:rsidRPr="00CC170B">
              <w:rPr>
                <w:lang w:val="hu-HU"/>
              </w:rPr>
              <w:t xml:space="preserve">az </w:t>
            </w:r>
            <w:r w:rsidR="00F84372" w:rsidRPr="00CC170B">
              <w:rPr>
                <w:lang w:val="hu-HU"/>
              </w:rPr>
              <w:t>i</w:t>
            </w:r>
            <w:r w:rsidR="00D07FC6" w:rsidRPr="00CC170B">
              <w:rPr>
                <w:lang w:val="hu-HU"/>
              </w:rPr>
              <w:t>matinib</w:t>
            </w:r>
            <w:r w:rsidRPr="00CC170B">
              <w:rPr>
                <w:lang w:val="hu-HU"/>
              </w:rPr>
              <w:t>-kezelést a korábban (tehát a súlyos mellékhatás</w:t>
            </w:r>
            <w:r w:rsidRPr="00CC170B">
              <w:rPr>
                <w:spacing w:val="-8"/>
                <w:lang w:val="hu-HU"/>
              </w:rPr>
              <w:t xml:space="preserve"> </w:t>
            </w:r>
            <w:r w:rsidRPr="00CC170B">
              <w:rPr>
                <w:lang w:val="hu-HU"/>
              </w:rPr>
              <w:lastRenderedPageBreak/>
              <w:t>megjelenése</w:t>
            </w:r>
            <w:r w:rsidR="00F84372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előtt) alkalmazott adaggal.</w:t>
            </w:r>
          </w:p>
        </w:tc>
      </w:tr>
      <w:tr w:rsidR="00FC0D76" w:rsidRPr="00CC170B" w14:paraId="5FD78A9F" w14:textId="77777777" w:rsidTr="001D4A3D">
        <w:trPr>
          <w:trHeight w:val="2816"/>
        </w:trPr>
        <w:tc>
          <w:tcPr>
            <w:tcW w:w="2268" w:type="dxa"/>
          </w:tcPr>
          <w:p w14:paraId="24FA439B" w14:textId="77777777" w:rsidR="00FC0D76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lastRenderedPageBreak/>
              <w:t>CML krónikus fázis, MDS/MPD és GIST</w:t>
            </w:r>
          </w:p>
          <w:p w14:paraId="44B3B785" w14:textId="4051FC1C" w:rsidR="00F063CD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(kezdő adag 400 mg)</w:t>
            </w:r>
          </w:p>
          <w:p w14:paraId="506B8AE6" w14:textId="2441940B" w:rsidR="00C47289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HES/CEL</w:t>
            </w:r>
          </w:p>
          <w:p w14:paraId="300057AB" w14:textId="77995555" w:rsidR="00FC0D76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(400 mg-os adag)</w:t>
            </w:r>
          </w:p>
        </w:tc>
        <w:tc>
          <w:tcPr>
            <w:tcW w:w="2805" w:type="dxa"/>
          </w:tcPr>
          <w:p w14:paraId="1830041B" w14:textId="5F383206" w:rsidR="00FC0D76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ANC &lt;1,0</w:t>
            </w:r>
            <w:r w:rsidR="00F063CD">
              <w:rPr>
                <w:lang w:val="hu-HU"/>
              </w:rPr>
              <w:t> G</w:t>
            </w:r>
            <w:r w:rsidRPr="00CC170B">
              <w:rPr>
                <w:lang w:val="hu-HU"/>
              </w:rPr>
              <w:t>/l</w:t>
            </w:r>
          </w:p>
          <w:p w14:paraId="7C2FEC82" w14:textId="09E3F0EB" w:rsidR="00445CF3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és/vagy</w:t>
            </w:r>
          </w:p>
          <w:p w14:paraId="58B58E9F" w14:textId="227184CA" w:rsidR="00FC0D76" w:rsidRPr="00CC170B" w:rsidRDefault="00F063CD" w:rsidP="001D4A3D">
            <w:pPr>
              <w:ind w:left="142"/>
              <w:rPr>
                <w:lang w:val="hu-HU"/>
              </w:rPr>
            </w:pPr>
            <w:r>
              <w:rPr>
                <w:w w:val="95"/>
                <w:lang w:val="hu-HU"/>
              </w:rPr>
              <w:t xml:space="preserve">a </w:t>
            </w:r>
            <w:r w:rsidR="00FC0D76" w:rsidRPr="00CC170B">
              <w:rPr>
                <w:w w:val="95"/>
                <w:lang w:val="hu-HU"/>
              </w:rPr>
              <w:t>thrombocytas</w:t>
            </w:r>
            <w:r w:rsidR="00C47289" w:rsidRPr="00CC170B">
              <w:rPr>
                <w:lang w:val="hu-HU"/>
              </w:rPr>
              <w:t>z</w:t>
            </w:r>
            <w:r w:rsidR="00FC0D76" w:rsidRPr="00CC170B">
              <w:rPr>
                <w:w w:val="95"/>
                <w:lang w:val="hu-HU"/>
              </w:rPr>
              <w:t>ám</w:t>
            </w:r>
            <w:r w:rsidR="001D4A3D">
              <w:rPr>
                <w:w w:val="95"/>
                <w:lang w:val="hu-HU"/>
              </w:rPr>
              <w:t xml:space="preserve"> </w:t>
            </w:r>
            <w:r w:rsidR="00FC0D76" w:rsidRPr="00CC170B">
              <w:rPr>
                <w:lang w:val="hu-HU"/>
              </w:rPr>
              <w:t>&lt;50</w:t>
            </w:r>
            <w:r>
              <w:rPr>
                <w:lang w:val="hu-HU"/>
              </w:rPr>
              <w:t> G</w:t>
            </w:r>
            <w:r w:rsidR="00FC0D76" w:rsidRPr="00CC170B">
              <w:rPr>
                <w:lang w:val="hu-HU"/>
              </w:rPr>
              <w:t>/l</w:t>
            </w:r>
          </w:p>
        </w:tc>
        <w:tc>
          <w:tcPr>
            <w:tcW w:w="3999" w:type="dxa"/>
          </w:tcPr>
          <w:p w14:paraId="482D56C8" w14:textId="2202F0FE" w:rsidR="00FC0D76" w:rsidRPr="00CC170B" w:rsidRDefault="00FC0D76" w:rsidP="00D625A6">
            <w:pPr>
              <w:pStyle w:val="Listaszerbekezds"/>
              <w:numPr>
                <w:ilvl w:val="0"/>
                <w:numId w:val="27"/>
              </w:numPr>
              <w:ind w:left="457" w:hanging="426"/>
              <w:rPr>
                <w:lang w:val="hu-HU"/>
              </w:rPr>
            </w:pPr>
            <w:r w:rsidRPr="00CC170B">
              <w:rPr>
                <w:lang w:val="hu-HU"/>
              </w:rPr>
              <w:t xml:space="preserve">Állítsa le </w:t>
            </w:r>
            <w:r w:rsidR="00F65A4E" w:rsidRPr="00CC170B">
              <w:rPr>
                <w:lang w:val="hu-HU"/>
              </w:rPr>
              <w:t xml:space="preserve">az </w:t>
            </w:r>
            <w:r w:rsidR="00D625A6" w:rsidRPr="00CC170B">
              <w:rPr>
                <w:lang w:val="hu-HU"/>
              </w:rPr>
              <w:t>imatinib</w:t>
            </w:r>
            <w:r w:rsidRPr="00CC170B">
              <w:rPr>
                <w:lang w:val="hu-HU"/>
              </w:rPr>
              <w:t>-kezelést, amíg az</w:t>
            </w:r>
            <w:r w:rsidRPr="00CC170B">
              <w:rPr>
                <w:spacing w:val="-18"/>
                <w:lang w:val="hu-HU"/>
              </w:rPr>
              <w:t xml:space="preserve"> </w:t>
            </w:r>
            <w:r w:rsidRPr="00CC170B">
              <w:rPr>
                <w:lang w:val="hu-HU"/>
              </w:rPr>
              <w:t xml:space="preserve">ANC eléri a </w:t>
            </w:r>
            <w:r w:rsidRPr="00CC170B">
              <w:rPr>
                <w:rFonts w:ascii="Symbol" w:hAnsi="Symbol"/>
                <w:lang w:val="hu-HU"/>
              </w:rPr>
              <w:t></w:t>
            </w:r>
            <w:r w:rsidRPr="00CC170B">
              <w:rPr>
                <w:lang w:val="hu-HU"/>
              </w:rPr>
              <w:t>1,5</w:t>
            </w:r>
            <w:r w:rsidR="00F063CD">
              <w:rPr>
                <w:lang w:val="hu-HU"/>
              </w:rPr>
              <w:t> G</w:t>
            </w:r>
            <w:r w:rsidRPr="00CC170B">
              <w:rPr>
                <w:lang w:val="hu-HU"/>
              </w:rPr>
              <w:t xml:space="preserve">/l, a thrombocytaszám pedig a </w:t>
            </w:r>
            <w:r w:rsidRPr="00CC170B">
              <w:rPr>
                <w:rFonts w:ascii="Symbol" w:hAnsi="Symbol"/>
                <w:lang w:val="hu-HU"/>
              </w:rPr>
              <w:t></w:t>
            </w:r>
            <w:r w:rsidRPr="00CC170B">
              <w:rPr>
                <w:lang w:val="hu-HU"/>
              </w:rPr>
              <w:t>75</w:t>
            </w:r>
            <w:r w:rsidR="00F063CD">
              <w:rPr>
                <w:lang w:val="hu-HU"/>
              </w:rPr>
              <w:t> G</w:t>
            </w:r>
            <w:r w:rsidRPr="00CC170B">
              <w:rPr>
                <w:lang w:val="hu-HU"/>
              </w:rPr>
              <w:t>/l</w:t>
            </w:r>
            <w:r w:rsidRPr="00CC170B">
              <w:rPr>
                <w:spacing w:val="-2"/>
                <w:lang w:val="hu-HU"/>
              </w:rPr>
              <w:t xml:space="preserve"> </w:t>
            </w:r>
            <w:r w:rsidRPr="00CC170B">
              <w:rPr>
                <w:lang w:val="hu-HU"/>
              </w:rPr>
              <w:t>értéket.</w:t>
            </w:r>
          </w:p>
          <w:p w14:paraId="0E671B83" w14:textId="602BCDBE" w:rsidR="00FC0D76" w:rsidRPr="00CC170B" w:rsidRDefault="00FC0D76" w:rsidP="00D625A6">
            <w:pPr>
              <w:pStyle w:val="Listaszerbekezds"/>
              <w:numPr>
                <w:ilvl w:val="0"/>
                <w:numId w:val="27"/>
              </w:numPr>
              <w:ind w:left="457" w:hanging="426"/>
              <w:rPr>
                <w:lang w:val="hu-HU"/>
              </w:rPr>
            </w:pPr>
            <w:r w:rsidRPr="00CC170B">
              <w:rPr>
                <w:lang w:val="hu-HU"/>
              </w:rPr>
              <w:t xml:space="preserve">Kezdje újra </w:t>
            </w:r>
            <w:r w:rsidR="00F65A4E" w:rsidRPr="00CC170B">
              <w:rPr>
                <w:lang w:val="hu-HU"/>
              </w:rPr>
              <w:t xml:space="preserve">az </w:t>
            </w:r>
            <w:r w:rsidR="00D625A6" w:rsidRPr="00CC170B">
              <w:rPr>
                <w:lang w:val="hu-HU"/>
              </w:rPr>
              <w:t>imatinib</w:t>
            </w:r>
            <w:r w:rsidRPr="00CC170B">
              <w:rPr>
                <w:lang w:val="hu-HU"/>
              </w:rPr>
              <w:t>-kezelést a korábban (tehát a súlyos mellékhatás megjelenése előtt) alkalmazott</w:t>
            </w:r>
            <w:r w:rsidRPr="00CC170B">
              <w:rPr>
                <w:spacing w:val="-3"/>
                <w:lang w:val="hu-HU"/>
              </w:rPr>
              <w:t xml:space="preserve"> </w:t>
            </w:r>
            <w:r w:rsidRPr="00CC170B">
              <w:rPr>
                <w:lang w:val="hu-HU"/>
              </w:rPr>
              <w:t>adaggal.</w:t>
            </w:r>
          </w:p>
          <w:p w14:paraId="1492D3E4" w14:textId="24D7808F" w:rsidR="00FC0D76" w:rsidRPr="00CC170B" w:rsidRDefault="00FC0D76" w:rsidP="00D625A6">
            <w:pPr>
              <w:pStyle w:val="Listaszerbekezds"/>
              <w:numPr>
                <w:ilvl w:val="0"/>
                <w:numId w:val="27"/>
              </w:numPr>
              <w:ind w:left="457" w:hanging="426"/>
              <w:rPr>
                <w:lang w:val="hu-HU"/>
              </w:rPr>
            </w:pPr>
            <w:r w:rsidRPr="00CC170B">
              <w:rPr>
                <w:lang w:val="hu-HU"/>
              </w:rPr>
              <w:t>Ha az ANC ismét &lt;1,0</w:t>
            </w:r>
            <w:r w:rsidR="00F063CD">
              <w:rPr>
                <w:lang w:val="hu-HU"/>
              </w:rPr>
              <w:t> G</w:t>
            </w:r>
            <w:r w:rsidRPr="00CC170B">
              <w:rPr>
                <w:lang w:val="hu-HU"/>
              </w:rPr>
              <w:t xml:space="preserve">/l, és/vagy a thrombocytaszám </w:t>
            </w:r>
            <w:r w:rsidR="00F063CD">
              <w:rPr>
                <w:lang w:val="hu-HU"/>
              </w:rPr>
              <w:t>ismét</w:t>
            </w:r>
            <w:r w:rsidR="00777EFC" w:rsidRPr="00CC170B">
              <w:rPr>
                <w:lang w:val="hu-HU"/>
              </w:rPr>
              <w:t xml:space="preserve"> a</w:t>
            </w:r>
            <w:r w:rsidRPr="00CC170B">
              <w:rPr>
                <w:lang w:val="hu-HU"/>
              </w:rPr>
              <w:t xml:space="preserve"> &lt;50</w:t>
            </w:r>
            <w:r w:rsidR="006B17E3">
              <w:rPr>
                <w:lang w:val="hu-HU"/>
              </w:rPr>
              <w:t> </w:t>
            </w:r>
            <w:r w:rsidR="00F063CD">
              <w:rPr>
                <w:lang w:val="hu-HU"/>
              </w:rPr>
              <w:t>G</w:t>
            </w:r>
            <w:r w:rsidRPr="00CC170B">
              <w:rPr>
                <w:lang w:val="hu-HU"/>
              </w:rPr>
              <w:t>/l,</w:t>
            </w:r>
            <w:r w:rsidRPr="00CC170B">
              <w:rPr>
                <w:spacing w:val="-3"/>
                <w:lang w:val="hu-HU"/>
              </w:rPr>
              <w:t xml:space="preserve"> </w:t>
            </w:r>
            <w:r w:rsidRPr="00CC170B">
              <w:rPr>
                <w:lang w:val="hu-HU"/>
              </w:rPr>
              <w:t>az</w:t>
            </w:r>
            <w:r w:rsidR="00D625A6" w:rsidRPr="00CC170B">
              <w:rPr>
                <w:lang w:val="hu-HU"/>
              </w:rPr>
              <w:t xml:space="preserve"> 1.</w:t>
            </w:r>
            <w:r w:rsidR="00F063CD">
              <w:rPr>
                <w:lang w:val="hu-HU"/>
              </w:rPr>
              <w:t> </w:t>
            </w:r>
            <w:r w:rsidR="00777EFC" w:rsidRPr="00CC170B">
              <w:rPr>
                <w:lang w:val="hu-HU"/>
              </w:rPr>
              <w:t>lépés</w:t>
            </w:r>
            <w:r w:rsidR="00F063CD">
              <w:rPr>
                <w:lang w:val="hu-HU"/>
              </w:rPr>
              <w:t xml:space="preserve"> szerint járjon el</w:t>
            </w:r>
            <w:r w:rsidRPr="00CC170B">
              <w:rPr>
                <w:lang w:val="hu-HU"/>
              </w:rPr>
              <w:t>, majd</w:t>
            </w:r>
            <w:r w:rsidRPr="00CC170B">
              <w:rPr>
                <w:spacing w:val="-4"/>
                <w:lang w:val="hu-HU"/>
              </w:rPr>
              <w:t xml:space="preserve"> </w:t>
            </w:r>
            <w:r w:rsidRPr="00CC170B">
              <w:rPr>
                <w:lang w:val="hu-HU"/>
              </w:rPr>
              <w:t>a</w:t>
            </w:r>
            <w:r w:rsidR="00D625A6" w:rsidRPr="00CC170B">
              <w:rPr>
                <w:lang w:val="hu-HU"/>
              </w:rPr>
              <w:t>z imatinib</w:t>
            </w:r>
            <w:r w:rsidRPr="00CC170B">
              <w:rPr>
                <w:lang w:val="hu-HU"/>
              </w:rPr>
              <w:t>-kezelést 300 mg-ra csökkentett adaggal kezdje újra.</w:t>
            </w:r>
          </w:p>
        </w:tc>
      </w:tr>
      <w:tr w:rsidR="00FC0D76" w:rsidRPr="00CC170B" w14:paraId="071FB145" w14:textId="77777777" w:rsidTr="001D4A3D">
        <w:trPr>
          <w:trHeight w:val="2816"/>
        </w:trPr>
        <w:tc>
          <w:tcPr>
            <w:tcW w:w="2268" w:type="dxa"/>
          </w:tcPr>
          <w:p w14:paraId="024D283A" w14:textId="77777777" w:rsidR="00C47289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Gyermek- és</w:t>
            </w:r>
            <w:r w:rsidRPr="00CC170B">
              <w:rPr>
                <w:spacing w:val="-13"/>
                <w:lang w:val="hu-HU"/>
              </w:rPr>
              <w:t xml:space="preserve"> </w:t>
            </w:r>
            <w:r w:rsidRPr="00CC170B">
              <w:rPr>
                <w:lang w:val="hu-HU"/>
              </w:rPr>
              <w:t xml:space="preserve">serdülőkori CML krónikus fázis </w:t>
            </w:r>
          </w:p>
          <w:p w14:paraId="6AEDE9D3" w14:textId="0473CD33" w:rsidR="00FC0D76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(340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 xml:space="preserve"> adag)</w:t>
            </w:r>
          </w:p>
        </w:tc>
        <w:tc>
          <w:tcPr>
            <w:tcW w:w="2805" w:type="dxa"/>
          </w:tcPr>
          <w:p w14:paraId="44302B5A" w14:textId="1CC77B27" w:rsidR="00FC0D76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ANC &lt;1,0</w:t>
            </w:r>
            <w:r w:rsidR="00F063CD">
              <w:rPr>
                <w:lang w:val="hu-HU"/>
              </w:rPr>
              <w:t> G</w:t>
            </w:r>
            <w:r w:rsidRPr="00CC170B">
              <w:rPr>
                <w:lang w:val="hu-HU"/>
              </w:rPr>
              <w:t>/l</w:t>
            </w:r>
          </w:p>
          <w:p w14:paraId="45972DCC" w14:textId="2BCC54CC" w:rsidR="00445CF3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és/vagy</w:t>
            </w:r>
          </w:p>
          <w:p w14:paraId="0D464094" w14:textId="216DC844" w:rsidR="00FC0D76" w:rsidRPr="00CC170B" w:rsidRDefault="00F063CD" w:rsidP="00EA0123">
            <w:pPr>
              <w:ind w:left="142"/>
              <w:rPr>
                <w:lang w:val="hu-HU"/>
              </w:rPr>
            </w:pPr>
            <w:r>
              <w:rPr>
                <w:w w:val="95"/>
                <w:lang w:val="hu-HU"/>
              </w:rPr>
              <w:t xml:space="preserve">a </w:t>
            </w:r>
            <w:r w:rsidR="00FC0D76" w:rsidRPr="00CC170B">
              <w:rPr>
                <w:w w:val="95"/>
                <w:lang w:val="hu-HU"/>
              </w:rPr>
              <w:t>thrombocytas</w:t>
            </w:r>
            <w:r w:rsidR="00C47289" w:rsidRPr="00CC170B">
              <w:rPr>
                <w:lang w:val="hu-HU"/>
              </w:rPr>
              <w:t>z</w:t>
            </w:r>
            <w:r w:rsidR="00FC0D76" w:rsidRPr="00CC170B">
              <w:rPr>
                <w:w w:val="95"/>
                <w:lang w:val="hu-HU"/>
              </w:rPr>
              <w:t>ám</w:t>
            </w:r>
            <w:r w:rsidR="00445CF3" w:rsidRPr="00CC170B">
              <w:rPr>
                <w:w w:val="95"/>
                <w:lang w:val="hu-HU"/>
              </w:rPr>
              <w:t xml:space="preserve"> </w:t>
            </w:r>
            <w:r w:rsidR="00FC0D76" w:rsidRPr="00CC170B">
              <w:rPr>
                <w:lang w:val="hu-HU"/>
              </w:rPr>
              <w:t>&lt;50</w:t>
            </w:r>
            <w:r w:rsidR="00445CF3" w:rsidRPr="00CC170B">
              <w:rPr>
                <w:lang w:val="hu-HU"/>
              </w:rPr>
              <w:t> </w:t>
            </w:r>
            <w:r>
              <w:rPr>
                <w:lang w:val="hu-HU"/>
              </w:rPr>
              <w:t>G</w:t>
            </w:r>
            <w:r w:rsidR="00FC0D76" w:rsidRPr="00CC170B">
              <w:rPr>
                <w:lang w:val="hu-HU"/>
              </w:rPr>
              <w:t>/l</w:t>
            </w:r>
          </w:p>
        </w:tc>
        <w:tc>
          <w:tcPr>
            <w:tcW w:w="3999" w:type="dxa"/>
          </w:tcPr>
          <w:p w14:paraId="5B283492" w14:textId="3ED7B0F6" w:rsidR="00FC0D76" w:rsidRPr="00CC170B" w:rsidRDefault="00FC0D76" w:rsidP="00445CF3">
            <w:pPr>
              <w:pStyle w:val="Listaszerbekezds"/>
              <w:numPr>
                <w:ilvl w:val="0"/>
                <w:numId w:val="28"/>
              </w:numPr>
              <w:ind w:left="457" w:hanging="426"/>
              <w:rPr>
                <w:lang w:val="hu-HU"/>
              </w:rPr>
            </w:pPr>
            <w:r w:rsidRPr="00CC170B">
              <w:rPr>
                <w:lang w:val="hu-HU"/>
              </w:rPr>
              <w:t xml:space="preserve">Állítsa le </w:t>
            </w:r>
            <w:r w:rsidR="00F65A4E" w:rsidRPr="00CC170B">
              <w:rPr>
                <w:lang w:val="hu-HU"/>
              </w:rPr>
              <w:t xml:space="preserve">az </w:t>
            </w:r>
            <w:r w:rsidR="00445CF3" w:rsidRPr="00CC170B">
              <w:rPr>
                <w:lang w:val="hu-HU"/>
              </w:rPr>
              <w:t>i</w:t>
            </w:r>
            <w:r w:rsidR="00D625A6" w:rsidRPr="00CC170B">
              <w:rPr>
                <w:lang w:val="hu-HU"/>
              </w:rPr>
              <w:t>matinib</w:t>
            </w:r>
            <w:r w:rsidRPr="00CC170B">
              <w:rPr>
                <w:lang w:val="hu-HU"/>
              </w:rPr>
              <w:t>-kezelést, amíg az</w:t>
            </w:r>
            <w:r w:rsidRPr="00CC170B">
              <w:rPr>
                <w:spacing w:val="-18"/>
                <w:lang w:val="hu-HU"/>
              </w:rPr>
              <w:t xml:space="preserve"> </w:t>
            </w:r>
            <w:r w:rsidRPr="00CC170B">
              <w:rPr>
                <w:lang w:val="hu-HU"/>
              </w:rPr>
              <w:t xml:space="preserve">ANC eléri a </w:t>
            </w:r>
            <w:r w:rsidRPr="00CC170B">
              <w:rPr>
                <w:rFonts w:ascii="Symbol" w:hAnsi="Symbol"/>
                <w:lang w:val="hu-HU"/>
              </w:rPr>
              <w:t></w:t>
            </w:r>
            <w:r w:rsidRPr="00CC170B">
              <w:rPr>
                <w:lang w:val="hu-HU"/>
              </w:rPr>
              <w:t>1,5</w:t>
            </w:r>
            <w:r w:rsidR="00F063CD">
              <w:rPr>
                <w:lang w:val="hu-HU"/>
              </w:rPr>
              <w:t> G</w:t>
            </w:r>
            <w:r w:rsidRPr="00CC170B">
              <w:rPr>
                <w:lang w:val="hu-HU"/>
              </w:rPr>
              <w:t xml:space="preserve">/l, a thrombocytaszám pedig a </w:t>
            </w:r>
            <w:r w:rsidRPr="00CC170B">
              <w:rPr>
                <w:rFonts w:ascii="Symbol" w:hAnsi="Symbol"/>
                <w:lang w:val="hu-HU"/>
              </w:rPr>
              <w:t></w:t>
            </w:r>
            <w:r w:rsidRPr="00CC170B">
              <w:rPr>
                <w:lang w:val="hu-HU"/>
              </w:rPr>
              <w:t>75</w:t>
            </w:r>
            <w:r w:rsidR="00F063CD">
              <w:rPr>
                <w:lang w:val="hu-HU"/>
              </w:rPr>
              <w:t> G</w:t>
            </w:r>
            <w:r w:rsidRPr="00CC170B">
              <w:rPr>
                <w:lang w:val="hu-HU"/>
              </w:rPr>
              <w:t>/l</w:t>
            </w:r>
            <w:r w:rsidRPr="00CC170B">
              <w:rPr>
                <w:spacing w:val="-2"/>
                <w:lang w:val="hu-HU"/>
              </w:rPr>
              <w:t xml:space="preserve"> </w:t>
            </w:r>
            <w:r w:rsidRPr="00CC170B">
              <w:rPr>
                <w:lang w:val="hu-HU"/>
              </w:rPr>
              <w:t>értéket.</w:t>
            </w:r>
          </w:p>
          <w:p w14:paraId="3075B7D5" w14:textId="1A3F2C03" w:rsidR="00FC0D76" w:rsidRPr="00CC170B" w:rsidRDefault="00FC0D76" w:rsidP="00445CF3">
            <w:pPr>
              <w:pStyle w:val="Listaszerbekezds"/>
              <w:numPr>
                <w:ilvl w:val="0"/>
                <w:numId w:val="28"/>
              </w:numPr>
              <w:ind w:left="457" w:hanging="426"/>
              <w:rPr>
                <w:lang w:val="hu-HU"/>
              </w:rPr>
            </w:pPr>
            <w:r w:rsidRPr="00CC170B">
              <w:rPr>
                <w:lang w:val="hu-HU"/>
              </w:rPr>
              <w:t xml:space="preserve">Kezdje újra </w:t>
            </w:r>
            <w:r w:rsidR="00F65A4E" w:rsidRPr="00CC170B">
              <w:rPr>
                <w:lang w:val="hu-HU"/>
              </w:rPr>
              <w:t xml:space="preserve">az </w:t>
            </w:r>
            <w:r w:rsidR="00445CF3" w:rsidRPr="00CC170B">
              <w:rPr>
                <w:lang w:val="hu-HU"/>
              </w:rPr>
              <w:t>i</w:t>
            </w:r>
            <w:r w:rsidR="00D625A6" w:rsidRPr="00CC170B">
              <w:rPr>
                <w:lang w:val="hu-HU"/>
              </w:rPr>
              <w:t>matinib</w:t>
            </w:r>
            <w:r w:rsidRPr="00CC170B">
              <w:rPr>
                <w:lang w:val="hu-HU"/>
              </w:rPr>
              <w:t>-kezelést a korábban (tehát a súlyos mellékhatás megjelenése előtt) alkalmazott</w:t>
            </w:r>
            <w:r w:rsidRPr="00CC170B">
              <w:rPr>
                <w:spacing w:val="-3"/>
                <w:lang w:val="hu-HU"/>
              </w:rPr>
              <w:t xml:space="preserve"> </w:t>
            </w:r>
            <w:r w:rsidRPr="00CC170B">
              <w:rPr>
                <w:lang w:val="hu-HU"/>
              </w:rPr>
              <w:t>adaggal.</w:t>
            </w:r>
          </w:p>
          <w:p w14:paraId="76507183" w14:textId="2398D826" w:rsidR="00FC0D76" w:rsidRPr="00CC170B" w:rsidRDefault="00FC0D76" w:rsidP="00777EFC">
            <w:pPr>
              <w:pStyle w:val="Listaszerbekezds"/>
              <w:numPr>
                <w:ilvl w:val="0"/>
                <w:numId w:val="28"/>
              </w:numPr>
              <w:ind w:left="457" w:hanging="426"/>
              <w:rPr>
                <w:lang w:val="hu-HU"/>
              </w:rPr>
            </w:pPr>
            <w:r w:rsidRPr="00CC170B">
              <w:rPr>
                <w:lang w:val="hu-HU"/>
              </w:rPr>
              <w:t>Ha az ANC ismét &lt;1,0</w:t>
            </w:r>
            <w:r w:rsidR="00F063CD">
              <w:rPr>
                <w:lang w:val="hu-HU"/>
              </w:rPr>
              <w:t> G</w:t>
            </w:r>
            <w:r w:rsidRPr="00CC170B">
              <w:rPr>
                <w:lang w:val="hu-HU"/>
              </w:rPr>
              <w:t xml:space="preserve">/l és/vagy a thrombocytaszám </w:t>
            </w:r>
            <w:r w:rsidR="00F063CD">
              <w:rPr>
                <w:lang w:val="hu-HU"/>
              </w:rPr>
              <w:t>ismét</w:t>
            </w:r>
            <w:r w:rsidRPr="00CC170B">
              <w:rPr>
                <w:lang w:val="hu-HU"/>
              </w:rPr>
              <w:t xml:space="preserve"> &lt;50</w:t>
            </w:r>
            <w:r w:rsidR="00F063CD">
              <w:rPr>
                <w:lang w:val="hu-HU"/>
              </w:rPr>
              <w:t> G</w:t>
            </w:r>
            <w:r w:rsidRPr="00CC170B">
              <w:rPr>
                <w:lang w:val="hu-HU"/>
              </w:rPr>
              <w:t>/l,</w:t>
            </w:r>
            <w:r w:rsidRPr="00CC170B">
              <w:rPr>
                <w:spacing w:val="-8"/>
                <w:lang w:val="hu-HU"/>
              </w:rPr>
              <w:t xml:space="preserve"> </w:t>
            </w:r>
            <w:r w:rsidR="00AF6A45" w:rsidRPr="00CC170B">
              <w:rPr>
                <w:lang w:val="hu-HU"/>
              </w:rPr>
              <w:t>az 1.</w:t>
            </w:r>
            <w:r w:rsidR="00F063CD">
              <w:rPr>
                <w:lang w:val="hu-HU"/>
              </w:rPr>
              <w:t> </w:t>
            </w:r>
            <w:r w:rsidR="00AF6A45" w:rsidRPr="00CC170B">
              <w:rPr>
                <w:lang w:val="hu-HU"/>
              </w:rPr>
              <w:t>lépés</w:t>
            </w:r>
            <w:r w:rsidR="00F063CD">
              <w:rPr>
                <w:lang w:val="hu-HU"/>
              </w:rPr>
              <w:t xml:space="preserve"> szerint járjon el</w:t>
            </w:r>
            <w:r w:rsidRPr="00CC170B">
              <w:rPr>
                <w:lang w:val="hu-HU"/>
              </w:rPr>
              <w:t>, majd</w:t>
            </w:r>
            <w:r w:rsidRPr="00CC170B">
              <w:rPr>
                <w:spacing w:val="-4"/>
                <w:lang w:val="hu-HU"/>
              </w:rPr>
              <w:t xml:space="preserve"> </w:t>
            </w:r>
            <w:r w:rsidRPr="00CC170B">
              <w:rPr>
                <w:lang w:val="hu-HU"/>
              </w:rPr>
              <w:t>a</w:t>
            </w:r>
            <w:r w:rsidR="00777EFC" w:rsidRPr="00CC170B">
              <w:rPr>
                <w:lang w:val="hu-HU"/>
              </w:rPr>
              <w:t>z i</w:t>
            </w:r>
            <w:r w:rsidR="00D625A6" w:rsidRPr="00CC170B">
              <w:rPr>
                <w:lang w:val="hu-HU"/>
              </w:rPr>
              <w:t>matinib</w:t>
            </w:r>
            <w:r w:rsidRPr="00CC170B">
              <w:rPr>
                <w:lang w:val="hu-HU"/>
              </w:rPr>
              <w:t>-kezelést 260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-re csökkentett adaggal kezdje újra.</w:t>
            </w:r>
          </w:p>
        </w:tc>
      </w:tr>
      <w:tr w:rsidR="00F063CD" w:rsidRPr="00CC170B" w14:paraId="79A487E7" w14:textId="77777777" w:rsidTr="00931686">
        <w:trPr>
          <w:trHeight w:val="3889"/>
        </w:trPr>
        <w:tc>
          <w:tcPr>
            <w:tcW w:w="2268" w:type="dxa"/>
          </w:tcPr>
          <w:p w14:paraId="69494FA6" w14:textId="39A8E0CE" w:rsidR="00F063CD" w:rsidRPr="00CC170B" w:rsidRDefault="00F063CD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CML akcelerált fázis és blasztos krízis és Ph+</w:t>
            </w:r>
            <w:r>
              <w:rPr>
                <w:lang w:val="hu-HU"/>
              </w:rPr>
              <w:t> </w:t>
            </w:r>
            <w:r w:rsidRPr="00CC170B">
              <w:rPr>
                <w:lang w:val="hu-HU"/>
              </w:rPr>
              <w:t>ALL (kezdő adag: 600 mg)</w:t>
            </w:r>
          </w:p>
        </w:tc>
        <w:tc>
          <w:tcPr>
            <w:tcW w:w="2805" w:type="dxa"/>
          </w:tcPr>
          <w:p w14:paraId="3C819442" w14:textId="68C078D2" w:rsidR="00F063CD" w:rsidRPr="00CC170B" w:rsidRDefault="00F063CD" w:rsidP="00EA0123">
            <w:pPr>
              <w:ind w:left="142"/>
              <w:rPr>
                <w:lang w:val="hu-HU"/>
              </w:rPr>
            </w:pPr>
            <w:r w:rsidRPr="00CC170B">
              <w:rPr>
                <w:vertAlign w:val="superscript"/>
                <w:lang w:val="hu-HU"/>
              </w:rPr>
              <w:t>a</w:t>
            </w:r>
            <w:r w:rsidRPr="00CC170B">
              <w:rPr>
                <w:lang w:val="hu-HU"/>
              </w:rPr>
              <w:t>ANC &lt;0,5</w:t>
            </w:r>
            <w:r>
              <w:rPr>
                <w:lang w:val="hu-HU"/>
              </w:rPr>
              <w:t> G</w:t>
            </w:r>
            <w:r w:rsidRPr="00CC170B">
              <w:rPr>
                <w:lang w:val="hu-HU"/>
              </w:rPr>
              <w:t>/l</w:t>
            </w:r>
          </w:p>
          <w:p w14:paraId="3827FABA" w14:textId="3AE7F944" w:rsidR="00F063CD" w:rsidRPr="00CC170B" w:rsidRDefault="00F063CD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és/vagy</w:t>
            </w:r>
          </w:p>
          <w:p w14:paraId="68367AD9" w14:textId="4B08DF47" w:rsidR="00F063CD" w:rsidRPr="00CC170B" w:rsidRDefault="00F063CD" w:rsidP="00EA0123">
            <w:pPr>
              <w:ind w:left="142"/>
              <w:rPr>
                <w:lang w:val="hu-HU"/>
              </w:rPr>
            </w:pPr>
            <w:r>
              <w:rPr>
                <w:w w:val="95"/>
                <w:lang w:val="hu-HU"/>
              </w:rPr>
              <w:t xml:space="preserve">a </w:t>
            </w:r>
            <w:r w:rsidRPr="00CC170B">
              <w:rPr>
                <w:w w:val="95"/>
                <w:lang w:val="hu-HU"/>
              </w:rPr>
              <w:t>thrombocytas</w:t>
            </w:r>
            <w:r w:rsidRPr="00CC170B">
              <w:rPr>
                <w:lang w:val="hu-HU"/>
              </w:rPr>
              <w:t>z</w:t>
            </w:r>
            <w:r w:rsidRPr="00CC170B">
              <w:rPr>
                <w:w w:val="95"/>
                <w:lang w:val="hu-HU"/>
              </w:rPr>
              <w:t xml:space="preserve">ám </w:t>
            </w:r>
            <w:r w:rsidRPr="00CC170B">
              <w:rPr>
                <w:lang w:val="hu-HU"/>
              </w:rPr>
              <w:t>&lt;10 </w:t>
            </w:r>
            <w:r>
              <w:rPr>
                <w:lang w:val="hu-HU"/>
              </w:rPr>
              <w:t>G</w:t>
            </w:r>
            <w:r w:rsidRPr="00CC170B">
              <w:rPr>
                <w:lang w:val="hu-HU"/>
              </w:rPr>
              <w:t>/l</w:t>
            </w:r>
          </w:p>
        </w:tc>
        <w:tc>
          <w:tcPr>
            <w:tcW w:w="3999" w:type="dxa"/>
          </w:tcPr>
          <w:p w14:paraId="52ECFF60" w14:textId="77777777" w:rsidR="00F063CD" w:rsidRPr="00CC170B" w:rsidRDefault="00F063CD" w:rsidP="00D414C5">
            <w:pPr>
              <w:pStyle w:val="Listaszerbekezds"/>
              <w:numPr>
                <w:ilvl w:val="0"/>
                <w:numId w:val="29"/>
              </w:numPr>
              <w:ind w:left="457" w:hanging="426"/>
              <w:rPr>
                <w:lang w:val="hu-HU"/>
              </w:rPr>
            </w:pPr>
            <w:r w:rsidRPr="00CC170B">
              <w:rPr>
                <w:lang w:val="hu-HU"/>
              </w:rPr>
              <w:t>Ellenőrizni kell, hogy a cytopeniát nem</w:t>
            </w:r>
            <w:r w:rsidRPr="00CC170B">
              <w:rPr>
                <w:spacing w:val="-11"/>
                <w:lang w:val="hu-HU"/>
              </w:rPr>
              <w:t xml:space="preserve"> </w:t>
            </w:r>
            <w:r w:rsidRPr="00CC170B">
              <w:rPr>
                <w:lang w:val="hu-HU"/>
              </w:rPr>
              <w:t>a leukaemia okozza-e (csontvelő-aspiráció vagy -biopszia).</w:t>
            </w:r>
          </w:p>
          <w:p w14:paraId="690DF750" w14:textId="77777777" w:rsidR="00F063CD" w:rsidRPr="00CC170B" w:rsidRDefault="00F063CD" w:rsidP="00D414C5">
            <w:pPr>
              <w:pStyle w:val="Listaszerbekezds"/>
              <w:numPr>
                <w:ilvl w:val="0"/>
                <w:numId w:val="29"/>
              </w:numPr>
              <w:ind w:left="457" w:hanging="426"/>
              <w:rPr>
                <w:lang w:val="hu-HU"/>
              </w:rPr>
            </w:pPr>
            <w:r w:rsidRPr="00CC170B">
              <w:rPr>
                <w:lang w:val="hu-HU"/>
              </w:rPr>
              <w:t xml:space="preserve">Ha a cytopenia nem a leukaemiával kapcsolatos, csökkentse az </w:t>
            </w:r>
            <w:r>
              <w:rPr>
                <w:lang w:val="hu-HU"/>
              </w:rPr>
              <w:t>i</w:t>
            </w:r>
            <w:r w:rsidRPr="00CC170B">
              <w:rPr>
                <w:lang w:val="hu-HU"/>
              </w:rPr>
              <w:t>matinib</w:t>
            </w:r>
            <w:r w:rsidRPr="00CC170B">
              <w:rPr>
                <w:spacing w:val="-13"/>
                <w:lang w:val="hu-HU"/>
              </w:rPr>
              <w:t xml:space="preserve"> </w:t>
            </w:r>
            <w:r w:rsidRPr="00CC170B">
              <w:rPr>
                <w:lang w:val="hu-HU"/>
              </w:rPr>
              <w:t>adagját 400</w:t>
            </w:r>
            <w:r w:rsidRPr="00CC170B">
              <w:rPr>
                <w:spacing w:val="-1"/>
                <w:lang w:val="hu-HU"/>
              </w:rPr>
              <w:t> mg</w:t>
            </w:r>
            <w:r w:rsidRPr="00CC170B">
              <w:rPr>
                <w:lang w:val="hu-HU"/>
              </w:rPr>
              <w:t>-ra.</w:t>
            </w:r>
          </w:p>
          <w:p w14:paraId="57D5B86A" w14:textId="77777777" w:rsidR="00F063CD" w:rsidRPr="00CC170B" w:rsidRDefault="00F063CD" w:rsidP="00D414C5">
            <w:pPr>
              <w:pStyle w:val="Listaszerbekezds"/>
              <w:numPr>
                <w:ilvl w:val="0"/>
                <w:numId w:val="29"/>
              </w:numPr>
              <w:ind w:left="457" w:hanging="426"/>
              <w:rPr>
                <w:lang w:val="hu-HU"/>
              </w:rPr>
            </w:pPr>
            <w:r w:rsidRPr="00CC170B">
              <w:rPr>
                <w:lang w:val="hu-HU"/>
              </w:rPr>
              <w:t>Ha a cytopenia 2 hétig fennáll, csökkentse tovább az adagot 300</w:t>
            </w:r>
            <w:r w:rsidRPr="00CC170B">
              <w:rPr>
                <w:spacing w:val="-2"/>
                <w:lang w:val="hu-HU"/>
              </w:rPr>
              <w:t> mg</w:t>
            </w:r>
            <w:r w:rsidRPr="00CC170B">
              <w:rPr>
                <w:lang w:val="hu-HU"/>
              </w:rPr>
              <w:t>-ra.</w:t>
            </w:r>
          </w:p>
          <w:p w14:paraId="49D13329" w14:textId="6C1136D8" w:rsidR="00F063CD" w:rsidRPr="00CC170B" w:rsidRDefault="00F063CD" w:rsidP="0016519C">
            <w:pPr>
              <w:pStyle w:val="Listaszerbekezds"/>
              <w:numPr>
                <w:ilvl w:val="0"/>
                <w:numId w:val="29"/>
              </w:numPr>
              <w:ind w:left="457" w:hanging="426"/>
              <w:rPr>
                <w:lang w:val="hu-HU"/>
              </w:rPr>
            </w:pPr>
            <w:r w:rsidRPr="00CC170B">
              <w:rPr>
                <w:lang w:val="hu-HU"/>
              </w:rPr>
              <w:t>Ha a cytopenia 4 hétig fennáll, és továbbra sem a leukaemiával kapcsolatos, állítsa le az imatinib</w:t>
            </w:r>
            <w:r w:rsidRPr="00CC170B">
              <w:rPr>
                <w:lang w:val="hu-HU"/>
              </w:rPr>
              <w:noBreakHyphen/>
              <w:t>kezelést, amíg az ANC eléri</w:t>
            </w:r>
            <w:r w:rsidRPr="00CC170B">
              <w:rPr>
                <w:spacing w:val="-9"/>
                <w:lang w:val="hu-HU"/>
              </w:rPr>
              <w:t xml:space="preserve"> </w:t>
            </w:r>
            <w:r w:rsidRPr="00CC170B">
              <w:rPr>
                <w:lang w:val="hu-HU"/>
              </w:rPr>
              <w:t xml:space="preserve">a </w:t>
            </w:r>
            <w:r w:rsidRPr="00CC170B">
              <w:rPr>
                <w:rFonts w:ascii="Symbol" w:hAnsi="Symbol"/>
                <w:lang w:val="hu-HU"/>
              </w:rPr>
              <w:t></w:t>
            </w:r>
            <w:r w:rsidRPr="00CC170B">
              <w:rPr>
                <w:lang w:val="hu-HU"/>
              </w:rPr>
              <w:t>1 </w:t>
            </w:r>
            <w:r>
              <w:rPr>
                <w:lang w:val="hu-HU"/>
              </w:rPr>
              <w:t>G</w:t>
            </w:r>
            <w:r w:rsidRPr="00CC170B">
              <w:rPr>
                <w:lang w:val="hu-HU"/>
              </w:rPr>
              <w:t xml:space="preserve">/l, a thrombocytaszám pedig a </w:t>
            </w:r>
            <w:r w:rsidRPr="00CC170B">
              <w:rPr>
                <w:rFonts w:ascii="Symbol" w:hAnsi="Symbol"/>
                <w:lang w:val="hu-HU"/>
              </w:rPr>
              <w:t></w:t>
            </w:r>
            <w:r w:rsidRPr="00CC170B">
              <w:rPr>
                <w:lang w:val="hu-HU"/>
              </w:rPr>
              <w:t>20 </w:t>
            </w:r>
            <w:r>
              <w:rPr>
                <w:lang w:val="hu-HU"/>
              </w:rPr>
              <w:t>G</w:t>
            </w:r>
            <w:r w:rsidRPr="00CC170B">
              <w:rPr>
                <w:lang w:val="hu-HU"/>
              </w:rPr>
              <w:t>/l értéket, majd kezdje újra a kezelést 300 mg-mal.</w:t>
            </w:r>
          </w:p>
        </w:tc>
      </w:tr>
      <w:tr w:rsidR="00FC0D76" w:rsidRPr="00CC170B" w14:paraId="61838E75" w14:textId="77777777" w:rsidTr="001D4A3D">
        <w:trPr>
          <w:trHeight w:val="3574"/>
        </w:trPr>
        <w:tc>
          <w:tcPr>
            <w:tcW w:w="2268" w:type="dxa"/>
          </w:tcPr>
          <w:p w14:paraId="3FFB5863" w14:textId="77777777" w:rsidR="00FC0D76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lastRenderedPageBreak/>
              <w:t>Gyermek- és serdülőkori CML akcelerált fázis és blasztos krízis (kezdő adag: 340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)</w:t>
            </w:r>
          </w:p>
        </w:tc>
        <w:tc>
          <w:tcPr>
            <w:tcW w:w="2805" w:type="dxa"/>
          </w:tcPr>
          <w:p w14:paraId="287AAE06" w14:textId="55FCE687" w:rsidR="00FC0D76" w:rsidRPr="00CC170B" w:rsidRDefault="0016519C" w:rsidP="00EA0123">
            <w:pPr>
              <w:ind w:left="142"/>
              <w:rPr>
                <w:lang w:val="hu-HU"/>
              </w:rPr>
            </w:pPr>
            <w:r w:rsidRPr="00CC170B">
              <w:rPr>
                <w:vertAlign w:val="superscript"/>
                <w:lang w:val="hu-HU"/>
              </w:rPr>
              <w:t>a</w:t>
            </w:r>
            <w:r w:rsidRPr="00CC170B">
              <w:rPr>
                <w:lang w:val="hu-HU"/>
              </w:rPr>
              <w:t>A</w:t>
            </w:r>
            <w:r w:rsidR="00FC0D76" w:rsidRPr="00CC170B">
              <w:rPr>
                <w:lang w:val="hu-HU"/>
              </w:rPr>
              <w:t>NC &lt;0,5</w:t>
            </w:r>
            <w:r w:rsidR="00F063CD">
              <w:rPr>
                <w:lang w:val="hu-HU"/>
              </w:rPr>
              <w:t> G</w:t>
            </w:r>
            <w:r w:rsidR="00FC0D76" w:rsidRPr="00CC170B">
              <w:rPr>
                <w:lang w:val="hu-HU"/>
              </w:rPr>
              <w:t>/l</w:t>
            </w:r>
          </w:p>
          <w:p w14:paraId="5041C35C" w14:textId="6224A162" w:rsidR="0016519C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és/vagy</w:t>
            </w:r>
          </w:p>
          <w:p w14:paraId="258BB88B" w14:textId="10837E2E" w:rsidR="00FC0D76" w:rsidRPr="00CC170B" w:rsidRDefault="00F063CD" w:rsidP="00EA0123">
            <w:pPr>
              <w:ind w:left="142"/>
              <w:rPr>
                <w:lang w:val="hu-HU"/>
              </w:rPr>
            </w:pPr>
            <w:r>
              <w:rPr>
                <w:w w:val="95"/>
                <w:lang w:val="hu-HU"/>
              </w:rPr>
              <w:t xml:space="preserve">a </w:t>
            </w:r>
            <w:r w:rsidR="00FC0D76" w:rsidRPr="00CC170B">
              <w:rPr>
                <w:w w:val="95"/>
                <w:lang w:val="hu-HU"/>
              </w:rPr>
              <w:t>thrombocytas</w:t>
            </w:r>
            <w:r w:rsidR="00C47289" w:rsidRPr="00CC170B">
              <w:rPr>
                <w:lang w:val="hu-HU"/>
              </w:rPr>
              <w:t>z</w:t>
            </w:r>
            <w:r w:rsidR="00FC0D76" w:rsidRPr="00CC170B">
              <w:rPr>
                <w:w w:val="95"/>
                <w:lang w:val="hu-HU"/>
              </w:rPr>
              <w:t>ám</w:t>
            </w:r>
            <w:r w:rsidR="0016519C" w:rsidRPr="00CC170B">
              <w:rPr>
                <w:w w:val="95"/>
                <w:lang w:val="hu-HU"/>
              </w:rPr>
              <w:t xml:space="preserve"> </w:t>
            </w:r>
            <w:r w:rsidR="00FC0D76" w:rsidRPr="00CC170B">
              <w:rPr>
                <w:lang w:val="hu-HU"/>
              </w:rPr>
              <w:t>&lt;10</w:t>
            </w:r>
            <w:r w:rsidR="0016519C" w:rsidRPr="00CC170B">
              <w:rPr>
                <w:lang w:val="hu-HU"/>
              </w:rPr>
              <w:t> </w:t>
            </w:r>
            <w:r>
              <w:rPr>
                <w:lang w:val="hu-HU"/>
              </w:rPr>
              <w:t>G</w:t>
            </w:r>
            <w:r w:rsidR="00FC0D76" w:rsidRPr="00CC170B">
              <w:rPr>
                <w:lang w:val="hu-HU"/>
              </w:rPr>
              <w:t>/l</w:t>
            </w:r>
          </w:p>
        </w:tc>
        <w:tc>
          <w:tcPr>
            <w:tcW w:w="3999" w:type="dxa"/>
          </w:tcPr>
          <w:p w14:paraId="7C337373" w14:textId="77777777" w:rsidR="00FC0D76" w:rsidRPr="00CC170B" w:rsidRDefault="00FC0D76" w:rsidP="0016519C">
            <w:pPr>
              <w:pStyle w:val="Listaszerbekezds"/>
              <w:numPr>
                <w:ilvl w:val="0"/>
                <w:numId w:val="31"/>
              </w:numPr>
              <w:ind w:left="457" w:hanging="457"/>
              <w:rPr>
                <w:lang w:val="hu-HU"/>
              </w:rPr>
            </w:pPr>
            <w:r w:rsidRPr="00CC170B">
              <w:rPr>
                <w:lang w:val="hu-HU"/>
              </w:rPr>
              <w:t>Ellenőrizni kell, hogy a cytopeniát nem</w:t>
            </w:r>
            <w:r w:rsidRPr="00CC170B">
              <w:rPr>
                <w:spacing w:val="-11"/>
                <w:lang w:val="hu-HU"/>
              </w:rPr>
              <w:t xml:space="preserve"> </w:t>
            </w:r>
            <w:r w:rsidRPr="00CC170B">
              <w:rPr>
                <w:lang w:val="hu-HU"/>
              </w:rPr>
              <w:t>a leukaemia okozza-e (csontvelő-aspiráció vagy -biopszia).</w:t>
            </w:r>
          </w:p>
          <w:p w14:paraId="5CE10381" w14:textId="4CD1AC07" w:rsidR="00FC0D76" w:rsidRPr="00CC170B" w:rsidRDefault="00FC0D76" w:rsidP="0016519C">
            <w:pPr>
              <w:pStyle w:val="Listaszerbekezds"/>
              <w:numPr>
                <w:ilvl w:val="0"/>
                <w:numId w:val="31"/>
              </w:numPr>
              <w:ind w:left="457" w:hanging="457"/>
              <w:rPr>
                <w:lang w:val="hu-HU"/>
              </w:rPr>
            </w:pPr>
            <w:r w:rsidRPr="00CC170B">
              <w:rPr>
                <w:lang w:val="hu-HU"/>
              </w:rPr>
              <w:t xml:space="preserve">Ha a cytopenia nem a leukaemiával kapcsolatos, csökkentse </w:t>
            </w:r>
            <w:r w:rsidR="00F65A4E" w:rsidRPr="00CC170B">
              <w:rPr>
                <w:lang w:val="hu-HU"/>
              </w:rPr>
              <w:t xml:space="preserve">az </w:t>
            </w:r>
            <w:r w:rsidR="00F11735" w:rsidRPr="00CC170B">
              <w:rPr>
                <w:lang w:val="hu-HU"/>
              </w:rPr>
              <w:t>i</w:t>
            </w:r>
            <w:r w:rsidR="00D625A6" w:rsidRPr="00CC170B">
              <w:rPr>
                <w:lang w:val="hu-HU"/>
              </w:rPr>
              <w:t>matinib</w:t>
            </w:r>
            <w:r w:rsidRPr="00CC170B">
              <w:rPr>
                <w:spacing w:val="-13"/>
                <w:lang w:val="hu-HU"/>
              </w:rPr>
              <w:t xml:space="preserve"> </w:t>
            </w:r>
            <w:r w:rsidRPr="00CC170B">
              <w:rPr>
                <w:lang w:val="hu-HU"/>
              </w:rPr>
              <w:t>adagját 260</w:t>
            </w:r>
            <w:r w:rsidRPr="00CC170B">
              <w:rPr>
                <w:spacing w:val="-1"/>
                <w:lang w:val="hu-HU"/>
              </w:rPr>
              <w:t> mg</w:t>
            </w:r>
            <w:r w:rsidRPr="00CC170B">
              <w:rPr>
                <w:lang w:val="hu-HU"/>
              </w:rPr>
              <w:t>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-re.</w:t>
            </w:r>
          </w:p>
          <w:p w14:paraId="3F50481A" w14:textId="3426CD36" w:rsidR="00FC0D76" w:rsidRPr="00CC170B" w:rsidRDefault="00FC0D76" w:rsidP="0016519C">
            <w:pPr>
              <w:pStyle w:val="Listaszerbekezds"/>
              <w:numPr>
                <w:ilvl w:val="0"/>
                <w:numId w:val="31"/>
              </w:numPr>
              <w:ind w:left="457" w:hanging="457"/>
              <w:rPr>
                <w:lang w:val="hu-HU"/>
              </w:rPr>
            </w:pPr>
            <w:r w:rsidRPr="00CC170B">
              <w:rPr>
                <w:lang w:val="hu-HU"/>
              </w:rPr>
              <w:t>Ha a cytopenia 2</w:t>
            </w:r>
            <w:r w:rsidR="00F1173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 xml:space="preserve">hétig fennáll, csökkentse tovább </w:t>
            </w:r>
            <w:r w:rsidR="00F063CD">
              <w:rPr>
                <w:lang w:val="hu-HU"/>
              </w:rPr>
              <w:t xml:space="preserve">az adagot </w:t>
            </w:r>
            <w:r w:rsidRPr="00CC170B">
              <w:rPr>
                <w:lang w:val="hu-HU"/>
              </w:rPr>
              <w:t>200</w:t>
            </w:r>
            <w:r w:rsidRPr="00CC170B">
              <w:rPr>
                <w:spacing w:val="-1"/>
                <w:lang w:val="hu-HU"/>
              </w:rPr>
              <w:t> mg</w:t>
            </w:r>
            <w:r w:rsidRPr="00CC170B">
              <w:rPr>
                <w:lang w:val="hu-HU"/>
              </w:rPr>
              <w:t>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-re.</w:t>
            </w:r>
          </w:p>
          <w:p w14:paraId="16193E9B" w14:textId="2DC3D00A" w:rsidR="00FC0D76" w:rsidRPr="00CC170B" w:rsidRDefault="00FC0D76" w:rsidP="00F11735">
            <w:pPr>
              <w:pStyle w:val="Listaszerbekezds"/>
              <w:numPr>
                <w:ilvl w:val="0"/>
                <w:numId w:val="31"/>
              </w:numPr>
              <w:ind w:left="457" w:hanging="457"/>
              <w:rPr>
                <w:lang w:val="hu-HU"/>
              </w:rPr>
            </w:pPr>
            <w:r w:rsidRPr="00CC170B">
              <w:rPr>
                <w:lang w:val="hu-HU"/>
              </w:rPr>
              <w:t>Ha a cytopenia 4</w:t>
            </w:r>
            <w:r w:rsidR="00F1173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 xml:space="preserve">hétig fennáll, és továbbra sem a leukaemiával kapcsolatos, állítsa le </w:t>
            </w:r>
            <w:r w:rsidR="00F65A4E" w:rsidRPr="00CC170B">
              <w:rPr>
                <w:lang w:val="hu-HU"/>
              </w:rPr>
              <w:t xml:space="preserve">az </w:t>
            </w:r>
            <w:r w:rsidR="00F11735" w:rsidRPr="00CC170B">
              <w:rPr>
                <w:lang w:val="hu-HU"/>
              </w:rPr>
              <w:t>i</w:t>
            </w:r>
            <w:r w:rsidR="00D625A6" w:rsidRPr="00CC170B">
              <w:rPr>
                <w:lang w:val="hu-HU"/>
              </w:rPr>
              <w:t>matinib</w:t>
            </w:r>
            <w:r w:rsidRPr="00CC170B">
              <w:rPr>
                <w:lang w:val="hu-HU"/>
              </w:rPr>
              <w:t>-kezelést, amíg az ANC eléri</w:t>
            </w:r>
            <w:r w:rsidRPr="00CC170B">
              <w:rPr>
                <w:spacing w:val="-9"/>
                <w:lang w:val="hu-HU"/>
              </w:rPr>
              <w:t xml:space="preserve"> </w:t>
            </w:r>
            <w:r w:rsidRPr="00CC170B">
              <w:rPr>
                <w:lang w:val="hu-HU"/>
              </w:rPr>
              <w:t>a</w:t>
            </w:r>
            <w:r w:rsidR="00F11735" w:rsidRPr="00CC170B">
              <w:rPr>
                <w:lang w:val="hu-HU"/>
              </w:rPr>
              <w:t xml:space="preserve"> </w:t>
            </w:r>
            <w:r w:rsidRPr="00CC170B">
              <w:rPr>
                <w:rFonts w:ascii="Symbol" w:hAnsi="Symbol"/>
                <w:lang w:val="hu-HU"/>
              </w:rPr>
              <w:t></w:t>
            </w:r>
            <w:r w:rsidRPr="00CC170B">
              <w:rPr>
                <w:lang w:val="hu-HU"/>
              </w:rPr>
              <w:t>1</w:t>
            </w:r>
            <w:r w:rsidR="00F11735" w:rsidRPr="00CC170B">
              <w:rPr>
                <w:lang w:val="hu-HU"/>
              </w:rPr>
              <w:t> </w:t>
            </w:r>
            <w:r w:rsidR="007E4976">
              <w:rPr>
                <w:lang w:val="hu-HU"/>
              </w:rPr>
              <w:t>G</w:t>
            </w:r>
            <w:r w:rsidRPr="00CC170B">
              <w:rPr>
                <w:lang w:val="hu-HU"/>
              </w:rPr>
              <w:t>/l, a thrombocytaszám pedig a</w:t>
            </w:r>
            <w:r w:rsidR="00F11735" w:rsidRPr="00CC170B">
              <w:rPr>
                <w:lang w:val="hu-HU"/>
              </w:rPr>
              <w:t xml:space="preserve"> </w:t>
            </w:r>
            <w:r w:rsidRPr="00CC170B">
              <w:rPr>
                <w:rFonts w:ascii="Symbol" w:hAnsi="Symbol"/>
                <w:lang w:val="hu-HU"/>
              </w:rPr>
              <w:t></w:t>
            </w:r>
            <w:r w:rsidRPr="00CC170B">
              <w:rPr>
                <w:lang w:val="hu-HU"/>
              </w:rPr>
              <w:t>20</w:t>
            </w:r>
            <w:r w:rsidR="007E4976">
              <w:rPr>
                <w:lang w:val="hu-HU"/>
              </w:rPr>
              <w:t> G</w:t>
            </w:r>
            <w:r w:rsidRPr="00CC170B">
              <w:rPr>
                <w:lang w:val="hu-HU"/>
              </w:rPr>
              <w:t>/l értéket, majd kezdje újra a kezelést 200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-rel.</w:t>
            </w:r>
          </w:p>
        </w:tc>
      </w:tr>
      <w:tr w:rsidR="00FC0D76" w:rsidRPr="00CC170B" w14:paraId="5DB5FF59" w14:textId="77777777" w:rsidTr="001D4A3D">
        <w:trPr>
          <w:trHeight w:val="2562"/>
        </w:trPr>
        <w:tc>
          <w:tcPr>
            <w:tcW w:w="2268" w:type="dxa"/>
          </w:tcPr>
          <w:p w14:paraId="0EFD09A8" w14:textId="77777777" w:rsidR="00FC0D76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DFSP</w:t>
            </w:r>
          </w:p>
          <w:p w14:paraId="1C681BC5" w14:textId="77777777" w:rsidR="00FC0D76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(800 mg-os adagban)</w:t>
            </w:r>
          </w:p>
        </w:tc>
        <w:tc>
          <w:tcPr>
            <w:tcW w:w="2805" w:type="dxa"/>
          </w:tcPr>
          <w:p w14:paraId="60FE0EB6" w14:textId="3FA2FB16" w:rsidR="00FC0D76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ANC &lt;1,0</w:t>
            </w:r>
            <w:r w:rsidR="007E4976">
              <w:rPr>
                <w:lang w:val="hu-HU"/>
              </w:rPr>
              <w:t> G</w:t>
            </w:r>
            <w:r w:rsidRPr="00CC170B">
              <w:rPr>
                <w:lang w:val="hu-HU"/>
              </w:rPr>
              <w:t>/l</w:t>
            </w:r>
          </w:p>
          <w:p w14:paraId="1AAA60D8" w14:textId="6A8755F4" w:rsidR="0016519C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és/vagy</w:t>
            </w:r>
          </w:p>
          <w:p w14:paraId="16E8CCC8" w14:textId="5AB5D5CB" w:rsidR="00FC0D76" w:rsidRPr="00CC170B" w:rsidRDefault="00F063CD" w:rsidP="00EA0123">
            <w:pPr>
              <w:ind w:left="142"/>
              <w:rPr>
                <w:lang w:val="hu-HU"/>
              </w:rPr>
            </w:pPr>
            <w:r>
              <w:rPr>
                <w:w w:val="95"/>
                <w:lang w:val="hu-HU"/>
              </w:rPr>
              <w:t xml:space="preserve">a </w:t>
            </w:r>
            <w:r w:rsidR="00FC0D76" w:rsidRPr="00CC170B">
              <w:rPr>
                <w:w w:val="95"/>
                <w:lang w:val="hu-HU"/>
              </w:rPr>
              <w:t>thrombocytas</w:t>
            </w:r>
            <w:r w:rsidR="00C47289" w:rsidRPr="00CC170B">
              <w:rPr>
                <w:lang w:val="hu-HU"/>
              </w:rPr>
              <w:t>z</w:t>
            </w:r>
            <w:r w:rsidR="00FC0D76" w:rsidRPr="00CC170B">
              <w:rPr>
                <w:w w:val="95"/>
                <w:lang w:val="hu-HU"/>
              </w:rPr>
              <w:t>ám</w:t>
            </w:r>
            <w:r w:rsidR="0016519C" w:rsidRPr="00CC170B">
              <w:rPr>
                <w:w w:val="95"/>
                <w:lang w:val="hu-HU"/>
              </w:rPr>
              <w:t xml:space="preserve"> </w:t>
            </w:r>
            <w:r w:rsidR="00FC0D76" w:rsidRPr="00CC170B">
              <w:rPr>
                <w:lang w:val="hu-HU"/>
              </w:rPr>
              <w:t>&lt;50</w:t>
            </w:r>
            <w:r w:rsidR="0016519C" w:rsidRPr="00CC170B">
              <w:rPr>
                <w:lang w:val="hu-HU"/>
              </w:rPr>
              <w:t> </w:t>
            </w:r>
            <w:r w:rsidR="007E4976">
              <w:rPr>
                <w:lang w:val="hu-HU"/>
              </w:rPr>
              <w:t>G</w:t>
            </w:r>
            <w:r w:rsidR="00FC0D76" w:rsidRPr="00CC170B">
              <w:rPr>
                <w:lang w:val="hu-HU"/>
              </w:rPr>
              <w:t>/l</w:t>
            </w:r>
          </w:p>
        </w:tc>
        <w:tc>
          <w:tcPr>
            <w:tcW w:w="3999" w:type="dxa"/>
          </w:tcPr>
          <w:p w14:paraId="7C04DDDC" w14:textId="1B363007" w:rsidR="00FC0D76" w:rsidRPr="00CC170B" w:rsidRDefault="00FC0D76" w:rsidP="00F11735">
            <w:pPr>
              <w:pStyle w:val="Listaszerbekezds"/>
              <w:numPr>
                <w:ilvl w:val="0"/>
                <w:numId w:val="32"/>
              </w:numPr>
              <w:ind w:left="457" w:hanging="426"/>
              <w:rPr>
                <w:lang w:val="hu-HU"/>
              </w:rPr>
            </w:pPr>
            <w:r w:rsidRPr="00CC170B">
              <w:rPr>
                <w:lang w:val="hu-HU"/>
              </w:rPr>
              <w:t xml:space="preserve">Állítsa le </w:t>
            </w:r>
            <w:r w:rsidR="00F65A4E" w:rsidRPr="00CC170B">
              <w:rPr>
                <w:lang w:val="hu-HU"/>
              </w:rPr>
              <w:t xml:space="preserve">az </w:t>
            </w:r>
            <w:r w:rsidR="00F11735" w:rsidRPr="00CC170B">
              <w:rPr>
                <w:lang w:val="hu-HU"/>
              </w:rPr>
              <w:t>i</w:t>
            </w:r>
            <w:r w:rsidR="00D625A6" w:rsidRPr="00CC170B">
              <w:rPr>
                <w:lang w:val="hu-HU"/>
              </w:rPr>
              <w:t>matinib</w:t>
            </w:r>
            <w:r w:rsidRPr="00CC170B">
              <w:rPr>
                <w:lang w:val="hu-HU"/>
              </w:rPr>
              <w:t xml:space="preserve">-kezelést, amíg az ANC eléri a </w:t>
            </w:r>
            <w:r w:rsidRPr="00CC170B">
              <w:rPr>
                <w:rFonts w:ascii="Symbol" w:hAnsi="Symbol"/>
                <w:lang w:val="hu-HU"/>
              </w:rPr>
              <w:t></w:t>
            </w:r>
            <w:r w:rsidRPr="00CC170B">
              <w:rPr>
                <w:lang w:val="hu-HU"/>
              </w:rPr>
              <w:t>1,5</w:t>
            </w:r>
            <w:r w:rsidR="00F11735" w:rsidRPr="00CC170B">
              <w:rPr>
                <w:lang w:val="hu-HU"/>
              </w:rPr>
              <w:t> </w:t>
            </w:r>
            <w:r w:rsidR="007E4976">
              <w:rPr>
                <w:lang w:val="hu-HU"/>
              </w:rPr>
              <w:t>G</w:t>
            </w:r>
            <w:r w:rsidRPr="00CC170B">
              <w:rPr>
                <w:lang w:val="hu-HU"/>
              </w:rPr>
              <w:t xml:space="preserve">/l, a thrombocytaszám pedig a </w:t>
            </w:r>
            <w:r w:rsidRPr="00CC170B">
              <w:rPr>
                <w:rFonts w:ascii="Symbol" w:hAnsi="Symbol"/>
                <w:lang w:val="hu-HU"/>
              </w:rPr>
              <w:t></w:t>
            </w:r>
            <w:r w:rsidRPr="00CC170B">
              <w:rPr>
                <w:lang w:val="hu-HU"/>
              </w:rPr>
              <w:t>75</w:t>
            </w:r>
            <w:r w:rsidR="00F11735" w:rsidRPr="00CC170B">
              <w:rPr>
                <w:lang w:val="hu-HU"/>
              </w:rPr>
              <w:t> </w:t>
            </w:r>
            <w:r w:rsidR="007E4976">
              <w:rPr>
                <w:lang w:val="hu-HU"/>
              </w:rPr>
              <w:t>G</w:t>
            </w:r>
            <w:r w:rsidRPr="00CC170B">
              <w:rPr>
                <w:lang w:val="hu-HU"/>
              </w:rPr>
              <w:t>/l</w:t>
            </w:r>
            <w:r w:rsidRPr="00CC170B">
              <w:rPr>
                <w:spacing w:val="-2"/>
                <w:lang w:val="hu-HU"/>
              </w:rPr>
              <w:t xml:space="preserve"> </w:t>
            </w:r>
            <w:r w:rsidRPr="00CC170B">
              <w:rPr>
                <w:lang w:val="hu-HU"/>
              </w:rPr>
              <w:t>értéket.</w:t>
            </w:r>
          </w:p>
          <w:p w14:paraId="61C02C84" w14:textId="3C5DB407" w:rsidR="00FC0D76" w:rsidRPr="00CC170B" w:rsidRDefault="00FC0D76" w:rsidP="00F11735">
            <w:pPr>
              <w:pStyle w:val="Listaszerbekezds"/>
              <w:numPr>
                <w:ilvl w:val="0"/>
                <w:numId w:val="32"/>
              </w:numPr>
              <w:ind w:left="457" w:hanging="426"/>
              <w:rPr>
                <w:lang w:val="hu-HU"/>
              </w:rPr>
            </w:pPr>
            <w:r w:rsidRPr="00CC170B">
              <w:rPr>
                <w:lang w:val="hu-HU"/>
              </w:rPr>
              <w:t xml:space="preserve">Kezdje újra </w:t>
            </w:r>
            <w:r w:rsidR="00F65A4E" w:rsidRPr="00CC170B">
              <w:rPr>
                <w:lang w:val="hu-HU"/>
              </w:rPr>
              <w:t xml:space="preserve">az </w:t>
            </w:r>
            <w:r w:rsidR="00F11735" w:rsidRPr="00CC170B">
              <w:rPr>
                <w:lang w:val="hu-HU"/>
              </w:rPr>
              <w:t>i</w:t>
            </w:r>
            <w:r w:rsidR="00D625A6" w:rsidRPr="00CC170B">
              <w:rPr>
                <w:lang w:val="hu-HU"/>
              </w:rPr>
              <w:t>matinib</w:t>
            </w:r>
            <w:r w:rsidRPr="00CC170B">
              <w:rPr>
                <w:lang w:val="hu-HU"/>
              </w:rPr>
              <w:t>-kezelést 600 mg-os adaggal.</w:t>
            </w:r>
          </w:p>
          <w:p w14:paraId="14355978" w14:textId="1576169E" w:rsidR="00FC0D76" w:rsidRPr="00CC170B" w:rsidRDefault="00FC0D76" w:rsidP="00A41A27">
            <w:pPr>
              <w:pStyle w:val="Listaszerbekezds"/>
              <w:numPr>
                <w:ilvl w:val="0"/>
                <w:numId w:val="32"/>
              </w:numPr>
              <w:ind w:left="457" w:hanging="426"/>
              <w:rPr>
                <w:lang w:val="hu-HU"/>
              </w:rPr>
            </w:pPr>
            <w:r w:rsidRPr="00CC170B">
              <w:rPr>
                <w:lang w:val="hu-HU"/>
              </w:rPr>
              <w:t>Ha az ANC ismét &lt;1,0</w:t>
            </w:r>
            <w:r w:rsidR="007E4976">
              <w:rPr>
                <w:lang w:val="hu-HU"/>
              </w:rPr>
              <w:t> G</w:t>
            </w:r>
            <w:r w:rsidRPr="00CC170B">
              <w:rPr>
                <w:lang w:val="hu-HU"/>
              </w:rPr>
              <w:t>/l, és/vagy</w:t>
            </w:r>
            <w:r w:rsidRPr="00CC170B">
              <w:rPr>
                <w:spacing w:val="-11"/>
                <w:lang w:val="hu-HU"/>
              </w:rPr>
              <w:t xml:space="preserve"> </w:t>
            </w:r>
            <w:r w:rsidRPr="00CC170B">
              <w:rPr>
                <w:lang w:val="hu-HU"/>
              </w:rPr>
              <w:t>a thrombocytaszám ismét &lt;50</w:t>
            </w:r>
            <w:r w:rsidR="007E4976">
              <w:rPr>
                <w:lang w:val="hu-HU"/>
              </w:rPr>
              <w:t> G</w:t>
            </w:r>
            <w:r w:rsidRPr="00CC170B">
              <w:rPr>
                <w:lang w:val="hu-HU"/>
              </w:rPr>
              <w:t>/l,</w:t>
            </w:r>
            <w:r w:rsidRPr="00CC170B">
              <w:rPr>
                <w:spacing w:val="-3"/>
                <w:lang w:val="hu-HU"/>
              </w:rPr>
              <w:t xml:space="preserve"> </w:t>
            </w:r>
            <w:r w:rsidR="003E439F" w:rsidRPr="00CC170B">
              <w:rPr>
                <w:lang w:val="hu-HU"/>
              </w:rPr>
              <w:t>az 1.</w:t>
            </w:r>
            <w:r w:rsidR="007E4976">
              <w:rPr>
                <w:lang w:val="hu-HU"/>
              </w:rPr>
              <w:t> </w:t>
            </w:r>
            <w:r w:rsidR="003E439F" w:rsidRPr="00CC170B">
              <w:rPr>
                <w:lang w:val="hu-HU"/>
              </w:rPr>
              <w:t>lépés</w:t>
            </w:r>
            <w:r w:rsidR="007E4976">
              <w:rPr>
                <w:lang w:val="hu-HU"/>
              </w:rPr>
              <w:t xml:space="preserve"> szerint járjon el</w:t>
            </w:r>
            <w:r w:rsidRPr="00CC170B">
              <w:rPr>
                <w:lang w:val="hu-HU"/>
              </w:rPr>
              <w:t>, majd</w:t>
            </w:r>
            <w:r w:rsidRPr="00CC170B">
              <w:rPr>
                <w:spacing w:val="-4"/>
                <w:lang w:val="hu-HU"/>
              </w:rPr>
              <w:t xml:space="preserve"> </w:t>
            </w:r>
            <w:r w:rsidRPr="00CC170B">
              <w:rPr>
                <w:lang w:val="hu-HU"/>
              </w:rPr>
              <w:t>a</w:t>
            </w:r>
            <w:r w:rsidR="00A41A27" w:rsidRPr="00CC170B">
              <w:rPr>
                <w:lang w:val="hu-HU"/>
              </w:rPr>
              <w:t>z i</w:t>
            </w:r>
            <w:r w:rsidR="00D625A6" w:rsidRPr="00CC170B">
              <w:rPr>
                <w:lang w:val="hu-HU"/>
              </w:rPr>
              <w:t>matinib</w:t>
            </w:r>
            <w:r w:rsidRPr="00CC170B">
              <w:rPr>
                <w:lang w:val="hu-HU"/>
              </w:rPr>
              <w:t>-kezelést 400 mg-ra csökkentett adaggal kezdje újra.</w:t>
            </w:r>
          </w:p>
        </w:tc>
      </w:tr>
      <w:tr w:rsidR="00FC0D76" w:rsidRPr="00CC170B" w14:paraId="40F7A32D" w14:textId="77777777" w:rsidTr="00843D27">
        <w:trPr>
          <w:trHeight w:val="460"/>
        </w:trPr>
        <w:tc>
          <w:tcPr>
            <w:tcW w:w="9072" w:type="dxa"/>
            <w:gridSpan w:val="3"/>
            <w:tcBorders>
              <w:left w:val="single" w:sz="6" w:space="0" w:color="000000"/>
            </w:tcBorders>
          </w:tcPr>
          <w:p w14:paraId="2A11E05C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ANC = abszolút neutrophilszám</w:t>
            </w:r>
          </w:p>
          <w:p w14:paraId="0AD8F9E6" w14:textId="6F18EBB8" w:rsidR="00FC0D76" w:rsidRPr="00CC170B" w:rsidRDefault="00C47289" w:rsidP="00486ABB">
            <w:pPr>
              <w:rPr>
                <w:lang w:val="hu-HU"/>
              </w:rPr>
            </w:pPr>
            <w:r w:rsidRPr="00CC170B">
              <w:rPr>
                <w:vertAlign w:val="superscript"/>
                <w:lang w:val="hu-HU"/>
              </w:rPr>
              <w:t>a</w:t>
            </w:r>
            <w:r w:rsidRPr="00CC170B">
              <w:rPr>
                <w:lang w:val="hu-HU"/>
              </w:rPr>
              <w:t xml:space="preserve"> L</w:t>
            </w:r>
            <w:r w:rsidR="00FC0D76" w:rsidRPr="00CC170B">
              <w:rPr>
                <w:lang w:val="hu-HU"/>
              </w:rPr>
              <w:t>egalább egy</w:t>
            </w:r>
            <w:r w:rsidR="00F84372" w:rsidRPr="00CC170B">
              <w:rPr>
                <w:lang w:val="hu-HU"/>
              </w:rPr>
              <w:t xml:space="preserve"> </w:t>
            </w:r>
            <w:r w:rsidR="00645FEE" w:rsidRPr="00CC170B">
              <w:rPr>
                <w:lang w:val="hu-HU"/>
              </w:rPr>
              <w:t>hónap</w:t>
            </w:r>
            <w:r w:rsidR="00FC0D76" w:rsidRPr="00CC170B">
              <w:rPr>
                <w:lang w:val="hu-HU"/>
              </w:rPr>
              <w:t>os kezelés után</w:t>
            </w:r>
            <w:r w:rsidR="003E439F">
              <w:rPr>
                <w:lang w:val="hu-HU"/>
              </w:rPr>
              <w:t xml:space="preserve"> következik be.</w:t>
            </w:r>
          </w:p>
        </w:tc>
      </w:tr>
    </w:tbl>
    <w:p w14:paraId="773BDF25" w14:textId="77777777" w:rsidR="00FC0D76" w:rsidRPr="00CC170B" w:rsidRDefault="00FC0D76" w:rsidP="00FC0D76"/>
    <w:p w14:paraId="4EEC7A90" w14:textId="77777777" w:rsidR="00FC0D76" w:rsidRPr="00CC170B" w:rsidRDefault="00FC0D76" w:rsidP="00FC0D76">
      <w:r w:rsidRPr="00CC170B">
        <w:rPr>
          <w:u w:val="single"/>
        </w:rPr>
        <w:t>Különleges betegcsoportok</w:t>
      </w:r>
    </w:p>
    <w:p w14:paraId="6126C459" w14:textId="77777777" w:rsidR="00FC0D76" w:rsidRPr="00CC170B" w:rsidRDefault="00FC0D76" w:rsidP="00FC0D76"/>
    <w:p w14:paraId="27476299" w14:textId="77777777" w:rsidR="00FC0D76" w:rsidRPr="00CC170B" w:rsidRDefault="00FC0D76" w:rsidP="00FC0D76">
      <w:pPr>
        <w:rPr>
          <w:i/>
        </w:rPr>
      </w:pPr>
      <w:r w:rsidRPr="00CC170B">
        <w:rPr>
          <w:i/>
          <w:u w:val="single"/>
        </w:rPr>
        <w:t>Gyermekek és serdülők</w:t>
      </w:r>
    </w:p>
    <w:p w14:paraId="4EB1F601" w14:textId="77777777" w:rsidR="00A41A27" w:rsidRPr="00CC170B" w:rsidRDefault="00A41A27" w:rsidP="00FC0D76"/>
    <w:p w14:paraId="789E605E" w14:textId="16619D52" w:rsidR="00FC0D76" w:rsidRPr="00CC170B" w:rsidRDefault="00FC0D76" w:rsidP="00FC0D76">
      <w:r w:rsidRPr="00CC170B">
        <w:t>Két éves kor alatti, CML-ben szenvedő gyermekek és 1</w:t>
      </w:r>
      <w:r w:rsidR="00A41A27" w:rsidRPr="00CC170B">
        <w:t> </w:t>
      </w:r>
      <w:r w:rsidRPr="00CC170B">
        <w:t>éves kor alatti, Ph+ ALL-ben szenvedő gyermekek esetében nincs tapasztalat (lásd 5.1 pont). MDS/MPD-ben, DFSP-ben, GIST-ben, illetve HES/CEL-ben szenvedő gyermekek és serdülők esetében nagyon kevés tapasztalat áll rendelkezésre.</w:t>
      </w:r>
    </w:p>
    <w:p w14:paraId="3BD5FC34" w14:textId="77777777" w:rsidR="00FC0D76" w:rsidRPr="00CC170B" w:rsidRDefault="00FC0D76" w:rsidP="00FC0D76"/>
    <w:p w14:paraId="1B391FF3" w14:textId="27DA2538" w:rsidR="00FC0D76" w:rsidRPr="00CC170B" w:rsidRDefault="00FC0D76" w:rsidP="00FC0D76">
      <w:r w:rsidRPr="00CC170B">
        <w:t>Az imatinib biztonságosságát és hatásosságát MDS/MPD-ben, DFSP-ben, GIST-ben és HES/CEL-ben szenvedő, 18</w:t>
      </w:r>
      <w:r w:rsidR="00A41A27" w:rsidRPr="00CC170B">
        <w:t> </w:t>
      </w:r>
      <w:r w:rsidRPr="00CC170B">
        <w:t xml:space="preserve">évesnél fiatalabb gyermekek és serdülők esetében klinikai vizsgálatokban nem igazolták. A jelenleg rendelkezésre álló, publikált adatok összefoglalása az 5.1 pontban található, de </w:t>
      </w:r>
      <w:r w:rsidR="007E4976">
        <w:t xml:space="preserve">az </w:t>
      </w:r>
      <w:r w:rsidRPr="00CC170B">
        <w:t>adagolásra vonatkozóan nem adható ajánlás.</w:t>
      </w:r>
    </w:p>
    <w:p w14:paraId="798B6492" w14:textId="77777777" w:rsidR="00FC0D76" w:rsidRPr="00CC170B" w:rsidRDefault="00FC0D76" w:rsidP="00FC0D76"/>
    <w:p w14:paraId="739E3730" w14:textId="77777777" w:rsidR="00FC0D76" w:rsidRPr="00CC170B" w:rsidRDefault="00FC0D76" w:rsidP="00776A30">
      <w:pPr>
        <w:rPr>
          <w:i/>
        </w:rPr>
      </w:pPr>
      <w:r w:rsidRPr="00CC170B">
        <w:rPr>
          <w:i/>
          <w:u w:val="single"/>
        </w:rPr>
        <w:t>Májkárosodás</w:t>
      </w:r>
    </w:p>
    <w:p w14:paraId="422487AE" w14:textId="77777777" w:rsidR="00A41A27" w:rsidRPr="00CC170B" w:rsidRDefault="00A41A27" w:rsidP="00776A30"/>
    <w:p w14:paraId="17B819E9" w14:textId="542FA046" w:rsidR="00FC0D76" w:rsidRPr="00CC170B" w:rsidRDefault="00FC0D76" w:rsidP="00776A30">
      <w:r w:rsidRPr="00CC170B">
        <w:t>Az imatinib főként a májon keresztül metabolizálódik. Enyhe, közepesen súlyos vagy súlyos májkárosodásban szenvedő betegek esetében a legkisebb javasolt adag (napi 400 mg) alkalmazandó. Az adag csökkenthető, ha a beteg nem jól tolerálja (lásd 4.4, 4.8, és 5.2 pont).</w:t>
      </w:r>
    </w:p>
    <w:p w14:paraId="0CC6C1A9" w14:textId="77777777" w:rsidR="00FC0D76" w:rsidRPr="00CC170B" w:rsidRDefault="00FC0D76" w:rsidP="00776A30"/>
    <w:p w14:paraId="400024D8" w14:textId="77777777" w:rsidR="00FC0D76" w:rsidRPr="00CC170B" w:rsidRDefault="00FC0D76" w:rsidP="0088382A">
      <w:pPr>
        <w:keepNext/>
        <w:widowControl/>
      </w:pPr>
      <w:r w:rsidRPr="00CC170B">
        <w:lastRenderedPageBreak/>
        <w:t>A májkárosodás osztályozása:</w:t>
      </w:r>
    </w:p>
    <w:p w14:paraId="60925200" w14:textId="77777777" w:rsidR="00FC0D76" w:rsidRPr="00CC170B" w:rsidRDefault="00FC0D76" w:rsidP="0088382A">
      <w:pPr>
        <w:keepNext/>
        <w:widowControl/>
      </w:pP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2"/>
        <w:gridCol w:w="5310"/>
      </w:tblGrid>
      <w:tr w:rsidR="00FC0D76" w:rsidRPr="00CC170B" w14:paraId="186B408E" w14:textId="77777777" w:rsidTr="00A41A27">
        <w:trPr>
          <w:trHeight w:val="252"/>
        </w:trPr>
        <w:tc>
          <w:tcPr>
            <w:tcW w:w="3762" w:type="dxa"/>
          </w:tcPr>
          <w:p w14:paraId="6860BA8A" w14:textId="77777777" w:rsidR="00FC0D76" w:rsidRPr="00CC170B" w:rsidRDefault="00FC0D76" w:rsidP="0088382A">
            <w:pPr>
              <w:keepNext/>
              <w:widowControl/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Májkárosodás</w:t>
            </w:r>
          </w:p>
        </w:tc>
        <w:tc>
          <w:tcPr>
            <w:tcW w:w="5310" w:type="dxa"/>
          </w:tcPr>
          <w:p w14:paraId="61E13997" w14:textId="77777777" w:rsidR="00FC0D76" w:rsidRPr="00CC170B" w:rsidRDefault="00FC0D76" w:rsidP="0088382A">
            <w:pPr>
              <w:keepNext/>
              <w:widowControl/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Májfunkciós vizsgálatok</w:t>
            </w:r>
          </w:p>
        </w:tc>
      </w:tr>
      <w:tr w:rsidR="00FC0D76" w:rsidRPr="00CC170B" w14:paraId="6E7AA2BE" w14:textId="77777777" w:rsidTr="00A41A27">
        <w:trPr>
          <w:trHeight w:val="759"/>
        </w:trPr>
        <w:tc>
          <w:tcPr>
            <w:tcW w:w="3762" w:type="dxa"/>
          </w:tcPr>
          <w:p w14:paraId="6598543C" w14:textId="77777777" w:rsidR="00FC0D76" w:rsidRPr="00CC170B" w:rsidRDefault="00FC0D76" w:rsidP="0088382A">
            <w:pPr>
              <w:keepNext/>
              <w:widowControl/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Enyhe</w:t>
            </w:r>
          </w:p>
        </w:tc>
        <w:tc>
          <w:tcPr>
            <w:tcW w:w="5310" w:type="dxa"/>
          </w:tcPr>
          <w:p w14:paraId="1FE47B08" w14:textId="6E4E720E" w:rsidR="00FC0D76" w:rsidRPr="00CC170B" w:rsidRDefault="00FC0D76" w:rsidP="0088382A">
            <w:pPr>
              <w:keepNext/>
              <w:widowControl/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Összbilirubin: = 1,5×</w:t>
            </w:r>
            <w:r w:rsidR="0068439E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ULN</w:t>
            </w:r>
          </w:p>
          <w:p w14:paraId="02A4270C" w14:textId="5D4E2817" w:rsidR="00FC0D76" w:rsidRPr="00CC170B" w:rsidRDefault="00FC0D76" w:rsidP="0088382A">
            <w:pPr>
              <w:keepNext/>
              <w:widowControl/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GOT: &gt;</w:t>
            </w:r>
            <w:r w:rsidR="0068439E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ULN (lehet normális vagy &lt;</w:t>
            </w:r>
            <w:r w:rsidR="0068439E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ULN, ha az összbilirubin</w:t>
            </w:r>
            <w:r w:rsidR="0068439E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&gt;</w:t>
            </w:r>
            <w:r w:rsidR="0068439E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ULN)</w:t>
            </w:r>
          </w:p>
        </w:tc>
      </w:tr>
      <w:tr w:rsidR="00FC0D76" w:rsidRPr="00CC170B" w14:paraId="49AF4420" w14:textId="77777777" w:rsidTr="00A41A27">
        <w:trPr>
          <w:trHeight w:val="506"/>
        </w:trPr>
        <w:tc>
          <w:tcPr>
            <w:tcW w:w="3762" w:type="dxa"/>
          </w:tcPr>
          <w:p w14:paraId="71C23361" w14:textId="77777777" w:rsidR="00FC0D76" w:rsidRPr="00CC170B" w:rsidRDefault="00FC0D76" w:rsidP="0088382A">
            <w:pPr>
              <w:keepNext/>
              <w:widowControl/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Közepesen súlyos</w:t>
            </w:r>
          </w:p>
        </w:tc>
        <w:tc>
          <w:tcPr>
            <w:tcW w:w="5310" w:type="dxa"/>
          </w:tcPr>
          <w:p w14:paraId="6981D586" w14:textId="3CF24EE9" w:rsidR="0068439E" w:rsidRPr="00CC170B" w:rsidRDefault="00FC0D76" w:rsidP="0088382A">
            <w:pPr>
              <w:keepNext/>
              <w:widowControl/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Összbilirubin: &gt;</w:t>
            </w:r>
            <w:r w:rsidR="0068439E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1,5–3,0×</w:t>
            </w:r>
            <w:r w:rsidR="0068439E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ULN</w:t>
            </w:r>
          </w:p>
          <w:p w14:paraId="423A17C9" w14:textId="3A304989" w:rsidR="00FC0D76" w:rsidRPr="00CC170B" w:rsidRDefault="00FC0D76" w:rsidP="0088382A">
            <w:pPr>
              <w:keepNext/>
              <w:widowControl/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GOT: bármilyen érték</w:t>
            </w:r>
          </w:p>
        </w:tc>
      </w:tr>
      <w:tr w:rsidR="00FC0D76" w:rsidRPr="00CC170B" w14:paraId="6CC49DD1" w14:textId="77777777" w:rsidTr="00A41A27">
        <w:trPr>
          <w:trHeight w:val="502"/>
        </w:trPr>
        <w:tc>
          <w:tcPr>
            <w:tcW w:w="3762" w:type="dxa"/>
          </w:tcPr>
          <w:p w14:paraId="63D54BC0" w14:textId="77777777" w:rsidR="00FC0D76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Súlyos</w:t>
            </w:r>
          </w:p>
        </w:tc>
        <w:tc>
          <w:tcPr>
            <w:tcW w:w="5310" w:type="dxa"/>
          </w:tcPr>
          <w:p w14:paraId="08C7F393" w14:textId="36CA09A0" w:rsidR="00FC0D76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Összbilirubin: &gt;</w:t>
            </w:r>
            <w:r w:rsidR="0068439E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3–10×</w:t>
            </w:r>
            <w:r w:rsidR="0068439E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ULN</w:t>
            </w:r>
          </w:p>
          <w:p w14:paraId="79D7F450" w14:textId="77777777" w:rsidR="00FC0D76" w:rsidRPr="00CC170B" w:rsidRDefault="00FC0D76" w:rsidP="00EA012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GOT: bármilyen érték</w:t>
            </w:r>
          </w:p>
        </w:tc>
      </w:tr>
      <w:tr w:rsidR="00FC0D76" w:rsidRPr="00CC170B" w14:paraId="05A0625E" w14:textId="77777777" w:rsidTr="00A41A27">
        <w:trPr>
          <w:trHeight w:val="460"/>
        </w:trPr>
        <w:tc>
          <w:tcPr>
            <w:tcW w:w="9072" w:type="dxa"/>
            <w:gridSpan w:val="2"/>
          </w:tcPr>
          <w:p w14:paraId="4DE74566" w14:textId="77777777" w:rsidR="00FC0D76" w:rsidRPr="00CC170B" w:rsidRDefault="00FC0D76" w:rsidP="00FF12A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ULN = az adott intézményben alkalmazott normálérték felső határa</w:t>
            </w:r>
          </w:p>
          <w:p w14:paraId="3C5E383D" w14:textId="77777777" w:rsidR="00FC0D76" w:rsidRPr="00CC170B" w:rsidRDefault="00FC0D76" w:rsidP="00FF12A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GOT = glutamát-oxálacetát-transzamináz</w:t>
            </w:r>
          </w:p>
        </w:tc>
      </w:tr>
    </w:tbl>
    <w:p w14:paraId="05722A45" w14:textId="77777777" w:rsidR="0068439E" w:rsidRPr="00CC170B" w:rsidRDefault="0068439E" w:rsidP="00FC0D76">
      <w:pPr>
        <w:rPr>
          <w:iCs/>
        </w:rPr>
      </w:pPr>
    </w:p>
    <w:p w14:paraId="5D9852D5" w14:textId="4EED6CC2" w:rsidR="00FC0D76" w:rsidRPr="00CC170B" w:rsidRDefault="00FC0D76" w:rsidP="00FC0D76">
      <w:pPr>
        <w:rPr>
          <w:i/>
        </w:rPr>
      </w:pPr>
      <w:r w:rsidRPr="00CC170B">
        <w:rPr>
          <w:i/>
          <w:u w:val="single"/>
        </w:rPr>
        <w:t>Vesekárosodás</w:t>
      </w:r>
    </w:p>
    <w:p w14:paraId="40CFC2A1" w14:textId="77777777" w:rsidR="0068439E" w:rsidRPr="00CC170B" w:rsidRDefault="0068439E" w:rsidP="00FC0D76"/>
    <w:p w14:paraId="37AE9B35" w14:textId="07CC39BD" w:rsidR="00FC0D76" w:rsidRPr="00CC170B" w:rsidRDefault="00FC0D76" w:rsidP="00FC0D76">
      <w:r w:rsidRPr="00CC170B">
        <w:t>A vesekárosodásban szenvedő vagy dializált betegek kezelését a legkisebb ajánlott kezdő adaggal (400 mg) kell megkezdeni. Ezeknél a betegeknél azonban fokozott óvatosság ajánlott. Az adag csökkenthető, ha a beteg nem jól tolerálja. Ha a beteg tolerálja, hatástalanság esetén az adag emelhető (lásd 4.4 és 5.2 pont).</w:t>
      </w:r>
    </w:p>
    <w:p w14:paraId="40851453" w14:textId="77777777" w:rsidR="00FC0D76" w:rsidRPr="00CC170B" w:rsidRDefault="00FC0D76" w:rsidP="00FC0D76"/>
    <w:p w14:paraId="4C698659" w14:textId="77777777" w:rsidR="00FC0D76" w:rsidRPr="00CC170B" w:rsidRDefault="00FC0D76" w:rsidP="00FC0D76">
      <w:pPr>
        <w:rPr>
          <w:i/>
        </w:rPr>
      </w:pPr>
      <w:r w:rsidRPr="00CC170B">
        <w:rPr>
          <w:spacing w:val="-55"/>
          <w:w w:val="99"/>
          <w:u w:val="single"/>
        </w:rPr>
        <w:t xml:space="preserve"> </w:t>
      </w:r>
      <w:r w:rsidRPr="00CC170B">
        <w:rPr>
          <w:i/>
          <w:u w:val="single"/>
        </w:rPr>
        <w:t>Idősek</w:t>
      </w:r>
    </w:p>
    <w:p w14:paraId="77B5AF6B" w14:textId="77777777" w:rsidR="0068439E" w:rsidRPr="00CC170B" w:rsidRDefault="0068439E" w:rsidP="00FC0D76"/>
    <w:p w14:paraId="38FD5E75" w14:textId="4857ED0A" w:rsidR="00FC0D76" w:rsidRPr="00CC170B" w:rsidRDefault="00FC0D76" w:rsidP="00FC0D76">
      <w:r w:rsidRPr="00CC170B">
        <w:t>Időseknél nem végeztek specifikus vizsgálatokat az imatinib farmakokinetikájára vonatkozóan. Felnőtt</w:t>
      </w:r>
      <w:r w:rsidR="0068439E" w:rsidRPr="00CC170B">
        <w:t xml:space="preserve"> </w:t>
      </w:r>
      <w:r w:rsidRPr="00CC170B">
        <w:t>betegek bevonásával végzett klinikai vizsgálatokban, amelyekben a résztvevők több mint 20%-a 65</w:t>
      </w:r>
      <w:r w:rsidR="0068439E" w:rsidRPr="00CC170B">
        <w:t> </w:t>
      </w:r>
      <w:r w:rsidRPr="00CC170B">
        <w:t xml:space="preserve">éves vagy ennél idősebb volt, nem tapasztaltak jelentős, </w:t>
      </w:r>
      <w:r w:rsidR="007E4976">
        <w:t>élet</w:t>
      </w:r>
      <w:r w:rsidRPr="00CC170B">
        <w:t xml:space="preserve">korhoz köthető farmakokinetikai különbségeket. </w:t>
      </w:r>
      <w:r w:rsidR="00560D9E">
        <w:t>I</w:t>
      </w:r>
      <w:r w:rsidR="00560D9E" w:rsidRPr="00CC170B">
        <w:t>dős</w:t>
      </w:r>
      <w:r w:rsidR="00560D9E">
        <w:t>eknél n</w:t>
      </w:r>
      <w:r w:rsidRPr="00CC170B">
        <w:t>em szükséges specifikus dózismódosítás.</w:t>
      </w:r>
    </w:p>
    <w:p w14:paraId="6B1D7CE0" w14:textId="77777777" w:rsidR="00FC0D76" w:rsidRPr="00CC170B" w:rsidRDefault="00FC0D76" w:rsidP="00FC0D76"/>
    <w:p w14:paraId="654C9D6D" w14:textId="35014AAB" w:rsidR="00FC0D76" w:rsidRPr="00CC170B" w:rsidRDefault="0068439E" w:rsidP="0068439E">
      <w:pPr>
        <w:tabs>
          <w:tab w:val="left" w:pos="567"/>
        </w:tabs>
        <w:rPr>
          <w:b/>
          <w:bCs/>
        </w:rPr>
      </w:pPr>
      <w:r w:rsidRPr="00CC170B">
        <w:rPr>
          <w:b/>
          <w:bCs/>
        </w:rPr>
        <w:t>4.3</w:t>
      </w:r>
      <w:r w:rsidRPr="00CC170B">
        <w:rPr>
          <w:b/>
          <w:bCs/>
        </w:rPr>
        <w:tab/>
      </w:r>
      <w:r w:rsidR="00FC0D76" w:rsidRPr="00CC170B">
        <w:rPr>
          <w:b/>
          <w:bCs/>
        </w:rPr>
        <w:t>Ellenjavallatok</w:t>
      </w:r>
    </w:p>
    <w:p w14:paraId="474048C5" w14:textId="77777777" w:rsidR="00FC0D76" w:rsidRPr="00CC170B" w:rsidRDefault="00FC0D76" w:rsidP="00FC0D76">
      <w:pPr>
        <w:rPr>
          <w:bCs/>
        </w:rPr>
      </w:pPr>
    </w:p>
    <w:p w14:paraId="0834962C" w14:textId="77777777" w:rsidR="00FC0D76" w:rsidRPr="00CC170B" w:rsidRDefault="00FC0D76" w:rsidP="00FC0D76">
      <w:r w:rsidRPr="00CC170B">
        <w:t>A készítmény hatóanyagával vagy a 6.1 pontban felsorolt bármely segédanyagával szembeni túlérzékenység.</w:t>
      </w:r>
    </w:p>
    <w:p w14:paraId="6471B8F9" w14:textId="77777777" w:rsidR="00FC0D76" w:rsidRPr="00CC170B" w:rsidRDefault="00FC0D76" w:rsidP="00FC0D76"/>
    <w:p w14:paraId="79D221FD" w14:textId="169F39E6" w:rsidR="00FC0D76" w:rsidRPr="00CC170B" w:rsidRDefault="0068439E" w:rsidP="0068439E">
      <w:pPr>
        <w:tabs>
          <w:tab w:val="left" w:pos="567"/>
        </w:tabs>
        <w:rPr>
          <w:b/>
          <w:bCs/>
        </w:rPr>
      </w:pPr>
      <w:r w:rsidRPr="00CC170B">
        <w:rPr>
          <w:b/>
          <w:bCs/>
        </w:rPr>
        <w:t>4.4</w:t>
      </w:r>
      <w:r w:rsidRPr="00CC170B">
        <w:rPr>
          <w:b/>
          <w:bCs/>
        </w:rPr>
        <w:tab/>
      </w:r>
      <w:r w:rsidR="00FC0D76" w:rsidRPr="00CC170B">
        <w:rPr>
          <w:b/>
          <w:bCs/>
        </w:rPr>
        <w:t>Különleges figyelmeztetések és az alkalmazással kapcsolatos</w:t>
      </w:r>
      <w:r w:rsidR="00FC0D76" w:rsidRPr="00CC170B">
        <w:rPr>
          <w:b/>
          <w:bCs/>
          <w:spacing w:val="-8"/>
        </w:rPr>
        <w:t xml:space="preserve"> </w:t>
      </w:r>
      <w:r w:rsidR="00FC0D76" w:rsidRPr="00CC170B">
        <w:rPr>
          <w:b/>
          <w:bCs/>
        </w:rPr>
        <w:t>óvintézkedések</w:t>
      </w:r>
    </w:p>
    <w:p w14:paraId="0D6ED894" w14:textId="77777777" w:rsidR="00FC0D76" w:rsidRPr="00CC170B" w:rsidRDefault="00FC0D76" w:rsidP="00FC0D76">
      <w:pPr>
        <w:rPr>
          <w:bCs/>
        </w:rPr>
      </w:pPr>
    </w:p>
    <w:p w14:paraId="70776E5E" w14:textId="11C8181A" w:rsidR="00FC0D76" w:rsidRPr="00CC170B" w:rsidRDefault="00FC0D76" w:rsidP="00FC0D76">
      <w:r w:rsidRPr="00CC170B">
        <w:t xml:space="preserve">Ha </w:t>
      </w:r>
      <w:r w:rsidR="00F65A4E" w:rsidRPr="00CC170B">
        <w:t xml:space="preserve">az </w:t>
      </w:r>
      <w:r w:rsidR="0023347C" w:rsidRPr="00CC170B">
        <w:t>i</w:t>
      </w:r>
      <w:r w:rsidR="00D07FC6" w:rsidRPr="00CC170B">
        <w:t>matinib</w:t>
      </w:r>
      <w:r w:rsidR="0023347C" w:rsidRPr="00CC170B">
        <w:t>et</w:t>
      </w:r>
      <w:r w:rsidRPr="00CC170B">
        <w:t xml:space="preserve"> egyéb gyógyszerekkel adják egyidejűleg, számolni kell a gyógyszerkölcsönhatás kialakulásának lehetőségével. Elővigyázatosság szükséges, ha </w:t>
      </w:r>
      <w:r w:rsidR="00F65A4E" w:rsidRPr="00CC170B">
        <w:t xml:space="preserve">az </w:t>
      </w:r>
      <w:r w:rsidR="0023347C" w:rsidRPr="00CC170B">
        <w:t>imatinib</w:t>
      </w:r>
      <w:r w:rsidRPr="00CC170B">
        <w:t xml:space="preserve">et proteáz-inhibitorral, azol típusú gombaellenes gyógyszerrel, egyes makrolidokkal (lásd 4.5 pont), szűk terápiás ablakú CYP3A4-szubsztráttal (pl. ciklosporin, pimozid, takrolimusz, szirolimusz, ergotamin, diergotamin, fentanil, alfentanil, terfenadin, bortezomib, docetaxel, kinidin) vagy warfarinnal, illetve egyéb kumarinszármazékkal együtt </w:t>
      </w:r>
      <w:r w:rsidR="00EB57C7">
        <w:t>alkalmazzák</w:t>
      </w:r>
      <w:r w:rsidRPr="00CC170B">
        <w:t xml:space="preserve"> (lásd 4.5 pont).</w:t>
      </w:r>
    </w:p>
    <w:p w14:paraId="30D20CBA" w14:textId="77777777" w:rsidR="00FC0D76" w:rsidRPr="00CC170B" w:rsidRDefault="00FC0D76" w:rsidP="00FC0D76"/>
    <w:p w14:paraId="053F09B9" w14:textId="6A560145" w:rsidR="00FC0D76" w:rsidRPr="00CC170B" w:rsidRDefault="00FC0D76" w:rsidP="00FC0D76">
      <w:r w:rsidRPr="00CC170B">
        <w:t xml:space="preserve">Az imatinib és a CYP3A4-et indukáló gyógyszerek (pl. dexametazon, fenitoin, karbamazepin, rifampicin, fenobarbitál, vagy </w:t>
      </w:r>
      <w:r w:rsidRPr="00CC170B">
        <w:rPr>
          <w:i/>
        </w:rPr>
        <w:t xml:space="preserve">Hypericum perforatum, </w:t>
      </w:r>
      <w:r w:rsidRPr="00CC170B">
        <w:t>más</w:t>
      </w:r>
      <w:r w:rsidR="00EA64E3">
        <w:t xml:space="preserve"> </w:t>
      </w:r>
      <w:r w:rsidRPr="00CC170B">
        <w:t xml:space="preserve">néven közönséges orbáncfű) egyidejű alkalmazásakor jelentősen csökkenhet </w:t>
      </w:r>
      <w:r w:rsidR="00F65A4E" w:rsidRPr="00CC170B">
        <w:t xml:space="preserve">az </w:t>
      </w:r>
      <w:r w:rsidR="0023347C" w:rsidRPr="00CC170B">
        <w:t>imatinib</w:t>
      </w:r>
      <w:r w:rsidRPr="00CC170B">
        <w:t>-expozíció, potenciálisan fokozva a terápiás sikertelenség kockázatát. Ezért kerülni kell az erős CYP3A4-induktorok és imatinib együttadását (lásd 4.5 pont).</w:t>
      </w:r>
    </w:p>
    <w:p w14:paraId="5E64C2FD" w14:textId="77777777" w:rsidR="00FC0D76" w:rsidRPr="00CC170B" w:rsidRDefault="00FC0D76" w:rsidP="00FC0D76"/>
    <w:p w14:paraId="5A995A5F" w14:textId="77777777" w:rsidR="00FC0D76" w:rsidRPr="00CC170B" w:rsidRDefault="00FC0D76" w:rsidP="00FC0D76">
      <w:r w:rsidRPr="00CC170B">
        <w:rPr>
          <w:u w:val="single"/>
        </w:rPr>
        <w:t>Hypothyreosis</w:t>
      </w:r>
    </w:p>
    <w:p w14:paraId="482CCF05" w14:textId="77777777" w:rsidR="00FC0D76" w:rsidRPr="00CC170B" w:rsidRDefault="00FC0D76" w:rsidP="00FC0D76"/>
    <w:p w14:paraId="7A0ECADB" w14:textId="1AB8A483" w:rsidR="00FC0D76" w:rsidRPr="00CC170B" w:rsidRDefault="00FC0D76" w:rsidP="00FC0D76">
      <w:r w:rsidRPr="00CC170B">
        <w:t xml:space="preserve">Thyreoidectomián átesett, levotiroxin-pótlás alatt álló betegek </w:t>
      </w:r>
      <w:r w:rsidR="0023347C" w:rsidRPr="00CC170B">
        <w:t>imatinib</w:t>
      </w:r>
      <w:r w:rsidRPr="00CC170B">
        <w:t>-kezelése során beszámoltak a hypothyreosis klinikai tüneteivel járó esetekről (lásd 4.5 pont). Ebben a betegcsoportban a pajzsmirigyserkentő hormon (TSH) szintjét szorosan ellenőrizni kell.</w:t>
      </w:r>
    </w:p>
    <w:p w14:paraId="24891DCF" w14:textId="77777777" w:rsidR="00FC0D76" w:rsidRPr="00CC170B" w:rsidRDefault="00FC0D76" w:rsidP="00FC0D76"/>
    <w:p w14:paraId="3B49578E" w14:textId="77777777" w:rsidR="00FC0D76" w:rsidRPr="00CC170B" w:rsidRDefault="00FC0D76" w:rsidP="00FC0D76">
      <w:r w:rsidRPr="00CC170B">
        <w:rPr>
          <w:u w:val="single"/>
        </w:rPr>
        <w:t>Hepatotoxicitás</w:t>
      </w:r>
    </w:p>
    <w:p w14:paraId="07B0B5C3" w14:textId="77777777" w:rsidR="00FC0D76" w:rsidRPr="00CC170B" w:rsidRDefault="00FC0D76" w:rsidP="00FC0D76"/>
    <w:p w14:paraId="21399EC8" w14:textId="7FE015D0" w:rsidR="00FC0D76" w:rsidRPr="00CC170B" w:rsidRDefault="00430469" w:rsidP="00FC0D76">
      <w:r w:rsidRPr="00CC170B">
        <w:t xml:space="preserve">Az </w:t>
      </w:r>
      <w:r w:rsidR="0023347C" w:rsidRPr="00CC170B">
        <w:t xml:space="preserve">imatinib </w:t>
      </w:r>
      <w:r w:rsidR="00FC0D76" w:rsidRPr="00CC170B">
        <w:t xml:space="preserve">főként a májon keresztül metabolizálódik, csak 13%-a ürül a vesén keresztül. Enyhe, közepesen súlyos vagy súlyos májkárosodásban szenvedő betegeknél a perifériás vérképet és a </w:t>
      </w:r>
      <w:r w:rsidR="00FC0D76" w:rsidRPr="00CC170B">
        <w:lastRenderedPageBreak/>
        <w:t>májenzimszinteket gondosan monitorozni kell (lásd 4.2, 4.8 és 5.2 pont). Megjegyzendő, hogy GIST</w:t>
      </w:r>
      <w:r w:rsidR="0023347C" w:rsidRPr="00CC170B">
        <w:noBreakHyphen/>
      </w:r>
      <w:r w:rsidR="00FC0D76" w:rsidRPr="00CC170B">
        <w:t>es betegekn</w:t>
      </w:r>
      <w:r w:rsidR="0088382A" w:rsidRPr="00CC170B">
        <w:t>ek</w:t>
      </w:r>
      <w:r w:rsidR="00FC0D76" w:rsidRPr="00CC170B">
        <w:t xml:space="preserve"> májmetasztázis</w:t>
      </w:r>
      <w:r w:rsidR="0088382A" w:rsidRPr="00CC170B">
        <w:t>uk</w:t>
      </w:r>
      <w:r w:rsidR="00FC0D76" w:rsidRPr="00CC170B">
        <w:t xml:space="preserve"> is lehet, ami máj</w:t>
      </w:r>
      <w:r w:rsidR="00EA64E3">
        <w:t>károsodáshoz</w:t>
      </w:r>
      <w:r w:rsidR="00FC0D76" w:rsidRPr="00CC170B">
        <w:t xml:space="preserve"> vezethet.</w:t>
      </w:r>
    </w:p>
    <w:p w14:paraId="3A8D2730" w14:textId="77777777" w:rsidR="00FC0D76" w:rsidRPr="00CC170B" w:rsidRDefault="00FC0D76" w:rsidP="00FC0D76"/>
    <w:p w14:paraId="54252FAF" w14:textId="77777777" w:rsidR="00FC0D76" w:rsidRPr="00CC170B" w:rsidRDefault="00FC0D76" w:rsidP="00FC0D76">
      <w:r w:rsidRPr="00CC170B">
        <w:t>Májkárosodás eseteit – beleértve a májelégtelenséget és a májnekrózist – figyelték meg az imatinib alkalmazása mellett. Ha az imatinibet nagy dózisú kemoterápiás protokollal kombinációban alkalmazzák, a súlyos májreakciók gyakoriságának növekedését figyelték meg. A májfunkciót gondosan ellenőrizni kell, ha az imatinibet olyan kemoterápiás protokollal alkalmazzák kombinációban, amely ismerten a májfunkció zavaraival járhat (lásd 4.5 és 4.8 pont).</w:t>
      </w:r>
    </w:p>
    <w:p w14:paraId="31A31ED9" w14:textId="77777777" w:rsidR="00FC0D76" w:rsidRPr="00CC170B" w:rsidRDefault="00FC0D76" w:rsidP="00FC0D76"/>
    <w:p w14:paraId="59E32F3E" w14:textId="77777777" w:rsidR="00FC0D76" w:rsidRPr="00CC170B" w:rsidRDefault="00FC0D76" w:rsidP="00FC0D76">
      <w:r w:rsidRPr="00CC170B">
        <w:rPr>
          <w:u w:val="single"/>
        </w:rPr>
        <w:t>Folyadékretenció</w:t>
      </w:r>
    </w:p>
    <w:p w14:paraId="7B983124" w14:textId="77777777" w:rsidR="00FC0D76" w:rsidRPr="00CC170B" w:rsidRDefault="00FC0D76" w:rsidP="00FC0D76"/>
    <w:p w14:paraId="1FC6590C" w14:textId="1783634C" w:rsidR="00FC0D76" w:rsidRPr="00CC170B" w:rsidRDefault="00FC0D76" w:rsidP="00FC0D76">
      <w:r w:rsidRPr="00CC170B">
        <w:t xml:space="preserve">Súlyos folyadékretencióról (pleuralis folyadék, ödéma, tüdőödéma, ascites, felületes ödéma) </w:t>
      </w:r>
      <w:r w:rsidR="00F65A4E" w:rsidRPr="00CC170B">
        <w:t xml:space="preserve">az </w:t>
      </w:r>
      <w:r w:rsidR="00DE0F37" w:rsidRPr="00CC170B">
        <w:t>imatinib</w:t>
      </w:r>
      <w:r w:rsidRPr="00CC170B">
        <w:t>et szedő</w:t>
      </w:r>
      <w:r w:rsidR="00DE0F37" w:rsidRPr="00CC170B">
        <w:t>,</w:t>
      </w:r>
      <w:r w:rsidRPr="00CC170B">
        <w:t xml:space="preserve"> újonnan diagnosztizált CML-es betegek mintegy 2,5%-ánál számoltak be. Ezért kifejezetten javasolt a betegek testtömegének rendszeres ellenőrzése. A váratlan, gyors testtömeg-gyarapodást gondosan ki kell vizsgálni, és amennyiben szükséges, mérlegelni kell a</w:t>
      </w:r>
      <w:r w:rsidR="00DE0F37" w:rsidRPr="00CC170B">
        <w:t xml:space="preserve"> </w:t>
      </w:r>
      <w:r w:rsidRPr="00CC170B">
        <w:t>megfelelő szupportív kezelés és terápiás beavatkozás elkezdését. Klinikai vizsgálatokban ezen tünetek incidenciája nagyobb volt az idősebb betegeknél, illetve azoknál, akiknek az anamnézisében szívbetegség szerepelt. Ezért szívbetegeknél elővigyázatosság szükséges.</w:t>
      </w:r>
    </w:p>
    <w:p w14:paraId="1752D776" w14:textId="77777777" w:rsidR="00FC0D76" w:rsidRPr="00CC170B" w:rsidRDefault="00FC0D76" w:rsidP="00FC0D76"/>
    <w:p w14:paraId="602082E3" w14:textId="77777777" w:rsidR="00FC0D76" w:rsidRPr="00CC170B" w:rsidRDefault="00FC0D76" w:rsidP="00FC0D76">
      <w:r w:rsidRPr="00CC170B">
        <w:rPr>
          <w:u w:val="single"/>
        </w:rPr>
        <w:t>Szívbetegségben szenvedő betegek</w:t>
      </w:r>
    </w:p>
    <w:p w14:paraId="5A4A2112" w14:textId="77777777" w:rsidR="00FC0D76" w:rsidRPr="00CC170B" w:rsidRDefault="00FC0D76" w:rsidP="00FC0D76"/>
    <w:p w14:paraId="68E38AE0" w14:textId="77777777" w:rsidR="00FC0D76" w:rsidRPr="00CC170B" w:rsidRDefault="00FC0D76" w:rsidP="00FC0D76">
      <w:r w:rsidRPr="00CC170B">
        <w:t>Szívbetegség, a szívelégtelenség kockázati tényezőinek fennállása vagy korábban fennálló veseelégtelenség esetén a betegek gondos monitorozására van szükség. A szív- vagy veseelégtelenség tüneteit mutató betegeket ki kell vizsgálni és ennek megfelelően kell kezelni.</w:t>
      </w:r>
    </w:p>
    <w:p w14:paraId="7C539D52" w14:textId="77777777" w:rsidR="00FC0D76" w:rsidRPr="00CC170B" w:rsidRDefault="00FC0D76" w:rsidP="00FC0D76"/>
    <w:p w14:paraId="2EC74CD9" w14:textId="52B1D2D5" w:rsidR="00FC0D76" w:rsidRPr="00CC170B" w:rsidRDefault="00FC0D76" w:rsidP="00FC0D76">
      <w:r w:rsidRPr="00CC170B">
        <w:t xml:space="preserve">A HES-sejtek szívizomba történő okkult infiltrációjával járó hypereosinophilia szindrómás (HES) betegeknél izolált esetekben fellépő kardiogén sokk / balkamra-dysfunctio összefüggésben </w:t>
      </w:r>
      <w:r w:rsidR="00882F61">
        <w:t>állt</w:t>
      </w:r>
      <w:r w:rsidRPr="00CC170B">
        <w:t xml:space="preserve"> az imatinib-kezelés megkezdésekor fellépő HES-sejt-degranulációval. A jelentések szerint a kórállapot szisztémás szteroid adására, keringéstámogatásra és az imatinib-kezelés átmeneti felfüggesztésére reverzibilisnek bizonyult. Mivel az imatinib alkalmazása kapcsán nem gyakran cardialis mellékhatásokat jelentettek, ezért a HES/CEL-ben szenvedő betegek esetében az imatinib-kezelés megkezdése előtt </w:t>
      </w:r>
      <w:r w:rsidR="00DB36F7">
        <w:t>meg kell fontolni</w:t>
      </w:r>
      <w:r w:rsidRPr="00CC170B">
        <w:t xml:space="preserve"> az előny/kockázat arány gondos értékelését.</w:t>
      </w:r>
    </w:p>
    <w:p w14:paraId="2EDBF6A0" w14:textId="77777777" w:rsidR="00FC0D76" w:rsidRPr="00CC170B" w:rsidRDefault="00FC0D76" w:rsidP="00FC0D76"/>
    <w:p w14:paraId="281703D4" w14:textId="20437B9B" w:rsidR="00FC0D76" w:rsidRPr="00CC170B" w:rsidRDefault="00FC0D76" w:rsidP="00FC0D76">
      <w:r w:rsidRPr="00CC170B">
        <w:t>A PDGFR-génátrendeződéssel társuló myelodysplasiás/myeloproliferativ kórképek magas eosinophilszámmal járhatnak. Ennek megfelelően HES/CEL, illetve MDS/MPD miatt kezelt betegek esetében magas eosinophilszám esetén az imatinib-kezelés megkezdése előtt megfontolandó a kardiológiai kivizsgálás, echokardiográfia elvégzése és a szérumtroponinszint meghatározása.</w:t>
      </w:r>
      <w:r w:rsidR="00DE0F37" w:rsidRPr="00CC170B">
        <w:t xml:space="preserve"> </w:t>
      </w:r>
      <w:r w:rsidRPr="00CC170B">
        <w:t>Amennyiben ezek bármelyike kóros, megfontolandó kardiológiai ellenőrző vizsgálatok elvégzése, valamint szisztémás szteroid (1-2 mg/ttkg) 1-2</w:t>
      </w:r>
      <w:r w:rsidR="00DE0F37" w:rsidRPr="00CC170B">
        <w:t> </w:t>
      </w:r>
      <w:r w:rsidRPr="00CC170B">
        <w:t>hétig tartó</w:t>
      </w:r>
      <w:r w:rsidR="00882F61">
        <w:t>,</w:t>
      </w:r>
      <w:r w:rsidRPr="00CC170B">
        <w:t xml:space="preserve"> </w:t>
      </w:r>
      <w:r w:rsidR="00882F61" w:rsidRPr="00CC170B">
        <w:t xml:space="preserve">profilaktikus </w:t>
      </w:r>
      <w:r w:rsidRPr="00CC170B">
        <w:t>alkalmazása az imatinib-kezelés megkezdés</w:t>
      </w:r>
      <w:r w:rsidR="00882F61">
        <w:t>ével egyidejűleg</w:t>
      </w:r>
      <w:r w:rsidRPr="00CC170B">
        <w:t>.</w:t>
      </w:r>
    </w:p>
    <w:p w14:paraId="15FA9603" w14:textId="77777777" w:rsidR="00FC0D76" w:rsidRPr="00CC170B" w:rsidRDefault="00FC0D76" w:rsidP="00FC0D76"/>
    <w:p w14:paraId="4959BB32" w14:textId="77777777" w:rsidR="00FC0D76" w:rsidRPr="00CC170B" w:rsidRDefault="00FC0D76" w:rsidP="00FC0D76">
      <w:r w:rsidRPr="00CC170B">
        <w:rPr>
          <w:u w:val="single"/>
        </w:rPr>
        <w:t>Gastrointestinalis vérzés</w:t>
      </w:r>
    </w:p>
    <w:p w14:paraId="126F394B" w14:textId="77777777" w:rsidR="00FC0D76" w:rsidRPr="00CC170B" w:rsidRDefault="00FC0D76" w:rsidP="00FC0D76"/>
    <w:p w14:paraId="4FF5BAB3" w14:textId="5822E109" w:rsidR="00FC0D76" w:rsidRPr="00CC170B" w:rsidRDefault="00FC0D76" w:rsidP="00FC0D76">
      <w:r w:rsidRPr="00CC170B">
        <w:t xml:space="preserve">A nem reszekábilis és/vagy </w:t>
      </w:r>
      <w:r w:rsidR="006276E6" w:rsidRPr="00CC170B">
        <w:t>metasztatizáló</w:t>
      </w:r>
      <w:r w:rsidRPr="00CC170B">
        <w:t xml:space="preserve"> GIST-ben szenvedő betegek vizsgálata során mind gastrointestinalis, mind intratumoralis vérzésről beszámoltak (lásd 4.8 pont). A rendelkezésre álló adatok alapján nem azonosítottak olyan prediszponáló faktort (pl. a tumor mérete, lokalizációja, véralvadási zavarok), amely a GIST-es betegekre nézve nagyobb kockázatot jelentene valamely típusú vérzésre. Mivel a vascularizáltság és vérzékenység eleve fokozott a GIST természetéből és klinikai lefolyásából adódóan, minden betegnél a szokásos gyakorlatot és eljárásokat kell követni a vérzés monitorozására és kezelésére.</w:t>
      </w:r>
    </w:p>
    <w:p w14:paraId="210857AB" w14:textId="77777777" w:rsidR="00FC0D76" w:rsidRPr="00CC170B" w:rsidRDefault="00FC0D76" w:rsidP="00FC0D76"/>
    <w:p w14:paraId="58181183" w14:textId="2F400F30" w:rsidR="00FC0D76" w:rsidRPr="00CC170B" w:rsidRDefault="00FC0D76" w:rsidP="00FC0D76">
      <w:r w:rsidRPr="00CC170B">
        <w:t xml:space="preserve">Emellett a CML-ben, ALL-ben és egyéb betegségben szenvedő betegeknél gastricus antralis vascularis ectasiáról (GAVE), a gastrointestinalis vérzés egy ritka okáról számoltak be a forgalomba hozatalt követően (lásd 4.8 pont). Amikor szükséges, megfontolható </w:t>
      </w:r>
      <w:r w:rsidR="00F65A4E" w:rsidRPr="00CC170B">
        <w:t xml:space="preserve">az </w:t>
      </w:r>
      <w:r w:rsidR="00DE0F37" w:rsidRPr="00CC170B">
        <w:t>imatinib</w:t>
      </w:r>
      <w:r w:rsidRPr="00CC170B">
        <w:t>-kezelés abbahagyása.</w:t>
      </w:r>
    </w:p>
    <w:p w14:paraId="2E64B8FD" w14:textId="77777777" w:rsidR="00FC0D76" w:rsidRPr="00CC170B" w:rsidRDefault="00FC0D76" w:rsidP="00FC0D76"/>
    <w:p w14:paraId="6919990D" w14:textId="77777777" w:rsidR="00FC0D76" w:rsidRPr="00CC170B" w:rsidRDefault="00FC0D76" w:rsidP="00DE0F37">
      <w:pPr>
        <w:keepNext/>
        <w:widowControl/>
      </w:pPr>
      <w:r w:rsidRPr="00CC170B">
        <w:rPr>
          <w:u w:val="single"/>
        </w:rPr>
        <w:lastRenderedPageBreak/>
        <w:t>Tumorlízis-szindróma</w:t>
      </w:r>
    </w:p>
    <w:p w14:paraId="16116B15" w14:textId="77777777" w:rsidR="00FC0D76" w:rsidRPr="00CC170B" w:rsidRDefault="00FC0D76" w:rsidP="00DE0F37">
      <w:pPr>
        <w:keepNext/>
        <w:widowControl/>
      </w:pPr>
    </w:p>
    <w:p w14:paraId="3545B290" w14:textId="3B39D5EF" w:rsidR="00FC0D76" w:rsidRPr="00CC170B" w:rsidRDefault="00FC0D76" w:rsidP="00FC0D76">
      <w:r w:rsidRPr="00CC170B">
        <w:t>A tumorlízis-szindróma (</w:t>
      </w:r>
      <w:r w:rsidRPr="00931686">
        <w:rPr>
          <w:i/>
        </w:rPr>
        <w:t>tumour lysis syndrome</w:t>
      </w:r>
      <w:r w:rsidRPr="00CC170B">
        <w:rPr>
          <w:iCs/>
        </w:rPr>
        <w:t>,</w:t>
      </w:r>
      <w:r w:rsidRPr="00CC170B">
        <w:t xml:space="preserve"> TLS) lehetséges előfordulása miatt </w:t>
      </w:r>
      <w:r w:rsidR="00F65A4E" w:rsidRPr="00CC170B">
        <w:t xml:space="preserve">az </w:t>
      </w:r>
      <w:r w:rsidR="00E82AA7" w:rsidRPr="00CC170B">
        <w:t>imatinib</w:t>
      </w:r>
      <w:r w:rsidR="00DB36F7">
        <w:noBreakHyphen/>
      </w:r>
      <w:r w:rsidRPr="00CC170B">
        <w:t>kezelés megkezdése előtt javasolt a klinikailag jelentős mértékű dehidrációt korrigálni, illetve a magas húgysavszintet kezelni (lásd 4.8 pont).</w:t>
      </w:r>
    </w:p>
    <w:p w14:paraId="4DDFFF0D" w14:textId="77777777" w:rsidR="00FC0D76" w:rsidRPr="00CC170B" w:rsidRDefault="00FC0D76" w:rsidP="00FC0D76"/>
    <w:p w14:paraId="25486D2A" w14:textId="77777777" w:rsidR="00FC0D76" w:rsidRPr="00CC170B" w:rsidRDefault="00FC0D76" w:rsidP="00FC0D76">
      <w:r w:rsidRPr="00CC170B">
        <w:rPr>
          <w:u w:val="single"/>
        </w:rPr>
        <w:t>Hepatitis-B-reaktiváció</w:t>
      </w:r>
    </w:p>
    <w:p w14:paraId="6690BD1F" w14:textId="77777777" w:rsidR="00FC0D76" w:rsidRPr="00CC170B" w:rsidRDefault="00FC0D76" w:rsidP="00FC0D76"/>
    <w:p w14:paraId="59B4386F" w14:textId="1CB59C04" w:rsidR="00FC0D76" w:rsidRPr="00CC170B" w:rsidRDefault="00FC0D76" w:rsidP="00FC0D76">
      <w:r w:rsidRPr="00CC170B">
        <w:t>A hepatitis-B reaktivációja fordult elő krónikus vírushordozó betegeknél, miután ezek a betegek BCR</w:t>
      </w:r>
      <w:r w:rsidR="00E82AA7" w:rsidRPr="00CC170B">
        <w:noBreakHyphen/>
      </w:r>
      <w:r w:rsidRPr="00CC170B">
        <w:t>ABL tirozin-kináz-inhibitort kaptak. Egyes esetekben akut májelégtelenség vagy fulmináns hepatitis alakult ki, amely májtranszplantációt tett szükségessé vagy a beteg halálához vezetett.</w:t>
      </w:r>
    </w:p>
    <w:p w14:paraId="71E5E2EC" w14:textId="77777777" w:rsidR="00FC0D76" w:rsidRPr="00CC170B" w:rsidRDefault="00FC0D76" w:rsidP="00FC0D76"/>
    <w:p w14:paraId="1B3F6774" w14:textId="03274CA1" w:rsidR="00FC0D76" w:rsidRPr="00CC170B" w:rsidRDefault="00430469" w:rsidP="00FC0D76">
      <w:r w:rsidRPr="00CC170B">
        <w:t xml:space="preserve">Az </w:t>
      </w:r>
      <w:r w:rsidR="00E82AA7" w:rsidRPr="00CC170B">
        <w:t>imatinib</w:t>
      </w:r>
      <w:r w:rsidR="00FC0D76" w:rsidRPr="00CC170B">
        <w:t xml:space="preserve">-kezelés megkezdése előtt a betegeknél a HBV-fertőzöttség kivizsgálására van szükség. A májbetegségek és a hepatitis-B-kezelés szakértőivel kell konzultálni a kezelés megkezdése előtt a pozitív hepatitis-B-szerológiájú betegeknél (beleértve az aktív betegséget is), valamint olyan betegek esetében, akiknél a kezelés közben derül ki a HBV-fertőzés. </w:t>
      </w:r>
      <w:r w:rsidRPr="00CC170B">
        <w:t xml:space="preserve">Az </w:t>
      </w:r>
      <w:r w:rsidR="00E82AA7" w:rsidRPr="00CC170B">
        <w:t>imatinib</w:t>
      </w:r>
      <w:r w:rsidR="00FC0D76" w:rsidRPr="00CC170B">
        <w:t>-kezelést igénylő HBV</w:t>
      </w:r>
      <w:r w:rsidR="00E82AA7" w:rsidRPr="00CC170B">
        <w:noBreakHyphen/>
      </w:r>
      <w:r w:rsidR="00FC0D76" w:rsidRPr="00CC170B">
        <w:t>hordozókat szorosan ellenőrizni kell a kezelés közben, valamint a kezelés befejezését követően több</w:t>
      </w:r>
      <w:r w:rsidR="00645FEE" w:rsidRPr="00CC170B">
        <w:t> hónap</w:t>
      </w:r>
      <w:r w:rsidR="00FC0D76" w:rsidRPr="00CC170B">
        <w:t>on keresztül, hogy nem alakulnak-e ki az aktív HBV-fertőzés jelei és tünetei (lásd 4.8 pont).</w:t>
      </w:r>
    </w:p>
    <w:p w14:paraId="6A70A062" w14:textId="77777777" w:rsidR="00FC0D76" w:rsidRPr="00CC170B" w:rsidRDefault="00FC0D76" w:rsidP="00FC0D76"/>
    <w:p w14:paraId="7DC5C83C" w14:textId="77777777" w:rsidR="00FC0D76" w:rsidRPr="00CC170B" w:rsidRDefault="00FC0D76" w:rsidP="00FC0D76">
      <w:r w:rsidRPr="00CC170B">
        <w:rPr>
          <w:u w:val="single"/>
        </w:rPr>
        <w:t>Fototoxicitás</w:t>
      </w:r>
    </w:p>
    <w:p w14:paraId="279F9092" w14:textId="77777777" w:rsidR="00FC0D76" w:rsidRPr="00CC170B" w:rsidRDefault="00FC0D76" w:rsidP="00FC0D76"/>
    <w:p w14:paraId="2F7A04BC" w14:textId="57E9A1E1" w:rsidR="00FC0D76" w:rsidRPr="00CC170B" w:rsidRDefault="00FC0D76" w:rsidP="00FC0D76">
      <w:r w:rsidRPr="00CC170B">
        <w:t>Az imatinib-kezeléssel összefüggő fototoxicitás kockázata miatt a közvetlen</w:t>
      </w:r>
      <w:r w:rsidR="00E82AA7" w:rsidRPr="00CC170B">
        <w:t xml:space="preserve"> </w:t>
      </w:r>
      <w:r w:rsidR="0087414E" w:rsidRPr="00CC170B">
        <w:t>nap</w:t>
      </w:r>
      <w:r w:rsidRPr="00CC170B">
        <w:t>sugárzást kerülni vagy minimalizálni kell. A betegek</w:t>
      </w:r>
      <w:r w:rsidR="00882F61">
        <w:t xml:space="preserve"> figyelmét fel kell hívni</w:t>
      </w:r>
      <w:r w:rsidRPr="00CC170B">
        <w:t>, hogy öltözékükkel védekezzenek</w:t>
      </w:r>
      <w:r w:rsidR="00882F61">
        <w:t>,</w:t>
      </w:r>
      <w:r w:rsidRPr="00CC170B">
        <w:t xml:space="preserve"> és használjanak magas faktorszámú fényvédő készítményt.</w:t>
      </w:r>
    </w:p>
    <w:p w14:paraId="77147603" w14:textId="77777777" w:rsidR="00FC0D76" w:rsidRPr="00CC170B" w:rsidRDefault="00FC0D76" w:rsidP="00FC0D76"/>
    <w:p w14:paraId="6700497F" w14:textId="77777777" w:rsidR="00FC0D76" w:rsidRPr="00CC170B" w:rsidRDefault="00FC0D76" w:rsidP="00FC0D76">
      <w:r w:rsidRPr="00CC170B">
        <w:rPr>
          <w:u w:val="single"/>
        </w:rPr>
        <w:t>Thromboticus microangiopathia</w:t>
      </w:r>
    </w:p>
    <w:p w14:paraId="11108972" w14:textId="77777777" w:rsidR="00FC0D76" w:rsidRPr="00CC170B" w:rsidRDefault="00FC0D76" w:rsidP="00FC0D76"/>
    <w:p w14:paraId="34C83EDE" w14:textId="06AC2C42" w:rsidR="00FC0D76" w:rsidRPr="00CC170B" w:rsidRDefault="00FC0D76" w:rsidP="00882F61">
      <w:r w:rsidRPr="00CC170B">
        <w:t xml:space="preserve">A BCR-ABL tirozin-kináz-inhibitorok (TKI-k) alkalmazása és a thromboticus microangiopathia (TMA) között összefüggés áll fenn, </w:t>
      </w:r>
      <w:r w:rsidR="00F65A4E" w:rsidRPr="00CC170B">
        <w:t xml:space="preserve">az </w:t>
      </w:r>
      <w:r w:rsidR="00E82AA7" w:rsidRPr="00CC170B">
        <w:t>imatinibbel</w:t>
      </w:r>
      <w:r w:rsidRPr="00CC170B">
        <w:t xml:space="preserve"> kapcsolatos egyedi esetjelentéseket is ideértve (lásd</w:t>
      </w:r>
      <w:r w:rsidR="00E82AA7" w:rsidRPr="00CC170B">
        <w:t xml:space="preserve"> </w:t>
      </w:r>
      <w:r w:rsidRPr="00CC170B">
        <w:t xml:space="preserve">4.8 pont). Ha </w:t>
      </w:r>
      <w:r w:rsidR="00F65A4E" w:rsidRPr="00CC170B">
        <w:t xml:space="preserve">az </w:t>
      </w:r>
      <w:r w:rsidR="00E82AA7" w:rsidRPr="00CC170B">
        <w:t>imatinibbel</w:t>
      </w:r>
      <w:r w:rsidRPr="00CC170B">
        <w:t xml:space="preserve"> kezelt betegnél a TMA-val összefüggésbe hozható laboratóriumi vagy klinikai leletek mutatkoznak, a kezelést fel kell függeszteni, és a TMA alapos kivizsgálása szükséges, beleértve az ADAMTS13-aktivitást és az anti-ADAMTS13</w:t>
      </w:r>
      <w:r w:rsidR="00882F61">
        <w:t xml:space="preserve"> </w:t>
      </w:r>
      <w:r w:rsidRPr="00CC170B">
        <w:t>antitest-meghatározást. Ha az anti- ADAMTS13</w:t>
      </w:r>
      <w:r w:rsidR="00882F61">
        <w:t xml:space="preserve"> </w:t>
      </w:r>
      <w:r w:rsidRPr="00CC170B">
        <w:t>antitest szintje magas</w:t>
      </w:r>
      <w:r w:rsidR="00882F61">
        <w:t>,</w:t>
      </w:r>
      <w:r w:rsidRPr="00CC170B">
        <w:t xml:space="preserve"> és </w:t>
      </w:r>
      <w:r w:rsidR="00882F61" w:rsidRPr="00882F61">
        <w:t xml:space="preserve">ezzel egyidejűleg </w:t>
      </w:r>
      <w:r w:rsidRPr="00CC170B">
        <w:t xml:space="preserve">az ADAMTS13-aktivitás alacsony, </w:t>
      </w:r>
      <w:r w:rsidR="00F65A4E" w:rsidRPr="00CC170B">
        <w:t xml:space="preserve">az </w:t>
      </w:r>
      <w:r w:rsidR="00E82AA7" w:rsidRPr="00CC170B">
        <w:t>imatinib</w:t>
      </w:r>
      <w:r w:rsidRPr="00CC170B">
        <w:t>-kezelést nem szabad folytatni.</w:t>
      </w:r>
    </w:p>
    <w:p w14:paraId="0120ABC2" w14:textId="77777777" w:rsidR="00FC0D76" w:rsidRPr="00CC170B" w:rsidRDefault="00FC0D76" w:rsidP="00FC0D76"/>
    <w:p w14:paraId="5D69F489" w14:textId="77777777" w:rsidR="00FC0D76" w:rsidRPr="00CC170B" w:rsidRDefault="00FC0D76" w:rsidP="00FC0D76">
      <w:r w:rsidRPr="00CC170B">
        <w:rPr>
          <w:u w:val="single"/>
        </w:rPr>
        <w:t>Laboratóriumi vizsgálatok</w:t>
      </w:r>
    </w:p>
    <w:p w14:paraId="44D71B6A" w14:textId="77777777" w:rsidR="00FC0D76" w:rsidRPr="00CC170B" w:rsidRDefault="00FC0D76" w:rsidP="00FC0D76"/>
    <w:p w14:paraId="38F24AC1" w14:textId="1A99F368" w:rsidR="00FC0D76" w:rsidRPr="00CC170B" w:rsidRDefault="00FC0D76" w:rsidP="00FC0D76">
      <w:r w:rsidRPr="00CC170B">
        <w:t xml:space="preserve">A teljes vérkép rendszeresen ellenőrizendő </w:t>
      </w:r>
      <w:r w:rsidR="00F65A4E" w:rsidRPr="00CC170B">
        <w:t xml:space="preserve">az </w:t>
      </w:r>
      <w:r w:rsidR="00E82AA7" w:rsidRPr="00CC170B">
        <w:t>imatinib</w:t>
      </w:r>
      <w:r w:rsidRPr="00CC170B">
        <w:t>-kezelés során. A CML-es betegek</w:t>
      </w:r>
      <w:r w:rsidR="008830D8" w:rsidRPr="00CC170B">
        <w:t xml:space="preserve"> </w:t>
      </w:r>
      <w:r w:rsidR="00E82AA7" w:rsidRPr="00CC170B">
        <w:t>imatinib</w:t>
      </w:r>
      <w:r w:rsidR="00E82AA7" w:rsidRPr="00CC170B">
        <w:noBreakHyphen/>
      </w:r>
      <w:r w:rsidRPr="00CC170B">
        <w:t xml:space="preserve">kezelését neutropenia vagy thrombocytopenia kialakulásával hozták összefüggésbe. Ezen cytopeniák előfordulása azonban valószínűleg a kezelendő betegség stádiumától függött, és sokkal gyakoribb volt a CML akcelerált fázisában vagy blasztos krízisben, mint a CML krónikus fázisában lévő betegeknél. Ilyen esetben </w:t>
      </w:r>
      <w:r w:rsidR="00F65A4E" w:rsidRPr="00CC170B">
        <w:t xml:space="preserve">az </w:t>
      </w:r>
      <w:r w:rsidR="00E82AA7" w:rsidRPr="00CC170B">
        <w:t>imatinib</w:t>
      </w:r>
      <w:r w:rsidRPr="00CC170B">
        <w:t>-kezelést meg lehet szakítani, vagy az alkalmazott adagot lehet csökkenteni, a 4.2 pontban javasoltak szerint.</w:t>
      </w:r>
    </w:p>
    <w:p w14:paraId="422AABEC" w14:textId="77777777" w:rsidR="00FC0D76" w:rsidRPr="00CC170B" w:rsidRDefault="00FC0D76" w:rsidP="00FC0D76"/>
    <w:p w14:paraId="7A126674" w14:textId="0C4C2A66" w:rsidR="00FC0D76" w:rsidRPr="00CC170B" w:rsidRDefault="00FC0D76" w:rsidP="00FC0D76">
      <w:r w:rsidRPr="00CC170B">
        <w:t>A májfunkciót (transzaminázok, bilirubin, alkalikus foszfatáz</w:t>
      </w:r>
      <w:r w:rsidR="00882F61">
        <w:t xml:space="preserve"> szintje</w:t>
      </w:r>
      <w:r w:rsidRPr="00CC170B">
        <w:t xml:space="preserve">) rendszeresen ellenőrizni kell </w:t>
      </w:r>
      <w:r w:rsidR="00F65A4E" w:rsidRPr="00CC170B">
        <w:t xml:space="preserve">az </w:t>
      </w:r>
      <w:r w:rsidR="008D22B1" w:rsidRPr="00CC170B">
        <w:t>imatinib</w:t>
      </w:r>
      <w:r w:rsidRPr="00CC170B">
        <w:t>-kezelésben részesülő betegeknél.</w:t>
      </w:r>
    </w:p>
    <w:p w14:paraId="2EF17BA9" w14:textId="77777777" w:rsidR="00FC0D76" w:rsidRPr="00CC170B" w:rsidRDefault="00FC0D76" w:rsidP="00FC0D76"/>
    <w:p w14:paraId="068CEF34" w14:textId="0B469F3E" w:rsidR="00FC0D76" w:rsidRPr="00CC170B" w:rsidRDefault="00FC0D76" w:rsidP="00FC0D76">
      <w:r w:rsidRPr="00CC170B">
        <w:t>Vesekárosodásban szenvedő betegeknél az imatinib plazmaexpozíciója magasabbnak tűnik, mint a normális vesefunkciójú betegeknél. Ennek oka valószínűleg az, hogy ezen betegeknél megemelkedik az imatinibet megkötő alfa savas glikoprotein (</w:t>
      </w:r>
      <w:r w:rsidR="008D22B1" w:rsidRPr="00931686">
        <w:rPr>
          <w:i/>
          <w:iCs/>
        </w:rPr>
        <w:t>alpha-acid glycoprotein</w:t>
      </w:r>
      <w:r w:rsidR="008D22B1" w:rsidRPr="00CC170B">
        <w:t xml:space="preserve">, </w:t>
      </w:r>
      <w:r w:rsidRPr="00CC170B">
        <w:t>AGP) plazmaszintje. Vesekárosodásban szenvedő betegeknek a legkisebb kezdő adagot kell adni. Súlyos vesekárosodásban szenvedő betegek kezelése óvatosságot igényel. Az adagot csökkenteni lehet, amennyiben azt a beteg nem tolerálja (lásd 4.2 és</w:t>
      </w:r>
      <w:r w:rsidR="008830D8" w:rsidRPr="00CC170B">
        <w:t xml:space="preserve"> </w:t>
      </w:r>
      <w:r w:rsidRPr="00CC170B">
        <w:t>5.2 pont).</w:t>
      </w:r>
    </w:p>
    <w:p w14:paraId="67C14FB8" w14:textId="77777777" w:rsidR="00FC0D76" w:rsidRPr="00CC170B" w:rsidRDefault="00FC0D76" w:rsidP="00FC0D76"/>
    <w:p w14:paraId="187DCA44" w14:textId="0A33E2A6" w:rsidR="00FC0D76" w:rsidRPr="00CC170B" w:rsidRDefault="00FC0D76" w:rsidP="00FC0D76">
      <w:r w:rsidRPr="00CC170B">
        <w:t>A hosszú távú imatinib-kezelés klinikailag jelentős vesefunkció-romláshoz vezethet. Az</w:t>
      </w:r>
      <w:r w:rsidR="008830D8" w:rsidRPr="00CC170B">
        <w:t xml:space="preserve"> </w:t>
      </w:r>
      <w:r w:rsidRPr="00CC170B">
        <w:t>imatinib</w:t>
      </w:r>
      <w:r w:rsidR="008D22B1" w:rsidRPr="00CC170B">
        <w:noBreakHyphen/>
      </w:r>
      <w:r w:rsidRPr="00CC170B">
        <w:t>kezelés megkezdése előtt ezért a vesefunkciót vizsgálni,</w:t>
      </w:r>
      <w:r w:rsidR="008D22B1" w:rsidRPr="00CC170B">
        <w:t xml:space="preserve"> </w:t>
      </w:r>
      <w:r w:rsidRPr="00CC170B">
        <w:t xml:space="preserve">valamint a kezelés során szorosan </w:t>
      </w:r>
      <w:r w:rsidRPr="00CC170B">
        <w:lastRenderedPageBreak/>
        <w:t>monitorozni kell, különös tekintettel a veseműködési zavar kockázati tényezőivel rendelkező betegekre. Veseműködési zavar észlelése esetén megfelelő ellátást és kezelést kell elrende</w:t>
      </w:r>
      <w:r w:rsidR="008D22B1" w:rsidRPr="00CC170B">
        <w:t>l</w:t>
      </w:r>
      <w:r w:rsidRPr="00CC170B">
        <w:t>ni a standard kezelési irányelvek szerint.</w:t>
      </w:r>
    </w:p>
    <w:p w14:paraId="2CC55B9C" w14:textId="77777777" w:rsidR="00FC0D76" w:rsidRPr="00CC170B" w:rsidRDefault="00FC0D76" w:rsidP="00FC0D76"/>
    <w:p w14:paraId="2A583F66" w14:textId="77777777" w:rsidR="00FC0D76" w:rsidRPr="00CC170B" w:rsidRDefault="00FC0D76" w:rsidP="00FC0D76">
      <w:r w:rsidRPr="00CC170B">
        <w:rPr>
          <w:u w:val="single"/>
        </w:rPr>
        <w:t>Gyermekek és serdülők</w:t>
      </w:r>
    </w:p>
    <w:p w14:paraId="1684E9B9" w14:textId="77777777" w:rsidR="00FC0D76" w:rsidRPr="00CC170B" w:rsidRDefault="00FC0D76" w:rsidP="00FC0D76"/>
    <w:p w14:paraId="0407247E" w14:textId="7C7B62E2" w:rsidR="00FC0D76" w:rsidRPr="00CC170B" w:rsidRDefault="00FC0D76" w:rsidP="00FC0D76">
      <w:r w:rsidRPr="00CC170B">
        <w:t>Az imatinibbel kezelt gyermekek és prepubertáskorúak esetében növekedési retardáció kialakulásáról szóló esetismertetések jelentek meg. Egy megfigyeléses vizsgálatban, 12 és 24</w:t>
      </w:r>
      <w:r w:rsidR="00645FEE" w:rsidRPr="00CC170B">
        <w:t> hónap</w:t>
      </w:r>
      <w:r w:rsidRPr="00CC170B">
        <w:t xml:space="preserve">os kezelés után, a CML-ben szenvedő gyermekek és serdülők két kisebb – a pubertásstátusztól és nemtől független – alcsoportjában a </w:t>
      </w:r>
      <w:r w:rsidR="008326B9" w:rsidRPr="00CC170B">
        <w:t xml:space="preserve">medián, </w:t>
      </w:r>
      <w:r w:rsidR="00205BAE" w:rsidRPr="00CC170B">
        <w:t>testmagasságra vonatkozó</w:t>
      </w:r>
      <w:r w:rsidR="008326B9">
        <w:t xml:space="preserve"> </w:t>
      </w:r>
      <w:r w:rsidRPr="00CC170B">
        <w:t>standard deviációs</w:t>
      </w:r>
      <w:r w:rsidR="00205BAE" w:rsidRPr="00CC170B">
        <w:t xml:space="preserve"> </w:t>
      </w:r>
      <w:r w:rsidRPr="00CC170B">
        <w:t>pontszám statisztikailag szignifikáns csökkenését jelentették (melynek klinikai jelentősége bizonytalan). Hasonló eredményeket figyeltek meg egy ALL-ben szenvedő gyermekekből és serdülőkből álló populációval végzett megfigyeléses vizsgálatban. Az imatinib-kezelés alatt álló gyermekek és serdülők növekedésének szoros ellenőrzése javasolt (lásd 4.8</w:t>
      </w:r>
      <w:r w:rsidRPr="00CC170B">
        <w:rPr>
          <w:spacing w:val="-3"/>
        </w:rPr>
        <w:t> pont</w:t>
      </w:r>
      <w:r w:rsidRPr="00CC170B">
        <w:t>).</w:t>
      </w:r>
    </w:p>
    <w:p w14:paraId="210FB7CA" w14:textId="77777777" w:rsidR="00FC0D76" w:rsidRPr="00CC170B" w:rsidRDefault="00FC0D76" w:rsidP="00FC0D76"/>
    <w:p w14:paraId="730A74D4" w14:textId="7BD0C6D0" w:rsidR="00FC0D76" w:rsidRPr="00CC170B" w:rsidRDefault="00205BAE" w:rsidP="00205BAE">
      <w:pPr>
        <w:tabs>
          <w:tab w:val="left" w:pos="567"/>
        </w:tabs>
        <w:rPr>
          <w:b/>
          <w:bCs/>
        </w:rPr>
      </w:pPr>
      <w:r w:rsidRPr="00CC170B">
        <w:rPr>
          <w:b/>
          <w:bCs/>
        </w:rPr>
        <w:t>4.5</w:t>
      </w:r>
      <w:r w:rsidRPr="00CC170B">
        <w:rPr>
          <w:b/>
          <w:bCs/>
        </w:rPr>
        <w:tab/>
      </w:r>
      <w:r w:rsidR="00FC0D76" w:rsidRPr="00CC170B">
        <w:rPr>
          <w:b/>
          <w:bCs/>
        </w:rPr>
        <w:t>Gyógyszerkölcsönhatások és egyéb</w:t>
      </w:r>
      <w:r w:rsidR="00FC0D76" w:rsidRPr="00CC170B">
        <w:rPr>
          <w:b/>
          <w:bCs/>
          <w:spacing w:val="-3"/>
        </w:rPr>
        <w:t xml:space="preserve"> </w:t>
      </w:r>
      <w:r w:rsidR="00FC0D76" w:rsidRPr="00CC170B">
        <w:rPr>
          <w:b/>
          <w:bCs/>
        </w:rPr>
        <w:t>interakciók</w:t>
      </w:r>
    </w:p>
    <w:p w14:paraId="7330EEE9" w14:textId="77777777" w:rsidR="00FC0D76" w:rsidRPr="00CC170B" w:rsidRDefault="00FC0D76" w:rsidP="00FC0D76">
      <w:pPr>
        <w:rPr>
          <w:bCs/>
        </w:rPr>
      </w:pPr>
    </w:p>
    <w:p w14:paraId="374A5143" w14:textId="77777777" w:rsidR="00FC0D76" w:rsidRPr="00CC170B" w:rsidRDefault="00FC0D76" w:rsidP="00FC0D76">
      <w:r w:rsidRPr="00CC170B">
        <w:rPr>
          <w:u w:val="single"/>
        </w:rPr>
        <w:t xml:space="preserve">Hatóanyagok, melyek </w:t>
      </w:r>
      <w:r w:rsidRPr="00CC170B">
        <w:rPr>
          <w:b/>
          <w:u w:val="single"/>
        </w:rPr>
        <w:t xml:space="preserve">növelhetik </w:t>
      </w:r>
      <w:r w:rsidRPr="00CC170B">
        <w:rPr>
          <w:u w:val="single"/>
        </w:rPr>
        <w:t>az imatinib plazmakoncentrációját</w:t>
      </w:r>
    </w:p>
    <w:p w14:paraId="391C517B" w14:textId="77777777" w:rsidR="00FC0D76" w:rsidRPr="00CC170B" w:rsidRDefault="00FC0D76" w:rsidP="00FC0D76"/>
    <w:p w14:paraId="456AE78E" w14:textId="248D7CBA" w:rsidR="00FC0D76" w:rsidRPr="00CC170B" w:rsidRDefault="00FC0D76" w:rsidP="00931686">
      <w:pPr>
        <w:widowControl/>
      </w:pPr>
      <w:r w:rsidRPr="00CC170B">
        <w:t>Azok a hatóanyagok, melyek a citokróm P450 CYP3A4 izoenzim aktivitását gátolják (pl.</w:t>
      </w:r>
      <w:r w:rsidR="008830D8" w:rsidRPr="00CC170B">
        <w:t xml:space="preserve"> </w:t>
      </w:r>
      <w:r w:rsidRPr="00CC170B">
        <w:t>proteáz</w:t>
      </w:r>
      <w:r w:rsidR="00B93F08" w:rsidRPr="00CC170B">
        <w:noBreakHyphen/>
      </w:r>
      <w:r w:rsidRPr="00CC170B">
        <w:t>inhibitorok, mint az indinavir, lopinavir/ritonavir, ritonavir, szakvinavir, telaprevir, nelfinavir, boceprevir; azol típusú gombaellenes szerek, beleértve a ketokonazolt, itrakonazolt, pozakonazolt, vorikonazolt; egyes makrolidok, mint az eritromicin, klaritromicin és telitromicin) csökkenthetik az imatinib metabolizmusát és növelhetik a koncentrációját. Az imatinib-expozíció szignifikáns növekedését (az imatinib átlagos C</w:t>
      </w:r>
      <w:r w:rsidRPr="00CC170B">
        <w:rPr>
          <w:vertAlign w:val="subscript"/>
        </w:rPr>
        <w:t>max</w:t>
      </w:r>
      <w:r w:rsidRPr="00CC170B">
        <w:t xml:space="preserve">-értéke 26%-kal, illetve AUC-értéke 40%-kal nőtt) észlelték egészséges önkénteseknél </w:t>
      </w:r>
      <w:r w:rsidR="008326B9">
        <w:t xml:space="preserve">a </w:t>
      </w:r>
      <w:r w:rsidRPr="00CC170B">
        <w:t xml:space="preserve">ketokonazol (CYP3A4-gátló) </w:t>
      </w:r>
      <w:r w:rsidR="008326B9" w:rsidRPr="008326B9">
        <w:t>egyszeri dózis</w:t>
      </w:r>
      <w:r w:rsidR="008326B9">
        <w:t xml:space="preserve">ának </w:t>
      </w:r>
      <w:r w:rsidRPr="00CC170B">
        <w:t xml:space="preserve">egyidejű adásakor. </w:t>
      </w:r>
      <w:r w:rsidR="00430469" w:rsidRPr="00CC170B">
        <w:t xml:space="preserve">Az </w:t>
      </w:r>
      <w:r w:rsidR="00B93F08" w:rsidRPr="00CC170B">
        <w:t>i</w:t>
      </w:r>
      <w:r w:rsidR="00430469" w:rsidRPr="00CC170B">
        <w:t xml:space="preserve">matinib </w:t>
      </w:r>
      <w:r w:rsidRPr="00CC170B">
        <w:t>és a CYP3A4-gátló tulajdonságú hatóanyagok együttes adásakor óvatosság szükséges.</w:t>
      </w:r>
    </w:p>
    <w:p w14:paraId="31420250" w14:textId="77777777" w:rsidR="00FC0D76" w:rsidRPr="00CC170B" w:rsidRDefault="00FC0D76" w:rsidP="00FC0D76"/>
    <w:p w14:paraId="4C5F74BA" w14:textId="77777777" w:rsidR="00FC0D76" w:rsidRPr="00CC170B" w:rsidRDefault="00FC0D76" w:rsidP="00FC0D76">
      <w:r w:rsidRPr="00CC170B">
        <w:rPr>
          <w:u w:val="single"/>
        </w:rPr>
        <w:t xml:space="preserve">Hatóanyagok, melyek </w:t>
      </w:r>
      <w:r w:rsidRPr="00CC170B">
        <w:rPr>
          <w:b/>
          <w:u w:val="single"/>
        </w:rPr>
        <w:t xml:space="preserve">csökkenthetik </w:t>
      </w:r>
      <w:r w:rsidRPr="00CC170B">
        <w:rPr>
          <w:u w:val="single"/>
        </w:rPr>
        <w:t>az imatinib plazmakoncentrációját</w:t>
      </w:r>
    </w:p>
    <w:p w14:paraId="050DF038" w14:textId="77777777" w:rsidR="00FC0D76" w:rsidRPr="00CC170B" w:rsidRDefault="00FC0D76" w:rsidP="00FC0D76"/>
    <w:p w14:paraId="02C5565C" w14:textId="2D2BBF68" w:rsidR="00FC0D76" w:rsidRPr="00CC170B" w:rsidRDefault="00FC0D76" w:rsidP="00FC0D76">
      <w:r w:rsidRPr="00CC170B">
        <w:t xml:space="preserve">A CYP3A4 aktivitását indukáló hatóanyagok (pl. dexametazon, fenitoin, karbamazepin, rifampicin, fenobarbitál, foszfenitoin, primidon vagy a </w:t>
      </w:r>
      <w:r w:rsidRPr="00CC170B">
        <w:rPr>
          <w:i/>
        </w:rPr>
        <w:t xml:space="preserve">Hypericum perforatum </w:t>
      </w:r>
      <w:r w:rsidRPr="00CC170B">
        <w:t xml:space="preserve">[közönséges orbáncfű]) szignifikánsan csökkenthetik </w:t>
      </w:r>
      <w:r w:rsidR="00F65A4E" w:rsidRPr="00CC170B">
        <w:t xml:space="preserve">az </w:t>
      </w:r>
      <w:r w:rsidR="00B93F08" w:rsidRPr="00CC170B">
        <w:t>imatinib</w:t>
      </w:r>
      <w:r w:rsidRPr="00CC170B">
        <w:t xml:space="preserve">-expozíciót, potenciálisan növelve a terápia sikertelenségének lehetőségét. 600 mg-os, ismételt </w:t>
      </w:r>
      <w:r w:rsidR="008326B9">
        <w:t>adagolás</w:t>
      </w:r>
      <w:r w:rsidRPr="00CC170B">
        <w:t>ú rifampicin-előkezelést követő egyszeri 400 mg</w:t>
      </w:r>
      <w:r w:rsidR="008326B9">
        <w:t>-os</w:t>
      </w:r>
      <w:r w:rsidRPr="00CC170B">
        <w:t xml:space="preserve"> </w:t>
      </w:r>
      <w:r w:rsidR="00B93F08" w:rsidRPr="00CC170B">
        <w:t>imatinib</w:t>
      </w:r>
      <w:r w:rsidR="008326B9">
        <w:t>-dózis</w:t>
      </w:r>
      <w:r w:rsidR="00B93F08" w:rsidRPr="00CC170B">
        <w:t xml:space="preserve"> </w:t>
      </w:r>
      <w:r w:rsidRPr="00CC170B">
        <w:t>bevétele a C</w:t>
      </w:r>
      <w:r w:rsidRPr="00CC170B">
        <w:rPr>
          <w:vertAlign w:val="subscript"/>
        </w:rPr>
        <w:t>max</w:t>
      </w:r>
      <w:r w:rsidRPr="00CC170B">
        <w:t>-értékben legalább 54%-os, az AUC</w:t>
      </w:r>
      <w:r w:rsidRPr="00CC170B">
        <w:rPr>
          <w:vertAlign w:val="subscript"/>
        </w:rPr>
        <w:t>0-∞</w:t>
      </w:r>
      <w:r w:rsidRPr="00CC170B">
        <w:t xml:space="preserve">-értékben legalább 74%-os csökkenést okozott a rifampicin nélküli kezeléshez képest. Hasonló eredményeket figyeltek meg azoknál a malignus gliomában szenvedő, </w:t>
      </w:r>
      <w:r w:rsidR="00B93F08" w:rsidRPr="00CC170B">
        <w:t>imatinibbel</w:t>
      </w:r>
      <w:r w:rsidRPr="00CC170B">
        <w:t xml:space="preserve"> kezelt betegeknél, akik egyidejűleg enzimindukáló antiepileptikum- (pl. karbamazepin, oxkarbazepin, fenitoin) kezelésben részesültek. Az imatinib plazma</w:t>
      </w:r>
      <w:r w:rsidR="008326B9">
        <w:t xml:space="preserve"> </w:t>
      </w:r>
      <w:r w:rsidRPr="00CC170B">
        <w:t xml:space="preserve">AUC-értéke 73%-kal csökkent az enzimindukáló antiepileptikumot nem szedő betegekhez képest. A rifampicin vagy más erős CYP3A4-induktor és </w:t>
      </w:r>
      <w:r w:rsidR="00F65A4E" w:rsidRPr="00CC170B">
        <w:t xml:space="preserve">az </w:t>
      </w:r>
      <w:r w:rsidR="00B93F08" w:rsidRPr="00CC170B">
        <w:t xml:space="preserve">imatinib </w:t>
      </w:r>
      <w:r w:rsidRPr="00CC170B">
        <w:t>egyidejű adását el kell kerülni.</w:t>
      </w:r>
    </w:p>
    <w:p w14:paraId="678EBBDF" w14:textId="77777777" w:rsidR="00FC0D76" w:rsidRPr="00CC170B" w:rsidRDefault="00FC0D76" w:rsidP="00FC0D76"/>
    <w:p w14:paraId="69CA398C" w14:textId="78891D2F" w:rsidR="00FC0D76" w:rsidRPr="00CC170B" w:rsidRDefault="00FC0D76" w:rsidP="00FC0D76">
      <w:r w:rsidRPr="00CC170B">
        <w:rPr>
          <w:u w:val="single"/>
        </w:rPr>
        <w:t xml:space="preserve">Hatóanyagok, melyek plazmakoncentrációját </w:t>
      </w:r>
      <w:r w:rsidR="00F65A4E" w:rsidRPr="00CC170B">
        <w:rPr>
          <w:u w:val="single"/>
        </w:rPr>
        <w:t xml:space="preserve">az </w:t>
      </w:r>
      <w:r w:rsidR="00B93F08" w:rsidRPr="00CC170B">
        <w:t xml:space="preserve">imatinib </w:t>
      </w:r>
      <w:r w:rsidRPr="00CC170B">
        <w:rPr>
          <w:u w:val="single"/>
        </w:rPr>
        <w:t>megváltoztathatja</w:t>
      </w:r>
    </w:p>
    <w:p w14:paraId="0E0E910B" w14:textId="77777777" w:rsidR="00FC0D76" w:rsidRPr="00CC170B" w:rsidRDefault="00FC0D76" w:rsidP="00FC0D76"/>
    <w:p w14:paraId="1DC977F8" w14:textId="71A52B8D" w:rsidR="00FC0D76" w:rsidRPr="00CC170B" w:rsidRDefault="00FC0D76" w:rsidP="00FC0D76">
      <w:r w:rsidRPr="00CC170B">
        <w:t>Az imatinib a szimvasztatin (CYP3A4-szubsztrát) átlagos C</w:t>
      </w:r>
      <w:r w:rsidRPr="00CC170B">
        <w:rPr>
          <w:vertAlign w:val="subscript"/>
        </w:rPr>
        <w:t>max</w:t>
      </w:r>
      <w:r w:rsidRPr="00CC170B">
        <w:t>-értékét 2-szeresére, AUC-értékét 3,5</w:t>
      </w:r>
      <w:r w:rsidR="00B93F08" w:rsidRPr="00CC170B">
        <w:noBreakHyphen/>
      </w:r>
      <w:r w:rsidRPr="00CC170B">
        <w:t xml:space="preserve">szeresére növeli, ami arra utal, hogy az imatinib gátolja a CYP3A4 izoenzim aktivitását. Ezért óvatosság ajánlott, amikor </w:t>
      </w:r>
      <w:r w:rsidR="00F65A4E" w:rsidRPr="00CC170B">
        <w:t xml:space="preserve">az </w:t>
      </w:r>
      <w:r w:rsidR="00B93F08" w:rsidRPr="00CC170B">
        <w:t xml:space="preserve">imatinibet </w:t>
      </w:r>
      <w:r w:rsidRPr="00CC170B">
        <w:t>szűk terápiás ablakú CYP3A4 szubsztráttal (pl. ciklosporin,</w:t>
      </w:r>
      <w:r w:rsidR="008830D8" w:rsidRPr="00CC170B">
        <w:t xml:space="preserve"> </w:t>
      </w:r>
      <w:r w:rsidRPr="00CC170B">
        <w:t xml:space="preserve">pimozid, takrolimusz, szirolimusz, ergotamin, diergotamin, fentanil, alfentanil, terfenadin, bortezomib, docetaxel és kinidin) adják együtt. </w:t>
      </w:r>
      <w:r w:rsidR="00430469" w:rsidRPr="00CC170B">
        <w:t xml:space="preserve">Az </w:t>
      </w:r>
      <w:r w:rsidR="00ED4444" w:rsidRPr="00CC170B">
        <w:t xml:space="preserve">imatinib </w:t>
      </w:r>
      <w:r w:rsidRPr="00CC170B">
        <w:t>növelheti az egyéb, CYP3A4 enzimrendszeren keresztül metabolizálódó gyógyszerek (pl. triazolo-benzodiazepinek, dihidropiridin</w:t>
      </w:r>
      <w:r w:rsidR="008326B9">
        <w:t xml:space="preserve"> </w:t>
      </w:r>
      <w:r w:rsidRPr="00CC170B">
        <w:t>típusú</w:t>
      </w:r>
      <w:r w:rsidR="00ED4444" w:rsidRPr="00CC170B">
        <w:t xml:space="preserve"> </w:t>
      </w:r>
      <w:r w:rsidRPr="00CC170B">
        <w:t>kalciumcsatorna-gátlók, egyes HMG-CoA-reduktáz-inhibitorok, pl. sztatinok) plazmaszintjét is.</w:t>
      </w:r>
    </w:p>
    <w:p w14:paraId="550C30FF" w14:textId="77777777" w:rsidR="00FC0D76" w:rsidRPr="00CC170B" w:rsidRDefault="00FC0D76" w:rsidP="00FC0D76"/>
    <w:p w14:paraId="4FC0808D" w14:textId="6884B76F" w:rsidR="00FC0D76" w:rsidRPr="00CC170B" w:rsidRDefault="00FC0D76" w:rsidP="00FC0D76">
      <w:r w:rsidRPr="00CC170B">
        <w:t xml:space="preserve">Az imatinib alkalmazásával ismerten együtt járó, emelkedett vérzési rizikó </w:t>
      </w:r>
      <w:r w:rsidR="008326B9" w:rsidRPr="00CC170B">
        <w:t>(pl. haemorrhagia)</w:t>
      </w:r>
      <w:r w:rsidR="008326B9">
        <w:t xml:space="preserve"> </w:t>
      </w:r>
      <w:r w:rsidRPr="00CC170B">
        <w:t>miatt antikoaguláns kezelésre szoruló betegeknek kumarinszármazékok, például a warfarin helyett kis molekulatömegű vagy standard heparint kell kapniuk.</w:t>
      </w:r>
    </w:p>
    <w:p w14:paraId="271079DD" w14:textId="77777777" w:rsidR="00FC0D76" w:rsidRPr="00CC170B" w:rsidRDefault="00FC0D76" w:rsidP="00FC0D76"/>
    <w:p w14:paraId="3E1FE88E" w14:textId="6CE3F0DF" w:rsidR="00FC0D76" w:rsidRPr="00CC170B" w:rsidRDefault="00FC0D76" w:rsidP="00FC0D76">
      <w:r w:rsidRPr="00CC170B">
        <w:rPr>
          <w:i/>
        </w:rPr>
        <w:t xml:space="preserve">In vitro </w:t>
      </w:r>
      <w:r w:rsidR="00F65A4E" w:rsidRPr="00CC170B">
        <w:t xml:space="preserve">az </w:t>
      </w:r>
      <w:r w:rsidR="00ED4444" w:rsidRPr="00CC170B">
        <w:t xml:space="preserve">imatinib </w:t>
      </w:r>
      <w:r w:rsidRPr="00CC170B">
        <w:t xml:space="preserve">a citokróm P450 CYP2D6 izoenzim aktivitását hasonló koncentrációban gátolja, </w:t>
      </w:r>
      <w:r w:rsidRPr="00CC170B">
        <w:lastRenderedPageBreak/>
        <w:t>mint amely a CYP3A4-aktivitást befolyásol</w:t>
      </w:r>
      <w:r w:rsidR="008326B9">
        <w:t>ná</w:t>
      </w:r>
      <w:r w:rsidRPr="00CC170B">
        <w:t>. Az imatinib</w:t>
      </w:r>
      <w:r w:rsidR="00ED4444" w:rsidRPr="00CC170B">
        <w:t xml:space="preserve"> </w:t>
      </w:r>
      <w:r w:rsidR="0087414E" w:rsidRPr="00CC170B">
        <w:t>nap</w:t>
      </w:r>
      <w:r w:rsidRPr="00CC170B">
        <w:t>i 2</w:t>
      </w:r>
      <w:r w:rsidR="00ED4444" w:rsidRPr="00CC170B">
        <w:t> </w:t>
      </w:r>
      <w:r w:rsidRPr="00CC170B">
        <w:t>×</w:t>
      </w:r>
      <w:r w:rsidR="00ED4444" w:rsidRPr="00CC170B">
        <w:t> </w:t>
      </w:r>
      <w:r w:rsidRPr="00CC170B">
        <w:t>400 mg adagban gátló hatást gyakorolt a metoprolol CYP2D6 által mediált metabolizmusára, melynek következtében a metoprolol C</w:t>
      </w:r>
      <w:r w:rsidRPr="00CC170B">
        <w:rPr>
          <w:vertAlign w:val="subscript"/>
        </w:rPr>
        <w:t>max</w:t>
      </w:r>
      <w:r w:rsidRPr="00CC170B">
        <w:t>- és AUC-értéke körülbelül 23%-kal növekedett (90%-os CI [1,16</w:t>
      </w:r>
      <w:r w:rsidR="008326B9">
        <w:t>–</w:t>
      </w:r>
      <w:r w:rsidRPr="00CC170B">
        <w:t>1,30]). Úgy tűnik, hogy az imatinib és a CYP2D6-szubsztrátok egyidejű alkalmazása esetén nincs szükség adagmódosításra, azonban óvatosság javasolt a szűk terápiás ablakú CYP2D6-szubsztrátok (pl. metoprolol) esetén. Metoprolollal kezelt betegek esetében megfontolandó a rendszeres klinikai</w:t>
      </w:r>
      <w:r w:rsidRPr="00CC170B">
        <w:rPr>
          <w:spacing w:val="-6"/>
        </w:rPr>
        <w:t xml:space="preserve"> </w:t>
      </w:r>
      <w:r w:rsidRPr="00CC170B">
        <w:t>ellenőrzés.</w:t>
      </w:r>
    </w:p>
    <w:p w14:paraId="69295E2F" w14:textId="77777777" w:rsidR="00FC0D76" w:rsidRPr="00CC170B" w:rsidRDefault="00FC0D76" w:rsidP="00FC0D76"/>
    <w:p w14:paraId="263EC0DC" w14:textId="3AC8C543" w:rsidR="00FC0D76" w:rsidRPr="00CC170B" w:rsidRDefault="00430469" w:rsidP="00FC0D76">
      <w:r w:rsidRPr="00CC170B">
        <w:t xml:space="preserve">Az </w:t>
      </w:r>
      <w:r w:rsidR="00ED4444" w:rsidRPr="00CC170B">
        <w:t xml:space="preserve">imatinib </w:t>
      </w:r>
      <w:r w:rsidR="00FC0D76" w:rsidRPr="00CC170B">
        <w:rPr>
          <w:i/>
        </w:rPr>
        <w:t xml:space="preserve">in vitro </w:t>
      </w:r>
      <w:r w:rsidR="00FC0D76" w:rsidRPr="00CC170B">
        <w:t xml:space="preserve">gátolja a paracetamol </w:t>
      </w:r>
      <w:r w:rsidR="00FC0D76" w:rsidRPr="00CC170B">
        <w:rPr>
          <w:iCs/>
        </w:rPr>
        <w:t>O</w:t>
      </w:r>
      <w:r w:rsidR="00FC0D76" w:rsidRPr="00CC170B">
        <w:rPr>
          <w:i/>
        </w:rPr>
        <w:t>-</w:t>
      </w:r>
      <w:r w:rsidR="00FC0D76" w:rsidRPr="00CC170B">
        <w:t>glükuronidációját 58,5</w:t>
      </w:r>
      <w:r w:rsidR="00ED4444" w:rsidRPr="00CC170B">
        <w:t> </w:t>
      </w:r>
      <w:r w:rsidR="00FC0D76" w:rsidRPr="00CC170B">
        <w:t>mikromol/l K</w:t>
      </w:r>
      <w:r w:rsidR="00FC0D76" w:rsidRPr="00931686">
        <w:rPr>
          <w:vertAlign w:val="subscript"/>
        </w:rPr>
        <w:t>i</w:t>
      </w:r>
      <w:r w:rsidR="00FC0D76" w:rsidRPr="00CC170B">
        <w:t xml:space="preserve">-érték mellett. Ez a gátló hatás </w:t>
      </w:r>
      <w:r w:rsidR="00FC0D76" w:rsidRPr="00CC170B">
        <w:rPr>
          <w:i/>
        </w:rPr>
        <w:t>in vivo</w:t>
      </w:r>
      <w:r w:rsidR="00FC0D76" w:rsidRPr="00CC170B">
        <w:t xml:space="preserve">, 400 mg </w:t>
      </w:r>
      <w:r w:rsidR="00ED4444" w:rsidRPr="00CC170B">
        <w:t xml:space="preserve">imatinib </w:t>
      </w:r>
      <w:r w:rsidR="00FC0D76" w:rsidRPr="00CC170B">
        <w:t>és 1000 mg paracetamol beadása után nem volt tapasztalható.</w:t>
      </w:r>
      <w:r w:rsidR="00ED4444" w:rsidRPr="00CC170B">
        <w:t xml:space="preserve"> </w:t>
      </w:r>
      <w:r w:rsidR="00FC0D76" w:rsidRPr="00CC170B">
        <w:t xml:space="preserve">Nagyobb </w:t>
      </w:r>
      <w:r w:rsidR="00ED4444" w:rsidRPr="00CC170B">
        <w:t>imatinib</w:t>
      </w:r>
      <w:r w:rsidR="00FC0D76" w:rsidRPr="00CC170B">
        <w:t>- és paracetamol-dózist nem vizsgáltak.</w:t>
      </w:r>
    </w:p>
    <w:p w14:paraId="50797463" w14:textId="77777777" w:rsidR="00FC0D76" w:rsidRPr="00CC170B" w:rsidRDefault="00FC0D76" w:rsidP="00FC0D76"/>
    <w:p w14:paraId="798FD0D6" w14:textId="00085664" w:rsidR="00FC0D76" w:rsidRPr="00CC170B" w:rsidRDefault="00FC0D76" w:rsidP="00FC0D76">
      <w:r w:rsidRPr="00CC170B">
        <w:t>Ezért</w:t>
      </w:r>
      <w:r w:rsidR="004D10F5">
        <w:t xml:space="preserve"> az</w:t>
      </w:r>
      <w:r w:rsidRPr="00CC170B">
        <w:t xml:space="preserve"> </w:t>
      </w:r>
      <w:r w:rsidR="00ED4444" w:rsidRPr="00CC170B">
        <w:t xml:space="preserve">imatinib </w:t>
      </w:r>
      <w:r w:rsidRPr="00CC170B">
        <w:t xml:space="preserve">és </w:t>
      </w:r>
      <w:r w:rsidR="004D10F5">
        <w:t xml:space="preserve">a </w:t>
      </w:r>
      <w:r w:rsidRPr="00CC170B">
        <w:t>paracetamol egyidejű, nagy dózisban történő alkalmazása során óvatosságra van</w:t>
      </w:r>
      <w:r w:rsidR="00ED4444" w:rsidRPr="00CC170B">
        <w:t xml:space="preserve"> </w:t>
      </w:r>
      <w:r w:rsidRPr="00CC170B">
        <w:t>szükség.</w:t>
      </w:r>
    </w:p>
    <w:p w14:paraId="1D4B9CED" w14:textId="77777777" w:rsidR="00FC0D76" w:rsidRPr="00CC170B" w:rsidRDefault="00FC0D76" w:rsidP="00FC0D76"/>
    <w:p w14:paraId="78CFFB3F" w14:textId="7F9C89D4" w:rsidR="00FC0D76" w:rsidRPr="00CC170B" w:rsidRDefault="00FC0D76" w:rsidP="00FC0D76">
      <w:r w:rsidRPr="00CC170B">
        <w:t>Levotiroxin-kezelésben részesülő, thyreoidectomián átesett betegek</w:t>
      </w:r>
      <w:r w:rsidR="004D10F5">
        <w:t>nél</w:t>
      </w:r>
      <w:r w:rsidRPr="00CC170B">
        <w:t xml:space="preserve"> a levotiroxin plazmaexpozíciója csökkenhet </w:t>
      </w:r>
      <w:r w:rsidR="00ED4444" w:rsidRPr="00CC170B">
        <w:t xml:space="preserve">imatinib </w:t>
      </w:r>
      <w:r w:rsidRPr="00CC170B">
        <w:t>egyidejű alkalmazása esetén (lásd 4.4 pont). Ezért ilyen esetben óvatosság javasolt. A megfigyelt interakció mechanizmusa azonban jelenleg nem ismert.</w:t>
      </w:r>
    </w:p>
    <w:p w14:paraId="5DE6A735" w14:textId="77777777" w:rsidR="00FC0D76" w:rsidRPr="00CC170B" w:rsidRDefault="00FC0D76" w:rsidP="00FC0D76"/>
    <w:p w14:paraId="74A977E3" w14:textId="33607CBB" w:rsidR="00FC0D76" w:rsidRPr="00CC170B" w:rsidRDefault="00FC0D76" w:rsidP="00FC0D76">
      <w:r w:rsidRPr="00CC170B">
        <w:t xml:space="preserve">Ph+ ALL-es betegek esetében </w:t>
      </w:r>
      <w:r w:rsidR="00F65A4E" w:rsidRPr="00CC170B">
        <w:t xml:space="preserve">az </w:t>
      </w:r>
      <w:r w:rsidR="00ED4444" w:rsidRPr="00CC170B">
        <w:t xml:space="preserve">imatinib </w:t>
      </w:r>
      <w:r w:rsidRPr="00CC170B">
        <w:t xml:space="preserve">kemoterápiával történő egyidejű alkalmazására vonatkozóan rendelkezésre áll klinikai tapasztalat (lásd 5.1 pont), de az imatinib és a kemoterápiás szerek közötti gyógyszerkölcsönhatás nincs megfelelően meghatározva. Az imatinib által kiváltott nemkívánatos események (pl. hepatotoxicitás, myelosuppressio, stb.) fokozódhatnak, valamint beszámoltak arról, hogy az imatinib </w:t>
      </w:r>
      <w:r w:rsidR="004D10F5" w:rsidRPr="00CC170B">
        <w:t xml:space="preserve">egyidejű alkalmazása </w:t>
      </w:r>
      <w:r w:rsidRPr="00CC170B">
        <w:t xml:space="preserve">L-aszparaginázzal </w:t>
      </w:r>
      <w:r w:rsidR="004D10F5">
        <w:t>fokozott</w:t>
      </w:r>
      <w:r w:rsidRPr="00CC170B">
        <w:t xml:space="preserve"> hepatotoxicitással járhat (lásd 4.8 pont). Ezért </w:t>
      </w:r>
      <w:r w:rsidR="00F65A4E" w:rsidRPr="00CC170B">
        <w:t xml:space="preserve">az </w:t>
      </w:r>
      <w:r w:rsidR="009E2125" w:rsidRPr="00CC170B">
        <w:t xml:space="preserve">imatinib </w:t>
      </w:r>
      <w:r w:rsidRPr="00CC170B">
        <w:t>kombinációban történő alkalmazása fokozott körültekintést igényel.</w:t>
      </w:r>
    </w:p>
    <w:p w14:paraId="2469454A" w14:textId="77777777" w:rsidR="00FC0D76" w:rsidRPr="00CC170B" w:rsidRDefault="00FC0D76" w:rsidP="00FC0D76"/>
    <w:p w14:paraId="17D26515" w14:textId="179DEF5F" w:rsidR="00FC0D76" w:rsidRPr="00CC170B" w:rsidRDefault="00FC0D76" w:rsidP="00FC0D76">
      <w:r w:rsidRPr="00CC170B">
        <w:t>Az imatinib késleltetheti a metotrexát clearance-ét, főként, ha a metotrexátot nagy dózisban</w:t>
      </w:r>
      <w:r w:rsidR="008830D8" w:rsidRPr="00CC170B">
        <w:t xml:space="preserve"> </w:t>
      </w:r>
      <w:r w:rsidRPr="00CC170B">
        <w:t>(&gt;500 mg/m</w:t>
      </w:r>
      <w:r w:rsidRPr="00CC170B">
        <w:rPr>
          <w:vertAlign w:val="superscript"/>
        </w:rPr>
        <w:t>2</w:t>
      </w:r>
      <w:r w:rsidRPr="00CC170B">
        <w:t xml:space="preserve">) alkalmazzák. </w:t>
      </w:r>
      <w:r w:rsidR="00430469" w:rsidRPr="00CC170B">
        <w:t xml:space="preserve">Az </w:t>
      </w:r>
      <w:r w:rsidR="009E2125" w:rsidRPr="00CC170B">
        <w:t xml:space="preserve">imatinib </w:t>
      </w:r>
      <w:r w:rsidRPr="00CC170B">
        <w:t>metotrexáttal való együttes alkalmazása esetén elővigyázatosság</w:t>
      </w:r>
      <w:r w:rsidR="009E2125" w:rsidRPr="00CC170B">
        <w:t xml:space="preserve"> </w:t>
      </w:r>
      <w:r w:rsidRPr="00CC170B">
        <w:t>javasolt.</w:t>
      </w:r>
    </w:p>
    <w:p w14:paraId="7D7C8F1F" w14:textId="77777777" w:rsidR="00FC0D76" w:rsidRPr="00CC170B" w:rsidRDefault="00FC0D76" w:rsidP="00FC0D76"/>
    <w:p w14:paraId="2E8B96D1" w14:textId="0B99CE08" w:rsidR="00FC0D76" w:rsidRPr="00CC170B" w:rsidRDefault="009E2125" w:rsidP="009E2125">
      <w:pPr>
        <w:tabs>
          <w:tab w:val="left" w:pos="567"/>
        </w:tabs>
        <w:rPr>
          <w:b/>
          <w:bCs/>
        </w:rPr>
      </w:pPr>
      <w:r w:rsidRPr="00CC170B">
        <w:rPr>
          <w:b/>
          <w:bCs/>
        </w:rPr>
        <w:t>4.6</w:t>
      </w:r>
      <w:r w:rsidRPr="00CC170B">
        <w:rPr>
          <w:b/>
          <w:bCs/>
        </w:rPr>
        <w:tab/>
      </w:r>
      <w:r w:rsidR="00FC0D76" w:rsidRPr="00CC170B">
        <w:rPr>
          <w:b/>
          <w:bCs/>
        </w:rPr>
        <w:t>Termékenység, terhesség és</w:t>
      </w:r>
      <w:r w:rsidR="00FC0D76" w:rsidRPr="00CC170B">
        <w:rPr>
          <w:b/>
          <w:bCs/>
          <w:spacing w:val="-1"/>
        </w:rPr>
        <w:t xml:space="preserve"> </w:t>
      </w:r>
      <w:r w:rsidR="00FC0D76" w:rsidRPr="00CC170B">
        <w:rPr>
          <w:b/>
          <w:bCs/>
        </w:rPr>
        <w:t>szoptatás</w:t>
      </w:r>
    </w:p>
    <w:p w14:paraId="3C25A1D3" w14:textId="77777777" w:rsidR="00FC0D76" w:rsidRPr="00CC170B" w:rsidRDefault="00FC0D76" w:rsidP="00FC0D76">
      <w:pPr>
        <w:rPr>
          <w:bCs/>
        </w:rPr>
      </w:pPr>
    </w:p>
    <w:p w14:paraId="0ABDE396" w14:textId="77777777" w:rsidR="00FC0D76" w:rsidRPr="00CC170B" w:rsidRDefault="00FC0D76" w:rsidP="00FC0D76">
      <w:r w:rsidRPr="00CC170B">
        <w:rPr>
          <w:u w:val="single"/>
        </w:rPr>
        <w:t>Fogamzóképes nők</w:t>
      </w:r>
    </w:p>
    <w:p w14:paraId="31D0B35B" w14:textId="77777777" w:rsidR="00FC0D76" w:rsidRPr="00CC170B" w:rsidRDefault="00FC0D76" w:rsidP="00FC0D76"/>
    <w:p w14:paraId="2E7D76F0" w14:textId="528C79AB" w:rsidR="00FC0D76" w:rsidRPr="00CC170B" w:rsidRDefault="00FC0D76" w:rsidP="00FC0D76">
      <w:r w:rsidRPr="00CC170B">
        <w:t>Fogamzóképes nőknek javasolni kell, hogy alkalmazzanak hatékony fogamzásgátlást a kezelés alatt, és még legalább 15</w:t>
      </w:r>
      <w:r w:rsidR="0087414E" w:rsidRPr="00CC170B">
        <w:t> nap</w:t>
      </w:r>
      <w:r w:rsidRPr="00CC170B">
        <w:t xml:space="preserve">ig </w:t>
      </w:r>
      <w:r w:rsidR="00F65A4E" w:rsidRPr="00CC170B">
        <w:t xml:space="preserve">az </w:t>
      </w:r>
      <w:r w:rsidR="009E2125" w:rsidRPr="00CC170B">
        <w:t>imatinib</w:t>
      </w:r>
      <w:r w:rsidRPr="00CC170B">
        <w:t>-kezelés befejezését követően.</w:t>
      </w:r>
    </w:p>
    <w:p w14:paraId="1E48969A" w14:textId="77777777" w:rsidR="00FC0D76" w:rsidRPr="00CC170B" w:rsidRDefault="00FC0D76" w:rsidP="00FC0D76"/>
    <w:p w14:paraId="61C65B60" w14:textId="77777777" w:rsidR="00FC0D76" w:rsidRPr="00CC170B" w:rsidRDefault="00FC0D76" w:rsidP="00FC0D76">
      <w:r w:rsidRPr="00CC170B">
        <w:rPr>
          <w:u w:val="single"/>
        </w:rPr>
        <w:t>Terhesség</w:t>
      </w:r>
    </w:p>
    <w:p w14:paraId="11AC4C04" w14:textId="77777777" w:rsidR="00FC0D76" w:rsidRPr="00CC170B" w:rsidRDefault="00FC0D76" w:rsidP="00FC0D76"/>
    <w:p w14:paraId="19ECFCA3" w14:textId="20F4D665" w:rsidR="00FC0D76" w:rsidRPr="00CC170B" w:rsidRDefault="00FC0D76" w:rsidP="00FC0D76">
      <w:r w:rsidRPr="00CC170B">
        <w:t xml:space="preserve">Az imatinib terhes nőknél történő alkalmazásról korlátozott mennyiségű adat áll rendelkezésre. </w:t>
      </w:r>
      <w:r w:rsidR="004D10F5">
        <w:t>Az i</w:t>
      </w:r>
      <w:r w:rsidR="009E2125" w:rsidRPr="00CC170B">
        <w:t xml:space="preserve">matinibet </w:t>
      </w:r>
      <w:r w:rsidRPr="00CC170B">
        <w:t xml:space="preserve">szedő nők esetében a forgalomba hozatalt követően beszámoltak spontán vetélésről és a gyermek veleszületett rendellenességeiről. Az állatokkal végzett vizsgálatok azonban reprodukciós toxicitást igazoltak (lásd 5.3 pont), a magzatra gyakorolt potenciális kockázat nem ismert. </w:t>
      </w:r>
      <w:r w:rsidR="00430469" w:rsidRPr="00CC170B">
        <w:t xml:space="preserve">Az </w:t>
      </w:r>
      <w:r w:rsidR="009E2125" w:rsidRPr="00CC170B">
        <w:t>imatinib</w:t>
      </w:r>
      <w:r w:rsidRPr="00CC170B">
        <w:t xml:space="preserve"> nem alkalmazható terhesség alatt, kivéve, ha erre egyértelműen szükség van. Amennyiben terhesség során alkalmazzák, a beteget tájékoztatni kell a </w:t>
      </w:r>
      <w:r w:rsidR="00011E0C">
        <w:t>magzat</w:t>
      </w:r>
      <w:r w:rsidRPr="00CC170B">
        <w:t>ra gyakorolt potenciális kockázatról.</w:t>
      </w:r>
    </w:p>
    <w:p w14:paraId="52B7EEFC" w14:textId="77777777" w:rsidR="00FC0D76" w:rsidRPr="00CC170B" w:rsidRDefault="00FC0D76" w:rsidP="00FC0D76"/>
    <w:p w14:paraId="75581D93" w14:textId="77777777" w:rsidR="00FC0D76" w:rsidRPr="00CC170B" w:rsidRDefault="00FC0D76" w:rsidP="00FC0D76">
      <w:r w:rsidRPr="00CC170B">
        <w:rPr>
          <w:u w:val="single"/>
        </w:rPr>
        <w:t>Szoptatás</w:t>
      </w:r>
    </w:p>
    <w:p w14:paraId="50737D0C" w14:textId="77777777" w:rsidR="00FC0D76" w:rsidRPr="00CC170B" w:rsidRDefault="00FC0D76" w:rsidP="00FC0D76"/>
    <w:p w14:paraId="79911DE2" w14:textId="4D752ED1" w:rsidR="00FC0D76" w:rsidRPr="00CC170B" w:rsidRDefault="00FC0D76" w:rsidP="00FC0D76">
      <w:r w:rsidRPr="00CC170B">
        <w:t>Korlátozott mennyiségű információ áll rendelkezésre az imatinib emberi anyatejbe történő átjutásáról. Két szoptató nő bevonásával végzett vizsgálat</w:t>
      </w:r>
      <w:r w:rsidR="00E2038B" w:rsidRPr="00CC170B">
        <w:t>ok</w:t>
      </w:r>
      <w:r w:rsidR="009E2125" w:rsidRPr="00CC170B">
        <w:t>ban</w:t>
      </w:r>
      <w:r w:rsidRPr="00CC170B">
        <w:t xml:space="preserve"> kimutatták, hogy mind az imatinib, mind annak aktív metabolitja átjuthat az emberi anyatejbe. A</w:t>
      </w:r>
      <w:r w:rsidR="004D10F5">
        <w:t>z anya</w:t>
      </w:r>
      <w:r w:rsidRPr="00CC170B">
        <w:t>tej</w:t>
      </w:r>
      <w:r w:rsidR="004D10F5">
        <w:t>/</w:t>
      </w:r>
      <w:r w:rsidRPr="00CC170B">
        <w:t xml:space="preserve">plazma arány – melyet egyetlen betegnél vizsgáltak – az imatinib esetén 0,5-nek, metabolitja esetén 0,9-nek </w:t>
      </w:r>
      <w:r w:rsidR="004D10F5">
        <w:t>bizonyult</w:t>
      </w:r>
      <w:r w:rsidRPr="00CC170B">
        <w:t>, ami arra utal, hogy a metabolit nagyobb mértékben jut át az anyatejbe. Tekintettel az imatinib és a metabolit együttes koncentrációjára és a csecsemők</w:t>
      </w:r>
      <w:r w:rsidR="009E2125" w:rsidRPr="00CC170B">
        <w:t xml:space="preserve"> </w:t>
      </w:r>
      <w:r w:rsidR="0087414E" w:rsidRPr="00CC170B">
        <w:t>nap</w:t>
      </w:r>
      <w:r w:rsidRPr="00CC170B">
        <w:t>i maximális tejfogyasztására, a teljes expozíció várhatóan alacsony lesz (a terápiás adag kb. 10%-a). Mivel azonban a csecsemő kis dózisú imatinib</w:t>
      </w:r>
      <w:r w:rsidR="00E2038B" w:rsidRPr="00CC170B">
        <w:noBreakHyphen/>
      </w:r>
      <w:r w:rsidRPr="00CC170B">
        <w:t xml:space="preserve">expozíciójának hatása nem ismert, az anya a kezelés alatt és </w:t>
      </w:r>
      <w:r w:rsidR="00F65A4E" w:rsidRPr="00CC170B">
        <w:t xml:space="preserve">az </w:t>
      </w:r>
      <w:r w:rsidR="00E2038B" w:rsidRPr="00CC170B">
        <w:t>imatinib</w:t>
      </w:r>
      <w:r w:rsidRPr="00CC170B">
        <w:t>-kezelés befejezését követően még legalább 15</w:t>
      </w:r>
      <w:r w:rsidR="0087414E" w:rsidRPr="00CC170B">
        <w:t> nap</w:t>
      </w:r>
      <w:r w:rsidRPr="00CC170B">
        <w:t>ig nem szoptathat.</w:t>
      </w:r>
    </w:p>
    <w:p w14:paraId="4F344FDA" w14:textId="77777777" w:rsidR="00FC0D76" w:rsidRPr="00CC170B" w:rsidRDefault="00FC0D76" w:rsidP="00FC0D76"/>
    <w:p w14:paraId="24E835A3" w14:textId="77777777" w:rsidR="00FC0D76" w:rsidRPr="00CC170B" w:rsidRDefault="00FC0D76" w:rsidP="00FC0D76">
      <w:r w:rsidRPr="00CC170B">
        <w:rPr>
          <w:u w:val="single"/>
        </w:rPr>
        <w:lastRenderedPageBreak/>
        <w:t>Termékenység</w:t>
      </w:r>
    </w:p>
    <w:p w14:paraId="7B5E8714" w14:textId="77777777" w:rsidR="00FC0D76" w:rsidRPr="00CC170B" w:rsidRDefault="00FC0D76" w:rsidP="00FC0D76"/>
    <w:p w14:paraId="7470F470" w14:textId="0A8C323F" w:rsidR="00FC0D76" w:rsidRPr="00CC170B" w:rsidRDefault="00FC0D76" w:rsidP="00FC0D76">
      <w:r w:rsidRPr="00CC170B">
        <w:t>Nem klinikai vizsgálatokban a hím és nőstény patkányok termékenysége nem változott, bár tapasztaltak a reprodukciós paraméterekre kifejtett hatásokat (lásd 5.3 pont). Imatinibet kapó betegekkel</w:t>
      </w:r>
      <w:r w:rsidR="004D10F5">
        <w:t xml:space="preserve"> végzett</w:t>
      </w:r>
      <w:r w:rsidRPr="00CC170B">
        <w:t xml:space="preserve">, </w:t>
      </w:r>
      <w:r w:rsidR="00E2038B" w:rsidRPr="00CC170B">
        <w:t>az imatinib</w:t>
      </w:r>
      <w:r w:rsidRPr="00CC170B">
        <w:t xml:space="preserve"> fertilitásra és gametogenesisre gyakorolt hatásait értékelő vizsgálatok nem </w:t>
      </w:r>
      <w:r w:rsidR="004D10F5">
        <w:t>történ</w:t>
      </w:r>
      <w:r w:rsidRPr="00CC170B">
        <w:t xml:space="preserve">tek. </w:t>
      </w:r>
      <w:r w:rsidR="00430469" w:rsidRPr="00CC170B">
        <w:t xml:space="preserve">Az </w:t>
      </w:r>
      <w:r w:rsidR="00E2038B" w:rsidRPr="00CC170B">
        <w:t>imatinib</w:t>
      </w:r>
      <w:r w:rsidRPr="00CC170B">
        <w:t>-kezelést kapó, a termékenységük miatt aggódó betegeknek beszélniük kell kezelőorvosukkal.</w:t>
      </w:r>
    </w:p>
    <w:p w14:paraId="2C5E555D" w14:textId="77777777" w:rsidR="00FC0D76" w:rsidRPr="00CC170B" w:rsidRDefault="00FC0D76" w:rsidP="00FC0D76"/>
    <w:p w14:paraId="39FDA12F" w14:textId="10557491" w:rsidR="00FC0D76" w:rsidRPr="00CC170B" w:rsidRDefault="00E2038B" w:rsidP="00E2038B">
      <w:pPr>
        <w:tabs>
          <w:tab w:val="left" w:pos="567"/>
        </w:tabs>
        <w:rPr>
          <w:b/>
          <w:bCs/>
        </w:rPr>
      </w:pPr>
      <w:r w:rsidRPr="00CC170B">
        <w:rPr>
          <w:b/>
          <w:bCs/>
        </w:rPr>
        <w:t>4.7</w:t>
      </w:r>
      <w:r w:rsidRPr="00CC170B">
        <w:rPr>
          <w:b/>
          <w:bCs/>
        </w:rPr>
        <w:tab/>
      </w:r>
      <w:r w:rsidR="00FC0D76" w:rsidRPr="00CC170B">
        <w:rPr>
          <w:b/>
          <w:bCs/>
        </w:rPr>
        <w:t>A készítmény hatásai a gépjárművezetéshez és a gépek kezeléséhez szükséges</w:t>
      </w:r>
      <w:r w:rsidR="00FC0D76" w:rsidRPr="00CC170B">
        <w:rPr>
          <w:b/>
          <w:bCs/>
          <w:spacing w:val="-15"/>
        </w:rPr>
        <w:t xml:space="preserve"> </w:t>
      </w:r>
      <w:r w:rsidR="00FC0D76" w:rsidRPr="00CC170B">
        <w:rPr>
          <w:b/>
          <w:bCs/>
        </w:rPr>
        <w:t>képességekre</w:t>
      </w:r>
    </w:p>
    <w:p w14:paraId="521D5E17" w14:textId="77777777" w:rsidR="00FC0D76" w:rsidRPr="00CC170B" w:rsidRDefault="00FC0D76" w:rsidP="00FC0D76">
      <w:pPr>
        <w:rPr>
          <w:bCs/>
        </w:rPr>
      </w:pPr>
    </w:p>
    <w:p w14:paraId="4BAF8646" w14:textId="615C39EF" w:rsidR="00FC0D76" w:rsidRPr="00CC170B" w:rsidRDefault="00FC0D76" w:rsidP="00FC0D76">
      <w:r w:rsidRPr="00CC170B">
        <w:t>A betegeket figyelmeztetni kell, hogy az imatinib-terápia ideje alatt mellékhatásokat, például szédülést, homályos látást és aluszékonyságot tapasztalhatnak. Ezért óvatosság javasolt gépjárművezetés és gép</w:t>
      </w:r>
      <w:r w:rsidR="00622B80" w:rsidRPr="00CC170B">
        <w:t xml:space="preserve">ek </w:t>
      </w:r>
      <w:r w:rsidRPr="00CC170B">
        <w:t>kezelés</w:t>
      </w:r>
      <w:r w:rsidR="00622B80" w:rsidRPr="00CC170B">
        <w:t>ének</w:t>
      </w:r>
      <w:r w:rsidRPr="00CC170B">
        <w:t xml:space="preserve"> ideje alatt.</w:t>
      </w:r>
    </w:p>
    <w:p w14:paraId="27BF172E" w14:textId="77777777" w:rsidR="00FC0D76" w:rsidRPr="00CC170B" w:rsidRDefault="00FC0D76" w:rsidP="00FC0D76"/>
    <w:p w14:paraId="68E8FAD4" w14:textId="6D5F3BD5" w:rsidR="00FC0D76" w:rsidRPr="00CC170B" w:rsidRDefault="00E2038B" w:rsidP="00E2038B">
      <w:pPr>
        <w:tabs>
          <w:tab w:val="left" w:pos="567"/>
        </w:tabs>
        <w:rPr>
          <w:b/>
          <w:bCs/>
        </w:rPr>
      </w:pPr>
      <w:r w:rsidRPr="00CC170B">
        <w:rPr>
          <w:b/>
          <w:bCs/>
        </w:rPr>
        <w:t>4.8</w:t>
      </w:r>
      <w:r w:rsidRPr="00CC170B">
        <w:rPr>
          <w:b/>
          <w:bCs/>
        </w:rPr>
        <w:tab/>
      </w:r>
      <w:r w:rsidR="00FC0D76" w:rsidRPr="00CC170B">
        <w:rPr>
          <w:b/>
          <w:bCs/>
        </w:rPr>
        <w:t>Nemkívánatos hatások,</w:t>
      </w:r>
      <w:r w:rsidR="00FC0D76" w:rsidRPr="00CC170B">
        <w:rPr>
          <w:b/>
          <w:bCs/>
          <w:spacing w:val="-2"/>
        </w:rPr>
        <w:t xml:space="preserve"> </w:t>
      </w:r>
      <w:r w:rsidR="00FC0D76" w:rsidRPr="00CC170B">
        <w:rPr>
          <w:b/>
          <w:bCs/>
        </w:rPr>
        <w:t>mellékhatások</w:t>
      </w:r>
    </w:p>
    <w:p w14:paraId="4CEB7CEB" w14:textId="77777777" w:rsidR="00FC0D76" w:rsidRPr="00CC170B" w:rsidRDefault="00FC0D76" w:rsidP="00FC0D76">
      <w:pPr>
        <w:rPr>
          <w:bCs/>
        </w:rPr>
      </w:pPr>
    </w:p>
    <w:p w14:paraId="01241E6A" w14:textId="77777777" w:rsidR="00FC0D76" w:rsidRPr="00CC170B" w:rsidRDefault="00FC0D76" w:rsidP="00FC0D76">
      <w:r w:rsidRPr="00CC170B">
        <w:t>Az előrehaladott stádiumú rosszindulatú betegségben szenvedő betegeknél számos olyan betegség lehet jelen, amely zavaró hatású lehet, illetve megnehezíti a mellékhatások ok–okozati összefüggéseinek megállapítását, mivel a különböző tüneteket az alapbetegség, a betegség progressziója, illetve az egyidejűleg adott számos más gyógyszer is okozhatja.</w:t>
      </w:r>
    </w:p>
    <w:p w14:paraId="61AF7038" w14:textId="77777777" w:rsidR="00FC0D76" w:rsidRPr="00CC170B" w:rsidRDefault="00FC0D76" w:rsidP="00FC0D76"/>
    <w:p w14:paraId="2270F887" w14:textId="00487833" w:rsidR="00FC0D76" w:rsidRPr="00CC170B" w:rsidRDefault="00FC0D76" w:rsidP="00FC0D76">
      <w:r w:rsidRPr="00CC170B">
        <w:t>CML-es betegek bevonásával végzett klinikai vizsgálatokban a gyógyszerszedést a gyógyszerrel összefüggő mellékhatások miatt felfüggesztették: az újonnan diagnosztizált betegek 2,4%-ánál; a késői krónikus fázisban, sikertelen interferon-kezelést követően a betegek 4%-ánál; akcelerált fázisban, sikertelen interferon-kezelést követően a betegek 4%-ánál; és sikertelen inetrferon-kezelést követően a blasztos krízis</w:t>
      </w:r>
      <w:r w:rsidR="006F72CB">
        <w:t>ben lévő</w:t>
      </w:r>
      <w:r w:rsidRPr="00CC170B">
        <w:t xml:space="preserve"> betegek 5%-ánál. A GIST-vizsgálatban a betegek 4%-ánál kellett felfüggeszteni a vizsgálati gyógyszer szedését a gyógyszerrel összefüggő mellékhatások</w:t>
      </w:r>
      <w:r w:rsidRPr="00CC170B">
        <w:rPr>
          <w:spacing w:val="-10"/>
        </w:rPr>
        <w:t xml:space="preserve"> </w:t>
      </w:r>
      <w:r w:rsidRPr="00CC170B">
        <w:t>miatt.</w:t>
      </w:r>
    </w:p>
    <w:p w14:paraId="62FB0C5C" w14:textId="77777777" w:rsidR="00FC0D76" w:rsidRPr="00CC170B" w:rsidRDefault="00FC0D76" w:rsidP="00FC0D76"/>
    <w:p w14:paraId="541623E6" w14:textId="3A1B8FB9" w:rsidR="00FC0D76" w:rsidRPr="00CC170B" w:rsidRDefault="00FC0D76" w:rsidP="00FC0D76">
      <w:r w:rsidRPr="00CC170B">
        <w:t xml:space="preserve">A mellékhatások, két kivételtől eltekintve, minden javallat esetén hasonlóak voltak. Myelosuppressio többször volt megfigyelhető a CML-es, mint a GIST-es betegeknél, valószínűleg az alapbetegség miatt. A nem reszekábilis és/vagy </w:t>
      </w:r>
      <w:r w:rsidR="006276E6" w:rsidRPr="00CC170B">
        <w:t>metasztatizáló</w:t>
      </w:r>
      <w:r w:rsidRPr="00CC170B">
        <w:t xml:space="preserve"> GIST-ben szenvedő betegekkel végzett vizsgálatban 7</w:t>
      </w:r>
      <w:r w:rsidR="00622B80" w:rsidRPr="00CC170B">
        <w:t> </w:t>
      </w:r>
      <w:r w:rsidRPr="00CC170B">
        <w:t>betegnél (5%) jelentkezett 3</w:t>
      </w:r>
      <w:r w:rsidR="006F72CB">
        <w:t>–</w:t>
      </w:r>
      <w:r w:rsidRPr="00CC170B">
        <w:t>4. CTC-fokozatú vérzés: gastrointestinalis vérzés 3 betegnél, intratumoralis vérzés 3</w:t>
      </w:r>
      <w:r w:rsidR="00622B80" w:rsidRPr="00CC170B">
        <w:t> </w:t>
      </w:r>
      <w:r w:rsidRPr="00CC170B">
        <w:t>betegnél és 1</w:t>
      </w:r>
      <w:r w:rsidR="00622B80" w:rsidRPr="00CC170B">
        <w:t> </w:t>
      </w:r>
      <w:r w:rsidRPr="00CC170B">
        <w:t>betegnél mindkettő. A gastrointestinalis vérzés forrása a gastrointestinalis tumor lehetett (lásd 4.4 pont). A gastrointestinalis, illetve intratumoralis vérzés súlyos és esetenként halálos kimenetelű is lehet. A leggyakrabban (</w:t>
      </w:r>
      <w:r w:rsidRPr="00CC170B">
        <w:rPr>
          <w:rFonts w:ascii="Symbol" w:hAnsi="Symbol"/>
        </w:rPr>
        <w:t></w:t>
      </w:r>
      <w:r w:rsidRPr="00CC170B">
        <w:t>10%) észlelt gyógyszer</w:t>
      </w:r>
      <w:r w:rsidR="006F72CB">
        <w:t>rel össze</w:t>
      </w:r>
      <w:r w:rsidRPr="00CC170B">
        <w:t>függő mellékhatás</w:t>
      </w:r>
      <w:r w:rsidR="006F72CB">
        <w:t>ok</w:t>
      </w:r>
      <w:r w:rsidRPr="00CC170B">
        <w:t xml:space="preserve"> mindkét betegségben az enyhe hányinger, hányás, hasmenés, hasi fájdalom, fáradtság, myalgia és izomgörcsök, valamint a bőrkiütés volt. Valamennyi vizsgálatban gyakori jelenség volt a felületes ödéma, amit elsősorban periorbitalisan vagy az alsó végtagon lehetett észlelni. Ezek az ödémák azonban csak ritkán voltak súlyosak, és diuretikummal vagy egyéb szupportív módon, illetve </w:t>
      </w:r>
      <w:r w:rsidR="00F65A4E" w:rsidRPr="00CC170B">
        <w:t xml:space="preserve">az </w:t>
      </w:r>
      <w:r w:rsidR="00622B80" w:rsidRPr="00CC170B">
        <w:t>i</w:t>
      </w:r>
      <w:r w:rsidR="00D07FC6" w:rsidRPr="00CC170B">
        <w:t>matinib</w:t>
      </w:r>
      <w:r w:rsidRPr="00CC170B">
        <w:t xml:space="preserve"> adagjának csökkentésével kezelhetők voltak.</w:t>
      </w:r>
    </w:p>
    <w:p w14:paraId="706C1FC5" w14:textId="77777777" w:rsidR="00FC0D76" w:rsidRPr="00CC170B" w:rsidRDefault="00FC0D76" w:rsidP="00FC0D76"/>
    <w:p w14:paraId="7F0BB403" w14:textId="77777777" w:rsidR="00FC0D76" w:rsidRPr="00CC170B" w:rsidRDefault="00FC0D76" w:rsidP="00FC0D76">
      <w:r w:rsidRPr="00CC170B">
        <w:t>Amikor Ph+ ALL-es betegeknél az imatinibet nagy dózisú kemoterápiával kombinációban alkalmazták, átmeneti hepatotoxicitást figyeltek meg, ami a transzaminázszintek emelkedése és hyperbilirubinaemia formájában jelentkezett. A korlátozott biztonságossági adatbázis alapján a gyermekeknél és serdülőknél eddig jelentett nemkívánatos események a Ph+ ALL-ben szenvedő felnőtt betegek ismert biztonságossági profiljával egyeznek. A Ph+ ALL-ben szenvedő gyermekek és serdülők biztonságossági adatbázisa nagyon korlátozott, bár új biztonságossági aggályt nem azonosítottak.</w:t>
      </w:r>
    </w:p>
    <w:p w14:paraId="7F05C335" w14:textId="77777777" w:rsidR="00FC0D76" w:rsidRPr="00CC170B" w:rsidRDefault="00FC0D76" w:rsidP="00FC0D76"/>
    <w:p w14:paraId="079DFB03" w14:textId="221D3AE5" w:rsidR="00FC0D76" w:rsidRPr="00CC170B" w:rsidRDefault="00FC0D76" w:rsidP="00FC0D76">
      <w:r w:rsidRPr="00CC170B">
        <w:t>Az egyéb mellékhatások, mint a pleuralis folyadékgyülem, ascites, tüdőödéma és a gyors</w:t>
      </w:r>
      <w:r w:rsidR="008830D8" w:rsidRPr="00CC170B">
        <w:t xml:space="preserve"> </w:t>
      </w:r>
      <w:r w:rsidRPr="00CC170B">
        <w:t xml:space="preserve">testtömeg-gyarapodás felszíni ödémával vagy anélkül, „folyadékretenció” gyűjtőnévvel jellemezhetők. Ezen mellékhatások általában </w:t>
      </w:r>
      <w:r w:rsidR="00F65A4E" w:rsidRPr="00CC170B">
        <w:t xml:space="preserve">az </w:t>
      </w:r>
      <w:r w:rsidR="00622B80" w:rsidRPr="00CC170B">
        <w:t>i</w:t>
      </w:r>
      <w:r w:rsidR="00D07FC6" w:rsidRPr="00CC170B">
        <w:t>matinib</w:t>
      </w:r>
      <w:r w:rsidRPr="00CC170B">
        <w:t xml:space="preserve"> adásának időszakos felfüggesztésével és diuretikummal, valamint egyéb megfelelő szupportív ellátással kezelhetők. Mindazonáltal ezen mellékhatások némelyike súlyos, életet veszélyeztető is lehet. Több</w:t>
      </w:r>
      <w:r w:rsidR="006F72CB">
        <w:t>,</w:t>
      </w:r>
      <w:r w:rsidRPr="00CC170B">
        <w:t xml:space="preserve"> blasztos krízisben lévő beteg halt meg pleuralis folyadékgyülem, pangásos szívelégtelenség és veseelégtelenség komplex klinikai kórtörténete következtében. A gyermek és serdülő betegek bevonásával végzett klinikai vizsgálatok nem</w:t>
      </w:r>
      <w:r w:rsidR="00E46295">
        <w:t xml:space="preserve"> jutottak</w:t>
      </w:r>
      <w:r w:rsidRPr="00CC170B">
        <w:t xml:space="preserve"> speciális gyógyszer-biztonságossági megállapítások</w:t>
      </w:r>
      <w:r w:rsidR="00E46295">
        <w:t>ra</w:t>
      </w:r>
      <w:r w:rsidRPr="00CC170B">
        <w:t>.</w:t>
      </w:r>
    </w:p>
    <w:p w14:paraId="52B35B7C" w14:textId="77777777" w:rsidR="00FC0D76" w:rsidRPr="00CC170B" w:rsidRDefault="00FC0D76" w:rsidP="00FC0D76"/>
    <w:p w14:paraId="45C98321" w14:textId="77777777" w:rsidR="00FC0D76" w:rsidRPr="00CC170B" w:rsidRDefault="00FC0D76" w:rsidP="00FC0D76">
      <w:r w:rsidRPr="00CC170B">
        <w:rPr>
          <w:u w:val="single"/>
        </w:rPr>
        <w:t>Mellékhatások</w:t>
      </w:r>
    </w:p>
    <w:p w14:paraId="5EB87615" w14:textId="77777777" w:rsidR="00FC0D76" w:rsidRPr="00CC170B" w:rsidRDefault="00FC0D76" w:rsidP="00FC0D76"/>
    <w:p w14:paraId="6A6CF73A" w14:textId="3A20FFBD" w:rsidR="00FC0D76" w:rsidRPr="00CC170B" w:rsidRDefault="00FC0D76" w:rsidP="00FC0D76">
      <w:r w:rsidRPr="00CC170B">
        <w:t>Az izolált eseteknél gyakrabban észlelt mellékhatások az alábbi táblázatban, szervrendszerek és gyakoriság szerint vannak felsorolva. A gyakorisági kategóriák meghatározása a következő konvenciók szerint történt: nagyon gyakori (</w:t>
      </w:r>
      <w:r w:rsidRPr="00CC170B">
        <w:rPr>
          <w:rFonts w:ascii="Symbol" w:hAnsi="Symbol"/>
        </w:rPr>
        <w:t></w:t>
      </w:r>
      <w:r w:rsidRPr="00CC170B">
        <w:t>1/10), gyakori (</w:t>
      </w:r>
      <w:r w:rsidRPr="00CC170B">
        <w:rPr>
          <w:rFonts w:ascii="Symbol" w:hAnsi="Symbol"/>
        </w:rPr>
        <w:t></w:t>
      </w:r>
      <w:r w:rsidRPr="00CC170B">
        <w:t xml:space="preserve">1/100 – </w:t>
      </w:r>
      <w:r w:rsidRPr="00CC170B">
        <w:rPr>
          <w:b/>
        </w:rPr>
        <w:t>&lt;</w:t>
      </w:r>
      <w:r w:rsidRPr="00CC170B">
        <w:t>1/10), nem gyakori</w:t>
      </w:r>
      <w:r w:rsidR="00622B80" w:rsidRPr="00CC170B">
        <w:t xml:space="preserve"> </w:t>
      </w:r>
      <w:r w:rsidRPr="00CC170B">
        <w:t>(</w:t>
      </w:r>
      <w:r w:rsidRPr="00CC170B">
        <w:rPr>
          <w:rFonts w:ascii="Symbol" w:hAnsi="Symbol"/>
        </w:rPr>
        <w:t></w:t>
      </w:r>
      <w:r w:rsidRPr="00CC170B">
        <w:t xml:space="preserve">1/1000 – </w:t>
      </w:r>
      <w:r w:rsidRPr="00CC170B">
        <w:rPr>
          <w:b/>
        </w:rPr>
        <w:t>&lt;</w:t>
      </w:r>
      <w:r w:rsidRPr="00CC170B">
        <w:t>1/100), ritka (</w:t>
      </w:r>
      <w:r w:rsidRPr="00CC170B">
        <w:rPr>
          <w:rFonts w:ascii="Symbol" w:hAnsi="Symbol"/>
        </w:rPr>
        <w:t></w:t>
      </w:r>
      <w:r w:rsidRPr="00CC170B">
        <w:t>1/10</w:t>
      </w:r>
      <w:r w:rsidR="00E46295">
        <w:t> </w:t>
      </w:r>
      <w:r w:rsidRPr="00CC170B">
        <w:t>000 – &lt;1/1000), nagyon ritka (&lt;1/10</w:t>
      </w:r>
      <w:r w:rsidR="003357E9" w:rsidRPr="00CC170B">
        <w:t> </w:t>
      </w:r>
      <w:r w:rsidRPr="00CC170B">
        <w:t>000), nem ismert (a gyakoriság a rendelkezésre álló adatokból nem állapítható meg).</w:t>
      </w:r>
    </w:p>
    <w:p w14:paraId="71554DD9" w14:textId="77777777" w:rsidR="00FC0D76" w:rsidRPr="00CC170B" w:rsidRDefault="00FC0D76" w:rsidP="00FC0D76"/>
    <w:p w14:paraId="70987F9B" w14:textId="29E7E23D" w:rsidR="00FC0D76" w:rsidRPr="00CC170B" w:rsidRDefault="00FC0D76" w:rsidP="00FC0D76">
      <w:r w:rsidRPr="00CC170B">
        <w:t>Az egyes gyakorisági kategóriákon belül a mellékhatások gyakoriság</w:t>
      </w:r>
      <w:r w:rsidR="00E46295">
        <w:t xml:space="preserve"> szerint csökkenő</w:t>
      </w:r>
      <w:r w:rsidRPr="00CC170B">
        <w:t xml:space="preserve"> sorrendben kerülnek megadásra.</w:t>
      </w:r>
    </w:p>
    <w:p w14:paraId="25644E3A" w14:textId="77777777" w:rsidR="00FC0D76" w:rsidRPr="00CC170B" w:rsidRDefault="00FC0D76" w:rsidP="00FC0D76"/>
    <w:p w14:paraId="1419D6B9" w14:textId="77777777" w:rsidR="00FC0D76" w:rsidRPr="00CC170B" w:rsidRDefault="00FC0D76" w:rsidP="00FC0D76">
      <w:r w:rsidRPr="00CC170B">
        <w:t>A mellékhatásokat, illetve azok gyakoriságát az 1. táblázat ismerteti.</w:t>
      </w:r>
    </w:p>
    <w:p w14:paraId="3E4F2DE8" w14:textId="77777777" w:rsidR="00FC0D76" w:rsidRPr="00CC170B" w:rsidRDefault="00FC0D76" w:rsidP="00FC0D76"/>
    <w:p w14:paraId="7EA0E7AE" w14:textId="77777777" w:rsidR="00FC0D76" w:rsidRPr="00CC170B" w:rsidRDefault="00FC0D76" w:rsidP="00FC0D76">
      <w:pPr>
        <w:rPr>
          <w:b/>
          <w:bCs/>
        </w:rPr>
      </w:pPr>
      <w:r w:rsidRPr="00CC170B">
        <w:rPr>
          <w:b/>
          <w:bCs/>
        </w:rPr>
        <w:t>1. táblázat A mellékhatások táblázatos összefoglalása</w:t>
      </w:r>
    </w:p>
    <w:p w14:paraId="7DE50C92" w14:textId="77777777" w:rsidR="00FC0D76" w:rsidRPr="00CC170B" w:rsidRDefault="00FC0D76" w:rsidP="00FC0D76">
      <w:pPr>
        <w:rPr>
          <w:bCs/>
        </w:rPr>
      </w:pP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7087"/>
      </w:tblGrid>
      <w:tr w:rsidR="00FC0D76" w:rsidRPr="00CC170B" w14:paraId="0B86BD84" w14:textId="77777777" w:rsidTr="003357E9">
        <w:trPr>
          <w:trHeight w:val="260"/>
        </w:trPr>
        <w:tc>
          <w:tcPr>
            <w:tcW w:w="9072" w:type="dxa"/>
            <w:gridSpan w:val="2"/>
          </w:tcPr>
          <w:p w14:paraId="572041BC" w14:textId="77777777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Fertőző betegségek és parazitafertőzések</w:t>
            </w:r>
          </w:p>
        </w:tc>
      </w:tr>
      <w:tr w:rsidR="00FC0D76" w:rsidRPr="00CC170B" w14:paraId="3A34AF7A" w14:textId="77777777" w:rsidTr="003357E9">
        <w:trPr>
          <w:trHeight w:val="603"/>
        </w:trPr>
        <w:tc>
          <w:tcPr>
            <w:tcW w:w="1985" w:type="dxa"/>
          </w:tcPr>
          <w:p w14:paraId="4B2119DD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gyakori:</w:t>
            </w:r>
          </w:p>
        </w:tc>
        <w:tc>
          <w:tcPr>
            <w:tcW w:w="7087" w:type="dxa"/>
          </w:tcPr>
          <w:p w14:paraId="0FEAB529" w14:textId="319EA5FE" w:rsidR="00FC0D76" w:rsidRPr="00CC170B" w:rsidRDefault="00FC0D76" w:rsidP="003357E9">
            <w:pPr>
              <w:rPr>
                <w:lang w:val="hu-HU"/>
              </w:rPr>
            </w:pPr>
            <w:r w:rsidRPr="00CC170B">
              <w:rPr>
                <w:lang w:val="hu-HU"/>
              </w:rPr>
              <w:t>Herpes zoster, herpes simplex, nasopharyngitis, pneumonia</w:t>
            </w:r>
            <w:r w:rsidRPr="00CC170B">
              <w:rPr>
                <w:vertAlign w:val="superscript"/>
                <w:lang w:val="hu-HU"/>
              </w:rPr>
              <w:t>1</w:t>
            </w:r>
            <w:r w:rsidRPr="00CC170B">
              <w:rPr>
                <w:lang w:val="hu-HU"/>
              </w:rPr>
              <w:t>, sinusitis,</w:t>
            </w:r>
            <w:r w:rsidR="003357E9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cellulitis, felső légúti fertőzés, influenza, húgyúti fertőzés, gastroenteritis,</w:t>
            </w:r>
            <w:r w:rsidR="003357E9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sepsis</w:t>
            </w:r>
          </w:p>
        </w:tc>
      </w:tr>
      <w:tr w:rsidR="00FC0D76" w:rsidRPr="00CC170B" w14:paraId="3B43DE46" w14:textId="77777777" w:rsidTr="003357E9">
        <w:trPr>
          <w:trHeight w:val="260"/>
        </w:trPr>
        <w:tc>
          <w:tcPr>
            <w:tcW w:w="1985" w:type="dxa"/>
          </w:tcPr>
          <w:p w14:paraId="123C9D09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Ritka:</w:t>
            </w:r>
          </w:p>
        </w:tc>
        <w:tc>
          <w:tcPr>
            <w:tcW w:w="7087" w:type="dxa"/>
          </w:tcPr>
          <w:p w14:paraId="3A612136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Gombafertőzés</w:t>
            </w:r>
          </w:p>
        </w:tc>
      </w:tr>
      <w:tr w:rsidR="00FC0D76" w:rsidRPr="00CC170B" w14:paraId="4ED7A016" w14:textId="77777777" w:rsidTr="003357E9">
        <w:trPr>
          <w:trHeight w:val="260"/>
        </w:trPr>
        <w:tc>
          <w:tcPr>
            <w:tcW w:w="1985" w:type="dxa"/>
          </w:tcPr>
          <w:p w14:paraId="35B2EC1C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ismert:</w:t>
            </w:r>
          </w:p>
        </w:tc>
        <w:tc>
          <w:tcPr>
            <w:tcW w:w="7087" w:type="dxa"/>
          </w:tcPr>
          <w:p w14:paraId="2C18CF5B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Hepatitis-B-reaktiváció*</w:t>
            </w:r>
          </w:p>
        </w:tc>
      </w:tr>
      <w:tr w:rsidR="00FC0D76" w:rsidRPr="00CC170B" w14:paraId="509B2F87" w14:textId="77777777" w:rsidTr="003357E9">
        <w:trPr>
          <w:trHeight w:val="260"/>
        </w:trPr>
        <w:tc>
          <w:tcPr>
            <w:tcW w:w="9072" w:type="dxa"/>
            <w:gridSpan w:val="2"/>
          </w:tcPr>
          <w:p w14:paraId="41255784" w14:textId="77777777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Jó-, rosszindulatú és nem meghatározott daganatok (beleértve a cisztákat és polipokat is)</w:t>
            </w:r>
          </w:p>
        </w:tc>
      </w:tr>
      <w:tr w:rsidR="00FC0D76" w:rsidRPr="00CC170B" w14:paraId="08418FAE" w14:textId="77777777" w:rsidTr="003357E9">
        <w:trPr>
          <w:trHeight w:val="260"/>
        </w:trPr>
        <w:tc>
          <w:tcPr>
            <w:tcW w:w="1985" w:type="dxa"/>
          </w:tcPr>
          <w:p w14:paraId="6C7B404E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Ritka:</w:t>
            </w:r>
          </w:p>
        </w:tc>
        <w:tc>
          <w:tcPr>
            <w:tcW w:w="7087" w:type="dxa"/>
          </w:tcPr>
          <w:p w14:paraId="4F5EF09D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Tumorlízis-szindróma</w:t>
            </w:r>
          </w:p>
        </w:tc>
      </w:tr>
      <w:tr w:rsidR="00FC0D76" w:rsidRPr="00CC170B" w14:paraId="6C7F0CBA" w14:textId="77777777" w:rsidTr="003357E9">
        <w:trPr>
          <w:trHeight w:val="260"/>
        </w:trPr>
        <w:tc>
          <w:tcPr>
            <w:tcW w:w="1985" w:type="dxa"/>
          </w:tcPr>
          <w:p w14:paraId="5631B51D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ismert:</w:t>
            </w:r>
          </w:p>
        </w:tc>
        <w:tc>
          <w:tcPr>
            <w:tcW w:w="7087" w:type="dxa"/>
          </w:tcPr>
          <w:p w14:paraId="4BFE0E7F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Tumorvérzés/tumornecrosis*</w:t>
            </w:r>
          </w:p>
        </w:tc>
      </w:tr>
      <w:tr w:rsidR="00FC0D76" w:rsidRPr="00CC170B" w14:paraId="7A4F65F3" w14:textId="77777777" w:rsidTr="003357E9">
        <w:trPr>
          <w:trHeight w:val="259"/>
        </w:trPr>
        <w:tc>
          <w:tcPr>
            <w:tcW w:w="9072" w:type="dxa"/>
            <w:gridSpan w:val="2"/>
          </w:tcPr>
          <w:p w14:paraId="61183FAB" w14:textId="77777777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Immunrendszeri betegségek és tünetek</w:t>
            </w:r>
          </w:p>
        </w:tc>
      </w:tr>
      <w:tr w:rsidR="00FC0D76" w:rsidRPr="00CC170B" w14:paraId="6CE7947A" w14:textId="77777777" w:rsidTr="003357E9">
        <w:trPr>
          <w:trHeight w:val="260"/>
        </w:trPr>
        <w:tc>
          <w:tcPr>
            <w:tcW w:w="1985" w:type="dxa"/>
          </w:tcPr>
          <w:p w14:paraId="53070B85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ismert:</w:t>
            </w:r>
          </w:p>
        </w:tc>
        <w:tc>
          <w:tcPr>
            <w:tcW w:w="7087" w:type="dxa"/>
          </w:tcPr>
          <w:p w14:paraId="5051CB0D" w14:textId="3FDF0F9C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 xml:space="preserve">Anaphylaxiás </w:t>
            </w:r>
            <w:r w:rsidR="00E46295">
              <w:rPr>
                <w:lang w:val="hu-HU"/>
              </w:rPr>
              <w:t>sokk</w:t>
            </w:r>
            <w:r w:rsidRPr="00CC170B">
              <w:rPr>
                <w:lang w:val="hu-HU"/>
              </w:rPr>
              <w:t>*</w:t>
            </w:r>
          </w:p>
        </w:tc>
      </w:tr>
      <w:tr w:rsidR="00FC0D76" w:rsidRPr="00CC170B" w14:paraId="7CD5A9FF" w14:textId="77777777" w:rsidTr="003357E9">
        <w:trPr>
          <w:trHeight w:val="260"/>
        </w:trPr>
        <w:tc>
          <w:tcPr>
            <w:tcW w:w="9072" w:type="dxa"/>
            <w:gridSpan w:val="2"/>
          </w:tcPr>
          <w:p w14:paraId="0B37F599" w14:textId="77777777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Vérképzőszervi és nyirokrendszeri betegségek és tünetek</w:t>
            </w:r>
          </w:p>
        </w:tc>
      </w:tr>
      <w:tr w:rsidR="00FC0D76" w:rsidRPr="00CC170B" w14:paraId="50EB5363" w14:textId="77777777" w:rsidTr="003357E9">
        <w:trPr>
          <w:trHeight w:val="260"/>
        </w:trPr>
        <w:tc>
          <w:tcPr>
            <w:tcW w:w="1985" w:type="dxa"/>
          </w:tcPr>
          <w:p w14:paraId="2BE79D6A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Nagyon gyakori:</w:t>
            </w:r>
          </w:p>
        </w:tc>
        <w:tc>
          <w:tcPr>
            <w:tcW w:w="7087" w:type="dxa"/>
          </w:tcPr>
          <w:p w14:paraId="6F8EB60F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Neutropenia, thrombocytopenia, anaemia</w:t>
            </w:r>
          </w:p>
        </w:tc>
      </w:tr>
      <w:tr w:rsidR="00FC0D76" w:rsidRPr="00CC170B" w14:paraId="694B7003" w14:textId="77777777" w:rsidTr="003357E9">
        <w:trPr>
          <w:trHeight w:val="260"/>
        </w:trPr>
        <w:tc>
          <w:tcPr>
            <w:tcW w:w="1985" w:type="dxa"/>
          </w:tcPr>
          <w:p w14:paraId="6EEAD334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Gyakori:</w:t>
            </w:r>
          </w:p>
        </w:tc>
        <w:tc>
          <w:tcPr>
            <w:tcW w:w="7087" w:type="dxa"/>
          </w:tcPr>
          <w:p w14:paraId="41B574B7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Pancytopenia, lázas neutropenia</w:t>
            </w:r>
          </w:p>
        </w:tc>
      </w:tr>
      <w:tr w:rsidR="00FC0D76" w:rsidRPr="00CC170B" w14:paraId="43F42E9D" w14:textId="77777777" w:rsidTr="003357E9">
        <w:trPr>
          <w:trHeight w:val="520"/>
        </w:trPr>
        <w:tc>
          <w:tcPr>
            <w:tcW w:w="1985" w:type="dxa"/>
          </w:tcPr>
          <w:p w14:paraId="0E1513A3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gyakori:</w:t>
            </w:r>
          </w:p>
        </w:tc>
        <w:tc>
          <w:tcPr>
            <w:tcW w:w="7087" w:type="dxa"/>
          </w:tcPr>
          <w:p w14:paraId="599F00F2" w14:textId="4AFF67F2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Thrombocythaemia, lymphopenia, csontvelő-depress</w:t>
            </w:r>
            <w:r w:rsidR="00B72EC0">
              <w:rPr>
                <w:lang w:val="hu-HU"/>
              </w:rPr>
              <w:t>zió</w:t>
            </w:r>
            <w:r w:rsidRPr="00CC170B">
              <w:rPr>
                <w:lang w:val="hu-HU"/>
              </w:rPr>
              <w:t>, eosinophilia, lymphadenopathia</w:t>
            </w:r>
          </w:p>
        </w:tc>
      </w:tr>
      <w:tr w:rsidR="00FC0D76" w:rsidRPr="00CC170B" w14:paraId="595615FE" w14:textId="77777777" w:rsidTr="003357E9">
        <w:trPr>
          <w:trHeight w:val="260"/>
        </w:trPr>
        <w:tc>
          <w:tcPr>
            <w:tcW w:w="1985" w:type="dxa"/>
          </w:tcPr>
          <w:p w14:paraId="09AD09B1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Ritka:</w:t>
            </w:r>
          </w:p>
        </w:tc>
        <w:tc>
          <w:tcPr>
            <w:tcW w:w="7087" w:type="dxa"/>
          </w:tcPr>
          <w:p w14:paraId="4E5977CF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Haemolyticus anaemia, thromboticus microangiopathia</w:t>
            </w:r>
          </w:p>
        </w:tc>
      </w:tr>
      <w:tr w:rsidR="00FC0D76" w:rsidRPr="00CC170B" w14:paraId="68440AA1" w14:textId="77777777" w:rsidTr="003357E9">
        <w:trPr>
          <w:trHeight w:val="260"/>
        </w:trPr>
        <w:tc>
          <w:tcPr>
            <w:tcW w:w="9072" w:type="dxa"/>
            <w:gridSpan w:val="2"/>
          </w:tcPr>
          <w:p w14:paraId="56968A4A" w14:textId="77777777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Anyagcsere- és táplálkozási betegségek és tünetek</w:t>
            </w:r>
          </w:p>
        </w:tc>
      </w:tr>
      <w:tr w:rsidR="00FC0D76" w:rsidRPr="00CC170B" w14:paraId="446B4B51" w14:textId="77777777" w:rsidTr="003357E9">
        <w:trPr>
          <w:trHeight w:val="260"/>
        </w:trPr>
        <w:tc>
          <w:tcPr>
            <w:tcW w:w="1985" w:type="dxa"/>
          </w:tcPr>
          <w:p w14:paraId="1558A2D9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Gyakori:</w:t>
            </w:r>
          </w:p>
        </w:tc>
        <w:tc>
          <w:tcPr>
            <w:tcW w:w="7087" w:type="dxa"/>
          </w:tcPr>
          <w:p w14:paraId="046C28F1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Anorexia</w:t>
            </w:r>
          </w:p>
        </w:tc>
      </w:tr>
      <w:tr w:rsidR="00FC0D76" w:rsidRPr="00CC170B" w14:paraId="3C2FD9E3" w14:textId="77777777" w:rsidTr="003357E9">
        <w:trPr>
          <w:trHeight w:val="780"/>
        </w:trPr>
        <w:tc>
          <w:tcPr>
            <w:tcW w:w="1985" w:type="dxa"/>
          </w:tcPr>
          <w:p w14:paraId="63352AE1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gyakori:</w:t>
            </w:r>
          </w:p>
        </w:tc>
        <w:tc>
          <w:tcPr>
            <w:tcW w:w="7087" w:type="dxa"/>
          </w:tcPr>
          <w:p w14:paraId="630B1BA1" w14:textId="6B669827" w:rsidR="00FC0D76" w:rsidRPr="00CC170B" w:rsidRDefault="00FC0D76" w:rsidP="003357E9">
            <w:pPr>
              <w:rPr>
                <w:lang w:val="hu-HU"/>
              </w:rPr>
            </w:pPr>
            <w:r w:rsidRPr="00CC170B">
              <w:rPr>
                <w:lang w:val="hu-HU"/>
              </w:rPr>
              <w:t>Hypokalaemia, étvágynövekedés, hypophosphataemia, étvágycsökkenés, dehydratio, köszvény, hyperuri</w:t>
            </w:r>
            <w:r w:rsidR="00E46295">
              <w:rPr>
                <w:lang w:val="hu-HU"/>
              </w:rPr>
              <w:t>k</w:t>
            </w:r>
            <w:r w:rsidRPr="00CC170B">
              <w:rPr>
                <w:lang w:val="hu-HU"/>
              </w:rPr>
              <w:t>aemia, hypercalcaemia, hyperglykaemia,</w:t>
            </w:r>
            <w:r w:rsidR="003357E9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hyponatraemia</w:t>
            </w:r>
          </w:p>
        </w:tc>
      </w:tr>
      <w:tr w:rsidR="00FC0D76" w:rsidRPr="00CC170B" w14:paraId="1183070E" w14:textId="77777777" w:rsidTr="003357E9">
        <w:trPr>
          <w:trHeight w:val="260"/>
        </w:trPr>
        <w:tc>
          <w:tcPr>
            <w:tcW w:w="1985" w:type="dxa"/>
          </w:tcPr>
          <w:p w14:paraId="12C6B09C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Ritka:</w:t>
            </w:r>
          </w:p>
        </w:tc>
        <w:tc>
          <w:tcPr>
            <w:tcW w:w="7087" w:type="dxa"/>
          </w:tcPr>
          <w:p w14:paraId="6B720DA9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Hyperkalaemia, hypomagnesaemia</w:t>
            </w:r>
          </w:p>
        </w:tc>
      </w:tr>
      <w:tr w:rsidR="00FC0D76" w:rsidRPr="00CC170B" w14:paraId="17E63D7A" w14:textId="77777777" w:rsidTr="003357E9">
        <w:trPr>
          <w:trHeight w:val="260"/>
        </w:trPr>
        <w:tc>
          <w:tcPr>
            <w:tcW w:w="9072" w:type="dxa"/>
            <w:gridSpan w:val="2"/>
          </w:tcPr>
          <w:p w14:paraId="58D5A9F7" w14:textId="77777777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Pszichiátriai kórképek</w:t>
            </w:r>
          </w:p>
        </w:tc>
      </w:tr>
      <w:tr w:rsidR="00FC0D76" w:rsidRPr="00CC170B" w14:paraId="07BF4ABE" w14:textId="77777777" w:rsidTr="003357E9">
        <w:trPr>
          <w:trHeight w:val="260"/>
        </w:trPr>
        <w:tc>
          <w:tcPr>
            <w:tcW w:w="1985" w:type="dxa"/>
          </w:tcPr>
          <w:p w14:paraId="76D13581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Gyakori:</w:t>
            </w:r>
          </w:p>
        </w:tc>
        <w:tc>
          <w:tcPr>
            <w:tcW w:w="7087" w:type="dxa"/>
          </w:tcPr>
          <w:p w14:paraId="52FE7AF1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Insomnia</w:t>
            </w:r>
          </w:p>
        </w:tc>
      </w:tr>
      <w:tr w:rsidR="00FC0D76" w:rsidRPr="00CC170B" w14:paraId="57096E34" w14:textId="77777777" w:rsidTr="003357E9">
        <w:trPr>
          <w:trHeight w:val="260"/>
        </w:trPr>
        <w:tc>
          <w:tcPr>
            <w:tcW w:w="1985" w:type="dxa"/>
          </w:tcPr>
          <w:p w14:paraId="50A310AC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gyakori:</w:t>
            </w:r>
          </w:p>
        </w:tc>
        <w:tc>
          <w:tcPr>
            <w:tcW w:w="7087" w:type="dxa"/>
          </w:tcPr>
          <w:p w14:paraId="1AC3726D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Depresszió, csökkent libidó, szorongás</w:t>
            </w:r>
          </w:p>
        </w:tc>
      </w:tr>
      <w:tr w:rsidR="00FC0D76" w:rsidRPr="00CC170B" w14:paraId="518BF5CA" w14:textId="77777777" w:rsidTr="003357E9">
        <w:trPr>
          <w:trHeight w:val="260"/>
        </w:trPr>
        <w:tc>
          <w:tcPr>
            <w:tcW w:w="1985" w:type="dxa"/>
          </w:tcPr>
          <w:p w14:paraId="1FD599FC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Ritka:</w:t>
            </w:r>
          </w:p>
        </w:tc>
        <w:tc>
          <w:tcPr>
            <w:tcW w:w="7087" w:type="dxa"/>
          </w:tcPr>
          <w:p w14:paraId="60810AE6" w14:textId="59E8111E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Zavart</w:t>
            </w:r>
            <w:r w:rsidR="00E46295">
              <w:rPr>
                <w:lang w:val="hu-HU"/>
              </w:rPr>
              <w:t>ság</w:t>
            </w:r>
          </w:p>
        </w:tc>
      </w:tr>
      <w:tr w:rsidR="00FC0D76" w:rsidRPr="00CC170B" w14:paraId="099074AE" w14:textId="77777777" w:rsidTr="003357E9">
        <w:trPr>
          <w:trHeight w:val="260"/>
        </w:trPr>
        <w:tc>
          <w:tcPr>
            <w:tcW w:w="9072" w:type="dxa"/>
            <w:gridSpan w:val="2"/>
          </w:tcPr>
          <w:p w14:paraId="0161373B" w14:textId="77777777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Idegrendszeri betegségek és tünetek</w:t>
            </w:r>
          </w:p>
        </w:tc>
      </w:tr>
      <w:tr w:rsidR="00FC0D76" w:rsidRPr="00CC170B" w14:paraId="44D20EAA" w14:textId="77777777" w:rsidTr="003357E9">
        <w:trPr>
          <w:trHeight w:val="260"/>
        </w:trPr>
        <w:tc>
          <w:tcPr>
            <w:tcW w:w="1985" w:type="dxa"/>
          </w:tcPr>
          <w:p w14:paraId="05D8EB11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Nagyon gyakori:</w:t>
            </w:r>
          </w:p>
        </w:tc>
        <w:tc>
          <w:tcPr>
            <w:tcW w:w="7087" w:type="dxa"/>
          </w:tcPr>
          <w:p w14:paraId="6DBE9E76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Fejfájás</w:t>
            </w:r>
            <w:r w:rsidRPr="00CC170B">
              <w:rPr>
                <w:vertAlign w:val="superscript"/>
                <w:lang w:val="hu-HU"/>
              </w:rPr>
              <w:t>2</w:t>
            </w:r>
          </w:p>
        </w:tc>
      </w:tr>
      <w:tr w:rsidR="00FC0D76" w:rsidRPr="00CC170B" w14:paraId="61BA208F" w14:textId="77777777" w:rsidTr="003357E9">
        <w:trPr>
          <w:trHeight w:val="260"/>
        </w:trPr>
        <w:tc>
          <w:tcPr>
            <w:tcW w:w="1985" w:type="dxa"/>
          </w:tcPr>
          <w:p w14:paraId="4989604E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Gyakori:</w:t>
            </w:r>
          </w:p>
        </w:tc>
        <w:tc>
          <w:tcPr>
            <w:tcW w:w="7087" w:type="dxa"/>
          </w:tcPr>
          <w:p w14:paraId="3640744B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Szédülés, paraesthesia, az ízérzés zavarai, hypaesthesia</w:t>
            </w:r>
          </w:p>
        </w:tc>
      </w:tr>
      <w:tr w:rsidR="00FC0D76" w:rsidRPr="00CC170B" w14:paraId="2A7A9509" w14:textId="77777777" w:rsidTr="003357E9">
        <w:trPr>
          <w:trHeight w:val="520"/>
        </w:trPr>
        <w:tc>
          <w:tcPr>
            <w:tcW w:w="1985" w:type="dxa"/>
          </w:tcPr>
          <w:p w14:paraId="3C7FFA72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gyakori:</w:t>
            </w:r>
          </w:p>
        </w:tc>
        <w:tc>
          <w:tcPr>
            <w:tcW w:w="7087" w:type="dxa"/>
          </w:tcPr>
          <w:p w14:paraId="6894AB40" w14:textId="36E59CF7" w:rsidR="00FC0D76" w:rsidRPr="00CC170B" w:rsidRDefault="00FC0D76" w:rsidP="003357E9">
            <w:pPr>
              <w:rPr>
                <w:lang w:val="hu-HU"/>
              </w:rPr>
            </w:pPr>
            <w:r w:rsidRPr="00CC170B">
              <w:rPr>
                <w:lang w:val="hu-HU"/>
              </w:rPr>
              <w:t>Migrén, aluszékonyság, ájulás, peri</w:t>
            </w:r>
            <w:r w:rsidR="00E46295">
              <w:rPr>
                <w:lang w:val="hu-HU"/>
              </w:rPr>
              <w:t>fé</w:t>
            </w:r>
            <w:r w:rsidRPr="00CC170B">
              <w:rPr>
                <w:lang w:val="hu-HU"/>
              </w:rPr>
              <w:t>riás neuropathia, memóriazavar,</w:t>
            </w:r>
            <w:r w:rsidR="003357E9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ischias, nyugtalan láb szindróma, tremor, agyvérzés</w:t>
            </w:r>
          </w:p>
        </w:tc>
      </w:tr>
      <w:tr w:rsidR="00FC0D76" w:rsidRPr="00CC170B" w14:paraId="1BC5B16F" w14:textId="77777777" w:rsidTr="003357E9">
        <w:trPr>
          <w:trHeight w:val="260"/>
        </w:trPr>
        <w:tc>
          <w:tcPr>
            <w:tcW w:w="1985" w:type="dxa"/>
          </w:tcPr>
          <w:p w14:paraId="3BB44B7E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Ritka:</w:t>
            </w:r>
          </w:p>
        </w:tc>
        <w:tc>
          <w:tcPr>
            <w:tcW w:w="7087" w:type="dxa"/>
          </w:tcPr>
          <w:p w14:paraId="0EC0F6B8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A koponyaűri nyomás fokozódása, convulsio, opticus neuritis</w:t>
            </w:r>
          </w:p>
        </w:tc>
      </w:tr>
      <w:tr w:rsidR="00FC0D76" w:rsidRPr="00CC170B" w14:paraId="522A54AF" w14:textId="77777777" w:rsidTr="003357E9">
        <w:trPr>
          <w:trHeight w:val="260"/>
        </w:trPr>
        <w:tc>
          <w:tcPr>
            <w:tcW w:w="1985" w:type="dxa"/>
          </w:tcPr>
          <w:p w14:paraId="0A34B8D5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ismert:</w:t>
            </w:r>
          </w:p>
        </w:tc>
        <w:tc>
          <w:tcPr>
            <w:tcW w:w="7087" w:type="dxa"/>
          </w:tcPr>
          <w:p w14:paraId="23A37E20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Cerebralis ödéma*</w:t>
            </w:r>
          </w:p>
        </w:tc>
      </w:tr>
      <w:tr w:rsidR="00FC0D76" w:rsidRPr="00CC170B" w14:paraId="37A5098C" w14:textId="77777777" w:rsidTr="003357E9">
        <w:trPr>
          <w:trHeight w:val="260"/>
        </w:trPr>
        <w:tc>
          <w:tcPr>
            <w:tcW w:w="9072" w:type="dxa"/>
            <w:gridSpan w:val="2"/>
          </w:tcPr>
          <w:p w14:paraId="3CFFAD38" w14:textId="77777777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Szembetegségek és szemészeti tünetek</w:t>
            </w:r>
          </w:p>
        </w:tc>
      </w:tr>
      <w:tr w:rsidR="00FC0D76" w:rsidRPr="00CC170B" w14:paraId="297707EA" w14:textId="77777777" w:rsidTr="003357E9">
        <w:trPr>
          <w:trHeight w:val="519"/>
        </w:trPr>
        <w:tc>
          <w:tcPr>
            <w:tcW w:w="1985" w:type="dxa"/>
          </w:tcPr>
          <w:p w14:paraId="516C0F48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Gyakori:</w:t>
            </w:r>
          </w:p>
        </w:tc>
        <w:tc>
          <w:tcPr>
            <w:tcW w:w="7087" w:type="dxa"/>
          </w:tcPr>
          <w:p w14:paraId="5DFF629D" w14:textId="5D29FA34" w:rsidR="00FC0D76" w:rsidRPr="00CC170B" w:rsidRDefault="00FC0D76" w:rsidP="003357E9">
            <w:pPr>
              <w:rPr>
                <w:lang w:val="hu-HU"/>
              </w:rPr>
            </w:pPr>
            <w:r w:rsidRPr="00CC170B">
              <w:rPr>
                <w:lang w:val="hu-HU"/>
              </w:rPr>
              <w:t>Szemhéjödéma, fokozott könnyezés, kötőhártya-bevérzés, conjunctivitis,</w:t>
            </w:r>
            <w:r w:rsidR="003357E9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szemszárazság, homályos látás</w:t>
            </w:r>
          </w:p>
        </w:tc>
      </w:tr>
      <w:tr w:rsidR="00FC0D76" w:rsidRPr="00CC170B" w14:paraId="26B9A1C8" w14:textId="77777777" w:rsidTr="003357E9">
        <w:trPr>
          <w:trHeight w:val="520"/>
        </w:trPr>
        <w:tc>
          <w:tcPr>
            <w:tcW w:w="1985" w:type="dxa"/>
          </w:tcPr>
          <w:p w14:paraId="56775E8B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gyakori:</w:t>
            </w:r>
          </w:p>
        </w:tc>
        <w:tc>
          <w:tcPr>
            <w:tcW w:w="7087" w:type="dxa"/>
          </w:tcPr>
          <w:p w14:paraId="1DFDA542" w14:textId="2B2BB9BF" w:rsidR="00FC0D76" w:rsidRPr="00CC170B" w:rsidRDefault="00FC0D76" w:rsidP="003357E9">
            <w:pPr>
              <w:rPr>
                <w:lang w:val="hu-HU"/>
              </w:rPr>
            </w:pPr>
            <w:r w:rsidRPr="00CC170B">
              <w:rPr>
                <w:lang w:val="hu-HU"/>
              </w:rPr>
              <w:t>Szemirritáció, szemfájdalom, orbitaödéma, sclerabevérzés, retinabevérzés,</w:t>
            </w:r>
            <w:r w:rsidR="003357E9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blepharitis, maculaödéma</w:t>
            </w:r>
          </w:p>
        </w:tc>
      </w:tr>
      <w:tr w:rsidR="00FC0D76" w:rsidRPr="00CC170B" w14:paraId="4CC56A66" w14:textId="77777777" w:rsidTr="003357E9">
        <w:trPr>
          <w:trHeight w:val="260"/>
        </w:trPr>
        <w:tc>
          <w:tcPr>
            <w:tcW w:w="1985" w:type="dxa"/>
          </w:tcPr>
          <w:p w14:paraId="3A80301A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lastRenderedPageBreak/>
              <w:t>Ritka:</w:t>
            </w:r>
          </w:p>
        </w:tc>
        <w:tc>
          <w:tcPr>
            <w:tcW w:w="7087" w:type="dxa"/>
          </w:tcPr>
          <w:p w14:paraId="62C222FF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Cataracta, glaucoma, papillaödéma</w:t>
            </w:r>
          </w:p>
        </w:tc>
      </w:tr>
      <w:tr w:rsidR="00FC0D76" w:rsidRPr="00CC170B" w14:paraId="08794FC9" w14:textId="77777777" w:rsidTr="003357E9">
        <w:trPr>
          <w:trHeight w:val="260"/>
        </w:trPr>
        <w:tc>
          <w:tcPr>
            <w:tcW w:w="1985" w:type="dxa"/>
          </w:tcPr>
          <w:p w14:paraId="4C8FBC1F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ismert:</w:t>
            </w:r>
          </w:p>
        </w:tc>
        <w:tc>
          <w:tcPr>
            <w:tcW w:w="7087" w:type="dxa"/>
          </w:tcPr>
          <w:p w14:paraId="4130CEC6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Üvegtesti vérzés*</w:t>
            </w:r>
          </w:p>
        </w:tc>
      </w:tr>
      <w:tr w:rsidR="00FC0D76" w:rsidRPr="00CC170B" w14:paraId="7AD6DD0A" w14:textId="77777777" w:rsidTr="003357E9">
        <w:trPr>
          <w:trHeight w:val="260"/>
        </w:trPr>
        <w:tc>
          <w:tcPr>
            <w:tcW w:w="9072" w:type="dxa"/>
            <w:gridSpan w:val="2"/>
          </w:tcPr>
          <w:p w14:paraId="30F67AEE" w14:textId="77777777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A fül és az egyensúly-érzékelő szerv betegségei és tünetei</w:t>
            </w:r>
          </w:p>
        </w:tc>
      </w:tr>
      <w:tr w:rsidR="00FC0D76" w:rsidRPr="00CC170B" w14:paraId="7A16C55A" w14:textId="77777777" w:rsidTr="003357E9">
        <w:trPr>
          <w:trHeight w:val="260"/>
        </w:trPr>
        <w:tc>
          <w:tcPr>
            <w:tcW w:w="1985" w:type="dxa"/>
          </w:tcPr>
          <w:p w14:paraId="1FEACE02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gyakori:</w:t>
            </w:r>
          </w:p>
        </w:tc>
        <w:tc>
          <w:tcPr>
            <w:tcW w:w="7087" w:type="dxa"/>
          </w:tcPr>
          <w:p w14:paraId="0DEDE27E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Vertigo, tinnitus, halláscsökkenés</w:t>
            </w:r>
          </w:p>
        </w:tc>
      </w:tr>
      <w:tr w:rsidR="00FC0D76" w:rsidRPr="00CC170B" w14:paraId="04EA6BF3" w14:textId="77777777" w:rsidTr="003357E9">
        <w:trPr>
          <w:trHeight w:val="259"/>
        </w:trPr>
        <w:tc>
          <w:tcPr>
            <w:tcW w:w="9072" w:type="dxa"/>
            <w:gridSpan w:val="2"/>
          </w:tcPr>
          <w:p w14:paraId="569DF5C5" w14:textId="77777777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Szívbetegségek és a szívvel kapcsolatos tünetek</w:t>
            </w:r>
          </w:p>
        </w:tc>
      </w:tr>
      <w:tr w:rsidR="00FC0D76" w:rsidRPr="00CC170B" w14:paraId="5BB29CDB" w14:textId="77777777" w:rsidTr="003357E9">
        <w:trPr>
          <w:trHeight w:val="260"/>
        </w:trPr>
        <w:tc>
          <w:tcPr>
            <w:tcW w:w="1985" w:type="dxa"/>
          </w:tcPr>
          <w:p w14:paraId="303BF38A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gyakori:</w:t>
            </w:r>
          </w:p>
        </w:tc>
        <w:tc>
          <w:tcPr>
            <w:tcW w:w="7087" w:type="dxa"/>
          </w:tcPr>
          <w:p w14:paraId="06FAB9B2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Palpitatio, tachycardia, pangásos szívelégtelenség</w:t>
            </w:r>
            <w:r w:rsidRPr="00CC170B">
              <w:rPr>
                <w:vertAlign w:val="superscript"/>
                <w:lang w:val="hu-HU"/>
              </w:rPr>
              <w:t>3</w:t>
            </w:r>
            <w:r w:rsidRPr="00CC170B">
              <w:rPr>
                <w:lang w:val="hu-HU"/>
              </w:rPr>
              <w:t>, tüdőödéma</w:t>
            </w:r>
          </w:p>
        </w:tc>
      </w:tr>
      <w:tr w:rsidR="00FC0D76" w:rsidRPr="00CC170B" w14:paraId="18583419" w14:textId="77777777" w:rsidTr="003357E9">
        <w:trPr>
          <w:trHeight w:val="520"/>
        </w:trPr>
        <w:tc>
          <w:tcPr>
            <w:tcW w:w="1985" w:type="dxa"/>
          </w:tcPr>
          <w:p w14:paraId="6E386A6D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Ritka:</w:t>
            </w:r>
          </w:p>
        </w:tc>
        <w:tc>
          <w:tcPr>
            <w:tcW w:w="7087" w:type="dxa"/>
          </w:tcPr>
          <w:p w14:paraId="158E8A31" w14:textId="56B19C48" w:rsidR="00FC0D76" w:rsidRPr="00CC170B" w:rsidRDefault="00FC0D76" w:rsidP="004B0D5F">
            <w:pPr>
              <w:rPr>
                <w:lang w:val="hu-HU"/>
              </w:rPr>
            </w:pPr>
            <w:r w:rsidRPr="00CC170B">
              <w:rPr>
                <w:lang w:val="hu-HU"/>
              </w:rPr>
              <w:t xml:space="preserve">Arrhythmia, pitvarfibrilláció, szívmegállás, </w:t>
            </w:r>
            <w:r w:rsidR="00B72EC0">
              <w:rPr>
                <w:lang w:val="hu-HU"/>
              </w:rPr>
              <w:t xml:space="preserve">myocardialis </w:t>
            </w:r>
            <w:r w:rsidRPr="00CC170B">
              <w:rPr>
                <w:lang w:val="hu-HU"/>
              </w:rPr>
              <w:t>infar</w:t>
            </w:r>
            <w:r w:rsidR="001734CC">
              <w:rPr>
                <w:lang w:val="hu-HU"/>
              </w:rPr>
              <w:t>c</w:t>
            </w:r>
            <w:r w:rsidRPr="00CC170B">
              <w:rPr>
                <w:lang w:val="hu-HU"/>
              </w:rPr>
              <w:t>tus, angina pectoris,</w:t>
            </w:r>
            <w:r w:rsidR="004B0D5F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pericardialis folyadékgyülem</w:t>
            </w:r>
          </w:p>
        </w:tc>
      </w:tr>
      <w:tr w:rsidR="00FC0D76" w:rsidRPr="00CC170B" w14:paraId="04EB1871" w14:textId="77777777" w:rsidTr="003357E9">
        <w:trPr>
          <w:trHeight w:val="260"/>
        </w:trPr>
        <w:tc>
          <w:tcPr>
            <w:tcW w:w="1985" w:type="dxa"/>
          </w:tcPr>
          <w:p w14:paraId="0AD362B3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ismert:</w:t>
            </w:r>
          </w:p>
        </w:tc>
        <w:tc>
          <w:tcPr>
            <w:tcW w:w="7087" w:type="dxa"/>
          </w:tcPr>
          <w:p w14:paraId="6A7E28AB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Pericarditis*, szívtamponád*</w:t>
            </w:r>
          </w:p>
        </w:tc>
      </w:tr>
      <w:tr w:rsidR="00FC0D76" w:rsidRPr="00CC170B" w14:paraId="31D9CC39" w14:textId="77777777" w:rsidTr="003357E9">
        <w:trPr>
          <w:trHeight w:val="260"/>
        </w:trPr>
        <w:tc>
          <w:tcPr>
            <w:tcW w:w="9072" w:type="dxa"/>
            <w:gridSpan w:val="2"/>
          </w:tcPr>
          <w:p w14:paraId="4A15653E" w14:textId="77777777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Érbetegségek és tünetek</w:t>
            </w:r>
            <w:r w:rsidRPr="00CC170B">
              <w:rPr>
                <w:b/>
                <w:position w:val="8"/>
                <w:lang w:val="hu-HU"/>
              </w:rPr>
              <w:t>4</w:t>
            </w:r>
          </w:p>
        </w:tc>
      </w:tr>
      <w:tr w:rsidR="00FC0D76" w:rsidRPr="00CC170B" w14:paraId="2367D5AE" w14:textId="77777777" w:rsidTr="003357E9">
        <w:trPr>
          <w:trHeight w:val="260"/>
        </w:trPr>
        <w:tc>
          <w:tcPr>
            <w:tcW w:w="1985" w:type="dxa"/>
          </w:tcPr>
          <w:p w14:paraId="0B7C723D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Gyakori:</w:t>
            </w:r>
          </w:p>
        </w:tc>
        <w:tc>
          <w:tcPr>
            <w:tcW w:w="7087" w:type="dxa"/>
          </w:tcPr>
          <w:p w14:paraId="4037453C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Kipirulás, vérzés</w:t>
            </w:r>
          </w:p>
        </w:tc>
      </w:tr>
      <w:tr w:rsidR="00FC0D76" w:rsidRPr="00CC170B" w14:paraId="77ADF86A" w14:textId="77777777" w:rsidTr="003357E9">
        <w:trPr>
          <w:trHeight w:val="519"/>
        </w:trPr>
        <w:tc>
          <w:tcPr>
            <w:tcW w:w="1985" w:type="dxa"/>
          </w:tcPr>
          <w:p w14:paraId="617D479B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gyakori:</w:t>
            </w:r>
          </w:p>
        </w:tc>
        <w:tc>
          <w:tcPr>
            <w:tcW w:w="7087" w:type="dxa"/>
          </w:tcPr>
          <w:p w14:paraId="54E1DB7C" w14:textId="1F6A5564" w:rsidR="00FC0D76" w:rsidRPr="00CC170B" w:rsidRDefault="00FC0D76" w:rsidP="004B0D5F">
            <w:pPr>
              <w:rPr>
                <w:lang w:val="hu-HU"/>
              </w:rPr>
            </w:pPr>
            <w:r w:rsidRPr="00CC170B">
              <w:rPr>
                <w:lang w:val="hu-HU"/>
              </w:rPr>
              <w:t>Hyper</w:t>
            </w:r>
            <w:r w:rsidR="00136CE1">
              <w:rPr>
                <w:lang w:val="hu-HU"/>
              </w:rPr>
              <w:t>tensio</w:t>
            </w:r>
            <w:r w:rsidRPr="00CC170B">
              <w:rPr>
                <w:lang w:val="hu-HU"/>
              </w:rPr>
              <w:t>, haematoma, subduralis haematoma, végtaghidegség,</w:t>
            </w:r>
            <w:r w:rsidR="004B0D5F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hypo</w:t>
            </w:r>
            <w:r w:rsidR="00136CE1">
              <w:rPr>
                <w:lang w:val="hu-HU"/>
              </w:rPr>
              <w:t>tensio</w:t>
            </w:r>
            <w:r w:rsidRPr="00CC170B">
              <w:rPr>
                <w:lang w:val="hu-HU"/>
              </w:rPr>
              <w:t>, Raynaud-jelenség</w:t>
            </w:r>
          </w:p>
        </w:tc>
      </w:tr>
      <w:tr w:rsidR="00FC0D76" w:rsidRPr="00CC170B" w14:paraId="10458A1B" w14:textId="77777777" w:rsidTr="003357E9">
        <w:trPr>
          <w:trHeight w:val="260"/>
        </w:trPr>
        <w:tc>
          <w:tcPr>
            <w:tcW w:w="1985" w:type="dxa"/>
          </w:tcPr>
          <w:p w14:paraId="681FE893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ismert:</w:t>
            </w:r>
          </w:p>
        </w:tc>
        <w:tc>
          <w:tcPr>
            <w:tcW w:w="7087" w:type="dxa"/>
          </w:tcPr>
          <w:p w14:paraId="2B2A492A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Thrombosis/embolia*</w:t>
            </w:r>
          </w:p>
        </w:tc>
      </w:tr>
      <w:tr w:rsidR="00FC0D76" w:rsidRPr="00CC170B" w14:paraId="014FF032" w14:textId="77777777" w:rsidTr="003357E9">
        <w:trPr>
          <w:trHeight w:val="260"/>
        </w:trPr>
        <w:tc>
          <w:tcPr>
            <w:tcW w:w="9072" w:type="dxa"/>
            <w:gridSpan w:val="2"/>
          </w:tcPr>
          <w:p w14:paraId="56CFE9FA" w14:textId="77777777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Légzőrendszeri, mellkasi és mediastinalis betegségek és tünetek</w:t>
            </w:r>
          </w:p>
        </w:tc>
      </w:tr>
      <w:tr w:rsidR="00FC0D76" w:rsidRPr="00CC170B" w14:paraId="4A313CA3" w14:textId="77777777" w:rsidTr="003357E9">
        <w:trPr>
          <w:trHeight w:val="260"/>
        </w:trPr>
        <w:tc>
          <w:tcPr>
            <w:tcW w:w="1985" w:type="dxa"/>
          </w:tcPr>
          <w:p w14:paraId="72BE4F81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Gyakori:</w:t>
            </w:r>
          </w:p>
        </w:tc>
        <w:tc>
          <w:tcPr>
            <w:tcW w:w="7087" w:type="dxa"/>
          </w:tcPr>
          <w:p w14:paraId="09FD018D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Dyspnoe, orrvérzés, köhögés</w:t>
            </w:r>
          </w:p>
        </w:tc>
      </w:tr>
      <w:tr w:rsidR="00FC0D76" w:rsidRPr="00CC170B" w14:paraId="7405C9B3" w14:textId="77777777" w:rsidTr="003357E9">
        <w:trPr>
          <w:trHeight w:val="260"/>
        </w:trPr>
        <w:tc>
          <w:tcPr>
            <w:tcW w:w="1985" w:type="dxa"/>
          </w:tcPr>
          <w:p w14:paraId="5DF01ED1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gyakori:</w:t>
            </w:r>
          </w:p>
        </w:tc>
        <w:tc>
          <w:tcPr>
            <w:tcW w:w="7087" w:type="dxa"/>
          </w:tcPr>
          <w:p w14:paraId="5FDB1D74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Pleuralis folyadékgyülem</w:t>
            </w:r>
            <w:r w:rsidRPr="00CC170B">
              <w:rPr>
                <w:vertAlign w:val="superscript"/>
                <w:lang w:val="hu-HU"/>
              </w:rPr>
              <w:t>5</w:t>
            </w:r>
            <w:r w:rsidRPr="00CC170B">
              <w:rPr>
                <w:lang w:val="hu-HU"/>
              </w:rPr>
              <w:t>, pharyngolaryngealis fájdalom, pharyngitis</w:t>
            </w:r>
          </w:p>
        </w:tc>
      </w:tr>
      <w:tr w:rsidR="00FC0D76" w:rsidRPr="00CC170B" w14:paraId="0AD9C927" w14:textId="77777777" w:rsidTr="003357E9">
        <w:trPr>
          <w:trHeight w:val="259"/>
        </w:trPr>
        <w:tc>
          <w:tcPr>
            <w:tcW w:w="1985" w:type="dxa"/>
          </w:tcPr>
          <w:p w14:paraId="1D17BAB6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Ritka:</w:t>
            </w:r>
          </w:p>
        </w:tc>
        <w:tc>
          <w:tcPr>
            <w:tcW w:w="7087" w:type="dxa"/>
          </w:tcPr>
          <w:p w14:paraId="32629423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Pleuralis fájdalom, tüdőfibrosis, pulmonalis hypertensio, tüdővérzés</w:t>
            </w:r>
          </w:p>
        </w:tc>
      </w:tr>
      <w:tr w:rsidR="00FC0D76" w:rsidRPr="00CC170B" w14:paraId="5B9255DB" w14:textId="77777777" w:rsidTr="003357E9">
        <w:trPr>
          <w:trHeight w:val="260"/>
        </w:trPr>
        <w:tc>
          <w:tcPr>
            <w:tcW w:w="1985" w:type="dxa"/>
          </w:tcPr>
          <w:p w14:paraId="600686C0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ismert:</w:t>
            </w:r>
          </w:p>
        </w:tc>
        <w:tc>
          <w:tcPr>
            <w:tcW w:w="7087" w:type="dxa"/>
          </w:tcPr>
          <w:p w14:paraId="756C6CAE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Akut légzési elégtelenség</w:t>
            </w:r>
            <w:r w:rsidRPr="00CC170B">
              <w:rPr>
                <w:vertAlign w:val="superscript"/>
                <w:lang w:val="hu-HU"/>
              </w:rPr>
              <w:t>11</w:t>
            </w:r>
            <w:r w:rsidRPr="00CC170B">
              <w:rPr>
                <w:lang w:val="hu-HU"/>
              </w:rPr>
              <w:t>*, interstitialis tüdőbetegség*</w:t>
            </w:r>
          </w:p>
        </w:tc>
      </w:tr>
      <w:tr w:rsidR="00FC0D76" w:rsidRPr="00CC170B" w14:paraId="1E169B92" w14:textId="77777777" w:rsidTr="003357E9">
        <w:trPr>
          <w:trHeight w:val="260"/>
        </w:trPr>
        <w:tc>
          <w:tcPr>
            <w:tcW w:w="9072" w:type="dxa"/>
            <w:gridSpan w:val="2"/>
          </w:tcPr>
          <w:p w14:paraId="17F49C23" w14:textId="77777777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Emésztőrendszeri betegségek és tünetek</w:t>
            </w:r>
          </w:p>
        </w:tc>
      </w:tr>
      <w:tr w:rsidR="00FC0D76" w:rsidRPr="00CC170B" w14:paraId="5328A376" w14:textId="77777777" w:rsidTr="003357E9">
        <w:trPr>
          <w:trHeight w:val="260"/>
        </w:trPr>
        <w:tc>
          <w:tcPr>
            <w:tcW w:w="1985" w:type="dxa"/>
          </w:tcPr>
          <w:p w14:paraId="645AF3FF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Nagyon gyakori:</w:t>
            </w:r>
          </w:p>
        </w:tc>
        <w:tc>
          <w:tcPr>
            <w:tcW w:w="7087" w:type="dxa"/>
          </w:tcPr>
          <w:p w14:paraId="104F742D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Hányinger, hasmenés, hányás, dyspepsia, hasi fájdalom</w:t>
            </w:r>
            <w:r w:rsidRPr="00CC170B">
              <w:rPr>
                <w:vertAlign w:val="superscript"/>
                <w:lang w:val="hu-HU"/>
              </w:rPr>
              <w:t>6</w:t>
            </w:r>
          </w:p>
        </w:tc>
      </w:tr>
      <w:tr w:rsidR="00FC0D76" w:rsidRPr="00CC170B" w14:paraId="7AF7A21D" w14:textId="77777777" w:rsidTr="003357E9">
        <w:trPr>
          <w:trHeight w:val="520"/>
        </w:trPr>
        <w:tc>
          <w:tcPr>
            <w:tcW w:w="1985" w:type="dxa"/>
          </w:tcPr>
          <w:p w14:paraId="5913B9C9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Gyakori:</w:t>
            </w:r>
          </w:p>
        </w:tc>
        <w:tc>
          <w:tcPr>
            <w:tcW w:w="7087" w:type="dxa"/>
          </w:tcPr>
          <w:p w14:paraId="642F059F" w14:textId="7A47E02B" w:rsidR="00FC0D76" w:rsidRPr="00CC170B" w:rsidRDefault="00FC0D76" w:rsidP="004B0D5F">
            <w:pPr>
              <w:rPr>
                <w:lang w:val="hu-HU"/>
              </w:rPr>
            </w:pPr>
            <w:r w:rsidRPr="00CC170B">
              <w:rPr>
                <w:lang w:val="hu-HU"/>
              </w:rPr>
              <w:t>Flatulentia, haspuffadás, gastrooesophagealis reflux, obstipatio,</w:t>
            </w:r>
            <w:r w:rsidR="004B0D5F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szájszárazság, gastritis</w:t>
            </w:r>
          </w:p>
        </w:tc>
      </w:tr>
      <w:tr w:rsidR="00FC0D76" w:rsidRPr="00CC170B" w14:paraId="6E616553" w14:textId="77777777" w:rsidTr="003357E9">
        <w:trPr>
          <w:trHeight w:val="779"/>
        </w:trPr>
        <w:tc>
          <w:tcPr>
            <w:tcW w:w="1985" w:type="dxa"/>
          </w:tcPr>
          <w:p w14:paraId="09132E52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gyakori:</w:t>
            </w:r>
          </w:p>
        </w:tc>
        <w:tc>
          <w:tcPr>
            <w:tcW w:w="7087" w:type="dxa"/>
          </w:tcPr>
          <w:p w14:paraId="442584B8" w14:textId="068980B6" w:rsidR="00FC0D76" w:rsidRPr="00CC170B" w:rsidRDefault="00FC0D76" w:rsidP="004B0D5F">
            <w:pPr>
              <w:rPr>
                <w:lang w:val="hu-HU"/>
              </w:rPr>
            </w:pPr>
            <w:r w:rsidRPr="00CC170B">
              <w:rPr>
                <w:lang w:val="hu-HU"/>
              </w:rPr>
              <w:t>Stomatitis, szájüregi fekélyek, gastrointestinalis vérzés</w:t>
            </w:r>
            <w:r w:rsidRPr="00CC170B">
              <w:rPr>
                <w:vertAlign w:val="superscript"/>
                <w:lang w:val="hu-HU"/>
              </w:rPr>
              <w:t>7</w:t>
            </w:r>
            <w:r w:rsidRPr="00CC170B">
              <w:rPr>
                <w:lang w:val="hu-HU"/>
              </w:rPr>
              <w:t>, eructatio, melaena,</w:t>
            </w:r>
            <w:r w:rsidR="004B0D5F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oesophagitis, ascites, gyomorfekély, haematemesis, cheilitis, dysphagia, pancreatitis</w:t>
            </w:r>
          </w:p>
        </w:tc>
      </w:tr>
      <w:tr w:rsidR="00FC0D76" w:rsidRPr="00CC170B" w14:paraId="42554397" w14:textId="77777777" w:rsidTr="003357E9">
        <w:trPr>
          <w:trHeight w:val="260"/>
        </w:trPr>
        <w:tc>
          <w:tcPr>
            <w:tcW w:w="1985" w:type="dxa"/>
          </w:tcPr>
          <w:p w14:paraId="2979233B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Ritka:</w:t>
            </w:r>
          </w:p>
        </w:tc>
        <w:tc>
          <w:tcPr>
            <w:tcW w:w="7087" w:type="dxa"/>
          </w:tcPr>
          <w:p w14:paraId="27494E80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Colitis, ileus, gyulladásos bélbetegség</w:t>
            </w:r>
          </w:p>
        </w:tc>
      </w:tr>
      <w:tr w:rsidR="00FC0D76" w:rsidRPr="00CC170B" w14:paraId="010EFDFF" w14:textId="77777777" w:rsidTr="003357E9">
        <w:trPr>
          <w:trHeight w:val="520"/>
        </w:trPr>
        <w:tc>
          <w:tcPr>
            <w:tcW w:w="1985" w:type="dxa"/>
          </w:tcPr>
          <w:p w14:paraId="5C0ECF72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ismert:</w:t>
            </w:r>
          </w:p>
        </w:tc>
        <w:tc>
          <w:tcPr>
            <w:tcW w:w="7087" w:type="dxa"/>
          </w:tcPr>
          <w:p w14:paraId="0FD532EA" w14:textId="0D4B2B70" w:rsidR="00FC0D76" w:rsidRPr="00CC170B" w:rsidRDefault="00FC0D76" w:rsidP="004B0D5F">
            <w:pPr>
              <w:rPr>
                <w:lang w:val="hu-HU"/>
              </w:rPr>
            </w:pPr>
            <w:r w:rsidRPr="00CC170B">
              <w:rPr>
                <w:lang w:val="hu-HU"/>
              </w:rPr>
              <w:t>Ileus/bélelzáródás*, gastrointestinalis perforatio*, diverticulitis*, gastricus</w:t>
            </w:r>
            <w:r w:rsidR="004B0D5F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antralis vascularis ectasia (GAVE)*</w:t>
            </w:r>
          </w:p>
        </w:tc>
      </w:tr>
      <w:tr w:rsidR="00FC0D76" w:rsidRPr="00CC170B" w14:paraId="3612F79A" w14:textId="77777777" w:rsidTr="003357E9">
        <w:trPr>
          <w:trHeight w:val="260"/>
        </w:trPr>
        <w:tc>
          <w:tcPr>
            <w:tcW w:w="9072" w:type="dxa"/>
            <w:gridSpan w:val="2"/>
          </w:tcPr>
          <w:p w14:paraId="3732E1F3" w14:textId="77777777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Máj- és epebetegségek, illetve tünetek</w:t>
            </w:r>
          </w:p>
        </w:tc>
      </w:tr>
      <w:tr w:rsidR="00FC0D76" w:rsidRPr="00CC170B" w14:paraId="565F30B5" w14:textId="77777777" w:rsidTr="003357E9">
        <w:trPr>
          <w:trHeight w:val="260"/>
        </w:trPr>
        <w:tc>
          <w:tcPr>
            <w:tcW w:w="1985" w:type="dxa"/>
          </w:tcPr>
          <w:p w14:paraId="10B1A976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Gyakori:</w:t>
            </w:r>
          </w:p>
        </w:tc>
        <w:tc>
          <w:tcPr>
            <w:tcW w:w="7087" w:type="dxa"/>
          </w:tcPr>
          <w:p w14:paraId="0ABED788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A májenzimek szintjének emelkedése</w:t>
            </w:r>
          </w:p>
        </w:tc>
      </w:tr>
      <w:tr w:rsidR="00FC0D76" w:rsidRPr="00CC170B" w14:paraId="16FF2D3F" w14:textId="77777777" w:rsidTr="003357E9">
        <w:trPr>
          <w:trHeight w:val="260"/>
        </w:trPr>
        <w:tc>
          <w:tcPr>
            <w:tcW w:w="1985" w:type="dxa"/>
          </w:tcPr>
          <w:p w14:paraId="1CDC615A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gyakori:</w:t>
            </w:r>
          </w:p>
        </w:tc>
        <w:tc>
          <w:tcPr>
            <w:tcW w:w="7087" w:type="dxa"/>
          </w:tcPr>
          <w:p w14:paraId="4D8F8C1E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Hyperbilirubinaemia, hepatitis, icterus</w:t>
            </w:r>
          </w:p>
        </w:tc>
      </w:tr>
      <w:tr w:rsidR="00FC0D76" w:rsidRPr="00CC170B" w14:paraId="34549704" w14:textId="77777777" w:rsidTr="003357E9">
        <w:trPr>
          <w:trHeight w:val="260"/>
        </w:trPr>
        <w:tc>
          <w:tcPr>
            <w:tcW w:w="1985" w:type="dxa"/>
          </w:tcPr>
          <w:p w14:paraId="56779543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Ritka:</w:t>
            </w:r>
          </w:p>
        </w:tc>
        <w:tc>
          <w:tcPr>
            <w:tcW w:w="7087" w:type="dxa"/>
          </w:tcPr>
          <w:p w14:paraId="44A62134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Májelégtelenség</w:t>
            </w:r>
            <w:r w:rsidRPr="00CC170B">
              <w:rPr>
                <w:vertAlign w:val="superscript"/>
                <w:lang w:val="hu-HU"/>
              </w:rPr>
              <w:t>8</w:t>
            </w:r>
            <w:r w:rsidRPr="00CC170B">
              <w:rPr>
                <w:lang w:val="hu-HU"/>
              </w:rPr>
              <w:t>, májnecrosis</w:t>
            </w:r>
          </w:p>
        </w:tc>
      </w:tr>
      <w:tr w:rsidR="00FC0D76" w:rsidRPr="00CC170B" w14:paraId="33AEAF42" w14:textId="77777777" w:rsidTr="003357E9">
        <w:trPr>
          <w:trHeight w:val="260"/>
        </w:trPr>
        <w:tc>
          <w:tcPr>
            <w:tcW w:w="9072" w:type="dxa"/>
            <w:gridSpan w:val="2"/>
          </w:tcPr>
          <w:p w14:paraId="1FDE7156" w14:textId="77777777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A bőr és a bőr alatti szövet betegségei és tünetei</w:t>
            </w:r>
          </w:p>
        </w:tc>
      </w:tr>
      <w:tr w:rsidR="00FC0D76" w:rsidRPr="00CC170B" w14:paraId="550E6D6B" w14:textId="77777777" w:rsidTr="003357E9">
        <w:trPr>
          <w:trHeight w:val="260"/>
        </w:trPr>
        <w:tc>
          <w:tcPr>
            <w:tcW w:w="1985" w:type="dxa"/>
          </w:tcPr>
          <w:p w14:paraId="4F864799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Nagyon gyakori:</w:t>
            </w:r>
          </w:p>
        </w:tc>
        <w:tc>
          <w:tcPr>
            <w:tcW w:w="7087" w:type="dxa"/>
          </w:tcPr>
          <w:p w14:paraId="6D75A381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Periorbitalis ödéma, dermatitis/ekzema/bőrkiütés</w:t>
            </w:r>
          </w:p>
        </w:tc>
      </w:tr>
      <w:tr w:rsidR="00FC0D76" w:rsidRPr="00CC170B" w14:paraId="7DD00A10" w14:textId="77777777" w:rsidTr="003357E9">
        <w:trPr>
          <w:trHeight w:val="520"/>
        </w:trPr>
        <w:tc>
          <w:tcPr>
            <w:tcW w:w="1985" w:type="dxa"/>
          </w:tcPr>
          <w:p w14:paraId="25888EE5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Gyakori:</w:t>
            </w:r>
          </w:p>
        </w:tc>
        <w:tc>
          <w:tcPr>
            <w:tcW w:w="7087" w:type="dxa"/>
          </w:tcPr>
          <w:p w14:paraId="3286F0C8" w14:textId="58A74F6C" w:rsidR="00FC0D76" w:rsidRPr="00CC170B" w:rsidRDefault="00FC0D76" w:rsidP="004B0D5F">
            <w:pPr>
              <w:rPr>
                <w:lang w:val="hu-HU"/>
              </w:rPr>
            </w:pPr>
            <w:r w:rsidRPr="00CC170B">
              <w:rPr>
                <w:lang w:val="hu-HU"/>
              </w:rPr>
              <w:t>Pruritus, arcödéma, bőrszárazság, erythema, alopecia, éjszakai izzadás,</w:t>
            </w:r>
            <w:r w:rsidR="004B0D5F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fényérzékenységi reakció</w:t>
            </w:r>
          </w:p>
        </w:tc>
      </w:tr>
      <w:tr w:rsidR="00FC0D76" w:rsidRPr="00CC170B" w14:paraId="6E0D6BAE" w14:textId="77777777" w:rsidTr="003357E9">
        <w:trPr>
          <w:trHeight w:val="1040"/>
        </w:trPr>
        <w:tc>
          <w:tcPr>
            <w:tcW w:w="1985" w:type="dxa"/>
          </w:tcPr>
          <w:p w14:paraId="311EFDC0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gyakori:</w:t>
            </w:r>
          </w:p>
        </w:tc>
        <w:tc>
          <w:tcPr>
            <w:tcW w:w="7087" w:type="dxa"/>
          </w:tcPr>
          <w:p w14:paraId="5B6FE0BC" w14:textId="54FE1DF2" w:rsidR="00FC0D76" w:rsidRPr="00CC170B" w:rsidRDefault="00FC0D76" w:rsidP="004B0D5F">
            <w:pPr>
              <w:rPr>
                <w:lang w:val="hu-HU"/>
              </w:rPr>
            </w:pPr>
            <w:r w:rsidRPr="00CC170B">
              <w:rPr>
                <w:lang w:val="hu-HU"/>
              </w:rPr>
              <w:t>Pustularis bőrkiütés, véraláfutás, fokozott izzadás, urticaria, ecchymosis, véraláfutásra való fokozott hajlam, hypotrichosis, bőr-hypopigmentatio, exfoliatív dermatitis, onychoclasia, folliculitis, petechiák, psoriasis, purpura,</w:t>
            </w:r>
            <w:r w:rsidR="004B0D5F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bőr-hyperpigmentatio, bullosus bőrkiütés, panniculitis</w:t>
            </w:r>
            <w:r w:rsidRPr="00CC170B">
              <w:rPr>
                <w:vertAlign w:val="superscript"/>
                <w:lang w:val="hu-HU"/>
              </w:rPr>
              <w:t>12</w:t>
            </w:r>
          </w:p>
        </w:tc>
      </w:tr>
      <w:tr w:rsidR="00FC0D76" w:rsidRPr="00CC170B" w14:paraId="65BB0793" w14:textId="77777777" w:rsidTr="003357E9">
        <w:trPr>
          <w:trHeight w:val="1040"/>
        </w:trPr>
        <w:tc>
          <w:tcPr>
            <w:tcW w:w="1985" w:type="dxa"/>
          </w:tcPr>
          <w:p w14:paraId="13E8D4D2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Ritka:</w:t>
            </w:r>
          </w:p>
        </w:tc>
        <w:tc>
          <w:tcPr>
            <w:tcW w:w="7087" w:type="dxa"/>
          </w:tcPr>
          <w:p w14:paraId="3B23C14A" w14:textId="40E0E46A" w:rsidR="00FC0D76" w:rsidRPr="00CC170B" w:rsidRDefault="00FC0D76" w:rsidP="004B0D5F">
            <w:pPr>
              <w:rPr>
                <w:lang w:val="hu-HU"/>
              </w:rPr>
            </w:pPr>
            <w:r w:rsidRPr="00CC170B">
              <w:rPr>
                <w:lang w:val="hu-HU"/>
              </w:rPr>
              <w:t>Akut lázas neutrophil dermatosis (Sweet-szindróma), a körmök elszíneződése, angioödéma, vesicularis bőrkiütés, erythema multiforme, leukocytoclasticus vasculitis, Stevens–Johnson-szindróma, akut generalizált</w:t>
            </w:r>
            <w:r w:rsidR="004B0D5F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exanthemás pustulosis (AGEP), pemphigus*</w:t>
            </w:r>
          </w:p>
        </w:tc>
      </w:tr>
      <w:tr w:rsidR="00FC0D76" w:rsidRPr="00CC170B" w14:paraId="3CAAF57A" w14:textId="77777777" w:rsidTr="003357E9">
        <w:trPr>
          <w:trHeight w:val="779"/>
        </w:trPr>
        <w:tc>
          <w:tcPr>
            <w:tcW w:w="1985" w:type="dxa"/>
          </w:tcPr>
          <w:p w14:paraId="531E8E7C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ismert:</w:t>
            </w:r>
          </w:p>
        </w:tc>
        <w:tc>
          <w:tcPr>
            <w:tcW w:w="7087" w:type="dxa"/>
          </w:tcPr>
          <w:p w14:paraId="62965796" w14:textId="4C9320ED" w:rsidR="00FC0D76" w:rsidRPr="00CC170B" w:rsidRDefault="00FC0D76" w:rsidP="004B0D5F">
            <w:pPr>
              <w:rPr>
                <w:lang w:val="hu-HU"/>
              </w:rPr>
            </w:pPr>
            <w:r w:rsidRPr="00CC170B">
              <w:rPr>
                <w:lang w:val="hu-HU"/>
              </w:rPr>
              <w:t>Palmoplantaris erythrodysaesthesia szindróma*, lichenoid keratosis*, lichen planus*, toxicus epidermalis necrolysis*, eosinophiliával és szisztémás</w:t>
            </w:r>
            <w:r w:rsidR="004B0D5F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tünetekkel járó gyógyszerreakció (DRESS)*, pseudoporphyria*</w:t>
            </w:r>
          </w:p>
        </w:tc>
      </w:tr>
      <w:tr w:rsidR="00FC0D76" w:rsidRPr="00CC170B" w14:paraId="36B522A6" w14:textId="77777777" w:rsidTr="003357E9">
        <w:trPr>
          <w:trHeight w:val="260"/>
        </w:trPr>
        <w:tc>
          <w:tcPr>
            <w:tcW w:w="9072" w:type="dxa"/>
            <w:gridSpan w:val="2"/>
          </w:tcPr>
          <w:p w14:paraId="059816F3" w14:textId="77777777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A csont- és izomrendszer, valamint a kötőszövet betegségei és tünetei</w:t>
            </w:r>
          </w:p>
        </w:tc>
      </w:tr>
      <w:tr w:rsidR="00FC0D76" w:rsidRPr="00CC170B" w14:paraId="7AC80435" w14:textId="77777777" w:rsidTr="003357E9">
        <w:trPr>
          <w:trHeight w:val="520"/>
        </w:trPr>
        <w:tc>
          <w:tcPr>
            <w:tcW w:w="1985" w:type="dxa"/>
          </w:tcPr>
          <w:p w14:paraId="5DFF00E3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Nagyon gyakori:</w:t>
            </w:r>
          </w:p>
        </w:tc>
        <w:tc>
          <w:tcPr>
            <w:tcW w:w="7087" w:type="dxa"/>
          </w:tcPr>
          <w:p w14:paraId="00E56107" w14:textId="4A01F759" w:rsidR="00FC0D76" w:rsidRPr="00CC170B" w:rsidRDefault="00FC0D76" w:rsidP="004B0D5F">
            <w:pPr>
              <w:rPr>
                <w:lang w:val="hu-HU"/>
              </w:rPr>
            </w:pPr>
            <w:r w:rsidRPr="00CC170B">
              <w:rPr>
                <w:lang w:val="hu-HU"/>
              </w:rPr>
              <w:t>Izomspazmus és -görcs, musculoskeletalis fájdalom, beleértve a myalgiát</w:t>
            </w:r>
            <w:r w:rsidRPr="00CC170B">
              <w:rPr>
                <w:vertAlign w:val="superscript"/>
                <w:lang w:val="hu-HU"/>
              </w:rPr>
              <w:t>9</w:t>
            </w:r>
            <w:r w:rsidRPr="00CC170B">
              <w:rPr>
                <w:lang w:val="hu-HU"/>
              </w:rPr>
              <w:t>,</w:t>
            </w:r>
            <w:r w:rsidR="004B0D5F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arthralgiát és a csontfájdalmat</w:t>
            </w:r>
            <w:r w:rsidRPr="00CC170B">
              <w:rPr>
                <w:vertAlign w:val="superscript"/>
                <w:lang w:val="hu-HU"/>
              </w:rPr>
              <w:t>10</w:t>
            </w:r>
          </w:p>
        </w:tc>
      </w:tr>
      <w:tr w:rsidR="00FC0D76" w:rsidRPr="00CC170B" w14:paraId="7F38D43E" w14:textId="77777777" w:rsidTr="003357E9">
        <w:trPr>
          <w:trHeight w:val="260"/>
        </w:trPr>
        <w:tc>
          <w:tcPr>
            <w:tcW w:w="1985" w:type="dxa"/>
          </w:tcPr>
          <w:p w14:paraId="66566E12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Gyakori:</w:t>
            </w:r>
          </w:p>
        </w:tc>
        <w:tc>
          <w:tcPr>
            <w:tcW w:w="7087" w:type="dxa"/>
          </w:tcPr>
          <w:p w14:paraId="1CC9A7D8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Ízületi duzzanat</w:t>
            </w:r>
          </w:p>
        </w:tc>
      </w:tr>
      <w:tr w:rsidR="00FC0D76" w:rsidRPr="00CC170B" w14:paraId="3B144B42" w14:textId="77777777" w:rsidTr="003357E9">
        <w:trPr>
          <w:trHeight w:val="260"/>
        </w:trPr>
        <w:tc>
          <w:tcPr>
            <w:tcW w:w="1985" w:type="dxa"/>
          </w:tcPr>
          <w:p w14:paraId="4233595E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gyakori:</w:t>
            </w:r>
          </w:p>
        </w:tc>
        <w:tc>
          <w:tcPr>
            <w:tcW w:w="7087" w:type="dxa"/>
          </w:tcPr>
          <w:p w14:paraId="46F834F4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Izom- és ízületi merevség, osteonecrosis*</w:t>
            </w:r>
          </w:p>
        </w:tc>
      </w:tr>
      <w:tr w:rsidR="00FC0D76" w:rsidRPr="00CC170B" w14:paraId="40726349" w14:textId="77777777" w:rsidTr="003357E9">
        <w:trPr>
          <w:trHeight w:val="260"/>
        </w:trPr>
        <w:tc>
          <w:tcPr>
            <w:tcW w:w="1985" w:type="dxa"/>
          </w:tcPr>
          <w:p w14:paraId="1497FBEB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Ritka:</w:t>
            </w:r>
          </w:p>
        </w:tc>
        <w:tc>
          <w:tcPr>
            <w:tcW w:w="7087" w:type="dxa"/>
          </w:tcPr>
          <w:p w14:paraId="25A83127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Izomgyengeség, arthritis, rhabdomyolysis/myopathia</w:t>
            </w:r>
          </w:p>
        </w:tc>
      </w:tr>
      <w:tr w:rsidR="00FC0D76" w:rsidRPr="00CC170B" w14:paraId="0DFD5BB2" w14:textId="77777777" w:rsidTr="003357E9">
        <w:trPr>
          <w:trHeight w:val="260"/>
        </w:trPr>
        <w:tc>
          <w:tcPr>
            <w:tcW w:w="1985" w:type="dxa"/>
          </w:tcPr>
          <w:p w14:paraId="7F57B13F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lastRenderedPageBreak/>
              <w:t>Nem ismert:</w:t>
            </w:r>
          </w:p>
        </w:tc>
        <w:tc>
          <w:tcPr>
            <w:tcW w:w="7087" w:type="dxa"/>
          </w:tcPr>
          <w:p w14:paraId="6237B3E6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Retardált növekedés gyermekeknél és serdülőknél*</w:t>
            </w:r>
          </w:p>
        </w:tc>
      </w:tr>
      <w:tr w:rsidR="00FC0D76" w:rsidRPr="00CC170B" w14:paraId="3C76B85D" w14:textId="77777777" w:rsidTr="003357E9">
        <w:trPr>
          <w:trHeight w:val="260"/>
        </w:trPr>
        <w:tc>
          <w:tcPr>
            <w:tcW w:w="9072" w:type="dxa"/>
            <w:gridSpan w:val="2"/>
          </w:tcPr>
          <w:p w14:paraId="4BB366AC" w14:textId="77777777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Vese- és húgyúti betegségek és tünetek</w:t>
            </w:r>
          </w:p>
        </w:tc>
      </w:tr>
      <w:tr w:rsidR="00FC0D76" w:rsidRPr="00CC170B" w14:paraId="090A7665" w14:textId="77777777" w:rsidTr="003357E9">
        <w:trPr>
          <w:trHeight w:val="260"/>
        </w:trPr>
        <w:tc>
          <w:tcPr>
            <w:tcW w:w="1985" w:type="dxa"/>
          </w:tcPr>
          <w:p w14:paraId="318BA67F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gyakori:</w:t>
            </w:r>
          </w:p>
        </w:tc>
        <w:tc>
          <w:tcPr>
            <w:tcW w:w="7087" w:type="dxa"/>
          </w:tcPr>
          <w:p w14:paraId="557F2064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Vesefájdalmak, haematuria, akut veseelégtelenség, gyakori vizelés</w:t>
            </w:r>
          </w:p>
        </w:tc>
      </w:tr>
      <w:tr w:rsidR="00FC0D76" w:rsidRPr="00CC170B" w14:paraId="2309130D" w14:textId="77777777" w:rsidTr="003357E9">
        <w:trPr>
          <w:trHeight w:val="260"/>
        </w:trPr>
        <w:tc>
          <w:tcPr>
            <w:tcW w:w="1985" w:type="dxa"/>
          </w:tcPr>
          <w:p w14:paraId="716CC0E7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ismert:</w:t>
            </w:r>
          </w:p>
        </w:tc>
        <w:tc>
          <w:tcPr>
            <w:tcW w:w="7087" w:type="dxa"/>
          </w:tcPr>
          <w:p w14:paraId="7431514E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Krónikus veseelégtelenség</w:t>
            </w:r>
          </w:p>
        </w:tc>
      </w:tr>
      <w:tr w:rsidR="00FC0D76" w:rsidRPr="00CC170B" w14:paraId="00429768" w14:textId="77777777" w:rsidTr="003357E9">
        <w:trPr>
          <w:trHeight w:val="260"/>
        </w:trPr>
        <w:tc>
          <w:tcPr>
            <w:tcW w:w="9072" w:type="dxa"/>
            <w:gridSpan w:val="2"/>
          </w:tcPr>
          <w:p w14:paraId="2E2C9AFD" w14:textId="77777777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A nemi szervekkel és az emlőkkel kapcsolatos betegségek és tünetek</w:t>
            </w:r>
          </w:p>
        </w:tc>
      </w:tr>
      <w:tr w:rsidR="00FC0D76" w:rsidRPr="00CC170B" w14:paraId="708DE725" w14:textId="77777777" w:rsidTr="003357E9">
        <w:trPr>
          <w:trHeight w:val="780"/>
        </w:trPr>
        <w:tc>
          <w:tcPr>
            <w:tcW w:w="1985" w:type="dxa"/>
          </w:tcPr>
          <w:p w14:paraId="15B72CCD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gyakori:</w:t>
            </w:r>
          </w:p>
        </w:tc>
        <w:tc>
          <w:tcPr>
            <w:tcW w:w="7087" w:type="dxa"/>
          </w:tcPr>
          <w:p w14:paraId="4B9D673A" w14:textId="7580E002" w:rsidR="00FC0D76" w:rsidRPr="00CC170B" w:rsidRDefault="00FC0D76" w:rsidP="004B0D5F">
            <w:pPr>
              <w:rPr>
                <w:lang w:val="hu-HU"/>
              </w:rPr>
            </w:pPr>
            <w:r w:rsidRPr="00CC170B">
              <w:rPr>
                <w:lang w:val="hu-HU"/>
              </w:rPr>
              <w:t>Gynaecomastia, erectilis dysfunctio, menorrhagia, rendszertelen menstruáció,</w:t>
            </w:r>
            <w:r w:rsidR="004B0D5F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szexuális dysfunctio, emlőbimbó-fájdalom, emlőmegnagyobbodás, scrotalis</w:t>
            </w:r>
            <w:r w:rsidR="004B0D5F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ödéma</w:t>
            </w:r>
          </w:p>
        </w:tc>
      </w:tr>
      <w:tr w:rsidR="00FC0D76" w:rsidRPr="00CC170B" w14:paraId="02653915" w14:textId="77777777" w:rsidTr="003357E9">
        <w:trPr>
          <w:trHeight w:val="260"/>
        </w:trPr>
        <w:tc>
          <w:tcPr>
            <w:tcW w:w="1985" w:type="dxa"/>
          </w:tcPr>
          <w:p w14:paraId="0EE976CC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Ritka:</w:t>
            </w:r>
          </w:p>
        </w:tc>
        <w:tc>
          <w:tcPr>
            <w:tcW w:w="7087" w:type="dxa"/>
          </w:tcPr>
          <w:p w14:paraId="2D7F296E" w14:textId="4D5A95F9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Corpus luteum haemorrhagicum / cysta ovarii haemorrhagic</w:t>
            </w:r>
            <w:r w:rsidR="00136CE1">
              <w:rPr>
                <w:lang w:val="hu-HU"/>
              </w:rPr>
              <w:t>a</w:t>
            </w:r>
          </w:p>
        </w:tc>
      </w:tr>
      <w:tr w:rsidR="00FC0D76" w:rsidRPr="00CC170B" w14:paraId="6B588D58" w14:textId="77777777" w:rsidTr="003357E9">
        <w:trPr>
          <w:trHeight w:val="260"/>
        </w:trPr>
        <w:tc>
          <w:tcPr>
            <w:tcW w:w="9072" w:type="dxa"/>
            <w:gridSpan w:val="2"/>
          </w:tcPr>
          <w:p w14:paraId="004B7F20" w14:textId="77777777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Általános tünetek, az alkalmazás helyén fellépő reakciók</w:t>
            </w:r>
          </w:p>
        </w:tc>
      </w:tr>
      <w:tr w:rsidR="00FC0D76" w:rsidRPr="00CC170B" w14:paraId="25AC4887" w14:textId="77777777" w:rsidTr="003357E9">
        <w:trPr>
          <w:trHeight w:val="260"/>
        </w:trPr>
        <w:tc>
          <w:tcPr>
            <w:tcW w:w="1985" w:type="dxa"/>
          </w:tcPr>
          <w:p w14:paraId="3F336BF0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Nagyon gyakori:</w:t>
            </w:r>
          </w:p>
        </w:tc>
        <w:tc>
          <w:tcPr>
            <w:tcW w:w="7087" w:type="dxa"/>
          </w:tcPr>
          <w:p w14:paraId="32C0B353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Folyadékretenció és ödéma, fáradtság</w:t>
            </w:r>
          </w:p>
        </w:tc>
      </w:tr>
      <w:tr w:rsidR="00FC0D76" w:rsidRPr="00CC170B" w14:paraId="667BD9A5" w14:textId="77777777" w:rsidTr="003357E9">
        <w:trPr>
          <w:trHeight w:val="260"/>
        </w:trPr>
        <w:tc>
          <w:tcPr>
            <w:tcW w:w="1985" w:type="dxa"/>
          </w:tcPr>
          <w:p w14:paraId="5D67208F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Gyakori:</w:t>
            </w:r>
          </w:p>
        </w:tc>
        <w:tc>
          <w:tcPr>
            <w:tcW w:w="7087" w:type="dxa"/>
          </w:tcPr>
          <w:p w14:paraId="5858ECA8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Gyengeség, láz, anasarca, hidegrázás, borzongás</w:t>
            </w:r>
          </w:p>
        </w:tc>
      </w:tr>
      <w:tr w:rsidR="00FC0D76" w:rsidRPr="00CC170B" w14:paraId="03427F9A" w14:textId="77777777" w:rsidTr="003357E9">
        <w:trPr>
          <w:trHeight w:val="260"/>
        </w:trPr>
        <w:tc>
          <w:tcPr>
            <w:tcW w:w="1985" w:type="dxa"/>
          </w:tcPr>
          <w:p w14:paraId="38598F5F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gyakori:</w:t>
            </w:r>
          </w:p>
        </w:tc>
        <w:tc>
          <w:tcPr>
            <w:tcW w:w="7087" w:type="dxa"/>
          </w:tcPr>
          <w:p w14:paraId="5EDDEFB9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Mellkasi fájdalom, rossz közérzet</w:t>
            </w:r>
          </w:p>
        </w:tc>
      </w:tr>
      <w:tr w:rsidR="00FC0D76" w:rsidRPr="00CC170B" w14:paraId="2D0C9504" w14:textId="77777777" w:rsidTr="003357E9">
        <w:trPr>
          <w:trHeight w:val="260"/>
        </w:trPr>
        <w:tc>
          <w:tcPr>
            <w:tcW w:w="9072" w:type="dxa"/>
            <w:gridSpan w:val="2"/>
          </w:tcPr>
          <w:p w14:paraId="2925DFEF" w14:textId="77777777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Laboratóriumi és egyéb vizsgálatok eredményei</w:t>
            </w:r>
          </w:p>
        </w:tc>
      </w:tr>
      <w:tr w:rsidR="00FC0D76" w:rsidRPr="00CC170B" w14:paraId="3B9559A5" w14:textId="77777777" w:rsidTr="003357E9">
        <w:trPr>
          <w:trHeight w:val="260"/>
        </w:trPr>
        <w:tc>
          <w:tcPr>
            <w:tcW w:w="1985" w:type="dxa"/>
          </w:tcPr>
          <w:p w14:paraId="56BD85FB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Nagyon gyakori:</w:t>
            </w:r>
          </w:p>
        </w:tc>
        <w:tc>
          <w:tcPr>
            <w:tcW w:w="7087" w:type="dxa"/>
          </w:tcPr>
          <w:p w14:paraId="3FC9CB9F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Testtömeg-növekedés</w:t>
            </w:r>
          </w:p>
        </w:tc>
      </w:tr>
      <w:tr w:rsidR="00FC0D76" w:rsidRPr="00CC170B" w14:paraId="3573674F" w14:textId="77777777" w:rsidTr="003357E9">
        <w:trPr>
          <w:trHeight w:val="260"/>
        </w:trPr>
        <w:tc>
          <w:tcPr>
            <w:tcW w:w="1985" w:type="dxa"/>
          </w:tcPr>
          <w:p w14:paraId="6B9CE256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Gyakori:</w:t>
            </w:r>
          </w:p>
        </w:tc>
        <w:tc>
          <w:tcPr>
            <w:tcW w:w="7087" w:type="dxa"/>
          </w:tcPr>
          <w:p w14:paraId="7CA3DD72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Testtömegcsökkenés</w:t>
            </w:r>
          </w:p>
        </w:tc>
      </w:tr>
      <w:tr w:rsidR="00FC0D76" w:rsidRPr="00CC170B" w14:paraId="258406B3" w14:textId="77777777" w:rsidTr="00DE4C69">
        <w:trPr>
          <w:trHeight w:val="779"/>
        </w:trPr>
        <w:tc>
          <w:tcPr>
            <w:tcW w:w="1985" w:type="dxa"/>
            <w:tcBorders>
              <w:bottom w:val="single" w:sz="4" w:space="0" w:color="000000"/>
            </w:tcBorders>
          </w:tcPr>
          <w:p w14:paraId="274F1625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Nem gyakori:</w:t>
            </w:r>
          </w:p>
        </w:tc>
        <w:tc>
          <w:tcPr>
            <w:tcW w:w="7087" w:type="dxa"/>
            <w:tcBorders>
              <w:bottom w:val="single" w:sz="4" w:space="0" w:color="000000"/>
            </w:tcBorders>
          </w:tcPr>
          <w:p w14:paraId="546E4619" w14:textId="70FC6B46" w:rsidR="00FC0D76" w:rsidRPr="00CC170B" w:rsidRDefault="00FC0D76" w:rsidP="004B0D5F">
            <w:pPr>
              <w:rPr>
                <w:lang w:val="hu-HU"/>
              </w:rPr>
            </w:pPr>
            <w:r w:rsidRPr="00CC170B">
              <w:rPr>
                <w:lang w:val="hu-HU"/>
              </w:rPr>
              <w:t>A vér kreatininszintjének emelkedése, a vér kreatin-foszfokináz-szintjének</w:t>
            </w:r>
            <w:r w:rsidR="004B0D5F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emelkedése, a vér laktát-dehidrogenáz-szintjének emelkedése, a vér alkalikusfoszfatáz-szintjének emelkedése</w:t>
            </w:r>
          </w:p>
        </w:tc>
      </w:tr>
      <w:tr w:rsidR="00FC0D76" w:rsidRPr="00CC170B" w14:paraId="71C8CD99" w14:textId="77777777" w:rsidTr="00DE4C69">
        <w:trPr>
          <w:trHeight w:val="261"/>
        </w:trPr>
        <w:tc>
          <w:tcPr>
            <w:tcW w:w="1985" w:type="dxa"/>
            <w:tcBorders>
              <w:bottom w:val="nil"/>
            </w:tcBorders>
          </w:tcPr>
          <w:p w14:paraId="5501BDCB" w14:textId="77777777" w:rsidR="00FC0D76" w:rsidRPr="00CC170B" w:rsidRDefault="00FC0D76" w:rsidP="00486ABB">
            <w:pPr>
              <w:rPr>
                <w:i/>
                <w:lang w:val="hu-HU"/>
              </w:rPr>
            </w:pPr>
            <w:r w:rsidRPr="00CC170B">
              <w:rPr>
                <w:i/>
                <w:lang w:val="hu-HU"/>
              </w:rPr>
              <w:t>Ritka:</w:t>
            </w:r>
          </w:p>
        </w:tc>
        <w:tc>
          <w:tcPr>
            <w:tcW w:w="7087" w:type="dxa"/>
            <w:tcBorders>
              <w:bottom w:val="nil"/>
            </w:tcBorders>
          </w:tcPr>
          <w:p w14:paraId="3EDAFA80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A vér amilázszintjének emelkedése</w:t>
            </w:r>
          </w:p>
        </w:tc>
      </w:tr>
    </w:tbl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4"/>
      </w:tblGrid>
      <w:tr w:rsidR="00A67DB6" w:rsidRPr="00CC170B" w14:paraId="17A81F94" w14:textId="77777777" w:rsidTr="00A67DB6">
        <w:tc>
          <w:tcPr>
            <w:tcW w:w="9064" w:type="dxa"/>
          </w:tcPr>
          <w:p w14:paraId="10A2B0EA" w14:textId="52304AFE" w:rsidR="00DF4763" w:rsidRPr="00CC170B" w:rsidRDefault="00DF4763" w:rsidP="00DF4763">
            <w:pPr>
              <w:pStyle w:val="BodyText11"/>
              <w:widowControl/>
              <w:shd w:val="clear" w:color="auto" w:fill="auto"/>
              <w:tabs>
                <w:tab w:val="left" w:pos="591"/>
              </w:tabs>
              <w:spacing w:line="240" w:lineRule="auto"/>
              <w:ind w:left="567" w:hanging="567"/>
              <w:jc w:val="left"/>
              <w:rPr>
                <w:sz w:val="22"/>
                <w:szCs w:val="22"/>
              </w:rPr>
            </w:pPr>
            <w:r w:rsidRPr="00CC170B">
              <w:rPr>
                <w:bCs/>
                <w:sz w:val="22"/>
                <w:szCs w:val="22"/>
              </w:rPr>
              <w:t>*</w:t>
            </w:r>
            <w:r w:rsidRPr="00CC170B">
              <w:rPr>
                <w:bCs/>
                <w:sz w:val="22"/>
                <w:szCs w:val="22"/>
              </w:rPr>
              <w:tab/>
            </w:r>
            <w:r w:rsidRPr="00CC170B">
              <w:rPr>
                <w:sz w:val="22"/>
                <w:szCs w:val="22"/>
              </w:rPr>
              <w:t xml:space="preserve">Az ilyen típusú reakciókat elsősorban az imatinib forgalomba hozatalát követően szerzett tapasztalatok alapján jelentették. </w:t>
            </w:r>
            <w:r w:rsidRPr="00CC170B">
              <w:rPr>
                <w:sz w:val="22"/>
                <w:szCs w:val="22"/>
                <w:lang w:bidi="hu-HU"/>
              </w:rPr>
              <w:t>Ezek közé spontán esetismertetések, valamint olyan, súlyos nemkívánatos események tartoznak, amelyeket folyamatban lévő vizsgálatok, engedélyezés előtti gyógyszeralkalmazás, klinikai farmakológiai vizsgálatok</w:t>
            </w:r>
            <w:r w:rsidR="00136CE1">
              <w:rPr>
                <w:sz w:val="22"/>
                <w:szCs w:val="22"/>
                <w:lang w:bidi="hu-HU"/>
              </w:rPr>
              <w:t>ból</w:t>
            </w:r>
            <w:r w:rsidRPr="00CC170B">
              <w:rPr>
                <w:sz w:val="22"/>
                <w:szCs w:val="22"/>
                <w:lang w:bidi="hu-HU"/>
              </w:rPr>
              <w:t xml:space="preserve"> és nem engedélyezett indikációkban folytatott, feltáró jellegű vizsgálatok során jelentettek. Mivel ezeket a reakciókat egy bizonytalan méretű populációból jelentették, a gyakoriság megbízható becslése vagy az imatinib-expozícióval való ok–okozati összefüggés megállapítása nem mindig lehetséges.</w:t>
            </w:r>
            <w:r w:rsidRPr="00CC170B">
              <w:rPr>
                <w:sz w:val="22"/>
                <w:szCs w:val="22"/>
              </w:rPr>
              <w:t xml:space="preserve"> </w:t>
            </w:r>
          </w:p>
          <w:p w14:paraId="4C69B9E1" w14:textId="77777777" w:rsidR="00DF4763" w:rsidRPr="00CC170B" w:rsidRDefault="00DF4763" w:rsidP="00DF4763">
            <w:pPr>
              <w:pStyle w:val="BodyText11"/>
              <w:widowControl/>
              <w:numPr>
                <w:ilvl w:val="0"/>
                <w:numId w:val="33"/>
              </w:numPr>
              <w:shd w:val="clear" w:color="auto" w:fill="auto"/>
              <w:tabs>
                <w:tab w:val="left" w:pos="567"/>
              </w:tabs>
              <w:spacing w:line="240" w:lineRule="auto"/>
              <w:ind w:left="567" w:hanging="567"/>
              <w:jc w:val="left"/>
              <w:rPr>
                <w:sz w:val="22"/>
                <w:szCs w:val="22"/>
              </w:rPr>
            </w:pPr>
            <w:r w:rsidRPr="00CC170B">
              <w:rPr>
                <w:sz w:val="22"/>
                <w:szCs w:val="22"/>
              </w:rPr>
              <w:t>Pneumoniáról a leggyakrabban transzformált CML-ben, valamint GIST-ben szenvedő betegeknél számoltak be.</w:t>
            </w:r>
          </w:p>
          <w:p w14:paraId="0F0CC169" w14:textId="2DE4355D" w:rsidR="00DF4763" w:rsidRPr="00CC170B" w:rsidRDefault="00DF4763" w:rsidP="00DF4763">
            <w:pPr>
              <w:pStyle w:val="BodyText11"/>
              <w:widowControl/>
              <w:numPr>
                <w:ilvl w:val="0"/>
                <w:numId w:val="33"/>
              </w:numPr>
              <w:shd w:val="clear" w:color="auto" w:fill="auto"/>
              <w:tabs>
                <w:tab w:val="left" w:pos="567"/>
              </w:tabs>
              <w:spacing w:line="240" w:lineRule="auto"/>
              <w:ind w:left="567" w:hanging="567"/>
              <w:jc w:val="left"/>
              <w:rPr>
                <w:sz w:val="22"/>
                <w:szCs w:val="22"/>
              </w:rPr>
            </w:pPr>
            <w:r w:rsidRPr="00CC170B">
              <w:rPr>
                <w:sz w:val="22"/>
                <w:szCs w:val="22"/>
              </w:rPr>
              <w:t xml:space="preserve">A fejfájás </w:t>
            </w:r>
            <w:r w:rsidR="002833C1">
              <w:rPr>
                <w:sz w:val="22"/>
                <w:szCs w:val="22"/>
              </w:rPr>
              <w:t xml:space="preserve">a </w:t>
            </w:r>
            <w:r w:rsidRPr="00CC170B">
              <w:rPr>
                <w:sz w:val="22"/>
                <w:szCs w:val="22"/>
              </w:rPr>
              <w:t>GIST-ben szenvedő betegek esetében volt a leggyakoribb.</w:t>
            </w:r>
          </w:p>
          <w:p w14:paraId="7764965C" w14:textId="27385796" w:rsidR="00DF4763" w:rsidRPr="00CC170B" w:rsidRDefault="00DF4763" w:rsidP="00DF4763">
            <w:pPr>
              <w:pStyle w:val="BodyText11"/>
              <w:widowControl/>
              <w:numPr>
                <w:ilvl w:val="0"/>
                <w:numId w:val="33"/>
              </w:numPr>
              <w:shd w:val="clear" w:color="auto" w:fill="auto"/>
              <w:tabs>
                <w:tab w:val="left" w:pos="567"/>
              </w:tabs>
              <w:spacing w:line="240" w:lineRule="auto"/>
              <w:ind w:left="567" w:hanging="567"/>
              <w:jc w:val="left"/>
              <w:rPr>
                <w:sz w:val="22"/>
                <w:szCs w:val="22"/>
              </w:rPr>
            </w:pPr>
            <w:r w:rsidRPr="00CC170B">
              <w:rPr>
                <w:sz w:val="22"/>
                <w:szCs w:val="22"/>
              </w:rPr>
              <w:t>Betegévre vetítve gyakrabban figyeltek meg cardialis eseményeket</w:t>
            </w:r>
            <w:r w:rsidR="002833C1">
              <w:rPr>
                <w:sz w:val="22"/>
                <w:szCs w:val="22"/>
              </w:rPr>
              <w:t xml:space="preserve"> –</w:t>
            </w:r>
            <w:r w:rsidRPr="00CC170B">
              <w:rPr>
                <w:sz w:val="22"/>
                <w:szCs w:val="22"/>
              </w:rPr>
              <w:t xml:space="preserve"> beleértve a pangásos szívelégtelenséget </w:t>
            </w:r>
            <w:r w:rsidR="002833C1">
              <w:rPr>
                <w:sz w:val="22"/>
                <w:szCs w:val="22"/>
              </w:rPr>
              <w:t xml:space="preserve">is – </w:t>
            </w:r>
            <w:r w:rsidRPr="00CC170B">
              <w:rPr>
                <w:sz w:val="22"/>
                <w:szCs w:val="22"/>
              </w:rPr>
              <w:t>transzformált CML-ben szenvedő betegeknél, mint krónikus CML-ben szenvedő betegeknél.</w:t>
            </w:r>
          </w:p>
          <w:p w14:paraId="68E9309E" w14:textId="3784DF13" w:rsidR="00DF4763" w:rsidRPr="00CC170B" w:rsidRDefault="00DF4763" w:rsidP="00DF4763">
            <w:pPr>
              <w:pStyle w:val="BodyText11"/>
              <w:widowControl/>
              <w:numPr>
                <w:ilvl w:val="0"/>
                <w:numId w:val="33"/>
              </w:numPr>
              <w:shd w:val="clear" w:color="auto" w:fill="auto"/>
              <w:tabs>
                <w:tab w:val="left" w:pos="567"/>
              </w:tabs>
              <w:spacing w:line="240" w:lineRule="auto"/>
              <w:ind w:left="567" w:hanging="567"/>
              <w:jc w:val="left"/>
              <w:rPr>
                <w:sz w:val="22"/>
                <w:szCs w:val="22"/>
              </w:rPr>
            </w:pPr>
            <w:r w:rsidRPr="00CC170B">
              <w:rPr>
                <w:sz w:val="22"/>
                <w:szCs w:val="22"/>
              </w:rPr>
              <w:t xml:space="preserve">A kipirulás </w:t>
            </w:r>
            <w:r w:rsidR="002833C1">
              <w:rPr>
                <w:sz w:val="22"/>
                <w:szCs w:val="22"/>
              </w:rPr>
              <w:t xml:space="preserve">a </w:t>
            </w:r>
            <w:r w:rsidRPr="00CC170B">
              <w:rPr>
                <w:sz w:val="22"/>
                <w:szCs w:val="22"/>
              </w:rPr>
              <w:t xml:space="preserve">GIST-ben, míg a vérzés (haematoma, haemorrhagia) </w:t>
            </w:r>
            <w:r w:rsidR="002833C1">
              <w:rPr>
                <w:sz w:val="22"/>
                <w:szCs w:val="22"/>
              </w:rPr>
              <w:t xml:space="preserve">a </w:t>
            </w:r>
            <w:r w:rsidRPr="00CC170B">
              <w:rPr>
                <w:sz w:val="22"/>
                <w:szCs w:val="22"/>
              </w:rPr>
              <w:t>GIST-ben</w:t>
            </w:r>
            <w:r w:rsidR="002833C1">
              <w:rPr>
                <w:sz w:val="22"/>
                <w:szCs w:val="22"/>
              </w:rPr>
              <w:t>, illetve</w:t>
            </w:r>
            <w:r w:rsidRPr="00CC170B">
              <w:rPr>
                <w:sz w:val="22"/>
                <w:szCs w:val="22"/>
              </w:rPr>
              <w:t xml:space="preserve"> transzformált CML-ben (CML-AP és CML-BC) szenvedő betegeknél volt a leggyakoribb.</w:t>
            </w:r>
          </w:p>
          <w:p w14:paraId="54FB1E80" w14:textId="77777777" w:rsidR="00DF4763" w:rsidRPr="00CC170B" w:rsidRDefault="00DF4763" w:rsidP="00DF4763">
            <w:pPr>
              <w:pStyle w:val="BodyText11"/>
              <w:widowControl/>
              <w:numPr>
                <w:ilvl w:val="0"/>
                <w:numId w:val="33"/>
              </w:numPr>
              <w:shd w:val="clear" w:color="auto" w:fill="auto"/>
              <w:tabs>
                <w:tab w:val="left" w:pos="567"/>
              </w:tabs>
              <w:spacing w:line="240" w:lineRule="auto"/>
              <w:ind w:left="567" w:hanging="567"/>
              <w:jc w:val="left"/>
              <w:rPr>
                <w:sz w:val="22"/>
                <w:szCs w:val="22"/>
              </w:rPr>
            </w:pPr>
            <w:r w:rsidRPr="00CC170B">
              <w:rPr>
                <w:sz w:val="22"/>
                <w:szCs w:val="22"/>
              </w:rPr>
              <w:t>Pleuralis folyadékgyülemről gyakrabban számoltak be GIST-ben, illetve transzformált CML-ben (CML-AP és CML-BC), mint krónikus CML-ben szenvedő betegeknél.</w:t>
            </w:r>
          </w:p>
          <w:p w14:paraId="40CDED11" w14:textId="77777777" w:rsidR="00DF4763" w:rsidRPr="00CC170B" w:rsidRDefault="00DF4763" w:rsidP="00DF4763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567" w:hanging="567"/>
              <w:jc w:val="left"/>
              <w:rPr>
                <w:sz w:val="22"/>
                <w:szCs w:val="22"/>
              </w:rPr>
            </w:pPr>
            <w:r w:rsidRPr="00CC170B">
              <w:rPr>
                <w:sz w:val="22"/>
                <w:szCs w:val="22"/>
                <w:vertAlign w:val="superscript"/>
              </w:rPr>
              <w:t>6+7.</w:t>
            </w:r>
            <w:r w:rsidRPr="00CC170B">
              <w:rPr>
                <w:sz w:val="22"/>
                <w:szCs w:val="22"/>
              </w:rPr>
              <w:tab/>
              <w:t>Hasfájást és gastrointestinalis vérzést a leggyakrabban GIST-ben szenvedő betegeknél figyeltek meg.</w:t>
            </w:r>
          </w:p>
          <w:p w14:paraId="370C737A" w14:textId="3495FA49" w:rsidR="00DF4763" w:rsidRPr="00CC170B" w:rsidRDefault="00DF4763" w:rsidP="00DF4763">
            <w:pPr>
              <w:pStyle w:val="BodyText11"/>
              <w:widowControl/>
              <w:numPr>
                <w:ilvl w:val="0"/>
                <w:numId w:val="34"/>
              </w:numPr>
              <w:shd w:val="clear" w:color="auto" w:fill="auto"/>
              <w:tabs>
                <w:tab w:val="left" w:pos="567"/>
              </w:tabs>
              <w:spacing w:line="240" w:lineRule="auto"/>
              <w:jc w:val="left"/>
              <w:rPr>
                <w:sz w:val="22"/>
                <w:szCs w:val="22"/>
              </w:rPr>
            </w:pPr>
            <w:r w:rsidRPr="00CC170B">
              <w:rPr>
                <w:sz w:val="22"/>
                <w:szCs w:val="22"/>
              </w:rPr>
              <w:t xml:space="preserve">Beszámoltak </w:t>
            </w:r>
            <w:r w:rsidR="00D90BCF" w:rsidRPr="00CC170B">
              <w:rPr>
                <w:sz w:val="22"/>
                <w:szCs w:val="22"/>
                <w:lang w:bidi="hu-HU"/>
              </w:rPr>
              <w:t>májelégtelenség, illetve májnecrosis néhány, halálos kimenetelű esetéről</w:t>
            </w:r>
            <w:r w:rsidRPr="00CC170B">
              <w:rPr>
                <w:sz w:val="22"/>
                <w:szCs w:val="22"/>
              </w:rPr>
              <w:t>.</w:t>
            </w:r>
          </w:p>
          <w:p w14:paraId="73B6E20A" w14:textId="286E369B" w:rsidR="00DF4763" w:rsidRPr="00CC170B" w:rsidRDefault="00DF4763" w:rsidP="00DF4763">
            <w:pPr>
              <w:pStyle w:val="BodyText11"/>
              <w:widowControl/>
              <w:numPr>
                <w:ilvl w:val="0"/>
                <w:numId w:val="34"/>
              </w:numPr>
              <w:shd w:val="clear" w:color="auto" w:fill="auto"/>
              <w:tabs>
                <w:tab w:val="left" w:pos="567"/>
              </w:tabs>
              <w:spacing w:line="240" w:lineRule="auto"/>
              <w:ind w:left="567" w:hanging="567"/>
              <w:jc w:val="left"/>
              <w:rPr>
                <w:sz w:val="22"/>
                <w:szCs w:val="22"/>
              </w:rPr>
            </w:pPr>
            <w:r w:rsidRPr="00CC170B">
              <w:rPr>
                <w:sz w:val="22"/>
                <w:szCs w:val="22"/>
              </w:rPr>
              <w:t xml:space="preserve">A forgalomba hozatalt követően </w:t>
            </w:r>
            <w:r w:rsidR="002833C1">
              <w:rPr>
                <w:sz w:val="22"/>
                <w:szCs w:val="22"/>
              </w:rPr>
              <w:t xml:space="preserve">az </w:t>
            </w:r>
            <w:r w:rsidRPr="00CC170B">
              <w:rPr>
                <w:sz w:val="22"/>
                <w:szCs w:val="22"/>
              </w:rPr>
              <w:t>imatinib-terápia ideje alatt vagy a kezelés felfüggesztése után musculoskeletalis fájdalmat figyeltek meg.</w:t>
            </w:r>
          </w:p>
          <w:p w14:paraId="4A0A87DA" w14:textId="3E9707B3" w:rsidR="00DF4763" w:rsidRPr="00CC170B" w:rsidRDefault="00D90BCF" w:rsidP="00DF4763">
            <w:pPr>
              <w:pStyle w:val="BodyText11"/>
              <w:widowControl/>
              <w:numPr>
                <w:ilvl w:val="0"/>
                <w:numId w:val="34"/>
              </w:numPr>
              <w:shd w:val="clear" w:color="auto" w:fill="auto"/>
              <w:tabs>
                <w:tab w:val="left" w:pos="567"/>
              </w:tabs>
              <w:spacing w:line="240" w:lineRule="auto"/>
              <w:ind w:left="567" w:hanging="567"/>
              <w:jc w:val="left"/>
              <w:rPr>
                <w:sz w:val="22"/>
                <w:szCs w:val="22"/>
              </w:rPr>
            </w:pPr>
            <w:r w:rsidRPr="00CC170B">
              <w:rPr>
                <w:sz w:val="22"/>
                <w:szCs w:val="22"/>
                <w:lang w:bidi="hu-HU"/>
              </w:rPr>
              <w:t xml:space="preserve">Musculoskeletalis </w:t>
            </w:r>
            <w:r w:rsidR="00DF4763" w:rsidRPr="00CC170B">
              <w:rPr>
                <w:sz w:val="22"/>
                <w:szCs w:val="22"/>
              </w:rPr>
              <w:t>fájdalmat, és ezzel kapcsolatos eseményeket gyakrabban figyeltek meg CML-ben, mint GIST-ben szenvedő betegeknél.</w:t>
            </w:r>
          </w:p>
          <w:p w14:paraId="110A9788" w14:textId="7F6E9D9C" w:rsidR="00DF4763" w:rsidRPr="00CC170B" w:rsidRDefault="00D90BCF" w:rsidP="00DF4763">
            <w:pPr>
              <w:pStyle w:val="BodyText11"/>
              <w:widowControl/>
              <w:numPr>
                <w:ilvl w:val="0"/>
                <w:numId w:val="34"/>
              </w:numPr>
              <w:shd w:val="clear" w:color="auto" w:fill="auto"/>
              <w:tabs>
                <w:tab w:val="left" w:pos="567"/>
              </w:tabs>
              <w:spacing w:line="240" w:lineRule="auto"/>
              <w:ind w:left="567" w:hanging="567"/>
              <w:jc w:val="left"/>
              <w:rPr>
                <w:sz w:val="22"/>
                <w:szCs w:val="22"/>
              </w:rPr>
            </w:pPr>
            <w:r w:rsidRPr="00CC170B">
              <w:rPr>
                <w:sz w:val="22"/>
                <w:szCs w:val="22"/>
                <w:lang w:bidi="hu-HU"/>
              </w:rPr>
              <w:t xml:space="preserve">Az előrehaladott betegségben, súlyos fertőzésben, súlyos neutropeniában és egyéb súlyos kísérőbetegségben szenvedő betegeknél </w:t>
            </w:r>
            <w:r w:rsidR="002833C1">
              <w:rPr>
                <w:sz w:val="22"/>
                <w:szCs w:val="22"/>
                <w:lang w:bidi="hu-HU"/>
              </w:rPr>
              <w:t>halálos</w:t>
            </w:r>
            <w:r w:rsidRPr="00CC170B">
              <w:rPr>
                <w:sz w:val="22"/>
                <w:szCs w:val="22"/>
                <w:lang w:bidi="hu-HU"/>
              </w:rPr>
              <w:t xml:space="preserve"> kimenetelű eseteket is jelentettek</w:t>
            </w:r>
            <w:r w:rsidR="00DF4763" w:rsidRPr="00CC170B">
              <w:rPr>
                <w:sz w:val="22"/>
                <w:szCs w:val="22"/>
              </w:rPr>
              <w:t>.</w:t>
            </w:r>
          </w:p>
          <w:p w14:paraId="5E63EE02" w14:textId="77777777" w:rsidR="00DF4763" w:rsidRPr="00CC170B" w:rsidRDefault="00DF4763" w:rsidP="00DF4763">
            <w:pPr>
              <w:pStyle w:val="BodyText11"/>
              <w:widowControl/>
              <w:numPr>
                <w:ilvl w:val="0"/>
                <w:numId w:val="34"/>
              </w:numPr>
              <w:shd w:val="clear" w:color="auto" w:fill="auto"/>
              <w:tabs>
                <w:tab w:val="left" w:pos="567"/>
              </w:tabs>
              <w:spacing w:line="240" w:lineRule="auto"/>
              <w:jc w:val="left"/>
              <w:rPr>
                <w:sz w:val="22"/>
                <w:szCs w:val="22"/>
              </w:rPr>
            </w:pPr>
            <w:r w:rsidRPr="00CC170B">
              <w:rPr>
                <w:sz w:val="22"/>
                <w:szCs w:val="22"/>
              </w:rPr>
              <w:t>Beleértve az erythema nodosumot.</w:t>
            </w:r>
          </w:p>
          <w:p w14:paraId="74E1DB54" w14:textId="77777777" w:rsidR="00A67DB6" w:rsidRPr="00CC170B" w:rsidRDefault="00A67DB6" w:rsidP="00FC0D76">
            <w:pPr>
              <w:rPr>
                <w:bCs/>
              </w:rPr>
            </w:pPr>
          </w:p>
        </w:tc>
      </w:tr>
    </w:tbl>
    <w:p w14:paraId="660025BF" w14:textId="77777777" w:rsidR="00A67DB6" w:rsidRPr="00CC170B" w:rsidRDefault="00A67DB6" w:rsidP="00FC0D76">
      <w:pPr>
        <w:rPr>
          <w:bCs/>
        </w:rPr>
      </w:pPr>
    </w:p>
    <w:p w14:paraId="0CB88C00" w14:textId="77777777" w:rsidR="00FC0D76" w:rsidRPr="00CC170B" w:rsidRDefault="00FC0D76" w:rsidP="00FC0D76">
      <w:r w:rsidRPr="00CC170B">
        <w:rPr>
          <w:u w:val="single"/>
        </w:rPr>
        <w:t>Laboratóriumi eltérések</w:t>
      </w:r>
    </w:p>
    <w:p w14:paraId="1EDF8D74" w14:textId="77777777" w:rsidR="00FC0D76" w:rsidRPr="00CC170B" w:rsidRDefault="00FC0D76" w:rsidP="00FC0D76"/>
    <w:p w14:paraId="0142707D" w14:textId="77777777" w:rsidR="00FC0D76" w:rsidRPr="00CC170B" w:rsidRDefault="00FC0D76" w:rsidP="00FC0D76">
      <w:pPr>
        <w:rPr>
          <w:i/>
        </w:rPr>
      </w:pPr>
      <w:r w:rsidRPr="00CC170B">
        <w:rPr>
          <w:i/>
          <w:u w:val="single"/>
        </w:rPr>
        <w:t>Hematológia</w:t>
      </w:r>
    </w:p>
    <w:p w14:paraId="7D91DE6D" w14:textId="0157FC33" w:rsidR="00FC0D76" w:rsidRPr="00CC170B" w:rsidRDefault="00FC0D76" w:rsidP="00FC0D76">
      <w:r w:rsidRPr="00CC170B">
        <w:t xml:space="preserve">CML-ben a cytopenia (főképp a neutropenia és thrombocytopenia) valamennyi vizsgálatban következetesen jelentkezett, és gyakoribbnak tűnt a nagyobb, </w:t>
      </w:r>
      <w:r w:rsidRPr="00CC170B">
        <w:rPr>
          <w:rFonts w:ascii="Symbol" w:hAnsi="Symbol"/>
        </w:rPr>
        <w:t></w:t>
      </w:r>
      <w:r w:rsidRPr="00CC170B">
        <w:t>750 mg dózis mellett (I. fázisú vizsgálat). Viszont a cytopeniák előfordulása egyértelműen függött a betegség stádiumától; 3. vagy</w:t>
      </w:r>
      <w:r w:rsidR="0000020F" w:rsidRPr="00CC170B">
        <w:t xml:space="preserve"> </w:t>
      </w:r>
      <w:r w:rsidR="00D314A9">
        <w:lastRenderedPageBreak/>
        <w:t>4.</w:t>
      </w:r>
      <w:r w:rsidR="002833C1">
        <w:t> </w:t>
      </w:r>
      <w:r w:rsidRPr="00CC170B">
        <w:t xml:space="preserve">fokozatú neutropenia (ANC </w:t>
      </w:r>
      <w:r w:rsidRPr="00CC170B">
        <w:rPr>
          <w:rFonts w:ascii="Symbol" w:hAnsi="Symbol"/>
        </w:rPr>
        <w:t></w:t>
      </w:r>
      <w:r w:rsidRPr="00CC170B">
        <w:t>1,0</w:t>
      </w:r>
      <w:r w:rsidR="00D90BCF" w:rsidRPr="00CC170B">
        <w:t> </w:t>
      </w:r>
      <w:r w:rsidR="002833C1">
        <w:t>G</w:t>
      </w:r>
      <w:r w:rsidRPr="00CC170B">
        <w:t>/l) és thrombocytopenia (thrombocytaszám &lt;50</w:t>
      </w:r>
      <w:r w:rsidR="00D90BCF" w:rsidRPr="00CC170B">
        <w:t> </w:t>
      </w:r>
      <w:r w:rsidR="002833C1">
        <w:t>G</w:t>
      </w:r>
      <w:r w:rsidRPr="00CC170B">
        <w:t>/l)</w:t>
      </w:r>
      <w:r w:rsidR="00D90BCF" w:rsidRPr="00CC170B">
        <w:t xml:space="preserve"> </w:t>
      </w:r>
      <w:r w:rsidRPr="00CC170B">
        <w:t>4</w:t>
      </w:r>
      <w:r w:rsidR="00D90BCF" w:rsidRPr="00CC170B">
        <w:noBreakHyphen/>
      </w:r>
      <w:r w:rsidRPr="00CC170B">
        <w:t>6</w:t>
      </w:r>
      <w:r w:rsidR="00D90BCF" w:rsidRPr="00CC170B">
        <w:noBreakHyphen/>
      </w:r>
      <w:r w:rsidRPr="00CC170B">
        <w:t>szor gyakrabban fordult elő blasztos krízisben és akcelerált fázisban (</w:t>
      </w:r>
      <w:r w:rsidR="002833C1" w:rsidRPr="00CC170B">
        <w:t>neutropenia</w:t>
      </w:r>
      <w:r w:rsidR="002833C1">
        <w:t>:</w:t>
      </w:r>
      <w:r w:rsidR="002833C1" w:rsidRPr="00CC170B">
        <w:t xml:space="preserve"> </w:t>
      </w:r>
      <w:r w:rsidRPr="00CC170B">
        <w:t>59–64%</w:t>
      </w:r>
      <w:r w:rsidR="002833C1">
        <w:t xml:space="preserve"> és </w:t>
      </w:r>
      <w:r w:rsidR="002833C1" w:rsidRPr="00CC170B">
        <w:t>thrombocytopenia</w:t>
      </w:r>
      <w:r w:rsidRPr="00CC170B">
        <w:t xml:space="preserve"> 44–63%), összehasonlítva az újonnan diagnosztizált, krónikus fázisú CML-es betegekkel (</w:t>
      </w:r>
      <w:r w:rsidR="004801D8" w:rsidRPr="00CC170B">
        <w:t>neutropenia</w:t>
      </w:r>
      <w:r w:rsidR="004801D8">
        <w:t>:</w:t>
      </w:r>
      <w:r w:rsidR="004801D8" w:rsidRPr="00CC170B">
        <w:t xml:space="preserve"> </w:t>
      </w:r>
      <w:r w:rsidRPr="00CC170B">
        <w:t xml:space="preserve">16,7%, </w:t>
      </w:r>
      <w:r w:rsidR="004801D8" w:rsidRPr="00CC170B">
        <w:t>thrombocytopenia</w:t>
      </w:r>
      <w:r w:rsidR="004801D8">
        <w:t>:</w:t>
      </w:r>
      <w:r w:rsidRPr="00CC170B">
        <w:t xml:space="preserve"> 8,9%). Újonnan diagnosztizált, krónikus fázisú CML-ben a 4. fokozatú neutropenia (ANC </w:t>
      </w:r>
      <w:r w:rsidR="00050E99" w:rsidRPr="00CC170B">
        <w:t> </w:t>
      </w:r>
      <w:r w:rsidRPr="00CC170B">
        <w:t>0,5</w:t>
      </w:r>
      <w:r w:rsidR="00050E99" w:rsidRPr="00CC170B">
        <w:t> </w:t>
      </w:r>
      <w:r w:rsidR="004801D8">
        <w:t>G</w:t>
      </w:r>
      <w:r w:rsidRPr="00CC170B">
        <w:t>/l) és thrombocytopenia (thrombocytaszám &lt;10</w:t>
      </w:r>
      <w:r w:rsidR="00050E99" w:rsidRPr="00CC170B">
        <w:t> </w:t>
      </w:r>
      <w:r w:rsidR="004801D8">
        <w:t>G</w:t>
      </w:r>
      <w:r w:rsidRPr="00CC170B">
        <w:t xml:space="preserve">/l) a betegek 3,6%-ánál, illetve </w:t>
      </w:r>
      <w:r w:rsidRPr="00CC170B">
        <w:rPr>
          <w:rFonts w:ascii="Symbol" w:hAnsi="Symbol"/>
        </w:rPr>
        <w:t></w:t>
      </w:r>
      <w:r w:rsidRPr="00CC170B">
        <w:t>1%-ánál volt megfigyelhető. A neutropeniás, illetve thrombocytopeniás időszak medián időtartama 2–3</w:t>
      </w:r>
      <w:r w:rsidR="00050E99" w:rsidRPr="00CC170B">
        <w:t> </w:t>
      </w:r>
      <w:r w:rsidRPr="00CC170B">
        <w:t>hét, illetve 3–4</w:t>
      </w:r>
      <w:r w:rsidR="00050E99" w:rsidRPr="00CC170B">
        <w:t> </w:t>
      </w:r>
      <w:r w:rsidRPr="00CC170B">
        <w:t xml:space="preserve">hét között mozgott. Ezek az események általában a dózis csökkentésével, vagy </w:t>
      </w:r>
      <w:r w:rsidR="00F65A4E" w:rsidRPr="00CC170B">
        <w:t xml:space="preserve">az </w:t>
      </w:r>
      <w:r w:rsidR="00050E99" w:rsidRPr="00CC170B">
        <w:t>i</w:t>
      </w:r>
      <w:r w:rsidR="00D07FC6" w:rsidRPr="00CC170B">
        <w:t>matinib</w:t>
      </w:r>
      <w:r w:rsidRPr="00CC170B">
        <w:t>-kezelés megszakításával rendezhetők, de néhány esetben a kezelés végleges elhagyását teszik szükségessé.</w:t>
      </w:r>
      <w:r w:rsidR="00050E99" w:rsidRPr="00CC170B">
        <w:t xml:space="preserve"> </w:t>
      </w:r>
      <w:r w:rsidRPr="00CC170B">
        <w:t>CML-es gyermekeknél és serdülőknél a leggyakrabban észlelt toxicitás 3. és 4. fokú cytopenia volt, beleértve a neutropeniát, thrombocytopeniát és anaemiát, melyek általában a kezelés első néhány</w:t>
      </w:r>
      <w:r w:rsidR="00050E99" w:rsidRPr="00CC170B">
        <w:t xml:space="preserve"> </w:t>
      </w:r>
      <w:r w:rsidR="00645FEE" w:rsidRPr="00CC170B">
        <w:t>hónap</w:t>
      </w:r>
      <w:r w:rsidRPr="00CC170B">
        <w:t>jában alakultak ki.</w:t>
      </w:r>
    </w:p>
    <w:p w14:paraId="600F040A" w14:textId="77777777" w:rsidR="00FC0D76" w:rsidRPr="00CC170B" w:rsidRDefault="00FC0D76" w:rsidP="00FC0D76"/>
    <w:p w14:paraId="3B1AEAFF" w14:textId="7CD5B537" w:rsidR="00FC0D76" w:rsidRPr="00CC170B" w:rsidRDefault="00FC0D76" w:rsidP="00FC0D76">
      <w:r w:rsidRPr="00CC170B">
        <w:t xml:space="preserve">A nem reszekábilis és/vagy </w:t>
      </w:r>
      <w:r w:rsidR="006276E6" w:rsidRPr="00CC170B">
        <w:t>metasztatizáló</w:t>
      </w:r>
      <w:r w:rsidRPr="00CC170B">
        <w:t xml:space="preserve"> GIST-ben szenvedő betegekkel végzett vizsgálatban 3., illetve 4. fokozatú anaemiát a betegek 5,4%-ánál, illetve 0,7%-ánál jelentettek, ami – legalábbis esetenként – a gastrointestinalis vagy intratumoralis vérzésnek lehetett a következménye. H</w:t>
      </w:r>
      <w:r w:rsidR="004801D8">
        <w:t>armadik</w:t>
      </w:r>
      <w:r w:rsidRPr="00CC170B">
        <w:t>, illetve 4. fokozatú neutropeniát a betegek 7,5%-ánál, illetve 2,7%-ánál, 3. fokú thrombocytopeniát pedig 0,7%-nál figyeltek meg. Nem volt olyan beteg, akinél 4. fokozatú thrombocytopenia alakult volna ki. A fehérvérsejt-, illetve neutrophilszám csökkenése elsősorban a kezelés első 6</w:t>
      </w:r>
      <w:r w:rsidR="0058404E" w:rsidRPr="00CC170B">
        <w:t> </w:t>
      </w:r>
      <w:r w:rsidRPr="00CC170B">
        <w:t>hetében fordult elő, később az értékek relatíve stabilizálódtak.</w:t>
      </w:r>
    </w:p>
    <w:p w14:paraId="18DF33F9" w14:textId="77777777" w:rsidR="00050E99" w:rsidRPr="00CC170B" w:rsidRDefault="00050E99" w:rsidP="00FC0D76"/>
    <w:p w14:paraId="12B5F9AD" w14:textId="77777777" w:rsidR="00FC0D76" w:rsidRPr="00CC170B" w:rsidRDefault="00FC0D76" w:rsidP="00FC0D76">
      <w:pPr>
        <w:rPr>
          <w:i/>
        </w:rPr>
      </w:pPr>
      <w:r w:rsidRPr="00CC170B">
        <w:rPr>
          <w:i/>
          <w:u w:val="single"/>
        </w:rPr>
        <w:t>Biokémia</w:t>
      </w:r>
    </w:p>
    <w:p w14:paraId="6FE3079C" w14:textId="77777777" w:rsidR="0058404E" w:rsidRPr="00CC170B" w:rsidRDefault="0058404E" w:rsidP="00FC0D76"/>
    <w:p w14:paraId="6A382ECC" w14:textId="4F84A4A4" w:rsidR="00FC0D76" w:rsidRPr="00CC170B" w:rsidRDefault="00FC0D76" w:rsidP="00FC0D76">
      <w:r w:rsidRPr="00CC170B">
        <w:t xml:space="preserve">A transzaminázszintek (&lt;5%) vagy a bilirubinszint (&lt;1%) súlyos fokú emelkedését figyelték meg CML-es betegeknél, ami a dózis csökkentésével vagy a kezelés megszakításával </w:t>
      </w:r>
      <w:r w:rsidR="004801D8" w:rsidRPr="00CC170B">
        <w:t xml:space="preserve">általában kezelhető volt </w:t>
      </w:r>
      <w:r w:rsidRPr="00CC170B">
        <w:t xml:space="preserve">(ezen epizódok medián időtartama egy hét körül volt). A terápia végleges </w:t>
      </w:r>
      <w:r w:rsidR="004801D8">
        <w:t>leállítása</w:t>
      </w:r>
      <w:r w:rsidRPr="00CC170B">
        <w:t xml:space="preserve"> (a májfunkciós laboratóriumi eltérések miatt) a CML-es betegek kevesebb mint 1%-ánál következett be. GIST-ben szenvedő betegek (B2222 vizsgálat) 6,8%-ánál figyelték meg a GPT- (glutamát-piruvát-transzamináz</w:t>
      </w:r>
      <w:r w:rsidR="004801D8">
        <w:noBreakHyphen/>
      </w:r>
      <w:r w:rsidRPr="00CC170B">
        <w:t>) szint 3. vagy 4. fokozatú emelkedését, és 4,8%-ánál a GOT- (glutamát-oxálacetát- transzamináz-) szint 3. vagy 4. fokozatú emelkedését. A bilirubinszint-emelkedés 3% alatt volt.</w:t>
      </w:r>
    </w:p>
    <w:p w14:paraId="086836DB" w14:textId="77777777" w:rsidR="00FC0D76" w:rsidRPr="00CC170B" w:rsidRDefault="00FC0D76" w:rsidP="00FC0D76"/>
    <w:p w14:paraId="685986B1" w14:textId="4DE04DC0" w:rsidR="0058404E" w:rsidRPr="00CC170B" w:rsidRDefault="00FC0D76" w:rsidP="00FC0D76">
      <w:r w:rsidRPr="00CC170B">
        <w:t xml:space="preserve">Előfordult cytolyticus és cholestaticus hepatitis, illetve májelégtelenség; némelyik </w:t>
      </w:r>
      <w:r w:rsidR="004801D8">
        <w:t xml:space="preserve">eset </w:t>
      </w:r>
      <w:r w:rsidRPr="00CC170B">
        <w:t>halálos kimenetelű</w:t>
      </w:r>
      <w:r w:rsidR="0058404E" w:rsidRPr="00CC170B">
        <w:t xml:space="preserve"> </w:t>
      </w:r>
      <w:r w:rsidRPr="00CC170B">
        <w:t xml:space="preserve">volt, közöttük egy olyan </w:t>
      </w:r>
      <w:r w:rsidR="004801D8">
        <w:t>betegé is</w:t>
      </w:r>
      <w:r w:rsidRPr="00CC170B">
        <w:t>, a</w:t>
      </w:r>
      <w:r w:rsidR="004801D8">
        <w:t>ki</w:t>
      </w:r>
      <w:r w:rsidRPr="00CC170B">
        <w:t xml:space="preserve"> nagy dózisban szedett paracetamolt.</w:t>
      </w:r>
    </w:p>
    <w:p w14:paraId="51AFE30D" w14:textId="77777777" w:rsidR="0058404E" w:rsidRPr="00CC170B" w:rsidRDefault="0058404E" w:rsidP="004801D8"/>
    <w:p w14:paraId="12B2032A" w14:textId="4D9113C2" w:rsidR="00FC0D76" w:rsidRPr="00CC170B" w:rsidRDefault="00FC0D76" w:rsidP="00FC0D76">
      <w:r w:rsidRPr="00CC170B">
        <w:rPr>
          <w:u w:val="single"/>
        </w:rPr>
        <w:t>Néhány kiválasztott mellékhatás leírása</w:t>
      </w:r>
    </w:p>
    <w:p w14:paraId="29761678" w14:textId="77777777" w:rsidR="0058404E" w:rsidRPr="00CC170B" w:rsidRDefault="0058404E" w:rsidP="00FC0D76">
      <w:pPr>
        <w:rPr>
          <w:iCs/>
        </w:rPr>
      </w:pPr>
    </w:p>
    <w:p w14:paraId="523025EB" w14:textId="78106EC3" w:rsidR="00FC0D76" w:rsidRPr="00CC170B" w:rsidRDefault="00FC0D76" w:rsidP="00FC0D76">
      <w:pPr>
        <w:rPr>
          <w:i/>
        </w:rPr>
      </w:pPr>
      <w:r w:rsidRPr="00CC170B">
        <w:rPr>
          <w:i/>
          <w:u w:val="single"/>
        </w:rPr>
        <w:t>Hepatitis-B-reaktiváció</w:t>
      </w:r>
    </w:p>
    <w:p w14:paraId="2A5ACF3F" w14:textId="77777777" w:rsidR="0058404E" w:rsidRPr="00CC170B" w:rsidRDefault="0058404E" w:rsidP="00FC0D76"/>
    <w:p w14:paraId="1C2B8309" w14:textId="2AF6B7F0" w:rsidR="00FC0D76" w:rsidRPr="00CC170B" w:rsidRDefault="00FC0D76" w:rsidP="00FC0D76">
      <w:r w:rsidRPr="00CC170B">
        <w:t>A BCR-ABL tirozin-kináz-inhibitorok alkalmazásával kapcsolatban a hepatitis-B reaktivációjáról számoltak be</w:t>
      </w:r>
      <w:r w:rsidR="002A0C19">
        <w:t>.</w:t>
      </w:r>
      <w:r w:rsidRPr="00CC170B">
        <w:t xml:space="preserve"> Egyes esetekben akut májelégtelenség vagy fulmináns hepatitis alakult ki, amely májtranszplantációt tett szükségessé, vagy halálos kimenetelhez vezetett (lásd 4.4 pont).</w:t>
      </w:r>
    </w:p>
    <w:p w14:paraId="4C4EC1DE" w14:textId="77777777" w:rsidR="00FC0D76" w:rsidRPr="00CC170B" w:rsidRDefault="00FC0D76" w:rsidP="00FC0D76"/>
    <w:p w14:paraId="04703413" w14:textId="77777777" w:rsidR="00FC0D76" w:rsidRPr="00CC170B" w:rsidRDefault="00FC0D76" w:rsidP="00FC0D76">
      <w:r w:rsidRPr="00CC170B">
        <w:rPr>
          <w:u w:val="single"/>
        </w:rPr>
        <w:t>Feltételezett mellékhatások bejelentése</w:t>
      </w:r>
    </w:p>
    <w:p w14:paraId="5F8A68E2" w14:textId="77777777" w:rsidR="00FC0D76" w:rsidRPr="00CC170B" w:rsidRDefault="00FC0D76" w:rsidP="00FC0D76"/>
    <w:p w14:paraId="5BE697D7" w14:textId="77777777" w:rsidR="00FC0D76" w:rsidRPr="00CC170B" w:rsidRDefault="00FC0D76" w:rsidP="00FC0D76">
      <w:r w:rsidRPr="00CC170B"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385C08F8" w14:textId="77777777" w:rsidR="00FC0D76" w:rsidRPr="00CC170B" w:rsidRDefault="00FC0D76" w:rsidP="00FC0D76">
      <w:r w:rsidRPr="00CC170B">
        <w:t xml:space="preserve">Az egészségügyi szakembereket kérjük, hogy jelentsék be a feltételezett mellékhatásokat a hatóság részére az </w:t>
      </w:r>
      <w:hyperlink r:id="rId7">
        <w:r w:rsidRPr="00CC170B">
          <w:rPr>
            <w:color w:val="0000FF"/>
            <w:u w:val="single" w:color="0000FF"/>
            <w:shd w:val="clear" w:color="auto" w:fill="D9D9D9"/>
          </w:rPr>
          <w:t xml:space="preserve">V. függelékben </w:t>
        </w:r>
      </w:hyperlink>
      <w:r w:rsidRPr="00CC170B">
        <w:rPr>
          <w:shd w:val="clear" w:color="auto" w:fill="D9D9D9"/>
        </w:rPr>
        <w:t>található elérhetőségek valamelyikén keresztül</w:t>
      </w:r>
      <w:r w:rsidRPr="00CC170B">
        <w:t>.</w:t>
      </w:r>
    </w:p>
    <w:p w14:paraId="3DD0E138" w14:textId="77777777" w:rsidR="00FC0D76" w:rsidRPr="00CC170B" w:rsidRDefault="00FC0D76" w:rsidP="00FC0D76"/>
    <w:p w14:paraId="115CF3FE" w14:textId="091DA0A5" w:rsidR="00FC0D76" w:rsidRPr="00CC170B" w:rsidRDefault="0058404E" w:rsidP="0058404E">
      <w:pPr>
        <w:tabs>
          <w:tab w:val="left" w:pos="567"/>
        </w:tabs>
        <w:rPr>
          <w:b/>
          <w:bCs/>
        </w:rPr>
      </w:pPr>
      <w:r w:rsidRPr="00CC170B">
        <w:rPr>
          <w:b/>
          <w:bCs/>
        </w:rPr>
        <w:t>4.9</w:t>
      </w:r>
      <w:r w:rsidRPr="00CC170B">
        <w:rPr>
          <w:b/>
          <w:bCs/>
        </w:rPr>
        <w:tab/>
      </w:r>
      <w:r w:rsidR="00FC0D76" w:rsidRPr="00CC170B">
        <w:rPr>
          <w:b/>
          <w:bCs/>
        </w:rPr>
        <w:t>Túladagolás</w:t>
      </w:r>
    </w:p>
    <w:p w14:paraId="3609182A" w14:textId="77777777" w:rsidR="00FC0D76" w:rsidRPr="00CC170B" w:rsidRDefault="00FC0D76" w:rsidP="00FC0D76">
      <w:pPr>
        <w:rPr>
          <w:bCs/>
        </w:rPr>
      </w:pPr>
    </w:p>
    <w:p w14:paraId="15F0C247" w14:textId="79D2CEF4" w:rsidR="00FC0D76" w:rsidRPr="00CC170B" w:rsidRDefault="00FC0D76" w:rsidP="00FC0D76">
      <w:r w:rsidRPr="00CC170B">
        <w:t>A javasolt terápiás dózisnál nagyobb adagokkal szerzett tapasztalat korlátozott. Imatinib-túladagolás izolált eseteiről spontán jelentések</w:t>
      </w:r>
      <w:r w:rsidR="002A0C19">
        <w:t xml:space="preserve"> történtek, és ilyenekről </w:t>
      </w:r>
      <w:r w:rsidRPr="00CC170B">
        <w:t>a szakirodalom</w:t>
      </w:r>
      <w:r w:rsidR="002A0C19">
        <w:t xml:space="preserve"> is beszámol</w:t>
      </w:r>
      <w:r w:rsidRPr="00CC170B">
        <w:t>. Túladagolás esetén a beteget obszerválni kell, és megfelelő tüneti kezelésben kell részesíteni. Ezekben az esetekben a beszámolók szerint a kimenetel általában „javult” vagy „rendeződött” volt. A különböző dózistartományokban jelentett események a következők voltak:</w:t>
      </w:r>
    </w:p>
    <w:p w14:paraId="5059C80D" w14:textId="77777777" w:rsidR="00FC0D76" w:rsidRPr="00CC170B" w:rsidRDefault="00FC0D76" w:rsidP="00FC0D76"/>
    <w:p w14:paraId="1F5C85A6" w14:textId="77777777" w:rsidR="00FC0D76" w:rsidRPr="00CC170B" w:rsidRDefault="00FC0D76" w:rsidP="00FC0D76">
      <w:r w:rsidRPr="00CC170B">
        <w:rPr>
          <w:u w:val="single"/>
        </w:rPr>
        <w:lastRenderedPageBreak/>
        <w:t>Felnőttek</w:t>
      </w:r>
    </w:p>
    <w:p w14:paraId="3B7FEC80" w14:textId="77777777" w:rsidR="00FC0D76" w:rsidRPr="00CC170B" w:rsidRDefault="00FC0D76" w:rsidP="00FC0D76"/>
    <w:p w14:paraId="35A0B102" w14:textId="275A51DD" w:rsidR="00FC0D76" w:rsidRPr="00CC170B" w:rsidRDefault="00FC0D76" w:rsidP="00FC0D76">
      <w:r w:rsidRPr="00CC170B">
        <w:t>1200</w:t>
      </w:r>
      <w:r w:rsidR="002A0C19">
        <w:t>–</w:t>
      </w:r>
      <w:r w:rsidRPr="00CC170B">
        <w:t>1600 mg (az időtartam 1 és 10</w:t>
      </w:r>
      <w:r w:rsidR="0087414E" w:rsidRPr="00CC170B">
        <w:t> nap</w:t>
      </w:r>
      <w:r w:rsidRPr="00CC170B">
        <w:t xml:space="preserve"> között változik): hányinger, hányás, hasmenés, bőrkiütés, erythema, ödéma, duzzanat, fáradtság, izomspasmus, thrombocytopenia, pancytopenia, hasi fájdalom, fejfájás, étvágycsökkenés.</w:t>
      </w:r>
    </w:p>
    <w:p w14:paraId="70B370A4" w14:textId="4FE3D2F4" w:rsidR="00FC0D76" w:rsidRPr="00CC170B" w:rsidRDefault="00FC0D76" w:rsidP="002A0C19">
      <w:r w:rsidRPr="00CC170B">
        <w:t>1800</w:t>
      </w:r>
      <w:r w:rsidR="002A0C19" w:rsidRPr="002A0C19">
        <w:rPr>
          <w:lang w:val="cs-CZ"/>
        </w:rPr>
        <w:t>–</w:t>
      </w:r>
      <w:r w:rsidRPr="00CC170B">
        <w:t>3200 mg (akár</w:t>
      </w:r>
      <w:r w:rsidR="0087414E" w:rsidRPr="00CC170B">
        <w:t> nap</w:t>
      </w:r>
      <w:r w:rsidRPr="00CC170B">
        <w:t>i 3200 mg 6</w:t>
      </w:r>
      <w:r w:rsidR="0087414E" w:rsidRPr="00CC170B">
        <w:t> nap</w:t>
      </w:r>
      <w:r w:rsidRPr="00CC170B">
        <w:t>on keresztül): gyengeség, myalgia, emelkedett kreatin-foszfokináz-szint, emelkedett bilirubinszint, gastrointestinalis fájdalom.</w:t>
      </w:r>
    </w:p>
    <w:p w14:paraId="2EF53865" w14:textId="77777777" w:rsidR="00FC0D76" w:rsidRPr="00CC170B" w:rsidRDefault="00FC0D76" w:rsidP="00FC0D76">
      <w:r w:rsidRPr="00CC170B">
        <w:t>6400 mg (egyetlen adag): A szakirodalomban egy beteg esetéről számoltak be, akinél hányingert, hányást, hasi fájdalmat, lázat, arcdagadást, csökkent neutrophilszámot, emelkedett transzaminázszinteket észleltek.</w:t>
      </w:r>
    </w:p>
    <w:p w14:paraId="6164ED20" w14:textId="6AE3EDEC" w:rsidR="0000020F" w:rsidRPr="00CC170B" w:rsidRDefault="00FC0D76" w:rsidP="00FC0D76">
      <w:pPr>
        <w:rPr>
          <w:u w:val="single"/>
        </w:rPr>
      </w:pPr>
      <w:r w:rsidRPr="00CC170B">
        <w:t>8</w:t>
      </w:r>
      <w:r w:rsidR="002A0C19">
        <w:t>–</w:t>
      </w:r>
      <w:r w:rsidRPr="00CC170B">
        <w:t>10</w:t>
      </w:r>
      <w:r w:rsidR="00743305">
        <w:t> </w:t>
      </w:r>
      <w:r w:rsidRPr="00CC170B">
        <w:t>g (egyetlen adag): hányást és gastrointestinalis fájdalmat jelentettek.</w:t>
      </w:r>
    </w:p>
    <w:p w14:paraId="60C3444B" w14:textId="77777777" w:rsidR="0000020F" w:rsidRPr="00CC170B" w:rsidRDefault="0000020F" w:rsidP="00FC0D76">
      <w:pPr>
        <w:rPr>
          <w:u w:val="single"/>
        </w:rPr>
      </w:pPr>
    </w:p>
    <w:p w14:paraId="10813510" w14:textId="77E9D5FD" w:rsidR="00FC0D76" w:rsidRPr="00CC170B" w:rsidRDefault="00FC0D76" w:rsidP="00FC0D76">
      <w:r w:rsidRPr="00CC170B">
        <w:rPr>
          <w:u w:val="single"/>
        </w:rPr>
        <w:t>Gyermekek és serdülők</w:t>
      </w:r>
    </w:p>
    <w:p w14:paraId="008271E9" w14:textId="77777777" w:rsidR="00DC15EB" w:rsidRPr="00CC170B" w:rsidRDefault="00DC15EB" w:rsidP="00FC0D76"/>
    <w:p w14:paraId="47DD6D65" w14:textId="2F22AB13" w:rsidR="00FC0D76" w:rsidRPr="00CC170B" w:rsidRDefault="00FC0D76" w:rsidP="00FC0D76">
      <w:r w:rsidRPr="00CC170B">
        <w:t>Egy 3</w:t>
      </w:r>
      <w:r w:rsidR="00DC15EB" w:rsidRPr="00CC170B">
        <w:t> </w:t>
      </w:r>
      <w:r w:rsidRPr="00CC170B">
        <w:t xml:space="preserve">éves fiúnál, aki </w:t>
      </w:r>
      <w:r w:rsidR="002A0C19">
        <w:t xml:space="preserve">egy </w:t>
      </w:r>
      <w:r w:rsidRPr="00CC170B">
        <w:t>egy</w:t>
      </w:r>
      <w:r w:rsidR="002A0C19">
        <w:t>szeri</w:t>
      </w:r>
      <w:r w:rsidRPr="00CC170B">
        <w:t xml:space="preserve"> 400 mg-os adagot kapott, hányást, hasmenést és étvágytalanságot, egy másik 3</w:t>
      </w:r>
      <w:r w:rsidR="00DC15EB" w:rsidRPr="00CC170B">
        <w:t> </w:t>
      </w:r>
      <w:r w:rsidRPr="00CC170B">
        <w:t>éves fiúnál, aki egy</w:t>
      </w:r>
      <w:r w:rsidR="002A0C19">
        <w:t xml:space="preserve"> egyszeri</w:t>
      </w:r>
      <w:r w:rsidRPr="00CC170B">
        <w:t xml:space="preserve"> 980 mg-os adagot kapott, fehérvérsejtszám-csökkenést és hasmenést észleltek.</w:t>
      </w:r>
    </w:p>
    <w:p w14:paraId="14BA9994" w14:textId="77777777" w:rsidR="00FC0D76" w:rsidRPr="00CC170B" w:rsidRDefault="00FC0D76" w:rsidP="00FC0D76"/>
    <w:p w14:paraId="580BB2C0" w14:textId="663A4B97" w:rsidR="00FC0D76" w:rsidRPr="00CC170B" w:rsidRDefault="00FC0D76" w:rsidP="00FC0D76">
      <w:r w:rsidRPr="00CC170B">
        <w:t>Túladagolás esetén a beteget megfigyelés alatt kell tartani, és megfelelő szupportív kezelésben kell</w:t>
      </w:r>
      <w:r w:rsidR="0000020F" w:rsidRPr="00CC170B">
        <w:t xml:space="preserve"> </w:t>
      </w:r>
      <w:r w:rsidRPr="00CC170B">
        <w:t>részesíteni.</w:t>
      </w:r>
    </w:p>
    <w:p w14:paraId="53D55234" w14:textId="77777777" w:rsidR="00FC0D76" w:rsidRPr="00CC170B" w:rsidRDefault="00FC0D76" w:rsidP="00FC0D76"/>
    <w:p w14:paraId="2DC96DBC" w14:textId="77777777" w:rsidR="00DC15EB" w:rsidRPr="00CC170B" w:rsidRDefault="00DC15EB" w:rsidP="00FC0D76"/>
    <w:p w14:paraId="39BF88A8" w14:textId="3ABD7504" w:rsidR="00FC0D76" w:rsidRPr="00CC170B" w:rsidRDefault="00DC15EB" w:rsidP="00931686">
      <w:pPr>
        <w:keepNext/>
        <w:widowControl/>
        <w:tabs>
          <w:tab w:val="left" w:pos="567"/>
        </w:tabs>
        <w:rPr>
          <w:b/>
          <w:bCs/>
        </w:rPr>
      </w:pPr>
      <w:r w:rsidRPr="00CC170B">
        <w:rPr>
          <w:b/>
          <w:bCs/>
        </w:rPr>
        <w:t>5.</w:t>
      </w:r>
      <w:r w:rsidRPr="00CC170B">
        <w:rPr>
          <w:b/>
          <w:bCs/>
        </w:rPr>
        <w:tab/>
      </w:r>
      <w:r w:rsidR="00FC0D76" w:rsidRPr="00CC170B">
        <w:rPr>
          <w:b/>
          <w:bCs/>
        </w:rPr>
        <w:t>FARMAKOLÓGIAI</w:t>
      </w:r>
      <w:r w:rsidR="00FC0D76" w:rsidRPr="00CC170B">
        <w:rPr>
          <w:b/>
          <w:bCs/>
          <w:spacing w:val="-2"/>
        </w:rPr>
        <w:t xml:space="preserve"> </w:t>
      </w:r>
      <w:r w:rsidR="00FC0D76" w:rsidRPr="00CC170B">
        <w:rPr>
          <w:b/>
          <w:bCs/>
        </w:rPr>
        <w:t>TULAJDONSÁGOK</w:t>
      </w:r>
    </w:p>
    <w:p w14:paraId="03EA60DD" w14:textId="77777777" w:rsidR="00FC0D76" w:rsidRPr="00CC170B" w:rsidRDefault="00FC0D76" w:rsidP="00931686">
      <w:pPr>
        <w:keepNext/>
        <w:widowControl/>
        <w:rPr>
          <w:bCs/>
        </w:rPr>
      </w:pPr>
    </w:p>
    <w:p w14:paraId="5192AADE" w14:textId="72A5CC68" w:rsidR="00FC0D76" w:rsidRPr="00CC170B" w:rsidRDefault="00DC15EB" w:rsidP="00931686">
      <w:pPr>
        <w:keepNext/>
        <w:widowControl/>
        <w:tabs>
          <w:tab w:val="left" w:pos="567"/>
        </w:tabs>
        <w:rPr>
          <w:b/>
        </w:rPr>
      </w:pPr>
      <w:r w:rsidRPr="00CC170B">
        <w:rPr>
          <w:b/>
        </w:rPr>
        <w:t>5.1</w:t>
      </w:r>
      <w:r w:rsidRPr="00CC170B">
        <w:rPr>
          <w:b/>
        </w:rPr>
        <w:tab/>
      </w:r>
      <w:r w:rsidR="00FC0D76" w:rsidRPr="00CC170B">
        <w:rPr>
          <w:b/>
        </w:rPr>
        <w:t>Farmakodinámiás</w:t>
      </w:r>
      <w:r w:rsidR="00FC0D76" w:rsidRPr="00CC170B">
        <w:rPr>
          <w:b/>
          <w:spacing w:val="-2"/>
        </w:rPr>
        <w:t xml:space="preserve"> </w:t>
      </w:r>
      <w:r w:rsidR="00FC0D76" w:rsidRPr="00CC170B">
        <w:rPr>
          <w:b/>
        </w:rPr>
        <w:t>tulajdonságok</w:t>
      </w:r>
    </w:p>
    <w:p w14:paraId="02B1E36A" w14:textId="77777777" w:rsidR="00FC0D76" w:rsidRPr="00CC170B" w:rsidRDefault="00FC0D76" w:rsidP="00FC0D76">
      <w:pPr>
        <w:rPr>
          <w:bCs/>
        </w:rPr>
      </w:pPr>
    </w:p>
    <w:p w14:paraId="7D6E0809" w14:textId="77777777" w:rsidR="00FC0D76" w:rsidRPr="00CC170B" w:rsidRDefault="00FC0D76" w:rsidP="00FC0D76">
      <w:r w:rsidRPr="00CC170B">
        <w:t>Farmakoterápiás csoport: Daganatellenes szerek, BCR-ABL tirozin-kináz-inhibitorok, ATC-kód: L01EA01</w:t>
      </w:r>
    </w:p>
    <w:p w14:paraId="013739C3" w14:textId="77777777" w:rsidR="00FC0D76" w:rsidRPr="00CC170B" w:rsidRDefault="00FC0D76" w:rsidP="00FC0D76"/>
    <w:p w14:paraId="3EAF9507" w14:textId="77777777" w:rsidR="00FC0D76" w:rsidRPr="00CC170B" w:rsidRDefault="00FC0D76" w:rsidP="00FC0D76">
      <w:r w:rsidRPr="00CC170B">
        <w:rPr>
          <w:u w:val="single"/>
        </w:rPr>
        <w:t>Hatásmechanizmus</w:t>
      </w:r>
    </w:p>
    <w:p w14:paraId="70F5074E" w14:textId="77777777" w:rsidR="00FC0D76" w:rsidRPr="00CC170B" w:rsidRDefault="00FC0D76" w:rsidP="00FC0D76"/>
    <w:p w14:paraId="032637DF" w14:textId="717E71B0" w:rsidR="00FC0D76" w:rsidRPr="00CC170B" w:rsidRDefault="00FC0D76" w:rsidP="00FC0D76">
      <w:r w:rsidRPr="00CC170B">
        <w:t>Az imatinib egy kis molekulájú protein-tirozin-kináz-inhibitor, ami hatékonyan gátolja a BCR-ABL tirozin-kináz (TK), valamint több TK-receptor aktivitását: a Kit-et, az őssejtfaktor (SCF) receptorát, amit a c-Kit protoonkogén kódol, a diszkoidin domén receptorokat (DDR1 és DDR2), a kolóniastimuláló faktor-receptort (CSF-1R) és a thrombocytaeredetű növekedési faktor receptor-alfát és -bétát (PDGFR</w:t>
      </w:r>
      <w:r w:rsidR="002A0C19">
        <w:t>α</w:t>
      </w:r>
      <w:r w:rsidRPr="00CC170B">
        <w:t xml:space="preserve"> és PDGFR</w:t>
      </w:r>
      <w:r w:rsidR="002A0C19">
        <w:t>β</w:t>
      </w:r>
      <w:r w:rsidRPr="00CC170B">
        <w:t>). Az imatinib képes gátolni az ezen receptor-kinázok aktiválódása által mediált celluláris történéseket is.</w:t>
      </w:r>
    </w:p>
    <w:p w14:paraId="6C3A154A" w14:textId="77777777" w:rsidR="00FC0D76" w:rsidRPr="00CC170B" w:rsidRDefault="00FC0D76" w:rsidP="00FC0D76"/>
    <w:p w14:paraId="0B4FA955" w14:textId="77777777" w:rsidR="00FC0D76" w:rsidRPr="00CC170B" w:rsidRDefault="00FC0D76" w:rsidP="00FC0D76">
      <w:r w:rsidRPr="00CC170B">
        <w:rPr>
          <w:u w:val="single"/>
        </w:rPr>
        <w:t>Farmakodinámiás hatások</w:t>
      </w:r>
    </w:p>
    <w:p w14:paraId="0A1FC639" w14:textId="77777777" w:rsidR="00FC0D76" w:rsidRPr="00CC170B" w:rsidRDefault="00FC0D76" w:rsidP="00FC0D76"/>
    <w:p w14:paraId="00042FDC" w14:textId="1ADC5D08" w:rsidR="00FC0D76" w:rsidRPr="00CC170B" w:rsidRDefault="00FC0D76" w:rsidP="00FC0D76">
      <w:r w:rsidRPr="00CC170B">
        <w:t xml:space="preserve">Az imatinib protein-tirozin-kináz-inhibitor, hatékonyan gátolja a BCR-ABL tirozin-kinázt </w:t>
      </w:r>
      <w:r w:rsidRPr="00CC170B">
        <w:rPr>
          <w:i/>
        </w:rPr>
        <w:t xml:space="preserve">in vitro, </w:t>
      </w:r>
      <w:r w:rsidRPr="00CC170B">
        <w:t xml:space="preserve">celluláris szinten, és </w:t>
      </w:r>
      <w:r w:rsidRPr="00CC170B">
        <w:rPr>
          <w:i/>
        </w:rPr>
        <w:t>in vivo</w:t>
      </w:r>
      <w:r w:rsidRPr="00CC170B">
        <w:t>. A vegyület a BCR-ABL-pozitív sejtvonalak és a Philadelphia-kromoszóma-pozitív CML-es és akut lymphoblastos leukaemiás (ALL) betegekből frissen izolált leukaemiás sejtek proliferációját szelektíven gátolja, és azokban apoptózist indukál.</w:t>
      </w:r>
    </w:p>
    <w:p w14:paraId="3BACB269" w14:textId="77777777" w:rsidR="00FC0D76" w:rsidRPr="00CC170B" w:rsidRDefault="00FC0D76" w:rsidP="00FC0D76"/>
    <w:p w14:paraId="6B45356B" w14:textId="2E32E3A6" w:rsidR="00FC0D76" w:rsidRPr="00CC170B" w:rsidRDefault="00FC0D76" w:rsidP="00FC0D76">
      <w:r w:rsidRPr="00CC170B">
        <w:t>Állatmodellekben, BCR-ABL-pozitív tumorsejteket használva, a vegyület</w:t>
      </w:r>
      <w:r w:rsidR="002A0C19">
        <w:t xml:space="preserve"> monoterápiaként</w:t>
      </w:r>
      <w:r w:rsidRPr="00CC170B">
        <w:t xml:space="preserve"> alkalmazva </w:t>
      </w:r>
      <w:r w:rsidRPr="00CC170B">
        <w:rPr>
          <w:i/>
        </w:rPr>
        <w:t xml:space="preserve">in vivo </w:t>
      </w:r>
      <w:r w:rsidRPr="00CC170B">
        <w:t>antitumor-aktivitást mutat.</w:t>
      </w:r>
    </w:p>
    <w:p w14:paraId="591F3850" w14:textId="77777777" w:rsidR="00FC0D76" w:rsidRPr="00CC170B" w:rsidRDefault="00FC0D76" w:rsidP="00FC0D76"/>
    <w:p w14:paraId="75187471" w14:textId="715421B5" w:rsidR="00FC0D76" w:rsidRPr="00CC170B" w:rsidRDefault="00FC0D76" w:rsidP="00FC0D76">
      <w:r w:rsidRPr="00CC170B">
        <w:t>Az imatinib továbbá gátolja a thrombocytaeredetű növekedési faktor (</w:t>
      </w:r>
      <w:r w:rsidR="00743305" w:rsidRPr="00931686">
        <w:rPr>
          <w:i/>
          <w:iCs/>
        </w:rPr>
        <w:t>platelet-derived growth factor</w:t>
      </w:r>
      <w:r w:rsidR="00743305">
        <w:t xml:space="preserve">, </w:t>
      </w:r>
      <w:r w:rsidRPr="00CC170B">
        <w:t>PDGF) tirozin-kináz-receptort, a PDGF-R-t, az őssejtfaktort (</w:t>
      </w:r>
      <w:r w:rsidRPr="00931686">
        <w:rPr>
          <w:i/>
        </w:rPr>
        <w:t>stem cell factor</w:t>
      </w:r>
      <w:r w:rsidRPr="00CC170B">
        <w:t xml:space="preserve">, SCF), a c-Kit-et, és gátolja a PDGF és SCF által közvetített celluláris folyamatokat. Az imatinib </w:t>
      </w:r>
      <w:r w:rsidRPr="00CC170B">
        <w:rPr>
          <w:i/>
        </w:rPr>
        <w:t xml:space="preserve">in vitro </w:t>
      </w:r>
      <w:r w:rsidRPr="00CC170B">
        <w:t xml:space="preserve">az aktiváló </w:t>
      </w:r>
      <w:r w:rsidRPr="00CC170B">
        <w:rPr>
          <w:i/>
        </w:rPr>
        <w:t xml:space="preserve">kit </w:t>
      </w:r>
      <w:r w:rsidRPr="00CC170B">
        <w:t>mutációt expresszáló gastrointestinalis stromalis tumor- (GIST-) sejtek proliferációját gátolja, és apoptózisukat indukálja.</w:t>
      </w:r>
      <w:r w:rsidR="00743305">
        <w:t xml:space="preserve"> </w:t>
      </w:r>
      <w:r w:rsidRPr="00CC170B">
        <w:t>Az MDS/MPD,a HES/CEL, valamint a DFSP patogenezise kapcsán felmerült a PDGF-receptor vagy az ABL-protein-tirozin-kinázok konstitutív aktivációja, amely a különböző partnerfehérjékkel való fúzió, illetve a PDGF konstitutív termelődésének következménye. Az imatinib gátolja a PDGFR és ABL-kináz kóros regulációja által okozott sejtproliferációt és jelátvitelt.</w:t>
      </w:r>
    </w:p>
    <w:p w14:paraId="463819B2" w14:textId="77777777" w:rsidR="00FC0D76" w:rsidRPr="00CC170B" w:rsidRDefault="00FC0D76" w:rsidP="00FC0D76"/>
    <w:p w14:paraId="713EAB3C" w14:textId="77777777" w:rsidR="00FC0D76" w:rsidRPr="00CC170B" w:rsidRDefault="00FC0D76" w:rsidP="00FC0D76">
      <w:r w:rsidRPr="00CC170B">
        <w:rPr>
          <w:u w:val="single"/>
        </w:rPr>
        <w:lastRenderedPageBreak/>
        <w:t>Klinikai vizsgálatok krónikus myeloid leukaemiában</w:t>
      </w:r>
    </w:p>
    <w:p w14:paraId="0C3C1A61" w14:textId="77777777" w:rsidR="00FC0D76" w:rsidRPr="00CC170B" w:rsidRDefault="00FC0D76" w:rsidP="00FC0D76"/>
    <w:p w14:paraId="78CCBF32" w14:textId="743AC7F7" w:rsidR="00FC0D76" w:rsidRPr="00CC170B" w:rsidRDefault="00430469" w:rsidP="00FC0D76">
      <w:r w:rsidRPr="00CC170B">
        <w:t xml:space="preserve">Az </w:t>
      </w:r>
      <w:r w:rsidR="00DC15EB" w:rsidRPr="00CC170B">
        <w:t>i</w:t>
      </w:r>
      <w:r w:rsidRPr="00CC170B">
        <w:t xml:space="preserve">matinib </w:t>
      </w:r>
      <w:r w:rsidR="00FC0D76" w:rsidRPr="00CC170B">
        <w:t>hatásosságát a teljes hematológiai és citogenetikai válaszarány, valamint a progressziómentes túlélés határozza meg. Az újonnan diagnosztizált, krónikus fázisú CML- vizsgálatok kivételével a kezelés klinikai előnyeit (pl. a betegséggel összefüggő tünetek javulását vagy a túlélési arány növekedését) bemutató kontrollos vizsgálatot nem</w:t>
      </w:r>
      <w:r w:rsidR="00FC0D76" w:rsidRPr="00CC170B">
        <w:rPr>
          <w:spacing w:val="-6"/>
        </w:rPr>
        <w:t xml:space="preserve"> </w:t>
      </w:r>
      <w:r w:rsidR="00FC0D76" w:rsidRPr="00CC170B">
        <w:t>végeztek.</w:t>
      </w:r>
    </w:p>
    <w:p w14:paraId="61CFD7B3" w14:textId="77777777" w:rsidR="00FC0D76" w:rsidRPr="00CC170B" w:rsidRDefault="00FC0D76" w:rsidP="00FC0D76"/>
    <w:p w14:paraId="051B4987" w14:textId="439E04C1" w:rsidR="00FC0D76" w:rsidRPr="00CC170B" w:rsidRDefault="00FC0D76" w:rsidP="00FC0D76">
      <w:r w:rsidRPr="00CC170B">
        <w:t>Három nagy, nemzetközi, nyílt elrendezésű, nem kontrollos II. fázisú vizsgálatot folytattak le Philadelphia-kromoszóma-pozitív (Ph+) előrehaladott, blasztos krízisben vagy akcelerált fázisban levő CML-es betegekkel, valamint egyéb Ph+ leukaemiákban, illetve alfa-interferon- (IFN-) terápiára rezisztens, krónikus fázisú CML-ben szenvedő betegekkel. Egy nagy, nyílt elrendezésű, multicentrikus, nemzetközi, randomizált III. fázisú vizsgálatot végeztek újonnan diagnosztizált</w:t>
      </w:r>
      <w:r w:rsidR="000E5414" w:rsidRPr="00CC170B">
        <w:t xml:space="preserve"> </w:t>
      </w:r>
      <w:r w:rsidRPr="00CC170B">
        <w:t>Ph+</w:t>
      </w:r>
      <w:r w:rsidR="00EF1922">
        <w:t> </w:t>
      </w:r>
      <w:r w:rsidRPr="00CC170B">
        <w:t>CML-es betegekkel. Ezen felül két I. fázisú, valamint egy II. fázisú vizsgálatban kezeltek gyermekeket és serdülőket.</w:t>
      </w:r>
    </w:p>
    <w:p w14:paraId="02E07C37" w14:textId="77777777" w:rsidR="00FC0D76" w:rsidRPr="00CC170B" w:rsidRDefault="00FC0D76" w:rsidP="00FC0D76"/>
    <w:p w14:paraId="0E7B6C9F" w14:textId="7A93DF84" w:rsidR="00FC0D76" w:rsidRPr="00CC170B" w:rsidRDefault="00FC0D76" w:rsidP="00FC0D76">
      <w:r w:rsidRPr="00CC170B">
        <w:t>Valamennyi klinikai vizsgálatot figyelembe véve a betegek 38–40%-a 60</w:t>
      </w:r>
      <w:r w:rsidR="00911550">
        <w:t> </w:t>
      </w:r>
      <w:r w:rsidRPr="00CC170B">
        <w:t>éves vagy ennél idősebb,</w:t>
      </w:r>
      <w:r w:rsidR="000E5414" w:rsidRPr="00CC170B">
        <w:t xml:space="preserve"> </w:t>
      </w:r>
      <w:r w:rsidRPr="00CC170B">
        <w:t>10–12%-a 70</w:t>
      </w:r>
      <w:r w:rsidR="00911550">
        <w:t> </w:t>
      </w:r>
      <w:r w:rsidRPr="00CC170B">
        <w:t>éves vagy ennél idősebb volt.</w:t>
      </w:r>
    </w:p>
    <w:p w14:paraId="3002D3B9" w14:textId="77777777" w:rsidR="00FC0D76" w:rsidRPr="00CC170B" w:rsidRDefault="00FC0D76" w:rsidP="00FC0D76"/>
    <w:p w14:paraId="77813061" w14:textId="77777777" w:rsidR="00FC0D76" w:rsidRPr="00CC170B" w:rsidRDefault="00FC0D76" w:rsidP="00FC0D76">
      <w:pPr>
        <w:rPr>
          <w:i/>
        </w:rPr>
      </w:pPr>
      <w:r w:rsidRPr="00CC170B">
        <w:rPr>
          <w:i/>
          <w:u w:val="single"/>
        </w:rPr>
        <w:t>Újonnan diagnosztizált krónikus fázis</w:t>
      </w:r>
    </w:p>
    <w:p w14:paraId="4DCADDF0" w14:textId="77777777" w:rsidR="000E5414" w:rsidRPr="00CC170B" w:rsidRDefault="000E5414" w:rsidP="00FC0D76"/>
    <w:p w14:paraId="3229E0B7" w14:textId="20293E73" w:rsidR="00FC0D76" w:rsidRPr="00CC170B" w:rsidRDefault="00FC0D76" w:rsidP="00FC0D76">
      <w:r w:rsidRPr="00CC170B">
        <w:t xml:space="preserve">Ez, a felnőttek bevonásával végzett III. fázisú vizsgálat </w:t>
      </w:r>
      <w:r w:rsidR="00F65A4E" w:rsidRPr="00CC170B">
        <w:t xml:space="preserve">az </w:t>
      </w:r>
      <w:r w:rsidR="000E5414" w:rsidRPr="00CC170B">
        <w:t>i</w:t>
      </w:r>
      <w:r w:rsidR="00D07FC6" w:rsidRPr="00CC170B">
        <w:t>matinib</w:t>
      </w:r>
      <w:r w:rsidRPr="00CC170B">
        <w:t xml:space="preserve">-monoterápiát hasonlította össze az alfa-interferon (IFN) </w:t>
      </w:r>
      <w:r w:rsidR="000E5414" w:rsidRPr="00CC170B">
        <w:t>plusz</w:t>
      </w:r>
      <w:r w:rsidRPr="00CC170B">
        <w:t xml:space="preserve"> citarabin (Ara-C) kombinált kezeléssel. Azok a betegek, akiknél nem alakult ki válasz (6</w:t>
      </w:r>
      <w:r w:rsidR="00645FEE" w:rsidRPr="00CC170B">
        <w:t> hónap</w:t>
      </w:r>
      <w:r w:rsidRPr="00CC170B">
        <w:t xml:space="preserve"> alatt nem következett be teljes hematológiai válasz [CHR], nőtt a fehérvérsejtszám, nem volt nagyfokú [major] citogenetikai válasz [MCyR] 24</w:t>
      </w:r>
      <w:r w:rsidR="00645FEE" w:rsidRPr="00CC170B">
        <w:t> hónap</w:t>
      </w:r>
      <w:r w:rsidRPr="00CC170B">
        <w:t>on belül), illetve megszűnt a válasz (CHR vagy MCyR megszűnése), vagy súlyos mértékben nem tolerálták a kezelést, válthattak kezelési csoportot (</w:t>
      </w:r>
      <w:r w:rsidRPr="00CC170B">
        <w:rPr>
          <w:i/>
        </w:rPr>
        <w:t>cross-over</w:t>
      </w:r>
      <w:r w:rsidRPr="00CC170B">
        <w:t xml:space="preserve">). </w:t>
      </w:r>
      <w:r w:rsidR="00430469" w:rsidRPr="00CC170B">
        <w:t xml:space="preserve">Az </w:t>
      </w:r>
      <w:r w:rsidR="000E5414" w:rsidRPr="00CC170B">
        <w:t>i</w:t>
      </w:r>
      <w:r w:rsidR="00430469" w:rsidRPr="00CC170B">
        <w:t>matinib</w:t>
      </w:r>
      <w:r w:rsidRPr="00CC170B">
        <w:t>-csoportban a betegek</w:t>
      </w:r>
      <w:r w:rsidR="000E5414" w:rsidRPr="00CC170B">
        <w:t xml:space="preserve"> </w:t>
      </w:r>
      <w:r w:rsidR="0087414E" w:rsidRPr="00CC170B">
        <w:t>nap</w:t>
      </w:r>
      <w:r w:rsidRPr="00CC170B">
        <w:t xml:space="preserve">onta 400 mg </w:t>
      </w:r>
      <w:r w:rsidR="000E5414" w:rsidRPr="00CC170B">
        <w:t>i</w:t>
      </w:r>
      <w:r w:rsidRPr="00CC170B">
        <w:t>matinibet kaptak, az IFN-csoportban 5</w:t>
      </w:r>
      <w:r w:rsidR="000E5414" w:rsidRPr="00CC170B">
        <w:t> </w:t>
      </w:r>
      <w:r w:rsidRPr="00CC170B">
        <w:t>millió NE/m</w:t>
      </w:r>
      <w:r w:rsidRPr="00CC170B">
        <w:rPr>
          <w:vertAlign w:val="superscript"/>
        </w:rPr>
        <w:t>2</w:t>
      </w:r>
      <w:r w:rsidRPr="00CC170B">
        <w:t>/nap IFN-t és 20 mg/m</w:t>
      </w:r>
      <w:r w:rsidRPr="00CC170B">
        <w:rPr>
          <w:vertAlign w:val="superscript"/>
        </w:rPr>
        <w:t>2</w:t>
      </w:r>
      <w:r w:rsidRPr="00CC170B">
        <w:t>/nap Ara-C kombinációt kaptak subcutan, havonta 10</w:t>
      </w:r>
      <w:r w:rsidR="0087414E" w:rsidRPr="00CC170B">
        <w:t> nap</w:t>
      </w:r>
      <w:r w:rsidRPr="00CC170B">
        <w:t>on keresztül.</w:t>
      </w:r>
    </w:p>
    <w:p w14:paraId="0B9EA07B" w14:textId="77777777" w:rsidR="00FC0D76" w:rsidRPr="00CC170B" w:rsidRDefault="00FC0D76" w:rsidP="00FC0D76"/>
    <w:p w14:paraId="2DE969C9" w14:textId="694D8F8D" w:rsidR="00FC0D76" w:rsidRPr="00CC170B" w:rsidRDefault="00FC0D76" w:rsidP="00FC0D76">
      <w:r w:rsidRPr="00CC170B">
        <w:t>Összesen 1106</w:t>
      </w:r>
      <w:r w:rsidR="000E5414" w:rsidRPr="00CC170B">
        <w:t> </w:t>
      </w:r>
      <w:r w:rsidRPr="00CC170B">
        <w:t>beteget randomizáltak (553-at mindkét csoportban). A két csoport a kiindulási jellemzőket illetően kiegyenlített volt. Az átlagéletkor 51</w:t>
      </w:r>
      <w:r w:rsidR="000E5414" w:rsidRPr="00CC170B">
        <w:t> </w:t>
      </w:r>
      <w:r w:rsidRPr="00CC170B">
        <w:t>év (18–70</w:t>
      </w:r>
      <w:r w:rsidR="000E5414" w:rsidRPr="00CC170B">
        <w:t> </w:t>
      </w:r>
      <w:r w:rsidRPr="00CC170B">
        <w:t>év) volt. A betegek 21,9%-a volt 60</w:t>
      </w:r>
      <w:r w:rsidR="000E5414" w:rsidRPr="00CC170B">
        <w:t> </w:t>
      </w:r>
      <w:r w:rsidRPr="00CC170B">
        <w:t xml:space="preserve">éves vagy idősebb. 59% volt a férfiak és 41% volt a nők aránya; 89,9% kaukázusi, 4,7% fekete bőrű volt. Hét évvel az utolsó beteg bevonása után az első vonalbeli kezelés medián időtartama </w:t>
      </w:r>
      <w:r w:rsidR="00F65A4E" w:rsidRPr="00CC170B">
        <w:t xml:space="preserve">az </w:t>
      </w:r>
      <w:r w:rsidR="000E5414" w:rsidRPr="00CC170B">
        <w:t>i</w:t>
      </w:r>
      <w:r w:rsidR="00D07FC6" w:rsidRPr="00CC170B">
        <w:t>matinib</w:t>
      </w:r>
      <w:r w:rsidRPr="00CC170B">
        <w:t>-csoportban 82</w:t>
      </w:r>
      <w:r w:rsidR="00645FEE" w:rsidRPr="00CC170B">
        <w:t> hónap</w:t>
      </w:r>
      <w:r w:rsidRPr="00CC170B">
        <w:t>, az IFN-csoportban 8</w:t>
      </w:r>
      <w:r w:rsidR="00645FEE" w:rsidRPr="00CC170B">
        <w:t> hónap</w:t>
      </w:r>
      <w:r w:rsidRPr="00CC170B">
        <w:t xml:space="preserve"> volt. A másodvonalbeli </w:t>
      </w:r>
      <w:r w:rsidR="000E5414" w:rsidRPr="00CC170B">
        <w:t>i</w:t>
      </w:r>
      <w:r w:rsidRPr="00CC170B">
        <w:t>matinib-kezelés medián időtartama 64</w:t>
      </w:r>
      <w:r w:rsidR="00645FEE" w:rsidRPr="00CC170B">
        <w:t> hónap</w:t>
      </w:r>
      <w:r w:rsidRPr="00CC170B">
        <w:t xml:space="preserve"> volt. Az első vonalbeli </w:t>
      </w:r>
      <w:r w:rsidR="000E5414" w:rsidRPr="00CC170B">
        <w:t>i</w:t>
      </w:r>
      <w:r w:rsidRPr="00CC170B">
        <w:t>matinib-kezelésben részesülő betegek átlagos</w:t>
      </w:r>
      <w:r w:rsidR="00911550">
        <w:t xml:space="preserve"> </w:t>
      </w:r>
      <w:r w:rsidR="0087414E" w:rsidRPr="00CC170B">
        <w:t>nap</w:t>
      </w:r>
      <w:r w:rsidRPr="00CC170B">
        <w:t xml:space="preserve">i adagja 406 </w:t>
      </w:r>
      <w:r w:rsidRPr="00CC170B">
        <w:rPr>
          <w:rFonts w:ascii="Symbol" w:hAnsi="Symbol"/>
        </w:rPr>
        <w:t></w:t>
      </w:r>
      <w:r w:rsidRPr="00CC170B">
        <w:t xml:space="preserve"> 76 mg volt. A vizsgálat elsődleges hatásossági végpontja a progressziómentes túlélés. Progressziónak az alábbi események bármelyikének bekövetkeztét tekintették: akcelerált fázisba vagy blasztos krízisbe való progresszió, halál</w:t>
      </w:r>
      <w:r w:rsidR="00EF1922">
        <w:t>ozás</w:t>
      </w:r>
      <w:r w:rsidRPr="00CC170B">
        <w:t>, a CHR vagy MCyR megszűnése, vagy, ha megfelelő kezelés mellett sem jött létre CHR, nőtt a fehérvérsejtszám. Fő</w:t>
      </w:r>
      <w:r w:rsidR="003225C2" w:rsidRPr="00CC170B">
        <w:t xml:space="preserve"> </w:t>
      </w:r>
      <w:r w:rsidRPr="00CC170B">
        <w:t xml:space="preserve">másodlagos végpontok: a nagyfokú citogenetikai válasz, a hematológiai válasz, </w:t>
      </w:r>
      <w:r w:rsidR="00EF1922">
        <w:t xml:space="preserve">a </w:t>
      </w:r>
      <w:r w:rsidRPr="00CC170B">
        <w:t>molekuláris válasz (a minimális reziduális betegség értékelése), az akcelerált fázisig vagy a blasztos krízisig eltelt idő és a túlélés. A 2. táblázat a kezelésre adott választ mutatja.</w:t>
      </w:r>
    </w:p>
    <w:p w14:paraId="6E8C1B62" w14:textId="77777777" w:rsidR="00FC0D76" w:rsidRPr="00CC170B" w:rsidRDefault="00FC0D76" w:rsidP="00FC0D76"/>
    <w:p w14:paraId="100376DD" w14:textId="310F4FE8" w:rsidR="00FC0D76" w:rsidRPr="00CC170B" w:rsidRDefault="00681233" w:rsidP="00FC0D76">
      <w:pPr>
        <w:rPr>
          <w:b/>
          <w:bCs/>
        </w:rPr>
      </w:pPr>
      <w:r w:rsidRPr="00CC170B">
        <w:rPr>
          <w:b/>
          <w:bCs/>
        </w:rPr>
        <w:t>2.</w:t>
      </w:r>
      <w:r w:rsidRPr="00CC170B">
        <w:rPr>
          <w:b/>
          <w:bCs/>
        </w:rPr>
        <w:tab/>
      </w:r>
      <w:r w:rsidR="00FC0D76" w:rsidRPr="00CC170B">
        <w:rPr>
          <w:b/>
          <w:bCs/>
        </w:rPr>
        <w:t>táblázat A kezelésre adott válasz az újonnan diagnosztizált CML vizsgálatában (84</w:t>
      </w:r>
      <w:r w:rsidR="00645FEE" w:rsidRPr="00CC170B">
        <w:rPr>
          <w:b/>
          <w:bCs/>
        </w:rPr>
        <w:t> hónap</w:t>
      </w:r>
      <w:r w:rsidR="00FC0D76" w:rsidRPr="00CC170B">
        <w:rPr>
          <w:b/>
          <w:bCs/>
        </w:rPr>
        <w:t>os adatok)</w:t>
      </w:r>
    </w:p>
    <w:p w14:paraId="6FF3C44A" w14:textId="77777777" w:rsidR="00FC0D76" w:rsidRPr="00CC170B" w:rsidRDefault="00FC0D76" w:rsidP="00FC0D76">
      <w:pPr>
        <w:rPr>
          <w:bCs/>
        </w:rPr>
      </w:pPr>
    </w:p>
    <w:tbl>
      <w:tblPr>
        <w:tblStyle w:val="TableNormal1"/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4267"/>
        <w:gridCol w:w="2650"/>
        <w:gridCol w:w="2155"/>
      </w:tblGrid>
      <w:tr w:rsidR="00FC0D76" w:rsidRPr="00CC170B" w14:paraId="129F857C" w14:textId="77777777" w:rsidTr="00E67716">
        <w:trPr>
          <w:trHeight w:val="506"/>
        </w:trPr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14:paraId="1DC6DA06" w14:textId="77777777" w:rsidR="00FC0D76" w:rsidRPr="00CC170B" w:rsidRDefault="00FC0D76" w:rsidP="00681233">
            <w:pPr>
              <w:ind w:left="142"/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(A legjobb válaszarányok)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0A6DA0A" w14:textId="66D7DE6F" w:rsidR="00FC0D76" w:rsidRPr="00CC170B" w:rsidRDefault="00FC0D76" w:rsidP="00681233">
            <w:pPr>
              <w:ind w:left="142"/>
              <w:jc w:val="center"/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Imatinib</w:t>
            </w:r>
          </w:p>
          <w:p w14:paraId="4C07A4DF" w14:textId="39B4F872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n</w:t>
            </w:r>
            <w:r w:rsidR="00911550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911550">
              <w:rPr>
                <w:lang w:val="hu-HU"/>
              </w:rPr>
              <w:t> </w:t>
            </w:r>
            <w:r w:rsidRPr="00CC170B">
              <w:rPr>
                <w:lang w:val="hu-HU"/>
              </w:rPr>
              <w:t>553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C4CE6F0" w14:textId="77777777" w:rsidR="00FC0D76" w:rsidRPr="00CC170B" w:rsidRDefault="00FC0D76" w:rsidP="00681233">
            <w:pPr>
              <w:ind w:left="142"/>
              <w:jc w:val="center"/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IFN + Ara-C</w:t>
            </w:r>
          </w:p>
          <w:p w14:paraId="0D445C8F" w14:textId="52D60E78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n</w:t>
            </w:r>
            <w:r w:rsidR="00911550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911550">
              <w:rPr>
                <w:lang w:val="hu-HU"/>
              </w:rPr>
              <w:t> </w:t>
            </w:r>
            <w:r w:rsidRPr="00CC170B">
              <w:rPr>
                <w:lang w:val="hu-HU"/>
              </w:rPr>
              <w:t>553</w:t>
            </w:r>
          </w:p>
        </w:tc>
      </w:tr>
      <w:tr w:rsidR="00FC0D76" w:rsidRPr="00CC170B" w14:paraId="64047292" w14:textId="77777777" w:rsidTr="00E67716">
        <w:trPr>
          <w:trHeight w:val="258"/>
        </w:trPr>
        <w:tc>
          <w:tcPr>
            <w:tcW w:w="426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CD0ADFB" w14:textId="77777777" w:rsidR="00FC0D76" w:rsidRPr="00CC170B" w:rsidRDefault="00FC0D76" w:rsidP="00681233">
            <w:pPr>
              <w:ind w:left="142"/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Hematológiai válasz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3CAF380C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905F13D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</w:p>
        </w:tc>
      </w:tr>
      <w:tr w:rsidR="00FC0D76" w:rsidRPr="00CC170B" w14:paraId="0B24878F" w14:textId="77777777" w:rsidTr="00E67716">
        <w:trPr>
          <w:trHeight w:val="252"/>
        </w:trPr>
        <w:tc>
          <w:tcPr>
            <w:tcW w:w="4267" w:type="dxa"/>
            <w:tcBorders>
              <w:left w:val="single" w:sz="4" w:space="0" w:color="000000"/>
              <w:right w:val="single" w:sz="4" w:space="0" w:color="auto"/>
            </w:tcBorders>
          </w:tcPr>
          <w:p w14:paraId="19AC3AD6" w14:textId="77777777" w:rsidR="00FC0D76" w:rsidRPr="00CC170B" w:rsidRDefault="00FC0D76" w:rsidP="0068123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CHR arány n (%)</w:t>
            </w:r>
          </w:p>
        </w:tc>
        <w:tc>
          <w:tcPr>
            <w:tcW w:w="2650" w:type="dxa"/>
            <w:tcBorders>
              <w:left w:val="single" w:sz="4" w:space="0" w:color="auto"/>
              <w:right w:val="single" w:sz="4" w:space="0" w:color="auto"/>
            </w:tcBorders>
          </w:tcPr>
          <w:p w14:paraId="7F59D784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534 (96,6%)*</w:t>
            </w: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000000"/>
            </w:tcBorders>
          </w:tcPr>
          <w:p w14:paraId="34ADD080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313 (56,6%)*</w:t>
            </w:r>
          </w:p>
        </w:tc>
      </w:tr>
      <w:tr w:rsidR="00FC0D76" w:rsidRPr="00CC170B" w14:paraId="04233C13" w14:textId="77777777" w:rsidTr="00E67716">
        <w:trPr>
          <w:trHeight w:val="379"/>
        </w:trPr>
        <w:tc>
          <w:tcPr>
            <w:tcW w:w="4267" w:type="dxa"/>
            <w:tcBorders>
              <w:left w:val="single" w:sz="4" w:space="0" w:color="000000"/>
              <w:right w:val="single" w:sz="4" w:space="0" w:color="auto"/>
            </w:tcBorders>
          </w:tcPr>
          <w:p w14:paraId="13713040" w14:textId="77777777" w:rsidR="00FC0D76" w:rsidRPr="00CC170B" w:rsidRDefault="00FC0D76" w:rsidP="00931686">
            <w:pPr>
              <w:ind w:left="142" w:firstLine="142"/>
              <w:rPr>
                <w:lang w:val="hu-HU"/>
              </w:rPr>
            </w:pPr>
            <w:r w:rsidRPr="00CC170B">
              <w:rPr>
                <w:lang w:val="hu-HU"/>
              </w:rPr>
              <w:t>[95%-os CI]</w:t>
            </w:r>
          </w:p>
        </w:tc>
        <w:tc>
          <w:tcPr>
            <w:tcW w:w="2650" w:type="dxa"/>
            <w:tcBorders>
              <w:left w:val="single" w:sz="4" w:space="0" w:color="auto"/>
              <w:right w:val="single" w:sz="4" w:space="0" w:color="auto"/>
            </w:tcBorders>
          </w:tcPr>
          <w:p w14:paraId="7854BCAC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[94,7%; 97,9%]</w:t>
            </w: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000000"/>
            </w:tcBorders>
          </w:tcPr>
          <w:p w14:paraId="65D6FFE1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[52,4%; 60,8%]</w:t>
            </w:r>
          </w:p>
        </w:tc>
      </w:tr>
      <w:tr w:rsidR="00FC0D76" w:rsidRPr="00CC170B" w14:paraId="7E8DE86C" w14:textId="77777777" w:rsidTr="00E67716">
        <w:trPr>
          <w:trHeight w:val="319"/>
        </w:trPr>
        <w:tc>
          <w:tcPr>
            <w:tcW w:w="4267" w:type="dxa"/>
            <w:tcBorders>
              <w:left w:val="single" w:sz="4" w:space="0" w:color="000000"/>
              <w:right w:val="single" w:sz="4" w:space="0" w:color="auto"/>
            </w:tcBorders>
          </w:tcPr>
          <w:p w14:paraId="56C45681" w14:textId="77777777" w:rsidR="00FC0D76" w:rsidRPr="00CC170B" w:rsidRDefault="00FC0D76" w:rsidP="00681233">
            <w:pPr>
              <w:ind w:left="142"/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>Citogenetikai válasz</w:t>
            </w:r>
          </w:p>
        </w:tc>
        <w:tc>
          <w:tcPr>
            <w:tcW w:w="2650" w:type="dxa"/>
            <w:tcBorders>
              <w:left w:val="single" w:sz="4" w:space="0" w:color="auto"/>
              <w:right w:val="single" w:sz="4" w:space="0" w:color="auto"/>
            </w:tcBorders>
          </w:tcPr>
          <w:p w14:paraId="45377625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000000"/>
            </w:tcBorders>
          </w:tcPr>
          <w:p w14:paraId="7BBC36C4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</w:p>
        </w:tc>
      </w:tr>
      <w:tr w:rsidR="00FC0D76" w:rsidRPr="00CC170B" w14:paraId="65DC3361" w14:textId="77777777" w:rsidTr="00E67716">
        <w:trPr>
          <w:trHeight w:val="252"/>
        </w:trPr>
        <w:tc>
          <w:tcPr>
            <w:tcW w:w="4267" w:type="dxa"/>
            <w:tcBorders>
              <w:left w:val="single" w:sz="4" w:space="0" w:color="000000"/>
              <w:right w:val="single" w:sz="4" w:space="0" w:color="auto"/>
            </w:tcBorders>
          </w:tcPr>
          <w:p w14:paraId="251A74BE" w14:textId="77777777" w:rsidR="00FC0D76" w:rsidRPr="00CC170B" w:rsidRDefault="00FC0D76" w:rsidP="0068123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Nagyfokú válasz (MCyR) n (%)</w:t>
            </w:r>
          </w:p>
        </w:tc>
        <w:tc>
          <w:tcPr>
            <w:tcW w:w="2650" w:type="dxa"/>
            <w:tcBorders>
              <w:left w:val="single" w:sz="4" w:space="0" w:color="auto"/>
              <w:right w:val="single" w:sz="4" w:space="0" w:color="auto"/>
            </w:tcBorders>
          </w:tcPr>
          <w:p w14:paraId="02FD5A18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490 (88,6%)*</w:t>
            </w: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000000"/>
            </w:tcBorders>
          </w:tcPr>
          <w:p w14:paraId="4C75FF9E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129 (23,3%)*</w:t>
            </w:r>
          </w:p>
        </w:tc>
      </w:tr>
      <w:tr w:rsidR="00FC0D76" w:rsidRPr="00CC170B" w14:paraId="195C26C5" w14:textId="77777777" w:rsidTr="00E67716">
        <w:trPr>
          <w:trHeight w:val="252"/>
        </w:trPr>
        <w:tc>
          <w:tcPr>
            <w:tcW w:w="4267" w:type="dxa"/>
            <w:tcBorders>
              <w:left w:val="single" w:sz="4" w:space="0" w:color="000000"/>
              <w:right w:val="single" w:sz="4" w:space="0" w:color="auto"/>
            </w:tcBorders>
          </w:tcPr>
          <w:p w14:paraId="4BABFF0F" w14:textId="77777777" w:rsidR="00FC0D76" w:rsidRPr="00CC170B" w:rsidRDefault="00FC0D76" w:rsidP="00931686">
            <w:pPr>
              <w:ind w:left="142" w:firstLine="142"/>
              <w:rPr>
                <w:lang w:val="hu-HU"/>
              </w:rPr>
            </w:pPr>
            <w:r w:rsidRPr="00CC170B">
              <w:rPr>
                <w:lang w:val="hu-HU"/>
              </w:rPr>
              <w:t>[95%-os CI]</w:t>
            </w:r>
          </w:p>
        </w:tc>
        <w:tc>
          <w:tcPr>
            <w:tcW w:w="2650" w:type="dxa"/>
            <w:tcBorders>
              <w:left w:val="single" w:sz="4" w:space="0" w:color="auto"/>
              <w:right w:val="single" w:sz="4" w:space="0" w:color="auto"/>
            </w:tcBorders>
          </w:tcPr>
          <w:p w14:paraId="2064AEBA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[85,7%; 91,1%]</w:t>
            </w: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000000"/>
            </w:tcBorders>
          </w:tcPr>
          <w:p w14:paraId="518FEBF6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[19,9%; 27,1%]</w:t>
            </w:r>
          </w:p>
        </w:tc>
      </w:tr>
      <w:tr w:rsidR="00FC0D76" w:rsidRPr="00CC170B" w14:paraId="73716F41" w14:textId="77777777" w:rsidTr="00E67716">
        <w:trPr>
          <w:trHeight w:val="253"/>
        </w:trPr>
        <w:tc>
          <w:tcPr>
            <w:tcW w:w="4267" w:type="dxa"/>
            <w:tcBorders>
              <w:left w:val="single" w:sz="4" w:space="0" w:color="000000"/>
              <w:right w:val="single" w:sz="4" w:space="0" w:color="auto"/>
            </w:tcBorders>
          </w:tcPr>
          <w:p w14:paraId="7F480457" w14:textId="77777777" w:rsidR="00FC0D76" w:rsidRPr="00CC170B" w:rsidRDefault="00FC0D76" w:rsidP="00931686">
            <w:pPr>
              <w:ind w:left="142" w:firstLine="142"/>
              <w:rPr>
                <w:lang w:val="hu-HU"/>
              </w:rPr>
            </w:pPr>
            <w:r w:rsidRPr="00CC170B">
              <w:rPr>
                <w:lang w:val="hu-HU"/>
              </w:rPr>
              <w:t>Teljes CyR n (%)</w:t>
            </w:r>
          </w:p>
        </w:tc>
        <w:tc>
          <w:tcPr>
            <w:tcW w:w="2650" w:type="dxa"/>
            <w:tcBorders>
              <w:left w:val="single" w:sz="4" w:space="0" w:color="auto"/>
              <w:right w:val="single" w:sz="4" w:space="0" w:color="auto"/>
            </w:tcBorders>
          </w:tcPr>
          <w:p w14:paraId="08DB8754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456 (82,5%)*</w:t>
            </w: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000000"/>
            </w:tcBorders>
          </w:tcPr>
          <w:p w14:paraId="68E34F98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64 (11,6%)*</w:t>
            </w:r>
          </w:p>
        </w:tc>
      </w:tr>
      <w:tr w:rsidR="00FC0D76" w:rsidRPr="00CC170B" w14:paraId="3E63C4C8" w14:textId="77777777" w:rsidTr="00E67716">
        <w:trPr>
          <w:trHeight w:val="379"/>
        </w:trPr>
        <w:tc>
          <w:tcPr>
            <w:tcW w:w="4267" w:type="dxa"/>
            <w:tcBorders>
              <w:left w:val="single" w:sz="4" w:space="0" w:color="000000"/>
              <w:right w:val="single" w:sz="4" w:space="0" w:color="auto"/>
            </w:tcBorders>
          </w:tcPr>
          <w:p w14:paraId="61C6062D" w14:textId="77777777" w:rsidR="00FC0D76" w:rsidRPr="00CC170B" w:rsidRDefault="00FC0D76" w:rsidP="00931686">
            <w:pPr>
              <w:ind w:left="142" w:firstLine="142"/>
              <w:rPr>
                <w:lang w:val="hu-HU"/>
              </w:rPr>
            </w:pPr>
            <w:r w:rsidRPr="00CC170B">
              <w:rPr>
                <w:lang w:val="hu-HU"/>
              </w:rPr>
              <w:t>Részleges CyR n (%)</w:t>
            </w:r>
          </w:p>
        </w:tc>
        <w:tc>
          <w:tcPr>
            <w:tcW w:w="2650" w:type="dxa"/>
            <w:tcBorders>
              <w:left w:val="single" w:sz="4" w:space="0" w:color="auto"/>
              <w:right w:val="single" w:sz="4" w:space="0" w:color="auto"/>
            </w:tcBorders>
          </w:tcPr>
          <w:p w14:paraId="04E7C60A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34 (6,1%)</w:t>
            </w: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000000"/>
            </w:tcBorders>
          </w:tcPr>
          <w:p w14:paraId="4AA5315E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65 (11,8%)</w:t>
            </w:r>
          </w:p>
        </w:tc>
      </w:tr>
      <w:tr w:rsidR="00FC0D76" w:rsidRPr="00CC170B" w14:paraId="3842E2A0" w14:textId="77777777" w:rsidTr="006F1C64">
        <w:trPr>
          <w:trHeight w:val="330"/>
        </w:trPr>
        <w:tc>
          <w:tcPr>
            <w:tcW w:w="4267" w:type="dxa"/>
            <w:tcBorders>
              <w:left w:val="single" w:sz="4" w:space="0" w:color="000000"/>
              <w:right w:val="single" w:sz="4" w:space="0" w:color="auto"/>
            </w:tcBorders>
          </w:tcPr>
          <w:p w14:paraId="1480FA23" w14:textId="77777777" w:rsidR="00FC0D76" w:rsidRPr="00CC170B" w:rsidRDefault="00FC0D76" w:rsidP="00681233">
            <w:pPr>
              <w:ind w:left="142"/>
              <w:rPr>
                <w:lang w:val="hu-HU"/>
              </w:rPr>
            </w:pPr>
            <w:r w:rsidRPr="00CC170B">
              <w:rPr>
                <w:b/>
                <w:lang w:val="hu-HU"/>
              </w:rPr>
              <w:lastRenderedPageBreak/>
              <w:t>Molekuláris válasz</w:t>
            </w:r>
            <w:r w:rsidRPr="00CC170B">
              <w:rPr>
                <w:lang w:val="hu-HU"/>
              </w:rPr>
              <w:t>**</w:t>
            </w:r>
          </w:p>
        </w:tc>
        <w:tc>
          <w:tcPr>
            <w:tcW w:w="2650" w:type="dxa"/>
            <w:tcBorders>
              <w:left w:val="single" w:sz="4" w:space="0" w:color="auto"/>
              <w:right w:val="single" w:sz="4" w:space="0" w:color="auto"/>
            </w:tcBorders>
          </w:tcPr>
          <w:p w14:paraId="3308BD26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000000"/>
            </w:tcBorders>
          </w:tcPr>
          <w:p w14:paraId="714D29A0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</w:p>
        </w:tc>
      </w:tr>
      <w:tr w:rsidR="00FC0D76" w:rsidRPr="00CC170B" w14:paraId="123E8276" w14:textId="77777777" w:rsidTr="00E67716">
        <w:trPr>
          <w:trHeight w:val="252"/>
        </w:trPr>
        <w:tc>
          <w:tcPr>
            <w:tcW w:w="4267" w:type="dxa"/>
            <w:tcBorders>
              <w:left w:val="single" w:sz="4" w:space="0" w:color="000000"/>
              <w:right w:val="single" w:sz="4" w:space="0" w:color="auto"/>
            </w:tcBorders>
          </w:tcPr>
          <w:p w14:paraId="78FCE592" w14:textId="1F8B06AD" w:rsidR="00FC0D76" w:rsidRPr="00CC170B" w:rsidRDefault="00FC0D76" w:rsidP="0068123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Nagyfokú válasz a 12.</w:t>
            </w:r>
            <w:r w:rsidR="00645FEE" w:rsidRPr="00CC170B">
              <w:rPr>
                <w:lang w:val="hu-HU"/>
              </w:rPr>
              <w:t> hónap</w:t>
            </w:r>
            <w:r w:rsidRPr="00CC170B">
              <w:rPr>
                <w:lang w:val="hu-HU"/>
              </w:rPr>
              <w:t>ban (%)</w:t>
            </w:r>
          </w:p>
        </w:tc>
        <w:tc>
          <w:tcPr>
            <w:tcW w:w="2650" w:type="dxa"/>
            <w:tcBorders>
              <w:left w:val="single" w:sz="4" w:space="0" w:color="auto"/>
              <w:right w:val="single" w:sz="4" w:space="0" w:color="auto"/>
            </w:tcBorders>
          </w:tcPr>
          <w:p w14:paraId="18FFFCE4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153/305 = 50,2%</w:t>
            </w: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000000"/>
            </w:tcBorders>
          </w:tcPr>
          <w:p w14:paraId="2F956B34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8/83 = 9,6%</w:t>
            </w:r>
          </w:p>
        </w:tc>
      </w:tr>
      <w:tr w:rsidR="00FC0D76" w:rsidRPr="00CC170B" w14:paraId="188FE119" w14:textId="77777777" w:rsidTr="00E67716">
        <w:trPr>
          <w:trHeight w:val="252"/>
        </w:trPr>
        <w:tc>
          <w:tcPr>
            <w:tcW w:w="4267" w:type="dxa"/>
            <w:tcBorders>
              <w:left w:val="single" w:sz="4" w:space="0" w:color="000000"/>
              <w:right w:val="single" w:sz="4" w:space="0" w:color="auto"/>
            </w:tcBorders>
          </w:tcPr>
          <w:p w14:paraId="031F90CF" w14:textId="15435A28" w:rsidR="00FC0D76" w:rsidRPr="00CC170B" w:rsidRDefault="00FC0D76" w:rsidP="0068123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Nagyfokú válasz a 24.</w:t>
            </w:r>
            <w:r w:rsidR="00645FEE" w:rsidRPr="00CC170B">
              <w:rPr>
                <w:lang w:val="hu-HU"/>
              </w:rPr>
              <w:t> hónap</w:t>
            </w:r>
            <w:r w:rsidRPr="00CC170B">
              <w:rPr>
                <w:lang w:val="hu-HU"/>
              </w:rPr>
              <w:t>ban (%)</w:t>
            </w:r>
          </w:p>
        </w:tc>
        <w:tc>
          <w:tcPr>
            <w:tcW w:w="2650" w:type="dxa"/>
            <w:tcBorders>
              <w:left w:val="single" w:sz="4" w:space="0" w:color="auto"/>
              <w:right w:val="single" w:sz="4" w:space="0" w:color="auto"/>
            </w:tcBorders>
          </w:tcPr>
          <w:p w14:paraId="6D03018E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73/104 = 70,2%</w:t>
            </w: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000000"/>
            </w:tcBorders>
          </w:tcPr>
          <w:p w14:paraId="275F92CF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3/12 = 25%</w:t>
            </w:r>
          </w:p>
        </w:tc>
      </w:tr>
      <w:tr w:rsidR="00FC0D76" w:rsidRPr="00CC170B" w14:paraId="6C3B68BF" w14:textId="77777777" w:rsidTr="00E67716">
        <w:trPr>
          <w:trHeight w:val="248"/>
        </w:trPr>
        <w:tc>
          <w:tcPr>
            <w:tcW w:w="426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2BB4403" w14:textId="48247792" w:rsidR="00FC0D76" w:rsidRPr="00CC170B" w:rsidRDefault="00FC0D76" w:rsidP="00681233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Nagyfokú válasz a 84.</w:t>
            </w:r>
            <w:r w:rsidR="00645FEE" w:rsidRPr="00CC170B">
              <w:rPr>
                <w:lang w:val="hu-HU"/>
              </w:rPr>
              <w:t> hónap</w:t>
            </w:r>
            <w:r w:rsidRPr="00CC170B">
              <w:rPr>
                <w:lang w:val="hu-HU"/>
              </w:rPr>
              <w:t>ban (%)</w:t>
            </w:r>
          </w:p>
        </w:tc>
        <w:tc>
          <w:tcPr>
            <w:tcW w:w="265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52D0F51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102/116 = 87,9%</w:t>
            </w:r>
          </w:p>
        </w:tc>
        <w:tc>
          <w:tcPr>
            <w:tcW w:w="2155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CB1634D" w14:textId="77777777" w:rsidR="00FC0D76" w:rsidRPr="00CC170B" w:rsidRDefault="00FC0D76" w:rsidP="00681233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3/4 = 75%</w:t>
            </w:r>
          </w:p>
        </w:tc>
      </w:tr>
      <w:tr w:rsidR="00FC0D76" w:rsidRPr="00CC170B" w14:paraId="10B3773B" w14:textId="77777777" w:rsidTr="003225C2">
        <w:trPr>
          <w:trHeight w:val="2315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E5741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* p &lt;0,001, Fischer-féle egzakt próba</w:t>
            </w:r>
          </w:p>
          <w:p w14:paraId="12D639CC" w14:textId="7777777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** a molekuláris válasz százalékarányai a rendelkezésre álló mintákon alapulnak</w:t>
            </w:r>
          </w:p>
          <w:p w14:paraId="3F741124" w14:textId="5F8902E4" w:rsidR="00FC0D76" w:rsidRPr="00CC170B" w:rsidRDefault="00FC0D76" w:rsidP="00486ABB">
            <w:pPr>
              <w:rPr>
                <w:b/>
                <w:lang w:val="hu-HU"/>
              </w:rPr>
            </w:pPr>
            <w:r w:rsidRPr="00CC170B">
              <w:rPr>
                <w:b/>
                <w:lang w:val="hu-HU"/>
              </w:rPr>
              <w:t xml:space="preserve">A hematológiai válasz kritériumai (minden választ meg kell erősíteni </w:t>
            </w:r>
            <w:r w:rsidRPr="00CC170B">
              <w:rPr>
                <w:rFonts w:ascii="Symbol" w:hAnsi="Symbol"/>
                <w:b/>
                <w:lang w:val="hu-HU"/>
              </w:rPr>
              <w:t></w:t>
            </w:r>
            <w:r w:rsidRPr="00CC170B">
              <w:rPr>
                <w:b/>
                <w:lang w:val="hu-HU"/>
              </w:rPr>
              <w:t>4</w:t>
            </w:r>
            <w:r w:rsidR="00610181" w:rsidRPr="00CC170B">
              <w:rPr>
                <w:b/>
                <w:lang w:val="hu-HU"/>
              </w:rPr>
              <w:t> </w:t>
            </w:r>
            <w:r w:rsidRPr="00CC170B">
              <w:rPr>
                <w:b/>
                <w:lang w:val="hu-HU"/>
              </w:rPr>
              <w:t>hét múlva):</w:t>
            </w:r>
          </w:p>
          <w:p w14:paraId="62C2573C" w14:textId="1777B212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Fehérvérsejtszám &lt;10</w:t>
            </w:r>
            <w:r w:rsidR="00E67716" w:rsidRPr="00CC170B">
              <w:rPr>
                <w:lang w:val="hu-HU"/>
              </w:rPr>
              <w:t> </w:t>
            </w:r>
            <w:r w:rsidR="00EF1922">
              <w:rPr>
                <w:lang w:val="hu-HU"/>
              </w:rPr>
              <w:t>G</w:t>
            </w:r>
            <w:r w:rsidRPr="00CC170B">
              <w:rPr>
                <w:lang w:val="hu-HU"/>
              </w:rPr>
              <w:t>/l, thrombocytaszám &lt;450</w:t>
            </w:r>
            <w:r w:rsidR="00E67716" w:rsidRPr="00CC170B">
              <w:rPr>
                <w:lang w:val="hu-HU"/>
              </w:rPr>
              <w:t> </w:t>
            </w:r>
            <w:r w:rsidR="00EF1922">
              <w:rPr>
                <w:lang w:val="hu-HU"/>
              </w:rPr>
              <w:t>G</w:t>
            </w:r>
            <w:r w:rsidRPr="00CC170B">
              <w:rPr>
                <w:lang w:val="hu-HU"/>
              </w:rPr>
              <w:t>/l, myelocyta + metamyelocyta &lt;5% a vérben, nincs blaszt és promyelocyta a vérben, basophil &lt;20%, nincs extramedullaris érintettség</w:t>
            </w:r>
            <w:r w:rsidR="00EF1922">
              <w:rPr>
                <w:lang w:val="hu-HU"/>
              </w:rPr>
              <w:t>.</w:t>
            </w:r>
          </w:p>
          <w:p w14:paraId="54998BBC" w14:textId="65F72DC2" w:rsidR="00FC0D76" w:rsidRPr="00CC170B" w:rsidRDefault="00FC0D76" w:rsidP="00EF1922">
            <w:pPr>
              <w:rPr>
                <w:lang w:val="hu-HU"/>
              </w:rPr>
            </w:pPr>
            <w:r w:rsidRPr="00CC170B">
              <w:rPr>
                <w:b/>
                <w:lang w:val="hu-HU"/>
              </w:rPr>
              <w:t xml:space="preserve">A citogenetikai válasz kritériumai: </w:t>
            </w:r>
            <w:r w:rsidRPr="00CC170B">
              <w:rPr>
                <w:lang w:val="hu-HU"/>
              </w:rPr>
              <w:t>teljes: 0% Ph+ metafázis; részleges: 1–35%; minor: 36</w:t>
            </w:r>
            <w:r w:rsidR="00EF1922" w:rsidRPr="00EF1922">
              <w:rPr>
                <w:lang w:val="hu-HU"/>
              </w:rPr>
              <w:t>–</w:t>
            </w:r>
            <w:r w:rsidRPr="00CC170B">
              <w:rPr>
                <w:lang w:val="hu-HU"/>
              </w:rPr>
              <w:t>65%; minimális: 66–95%. A nagyfokú választ (0–35%) a teljes és részleges válasz együttesen jelenti.</w:t>
            </w:r>
          </w:p>
          <w:p w14:paraId="21929D91" w14:textId="79883786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b/>
                <w:lang w:val="hu-HU"/>
              </w:rPr>
              <w:t xml:space="preserve">A nagyfokú molekuláris válasz kritériumai: </w:t>
            </w:r>
            <w:r w:rsidRPr="00CC170B">
              <w:rPr>
                <w:lang w:val="hu-HU"/>
              </w:rPr>
              <w:t>a BCR-ABL transzkriptum mennyiségének ≥3 logaritmusos csökkenése a perifériás vérben 12</w:t>
            </w:r>
            <w:r w:rsidR="00645FEE" w:rsidRPr="00CC170B">
              <w:rPr>
                <w:lang w:val="hu-HU"/>
              </w:rPr>
              <w:t> hónap</w:t>
            </w:r>
            <w:r w:rsidRPr="00CC170B">
              <w:rPr>
                <w:lang w:val="hu-HU"/>
              </w:rPr>
              <w:t>os kezelést követően (valós idejű, kvantitatív reverz transzkriptáz PCR módszerrel mérve) egy standard kiindulási értékhez viszonyítva.</w:t>
            </w:r>
          </w:p>
        </w:tc>
      </w:tr>
    </w:tbl>
    <w:p w14:paraId="55B49AAC" w14:textId="77777777" w:rsidR="00647035" w:rsidRPr="00CC170B" w:rsidRDefault="00647035" w:rsidP="00FC0D76"/>
    <w:p w14:paraId="09144F64" w14:textId="288DD96B" w:rsidR="00FC0D76" w:rsidRPr="00CC170B" w:rsidRDefault="00FC0D76" w:rsidP="00FC0D76">
      <w:r w:rsidRPr="00CC170B">
        <w:t xml:space="preserve">Az első vonalbeli kezelésre adott teljes hematológiai válasz, nagyfokú citogenetikai válasz és teljes citogenetikai válasz arányát Kaplan–Meier-módszerrel becsülték, melynek során a nem reagálókat az utolsó vizsgálat időpontjában cenzorálták. Az első vonalbeli </w:t>
      </w:r>
      <w:r w:rsidR="00647035" w:rsidRPr="00CC170B">
        <w:t>i</w:t>
      </w:r>
      <w:r w:rsidRPr="00CC170B">
        <w:t>matinib-kezelésre adott becsült kumulatív válaszarányok ezen módszerrel meghatározott értékei a kezelés időtartamának előrehaladtával javultak: 12</w:t>
      </w:r>
      <w:r w:rsidR="00645FEE" w:rsidRPr="00CC170B">
        <w:t> hónap</w:t>
      </w:r>
      <w:r w:rsidRPr="00CC170B">
        <w:t>os kezelés esetén a CHR 96,4%, a CCyR 69,5% volt, 84</w:t>
      </w:r>
      <w:r w:rsidR="00645FEE" w:rsidRPr="00CC170B">
        <w:t> hónap</w:t>
      </w:r>
      <w:r w:rsidRPr="00CC170B">
        <w:t>os kezelés esetén pedig a CHR 98,4%, a CCyR 87,2% volt.</w:t>
      </w:r>
    </w:p>
    <w:p w14:paraId="6B365790" w14:textId="77777777" w:rsidR="00FC0D76" w:rsidRPr="00CC170B" w:rsidRDefault="00FC0D76" w:rsidP="00FC0D76"/>
    <w:p w14:paraId="1ECA1DE9" w14:textId="7C093311" w:rsidR="00FC0D76" w:rsidRPr="00CC170B" w:rsidRDefault="00FC0D76" w:rsidP="00FC0D76">
      <w:r w:rsidRPr="00CC170B">
        <w:t xml:space="preserve">Hétéves nyomon követés során </w:t>
      </w:r>
      <w:r w:rsidR="00F65A4E" w:rsidRPr="00CC170B">
        <w:t xml:space="preserve">az </w:t>
      </w:r>
      <w:r w:rsidR="00647035" w:rsidRPr="00CC170B">
        <w:t>i</w:t>
      </w:r>
      <w:r w:rsidR="00D07FC6" w:rsidRPr="00CC170B">
        <w:t>matinib</w:t>
      </w:r>
      <w:r w:rsidRPr="00CC170B">
        <w:t>-csoportban 93 (16,8%), progresszióval kapcsolatos esemény lépett fel: 37</w:t>
      </w:r>
      <w:r w:rsidR="006F1C64">
        <w:t> </w:t>
      </w:r>
      <w:r w:rsidRPr="00CC170B">
        <w:t>esetben (6,7%) akcelerált fázisba vagy blasztos krízisbe történő progresszió, 31</w:t>
      </w:r>
      <w:r w:rsidR="006F1C64">
        <w:t> </w:t>
      </w:r>
      <w:r w:rsidRPr="00CC170B">
        <w:t>esetben (5,6%) a nagyfokú citogenetikai válasz megszűnése, 15</w:t>
      </w:r>
      <w:r w:rsidR="00647035" w:rsidRPr="00CC170B">
        <w:t> </w:t>
      </w:r>
      <w:r w:rsidRPr="00CC170B">
        <w:t>esetben (2,7%) a teljes hematológiai válasz megszűnése vagy a fehérvérsejtszám emelkedése, és 10</w:t>
      </w:r>
      <w:r w:rsidR="00647035" w:rsidRPr="00CC170B">
        <w:t> </w:t>
      </w:r>
      <w:r w:rsidRPr="00CC170B">
        <w:t>esetben (1,8%) a CML-től független halálozás. Ezzel szemben az IFN + Ara-C csoportban 165</w:t>
      </w:r>
      <w:r w:rsidR="00647035" w:rsidRPr="00CC170B">
        <w:t> </w:t>
      </w:r>
      <w:r w:rsidRPr="00CC170B">
        <w:t>esemény (29,8%) következett be, melyek közül 130</w:t>
      </w:r>
      <w:r w:rsidR="00647035" w:rsidRPr="00CC170B">
        <w:t> </w:t>
      </w:r>
      <w:r w:rsidRPr="00CC170B">
        <w:t>az első vonalbeli IFN + Ara-C kezelés mellett lépett fel.</w:t>
      </w:r>
    </w:p>
    <w:p w14:paraId="4AEA2B04" w14:textId="77777777" w:rsidR="00FC0D76" w:rsidRPr="00CC170B" w:rsidRDefault="00FC0D76" w:rsidP="00FC0D76"/>
    <w:p w14:paraId="37FDA987" w14:textId="59280C2D" w:rsidR="00FC0D76" w:rsidRPr="00CC170B" w:rsidRDefault="00FC0D76" w:rsidP="00FC0D76">
      <w:r w:rsidRPr="00CC170B">
        <w:t>A 84.</w:t>
      </w:r>
      <w:r w:rsidR="00645FEE" w:rsidRPr="00CC170B">
        <w:t> hónap</w:t>
      </w:r>
      <w:r w:rsidRPr="00CC170B">
        <w:t xml:space="preserve">ban az akcelerált fázisba vagy a blasztos krízisbe való progressziótól mentes betegek becsült aránya szignifikánsan magasabb volt </w:t>
      </w:r>
      <w:r w:rsidR="00F65A4E" w:rsidRPr="00CC170B">
        <w:t xml:space="preserve">az </w:t>
      </w:r>
      <w:r w:rsidR="00EF1922">
        <w:t>i</w:t>
      </w:r>
      <w:r w:rsidR="00D07FC6" w:rsidRPr="00CC170B">
        <w:t>matinib</w:t>
      </w:r>
      <w:r w:rsidRPr="00CC170B">
        <w:t xml:space="preserve">-, mint az INF-csoportban (92,5% </w:t>
      </w:r>
      <w:r w:rsidRPr="00CC170B">
        <w:rPr>
          <w:i/>
        </w:rPr>
        <w:t xml:space="preserve">vs. </w:t>
      </w:r>
      <w:r w:rsidRPr="00CC170B">
        <w:t>85,1%, p &lt;0,001). Az akcelerált fázisba vagy blasztos krízisbe történő progresszió éves aránya a kezelés időtartamával párhuzamosan csökkent, és a 4., illetve 5. évben kevesebb volt évi 1%-nál. A becsült</w:t>
      </w:r>
      <w:r w:rsidR="006F1C64">
        <w:t xml:space="preserve"> </w:t>
      </w:r>
      <w:r w:rsidRPr="00CC170B">
        <w:t>progressziómentes túlélési arány a 84.</w:t>
      </w:r>
      <w:r w:rsidR="00645FEE" w:rsidRPr="00CC170B">
        <w:t> hónap</w:t>
      </w:r>
      <w:r w:rsidRPr="00CC170B">
        <w:t xml:space="preserve">ban 81,2% volt </w:t>
      </w:r>
      <w:r w:rsidR="00F65A4E" w:rsidRPr="00CC170B">
        <w:t xml:space="preserve">az </w:t>
      </w:r>
      <w:r w:rsidR="00647035" w:rsidRPr="00CC170B">
        <w:t>imatinib</w:t>
      </w:r>
      <w:r w:rsidRPr="00CC170B">
        <w:t>-csoportban, a kontrollcsoportban pedig 60,6% (p &lt;0,001). Imatinib mellett a progresszió minden típusának éves aránya szintén csökkent az idő előrehaladtával.</w:t>
      </w:r>
    </w:p>
    <w:p w14:paraId="195D81C1" w14:textId="77777777" w:rsidR="00FC0D76" w:rsidRPr="00CC170B" w:rsidRDefault="00FC0D76" w:rsidP="00FC0D76"/>
    <w:p w14:paraId="33477732" w14:textId="5F84EBBA" w:rsidR="00FC0D76" w:rsidRPr="00CC170B" w:rsidRDefault="00430469" w:rsidP="00FC0D76">
      <w:r w:rsidRPr="00CC170B">
        <w:t xml:space="preserve">Az </w:t>
      </w:r>
      <w:r w:rsidR="00647035" w:rsidRPr="00CC170B">
        <w:t>imatinib</w:t>
      </w:r>
      <w:r w:rsidR="00FC0D76" w:rsidRPr="00CC170B">
        <w:t>-csoportban összesen 71</w:t>
      </w:r>
      <w:r w:rsidR="00647035" w:rsidRPr="00CC170B">
        <w:t> </w:t>
      </w:r>
      <w:r w:rsidR="00FC0D76" w:rsidRPr="00CC170B">
        <w:t>beteg (12,8%), az IFN + Ara-C csoportban 85</w:t>
      </w:r>
      <w:r w:rsidR="00647035" w:rsidRPr="00CC170B">
        <w:t> </w:t>
      </w:r>
      <w:r w:rsidR="00FC0D76" w:rsidRPr="00CC170B">
        <w:t>beteg (15,4%) halt meg. A 84.</w:t>
      </w:r>
      <w:r w:rsidR="00645FEE" w:rsidRPr="00CC170B">
        <w:t> hónap</w:t>
      </w:r>
      <w:r w:rsidR="00FC0D76" w:rsidRPr="00CC170B">
        <w:t xml:space="preserve">ban a becsült teljes túlélés </w:t>
      </w:r>
      <w:r w:rsidR="00F65A4E" w:rsidRPr="00CC170B">
        <w:t xml:space="preserve">az </w:t>
      </w:r>
      <w:r w:rsidR="00647035" w:rsidRPr="00CC170B">
        <w:t>imatinib</w:t>
      </w:r>
      <w:r w:rsidR="00FC0D76" w:rsidRPr="00CC170B">
        <w:t>-csoportban 86,4% (83; 90), az IFN +Ara-C csoportban 83,3% (80; 87) volt (p</w:t>
      </w:r>
      <w:r w:rsidR="00647035" w:rsidRPr="00CC170B">
        <w:t> </w:t>
      </w:r>
      <w:r w:rsidR="00FC0D76" w:rsidRPr="00CC170B">
        <w:t>=</w:t>
      </w:r>
      <w:r w:rsidR="00647035" w:rsidRPr="00CC170B">
        <w:t> </w:t>
      </w:r>
      <w:r w:rsidR="00FC0D76" w:rsidRPr="00CC170B">
        <w:t xml:space="preserve">0,073, log-rank próba). Az „eseményig eltelt idő” végpontot nagymértékben befolyásolja az IFN + Ara-C kezelésről </w:t>
      </w:r>
      <w:r w:rsidR="00647035" w:rsidRPr="00CC170B">
        <w:t>imatinib</w:t>
      </w:r>
      <w:r w:rsidR="00FC0D76" w:rsidRPr="00CC170B">
        <w:t xml:space="preserve">-kezelésre történő váltás magas aránya. </w:t>
      </w:r>
      <w:r w:rsidRPr="00CC170B">
        <w:t xml:space="preserve">Az </w:t>
      </w:r>
      <w:r w:rsidR="00647035" w:rsidRPr="00CC170B">
        <w:t>imatinib</w:t>
      </w:r>
      <w:r w:rsidR="00FC0D76" w:rsidRPr="00CC170B">
        <w:t xml:space="preserve">-kezelés túlélésre gyakorolt hatását krónikus fázisú, újonnan diagnosztizált CML-ben tovább vizsgálták a fenti </w:t>
      </w:r>
      <w:r w:rsidR="00647035" w:rsidRPr="00CC170B">
        <w:t>imatinib</w:t>
      </w:r>
      <w:r w:rsidR="00FC0D76" w:rsidRPr="00CC170B">
        <w:t xml:space="preserve">-adatok, valamint egy, az IFN + Ara-C-t (n = 325) azonos protokoll szerint alkalmazó III. fázisú vizsgálat elsődleges adatainak retrospektív elemzése során. Ezen retrospektív elemzés igazolta </w:t>
      </w:r>
      <w:r w:rsidR="00F65A4E" w:rsidRPr="00CC170B">
        <w:t xml:space="preserve">az </w:t>
      </w:r>
      <w:r w:rsidR="00647035" w:rsidRPr="00CC170B">
        <w:t>imatinib</w:t>
      </w:r>
      <w:r w:rsidR="00FC0D76" w:rsidRPr="00CC170B">
        <w:t>-kezelés szuperioritását az IFN+Ara-C kezeléssel szemben (p</w:t>
      </w:r>
      <w:r w:rsidR="00C77341">
        <w:t> </w:t>
      </w:r>
      <w:r w:rsidR="00FC0D76" w:rsidRPr="00CC170B">
        <w:t>&lt;0,001) a teljes túlélés tekintetében; 42</w:t>
      </w:r>
      <w:r w:rsidR="00645FEE" w:rsidRPr="00CC170B">
        <w:t> hónap</w:t>
      </w:r>
      <w:r w:rsidR="00FC0D76" w:rsidRPr="00CC170B">
        <w:t>on belül 47 (8,5%)</w:t>
      </w:r>
      <w:r w:rsidR="00EF1922">
        <w:t>,</w:t>
      </w:r>
      <w:r w:rsidR="00FC0D76" w:rsidRPr="00CC170B">
        <w:t xml:space="preserve"> </w:t>
      </w:r>
      <w:r w:rsidR="00C77341">
        <w:t>i</w:t>
      </w:r>
      <w:r w:rsidR="00FC0D76" w:rsidRPr="00CC170B">
        <w:t>matinib-kezelést és 63 (19,4%), IFN+Ara-C kezelést kapott beteg halt meg.</w:t>
      </w:r>
    </w:p>
    <w:p w14:paraId="57B487D6" w14:textId="77777777" w:rsidR="00FC0D76" w:rsidRPr="00CC170B" w:rsidRDefault="00FC0D76" w:rsidP="00FC0D76"/>
    <w:p w14:paraId="43CC124E" w14:textId="7067FB74" w:rsidR="00FC0D76" w:rsidRPr="00CC170B" w:rsidRDefault="00430469" w:rsidP="00FC0D76">
      <w:r w:rsidRPr="00CC170B">
        <w:t xml:space="preserve">Az </w:t>
      </w:r>
      <w:r w:rsidR="000607EF" w:rsidRPr="00CC170B">
        <w:t>imatinib</w:t>
      </w:r>
      <w:r w:rsidR="00FC0D76" w:rsidRPr="00CC170B">
        <w:t>-kezelésben részesülő betegek esetében a citogenetikai és molekuláris válasz mértéke egyértelmű hatással volt a hosszú távú kimenetelekre. Míg a 12.</w:t>
      </w:r>
      <w:r w:rsidR="00645FEE" w:rsidRPr="00CC170B">
        <w:t> hónap</w:t>
      </w:r>
      <w:r w:rsidR="00FC0D76" w:rsidRPr="00CC170B">
        <w:t>ban teljes citogenetikai választ (részleges citogenetikai választ) mutató betegek körülbelül 96%-a (93%-a) a 84.</w:t>
      </w:r>
      <w:r w:rsidR="00645FEE" w:rsidRPr="00CC170B">
        <w:t> hónap</w:t>
      </w:r>
      <w:r w:rsidR="00FC0D76" w:rsidRPr="00CC170B">
        <w:t>ra nem progrediált akcelerált fázisba / blasztos krízisbe, addig a 12.</w:t>
      </w:r>
      <w:r w:rsidR="00645FEE" w:rsidRPr="00CC170B">
        <w:t> hónap</w:t>
      </w:r>
      <w:r w:rsidR="00FC0D76" w:rsidRPr="00CC170B">
        <w:t>ban nagyfokú citogenetikai választ nem mutató betegeknek csak 81%-a nem progrediált előrehaladott CML-be a 84.</w:t>
      </w:r>
      <w:r w:rsidR="00645FEE" w:rsidRPr="00CC170B">
        <w:t> hónap</w:t>
      </w:r>
      <w:r w:rsidR="00FC0D76" w:rsidRPr="00CC170B">
        <w:t>ra (p &lt;0,001 összesítve, p</w:t>
      </w:r>
      <w:r w:rsidR="000607EF" w:rsidRPr="00CC170B">
        <w:t> </w:t>
      </w:r>
      <w:r w:rsidR="00FC0D76" w:rsidRPr="00CC170B">
        <w:t>=</w:t>
      </w:r>
      <w:r w:rsidR="000607EF" w:rsidRPr="00CC170B">
        <w:t> </w:t>
      </w:r>
      <w:r w:rsidR="00FC0D76" w:rsidRPr="00CC170B">
        <w:t>0,25 a teljes citogenetikai választ és részleges citogenetikai választ mutató csoportok összehasonlítása esetén). Azoknál a betegeknél, akik a 12.</w:t>
      </w:r>
      <w:r w:rsidR="00645FEE" w:rsidRPr="00CC170B">
        <w:t> hónap</w:t>
      </w:r>
      <w:r w:rsidR="00FC0D76" w:rsidRPr="00CC170B">
        <w:t>ban a BCR-ABL transzkripció legalább 3 logaritmusos csökkenését mutatták, a progressziómentesség (akcelerált fázisba / blasztos krízisbe) fennmaradásának valószínűsége a 84.</w:t>
      </w:r>
      <w:r w:rsidR="00645FEE" w:rsidRPr="00CC170B">
        <w:t> hónap</w:t>
      </w:r>
      <w:r w:rsidR="00FC0D76" w:rsidRPr="00CC170B">
        <w:t xml:space="preserve">ban 99% volt. Hasonló eredményeket kaptak a </w:t>
      </w:r>
      <w:r w:rsidR="00FC0D76" w:rsidRPr="00CC170B">
        <w:lastRenderedPageBreak/>
        <w:t>18</w:t>
      </w:r>
      <w:r w:rsidR="00645FEE" w:rsidRPr="00CC170B">
        <w:t> hónap</w:t>
      </w:r>
      <w:r w:rsidR="00FC0D76" w:rsidRPr="00CC170B">
        <w:t>os iránymutató analízis során.</w:t>
      </w:r>
    </w:p>
    <w:p w14:paraId="06E713F4" w14:textId="77777777" w:rsidR="00FC0D76" w:rsidRPr="00CC170B" w:rsidRDefault="00FC0D76" w:rsidP="00FC0D76"/>
    <w:p w14:paraId="69F53468" w14:textId="25C44328" w:rsidR="00FC0D76" w:rsidRPr="00CC170B" w:rsidRDefault="00FC0D76" w:rsidP="00FC0D76">
      <w:r w:rsidRPr="00CC170B">
        <w:t>Ezen vizsgálatban lehetőség volt a dózis</w:t>
      </w:r>
      <w:r w:rsidR="0087414E" w:rsidRPr="00CC170B">
        <w:t> nap</w:t>
      </w:r>
      <w:r w:rsidRPr="00CC170B">
        <w:t>i 400 mg-ról</w:t>
      </w:r>
      <w:r w:rsidR="0087414E" w:rsidRPr="00CC170B">
        <w:t> nap</w:t>
      </w:r>
      <w:r w:rsidRPr="00CC170B">
        <w:t>i 600 mg-ra, majd</w:t>
      </w:r>
      <w:r w:rsidR="0087414E" w:rsidRPr="00CC170B">
        <w:t> nap</w:t>
      </w:r>
      <w:r w:rsidRPr="00CC170B">
        <w:t>i 600 mg-ról</w:t>
      </w:r>
      <w:r w:rsidR="0087414E" w:rsidRPr="00CC170B">
        <w:t> nap</w:t>
      </w:r>
      <w:r w:rsidRPr="00CC170B">
        <w:t>i 800 mg-ra történő emelésére. A 42</w:t>
      </w:r>
      <w:r w:rsidR="00645FEE" w:rsidRPr="00CC170B">
        <w:t> hónap</w:t>
      </w:r>
      <w:r w:rsidRPr="00CC170B">
        <w:t>os nyomon követés után 11</w:t>
      </w:r>
      <w:r w:rsidR="000607EF" w:rsidRPr="00CC170B">
        <w:t> </w:t>
      </w:r>
      <w:r w:rsidRPr="00CC170B">
        <w:t>betegnél (4</w:t>
      </w:r>
      <w:r w:rsidR="000607EF" w:rsidRPr="00CC170B">
        <w:t> </w:t>
      </w:r>
      <w:r w:rsidRPr="00CC170B">
        <w:t>héten belül) a citogenetikai válasz bizonyítottan megszűnt. Ezen 11</w:t>
      </w:r>
      <w:r w:rsidR="00B04BAB">
        <w:t> </w:t>
      </w:r>
      <w:r w:rsidRPr="00CC170B">
        <w:t>beteg közül 4</w:t>
      </w:r>
      <w:r w:rsidR="00B04BAB">
        <w:t> </w:t>
      </w:r>
      <w:r w:rsidRPr="00CC170B">
        <w:t>beteg gyógyszeradagját emelték</w:t>
      </w:r>
      <w:r w:rsidR="0087414E" w:rsidRPr="00CC170B">
        <w:t> nap</w:t>
      </w:r>
      <w:r w:rsidRPr="00CC170B">
        <w:t>i 800 mg-ra, közülük kettőnél újra megjelent a citogenetikai válasz (1</w:t>
      </w:r>
      <w:r w:rsidR="000607EF" w:rsidRPr="00CC170B">
        <w:t> </w:t>
      </w:r>
      <w:r w:rsidRPr="00CC170B">
        <w:t>részleges, 1</w:t>
      </w:r>
      <w:r w:rsidR="000607EF" w:rsidRPr="00CC170B">
        <w:t> </w:t>
      </w:r>
      <w:r w:rsidRPr="00CC170B">
        <w:t>teljes, az utóbbi molekuláris választ is mutatott), míg azon 7</w:t>
      </w:r>
      <w:r w:rsidR="000607EF" w:rsidRPr="00CC170B">
        <w:t> </w:t>
      </w:r>
      <w:r w:rsidRPr="00CC170B">
        <w:t>beteg közül, akiknek nem emelték az adagját, csak egynél alakult ki ismét teljes citogenetikai válasz. A dózisemelést megelőző betegpopulációhoz viszonyítva (n</w:t>
      </w:r>
      <w:r w:rsidR="000607EF" w:rsidRPr="00CC170B">
        <w:t> </w:t>
      </w:r>
      <w:r w:rsidRPr="00CC170B">
        <w:t>=</w:t>
      </w:r>
      <w:r w:rsidR="000607EF" w:rsidRPr="00CC170B">
        <w:t> </w:t>
      </w:r>
      <w:r w:rsidRPr="00CC170B">
        <w:t>551) bizonyos mellékhatások előfordulása gyakoribb volt azon 40</w:t>
      </w:r>
      <w:r w:rsidR="000607EF" w:rsidRPr="00CC170B">
        <w:t> </w:t>
      </w:r>
      <w:r w:rsidRPr="00CC170B">
        <w:t>betegnél, akiknek a</w:t>
      </w:r>
      <w:r w:rsidR="0087414E" w:rsidRPr="00CC170B">
        <w:t> nap</w:t>
      </w:r>
      <w:r w:rsidRPr="00CC170B">
        <w:t>i adagját 800 mg-ra emelték. A gyakoribb mellékhatások közé tartozik a gastrointestinalis vérzés, a conjunctivitis és a transzaminázszintek, illetve a bilirubinszint emelkedése. Más mellékhatásról azonos vagy kisebb gyakorisággal számoltak</w:t>
      </w:r>
      <w:r w:rsidRPr="00CC170B">
        <w:rPr>
          <w:spacing w:val="-3"/>
        </w:rPr>
        <w:t xml:space="preserve"> </w:t>
      </w:r>
      <w:r w:rsidRPr="00CC170B">
        <w:t>be.</w:t>
      </w:r>
    </w:p>
    <w:p w14:paraId="7EE85F88" w14:textId="77777777" w:rsidR="00FC0D76" w:rsidRPr="00CC170B" w:rsidRDefault="00FC0D76" w:rsidP="00FC0D76"/>
    <w:p w14:paraId="33A5D7DF" w14:textId="467A1A50" w:rsidR="00FC0D76" w:rsidRPr="00CC170B" w:rsidRDefault="00FC0D76" w:rsidP="00FC0D76">
      <w:pPr>
        <w:rPr>
          <w:i/>
        </w:rPr>
      </w:pPr>
      <w:r w:rsidRPr="00CC170B">
        <w:rPr>
          <w:i/>
          <w:u w:val="single"/>
        </w:rPr>
        <w:t xml:space="preserve">Krónikus fázis, sikertelen </w:t>
      </w:r>
      <w:r w:rsidR="00B04BAB">
        <w:rPr>
          <w:i/>
          <w:u w:val="single"/>
        </w:rPr>
        <w:t>interferon-</w:t>
      </w:r>
      <w:r w:rsidRPr="00CC170B">
        <w:rPr>
          <w:i/>
          <w:u w:val="single"/>
        </w:rPr>
        <w:t>kezelés</w:t>
      </w:r>
    </w:p>
    <w:p w14:paraId="43D9FC0C" w14:textId="77777777" w:rsidR="000607EF" w:rsidRPr="00CC170B" w:rsidRDefault="000607EF" w:rsidP="00FC0D76"/>
    <w:p w14:paraId="3E80C5D1" w14:textId="2B9B4617" w:rsidR="00FC0D76" w:rsidRPr="00CC170B" w:rsidRDefault="00FC0D76" w:rsidP="00FC0D76">
      <w:r w:rsidRPr="00CC170B">
        <w:t xml:space="preserve">Ötszázharminckét (532) felnőtt beteget kezeltek 400 mg kezdő dózissal. A betegeket három nagy csoportra osztották: hematológiai sikertelenség (29%), citogenetikai sikertelenség (35%) vagy </w:t>
      </w:r>
      <w:r w:rsidR="00B04BAB">
        <w:t>interferon-</w:t>
      </w:r>
      <w:r w:rsidRPr="00CC170B">
        <w:t>intolerancia (36%). A betegek előzetesen 14</w:t>
      </w:r>
      <w:r w:rsidR="00645FEE" w:rsidRPr="00CC170B">
        <w:t> hónap</w:t>
      </w:r>
      <w:r w:rsidRPr="00CC170B">
        <w:t>on (medián idő) át kaptak IFN-kezelést</w:t>
      </w:r>
      <w:r w:rsidR="000607EF" w:rsidRPr="00CC170B">
        <w:t xml:space="preserve"> </w:t>
      </w:r>
      <w:r w:rsidRPr="00CC170B">
        <w:rPr>
          <w:rFonts w:ascii="Symbol" w:hAnsi="Symbol"/>
        </w:rPr>
        <w:t></w:t>
      </w:r>
      <w:r w:rsidRPr="00CC170B">
        <w:t>25</w:t>
      </w:r>
      <w:r w:rsidR="000607EF" w:rsidRPr="00CC170B">
        <w:t> </w:t>
      </w:r>
      <w:r w:rsidR="00EF1922">
        <w:t>millió</w:t>
      </w:r>
      <w:r w:rsidRPr="00CC170B">
        <w:t xml:space="preserve"> NE/hét adagban,</w:t>
      </w:r>
      <w:r w:rsidR="00B04BAB">
        <w:t xml:space="preserve"> </w:t>
      </w:r>
      <w:r w:rsidRPr="00CC170B">
        <w:t>és valamennyien késői krónikus fázisban voltak, a diagnózistól számított (medián) 32</w:t>
      </w:r>
      <w:r w:rsidR="00645FEE" w:rsidRPr="00CC170B">
        <w:t> hónap</w:t>
      </w:r>
      <w:r w:rsidRPr="00CC170B">
        <w:t>ban. A primer hatásossági mutató a vizsgálatban a nagyfokú citogenetikai válasz ará</w:t>
      </w:r>
      <w:r w:rsidR="00EF1922">
        <w:t>ny</w:t>
      </w:r>
      <w:r w:rsidRPr="00CC170B">
        <w:t>a volt (teljes + részleges válasz: 0–35% Ph+ metafázis a csontvelőben).</w:t>
      </w:r>
    </w:p>
    <w:p w14:paraId="6D31BA11" w14:textId="77777777" w:rsidR="00FC0D76" w:rsidRPr="00CC170B" w:rsidRDefault="00FC0D76" w:rsidP="00FC0D76"/>
    <w:p w14:paraId="27BC0188" w14:textId="7EDCA596" w:rsidR="00FC0D76" w:rsidRPr="00CC170B" w:rsidRDefault="00FC0D76" w:rsidP="00FC0D76">
      <w:r w:rsidRPr="00CC170B">
        <w:t>Ebben a vizsgálatban a betegek 65%-a elérte a nagyfokú citogenetikai választ, ami a betegek 53%-ánál (megerősített 43%-ban) volt teljes (3. táblázat). Teljes hematológiai válasz a betegek 95%-a esetében következett</w:t>
      </w:r>
      <w:r w:rsidRPr="00CC170B">
        <w:rPr>
          <w:spacing w:val="-2"/>
        </w:rPr>
        <w:t xml:space="preserve"> </w:t>
      </w:r>
      <w:r w:rsidRPr="00CC170B">
        <w:t>be.</w:t>
      </w:r>
    </w:p>
    <w:p w14:paraId="729392D9" w14:textId="77777777" w:rsidR="00FC0D76" w:rsidRPr="00CC170B" w:rsidRDefault="00FC0D76" w:rsidP="00FC0D76"/>
    <w:p w14:paraId="227583DF" w14:textId="77777777" w:rsidR="00FC0D76" w:rsidRPr="00CC170B" w:rsidRDefault="00FC0D76" w:rsidP="00FC0D76">
      <w:pPr>
        <w:rPr>
          <w:i/>
        </w:rPr>
      </w:pPr>
      <w:r w:rsidRPr="00CC170B">
        <w:rPr>
          <w:i/>
          <w:u w:val="single"/>
        </w:rPr>
        <w:t>Akcelerált</w:t>
      </w:r>
      <w:r w:rsidRPr="00CC170B">
        <w:rPr>
          <w:i/>
          <w:spacing w:val="-10"/>
          <w:u w:val="single"/>
        </w:rPr>
        <w:t xml:space="preserve"> </w:t>
      </w:r>
      <w:r w:rsidRPr="00CC170B">
        <w:rPr>
          <w:i/>
          <w:u w:val="single"/>
        </w:rPr>
        <w:t>fázis</w:t>
      </w:r>
    </w:p>
    <w:p w14:paraId="0C7A5E5D" w14:textId="77777777" w:rsidR="000607EF" w:rsidRPr="00CC170B" w:rsidRDefault="000607EF" w:rsidP="00FC0D76"/>
    <w:p w14:paraId="1150D15D" w14:textId="610B096F" w:rsidR="00FC0D76" w:rsidRPr="00CC170B" w:rsidRDefault="00FC0D76" w:rsidP="00FC0D76">
      <w:r w:rsidRPr="00CC170B">
        <w:t>Kétszázharmincöt (235)</w:t>
      </w:r>
      <w:r w:rsidR="00017FBA">
        <w:t>,</w:t>
      </w:r>
      <w:r w:rsidRPr="00CC170B">
        <w:t xml:space="preserve"> akcelerált fázisban levő felnőtt beteget vontak be a vizsgálatba. Az első 77</w:t>
      </w:r>
      <w:r w:rsidR="000607EF" w:rsidRPr="00CC170B">
        <w:t> </w:t>
      </w:r>
      <w:r w:rsidRPr="00CC170B">
        <w:t>beteg kezdő adagja 400 mg volt, a protokollt később módosították a nagyobb dózisok engedélyezése érdekében, így a további 158</w:t>
      </w:r>
      <w:r w:rsidR="00017FBA">
        <w:t> </w:t>
      </w:r>
      <w:r w:rsidRPr="00CC170B">
        <w:t>beteg kezdő adagja 600 mg lett.</w:t>
      </w:r>
    </w:p>
    <w:p w14:paraId="647C9DF9" w14:textId="77777777" w:rsidR="00FC0D76" w:rsidRPr="00CC170B" w:rsidRDefault="00FC0D76" w:rsidP="00FC0D76"/>
    <w:p w14:paraId="1BC53459" w14:textId="71C96566" w:rsidR="00FC0D76" w:rsidRPr="00CC170B" w:rsidRDefault="00FC0D76" w:rsidP="00FC0D76">
      <w:r w:rsidRPr="00CC170B">
        <w:t>A primer hatásossági mutató a hematológiai válaszarány volt: melyet vagy a teljes hematológiai válasz, a leukaemia hiánya (pl. nem volt blasztsejt a vérben és a csontvelőben, de nem volt tökéletes normalizálódás a perifériás vérben, mint a teljes válasz esetén), vagy a krónikus CML fázisba való visszatérés jelentett. Igazolt hematológiai válasz a betegek 71,5%-ánál volt (3. táblázat). Fontos tény, hogy a betegek 27,7%-a elért nagyfokú citogenetikai választ is, ami a betegek 20,4%-ánál (megerősítetten 16%-nál) teljes volt. A 600 mg-mal kezelt betegeknél a progressziómentes túlélés, illetve a teljes túlélés jelenlegi becsült mediánértéke 22,9, illetve 42,5</w:t>
      </w:r>
      <w:r w:rsidR="00645FEE" w:rsidRPr="00CC170B">
        <w:t> hónap</w:t>
      </w:r>
      <w:r w:rsidRPr="00CC170B">
        <w:t xml:space="preserve"> volt.</w:t>
      </w:r>
    </w:p>
    <w:p w14:paraId="7775FA78" w14:textId="77777777" w:rsidR="00FC0D76" w:rsidRPr="00CC170B" w:rsidRDefault="00FC0D76" w:rsidP="00FC0D76"/>
    <w:p w14:paraId="0416BA05" w14:textId="77777777" w:rsidR="00FC0D76" w:rsidRPr="00CC170B" w:rsidRDefault="00FC0D76" w:rsidP="00FC0D76">
      <w:pPr>
        <w:rPr>
          <w:i/>
        </w:rPr>
      </w:pPr>
      <w:r w:rsidRPr="00CC170B">
        <w:rPr>
          <w:i/>
          <w:u w:val="single"/>
        </w:rPr>
        <w:t>Myeloid blasztos krízis</w:t>
      </w:r>
    </w:p>
    <w:p w14:paraId="09E431B6" w14:textId="77777777" w:rsidR="000607EF" w:rsidRPr="00CC170B" w:rsidRDefault="000607EF" w:rsidP="00FC0D76"/>
    <w:p w14:paraId="76EAFEFF" w14:textId="2336AFFB" w:rsidR="00FC0D76" w:rsidRPr="00CC170B" w:rsidRDefault="00FC0D76" w:rsidP="00FC0D76">
      <w:r w:rsidRPr="00CC170B">
        <w:t>Kétszázhatvan (260) myeloid blasztos krízis fázisban levő beteget vontak be a vizsgálatba. Kilencvenöt (37%) beteg részesült korábban kemoterápiában az akcelerált fázis vagy a blasztos krízis kezelésére („előkezelt betegek”), míg 165 (63%) beteg nem kapott kezelést („kezeletlen betegek”). Az első 37</w:t>
      </w:r>
      <w:r w:rsidR="000607EF" w:rsidRPr="00CC170B">
        <w:t> </w:t>
      </w:r>
      <w:r w:rsidRPr="00CC170B">
        <w:t>beteg kezdő dózisa 400 mg volt, a protokollt később módosították a nagyobb dózisok engedélyezése érdekében, így a fennmaradó 223</w:t>
      </w:r>
      <w:r w:rsidR="000607EF" w:rsidRPr="00CC170B">
        <w:t> </w:t>
      </w:r>
      <w:r w:rsidRPr="00CC170B">
        <w:t>beteg kezdő adagja 600 mg lett.</w:t>
      </w:r>
    </w:p>
    <w:p w14:paraId="30456AC8" w14:textId="77777777" w:rsidR="00FC0D76" w:rsidRPr="00CC170B" w:rsidRDefault="00FC0D76" w:rsidP="00FC0D76"/>
    <w:p w14:paraId="10B35CC7" w14:textId="0632A6C4" w:rsidR="00FC0D76" w:rsidRPr="00CC170B" w:rsidRDefault="00FC0D76" w:rsidP="00A82810">
      <w:r w:rsidRPr="00CC170B">
        <w:t>Az elsődleges hatásossági mutató – ugyanazokat a kritériumokat alkalmazva, mint az akcelerált fázisú vizsgálatban – a hematológiai válaszarány volt, melyet vagy a teljes hematológiai válasz, a leukaemia hiánya, vagy a krónikus CML fázisba való visszatérés jelentett. Ebben a vizsgálatban a betegek 31%-a ért el hematológiai választ (a kezeletlen betegek 36%-a, az előkezeltek 22%-a). A válaszarány a</w:t>
      </w:r>
      <w:r w:rsidR="000607EF" w:rsidRPr="00CC170B">
        <w:t xml:space="preserve"> </w:t>
      </w:r>
      <w:r w:rsidRPr="00CC170B">
        <w:t>600 mg dózissal kezelt betegek körében magasabb (33%) volt, mint a 400 mg-mal kezelteknél (16%, p</w:t>
      </w:r>
      <w:r w:rsidR="000607EF" w:rsidRPr="00CC170B">
        <w:t> </w:t>
      </w:r>
      <w:r w:rsidRPr="00CC170B">
        <w:t>=</w:t>
      </w:r>
      <w:r w:rsidR="000607EF" w:rsidRPr="00CC170B">
        <w:t> </w:t>
      </w:r>
      <w:r w:rsidRPr="00CC170B">
        <w:t>0,0220). A jelenleg becsült medián túlélés 7,7</w:t>
      </w:r>
      <w:r w:rsidR="00645FEE" w:rsidRPr="00CC170B">
        <w:t> hónap</w:t>
      </w:r>
      <w:r w:rsidRPr="00CC170B">
        <w:t xml:space="preserve"> volt a korábban kezeletlen, </w:t>
      </w:r>
      <w:r w:rsidR="00A82810">
        <w:t xml:space="preserve">és </w:t>
      </w:r>
      <w:r w:rsidR="00A82810" w:rsidRPr="00A82810">
        <w:t>4,7</w:t>
      </w:r>
      <w:r w:rsidR="00A82810">
        <w:t> hónap az</w:t>
      </w:r>
      <w:r w:rsidRPr="00CC170B">
        <w:t xml:space="preserve"> előkezelt betegek esetében.</w:t>
      </w:r>
    </w:p>
    <w:p w14:paraId="4BFAF6DD" w14:textId="77777777" w:rsidR="00FC0D76" w:rsidRPr="00CC170B" w:rsidRDefault="00FC0D76" w:rsidP="00FC0D76"/>
    <w:p w14:paraId="75DD5B71" w14:textId="77777777" w:rsidR="00FC0D76" w:rsidRPr="00CC170B" w:rsidRDefault="00FC0D76" w:rsidP="00FC0D76">
      <w:pPr>
        <w:rPr>
          <w:i/>
        </w:rPr>
      </w:pPr>
      <w:r w:rsidRPr="00CC170B">
        <w:rPr>
          <w:i/>
          <w:u w:val="single"/>
        </w:rPr>
        <w:t>Lymphoid blasztos krízis</w:t>
      </w:r>
    </w:p>
    <w:p w14:paraId="58622D57" w14:textId="77777777" w:rsidR="008908AC" w:rsidRPr="00CC170B" w:rsidRDefault="008908AC" w:rsidP="00FC0D76"/>
    <w:p w14:paraId="409A2A50" w14:textId="6A7E03EE" w:rsidR="00FC0D76" w:rsidRPr="00CC170B" w:rsidRDefault="00FC0D76" w:rsidP="00FC0D76">
      <w:r w:rsidRPr="00CC170B">
        <w:t>Korlátozott számú beteget vontak be I. fázisú vizsgálatokba (n</w:t>
      </w:r>
      <w:r w:rsidR="008908AC" w:rsidRPr="00CC170B">
        <w:t> </w:t>
      </w:r>
      <w:r w:rsidRPr="00CC170B">
        <w:t>=</w:t>
      </w:r>
      <w:r w:rsidR="008908AC" w:rsidRPr="00CC170B">
        <w:t> </w:t>
      </w:r>
      <w:r w:rsidRPr="00CC170B">
        <w:t>10). A hematológiai válaszarány</w:t>
      </w:r>
      <w:r w:rsidR="008908AC" w:rsidRPr="00CC170B">
        <w:t xml:space="preserve"> </w:t>
      </w:r>
      <w:r w:rsidRPr="00CC170B">
        <w:t xml:space="preserve">70%, </w:t>
      </w:r>
      <w:r w:rsidR="00A82810">
        <w:t xml:space="preserve">a válasz </w:t>
      </w:r>
      <w:r w:rsidRPr="00CC170B">
        <w:t>időtartama pedig 2–3</w:t>
      </w:r>
      <w:r w:rsidR="00645FEE" w:rsidRPr="00CC170B">
        <w:t> hónap</w:t>
      </w:r>
      <w:r w:rsidRPr="00CC170B">
        <w:t xml:space="preserve"> volt.</w:t>
      </w:r>
    </w:p>
    <w:p w14:paraId="7556087D" w14:textId="77777777" w:rsidR="00FC0D76" w:rsidRPr="00CC170B" w:rsidRDefault="00FC0D76" w:rsidP="00FC0D76"/>
    <w:p w14:paraId="0090A3EB" w14:textId="022B117A" w:rsidR="00FC0D76" w:rsidRPr="00CC170B" w:rsidRDefault="008908AC" w:rsidP="008908AC">
      <w:pPr>
        <w:tabs>
          <w:tab w:val="left" w:pos="567"/>
        </w:tabs>
        <w:rPr>
          <w:b/>
          <w:bCs/>
        </w:rPr>
      </w:pPr>
      <w:r w:rsidRPr="00CC170B">
        <w:rPr>
          <w:b/>
          <w:bCs/>
        </w:rPr>
        <w:t>3.</w:t>
      </w:r>
      <w:r w:rsidRPr="00CC170B">
        <w:rPr>
          <w:b/>
          <w:bCs/>
        </w:rPr>
        <w:tab/>
      </w:r>
      <w:r w:rsidR="00FC0D76" w:rsidRPr="00CC170B">
        <w:rPr>
          <w:b/>
          <w:bCs/>
        </w:rPr>
        <w:t>táblázat Terápiás válasz a felnőttek bevonásával végzett</w:t>
      </w:r>
      <w:r w:rsidR="00FC0D76" w:rsidRPr="00CC170B">
        <w:rPr>
          <w:b/>
          <w:bCs/>
          <w:spacing w:val="-18"/>
        </w:rPr>
        <w:t xml:space="preserve"> </w:t>
      </w:r>
      <w:r w:rsidR="00FC0D76" w:rsidRPr="00CC170B">
        <w:rPr>
          <w:b/>
          <w:bCs/>
        </w:rPr>
        <w:t>CML-vizsgálatokban</w:t>
      </w:r>
    </w:p>
    <w:p w14:paraId="47ED0F44" w14:textId="77777777" w:rsidR="00FC0D76" w:rsidRPr="00CC170B" w:rsidRDefault="00FC0D76" w:rsidP="00FC0D76">
      <w:pPr>
        <w:rPr>
          <w:bCs/>
        </w:rPr>
      </w:pP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20"/>
        <w:gridCol w:w="1885"/>
        <w:gridCol w:w="1891"/>
        <w:gridCol w:w="1676"/>
      </w:tblGrid>
      <w:tr w:rsidR="00FC0D76" w:rsidRPr="00CC170B" w14:paraId="56AD7746" w14:textId="77777777" w:rsidTr="00931686">
        <w:trPr>
          <w:trHeight w:val="1264"/>
          <w:tblHeader/>
        </w:trPr>
        <w:tc>
          <w:tcPr>
            <w:tcW w:w="3620" w:type="dxa"/>
          </w:tcPr>
          <w:p w14:paraId="6C6F7393" w14:textId="77777777" w:rsidR="00FC0D76" w:rsidRPr="00CC170B" w:rsidRDefault="00FC0D76" w:rsidP="008908AC">
            <w:pPr>
              <w:ind w:left="142"/>
              <w:rPr>
                <w:lang w:val="hu-HU"/>
              </w:rPr>
            </w:pPr>
          </w:p>
        </w:tc>
        <w:tc>
          <w:tcPr>
            <w:tcW w:w="1885" w:type="dxa"/>
          </w:tcPr>
          <w:p w14:paraId="0AB1CBD6" w14:textId="77777777" w:rsidR="00FC0D76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0110 vizsgálat</w:t>
            </w:r>
          </w:p>
          <w:p w14:paraId="51412766" w14:textId="77777777" w:rsidR="00180001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37</w:t>
            </w:r>
            <w:r w:rsidR="00645FEE" w:rsidRPr="00CC170B">
              <w:rPr>
                <w:lang w:val="hu-HU"/>
              </w:rPr>
              <w:t> hónap</w:t>
            </w:r>
            <w:r w:rsidRPr="00CC170B">
              <w:rPr>
                <w:lang w:val="hu-HU"/>
              </w:rPr>
              <w:t xml:space="preserve"> adata krónikus fázis </w:t>
            </w:r>
          </w:p>
          <w:p w14:paraId="61E586EA" w14:textId="5266EA8E" w:rsidR="00FC0D76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IFN-sikertelenség</w:t>
            </w:r>
          </w:p>
          <w:p w14:paraId="3D75A55C" w14:textId="167B4BC5" w:rsidR="00FC0D76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(n</w:t>
            </w:r>
            <w:r w:rsidR="008908AC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8908AC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532)</w:t>
            </w:r>
          </w:p>
        </w:tc>
        <w:tc>
          <w:tcPr>
            <w:tcW w:w="1891" w:type="dxa"/>
          </w:tcPr>
          <w:p w14:paraId="655598E8" w14:textId="77777777" w:rsidR="00FC0D76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0109 vizsgálat</w:t>
            </w:r>
          </w:p>
          <w:p w14:paraId="1FD7D7FF" w14:textId="66FBF394" w:rsidR="00FC0D76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40,5</w:t>
            </w:r>
            <w:r w:rsidR="00645FEE" w:rsidRPr="00CC170B">
              <w:rPr>
                <w:lang w:val="hu-HU"/>
              </w:rPr>
              <w:t> hónap</w:t>
            </w:r>
            <w:r w:rsidRPr="00CC170B">
              <w:rPr>
                <w:lang w:val="hu-HU"/>
              </w:rPr>
              <w:t xml:space="preserve"> adata akcelerált fázis (n</w:t>
            </w:r>
            <w:r w:rsidR="008908AC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8908AC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235)</w:t>
            </w:r>
          </w:p>
        </w:tc>
        <w:tc>
          <w:tcPr>
            <w:tcW w:w="1676" w:type="dxa"/>
          </w:tcPr>
          <w:p w14:paraId="368611B4" w14:textId="77777777" w:rsidR="00FC0D76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0102 vizsgálat</w:t>
            </w:r>
          </w:p>
          <w:p w14:paraId="5FC8D283" w14:textId="3640D2EB" w:rsidR="008908AC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38</w:t>
            </w:r>
            <w:r w:rsidR="00645FEE" w:rsidRPr="00CC170B">
              <w:rPr>
                <w:lang w:val="hu-HU"/>
              </w:rPr>
              <w:t> hónap</w:t>
            </w:r>
            <w:r w:rsidRPr="00CC170B">
              <w:rPr>
                <w:lang w:val="hu-HU"/>
              </w:rPr>
              <w:t xml:space="preserve"> adata myeloid blasztos krízis</w:t>
            </w:r>
          </w:p>
          <w:p w14:paraId="5061E57B" w14:textId="13167666" w:rsidR="00FC0D76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(n</w:t>
            </w:r>
            <w:r w:rsidR="008908AC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8908AC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260)</w:t>
            </w:r>
          </w:p>
        </w:tc>
      </w:tr>
      <w:tr w:rsidR="00FC0D76" w:rsidRPr="00CC170B" w14:paraId="1D01E523" w14:textId="77777777" w:rsidTr="00931686">
        <w:trPr>
          <w:trHeight w:val="252"/>
          <w:tblHeader/>
        </w:trPr>
        <w:tc>
          <w:tcPr>
            <w:tcW w:w="3620" w:type="dxa"/>
          </w:tcPr>
          <w:p w14:paraId="57C59F3B" w14:textId="77777777" w:rsidR="00FC0D76" w:rsidRPr="00CC170B" w:rsidRDefault="00FC0D76" w:rsidP="008908AC">
            <w:pPr>
              <w:ind w:left="142"/>
              <w:rPr>
                <w:lang w:val="hu-HU"/>
              </w:rPr>
            </w:pPr>
          </w:p>
        </w:tc>
        <w:tc>
          <w:tcPr>
            <w:tcW w:w="5452" w:type="dxa"/>
            <w:gridSpan w:val="3"/>
          </w:tcPr>
          <w:p w14:paraId="537A7C5D" w14:textId="6FE8475A" w:rsidR="00FC0D76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a betegek</w:t>
            </w:r>
            <w:r w:rsidR="008908AC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%-a (95%-os CI)</w:t>
            </w:r>
          </w:p>
        </w:tc>
      </w:tr>
      <w:tr w:rsidR="00FC0D76" w:rsidRPr="00CC170B" w14:paraId="6E6053C3" w14:textId="77777777" w:rsidTr="00430469">
        <w:trPr>
          <w:trHeight w:val="257"/>
        </w:trPr>
        <w:tc>
          <w:tcPr>
            <w:tcW w:w="3620" w:type="dxa"/>
            <w:tcBorders>
              <w:bottom w:val="nil"/>
            </w:tcBorders>
          </w:tcPr>
          <w:p w14:paraId="6CC03206" w14:textId="77777777" w:rsidR="00FC0D76" w:rsidRPr="00CC170B" w:rsidRDefault="00FC0D76" w:rsidP="008908AC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Hematológiai válasz</w:t>
            </w:r>
            <w:r w:rsidRPr="00CC170B">
              <w:rPr>
                <w:vertAlign w:val="superscript"/>
                <w:lang w:val="hu-HU"/>
              </w:rPr>
              <w:t>1</w:t>
            </w:r>
          </w:p>
        </w:tc>
        <w:tc>
          <w:tcPr>
            <w:tcW w:w="1885" w:type="dxa"/>
            <w:tcBorders>
              <w:bottom w:val="nil"/>
            </w:tcBorders>
          </w:tcPr>
          <w:p w14:paraId="244C06DE" w14:textId="77777777" w:rsidR="00FC0D76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95% (92,3; 96,3)</w:t>
            </w:r>
          </w:p>
        </w:tc>
        <w:tc>
          <w:tcPr>
            <w:tcW w:w="1891" w:type="dxa"/>
            <w:tcBorders>
              <w:bottom w:val="nil"/>
            </w:tcBorders>
          </w:tcPr>
          <w:p w14:paraId="13B041B3" w14:textId="77777777" w:rsidR="00FC0D76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71% (65,3; 77,2)</w:t>
            </w:r>
          </w:p>
        </w:tc>
        <w:tc>
          <w:tcPr>
            <w:tcW w:w="1676" w:type="dxa"/>
            <w:tcBorders>
              <w:bottom w:val="nil"/>
            </w:tcBorders>
          </w:tcPr>
          <w:p w14:paraId="6BD53BB4" w14:textId="77777777" w:rsidR="00FC0D76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31% (25,2; 36,8)</w:t>
            </w:r>
          </w:p>
        </w:tc>
      </w:tr>
      <w:tr w:rsidR="00FC0D76" w:rsidRPr="00CC170B" w14:paraId="75579576" w14:textId="77777777" w:rsidTr="00430469">
        <w:trPr>
          <w:trHeight w:val="253"/>
        </w:trPr>
        <w:tc>
          <w:tcPr>
            <w:tcW w:w="3620" w:type="dxa"/>
            <w:tcBorders>
              <w:top w:val="nil"/>
              <w:bottom w:val="nil"/>
            </w:tcBorders>
          </w:tcPr>
          <w:p w14:paraId="007A44EC" w14:textId="77777777" w:rsidR="00FC0D76" w:rsidRPr="00CC170B" w:rsidRDefault="00FC0D76" w:rsidP="00180001">
            <w:pPr>
              <w:ind w:left="284"/>
              <w:rPr>
                <w:lang w:val="hu-HU"/>
              </w:rPr>
            </w:pPr>
            <w:r w:rsidRPr="00CC170B">
              <w:rPr>
                <w:lang w:val="hu-HU"/>
              </w:rPr>
              <w:t>Teljes hematológiai válasz (CHR)</w:t>
            </w:r>
          </w:p>
        </w:tc>
        <w:tc>
          <w:tcPr>
            <w:tcW w:w="1885" w:type="dxa"/>
            <w:tcBorders>
              <w:top w:val="nil"/>
              <w:bottom w:val="nil"/>
            </w:tcBorders>
          </w:tcPr>
          <w:p w14:paraId="6DB2C68E" w14:textId="77777777" w:rsidR="00FC0D76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95%</w:t>
            </w:r>
          </w:p>
        </w:tc>
        <w:tc>
          <w:tcPr>
            <w:tcW w:w="1891" w:type="dxa"/>
            <w:tcBorders>
              <w:top w:val="nil"/>
              <w:bottom w:val="nil"/>
            </w:tcBorders>
          </w:tcPr>
          <w:p w14:paraId="7E7837F5" w14:textId="77777777" w:rsidR="00FC0D76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42%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14:paraId="6507BFD7" w14:textId="77777777" w:rsidR="00FC0D76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8%</w:t>
            </w:r>
          </w:p>
        </w:tc>
      </w:tr>
      <w:tr w:rsidR="00FC0D76" w:rsidRPr="00CC170B" w14:paraId="4FD6AAB2" w14:textId="77777777" w:rsidTr="00430469">
        <w:trPr>
          <w:trHeight w:val="506"/>
        </w:trPr>
        <w:tc>
          <w:tcPr>
            <w:tcW w:w="3620" w:type="dxa"/>
            <w:tcBorders>
              <w:top w:val="nil"/>
              <w:bottom w:val="nil"/>
            </w:tcBorders>
          </w:tcPr>
          <w:p w14:paraId="76C38D6D" w14:textId="60345ECE" w:rsidR="00FC0D76" w:rsidRPr="00CC170B" w:rsidRDefault="00FC0D76" w:rsidP="00180001">
            <w:pPr>
              <w:ind w:left="284"/>
              <w:rPr>
                <w:lang w:val="hu-HU"/>
              </w:rPr>
            </w:pPr>
            <w:r w:rsidRPr="00CC170B">
              <w:rPr>
                <w:lang w:val="hu-HU"/>
              </w:rPr>
              <w:t>Nincs leukaemiára utaló</w:t>
            </w:r>
            <w:r w:rsidR="008908AC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bizonyíték (</w:t>
            </w:r>
            <w:r w:rsidR="00A82810" w:rsidRPr="00931686">
              <w:rPr>
                <w:i/>
                <w:iCs/>
              </w:rPr>
              <w:t>n</w:t>
            </w:r>
            <w:r w:rsidR="00CD5860" w:rsidRPr="00931686">
              <w:rPr>
                <w:i/>
                <w:iCs/>
              </w:rPr>
              <w:t>o evidence of leukaemia</w:t>
            </w:r>
            <w:r w:rsidR="00CD5860" w:rsidRPr="00CC170B">
              <w:rPr>
                <w:lang w:val="hu-HU"/>
              </w:rPr>
              <w:t xml:space="preserve">, </w:t>
            </w:r>
            <w:r w:rsidRPr="00CC170B">
              <w:rPr>
                <w:lang w:val="hu-HU"/>
              </w:rPr>
              <w:t>NEL)</w:t>
            </w:r>
          </w:p>
        </w:tc>
        <w:tc>
          <w:tcPr>
            <w:tcW w:w="1885" w:type="dxa"/>
            <w:tcBorders>
              <w:top w:val="nil"/>
              <w:bottom w:val="nil"/>
            </w:tcBorders>
          </w:tcPr>
          <w:p w14:paraId="47158C54" w14:textId="77777777" w:rsidR="00FC0D76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nincs adat</w:t>
            </w:r>
          </w:p>
        </w:tc>
        <w:tc>
          <w:tcPr>
            <w:tcW w:w="1891" w:type="dxa"/>
            <w:tcBorders>
              <w:top w:val="nil"/>
              <w:bottom w:val="nil"/>
            </w:tcBorders>
          </w:tcPr>
          <w:p w14:paraId="20B54490" w14:textId="77777777" w:rsidR="00FC0D76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12%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14:paraId="65141E2E" w14:textId="77777777" w:rsidR="00FC0D76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5%</w:t>
            </w:r>
          </w:p>
        </w:tc>
      </w:tr>
      <w:tr w:rsidR="00FC0D76" w:rsidRPr="00CC170B" w14:paraId="26AE86E3" w14:textId="77777777" w:rsidTr="00430469">
        <w:trPr>
          <w:trHeight w:val="500"/>
        </w:trPr>
        <w:tc>
          <w:tcPr>
            <w:tcW w:w="3620" w:type="dxa"/>
            <w:tcBorders>
              <w:top w:val="nil"/>
            </w:tcBorders>
          </w:tcPr>
          <w:p w14:paraId="795F3C49" w14:textId="77777777" w:rsidR="00FC0D76" w:rsidRPr="00CC170B" w:rsidRDefault="00FC0D76" w:rsidP="00180001">
            <w:pPr>
              <w:ind w:left="284"/>
              <w:rPr>
                <w:lang w:val="hu-HU"/>
              </w:rPr>
            </w:pPr>
            <w:r w:rsidRPr="00CC170B">
              <w:rPr>
                <w:lang w:val="hu-HU"/>
              </w:rPr>
              <w:t>Visszatérés a krónikus fázisba</w:t>
            </w:r>
          </w:p>
          <w:p w14:paraId="5598C39D" w14:textId="5425E81D" w:rsidR="00FC0D76" w:rsidRPr="00CC170B" w:rsidRDefault="00FC0D76" w:rsidP="00180001">
            <w:pPr>
              <w:ind w:left="284"/>
              <w:rPr>
                <w:lang w:val="hu-HU"/>
              </w:rPr>
            </w:pPr>
            <w:r w:rsidRPr="00CC170B">
              <w:rPr>
                <w:lang w:val="hu-HU"/>
              </w:rPr>
              <w:t>(</w:t>
            </w:r>
            <w:r w:rsidR="00A82810" w:rsidRPr="00931686">
              <w:rPr>
                <w:i/>
                <w:iCs/>
              </w:rPr>
              <w:t>r</w:t>
            </w:r>
            <w:r w:rsidR="00CD5860" w:rsidRPr="00931686">
              <w:rPr>
                <w:i/>
                <w:iCs/>
              </w:rPr>
              <w:t>eturn to chronic phase</w:t>
            </w:r>
            <w:r w:rsidR="00A82810">
              <w:rPr>
                <w:lang w:val="hu-HU"/>
              </w:rPr>
              <w:t>,</w:t>
            </w:r>
            <w:r w:rsidR="00CD5860" w:rsidRPr="00931686">
              <w:rPr>
                <w:i/>
                <w:iCs/>
              </w:rPr>
              <w:t xml:space="preserve"> </w:t>
            </w:r>
            <w:r w:rsidRPr="00CC170B">
              <w:rPr>
                <w:lang w:val="hu-HU"/>
              </w:rPr>
              <w:t>RTC)</w:t>
            </w:r>
          </w:p>
        </w:tc>
        <w:tc>
          <w:tcPr>
            <w:tcW w:w="1885" w:type="dxa"/>
            <w:tcBorders>
              <w:top w:val="nil"/>
            </w:tcBorders>
          </w:tcPr>
          <w:p w14:paraId="60954B0E" w14:textId="77777777" w:rsidR="00FC0D76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nincs adat</w:t>
            </w:r>
          </w:p>
        </w:tc>
        <w:tc>
          <w:tcPr>
            <w:tcW w:w="1891" w:type="dxa"/>
            <w:tcBorders>
              <w:top w:val="nil"/>
            </w:tcBorders>
          </w:tcPr>
          <w:p w14:paraId="5A6D3CF0" w14:textId="77777777" w:rsidR="00FC0D76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17%</w:t>
            </w:r>
          </w:p>
        </w:tc>
        <w:tc>
          <w:tcPr>
            <w:tcW w:w="1676" w:type="dxa"/>
            <w:tcBorders>
              <w:top w:val="nil"/>
            </w:tcBorders>
          </w:tcPr>
          <w:p w14:paraId="2BC7AFC3" w14:textId="77777777" w:rsidR="00FC0D76" w:rsidRPr="00CC170B" w:rsidRDefault="00FC0D76" w:rsidP="008908AC">
            <w:pPr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18%</w:t>
            </w:r>
          </w:p>
        </w:tc>
      </w:tr>
      <w:tr w:rsidR="00FC0D76" w:rsidRPr="00CC170B" w14:paraId="7CCDB48A" w14:textId="77777777" w:rsidTr="00430469">
        <w:trPr>
          <w:trHeight w:val="258"/>
        </w:trPr>
        <w:tc>
          <w:tcPr>
            <w:tcW w:w="3620" w:type="dxa"/>
            <w:tcBorders>
              <w:bottom w:val="nil"/>
            </w:tcBorders>
          </w:tcPr>
          <w:p w14:paraId="10796B0A" w14:textId="77777777" w:rsidR="00FC0D76" w:rsidRPr="00CC170B" w:rsidRDefault="00FC0D76" w:rsidP="00931686">
            <w:pPr>
              <w:keepNext/>
              <w:widowControl/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Nagyfokú citogenetikai válasz</w:t>
            </w:r>
            <w:r w:rsidRPr="00CC170B">
              <w:rPr>
                <w:vertAlign w:val="superscript"/>
                <w:lang w:val="hu-HU"/>
              </w:rPr>
              <w:t>2</w:t>
            </w:r>
          </w:p>
        </w:tc>
        <w:tc>
          <w:tcPr>
            <w:tcW w:w="1885" w:type="dxa"/>
            <w:tcBorders>
              <w:bottom w:val="nil"/>
            </w:tcBorders>
          </w:tcPr>
          <w:p w14:paraId="1D0C176E" w14:textId="77777777" w:rsidR="00FC0D76" w:rsidRPr="00CC170B" w:rsidRDefault="00FC0D76" w:rsidP="00931686">
            <w:pPr>
              <w:keepNext/>
              <w:widowControl/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65% (61,2; 69,5)</w:t>
            </w:r>
          </w:p>
        </w:tc>
        <w:tc>
          <w:tcPr>
            <w:tcW w:w="1891" w:type="dxa"/>
            <w:tcBorders>
              <w:bottom w:val="nil"/>
            </w:tcBorders>
          </w:tcPr>
          <w:p w14:paraId="73EBA4A9" w14:textId="77777777" w:rsidR="00FC0D76" w:rsidRPr="00CC170B" w:rsidRDefault="00FC0D76" w:rsidP="00931686">
            <w:pPr>
              <w:keepNext/>
              <w:widowControl/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28% (22,0; 33,9)</w:t>
            </w:r>
          </w:p>
        </w:tc>
        <w:tc>
          <w:tcPr>
            <w:tcW w:w="1676" w:type="dxa"/>
            <w:tcBorders>
              <w:bottom w:val="nil"/>
            </w:tcBorders>
          </w:tcPr>
          <w:p w14:paraId="3218CF19" w14:textId="77777777" w:rsidR="00FC0D76" w:rsidRPr="00CC170B" w:rsidRDefault="00FC0D76" w:rsidP="00931686">
            <w:pPr>
              <w:keepNext/>
              <w:widowControl/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15% (11,2; 20,4)</w:t>
            </w:r>
          </w:p>
        </w:tc>
      </w:tr>
      <w:tr w:rsidR="00FC0D76" w:rsidRPr="00CC170B" w14:paraId="48488DFA" w14:textId="77777777" w:rsidTr="00430469">
        <w:trPr>
          <w:trHeight w:val="247"/>
        </w:trPr>
        <w:tc>
          <w:tcPr>
            <w:tcW w:w="3620" w:type="dxa"/>
            <w:tcBorders>
              <w:top w:val="nil"/>
              <w:bottom w:val="nil"/>
            </w:tcBorders>
          </w:tcPr>
          <w:p w14:paraId="7A9416C1" w14:textId="77777777" w:rsidR="00FC0D76" w:rsidRPr="00CC170B" w:rsidRDefault="00FC0D76" w:rsidP="00931686">
            <w:pPr>
              <w:keepNext/>
              <w:widowControl/>
              <w:ind w:left="284"/>
              <w:rPr>
                <w:lang w:val="hu-HU"/>
              </w:rPr>
            </w:pPr>
            <w:r w:rsidRPr="00CC170B">
              <w:rPr>
                <w:lang w:val="hu-HU"/>
              </w:rPr>
              <w:t>Teljes</w:t>
            </w:r>
          </w:p>
        </w:tc>
        <w:tc>
          <w:tcPr>
            <w:tcW w:w="1885" w:type="dxa"/>
            <w:tcBorders>
              <w:top w:val="nil"/>
              <w:bottom w:val="nil"/>
            </w:tcBorders>
          </w:tcPr>
          <w:p w14:paraId="1E39D770" w14:textId="77777777" w:rsidR="00FC0D76" w:rsidRPr="00CC170B" w:rsidRDefault="00FC0D76" w:rsidP="00931686">
            <w:pPr>
              <w:keepNext/>
              <w:widowControl/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53%</w:t>
            </w:r>
          </w:p>
        </w:tc>
        <w:tc>
          <w:tcPr>
            <w:tcW w:w="1891" w:type="dxa"/>
            <w:tcBorders>
              <w:top w:val="nil"/>
              <w:bottom w:val="nil"/>
            </w:tcBorders>
          </w:tcPr>
          <w:p w14:paraId="2C0A97C4" w14:textId="77777777" w:rsidR="00FC0D76" w:rsidRPr="00CC170B" w:rsidRDefault="00FC0D76" w:rsidP="00931686">
            <w:pPr>
              <w:keepNext/>
              <w:widowControl/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20%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14:paraId="2D6CF6E6" w14:textId="77777777" w:rsidR="00FC0D76" w:rsidRPr="00CC170B" w:rsidRDefault="00FC0D76" w:rsidP="00931686">
            <w:pPr>
              <w:keepNext/>
              <w:widowControl/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7%</w:t>
            </w:r>
          </w:p>
        </w:tc>
      </w:tr>
      <w:tr w:rsidR="00FC0D76" w:rsidRPr="00CC170B" w14:paraId="62F7B0FA" w14:textId="77777777" w:rsidTr="00430469">
        <w:trPr>
          <w:trHeight w:val="258"/>
        </w:trPr>
        <w:tc>
          <w:tcPr>
            <w:tcW w:w="3620" w:type="dxa"/>
            <w:tcBorders>
              <w:top w:val="nil"/>
              <w:bottom w:val="nil"/>
            </w:tcBorders>
          </w:tcPr>
          <w:p w14:paraId="227B810B" w14:textId="77777777" w:rsidR="00FC0D76" w:rsidRPr="00CC170B" w:rsidRDefault="00FC0D76" w:rsidP="00931686">
            <w:pPr>
              <w:keepNext/>
              <w:widowControl/>
              <w:ind w:left="284"/>
              <w:rPr>
                <w:lang w:val="hu-HU"/>
              </w:rPr>
            </w:pPr>
            <w:r w:rsidRPr="00CC170B">
              <w:rPr>
                <w:lang w:val="hu-HU"/>
              </w:rPr>
              <w:t>(Megerősített</w:t>
            </w:r>
            <w:r w:rsidRPr="00CC170B">
              <w:rPr>
                <w:vertAlign w:val="superscript"/>
                <w:lang w:val="hu-HU"/>
              </w:rPr>
              <w:t>3</w:t>
            </w:r>
            <w:r w:rsidRPr="00CC170B">
              <w:rPr>
                <w:lang w:val="hu-HU"/>
              </w:rPr>
              <w:t>) (95%-os CI)</w:t>
            </w:r>
          </w:p>
        </w:tc>
        <w:tc>
          <w:tcPr>
            <w:tcW w:w="1885" w:type="dxa"/>
            <w:tcBorders>
              <w:top w:val="nil"/>
              <w:bottom w:val="nil"/>
            </w:tcBorders>
          </w:tcPr>
          <w:p w14:paraId="771258F0" w14:textId="77777777" w:rsidR="00FC0D76" w:rsidRPr="00CC170B" w:rsidRDefault="00FC0D76" w:rsidP="00931686">
            <w:pPr>
              <w:keepNext/>
              <w:widowControl/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(43%) [38,6; 47,2]</w:t>
            </w:r>
          </w:p>
        </w:tc>
        <w:tc>
          <w:tcPr>
            <w:tcW w:w="1891" w:type="dxa"/>
            <w:tcBorders>
              <w:top w:val="nil"/>
              <w:bottom w:val="nil"/>
            </w:tcBorders>
          </w:tcPr>
          <w:p w14:paraId="15EAD624" w14:textId="77777777" w:rsidR="00FC0D76" w:rsidRPr="00CC170B" w:rsidRDefault="00FC0D76" w:rsidP="00931686">
            <w:pPr>
              <w:keepNext/>
              <w:widowControl/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(16%) [11,3; 21,0]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14:paraId="6D25ECBB" w14:textId="77777777" w:rsidR="00FC0D76" w:rsidRPr="00CC170B" w:rsidRDefault="00FC0D76" w:rsidP="00931686">
            <w:pPr>
              <w:keepNext/>
              <w:widowControl/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(2%) [0,6; 4,4]</w:t>
            </w:r>
          </w:p>
        </w:tc>
      </w:tr>
      <w:tr w:rsidR="00FC0D76" w:rsidRPr="00CC170B" w14:paraId="0FDE3893" w14:textId="77777777" w:rsidTr="00430469">
        <w:trPr>
          <w:trHeight w:val="248"/>
        </w:trPr>
        <w:tc>
          <w:tcPr>
            <w:tcW w:w="3620" w:type="dxa"/>
            <w:tcBorders>
              <w:top w:val="nil"/>
            </w:tcBorders>
          </w:tcPr>
          <w:p w14:paraId="534D4827" w14:textId="77777777" w:rsidR="00FC0D76" w:rsidRPr="00CC170B" w:rsidRDefault="00FC0D76" w:rsidP="00931686">
            <w:pPr>
              <w:keepNext/>
              <w:widowControl/>
              <w:ind w:left="284"/>
              <w:rPr>
                <w:lang w:val="hu-HU"/>
              </w:rPr>
            </w:pPr>
            <w:r w:rsidRPr="00CC170B">
              <w:rPr>
                <w:lang w:val="hu-HU"/>
              </w:rPr>
              <w:t>Részleges</w:t>
            </w:r>
          </w:p>
        </w:tc>
        <w:tc>
          <w:tcPr>
            <w:tcW w:w="1885" w:type="dxa"/>
            <w:tcBorders>
              <w:top w:val="nil"/>
            </w:tcBorders>
          </w:tcPr>
          <w:p w14:paraId="56D5D822" w14:textId="77777777" w:rsidR="00FC0D76" w:rsidRPr="00CC170B" w:rsidRDefault="00FC0D76" w:rsidP="00931686">
            <w:pPr>
              <w:keepNext/>
              <w:widowControl/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12%</w:t>
            </w:r>
          </w:p>
        </w:tc>
        <w:tc>
          <w:tcPr>
            <w:tcW w:w="1891" w:type="dxa"/>
            <w:tcBorders>
              <w:top w:val="nil"/>
            </w:tcBorders>
          </w:tcPr>
          <w:p w14:paraId="64D173A1" w14:textId="77777777" w:rsidR="00FC0D76" w:rsidRPr="00CC170B" w:rsidRDefault="00FC0D76" w:rsidP="00931686">
            <w:pPr>
              <w:keepNext/>
              <w:widowControl/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7%</w:t>
            </w:r>
          </w:p>
        </w:tc>
        <w:tc>
          <w:tcPr>
            <w:tcW w:w="1676" w:type="dxa"/>
            <w:tcBorders>
              <w:top w:val="nil"/>
            </w:tcBorders>
          </w:tcPr>
          <w:p w14:paraId="524DDB2D" w14:textId="77777777" w:rsidR="00FC0D76" w:rsidRPr="00CC170B" w:rsidRDefault="00FC0D76" w:rsidP="00931686">
            <w:pPr>
              <w:keepNext/>
              <w:widowControl/>
              <w:ind w:left="142"/>
              <w:jc w:val="center"/>
              <w:rPr>
                <w:lang w:val="hu-HU"/>
              </w:rPr>
            </w:pPr>
            <w:r w:rsidRPr="00CC170B">
              <w:rPr>
                <w:lang w:val="hu-HU"/>
              </w:rPr>
              <w:t>8%</w:t>
            </w:r>
          </w:p>
        </w:tc>
      </w:tr>
      <w:tr w:rsidR="00FC0D76" w:rsidRPr="00CC170B" w14:paraId="7E0444B4" w14:textId="77777777" w:rsidTr="00430469">
        <w:trPr>
          <w:trHeight w:val="3525"/>
        </w:trPr>
        <w:tc>
          <w:tcPr>
            <w:tcW w:w="9072" w:type="dxa"/>
            <w:gridSpan w:val="4"/>
            <w:tcBorders>
              <w:left w:val="single" w:sz="2" w:space="0" w:color="000000"/>
              <w:right w:val="single" w:sz="2" w:space="0" w:color="000000"/>
            </w:tcBorders>
          </w:tcPr>
          <w:p w14:paraId="5B2D101B" w14:textId="3F1BD83B" w:rsidR="00FC0D76" w:rsidRPr="00CC170B" w:rsidRDefault="00CD5860" w:rsidP="00486ABB">
            <w:pPr>
              <w:rPr>
                <w:b/>
                <w:lang w:val="hu-HU"/>
              </w:rPr>
            </w:pPr>
            <w:r w:rsidRPr="00CC170B">
              <w:rPr>
                <w:b/>
                <w:vertAlign w:val="superscript"/>
                <w:lang w:val="hu-HU"/>
              </w:rPr>
              <w:t>1</w:t>
            </w:r>
            <w:r w:rsidRPr="00CC170B">
              <w:rPr>
                <w:b/>
                <w:lang w:val="hu-HU"/>
              </w:rPr>
              <w:t>A h</w:t>
            </w:r>
            <w:r w:rsidR="00FC0D76" w:rsidRPr="00CC170B">
              <w:rPr>
                <w:b/>
                <w:lang w:val="hu-HU"/>
              </w:rPr>
              <w:t xml:space="preserve">ematológiai válasz kritériumai (minden választ meg kell erősíteni kell </w:t>
            </w:r>
            <w:r w:rsidR="00FC0D76" w:rsidRPr="00CC170B">
              <w:rPr>
                <w:rFonts w:ascii="Symbol" w:hAnsi="Symbol"/>
                <w:lang w:val="hu-HU"/>
              </w:rPr>
              <w:t></w:t>
            </w:r>
            <w:r w:rsidR="00FC0D76" w:rsidRPr="00CC170B">
              <w:rPr>
                <w:b/>
                <w:lang w:val="hu-HU"/>
              </w:rPr>
              <w:t>4 hét múlva):</w:t>
            </w:r>
          </w:p>
          <w:p w14:paraId="221A1EBD" w14:textId="58B668EE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CHR (</w:t>
            </w:r>
            <w:r w:rsidRPr="00931686">
              <w:rPr>
                <w:i/>
                <w:lang w:val="hu-HU"/>
              </w:rPr>
              <w:t>complete haematological response</w:t>
            </w:r>
            <w:r w:rsidRPr="00CC170B">
              <w:rPr>
                <w:lang w:val="hu-HU"/>
              </w:rPr>
              <w:t>): a 0110 vizsgálatban: fehérvérsejtszám &lt;10</w:t>
            </w:r>
            <w:r w:rsidR="00A82810">
              <w:rPr>
                <w:lang w:val="hu-HU"/>
              </w:rPr>
              <w:t> G</w:t>
            </w:r>
            <w:r w:rsidRPr="00CC170B">
              <w:rPr>
                <w:lang w:val="hu-HU"/>
              </w:rPr>
              <w:t>/l,</w:t>
            </w:r>
            <w:r w:rsidRPr="00CC170B">
              <w:rPr>
                <w:spacing w:val="-18"/>
                <w:lang w:val="hu-HU"/>
              </w:rPr>
              <w:t xml:space="preserve"> </w:t>
            </w:r>
            <w:r w:rsidRPr="00CC170B">
              <w:rPr>
                <w:lang w:val="hu-HU"/>
              </w:rPr>
              <w:t>thrombocytaszám</w:t>
            </w:r>
            <w:r w:rsidR="00FD69E8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&lt;450</w:t>
            </w:r>
            <w:r w:rsidR="00FD69E8" w:rsidRPr="00CC170B">
              <w:rPr>
                <w:lang w:val="hu-HU"/>
              </w:rPr>
              <w:t> </w:t>
            </w:r>
            <w:r w:rsidR="00A82810">
              <w:rPr>
                <w:lang w:val="hu-HU"/>
              </w:rPr>
              <w:t>G</w:t>
            </w:r>
            <w:r w:rsidRPr="00CC170B">
              <w:rPr>
                <w:lang w:val="hu-HU"/>
              </w:rPr>
              <w:t>/l, myelocyta + metamyelocyta &lt;5% a vérben, nincs blaszt és promyelocyta a vérben,</w:t>
            </w:r>
            <w:r w:rsidRPr="00CC170B">
              <w:rPr>
                <w:spacing w:val="-12"/>
                <w:lang w:val="hu-HU"/>
              </w:rPr>
              <w:t xml:space="preserve"> </w:t>
            </w:r>
            <w:r w:rsidRPr="00CC170B">
              <w:rPr>
                <w:lang w:val="hu-HU"/>
              </w:rPr>
              <w:t>basophil</w:t>
            </w:r>
            <w:r w:rsidR="00FD69E8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 xml:space="preserve">&lt;20%, nincs extramedullaris érintettség); a 0102 és 0109 vizsgálatban: ANC </w:t>
            </w:r>
            <w:r w:rsidRPr="00CC170B">
              <w:rPr>
                <w:rFonts w:ascii="Symbol" w:hAnsi="Symbol"/>
                <w:lang w:val="hu-HU"/>
              </w:rPr>
              <w:t></w:t>
            </w:r>
            <w:r w:rsidRPr="00CC170B">
              <w:rPr>
                <w:lang w:val="hu-HU"/>
              </w:rPr>
              <w:t>1,5</w:t>
            </w:r>
            <w:r w:rsidR="00A82810">
              <w:rPr>
                <w:lang w:val="hu-HU"/>
              </w:rPr>
              <w:t> G</w:t>
            </w:r>
            <w:r w:rsidRPr="00CC170B">
              <w:rPr>
                <w:lang w:val="hu-HU"/>
              </w:rPr>
              <w:t>/l, thrombocytaszám</w:t>
            </w:r>
            <w:r w:rsidR="00FD69E8" w:rsidRPr="00CC170B">
              <w:rPr>
                <w:lang w:val="hu-HU"/>
              </w:rPr>
              <w:t xml:space="preserve"> </w:t>
            </w:r>
            <w:r w:rsidRPr="00CC170B">
              <w:rPr>
                <w:rFonts w:ascii="Symbol" w:hAnsi="Symbol"/>
                <w:lang w:val="hu-HU"/>
              </w:rPr>
              <w:t></w:t>
            </w:r>
            <w:r w:rsidRPr="00CC170B">
              <w:rPr>
                <w:lang w:val="hu-HU"/>
              </w:rPr>
              <w:t>100</w:t>
            </w:r>
            <w:r w:rsidR="00A82810">
              <w:rPr>
                <w:lang w:val="hu-HU"/>
              </w:rPr>
              <w:t> G</w:t>
            </w:r>
            <w:r w:rsidRPr="00CC170B">
              <w:rPr>
                <w:lang w:val="hu-HU"/>
              </w:rPr>
              <w:t>/l, nincs blaszt a vérben, blaszt a csontvelőben &lt;5%, és nincs extramedullaris betegség].</w:t>
            </w:r>
          </w:p>
          <w:p w14:paraId="5F19FFEA" w14:textId="2FDE9E57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NEL (</w:t>
            </w:r>
            <w:r w:rsidRPr="00527835">
              <w:rPr>
                <w:i/>
                <w:lang w:val="hu-HU"/>
              </w:rPr>
              <w:t>no evidence of leukaemia</w:t>
            </w:r>
            <w:r w:rsidRPr="00CC170B">
              <w:rPr>
                <w:lang w:val="hu-HU"/>
              </w:rPr>
              <w:t xml:space="preserve">): ugyanazok a kritériumok, mint a CHR esetében, de ANC </w:t>
            </w:r>
            <w:r w:rsidRPr="00CC170B">
              <w:rPr>
                <w:rFonts w:ascii="Symbol" w:hAnsi="Symbol"/>
                <w:lang w:val="hu-HU"/>
              </w:rPr>
              <w:t></w:t>
            </w:r>
            <w:r w:rsidRPr="00CC170B">
              <w:rPr>
                <w:lang w:val="hu-HU"/>
              </w:rPr>
              <w:t>1</w:t>
            </w:r>
            <w:r w:rsidR="00FD69E8" w:rsidRPr="00CC170B">
              <w:rPr>
                <w:lang w:val="hu-HU"/>
              </w:rPr>
              <w:t> </w:t>
            </w:r>
            <w:r w:rsidR="00A82810">
              <w:rPr>
                <w:lang w:val="hu-HU"/>
              </w:rPr>
              <w:t>G</w:t>
            </w:r>
            <w:r w:rsidRPr="00CC170B">
              <w:rPr>
                <w:lang w:val="hu-HU"/>
              </w:rPr>
              <w:t xml:space="preserve">/l, és a thrombocytaszám </w:t>
            </w:r>
            <w:r w:rsidRPr="00CC170B">
              <w:rPr>
                <w:rFonts w:ascii="Symbol" w:hAnsi="Symbol"/>
                <w:lang w:val="hu-HU"/>
              </w:rPr>
              <w:t></w:t>
            </w:r>
            <w:r w:rsidRPr="00CC170B">
              <w:rPr>
                <w:lang w:val="hu-HU"/>
              </w:rPr>
              <w:t>20</w:t>
            </w:r>
            <w:r w:rsidR="00761078" w:rsidRPr="00CC170B">
              <w:rPr>
                <w:lang w:val="hu-HU"/>
              </w:rPr>
              <w:t> </w:t>
            </w:r>
            <w:r w:rsidR="00A82810">
              <w:rPr>
                <w:lang w:val="hu-HU"/>
              </w:rPr>
              <w:t>G</w:t>
            </w:r>
            <w:r w:rsidRPr="00CC170B">
              <w:rPr>
                <w:lang w:val="hu-HU"/>
              </w:rPr>
              <w:t>/l (csak a 0102 és 0109 vizsgálatban)</w:t>
            </w:r>
            <w:r w:rsidR="00A82810">
              <w:rPr>
                <w:lang w:val="hu-HU"/>
              </w:rPr>
              <w:t>.</w:t>
            </w:r>
          </w:p>
          <w:p w14:paraId="037BAA40" w14:textId="277892DF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RTC (</w:t>
            </w:r>
            <w:r w:rsidRPr="00931686">
              <w:rPr>
                <w:i/>
                <w:lang w:val="hu-HU"/>
              </w:rPr>
              <w:t>return to chronic phase</w:t>
            </w:r>
            <w:r w:rsidRPr="00CC170B">
              <w:rPr>
                <w:lang w:val="hu-HU"/>
              </w:rPr>
              <w:t>): &lt;15% blaszt, illetve &lt;30% blaszt + promyelocyta a csontvelőben és a perifériás vérben, &lt;20% basophil sejt a perifériás vérben, a lépet és a májat érintő elváltozásokon kívül nincs jelen extramedullaris betegség (csak a 0102 és 0109 vizsgálatban).</w:t>
            </w:r>
          </w:p>
          <w:p w14:paraId="3A3EFE7D" w14:textId="57A737F6" w:rsidR="00FC0D76" w:rsidRPr="00CC170B" w:rsidRDefault="00CD5860" w:rsidP="00486ABB">
            <w:pPr>
              <w:rPr>
                <w:b/>
                <w:lang w:val="hu-HU"/>
              </w:rPr>
            </w:pPr>
            <w:r w:rsidRPr="00CC170B">
              <w:rPr>
                <w:b/>
                <w:vertAlign w:val="superscript"/>
                <w:lang w:val="hu-HU"/>
              </w:rPr>
              <w:t>2</w:t>
            </w:r>
            <w:r w:rsidR="00A82810">
              <w:rPr>
                <w:b/>
                <w:lang w:val="hu-HU"/>
              </w:rPr>
              <w:t>A c</w:t>
            </w:r>
            <w:r w:rsidR="00FC0D76" w:rsidRPr="00CC170B">
              <w:rPr>
                <w:b/>
                <w:lang w:val="hu-HU"/>
              </w:rPr>
              <w:t>itogenetikai válasz kritériumai:</w:t>
            </w:r>
          </w:p>
          <w:p w14:paraId="1DB5E5D1" w14:textId="7E8C85DD" w:rsidR="00FC0D76" w:rsidRPr="00CC170B" w:rsidRDefault="00FC0D76" w:rsidP="00486ABB">
            <w:pPr>
              <w:rPr>
                <w:lang w:val="hu-HU"/>
              </w:rPr>
            </w:pPr>
            <w:r w:rsidRPr="00CC170B">
              <w:rPr>
                <w:lang w:val="hu-HU"/>
              </w:rPr>
              <w:t>A nagyfokú citogenetikai válasz a teljes és a részleges válasz</w:t>
            </w:r>
            <w:r w:rsidR="00A82810">
              <w:rPr>
                <w:lang w:val="hu-HU"/>
              </w:rPr>
              <w:t>t</w:t>
            </w:r>
            <w:r w:rsidRPr="00CC170B">
              <w:rPr>
                <w:lang w:val="hu-HU"/>
              </w:rPr>
              <w:t xml:space="preserve"> együttese</w:t>
            </w:r>
            <w:r w:rsidR="00A82810">
              <w:rPr>
                <w:lang w:val="hu-HU"/>
              </w:rPr>
              <w:t>n jelenti</w:t>
            </w:r>
            <w:r w:rsidRPr="00CC170B">
              <w:rPr>
                <w:lang w:val="hu-HU"/>
              </w:rPr>
              <w:t>: teljes: (0% Ph+ metafázisok), részleges (1–35%)</w:t>
            </w:r>
            <w:r w:rsidR="00A82810">
              <w:rPr>
                <w:lang w:val="hu-HU"/>
              </w:rPr>
              <w:t>.</w:t>
            </w:r>
          </w:p>
          <w:p w14:paraId="663E45AF" w14:textId="07179665" w:rsidR="00FC0D76" w:rsidRPr="00CC170B" w:rsidRDefault="00761078" w:rsidP="00A82810">
            <w:pPr>
              <w:rPr>
                <w:lang w:val="hu-HU"/>
              </w:rPr>
            </w:pPr>
            <w:r w:rsidRPr="00CC170B">
              <w:rPr>
                <w:vertAlign w:val="superscript"/>
                <w:lang w:val="hu-HU"/>
              </w:rPr>
              <w:t>3</w:t>
            </w:r>
            <w:r w:rsidR="00A82810">
              <w:rPr>
                <w:lang w:val="hu-HU"/>
              </w:rPr>
              <w:t>A</w:t>
            </w:r>
            <w:r w:rsidR="00FC0D76" w:rsidRPr="00CC170B">
              <w:rPr>
                <w:lang w:val="hu-HU"/>
              </w:rPr>
              <w:t>z első csontvelővizsgálat után legalább egy</w:t>
            </w:r>
            <w:r w:rsidR="00645FEE" w:rsidRPr="00CC170B">
              <w:rPr>
                <w:lang w:val="hu-HU"/>
              </w:rPr>
              <w:t> hónap</w:t>
            </w:r>
            <w:r w:rsidR="00FC0D76" w:rsidRPr="00CC170B">
              <w:rPr>
                <w:lang w:val="hu-HU"/>
              </w:rPr>
              <w:t>pal végzett második citogenetikai csontvelő</w:t>
            </w:r>
            <w:r w:rsidR="00A82810">
              <w:rPr>
                <w:lang w:val="hu-HU"/>
              </w:rPr>
              <w:t>vizsgálat megerősítette a t</w:t>
            </w:r>
            <w:r w:rsidR="00A82810" w:rsidRPr="00A82810">
              <w:rPr>
                <w:lang w:val="hu-HU"/>
              </w:rPr>
              <w:t>eljes citogenetikai válasz</w:t>
            </w:r>
            <w:r w:rsidR="00A82810">
              <w:rPr>
                <w:lang w:val="hu-HU"/>
              </w:rPr>
              <w:t>t</w:t>
            </w:r>
            <w:r w:rsidR="00FC0D76" w:rsidRPr="00CC170B">
              <w:rPr>
                <w:lang w:val="hu-HU"/>
              </w:rPr>
              <w:t>.</w:t>
            </w:r>
          </w:p>
        </w:tc>
      </w:tr>
    </w:tbl>
    <w:p w14:paraId="3B99AD0D" w14:textId="77777777" w:rsidR="00FC0D76" w:rsidRPr="00CC170B" w:rsidRDefault="00FC0D76" w:rsidP="00FC0D76">
      <w:pPr>
        <w:rPr>
          <w:bCs/>
        </w:rPr>
      </w:pPr>
    </w:p>
    <w:p w14:paraId="1190A8F0" w14:textId="77777777" w:rsidR="00FC0D76" w:rsidRPr="00CC170B" w:rsidRDefault="00FC0D76" w:rsidP="00FC0D76">
      <w:pPr>
        <w:rPr>
          <w:i/>
        </w:rPr>
      </w:pPr>
      <w:r w:rsidRPr="00CC170B">
        <w:rPr>
          <w:i/>
          <w:u w:val="single"/>
        </w:rPr>
        <w:t>Gyermekek és serdülők</w:t>
      </w:r>
    </w:p>
    <w:p w14:paraId="65E0C8BB" w14:textId="77777777" w:rsidR="00761078" w:rsidRPr="00CC170B" w:rsidRDefault="00761078" w:rsidP="00FC0D76"/>
    <w:p w14:paraId="797310AF" w14:textId="43C6551F" w:rsidR="00FC0D76" w:rsidRPr="00CC170B" w:rsidRDefault="00FC0D76" w:rsidP="00FC0D76">
      <w:r w:rsidRPr="00CC170B">
        <w:t>Összesen 26, 18</w:t>
      </w:r>
      <w:r w:rsidR="00174B0E">
        <w:t> </w:t>
      </w:r>
      <w:r w:rsidRPr="00CC170B">
        <w:t>év alatti</w:t>
      </w:r>
      <w:r w:rsidR="00A82810">
        <w:t>,</w:t>
      </w:r>
      <w:r w:rsidRPr="00CC170B">
        <w:t xml:space="preserve"> krónikus fázisú (n</w:t>
      </w:r>
      <w:r w:rsidR="00761078" w:rsidRPr="00CC170B">
        <w:t> </w:t>
      </w:r>
      <w:r w:rsidRPr="00CC170B">
        <w:t>=</w:t>
      </w:r>
      <w:r w:rsidR="00761078" w:rsidRPr="00CC170B">
        <w:t> </w:t>
      </w:r>
      <w:r w:rsidRPr="00CC170B">
        <w:t>11) vagy blasztos krízisben lévő CML-es,</w:t>
      </w:r>
      <w:r w:rsidRPr="00CC170B">
        <w:rPr>
          <w:spacing w:val="-26"/>
        </w:rPr>
        <w:t xml:space="preserve"> </w:t>
      </w:r>
      <w:r w:rsidRPr="00CC170B">
        <w:t>illetve</w:t>
      </w:r>
      <w:r w:rsidR="00430469" w:rsidRPr="00CC170B">
        <w:t xml:space="preserve"> </w:t>
      </w:r>
      <w:r w:rsidRPr="00CC170B">
        <w:t>Ph+ akut leukaemiás (n</w:t>
      </w:r>
      <w:r w:rsidR="00761078" w:rsidRPr="00CC170B">
        <w:t> </w:t>
      </w:r>
      <w:r w:rsidRPr="00CC170B">
        <w:t>=</w:t>
      </w:r>
      <w:r w:rsidR="00761078" w:rsidRPr="00CC170B">
        <w:t> </w:t>
      </w:r>
      <w:r w:rsidRPr="00CC170B">
        <w:t>15) gyermek és serdülő beteget vontak be a dóziseszkalációs I. fázisú vizsgálatba. Többszörösen előkezelt betegek voltak, 46%-uk átesett már csontvelő-transzplantáción, illetve 73%-uk előzetesen kombinált kemoterápiát kapott. A betegek</w:t>
      </w:r>
      <w:r w:rsidR="00A82810">
        <w:t xml:space="preserve"> imatinib-dózisa</w:t>
      </w:r>
      <w:r w:rsidRPr="00CC170B">
        <w:t xml:space="preserve"> 260 mg/m</w:t>
      </w:r>
      <w:r w:rsidRPr="00CC170B">
        <w:rPr>
          <w:vertAlign w:val="superscript"/>
        </w:rPr>
        <w:t>2</w:t>
      </w:r>
      <w:r w:rsidRPr="00CC170B">
        <w:t>/nap (n</w:t>
      </w:r>
      <w:r w:rsidR="00174B0E">
        <w:t> </w:t>
      </w:r>
      <w:r w:rsidRPr="00CC170B">
        <w:t>=</w:t>
      </w:r>
      <w:r w:rsidR="00174B0E">
        <w:t> </w:t>
      </w:r>
      <w:r w:rsidRPr="00CC170B">
        <w:t>5),</w:t>
      </w:r>
      <w:r w:rsidR="00430469" w:rsidRPr="00CC170B">
        <w:t xml:space="preserve"> </w:t>
      </w:r>
      <w:r w:rsidRPr="00CC170B">
        <w:t>340 mg/m</w:t>
      </w:r>
      <w:r w:rsidRPr="00CC170B">
        <w:rPr>
          <w:vertAlign w:val="superscript"/>
        </w:rPr>
        <w:t>2</w:t>
      </w:r>
      <w:r w:rsidRPr="00CC170B">
        <w:t>/nap (n</w:t>
      </w:r>
      <w:r w:rsidR="00174B0E">
        <w:t> </w:t>
      </w:r>
      <w:r w:rsidRPr="00CC170B">
        <w:t>=</w:t>
      </w:r>
      <w:r w:rsidR="0015750B">
        <w:t> </w:t>
      </w:r>
      <w:r w:rsidRPr="00CC170B">
        <w:t>9), 440 mg/m</w:t>
      </w:r>
      <w:r w:rsidRPr="00CC170B">
        <w:rPr>
          <w:vertAlign w:val="superscript"/>
        </w:rPr>
        <w:t>2</w:t>
      </w:r>
      <w:r w:rsidRPr="00CC170B">
        <w:t>/nap (n</w:t>
      </w:r>
      <w:r w:rsidR="00174B0E">
        <w:t> </w:t>
      </w:r>
      <w:r w:rsidRPr="00CC170B">
        <w:t>=</w:t>
      </w:r>
      <w:r w:rsidR="00174B0E">
        <w:t> </w:t>
      </w:r>
      <w:r w:rsidRPr="00CC170B">
        <w:t>7), illetve 570 mg/m</w:t>
      </w:r>
      <w:r w:rsidRPr="00CC170B">
        <w:rPr>
          <w:vertAlign w:val="superscript"/>
        </w:rPr>
        <w:t>2</w:t>
      </w:r>
      <w:r w:rsidRPr="00CC170B">
        <w:t>/nap (n</w:t>
      </w:r>
      <w:r w:rsidR="00761078" w:rsidRPr="00CC170B">
        <w:t> </w:t>
      </w:r>
      <w:r w:rsidRPr="00CC170B">
        <w:t>=</w:t>
      </w:r>
      <w:r w:rsidR="00761078" w:rsidRPr="00CC170B">
        <w:t> </w:t>
      </w:r>
      <w:r w:rsidRPr="00CC170B">
        <w:t xml:space="preserve">5) </w:t>
      </w:r>
      <w:r w:rsidR="00D95497">
        <w:t>volt</w:t>
      </w:r>
      <w:r w:rsidRPr="00CC170B">
        <w:t>. A krónikus fázisú CML-es betegek közül 9-n</w:t>
      </w:r>
      <w:r w:rsidR="00D95497">
        <w:t>él</w:t>
      </w:r>
      <w:r w:rsidRPr="00CC170B">
        <w:t xml:space="preserve"> áll</w:t>
      </w:r>
      <w:r w:rsidR="00563E8F" w:rsidRPr="00CC170B">
        <w:t>nak</w:t>
      </w:r>
      <w:r w:rsidRPr="00CC170B">
        <w:t xml:space="preserve"> rendelkezésre citogenetikai adat</w:t>
      </w:r>
      <w:r w:rsidR="00D95497">
        <w:t>ok</w:t>
      </w:r>
      <w:r w:rsidRPr="00CC170B">
        <w:t>: közülük 4 (44%) teljes, és 3 (33%) részleges citogenetikai választ</w:t>
      </w:r>
      <w:r w:rsidR="00D95497">
        <w:t xml:space="preserve"> ért el</w:t>
      </w:r>
      <w:r w:rsidRPr="00CC170B">
        <w:t>; ez 77% MCyR-nek felel meg.</w:t>
      </w:r>
    </w:p>
    <w:p w14:paraId="4E54049B" w14:textId="77777777" w:rsidR="00FC0D76" w:rsidRPr="00CC170B" w:rsidRDefault="00FC0D76" w:rsidP="00FC0D76"/>
    <w:p w14:paraId="568C5A68" w14:textId="1F7C8A2B" w:rsidR="00FC0D76" w:rsidRPr="00CC170B" w:rsidRDefault="00FC0D76" w:rsidP="00D95497">
      <w:r w:rsidRPr="00CC170B">
        <w:t>Összesen 51</w:t>
      </w:r>
      <w:r w:rsidR="00563E8F" w:rsidRPr="00CC170B">
        <w:t>,</w:t>
      </w:r>
      <w:r w:rsidRPr="00CC170B">
        <w:t xml:space="preserve"> újonnan diagnosztizált és kezeletlen krónikus fázisú CML-es gyermeket és serdülőt vontak be egy nyílt elrendezésű, multicentrikus, egykarú, II. fázisú vizsgálatba. </w:t>
      </w:r>
      <w:r w:rsidR="00430469" w:rsidRPr="00CC170B">
        <w:t xml:space="preserve">Az </w:t>
      </w:r>
      <w:r w:rsidR="00563E8F" w:rsidRPr="00CC170B">
        <w:t>i</w:t>
      </w:r>
      <w:r w:rsidR="00430469" w:rsidRPr="00CC170B">
        <w:t xml:space="preserve">matinib </w:t>
      </w:r>
      <w:r w:rsidRPr="00CC170B">
        <w:t>dózisa 340 mg/m</w:t>
      </w:r>
      <w:r w:rsidRPr="00CC170B">
        <w:rPr>
          <w:vertAlign w:val="superscript"/>
        </w:rPr>
        <w:t>2</w:t>
      </w:r>
      <w:r w:rsidRPr="00CC170B">
        <w:t xml:space="preserve">/nap volt, </w:t>
      </w:r>
      <w:r w:rsidR="00D95497">
        <w:t xml:space="preserve">ha nem jelentkezett </w:t>
      </w:r>
      <w:r w:rsidRPr="00CC170B">
        <w:t>dózislimitáló toxicitás</w:t>
      </w:r>
      <w:r w:rsidR="00D95497">
        <w:t>,</w:t>
      </w:r>
      <w:r w:rsidRPr="00CC170B">
        <w:t xml:space="preserve"> a kezelést nem szakították meg. </w:t>
      </w:r>
      <w:r w:rsidR="00430469" w:rsidRPr="00CC170B">
        <w:t xml:space="preserve">Az </w:t>
      </w:r>
      <w:r w:rsidR="00563E8F" w:rsidRPr="00CC170B">
        <w:t>i</w:t>
      </w:r>
      <w:r w:rsidR="00430469" w:rsidRPr="00CC170B">
        <w:t>matinib</w:t>
      </w:r>
      <w:r w:rsidR="00563E8F" w:rsidRPr="00CC170B">
        <w:noBreakHyphen/>
      </w:r>
      <w:r w:rsidRPr="00CC170B">
        <w:t>kezelés gyors választ indukál az újonnan diagnosztizált gyermek</w:t>
      </w:r>
      <w:r w:rsidR="00D95497">
        <w:t xml:space="preserve"> és</w:t>
      </w:r>
      <w:r w:rsidRPr="00CC170B">
        <w:t xml:space="preserve"> serdülő CML-es betegek</w:t>
      </w:r>
      <w:r w:rsidR="00D95497">
        <w:t>nél:</w:t>
      </w:r>
      <w:r w:rsidRPr="00CC170B">
        <w:t xml:space="preserve"> 8</w:t>
      </w:r>
      <w:r w:rsidR="0015750B">
        <w:t> </w:t>
      </w:r>
      <w:r w:rsidRPr="00CC170B">
        <w:t>hetes kezelés után 78%</w:t>
      </w:r>
      <w:r w:rsidR="00D95497">
        <w:t xml:space="preserve">-os az elért </w:t>
      </w:r>
      <w:r w:rsidR="00D95497" w:rsidRPr="00D95497">
        <w:t>CHR</w:t>
      </w:r>
      <w:r w:rsidRPr="00CC170B">
        <w:t>. A CHR magas arányához 65%-os teljes citogenetikai válasz (CCyR) társul, ami hasonló a felnőtteknél tapasztalt eredményekhez. Ezenkívül 16%-uknál figyeltek meg részleges citogenetikai választ (PCyR); ez 81% MCyR-nek felel meg. A CCyR-t elérő betegek többségénél a 3. és a 10.</w:t>
      </w:r>
      <w:r w:rsidR="00645FEE" w:rsidRPr="00CC170B">
        <w:t> hónap</w:t>
      </w:r>
      <w:r w:rsidRPr="00CC170B">
        <w:t xml:space="preserve"> között alakult ki a CCyR, és a válaszig eltelt </w:t>
      </w:r>
      <w:r w:rsidR="00D95497">
        <w:lastRenderedPageBreak/>
        <w:t xml:space="preserve">medián </w:t>
      </w:r>
      <w:r w:rsidRPr="00CC170B">
        <w:t>idő a Kaplan–Meier-becslés szerint 5,6</w:t>
      </w:r>
      <w:r w:rsidR="00645FEE" w:rsidRPr="00CC170B">
        <w:t> hónap</w:t>
      </w:r>
      <w:r w:rsidRPr="00CC170B">
        <w:t xml:space="preserve"> volt.</w:t>
      </w:r>
    </w:p>
    <w:p w14:paraId="61751A47" w14:textId="77777777" w:rsidR="00FC0D76" w:rsidRPr="00CC170B" w:rsidRDefault="00FC0D76" w:rsidP="00FC0D76"/>
    <w:p w14:paraId="647DEF1B" w14:textId="7A3CD8F5" w:rsidR="00FC0D76" w:rsidRPr="00CC170B" w:rsidRDefault="00FC0D76" w:rsidP="00FC0D76">
      <w:r w:rsidRPr="00CC170B">
        <w:t xml:space="preserve">Az Európai Gyógyszerügynökség a gyermekek és serdülők esetén minden korosztálynál eltekint </w:t>
      </w:r>
      <w:r w:rsidR="00F65A4E" w:rsidRPr="00CC170B">
        <w:t xml:space="preserve">az </w:t>
      </w:r>
      <w:r w:rsidR="0015750B">
        <w:t>i</w:t>
      </w:r>
      <w:r w:rsidR="00D07FC6" w:rsidRPr="00CC170B">
        <w:t>matinib</w:t>
      </w:r>
      <w:r w:rsidRPr="00CC170B">
        <w:t xml:space="preserve"> vizsgálati eredményeinek benyújtási kötelezettségétől Philadelphia-kromoszóma- (BCR-ABL transzlokáció-) pozitív (Ph+) krónikus myeloid leukaemia indikációban (lásd 4.2 pont, gyermekgyógyászati alkalmazásra vonatkozó információk).</w:t>
      </w:r>
    </w:p>
    <w:p w14:paraId="4E4ACC6E" w14:textId="77777777" w:rsidR="00FC0D76" w:rsidRPr="00CC170B" w:rsidRDefault="00FC0D76" w:rsidP="00FC0D76"/>
    <w:p w14:paraId="269167D6" w14:textId="77777777" w:rsidR="00FC0D76" w:rsidRPr="00CC170B" w:rsidRDefault="00FC0D76" w:rsidP="00931686">
      <w:pPr>
        <w:keepNext/>
        <w:widowControl/>
      </w:pPr>
      <w:r w:rsidRPr="00CC170B">
        <w:rPr>
          <w:u w:val="single"/>
        </w:rPr>
        <w:t>Klinikai vizsgálatok Ph+ ALL-ben</w:t>
      </w:r>
    </w:p>
    <w:p w14:paraId="33494859" w14:textId="77777777" w:rsidR="00FC0D76" w:rsidRPr="00CC170B" w:rsidRDefault="00FC0D76" w:rsidP="00931686">
      <w:pPr>
        <w:keepNext/>
        <w:widowControl/>
      </w:pPr>
    </w:p>
    <w:p w14:paraId="1D693C60" w14:textId="77777777" w:rsidR="00FC0D76" w:rsidRPr="00CC170B" w:rsidRDefault="00FC0D76" w:rsidP="00931686">
      <w:pPr>
        <w:keepNext/>
        <w:widowControl/>
        <w:rPr>
          <w:i/>
        </w:rPr>
      </w:pPr>
      <w:r w:rsidRPr="00CC170B">
        <w:rPr>
          <w:i/>
          <w:u w:val="single"/>
        </w:rPr>
        <w:t>Újonnan diagnosztizált Ph+ ALL</w:t>
      </w:r>
    </w:p>
    <w:p w14:paraId="6ABAF59B" w14:textId="77777777" w:rsidR="00563E8F" w:rsidRPr="00CC170B" w:rsidRDefault="00563E8F" w:rsidP="00931686">
      <w:pPr>
        <w:keepNext/>
        <w:widowControl/>
      </w:pPr>
    </w:p>
    <w:p w14:paraId="693DF1A2" w14:textId="6D2F8D95" w:rsidR="00FC0D76" w:rsidRPr="00CC170B" w:rsidRDefault="00FC0D76" w:rsidP="00931686">
      <w:pPr>
        <w:keepNext/>
        <w:widowControl/>
      </w:pPr>
      <w:r w:rsidRPr="00CC170B">
        <w:t>Egy kontrollos vizsgálatban (ADE10) 55</w:t>
      </w:r>
      <w:r w:rsidR="00336A37">
        <w:t>,</w:t>
      </w:r>
      <w:r w:rsidRPr="00CC170B">
        <w:t xml:space="preserve"> újonnan diagnosztizált, 55</w:t>
      </w:r>
      <w:r w:rsidR="00336A37">
        <w:t> </w:t>
      </w:r>
      <w:r w:rsidRPr="00CC170B">
        <w:t>éves vagy idősebb betegnél hasonlították össze az imatinibbel, illetve a kemoterápiával történő indukciós kezelést. Az imatinib</w:t>
      </w:r>
      <w:r w:rsidR="004D3F24" w:rsidRPr="00CC170B">
        <w:noBreakHyphen/>
      </w:r>
      <w:r w:rsidRPr="00CC170B">
        <w:t xml:space="preserve"> monoterápia szignifikánsan magasabb arányban indukált teljes hematológiai választ, mint a kemoterápia (96,3% </w:t>
      </w:r>
      <w:r w:rsidRPr="00CC170B">
        <w:rPr>
          <w:i/>
        </w:rPr>
        <w:t xml:space="preserve">vs. </w:t>
      </w:r>
      <w:r w:rsidRPr="00CC170B">
        <w:t>50%; p</w:t>
      </w:r>
      <w:r w:rsidR="004D3F24" w:rsidRPr="00CC170B">
        <w:t> </w:t>
      </w:r>
      <w:r w:rsidRPr="00CC170B">
        <w:t>=</w:t>
      </w:r>
      <w:r w:rsidR="004D3F24" w:rsidRPr="00CC170B">
        <w:t> </w:t>
      </w:r>
      <w:r w:rsidRPr="00CC170B">
        <w:t xml:space="preserve">0,0001). Amikor a kemoterápiára nem vagy rosszul reagáló betegeknek mentő </w:t>
      </w:r>
      <w:r w:rsidRPr="00336A37">
        <w:t>(</w:t>
      </w:r>
      <w:r w:rsidRPr="00931686">
        <w:rPr>
          <w:i/>
          <w:iCs/>
        </w:rPr>
        <w:t>salvage</w:t>
      </w:r>
      <w:r w:rsidRPr="00336A37">
        <w:t>)</w:t>
      </w:r>
      <w:r w:rsidRPr="00CC170B">
        <w:t xml:space="preserve"> kezelésként imatinibet adtak, 11</w:t>
      </w:r>
      <w:r w:rsidR="004D3F24" w:rsidRPr="00CC170B">
        <w:t> </w:t>
      </w:r>
      <w:r w:rsidRPr="00CC170B">
        <w:t>betegből 9 esetében (81,8%) teljes hematológiai választ értek el. Ezen klinikai hatáshoz a BCR-ABL transzkripció nagyobb mértékű csökkenése társult az imatinibbel kezelt betegeknél, mint a kemoterápiás vizsgálati karon, 2</w:t>
      </w:r>
      <w:r w:rsidR="004D3F24" w:rsidRPr="00CC170B">
        <w:t> </w:t>
      </w:r>
      <w:r w:rsidRPr="00CC170B">
        <w:t>hetes kezelés után (p</w:t>
      </w:r>
      <w:r w:rsidR="004D3F24" w:rsidRPr="00CC170B">
        <w:t> </w:t>
      </w:r>
      <w:r w:rsidRPr="00CC170B">
        <w:t>=</w:t>
      </w:r>
      <w:r w:rsidR="004D3F24" w:rsidRPr="00CC170B">
        <w:t> </w:t>
      </w:r>
      <w:r w:rsidRPr="00CC170B">
        <w:t>0,02). Az indukciót követően minden beteg imatinibet és konszolidációs kemoterápiát (lásd 4. táblázat) kapott, és a 8. héten a BCR-ABL transzkriptum szintje mindkét vizsgálati karon azonos volt. Amint az a vizsgálat elrendezése alapján várható volt, nem figyeltek meg különbséget a remisszió időtartama, a betegségmentes túlélés vagy a teljes túlélés terén, bár a teljes molekuláris választ mutató és minimális reziduális betegségben szenvedő betegeknél jobb kimenete</w:t>
      </w:r>
      <w:r w:rsidR="007F5038">
        <w:t>l</w:t>
      </w:r>
      <w:r w:rsidRPr="00CC170B">
        <w:t>t láttak mind a remisszió időtartama (p</w:t>
      </w:r>
      <w:r w:rsidR="004D3F24" w:rsidRPr="00CC170B">
        <w:t> </w:t>
      </w:r>
      <w:r w:rsidRPr="00CC170B">
        <w:t>=</w:t>
      </w:r>
      <w:r w:rsidR="004D3F24" w:rsidRPr="00CC170B">
        <w:t> </w:t>
      </w:r>
      <w:r w:rsidRPr="00CC170B">
        <w:t>0,01), mind a betegségmentes túlélés (p</w:t>
      </w:r>
      <w:r w:rsidR="004D3F24" w:rsidRPr="00CC170B">
        <w:t> </w:t>
      </w:r>
      <w:r w:rsidRPr="00CC170B">
        <w:t>=</w:t>
      </w:r>
      <w:r w:rsidR="004D3F24" w:rsidRPr="00CC170B">
        <w:t> </w:t>
      </w:r>
      <w:r w:rsidRPr="00CC170B">
        <w:t>0,02) tekintetében.</w:t>
      </w:r>
    </w:p>
    <w:p w14:paraId="086BCDFD" w14:textId="77777777" w:rsidR="00FC0D76" w:rsidRPr="00CC170B" w:rsidRDefault="00FC0D76" w:rsidP="00FC0D76"/>
    <w:p w14:paraId="2ACA193C" w14:textId="491189EA" w:rsidR="00FC0D76" w:rsidRPr="00CC170B" w:rsidRDefault="00FC0D76" w:rsidP="00FC0D76">
      <w:r w:rsidRPr="00CC170B">
        <w:t>Kétszáztizenegy (211) újonnan diagnosztizált Ph+ ALL-ben szenvedő betegből álló populációval végzett négy, nem kontrollos klinikai vizsgálat (AAU02, ADE04, AJP01 és AUS01) eredményei összhangban vannak a fent ismertetett eredményekkel. Az indukciós kemoterápiával együtt adott imatinib (lásd 4. táblázat) 93%-os teljes hematológiai válaszarányt (</w:t>
      </w:r>
      <w:r w:rsidR="007F5038">
        <w:t>147/</w:t>
      </w:r>
      <w:r w:rsidRPr="00CC170B">
        <w:t>158</w:t>
      </w:r>
      <w:r w:rsidR="00336A37">
        <w:t> </w:t>
      </w:r>
      <w:r w:rsidRPr="00CC170B">
        <w:t>értékelhető beteg) és 90%-os nagyfokú citogenetikai válaszarányt (</w:t>
      </w:r>
      <w:r w:rsidR="007F5038">
        <w:t>19/</w:t>
      </w:r>
      <w:r w:rsidRPr="00CC170B">
        <w:t>21 értékelhető beteg) eredményezett. A teljes molekuláris válaszarány 48% volt (</w:t>
      </w:r>
      <w:r w:rsidR="007F5038">
        <w:t>49/</w:t>
      </w:r>
      <w:r w:rsidRPr="00CC170B">
        <w:t>102</w:t>
      </w:r>
      <w:r w:rsidR="00336A37">
        <w:t> </w:t>
      </w:r>
      <w:r w:rsidRPr="00CC170B">
        <w:t>értékelhető beteg). Két vizsgálatban (AJP01 és AUS01) a betegségmentes túlélés (DFS) és a teljes túlélés (OS) folyamatosan meghaladta az 1</w:t>
      </w:r>
      <w:r w:rsidR="00EA5C28">
        <w:t> </w:t>
      </w:r>
      <w:r w:rsidRPr="00CC170B">
        <w:t>évet, és szuperior volt a historikus kontrollal szemben (DFS p</w:t>
      </w:r>
      <w:r w:rsidR="00EA5C28">
        <w:t> </w:t>
      </w:r>
      <w:r w:rsidRPr="00CC170B">
        <w:t>&lt;0,001; OS p</w:t>
      </w:r>
      <w:r w:rsidR="00EA5C28">
        <w:t> </w:t>
      </w:r>
      <w:r w:rsidRPr="00CC170B">
        <w:t>&lt;0,0001).</w:t>
      </w:r>
    </w:p>
    <w:p w14:paraId="2577D908" w14:textId="77777777" w:rsidR="004D3F24" w:rsidRPr="00CC170B" w:rsidRDefault="004D3F24" w:rsidP="00FC0D76"/>
    <w:p w14:paraId="2636E0B9" w14:textId="40E4A821" w:rsidR="00FC0D76" w:rsidRPr="00CC170B" w:rsidRDefault="00FC0D76" w:rsidP="004D3F24">
      <w:pPr>
        <w:pStyle w:val="Listaszerbekezds"/>
        <w:numPr>
          <w:ilvl w:val="0"/>
          <w:numId w:val="32"/>
        </w:numPr>
        <w:ind w:left="567" w:hanging="567"/>
        <w:rPr>
          <w:b/>
          <w:bCs/>
        </w:rPr>
      </w:pPr>
      <w:r w:rsidRPr="00CC170B">
        <w:rPr>
          <w:b/>
          <w:bCs/>
        </w:rPr>
        <w:t>táblázat Az imatinibbel kombinációban alkalmazott kemoterápiás kezelési protokollok</w:t>
      </w:r>
    </w:p>
    <w:p w14:paraId="26BE970C" w14:textId="77777777" w:rsidR="00620A30" w:rsidRPr="00CC170B" w:rsidRDefault="00620A30" w:rsidP="00FC0D76"/>
    <w:tbl>
      <w:tblPr>
        <w:tblOverlap w:val="never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39"/>
        <w:gridCol w:w="6933"/>
      </w:tblGrid>
      <w:tr w:rsidR="005B34CA" w:rsidRPr="00CC170B" w14:paraId="7237FD19" w14:textId="77777777" w:rsidTr="00486CB8">
        <w:tc>
          <w:tcPr>
            <w:tcW w:w="2139" w:type="dxa"/>
            <w:tcBorders>
              <w:left w:val="nil"/>
              <w:bottom w:val="single" w:sz="4" w:space="0" w:color="auto"/>
              <w:right w:val="nil"/>
            </w:tcBorders>
          </w:tcPr>
          <w:p w14:paraId="0A76A109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Bold"/>
                <w:color w:val="auto"/>
                <w:sz w:val="22"/>
                <w:szCs w:val="22"/>
              </w:rPr>
              <w:t>ADE10 vizsgálat</w:t>
            </w:r>
          </w:p>
        </w:tc>
        <w:tc>
          <w:tcPr>
            <w:tcW w:w="6933" w:type="dxa"/>
            <w:tcBorders>
              <w:left w:val="nil"/>
              <w:bottom w:val="single" w:sz="4" w:space="0" w:color="auto"/>
              <w:right w:val="nil"/>
            </w:tcBorders>
          </w:tcPr>
          <w:p w14:paraId="040C9836" w14:textId="77777777" w:rsidR="005B34CA" w:rsidRPr="00CC170B" w:rsidRDefault="005B34CA" w:rsidP="00486ABB">
            <w:pPr>
              <w:tabs>
                <w:tab w:val="left" w:pos="567"/>
              </w:tabs>
            </w:pPr>
          </w:p>
        </w:tc>
      </w:tr>
      <w:tr w:rsidR="005B34CA" w:rsidRPr="00CC170B" w14:paraId="56702A30" w14:textId="77777777" w:rsidTr="00486CB8">
        <w:tc>
          <w:tcPr>
            <w:tcW w:w="2139" w:type="dxa"/>
            <w:tcBorders>
              <w:left w:val="nil"/>
              <w:bottom w:val="single" w:sz="4" w:space="0" w:color="auto"/>
              <w:right w:val="nil"/>
            </w:tcBorders>
          </w:tcPr>
          <w:p w14:paraId="68F58BBC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Előfázis</w:t>
            </w:r>
          </w:p>
        </w:tc>
        <w:tc>
          <w:tcPr>
            <w:tcW w:w="6933" w:type="dxa"/>
            <w:tcBorders>
              <w:left w:val="nil"/>
              <w:bottom w:val="single" w:sz="4" w:space="0" w:color="auto"/>
              <w:right w:val="nil"/>
            </w:tcBorders>
          </w:tcPr>
          <w:p w14:paraId="2EFE9B9E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DEX 10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CC170B">
              <w:rPr>
                <w:rStyle w:val="BodyText21"/>
                <w:i/>
                <w:color w:val="auto"/>
                <w:sz w:val="22"/>
                <w:szCs w:val="22"/>
              </w:rPr>
              <w:t>per os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az 1-5. napon;</w:t>
            </w:r>
          </w:p>
          <w:p w14:paraId="78A4BA96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CP 200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a 3., 4., 5. napon;</w:t>
            </w:r>
          </w:p>
          <w:p w14:paraId="6297038D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MTX 12 mg intrathecalis alkalmazás az 1. napon</w:t>
            </w:r>
          </w:p>
        </w:tc>
      </w:tr>
      <w:tr w:rsidR="005B34CA" w:rsidRPr="00CC170B" w14:paraId="0F04BA5E" w14:textId="77777777" w:rsidTr="00486CB8">
        <w:tc>
          <w:tcPr>
            <w:tcW w:w="2139" w:type="dxa"/>
            <w:tcBorders>
              <w:left w:val="nil"/>
              <w:bottom w:val="single" w:sz="4" w:space="0" w:color="auto"/>
              <w:right w:val="nil"/>
            </w:tcBorders>
          </w:tcPr>
          <w:p w14:paraId="280F57D8" w14:textId="6F87F93E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Remisszió indukció</w:t>
            </w:r>
          </w:p>
        </w:tc>
        <w:tc>
          <w:tcPr>
            <w:tcW w:w="6933" w:type="dxa"/>
            <w:tcBorders>
              <w:left w:val="nil"/>
              <w:bottom w:val="single" w:sz="4" w:space="0" w:color="auto"/>
              <w:right w:val="nil"/>
            </w:tcBorders>
          </w:tcPr>
          <w:p w14:paraId="6FA9BC3A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DEX 10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CC170B">
              <w:rPr>
                <w:rStyle w:val="BodyText21"/>
                <w:i/>
                <w:color w:val="auto"/>
                <w:sz w:val="22"/>
                <w:szCs w:val="22"/>
              </w:rPr>
              <w:t>per os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a 6-7. és 13-16. napon;</w:t>
            </w:r>
          </w:p>
          <w:p w14:paraId="5DA6F734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VCR 1 mg iv. a 7. és 14. napon;</w:t>
            </w:r>
          </w:p>
          <w:p w14:paraId="696662B9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IDA 8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(0,5 órás), a 7., 8., 14. és 15. napon;</w:t>
            </w:r>
          </w:p>
          <w:p w14:paraId="17E6556F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CP 500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(1 órás) az 1. napon;</w:t>
            </w:r>
          </w:p>
          <w:p w14:paraId="7A685152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Ara-C 60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a 22-25. és 29-32. napon</w:t>
            </w:r>
          </w:p>
        </w:tc>
      </w:tr>
      <w:tr w:rsidR="005B34CA" w:rsidRPr="00CC170B" w14:paraId="53BC88D0" w14:textId="77777777" w:rsidTr="00486CB8">
        <w:tc>
          <w:tcPr>
            <w:tcW w:w="2139" w:type="dxa"/>
            <w:tcBorders>
              <w:left w:val="nil"/>
              <w:bottom w:val="single" w:sz="4" w:space="0" w:color="auto"/>
              <w:right w:val="nil"/>
            </w:tcBorders>
          </w:tcPr>
          <w:p w14:paraId="7B845D61" w14:textId="5A74A5A4" w:rsidR="005B34CA" w:rsidRPr="00CC170B" w:rsidRDefault="005B34CA" w:rsidP="00EA5C28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Konszolidációs terápia</w:t>
            </w:r>
            <w:r w:rsidR="00EA5C28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>I, III, V</w:t>
            </w:r>
          </w:p>
        </w:tc>
        <w:tc>
          <w:tcPr>
            <w:tcW w:w="6933" w:type="dxa"/>
            <w:tcBorders>
              <w:left w:val="nil"/>
              <w:bottom w:val="single" w:sz="4" w:space="0" w:color="auto"/>
              <w:right w:val="nil"/>
            </w:tcBorders>
          </w:tcPr>
          <w:p w14:paraId="1FFF57B0" w14:textId="51564283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MTX 500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(24</w:t>
            </w:r>
            <w:r w:rsidR="00EA5C28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>órás) az 1. és 15. napon;</w:t>
            </w:r>
          </w:p>
          <w:p w14:paraId="21D3C1BF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6-MP 25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CC170B">
              <w:rPr>
                <w:rStyle w:val="BodyText21"/>
                <w:i/>
                <w:color w:val="auto"/>
                <w:sz w:val="22"/>
                <w:szCs w:val="22"/>
              </w:rPr>
              <w:t>per os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az 1-20. napon</w:t>
            </w:r>
          </w:p>
        </w:tc>
      </w:tr>
      <w:tr w:rsidR="005B34CA" w:rsidRPr="00CC170B" w14:paraId="0F85CA01" w14:textId="77777777" w:rsidTr="00486CB8">
        <w:tc>
          <w:tcPr>
            <w:tcW w:w="2139" w:type="dxa"/>
            <w:tcBorders>
              <w:left w:val="nil"/>
              <w:right w:val="nil"/>
            </w:tcBorders>
          </w:tcPr>
          <w:p w14:paraId="02D977E5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Konszolidációs terápia II, IV</w:t>
            </w:r>
          </w:p>
        </w:tc>
        <w:tc>
          <w:tcPr>
            <w:tcW w:w="6933" w:type="dxa"/>
            <w:tcBorders>
              <w:left w:val="nil"/>
              <w:right w:val="nil"/>
            </w:tcBorders>
          </w:tcPr>
          <w:p w14:paraId="6BD947FB" w14:textId="488E4F66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Ara-C 75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(1</w:t>
            </w:r>
            <w:r w:rsidR="00EA5C28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>órás), az 1-5. napon;</w:t>
            </w:r>
          </w:p>
          <w:p w14:paraId="09AB6672" w14:textId="1B79B8BE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VM26 60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(1</w:t>
            </w:r>
            <w:r w:rsidR="00EA5C28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>órás) az 1-5. napon</w:t>
            </w:r>
          </w:p>
        </w:tc>
      </w:tr>
      <w:tr w:rsidR="005B34CA" w:rsidRPr="00CC170B" w14:paraId="065D74B3" w14:textId="77777777" w:rsidTr="00486CB8">
        <w:tc>
          <w:tcPr>
            <w:tcW w:w="9072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1AA350BF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Bold"/>
                <w:color w:val="auto"/>
                <w:sz w:val="22"/>
                <w:szCs w:val="22"/>
              </w:rPr>
              <w:t>AAU02 vizsgálat</w:t>
            </w:r>
          </w:p>
        </w:tc>
      </w:tr>
      <w:tr w:rsidR="005B34CA" w:rsidRPr="00CC170B" w14:paraId="1B4855A0" w14:textId="77777777" w:rsidTr="00486CB8">
        <w:tc>
          <w:tcPr>
            <w:tcW w:w="2139" w:type="dxa"/>
            <w:tcBorders>
              <w:left w:val="nil"/>
              <w:bottom w:val="single" w:sz="4" w:space="0" w:color="auto"/>
              <w:right w:val="nil"/>
            </w:tcBorders>
          </w:tcPr>
          <w:p w14:paraId="4A52AB2D" w14:textId="3C278DB3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Indukciós terápia </w:t>
            </w:r>
            <w:r w:rsidRPr="00CC170B">
              <w:rPr>
                <w:rStyle w:val="BodytextItalic"/>
                <w:color w:val="auto"/>
                <w:sz w:val="22"/>
                <w:szCs w:val="22"/>
              </w:rPr>
              <w:t>(de novo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Ph</w:t>
            </w:r>
            <w:r w:rsidR="00D17DC3" w:rsidRPr="00CC170B">
              <w:rPr>
                <w:kern w:val="0"/>
                <w:sz w:val="22"/>
                <w:szCs w:val="22"/>
                <w:lang w:eastAsia="hu-HU" w:bidi="hu-HU"/>
                <w14:ligatures w14:val="none"/>
              </w:rPr>
              <w:t xml:space="preserve"> </w:t>
            </w:r>
            <w:r w:rsidR="00D17DC3" w:rsidRPr="00CC170B">
              <w:rPr>
                <w:sz w:val="22"/>
                <w:szCs w:val="22"/>
                <w:lang w:eastAsia="hu-HU" w:bidi="hu-HU"/>
              </w:rPr>
              <w:t>+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>ALL)</w:t>
            </w:r>
          </w:p>
        </w:tc>
        <w:tc>
          <w:tcPr>
            <w:tcW w:w="6933" w:type="dxa"/>
            <w:tcBorders>
              <w:left w:val="nil"/>
              <w:bottom w:val="single" w:sz="4" w:space="0" w:color="auto"/>
              <w:right w:val="nil"/>
            </w:tcBorders>
          </w:tcPr>
          <w:p w14:paraId="607DC75F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Daunorubicin 30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az 1-3. és 15-16. napon;</w:t>
            </w:r>
          </w:p>
          <w:p w14:paraId="5456622D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VCR 2 mg teljes adag iv. az 1., 8., 15. és 22. napon;</w:t>
            </w:r>
          </w:p>
          <w:p w14:paraId="110129F3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CP 750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az 1. és 8. napon;</w:t>
            </w:r>
          </w:p>
          <w:p w14:paraId="74B2FB55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Prednizon 60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CC170B">
              <w:rPr>
                <w:rStyle w:val="BodyText21"/>
                <w:i/>
                <w:color w:val="auto"/>
                <w:sz w:val="22"/>
                <w:szCs w:val="22"/>
              </w:rPr>
              <w:t>per os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az 1-7. és 15-21. napon;</w:t>
            </w:r>
          </w:p>
          <w:p w14:paraId="1160E497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IDA 9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CC170B">
              <w:rPr>
                <w:rStyle w:val="BodyText21"/>
                <w:i/>
                <w:color w:val="auto"/>
                <w:sz w:val="22"/>
                <w:szCs w:val="22"/>
              </w:rPr>
              <w:t>per os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az 1-28. napon;</w:t>
            </w:r>
          </w:p>
          <w:p w14:paraId="4D2E404F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MTX 15 mg intrathecalis alkalmazás az 1., 8., 15. és 22. napon;</w:t>
            </w:r>
          </w:p>
          <w:p w14:paraId="0265ED2C" w14:textId="77777777" w:rsidR="005B34CA" w:rsidRPr="00CC170B" w:rsidRDefault="005B34CA" w:rsidP="00486ABB">
            <w:pPr>
              <w:pStyle w:val="BodyText11"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Ara-C 40 mg intrathecalis alkalmazás az 1., 8., 15. és 22. napon; 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lastRenderedPageBreak/>
              <w:t>Metilprednizolon 40 mg intrathecalis alkalmazás az 1., 8., 15. és 22. napon</w:t>
            </w:r>
          </w:p>
        </w:tc>
      </w:tr>
      <w:tr w:rsidR="005B34CA" w:rsidRPr="00CC170B" w14:paraId="21A85F8C" w14:textId="77777777" w:rsidTr="00486CB8">
        <w:tc>
          <w:tcPr>
            <w:tcW w:w="2139" w:type="dxa"/>
            <w:tcBorders>
              <w:left w:val="nil"/>
              <w:right w:val="nil"/>
            </w:tcBorders>
          </w:tcPr>
          <w:p w14:paraId="4109AE26" w14:textId="2C245866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lastRenderedPageBreak/>
              <w:t xml:space="preserve">Konszolidációs terápia </w:t>
            </w:r>
            <w:r w:rsidRPr="00CC170B">
              <w:rPr>
                <w:rStyle w:val="BodytextItalic"/>
                <w:color w:val="auto"/>
                <w:sz w:val="22"/>
                <w:szCs w:val="22"/>
              </w:rPr>
              <w:t>(de novo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Ph</w:t>
            </w:r>
            <w:r w:rsidR="00D17DC3" w:rsidRPr="00CC170B">
              <w:rPr>
                <w:kern w:val="0"/>
                <w:sz w:val="22"/>
                <w:szCs w:val="22"/>
                <w:lang w:eastAsia="hu-HU" w:bidi="hu-HU"/>
                <w14:ligatures w14:val="none"/>
              </w:rPr>
              <w:t xml:space="preserve"> </w:t>
            </w:r>
            <w:r w:rsidR="00D17DC3" w:rsidRPr="00CC170B">
              <w:rPr>
                <w:sz w:val="22"/>
                <w:szCs w:val="22"/>
                <w:lang w:eastAsia="hu-HU" w:bidi="hu-HU"/>
              </w:rPr>
              <w:t xml:space="preserve">+ 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>ALL)</w:t>
            </w:r>
          </w:p>
        </w:tc>
        <w:tc>
          <w:tcPr>
            <w:tcW w:w="6933" w:type="dxa"/>
            <w:tcBorders>
              <w:left w:val="nil"/>
              <w:right w:val="nil"/>
            </w:tcBorders>
          </w:tcPr>
          <w:p w14:paraId="2B6ABC2D" w14:textId="1483661F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Ara-C 1000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>/12 óra iv.</w:t>
            </w:r>
            <w:r w:rsidR="00D64C2F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>(3 órás) az 1-4. napon;</w:t>
            </w:r>
          </w:p>
          <w:p w14:paraId="38C1D20E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Mitoxantron 10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a 3-5. napon;</w:t>
            </w:r>
          </w:p>
          <w:p w14:paraId="7EA43667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MTX 15 mg intrathecalis alkalmazás az 1. napon;</w:t>
            </w:r>
          </w:p>
          <w:p w14:paraId="7CC80D04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Metilprednizolon 40 mg intrathecalis alkalmazás az 1. napon</w:t>
            </w:r>
          </w:p>
        </w:tc>
      </w:tr>
      <w:tr w:rsidR="005B34CA" w:rsidRPr="00CC170B" w14:paraId="12AD7FD9" w14:textId="77777777" w:rsidTr="00486CB8">
        <w:tc>
          <w:tcPr>
            <w:tcW w:w="9072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53663288" w14:textId="77777777" w:rsidR="005B34CA" w:rsidRPr="00CC170B" w:rsidRDefault="005B34CA" w:rsidP="007F5038">
            <w:pPr>
              <w:pStyle w:val="BodyText11"/>
              <w:keepNext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Bold"/>
                <w:color w:val="auto"/>
                <w:sz w:val="22"/>
                <w:szCs w:val="22"/>
              </w:rPr>
              <w:t>ADE04 vizsgálat</w:t>
            </w:r>
          </w:p>
        </w:tc>
      </w:tr>
      <w:tr w:rsidR="005B34CA" w:rsidRPr="00CC170B" w14:paraId="33DDBC1E" w14:textId="77777777" w:rsidTr="00486CB8">
        <w:tc>
          <w:tcPr>
            <w:tcW w:w="2139" w:type="dxa"/>
            <w:tcBorders>
              <w:left w:val="nil"/>
              <w:bottom w:val="single" w:sz="4" w:space="0" w:color="auto"/>
              <w:right w:val="nil"/>
            </w:tcBorders>
          </w:tcPr>
          <w:p w14:paraId="250E65A6" w14:textId="77777777" w:rsidR="005B34CA" w:rsidRPr="00CC170B" w:rsidRDefault="005B34CA" w:rsidP="00931686">
            <w:pPr>
              <w:pStyle w:val="BodyText11"/>
              <w:keepNext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Előfázis</w:t>
            </w:r>
          </w:p>
        </w:tc>
        <w:tc>
          <w:tcPr>
            <w:tcW w:w="6933" w:type="dxa"/>
            <w:tcBorders>
              <w:left w:val="nil"/>
              <w:bottom w:val="single" w:sz="4" w:space="0" w:color="auto"/>
              <w:right w:val="nil"/>
            </w:tcBorders>
          </w:tcPr>
          <w:p w14:paraId="345E6586" w14:textId="77777777" w:rsidR="005B34CA" w:rsidRPr="00CC170B" w:rsidRDefault="005B34CA" w:rsidP="00931686">
            <w:pPr>
              <w:pStyle w:val="BodyText11"/>
              <w:keepNext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DEX 10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CC170B">
              <w:rPr>
                <w:rStyle w:val="BodyText21"/>
                <w:i/>
                <w:color w:val="auto"/>
                <w:sz w:val="22"/>
                <w:szCs w:val="22"/>
              </w:rPr>
              <w:t>per os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az 1-5. napon;</w:t>
            </w:r>
          </w:p>
          <w:p w14:paraId="2469A5D1" w14:textId="77777777" w:rsidR="005B34CA" w:rsidRPr="00CC170B" w:rsidRDefault="005B34CA" w:rsidP="00931686">
            <w:pPr>
              <w:pStyle w:val="BodyText11"/>
              <w:keepNext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CP 200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a 3-5. napon;</w:t>
            </w:r>
          </w:p>
          <w:p w14:paraId="040AF821" w14:textId="77777777" w:rsidR="005B34CA" w:rsidRPr="00CC170B" w:rsidRDefault="005B34CA" w:rsidP="00931686">
            <w:pPr>
              <w:pStyle w:val="BodyText11"/>
              <w:keepNext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MTX 15 mg intrathecalis alkalmazás az 1. napon</w:t>
            </w:r>
          </w:p>
        </w:tc>
      </w:tr>
      <w:tr w:rsidR="005B34CA" w:rsidRPr="00CC170B" w14:paraId="1F790BDC" w14:textId="77777777" w:rsidTr="00486CB8">
        <w:tc>
          <w:tcPr>
            <w:tcW w:w="2139" w:type="dxa"/>
            <w:tcBorders>
              <w:left w:val="nil"/>
              <w:bottom w:val="single" w:sz="4" w:space="0" w:color="auto"/>
              <w:right w:val="nil"/>
            </w:tcBorders>
          </w:tcPr>
          <w:p w14:paraId="5C86923B" w14:textId="75426B63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Indukciós terápia I</w:t>
            </w:r>
            <w:r w:rsidR="00EA5C28">
              <w:rPr>
                <w:rStyle w:val="BodyText21"/>
                <w:color w:val="auto"/>
                <w:sz w:val="22"/>
                <w:szCs w:val="22"/>
              </w:rPr>
              <w:t>.</w:t>
            </w:r>
          </w:p>
        </w:tc>
        <w:tc>
          <w:tcPr>
            <w:tcW w:w="6933" w:type="dxa"/>
            <w:tcBorders>
              <w:left w:val="nil"/>
              <w:bottom w:val="single" w:sz="4" w:space="0" w:color="auto"/>
              <w:right w:val="nil"/>
            </w:tcBorders>
          </w:tcPr>
          <w:p w14:paraId="31A4B847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DEX 10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CC170B">
              <w:rPr>
                <w:rStyle w:val="BodyText21"/>
                <w:i/>
                <w:color w:val="auto"/>
                <w:sz w:val="22"/>
                <w:szCs w:val="22"/>
              </w:rPr>
              <w:t>per os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az 1-5. napon;</w:t>
            </w:r>
          </w:p>
          <w:p w14:paraId="173E4347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VCR 2 mg iv. a 6., 13. és 20. napon;</w:t>
            </w:r>
          </w:p>
          <w:p w14:paraId="4AA7B935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Daunorubicin 45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a 6-7. és 13-14. napon</w:t>
            </w:r>
          </w:p>
        </w:tc>
      </w:tr>
      <w:tr w:rsidR="005B34CA" w:rsidRPr="00CC170B" w14:paraId="6EEBCFDB" w14:textId="77777777" w:rsidTr="00486CB8">
        <w:tc>
          <w:tcPr>
            <w:tcW w:w="2139" w:type="dxa"/>
            <w:tcBorders>
              <w:left w:val="nil"/>
              <w:bottom w:val="single" w:sz="4" w:space="0" w:color="auto"/>
              <w:right w:val="nil"/>
            </w:tcBorders>
          </w:tcPr>
          <w:p w14:paraId="01C8B617" w14:textId="101E9FF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Indukciós terápia II</w:t>
            </w:r>
            <w:r w:rsidR="00EA5C28">
              <w:rPr>
                <w:rStyle w:val="BodyText21"/>
                <w:color w:val="auto"/>
                <w:sz w:val="22"/>
                <w:szCs w:val="22"/>
              </w:rPr>
              <w:t>.</w:t>
            </w:r>
          </w:p>
        </w:tc>
        <w:tc>
          <w:tcPr>
            <w:tcW w:w="6933" w:type="dxa"/>
            <w:tcBorders>
              <w:left w:val="nil"/>
              <w:bottom w:val="single" w:sz="4" w:space="0" w:color="auto"/>
              <w:right w:val="nil"/>
            </w:tcBorders>
          </w:tcPr>
          <w:p w14:paraId="0BFE488E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CP 1 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(1 órás) a 26. és 46. napon;</w:t>
            </w:r>
          </w:p>
          <w:p w14:paraId="35322BE8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Ara-C 75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(1 órás) a 28-31., 35-38. és 42-45. napon;</w:t>
            </w:r>
          </w:p>
          <w:p w14:paraId="60CB3637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6-MP 60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CC170B">
              <w:rPr>
                <w:rStyle w:val="BodyText21"/>
                <w:i/>
                <w:color w:val="auto"/>
                <w:sz w:val="22"/>
                <w:szCs w:val="22"/>
              </w:rPr>
              <w:t>per os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a 26-46. napon</w:t>
            </w:r>
          </w:p>
        </w:tc>
      </w:tr>
      <w:tr w:rsidR="005B34CA" w:rsidRPr="00CC170B" w14:paraId="1CB3807E" w14:textId="77777777" w:rsidTr="00486CB8">
        <w:tc>
          <w:tcPr>
            <w:tcW w:w="2139" w:type="dxa"/>
            <w:tcBorders>
              <w:left w:val="nil"/>
              <w:right w:val="nil"/>
            </w:tcBorders>
          </w:tcPr>
          <w:p w14:paraId="6791EE0E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Konszolidációs terápia</w:t>
            </w:r>
          </w:p>
        </w:tc>
        <w:tc>
          <w:tcPr>
            <w:tcW w:w="6933" w:type="dxa"/>
            <w:tcBorders>
              <w:left w:val="nil"/>
              <w:right w:val="nil"/>
            </w:tcBorders>
          </w:tcPr>
          <w:p w14:paraId="646685B2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DEX 10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CC170B">
              <w:rPr>
                <w:rStyle w:val="BodyText21"/>
                <w:i/>
                <w:color w:val="auto"/>
                <w:sz w:val="22"/>
                <w:szCs w:val="22"/>
              </w:rPr>
              <w:t>per os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az 1-5. napon;</w:t>
            </w:r>
          </w:p>
          <w:p w14:paraId="4C23EC1C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Vindezin 3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az 1. napon;</w:t>
            </w:r>
          </w:p>
          <w:p w14:paraId="1925BDF9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MTX 1,5 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(24 órás) az 1. napon;</w:t>
            </w:r>
          </w:p>
          <w:p w14:paraId="57F5BE17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Etopozid 250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(1 órás) a 4-5. napon;</w:t>
            </w:r>
          </w:p>
          <w:p w14:paraId="098A60E2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Ara-C 2×2 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(3 órás, 12 óránként) az 5. napon</w:t>
            </w:r>
          </w:p>
        </w:tc>
      </w:tr>
      <w:tr w:rsidR="005B34CA" w:rsidRPr="00CC170B" w14:paraId="33BB4E52" w14:textId="77777777" w:rsidTr="00486CB8">
        <w:tc>
          <w:tcPr>
            <w:tcW w:w="9072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2D5512B4" w14:textId="77777777" w:rsidR="005B34CA" w:rsidRPr="00CC170B" w:rsidRDefault="005B34CA" w:rsidP="00486ABB">
            <w:pPr>
              <w:keepNext/>
              <w:keepLines/>
              <w:widowControl/>
              <w:tabs>
                <w:tab w:val="left" w:pos="567"/>
              </w:tabs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Tablecaption20"/>
                <w:color w:val="auto"/>
                <w:sz w:val="22"/>
                <w:szCs w:val="22"/>
                <w:u w:val="none"/>
              </w:rPr>
              <w:t>AJP01 vizsgálat</w:t>
            </w:r>
          </w:p>
        </w:tc>
      </w:tr>
      <w:tr w:rsidR="005B34CA" w:rsidRPr="00CC170B" w14:paraId="3B64B445" w14:textId="77777777" w:rsidTr="00486CB8">
        <w:tc>
          <w:tcPr>
            <w:tcW w:w="2139" w:type="dxa"/>
            <w:tcBorders>
              <w:left w:val="nil"/>
              <w:bottom w:val="single" w:sz="4" w:space="0" w:color="auto"/>
              <w:right w:val="nil"/>
            </w:tcBorders>
          </w:tcPr>
          <w:p w14:paraId="33B86BD8" w14:textId="77777777" w:rsidR="005B34CA" w:rsidRPr="00CC170B" w:rsidRDefault="005B34CA" w:rsidP="00486ABB">
            <w:pPr>
              <w:pStyle w:val="BodyText11"/>
              <w:keepNext/>
              <w:keepLines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Indukciós terápia</w:t>
            </w:r>
          </w:p>
        </w:tc>
        <w:tc>
          <w:tcPr>
            <w:tcW w:w="6933" w:type="dxa"/>
            <w:tcBorders>
              <w:left w:val="nil"/>
              <w:bottom w:val="single" w:sz="4" w:space="0" w:color="auto"/>
              <w:right w:val="nil"/>
            </w:tcBorders>
          </w:tcPr>
          <w:p w14:paraId="450DFEF5" w14:textId="77777777" w:rsidR="005B34CA" w:rsidRPr="00CC170B" w:rsidRDefault="005B34CA" w:rsidP="00486ABB">
            <w:pPr>
              <w:pStyle w:val="BodyText11"/>
              <w:keepNext/>
              <w:keepLines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CP 1,2 g/m² iv. (3 órás) az 1. napon;</w:t>
            </w:r>
          </w:p>
          <w:p w14:paraId="44FACD67" w14:textId="77777777" w:rsidR="005B34CA" w:rsidRPr="00CC170B" w:rsidRDefault="005B34CA" w:rsidP="00486ABB">
            <w:pPr>
              <w:pStyle w:val="BodyText11"/>
              <w:keepNext/>
              <w:keepLines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Daunorubicin 60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(1 órás) az 1-3. napon;</w:t>
            </w:r>
          </w:p>
          <w:p w14:paraId="64A6BE6F" w14:textId="77777777" w:rsidR="005B34CA" w:rsidRPr="00CC170B" w:rsidRDefault="005B34CA" w:rsidP="00486ABB">
            <w:pPr>
              <w:pStyle w:val="BodyText11"/>
              <w:keepNext/>
              <w:keepLines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Vinkrisztin 1,3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az 1., 8., 15. és 21. napon;</w:t>
            </w:r>
          </w:p>
          <w:p w14:paraId="6BE4963E" w14:textId="77777777" w:rsidR="005B34CA" w:rsidRPr="00CC170B" w:rsidRDefault="005B34CA" w:rsidP="00486ABB">
            <w:pPr>
              <w:pStyle w:val="BodyText11"/>
              <w:keepNext/>
              <w:keepLines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Prednizolon 60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/nap </w:t>
            </w:r>
            <w:r w:rsidRPr="00CC170B">
              <w:rPr>
                <w:rStyle w:val="BodyText21"/>
                <w:i/>
                <w:color w:val="auto"/>
                <w:sz w:val="22"/>
                <w:szCs w:val="22"/>
              </w:rPr>
              <w:t>per os</w:t>
            </w:r>
          </w:p>
        </w:tc>
      </w:tr>
      <w:tr w:rsidR="005B34CA" w:rsidRPr="00CC170B" w14:paraId="3D6FC3A9" w14:textId="77777777" w:rsidTr="00486CB8">
        <w:tc>
          <w:tcPr>
            <w:tcW w:w="2139" w:type="dxa"/>
            <w:tcBorders>
              <w:left w:val="nil"/>
              <w:bottom w:val="single" w:sz="4" w:space="0" w:color="auto"/>
              <w:right w:val="nil"/>
            </w:tcBorders>
          </w:tcPr>
          <w:p w14:paraId="21649CB3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Konszolidációs terápia</w:t>
            </w:r>
          </w:p>
        </w:tc>
        <w:tc>
          <w:tcPr>
            <w:tcW w:w="6933" w:type="dxa"/>
            <w:tcBorders>
              <w:left w:val="nil"/>
              <w:bottom w:val="single" w:sz="4" w:space="0" w:color="auto"/>
              <w:right w:val="nil"/>
            </w:tcBorders>
          </w:tcPr>
          <w:p w14:paraId="1E9860E4" w14:textId="77777777" w:rsidR="00D17DC3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Váltakozó kemoterápiás kezelés: nagy dózisú kemoterápiás kezelés – </w:t>
            </w:r>
          </w:p>
          <w:p w14:paraId="2BDC4C81" w14:textId="18D51720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MTX 1 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(24 órás) az 1. napon és Ara-C 2 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(12 óránként a) a 2</w:t>
            </w:r>
            <w:r w:rsidR="00D17DC3" w:rsidRPr="00CC170B">
              <w:rPr>
                <w:rStyle w:val="BodyText21"/>
                <w:color w:val="auto"/>
                <w:sz w:val="22"/>
                <w:szCs w:val="22"/>
              </w:rPr>
              <w:noBreakHyphen/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>3. napon, 4 cikluson keresztül</w:t>
            </w:r>
          </w:p>
        </w:tc>
      </w:tr>
      <w:tr w:rsidR="005B34CA" w:rsidRPr="00CC170B" w14:paraId="649822F7" w14:textId="77777777" w:rsidTr="00486CB8">
        <w:tc>
          <w:tcPr>
            <w:tcW w:w="2139" w:type="dxa"/>
            <w:tcBorders>
              <w:left w:val="nil"/>
              <w:right w:val="nil"/>
            </w:tcBorders>
          </w:tcPr>
          <w:p w14:paraId="03B1F939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Fenntartó kezelés</w:t>
            </w:r>
          </w:p>
        </w:tc>
        <w:tc>
          <w:tcPr>
            <w:tcW w:w="6933" w:type="dxa"/>
            <w:tcBorders>
              <w:left w:val="nil"/>
              <w:right w:val="nil"/>
            </w:tcBorders>
          </w:tcPr>
          <w:p w14:paraId="5DB2B67A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VCR 1,3 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az 1. napon;</w:t>
            </w:r>
          </w:p>
          <w:p w14:paraId="2C0F5E0F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Prednizolon 60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CC170B">
              <w:rPr>
                <w:rStyle w:val="BodyText21"/>
                <w:i/>
                <w:color w:val="auto"/>
                <w:sz w:val="22"/>
                <w:szCs w:val="22"/>
              </w:rPr>
              <w:t>per os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az 1-5. napon</w:t>
            </w:r>
          </w:p>
        </w:tc>
      </w:tr>
      <w:tr w:rsidR="005B34CA" w:rsidRPr="00CC170B" w14:paraId="0E55854F" w14:textId="77777777" w:rsidTr="00486CB8">
        <w:tc>
          <w:tcPr>
            <w:tcW w:w="9072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3B823C71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Bold"/>
                <w:color w:val="auto"/>
                <w:sz w:val="22"/>
                <w:szCs w:val="22"/>
              </w:rPr>
              <w:t>AUS01 vizsgálat</w:t>
            </w:r>
          </w:p>
        </w:tc>
      </w:tr>
      <w:tr w:rsidR="005B34CA" w:rsidRPr="00CC170B" w14:paraId="2E295826" w14:textId="77777777" w:rsidTr="00486CB8">
        <w:tc>
          <w:tcPr>
            <w:tcW w:w="2139" w:type="dxa"/>
            <w:tcBorders>
              <w:left w:val="nil"/>
              <w:bottom w:val="single" w:sz="4" w:space="0" w:color="auto"/>
              <w:right w:val="nil"/>
            </w:tcBorders>
          </w:tcPr>
          <w:p w14:paraId="01E7DB67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Indukciós-konszolidációs terápia</w:t>
            </w:r>
          </w:p>
        </w:tc>
        <w:tc>
          <w:tcPr>
            <w:tcW w:w="6933" w:type="dxa"/>
            <w:tcBorders>
              <w:left w:val="nil"/>
              <w:bottom w:val="single" w:sz="4" w:space="0" w:color="auto"/>
              <w:right w:val="nil"/>
            </w:tcBorders>
          </w:tcPr>
          <w:p w14:paraId="341619E2" w14:textId="7283ADEF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Hyper-CVAD protokoll:</w:t>
            </w:r>
            <w:r w:rsidR="00277DA7" w:rsidRPr="00CC170B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>CP 300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(3 órás, 12 óránként) az 1-3. napon;</w:t>
            </w:r>
          </w:p>
          <w:p w14:paraId="4EEBB317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Vinkrisztin 2 mg iv. a 4. és 11. napon;</w:t>
            </w:r>
          </w:p>
          <w:p w14:paraId="434257D7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Doxorubicin 50 mg/m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(24 órás) a 4. napon;</w:t>
            </w:r>
          </w:p>
          <w:p w14:paraId="6330AED1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DEX 40 mg/nap az 1-4. és 11-14. napon, váltva az alábbi kezeléssel:</w:t>
            </w:r>
          </w:p>
          <w:p w14:paraId="5DAF6E5A" w14:textId="4658D09C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MTX 1 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(24 órás) az 1. napon, Ara-C 1 g/m</w:t>
            </w:r>
            <w:r w:rsidRPr="00CC170B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 iv. (2</w:t>
            </w:r>
            <w:r w:rsidR="00723537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>órás, 12</w:t>
            </w:r>
            <w:r w:rsidR="00723537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>óránként) a 2-3. napon (összesen 8</w:t>
            </w:r>
            <w:r w:rsidR="00723537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>ciklus)</w:t>
            </w:r>
          </w:p>
        </w:tc>
      </w:tr>
      <w:tr w:rsidR="005B34CA" w:rsidRPr="00CC170B" w14:paraId="1ED966BF" w14:textId="77777777" w:rsidTr="00486CB8">
        <w:tc>
          <w:tcPr>
            <w:tcW w:w="2139" w:type="dxa"/>
            <w:tcBorders>
              <w:left w:val="nil"/>
              <w:right w:val="nil"/>
            </w:tcBorders>
          </w:tcPr>
          <w:p w14:paraId="03278166" w14:textId="77777777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Fenntartó kezelés</w:t>
            </w:r>
          </w:p>
        </w:tc>
        <w:tc>
          <w:tcPr>
            <w:tcW w:w="6933" w:type="dxa"/>
            <w:tcBorders>
              <w:left w:val="nil"/>
              <w:right w:val="nil"/>
            </w:tcBorders>
          </w:tcPr>
          <w:p w14:paraId="1D9BE67F" w14:textId="543C8041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>VCR 2 mg iv. havonta, 13</w:t>
            </w:r>
            <w:r w:rsidR="00723537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>hónapon keresztül;</w:t>
            </w:r>
          </w:p>
          <w:p w14:paraId="00E651B6" w14:textId="2EA06D3C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hu-HU" w:bidi="hu-HU"/>
              </w:rPr>
            </w:pPr>
            <w:r w:rsidRPr="00CC170B">
              <w:rPr>
                <w:rStyle w:val="BodyText21"/>
                <w:color w:val="auto"/>
                <w:sz w:val="22"/>
                <w:szCs w:val="22"/>
              </w:rPr>
              <w:t xml:space="preserve">Prednizolon 200 mg </w:t>
            </w:r>
            <w:r w:rsidRPr="00CC170B">
              <w:rPr>
                <w:rStyle w:val="BodyText21"/>
                <w:i/>
                <w:color w:val="auto"/>
                <w:sz w:val="22"/>
                <w:szCs w:val="22"/>
              </w:rPr>
              <w:t>per os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>, havonta 5</w:t>
            </w:r>
            <w:r w:rsidR="00723537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>napig, 13</w:t>
            </w:r>
            <w:r w:rsidR="00723537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CC170B">
              <w:rPr>
                <w:rStyle w:val="BodyText21"/>
                <w:color w:val="auto"/>
                <w:sz w:val="22"/>
                <w:szCs w:val="22"/>
              </w:rPr>
              <w:t>hónapon keresztül</w:t>
            </w:r>
          </w:p>
        </w:tc>
      </w:tr>
      <w:tr w:rsidR="005B34CA" w:rsidRPr="00CC170B" w14:paraId="6F39317F" w14:textId="77777777" w:rsidTr="00486CB8">
        <w:tc>
          <w:tcPr>
            <w:tcW w:w="9072" w:type="dxa"/>
            <w:gridSpan w:val="2"/>
            <w:tcBorders>
              <w:left w:val="nil"/>
              <w:right w:val="nil"/>
            </w:tcBorders>
          </w:tcPr>
          <w:p w14:paraId="154766A3" w14:textId="77777777" w:rsidR="005B34CA" w:rsidRPr="00CC170B" w:rsidRDefault="005B34CA" w:rsidP="00486ABB">
            <w:pPr>
              <w:pStyle w:val="Tablecaption0"/>
              <w:widowControl/>
              <w:shd w:val="clear" w:color="auto" w:fill="auto"/>
              <w:tabs>
                <w:tab w:val="left" w:pos="567"/>
              </w:tabs>
              <w:spacing w:line="240" w:lineRule="auto"/>
              <w:rPr>
                <w:rStyle w:val="BodyText21"/>
                <w:color w:val="auto"/>
                <w:sz w:val="22"/>
                <w:szCs w:val="22"/>
              </w:rPr>
            </w:pPr>
            <w:r w:rsidRPr="00CC170B">
              <w:rPr>
                <w:sz w:val="22"/>
                <w:szCs w:val="22"/>
                <w:lang w:eastAsia="hu-HU" w:bidi="hu-HU"/>
              </w:rPr>
              <w:t>Minden kezelési protokoll tartalmaz szteroidot a központi idegrendszeri hatások profilaxisa céljából.</w:t>
            </w:r>
          </w:p>
        </w:tc>
      </w:tr>
      <w:tr w:rsidR="005B34CA" w:rsidRPr="00CC170B" w14:paraId="539265C8" w14:textId="77777777" w:rsidTr="00486CB8">
        <w:tc>
          <w:tcPr>
            <w:tcW w:w="9072" w:type="dxa"/>
            <w:gridSpan w:val="2"/>
            <w:tcBorders>
              <w:left w:val="nil"/>
              <w:right w:val="nil"/>
            </w:tcBorders>
          </w:tcPr>
          <w:p w14:paraId="002CD921" w14:textId="30C83884" w:rsidR="005B34CA" w:rsidRPr="00CC170B" w:rsidRDefault="005B34CA" w:rsidP="00486ABB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</w:rPr>
            </w:pPr>
            <w:r w:rsidRPr="00CC170B">
              <w:rPr>
                <w:lang w:eastAsia="hu-HU" w:bidi="hu-HU"/>
              </w:rPr>
              <w:t>Ara-C: citarabin; CP: ciklofoszfamid; DEX: dexametazon; MTX: metotrexát; 6</w:t>
            </w:r>
            <w:r w:rsidRPr="00CC170B">
              <w:rPr>
                <w:lang w:eastAsia="hu-HU" w:bidi="hu-HU"/>
              </w:rPr>
              <w:noBreakHyphen/>
              <w:t>MP: 6</w:t>
            </w:r>
            <w:r w:rsidRPr="00CC170B">
              <w:rPr>
                <w:lang w:eastAsia="hu-HU" w:bidi="hu-HU"/>
              </w:rPr>
              <w:noBreakHyphen/>
              <w:t>merkaptopurin; VM26: tenipozid; VCR: vinkrisztin; IDA: idarubicin; iv.: intravénás alkalmazás</w:t>
            </w:r>
          </w:p>
        </w:tc>
      </w:tr>
    </w:tbl>
    <w:p w14:paraId="08BC64FE" w14:textId="77777777" w:rsidR="00FC0D76" w:rsidRPr="00CC170B" w:rsidRDefault="00FC0D76" w:rsidP="00FC0D76"/>
    <w:p w14:paraId="3E7B12BB" w14:textId="77777777" w:rsidR="00FC0D76" w:rsidRPr="00CC170B" w:rsidRDefault="00FC0D76" w:rsidP="00FC0D76">
      <w:pPr>
        <w:rPr>
          <w:i/>
        </w:rPr>
      </w:pPr>
      <w:r w:rsidRPr="00CC170B">
        <w:rPr>
          <w:i/>
          <w:u w:val="single"/>
        </w:rPr>
        <w:t>Gyermekek és serdülők</w:t>
      </w:r>
    </w:p>
    <w:p w14:paraId="6C33D426" w14:textId="77777777" w:rsidR="00277DA7" w:rsidRPr="00CC170B" w:rsidRDefault="00277DA7" w:rsidP="00FC0D76"/>
    <w:p w14:paraId="6F69B4C3" w14:textId="6C54512F" w:rsidR="00FC0D76" w:rsidRPr="00CC170B" w:rsidRDefault="00FC0D76" w:rsidP="00FC0D76">
      <w:r w:rsidRPr="00CC170B">
        <w:t>A</w:t>
      </w:r>
      <w:r w:rsidR="007F5038">
        <w:t xml:space="preserve"> </w:t>
      </w:r>
      <w:r w:rsidRPr="00CC170B">
        <w:t>nyílt elrendezésű, multicentrikus, szekvenciális kohorszú, nem</w:t>
      </w:r>
      <w:r w:rsidRPr="00CC170B">
        <w:rPr>
          <w:spacing w:val="-29"/>
        </w:rPr>
        <w:t xml:space="preserve"> </w:t>
      </w:r>
      <w:r w:rsidRPr="00CC170B">
        <w:t>randomizált,</w:t>
      </w:r>
      <w:r w:rsidR="00277DA7" w:rsidRPr="00CC170B">
        <w:t xml:space="preserve"> </w:t>
      </w:r>
      <w:r w:rsidRPr="00CC170B">
        <w:t xml:space="preserve">III. fázisú </w:t>
      </w:r>
      <w:r w:rsidR="007F5038" w:rsidRPr="00CC170B">
        <w:t xml:space="preserve">I2301-es </w:t>
      </w:r>
      <w:r w:rsidRPr="00CC170B">
        <w:t>vizsgálatba összesen 93, Ph+ ALL-ben szenvedő gyermek, serdülő és fiatal felnőtt beteget vontak be (1</w:t>
      </w:r>
      <w:r w:rsidR="00723537">
        <w:t> </w:t>
      </w:r>
      <w:r w:rsidRPr="00CC170B">
        <w:t>éves kortól 22</w:t>
      </w:r>
      <w:r w:rsidR="00723537">
        <w:t> </w:t>
      </w:r>
      <w:r w:rsidRPr="00CC170B">
        <w:t xml:space="preserve">éves korig), és kezeltek </w:t>
      </w:r>
      <w:r w:rsidR="00277DA7" w:rsidRPr="00CC170B">
        <w:t>i</w:t>
      </w:r>
      <w:r w:rsidRPr="00CC170B">
        <w:t>matinib</w:t>
      </w:r>
      <w:r w:rsidR="00277DA7" w:rsidRPr="00CC170B">
        <w:t>b</w:t>
      </w:r>
      <w:r w:rsidRPr="00CC170B">
        <w:t>el (340 mg/m</w:t>
      </w:r>
      <w:r w:rsidRPr="00CC170B">
        <w:rPr>
          <w:vertAlign w:val="superscript"/>
        </w:rPr>
        <w:t>2</w:t>
      </w:r>
      <w:r w:rsidRPr="00CC170B">
        <w:t xml:space="preserve">/nap), az indukciós kezelés után intenzív kemoterápiával kombinálva. </w:t>
      </w:r>
      <w:r w:rsidR="00430469" w:rsidRPr="00CC170B">
        <w:t xml:space="preserve">Az </w:t>
      </w:r>
      <w:r w:rsidR="00277DA7" w:rsidRPr="00CC170B">
        <w:t>i</w:t>
      </w:r>
      <w:r w:rsidR="00430469" w:rsidRPr="00CC170B">
        <w:t>matinib</w:t>
      </w:r>
      <w:r w:rsidR="00277DA7" w:rsidRPr="00CC170B">
        <w:t>et</w:t>
      </w:r>
      <w:r w:rsidRPr="00CC170B">
        <w:t xml:space="preserve"> intermittálva adták az 1–5. kohorszban, kohorszról</w:t>
      </w:r>
      <w:r w:rsidR="007F5038">
        <w:t xml:space="preserve"> </w:t>
      </w:r>
      <w:r w:rsidRPr="00CC170B">
        <w:t xml:space="preserve">kohorszra növekvő időtartamban, és </w:t>
      </w:r>
      <w:r w:rsidR="00F65A4E" w:rsidRPr="00CC170B">
        <w:t xml:space="preserve">az </w:t>
      </w:r>
      <w:r w:rsidR="00277DA7" w:rsidRPr="00CC170B">
        <w:t>i</w:t>
      </w:r>
      <w:r w:rsidR="00D07FC6" w:rsidRPr="00CC170B">
        <w:t>matinib</w:t>
      </w:r>
      <w:r w:rsidR="00277DA7" w:rsidRPr="00CC170B">
        <w:t>et</w:t>
      </w:r>
      <w:r w:rsidRPr="00CC170B">
        <w:t xml:space="preserve"> egyre korábban kezdve. Az 1. kohorsz a legalacsonyabb intenzitással, míg az 5. kohorsz a legmagasabb intenzitással (az első kemoterápiás ciklus alatt a legtöbb</w:t>
      </w:r>
      <w:r w:rsidR="0087414E" w:rsidRPr="00CC170B">
        <w:t> nap</w:t>
      </w:r>
      <w:r w:rsidRPr="00CC170B">
        <w:t>on át történő, folyamatos,</w:t>
      </w:r>
      <w:r w:rsidR="00277DA7" w:rsidRPr="00CC170B">
        <w:t xml:space="preserve"> </w:t>
      </w:r>
      <w:r w:rsidR="0087414E" w:rsidRPr="00CC170B">
        <w:t>nap</w:t>
      </w:r>
      <w:r w:rsidRPr="00CC170B">
        <w:t xml:space="preserve">i </w:t>
      </w:r>
      <w:r w:rsidR="00277DA7" w:rsidRPr="00CC170B">
        <w:t>i</w:t>
      </w:r>
      <w:r w:rsidRPr="00CC170B">
        <w:t>matinib-adagolás)</w:t>
      </w:r>
      <w:r w:rsidR="007F5038" w:rsidRPr="00CC170B">
        <w:t xml:space="preserve"> kapta az imatinibet</w:t>
      </w:r>
      <w:r w:rsidRPr="00CC170B">
        <w:t xml:space="preserve">. </w:t>
      </w:r>
      <w:r w:rsidR="00430469" w:rsidRPr="00CC170B">
        <w:t xml:space="preserve">Az </w:t>
      </w:r>
      <w:r w:rsidR="00277DA7" w:rsidRPr="00CC170B">
        <w:t>i</w:t>
      </w:r>
      <w:r w:rsidR="00430469" w:rsidRPr="00CC170B">
        <w:t xml:space="preserve">matinib </w:t>
      </w:r>
      <w:r w:rsidRPr="00CC170B">
        <w:t>folyamatos,</w:t>
      </w:r>
      <w:r w:rsidR="00277DA7" w:rsidRPr="00CC170B">
        <w:t xml:space="preserve"> </w:t>
      </w:r>
      <w:r w:rsidR="0087414E" w:rsidRPr="00CC170B">
        <w:t>nap</w:t>
      </w:r>
      <w:r w:rsidR="007F5038">
        <w:t>onként</w:t>
      </w:r>
      <w:r w:rsidRPr="00CC170B">
        <w:t>i expozíciója a terápiás ciklus korai időszakában, kemoterápiával kombinálva</w:t>
      </w:r>
      <w:r w:rsidRPr="00CC170B">
        <w:rPr>
          <w:spacing w:val="-14"/>
        </w:rPr>
        <w:t xml:space="preserve"> </w:t>
      </w:r>
      <w:r w:rsidRPr="00CC170B">
        <w:t>az</w:t>
      </w:r>
      <w:r w:rsidR="00277DA7" w:rsidRPr="00CC170B">
        <w:t xml:space="preserve"> </w:t>
      </w:r>
      <w:r w:rsidR="007F5038">
        <w:t>5. </w:t>
      </w:r>
      <w:r w:rsidRPr="00CC170B">
        <w:t>kohorsz betegeinél (n</w:t>
      </w:r>
      <w:r w:rsidR="003C27DC" w:rsidRPr="00CC170B">
        <w:t> </w:t>
      </w:r>
      <w:r w:rsidRPr="00CC170B">
        <w:t>=</w:t>
      </w:r>
      <w:r w:rsidR="003C27DC" w:rsidRPr="00CC170B">
        <w:t> </w:t>
      </w:r>
      <w:r w:rsidRPr="00CC170B">
        <w:t>50) javította a 4</w:t>
      </w:r>
      <w:r w:rsidR="003C27DC" w:rsidRPr="00CC170B">
        <w:t> </w:t>
      </w:r>
      <w:r w:rsidRPr="00CC170B">
        <w:t>éves, eseménymentes túlélést (</w:t>
      </w:r>
      <w:r w:rsidRPr="00931686">
        <w:rPr>
          <w:i/>
        </w:rPr>
        <w:t>event-free survival</w:t>
      </w:r>
      <w:r w:rsidRPr="00CC170B">
        <w:t>, EFS), azokhoz a historikus kontrollokhoz képest (n</w:t>
      </w:r>
      <w:r w:rsidR="003C27DC" w:rsidRPr="00CC170B">
        <w:t> </w:t>
      </w:r>
      <w:r w:rsidRPr="00CC170B">
        <w:t>=</w:t>
      </w:r>
      <w:r w:rsidR="003C27DC" w:rsidRPr="00CC170B">
        <w:t> </w:t>
      </w:r>
      <w:r w:rsidRPr="00CC170B">
        <w:t xml:space="preserve">120), akik </w:t>
      </w:r>
      <w:r w:rsidR="003C27DC" w:rsidRPr="00CC170B">
        <w:t>i</w:t>
      </w:r>
      <w:r w:rsidRPr="00CC170B">
        <w:t xml:space="preserve">matinib nélkül kaptak standard kemoterápiát (69,6% </w:t>
      </w:r>
      <w:r w:rsidRPr="00CC170B">
        <w:rPr>
          <w:i/>
        </w:rPr>
        <w:t xml:space="preserve">vs. </w:t>
      </w:r>
      <w:r w:rsidRPr="00CC170B">
        <w:t>31,6%). A becsült 4</w:t>
      </w:r>
      <w:r w:rsidR="00723537">
        <w:t> </w:t>
      </w:r>
      <w:r w:rsidRPr="00CC170B">
        <w:t xml:space="preserve">éves teljes túlélés az 5. kohorsz betegeinél </w:t>
      </w:r>
      <w:r w:rsidRPr="00CC170B">
        <w:lastRenderedPageBreak/>
        <w:t>83,6% volt, a historikus kontrolloknál észlelt 44,8%-hoz képest. Az 5. kohorsz 50 betege közül 20 (40%) esett át haemopoeticus</w:t>
      </w:r>
      <w:r w:rsidR="007F5038">
        <w:t>-</w:t>
      </w:r>
      <w:r w:rsidRPr="00CC170B">
        <w:t>őssejt-transzplantáción.</w:t>
      </w:r>
    </w:p>
    <w:p w14:paraId="51A21F34" w14:textId="77777777" w:rsidR="003C27DC" w:rsidRPr="00CC170B" w:rsidRDefault="003C27DC" w:rsidP="00FC0D76"/>
    <w:p w14:paraId="454894BA" w14:textId="79BB616C" w:rsidR="00FC0D76" w:rsidRPr="00CC170B" w:rsidRDefault="00FC0D76" w:rsidP="00931686">
      <w:pPr>
        <w:pStyle w:val="Listaszerbekezds"/>
        <w:keepNext/>
        <w:widowControl/>
        <w:numPr>
          <w:ilvl w:val="0"/>
          <w:numId w:val="32"/>
        </w:numPr>
        <w:ind w:left="567" w:hanging="567"/>
        <w:rPr>
          <w:b/>
          <w:bCs/>
        </w:rPr>
      </w:pPr>
      <w:r w:rsidRPr="00CC170B">
        <w:rPr>
          <w:b/>
          <w:bCs/>
        </w:rPr>
        <w:t>táblázat Az I2301-es vizsgálatban az imatinibbel kombinációban alkalmazott kemoterápiás kezelési</w:t>
      </w:r>
      <w:r w:rsidRPr="00CC170B">
        <w:rPr>
          <w:b/>
          <w:bCs/>
          <w:spacing w:val="-1"/>
        </w:rPr>
        <w:t xml:space="preserve"> </w:t>
      </w:r>
      <w:r w:rsidRPr="00CC170B">
        <w:rPr>
          <w:b/>
          <w:bCs/>
        </w:rPr>
        <w:t>protokoll</w:t>
      </w:r>
    </w:p>
    <w:p w14:paraId="0C7E6F07" w14:textId="77777777" w:rsidR="00FC0D76" w:rsidRPr="00CC170B" w:rsidRDefault="00FC0D76" w:rsidP="00931686">
      <w:pPr>
        <w:keepNext/>
        <w:widowControl/>
        <w:rPr>
          <w:bCs/>
        </w:rPr>
      </w:pP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23"/>
        <w:gridCol w:w="6349"/>
      </w:tblGrid>
      <w:tr w:rsidR="00FC0D76" w:rsidRPr="00CC170B" w14:paraId="22C7EC9A" w14:textId="77777777" w:rsidTr="002213E5">
        <w:trPr>
          <w:trHeight w:val="1820"/>
        </w:trPr>
        <w:tc>
          <w:tcPr>
            <w:tcW w:w="2723" w:type="dxa"/>
          </w:tcPr>
          <w:p w14:paraId="23E4A5CE" w14:textId="231FF223" w:rsidR="007A1545" w:rsidRPr="00CC170B" w:rsidRDefault="00FC0D76" w:rsidP="00931686">
            <w:pPr>
              <w:pStyle w:val="Listaszerbekezds"/>
              <w:keepNext/>
              <w:widowControl/>
              <w:numPr>
                <w:ilvl w:val="0"/>
                <w:numId w:val="36"/>
              </w:numPr>
              <w:ind w:left="426" w:hanging="284"/>
              <w:rPr>
                <w:lang w:val="hu-HU"/>
              </w:rPr>
            </w:pPr>
            <w:r w:rsidRPr="00CC170B">
              <w:rPr>
                <w:lang w:val="hu-HU"/>
              </w:rPr>
              <w:t xml:space="preserve">konszolidációs blokk </w:t>
            </w:r>
          </w:p>
          <w:p w14:paraId="69760FA5" w14:textId="02E9D40A" w:rsidR="00FC0D76" w:rsidRPr="00CC170B" w:rsidRDefault="00FC0D76" w:rsidP="00931686">
            <w:pPr>
              <w:keepNext/>
              <w:widowControl/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(3</w:t>
            </w:r>
            <w:r w:rsidR="006E32DF">
              <w:rPr>
                <w:lang w:val="hu-HU"/>
              </w:rPr>
              <w:t> </w:t>
            </w:r>
            <w:r w:rsidRPr="00CC170B">
              <w:rPr>
                <w:lang w:val="hu-HU"/>
              </w:rPr>
              <w:t>hét)</w:t>
            </w:r>
          </w:p>
        </w:tc>
        <w:tc>
          <w:tcPr>
            <w:tcW w:w="6349" w:type="dxa"/>
          </w:tcPr>
          <w:p w14:paraId="71431E4E" w14:textId="53505786" w:rsidR="00FC0D76" w:rsidRPr="00CC170B" w:rsidRDefault="00FC0D76" w:rsidP="00931686">
            <w:pPr>
              <w:keepNext/>
              <w:widowControl/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VP-16 (100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/nap, iv.): 1-5.</w:t>
            </w:r>
            <w:r w:rsidR="0087414E" w:rsidRPr="00CC170B">
              <w:rPr>
                <w:lang w:val="hu-HU"/>
              </w:rPr>
              <w:t> nap</w:t>
            </w:r>
          </w:p>
          <w:p w14:paraId="36EE8FB8" w14:textId="1EBBBAD3" w:rsidR="00FC0D76" w:rsidRPr="00CC170B" w:rsidRDefault="00FC0D76" w:rsidP="00931686">
            <w:pPr>
              <w:keepNext/>
              <w:widowControl/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Ifoszfamid (1,8</w:t>
            </w:r>
            <w:r w:rsidR="006A59C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/nap, iv.): 1-5.</w:t>
            </w:r>
            <w:r w:rsidR="0087414E" w:rsidRPr="00CC170B">
              <w:rPr>
                <w:lang w:val="hu-HU"/>
              </w:rPr>
              <w:t> nap</w:t>
            </w:r>
          </w:p>
          <w:p w14:paraId="790C6992" w14:textId="11F732CC" w:rsidR="00FC0D76" w:rsidRPr="00CC170B" w:rsidRDefault="00FC0D76" w:rsidP="00931686">
            <w:pPr>
              <w:keepNext/>
              <w:widowControl/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MESNA (360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/dózis 3 óránként, 8</w:t>
            </w:r>
            <w:r w:rsidR="006E32DF">
              <w:rPr>
                <w:lang w:val="hu-HU"/>
              </w:rPr>
              <w:t> </w:t>
            </w:r>
            <w:r w:rsidRPr="00CC170B">
              <w:rPr>
                <w:lang w:val="hu-HU"/>
              </w:rPr>
              <w:t>dózis/nap, iv.): 1-5.</w:t>
            </w:r>
            <w:r w:rsidR="0087414E" w:rsidRPr="00CC170B">
              <w:rPr>
                <w:lang w:val="hu-HU"/>
              </w:rPr>
              <w:t> nap</w:t>
            </w:r>
            <w:r w:rsidRPr="00CC170B">
              <w:rPr>
                <w:lang w:val="hu-HU"/>
              </w:rPr>
              <w:t xml:space="preserve"> G</w:t>
            </w:r>
            <w:r w:rsidR="006E4EA1">
              <w:rPr>
                <w:lang w:val="hu-HU"/>
              </w:rPr>
              <w:noBreakHyphen/>
            </w:r>
            <w:r w:rsidRPr="00CC170B">
              <w:rPr>
                <w:lang w:val="hu-HU"/>
              </w:rPr>
              <w:t>CSF (5</w:t>
            </w:r>
            <w:r w:rsidR="006E32DF">
              <w:rPr>
                <w:lang w:val="hu-HU"/>
              </w:rPr>
              <w:t> </w:t>
            </w:r>
            <w:r w:rsidRPr="00CC170B">
              <w:rPr>
                <w:lang w:val="hu-HU"/>
              </w:rPr>
              <w:t>mikrogramm/ttkg, sc.): 6-15.</w:t>
            </w:r>
            <w:r w:rsidR="0087414E" w:rsidRPr="00CC170B">
              <w:rPr>
                <w:lang w:val="hu-HU"/>
              </w:rPr>
              <w:t> nap</w:t>
            </w:r>
            <w:r w:rsidRPr="00CC170B">
              <w:rPr>
                <w:lang w:val="hu-HU"/>
              </w:rPr>
              <w:t xml:space="preserve"> vagy addig, amíg az ANC</w:t>
            </w:r>
            <w:r w:rsidR="006E4EA1">
              <w:rPr>
                <w:lang w:val="hu-HU"/>
              </w:rPr>
              <w:t> </w:t>
            </w:r>
            <w:r w:rsidRPr="00CC170B">
              <w:rPr>
                <w:lang w:val="hu-HU"/>
              </w:rPr>
              <w:t>&gt;1500 a mélypont után</w:t>
            </w:r>
          </w:p>
          <w:p w14:paraId="6C3AFD2C" w14:textId="66259D3D" w:rsidR="00FC0D76" w:rsidRPr="00CC170B" w:rsidRDefault="00FC0D76" w:rsidP="00931686">
            <w:pPr>
              <w:keepNext/>
              <w:widowControl/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Metotrexát it. (életkorra korrigált): CSAK az 1.</w:t>
            </w:r>
            <w:r w:rsidR="0087414E" w:rsidRPr="00CC170B">
              <w:rPr>
                <w:lang w:val="hu-HU"/>
              </w:rPr>
              <w:t> nap</w:t>
            </w:r>
          </w:p>
          <w:p w14:paraId="2E0F79FF" w14:textId="515A7ABB" w:rsidR="00FC0D76" w:rsidRPr="00CC170B" w:rsidRDefault="00FC0D76" w:rsidP="00931686">
            <w:pPr>
              <w:keepNext/>
              <w:widowControl/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Hármas it. kezelés (életkorra korrigált): 8., 15.</w:t>
            </w:r>
            <w:r w:rsidR="0087414E" w:rsidRPr="00CC170B">
              <w:rPr>
                <w:lang w:val="hu-HU"/>
              </w:rPr>
              <w:t> nap</w:t>
            </w:r>
          </w:p>
        </w:tc>
      </w:tr>
      <w:tr w:rsidR="00FC0D76" w:rsidRPr="00CC170B" w14:paraId="6355DB4F" w14:textId="77777777" w:rsidTr="002213E5">
        <w:trPr>
          <w:trHeight w:val="1820"/>
        </w:trPr>
        <w:tc>
          <w:tcPr>
            <w:tcW w:w="2723" w:type="dxa"/>
          </w:tcPr>
          <w:p w14:paraId="3AEB57A4" w14:textId="77777777" w:rsidR="007A1545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 xml:space="preserve">2. konszolidációs blokk </w:t>
            </w:r>
          </w:p>
          <w:p w14:paraId="6ACC95ED" w14:textId="184371FA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(3</w:t>
            </w:r>
            <w:r w:rsidR="005818AD">
              <w:rPr>
                <w:lang w:val="hu-HU"/>
              </w:rPr>
              <w:t> </w:t>
            </w:r>
            <w:r w:rsidRPr="00CC170B">
              <w:rPr>
                <w:lang w:val="hu-HU"/>
              </w:rPr>
              <w:t>hét)</w:t>
            </w:r>
          </w:p>
        </w:tc>
        <w:tc>
          <w:tcPr>
            <w:tcW w:w="6349" w:type="dxa"/>
          </w:tcPr>
          <w:p w14:paraId="45A097F6" w14:textId="57FDE084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Metotrexát (5</w:t>
            </w:r>
            <w:r w:rsidR="006A59C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 xml:space="preserve"> 24</w:t>
            </w:r>
            <w:r w:rsidR="006E32DF">
              <w:rPr>
                <w:lang w:val="hu-HU"/>
              </w:rPr>
              <w:t> </w:t>
            </w:r>
            <w:r w:rsidRPr="00CC170B">
              <w:rPr>
                <w:lang w:val="hu-HU"/>
              </w:rPr>
              <w:t>óra alatt, iv.): 1.</w:t>
            </w:r>
            <w:r w:rsidR="0087414E" w:rsidRPr="00CC170B">
              <w:rPr>
                <w:lang w:val="hu-HU"/>
              </w:rPr>
              <w:t> nap</w:t>
            </w:r>
          </w:p>
          <w:p w14:paraId="3CF2A3BD" w14:textId="5364846A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Leukovorin (75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 xml:space="preserve"> a 36. órában, iv.; 15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 xml:space="preserve"> iv. vagy p.o. 6</w:t>
            </w:r>
            <w:r w:rsidR="006E4EA1">
              <w:rPr>
                <w:lang w:val="hu-HU"/>
              </w:rPr>
              <w:t> </w:t>
            </w:r>
            <w:r w:rsidRPr="00CC170B">
              <w:rPr>
                <w:lang w:val="hu-HU"/>
              </w:rPr>
              <w:t>óránként, 6</w:t>
            </w:r>
            <w:r w:rsidR="006E32DF">
              <w:rPr>
                <w:lang w:val="hu-HU"/>
              </w:rPr>
              <w:t> </w:t>
            </w:r>
            <w:r w:rsidRPr="00CC170B">
              <w:rPr>
                <w:lang w:val="hu-HU"/>
              </w:rPr>
              <w:t>dózis)</w:t>
            </w:r>
            <w:r w:rsidR="006E4EA1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iii: 2. és 3.</w:t>
            </w:r>
            <w:r w:rsidR="0087414E" w:rsidRPr="00CC170B">
              <w:rPr>
                <w:lang w:val="hu-HU"/>
              </w:rPr>
              <w:t> nap</w:t>
            </w:r>
          </w:p>
          <w:p w14:paraId="43806EAA" w14:textId="512AE240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Hármas it. kezelés (életkorra korrigált): 1.</w:t>
            </w:r>
            <w:r w:rsidR="0087414E" w:rsidRPr="00CC170B">
              <w:rPr>
                <w:lang w:val="hu-HU"/>
              </w:rPr>
              <w:t> nap</w:t>
            </w:r>
          </w:p>
          <w:p w14:paraId="312243E7" w14:textId="7AC5C608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ARA-C (3</w:t>
            </w:r>
            <w:r w:rsidR="006A59C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/dózis, 12 óránként 4 dózis iv.): 2. és 3.</w:t>
            </w:r>
            <w:r w:rsidR="0087414E" w:rsidRPr="00CC170B">
              <w:rPr>
                <w:lang w:val="hu-HU"/>
              </w:rPr>
              <w:t> nap</w:t>
            </w:r>
          </w:p>
          <w:p w14:paraId="0A93CE16" w14:textId="6572E540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G-CSF (5</w:t>
            </w:r>
            <w:r w:rsidR="006A59C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mikrogramm/ttkg, sc.): 4-13.</w:t>
            </w:r>
            <w:r w:rsidR="0087414E" w:rsidRPr="00CC170B">
              <w:rPr>
                <w:lang w:val="hu-HU"/>
              </w:rPr>
              <w:t> nap</w:t>
            </w:r>
            <w:r w:rsidRPr="00CC170B">
              <w:rPr>
                <w:lang w:val="hu-HU"/>
              </w:rPr>
              <w:t xml:space="preserve"> vagy addig, amíg az ANC</w:t>
            </w:r>
            <w:r w:rsidR="006E4EA1">
              <w:rPr>
                <w:lang w:val="hu-HU"/>
              </w:rPr>
              <w:t> </w:t>
            </w:r>
            <w:r w:rsidRPr="00CC170B">
              <w:rPr>
                <w:lang w:val="hu-HU"/>
              </w:rPr>
              <w:t>&gt;1500 a mélypont után</w:t>
            </w:r>
          </w:p>
        </w:tc>
      </w:tr>
      <w:tr w:rsidR="00FC0D76" w:rsidRPr="00CC170B" w14:paraId="34D5F5EC" w14:textId="77777777" w:rsidTr="002213E5">
        <w:trPr>
          <w:trHeight w:val="2077"/>
        </w:trPr>
        <w:tc>
          <w:tcPr>
            <w:tcW w:w="2723" w:type="dxa"/>
          </w:tcPr>
          <w:p w14:paraId="365247BB" w14:textId="0D969366" w:rsidR="006A59C5" w:rsidRPr="00CC170B" w:rsidRDefault="00FC0D76" w:rsidP="006A59C5">
            <w:pPr>
              <w:pStyle w:val="Listaszerbekezds"/>
              <w:numPr>
                <w:ilvl w:val="0"/>
                <w:numId w:val="37"/>
              </w:numPr>
              <w:rPr>
                <w:lang w:val="hu-HU"/>
              </w:rPr>
            </w:pPr>
            <w:r w:rsidRPr="00CC170B">
              <w:rPr>
                <w:lang w:val="hu-HU"/>
              </w:rPr>
              <w:t xml:space="preserve">reindukciós blokk </w:t>
            </w:r>
          </w:p>
          <w:p w14:paraId="6FCB642D" w14:textId="1C9776B0" w:rsidR="00FC0D76" w:rsidRPr="00CC170B" w:rsidRDefault="00FC0D76" w:rsidP="006A59C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(3</w:t>
            </w:r>
            <w:r w:rsidR="005818AD">
              <w:rPr>
                <w:lang w:val="hu-HU"/>
              </w:rPr>
              <w:t> </w:t>
            </w:r>
            <w:r w:rsidRPr="00CC170B">
              <w:rPr>
                <w:lang w:val="hu-HU"/>
              </w:rPr>
              <w:t>hét)</w:t>
            </w:r>
          </w:p>
        </w:tc>
        <w:tc>
          <w:tcPr>
            <w:tcW w:w="6349" w:type="dxa"/>
          </w:tcPr>
          <w:p w14:paraId="68CF0390" w14:textId="4729357A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VCR (1,5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/nap, iv.): 1., 8. és 15.</w:t>
            </w:r>
            <w:r w:rsidR="0087414E" w:rsidRPr="00CC170B">
              <w:rPr>
                <w:lang w:val="hu-HU"/>
              </w:rPr>
              <w:t> nap</w:t>
            </w:r>
          </w:p>
          <w:p w14:paraId="68C896D5" w14:textId="6D8D6F2C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DAUN (45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 bolus iv.): 1. és 2.</w:t>
            </w:r>
            <w:r w:rsidR="0087414E" w:rsidRPr="00CC170B">
              <w:rPr>
                <w:lang w:val="hu-HU"/>
              </w:rPr>
              <w:t> nap</w:t>
            </w:r>
          </w:p>
          <w:p w14:paraId="724F5C51" w14:textId="1848D30E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CPM (250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/dózis 12 óránként, 4 dózis, iv.): 3. és 4.</w:t>
            </w:r>
            <w:r w:rsidR="0087414E" w:rsidRPr="00CC170B">
              <w:rPr>
                <w:lang w:val="hu-HU"/>
              </w:rPr>
              <w:t> nap</w:t>
            </w:r>
          </w:p>
          <w:p w14:paraId="699581B0" w14:textId="095EA48E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PEG-ASP (2500</w:t>
            </w:r>
            <w:r w:rsidR="006A59C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NE/m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, im.): 4.</w:t>
            </w:r>
            <w:r w:rsidR="0087414E" w:rsidRPr="00CC170B">
              <w:rPr>
                <w:lang w:val="hu-HU"/>
              </w:rPr>
              <w:t> nap</w:t>
            </w:r>
          </w:p>
          <w:p w14:paraId="279D3D4B" w14:textId="1EA2A2BE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G-CSF (5</w:t>
            </w:r>
            <w:r w:rsidR="006A59C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mikrogramm/ttkg, sc.): 5-14.</w:t>
            </w:r>
            <w:r w:rsidR="0087414E" w:rsidRPr="00CC170B">
              <w:rPr>
                <w:lang w:val="hu-HU"/>
              </w:rPr>
              <w:t> nap</w:t>
            </w:r>
            <w:r w:rsidRPr="00CC170B">
              <w:rPr>
                <w:lang w:val="hu-HU"/>
              </w:rPr>
              <w:t xml:space="preserve"> vagy addig, amíg az ANC</w:t>
            </w:r>
            <w:r w:rsidR="006E4EA1">
              <w:rPr>
                <w:lang w:val="hu-HU"/>
              </w:rPr>
              <w:t> </w:t>
            </w:r>
            <w:r w:rsidRPr="00CC170B">
              <w:rPr>
                <w:lang w:val="hu-HU"/>
              </w:rPr>
              <w:t>&gt;1500 a mélypont után</w:t>
            </w:r>
          </w:p>
          <w:p w14:paraId="56451F7E" w14:textId="250208D6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Hármas it. kezelés (életkorra korrigált): 1. és 15.</w:t>
            </w:r>
            <w:r w:rsidR="0087414E" w:rsidRPr="00CC170B">
              <w:rPr>
                <w:lang w:val="hu-HU"/>
              </w:rPr>
              <w:t> nap</w:t>
            </w:r>
            <w:r w:rsidRPr="00CC170B">
              <w:rPr>
                <w:lang w:val="hu-HU"/>
              </w:rPr>
              <w:t xml:space="preserve"> DEX (6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/nap, p.o.): 1-7. és 15-21.</w:t>
            </w:r>
            <w:r w:rsidR="0087414E" w:rsidRPr="00CC170B">
              <w:rPr>
                <w:lang w:val="hu-HU"/>
              </w:rPr>
              <w:t> nap</w:t>
            </w:r>
          </w:p>
        </w:tc>
      </w:tr>
      <w:tr w:rsidR="00FC0D76" w:rsidRPr="00CC170B" w14:paraId="4E0B6B85" w14:textId="77777777" w:rsidTr="002213E5">
        <w:trPr>
          <w:trHeight w:val="2855"/>
        </w:trPr>
        <w:tc>
          <w:tcPr>
            <w:tcW w:w="2723" w:type="dxa"/>
          </w:tcPr>
          <w:p w14:paraId="6922B43C" w14:textId="73695166" w:rsidR="006A59C5" w:rsidRPr="00CC170B" w:rsidRDefault="00FC0D76" w:rsidP="006A59C5">
            <w:pPr>
              <w:pStyle w:val="Listaszerbekezds"/>
              <w:numPr>
                <w:ilvl w:val="0"/>
                <w:numId w:val="38"/>
              </w:numPr>
              <w:rPr>
                <w:lang w:val="hu-HU"/>
              </w:rPr>
            </w:pPr>
            <w:r w:rsidRPr="00CC170B">
              <w:rPr>
                <w:lang w:val="hu-HU"/>
              </w:rPr>
              <w:t xml:space="preserve">intenzifikációs blokk </w:t>
            </w:r>
          </w:p>
          <w:p w14:paraId="0F482DB6" w14:textId="53E8AF01" w:rsidR="00FC0D76" w:rsidRPr="00CC170B" w:rsidRDefault="00FC0D76" w:rsidP="006E32DF">
            <w:pPr>
              <w:pStyle w:val="Listaszerbekezds"/>
              <w:ind w:left="502" w:hanging="360"/>
              <w:rPr>
                <w:lang w:val="hu-HU"/>
              </w:rPr>
            </w:pPr>
            <w:r w:rsidRPr="00CC170B">
              <w:rPr>
                <w:lang w:val="hu-HU"/>
              </w:rPr>
              <w:t>(9</w:t>
            </w:r>
            <w:r w:rsidR="005818AD">
              <w:rPr>
                <w:lang w:val="hu-HU"/>
              </w:rPr>
              <w:t> </w:t>
            </w:r>
            <w:r w:rsidRPr="00CC170B">
              <w:rPr>
                <w:lang w:val="hu-HU"/>
              </w:rPr>
              <w:t>hét)</w:t>
            </w:r>
          </w:p>
        </w:tc>
        <w:tc>
          <w:tcPr>
            <w:tcW w:w="6349" w:type="dxa"/>
          </w:tcPr>
          <w:p w14:paraId="5F0E63D3" w14:textId="3AEDAF62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Metotrexát (5</w:t>
            </w:r>
            <w:r w:rsidR="006A59C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 xml:space="preserve"> 24</w:t>
            </w:r>
            <w:r w:rsidR="006E32DF">
              <w:rPr>
                <w:lang w:val="hu-HU"/>
              </w:rPr>
              <w:t> </w:t>
            </w:r>
            <w:r w:rsidRPr="00CC170B">
              <w:rPr>
                <w:lang w:val="hu-HU"/>
              </w:rPr>
              <w:t>óra alatt, iv.): 1. és 15.</w:t>
            </w:r>
            <w:r w:rsidR="0087414E" w:rsidRPr="00CC170B">
              <w:rPr>
                <w:lang w:val="hu-HU"/>
              </w:rPr>
              <w:t> nap</w:t>
            </w:r>
          </w:p>
          <w:p w14:paraId="46188525" w14:textId="604A12DC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Leukovorin (75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 xml:space="preserve"> a 36. órában, iv.; 15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 xml:space="preserve"> iv. vagy p.o. 6</w:t>
            </w:r>
            <w:r w:rsidR="006E4EA1">
              <w:rPr>
                <w:lang w:val="hu-HU"/>
              </w:rPr>
              <w:t> </w:t>
            </w:r>
            <w:r w:rsidRPr="00CC170B">
              <w:rPr>
                <w:lang w:val="hu-HU"/>
              </w:rPr>
              <w:t>óránként, 6 dózis)</w:t>
            </w:r>
            <w:r w:rsidR="006E4EA1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iii: 2., 3., 16. és 17.</w:t>
            </w:r>
            <w:r w:rsidR="0087414E" w:rsidRPr="00CC170B">
              <w:rPr>
                <w:lang w:val="hu-HU"/>
              </w:rPr>
              <w:t> nap</w:t>
            </w:r>
          </w:p>
          <w:p w14:paraId="35B8C112" w14:textId="1F886CBA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Hármas it. kezelés (életkorra korrigált): 1. és 22.</w:t>
            </w:r>
            <w:r w:rsidR="0087414E" w:rsidRPr="00CC170B">
              <w:rPr>
                <w:lang w:val="hu-HU"/>
              </w:rPr>
              <w:t> nap</w:t>
            </w:r>
            <w:r w:rsidRPr="00CC170B">
              <w:rPr>
                <w:lang w:val="hu-HU"/>
              </w:rPr>
              <w:t xml:space="preserve"> VP-16 (100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/nap, iv.): 22-26.</w:t>
            </w:r>
            <w:r w:rsidR="0087414E" w:rsidRPr="00CC170B">
              <w:rPr>
                <w:lang w:val="hu-HU"/>
              </w:rPr>
              <w:t> nap</w:t>
            </w:r>
          </w:p>
          <w:p w14:paraId="0BD3A735" w14:textId="0FF7A8AF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CPM (300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/nap, iv.): 22-26.</w:t>
            </w:r>
            <w:r w:rsidR="0087414E" w:rsidRPr="00CC170B">
              <w:rPr>
                <w:lang w:val="hu-HU"/>
              </w:rPr>
              <w:t> nap</w:t>
            </w:r>
          </w:p>
          <w:p w14:paraId="51C263A9" w14:textId="7A936618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MESNA (150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/nap, iv.): 22-26.</w:t>
            </w:r>
            <w:r w:rsidR="0087414E" w:rsidRPr="00CC170B">
              <w:rPr>
                <w:lang w:val="hu-HU"/>
              </w:rPr>
              <w:t> nap</w:t>
            </w:r>
          </w:p>
          <w:p w14:paraId="29762835" w14:textId="5CDB6BC6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G-CSF (5</w:t>
            </w:r>
            <w:r w:rsidR="006A59C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mikrogramm/ttkg, sc.): 27-36.</w:t>
            </w:r>
            <w:r w:rsidR="0087414E" w:rsidRPr="00CC170B">
              <w:rPr>
                <w:lang w:val="hu-HU"/>
              </w:rPr>
              <w:t> nap</w:t>
            </w:r>
            <w:r w:rsidRPr="00CC170B">
              <w:rPr>
                <w:lang w:val="hu-HU"/>
              </w:rPr>
              <w:t xml:space="preserve"> vagy addig, amíg az ANC &gt;1500 a mélypont után</w:t>
            </w:r>
          </w:p>
          <w:p w14:paraId="34F13C9E" w14:textId="0644585C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ARA-C (3</w:t>
            </w:r>
            <w:r w:rsidR="006A59C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, 12 óránként, iv.): 43., 44.</w:t>
            </w:r>
            <w:r w:rsidR="0087414E" w:rsidRPr="00CC170B">
              <w:rPr>
                <w:lang w:val="hu-HU"/>
              </w:rPr>
              <w:t> nap</w:t>
            </w:r>
          </w:p>
          <w:p w14:paraId="25AF3831" w14:textId="6C97D90D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L-ASP (6000</w:t>
            </w:r>
            <w:r w:rsidR="006A59C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NE/m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, im.): 44.</w:t>
            </w:r>
            <w:r w:rsidR="0087414E" w:rsidRPr="00CC170B">
              <w:rPr>
                <w:lang w:val="hu-HU"/>
              </w:rPr>
              <w:t> nap</w:t>
            </w:r>
          </w:p>
        </w:tc>
      </w:tr>
      <w:tr w:rsidR="00FC0D76" w:rsidRPr="00CC170B" w14:paraId="7D5ED2A3" w14:textId="77777777" w:rsidTr="002213E5">
        <w:trPr>
          <w:trHeight w:val="2080"/>
        </w:trPr>
        <w:tc>
          <w:tcPr>
            <w:tcW w:w="2723" w:type="dxa"/>
          </w:tcPr>
          <w:p w14:paraId="0E79A90C" w14:textId="6C56F52B" w:rsidR="002213E5" w:rsidRPr="00CC170B" w:rsidRDefault="00FC0D76" w:rsidP="002213E5">
            <w:pPr>
              <w:pStyle w:val="Listaszerbekezds"/>
              <w:numPr>
                <w:ilvl w:val="0"/>
                <w:numId w:val="38"/>
              </w:numPr>
              <w:rPr>
                <w:lang w:val="hu-HU"/>
              </w:rPr>
            </w:pPr>
            <w:r w:rsidRPr="00CC170B">
              <w:rPr>
                <w:lang w:val="hu-HU"/>
              </w:rPr>
              <w:t xml:space="preserve">reindukciós blokk </w:t>
            </w:r>
          </w:p>
          <w:p w14:paraId="27289E3E" w14:textId="75620284" w:rsidR="00FC0D76" w:rsidRPr="00CC170B" w:rsidRDefault="00FC0D76" w:rsidP="006E32DF">
            <w:pPr>
              <w:pStyle w:val="Listaszerbekezds"/>
              <w:ind w:left="502" w:hanging="360"/>
              <w:rPr>
                <w:lang w:val="hu-HU"/>
              </w:rPr>
            </w:pPr>
            <w:r w:rsidRPr="00CC170B">
              <w:rPr>
                <w:lang w:val="hu-HU"/>
              </w:rPr>
              <w:t>(3</w:t>
            </w:r>
            <w:r w:rsidR="005818AD">
              <w:rPr>
                <w:lang w:val="hu-HU"/>
              </w:rPr>
              <w:t> </w:t>
            </w:r>
            <w:r w:rsidRPr="00CC170B">
              <w:rPr>
                <w:lang w:val="hu-HU"/>
              </w:rPr>
              <w:t>hét)</w:t>
            </w:r>
          </w:p>
        </w:tc>
        <w:tc>
          <w:tcPr>
            <w:tcW w:w="6349" w:type="dxa"/>
          </w:tcPr>
          <w:p w14:paraId="5C4B6A97" w14:textId="1EA97953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VCR (1,5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/nap, iv.): 1., 8. és 15.</w:t>
            </w:r>
            <w:r w:rsidR="0087414E" w:rsidRPr="00CC170B">
              <w:rPr>
                <w:lang w:val="hu-HU"/>
              </w:rPr>
              <w:t> nap</w:t>
            </w:r>
          </w:p>
          <w:p w14:paraId="54451A4A" w14:textId="2764C415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DAUN (45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 bolus, iv.): 1. és 2.</w:t>
            </w:r>
            <w:r w:rsidR="0087414E" w:rsidRPr="00CC170B">
              <w:rPr>
                <w:lang w:val="hu-HU"/>
              </w:rPr>
              <w:t> nap</w:t>
            </w:r>
          </w:p>
          <w:p w14:paraId="7A0E7740" w14:textId="5E413846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CPM (250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/dózis 12 óránként, 4 dózis, iv.): 3. és 4.</w:t>
            </w:r>
            <w:r w:rsidR="0087414E" w:rsidRPr="00CC170B">
              <w:rPr>
                <w:lang w:val="hu-HU"/>
              </w:rPr>
              <w:t> nap</w:t>
            </w:r>
          </w:p>
          <w:p w14:paraId="1801C172" w14:textId="41D6DF75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PEG-ASP (2500</w:t>
            </w:r>
            <w:r w:rsidR="006E32DF">
              <w:rPr>
                <w:lang w:val="hu-HU"/>
              </w:rPr>
              <w:t> </w:t>
            </w:r>
            <w:r w:rsidRPr="00CC170B">
              <w:rPr>
                <w:lang w:val="hu-HU"/>
              </w:rPr>
              <w:t>NE/m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, im.): 4.</w:t>
            </w:r>
            <w:r w:rsidR="0087414E" w:rsidRPr="00CC170B">
              <w:rPr>
                <w:lang w:val="hu-HU"/>
              </w:rPr>
              <w:t> nap</w:t>
            </w:r>
          </w:p>
          <w:p w14:paraId="1666FB2C" w14:textId="03A26756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G-CSF (5 mikrogramm/ttkg, sc.): 5-14.</w:t>
            </w:r>
            <w:r w:rsidR="0087414E" w:rsidRPr="00CC170B">
              <w:rPr>
                <w:lang w:val="hu-HU"/>
              </w:rPr>
              <w:t> nap</w:t>
            </w:r>
            <w:r w:rsidRPr="00CC170B">
              <w:rPr>
                <w:lang w:val="hu-HU"/>
              </w:rPr>
              <w:t xml:space="preserve"> vagy addig, amíg az ANC</w:t>
            </w:r>
            <w:r w:rsidR="006E4EA1">
              <w:rPr>
                <w:lang w:val="hu-HU"/>
              </w:rPr>
              <w:t> </w:t>
            </w:r>
            <w:r w:rsidRPr="00CC170B">
              <w:rPr>
                <w:lang w:val="hu-HU"/>
              </w:rPr>
              <w:t>&gt;1500 a mélypont után</w:t>
            </w:r>
          </w:p>
          <w:p w14:paraId="07BE88C6" w14:textId="4EF25D81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Hármas it. kezelés (életkorra korrigált): 1. és 15.</w:t>
            </w:r>
            <w:r w:rsidR="0087414E" w:rsidRPr="00CC170B">
              <w:rPr>
                <w:lang w:val="hu-HU"/>
              </w:rPr>
              <w:t> nap</w:t>
            </w:r>
          </w:p>
          <w:p w14:paraId="3391D9D7" w14:textId="0AD443BD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DEX (6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/nap, p.o.): 1-7. és 15-21.</w:t>
            </w:r>
            <w:r w:rsidR="0087414E" w:rsidRPr="00CC170B">
              <w:rPr>
                <w:lang w:val="hu-HU"/>
              </w:rPr>
              <w:t> nap</w:t>
            </w:r>
          </w:p>
        </w:tc>
      </w:tr>
      <w:tr w:rsidR="00FC0D76" w:rsidRPr="00CC170B" w14:paraId="147C471A" w14:textId="77777777" w:rsidTr="002213E5">
        <w:trPr>
          <w:trHeight w:val="2860"/>
        </w:trPr>
        <w:tc>
          <w:tcPr>
            <w:tcW w:w="2723" w:type="dxa"/>
          </w:tcPr>
          <w:p w14:paraId="77F8D83B" w14:textId="69501151" w:rsidR="002213E5" w:rsidRPr="006E32DF" w:rsidRDefault="00FC0D76" w:rsidP="006E32DF">
            <w:pPr>
              <w:pStyle w:val="Listaszerbekezds"/>
              <w:numPr>
                <w:ilvl w:val="0"/>
                <w:numId w:val="37"/>
              </w:numPr>
              <w:rPr>
                <w:lang w:val="hu-HU"/>
              </w:rPr>
            </w:pPr>
            <w:r w:rsidRPr="006E32DF">
              <w:rPr>
                <w:lang w:val="hu-HU"/>
              </w:rPr>
              <w:lastRenderedPageBreak/>
              <w:t xml:space="preserve">intenzifikációs blokk </w:t>
            </w:r>
          </w:p>
          <w:p w14:paraId="39C3A6A2" w14:textId="3DE86E68" w:rsidR="00FC0D76" w:rsidRPr="00CC170B" w:rsidRDefault="00FC0D76" w:rsidP="006E32DF">
            <w:pPr>
              <w:pStyle w:val="Listaszerbekezds"/>
              <w:ind w:left="502" w:hanging="360"/>
              <w:rPr>
                <w:lang w:val="hu-HU"/>
              </w:rPr>
            </w:pPr>
            <w:r w:rsidRPr="00CC170B">
              <w:rPr>
                <w:lang w:val="hu-HU"/>
              </w:rPr>
              <w:t>(9</w:t>
            </w:r>
            <w:r w:rsidR="005818AD">
              <w:rPr>
                <w:lang w:val="hu-HU"/>
              </w:rPr>
              <w:t> </w:t>
            </w:r>
            <w:r w:rsidRPr="00CC170B">
              <w:rPr>
                <w:lang w:val="hu-HU"/>
              </w:rPr>
              <w:t>hét)</w:t>
            </w:r>
          </w:p>
        </w:tc>
        <w:tc>
          <w:tcPr>
            <w:tcW w:w="6349" w:type="dxa"/>
          </w:tcPr>
          <w:p w14:paraId="21DC7297" w14:textId="3ED1F769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Metotrexát (5</w:t>
            </w:r>
            <w:r w:rsidR="00395A66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 xml:space="preserve"> 24 óra alatt, iv.): 1. és 15.</w:t>
            </w:r>
            <w:r w:rsidR="0087414E" w:rsidRPr="00CC170B">
              <w:rPr>
                <w:lang w:val="hu-HU"/>
              </w:rPr>
              <w:t> nap</w:t>
            </w:r>
          </w:p>
          <w:p w14:paraId="2124C740" w14:textId="08630D8F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Leukovorin (75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 xml:space="preserve"> a 36. órában, iv.; 15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 xml:space="preserve"> iv. vagy p.o. 6</w:t>
            </w:r>
            <w:r w:rsidR="006E4EA1">
              <w:rPr>
                <w:lang w:val="hu-HU"/>
              </w:rPr>
              <w:t> </w:t>
            </w:r>
            <w:r w:rsidRPr="00CC170B">
              <w:rPr>
                <w:lang w:val="hu-HU"/>
              </w:rPr>
              <w:t>óránként, 6 dózis)</w:t>
            </w:r>
            <w:r w:rsidR="006E4EA1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iii: 2., 3., 16. és 17.</w:t>
            </w:r>
            <w:r w:rsidR="0087414E" w:rsidRPr="00CC170B">
              <w:rPr>
                <w:lang w:val="hu-HU"/>
              </w:rPr>
              <w:t> nap</w:t>
            </w:r>
          </w:p>
          <w:p w14:paraId="751D4787" w14:textId="77777777" w:rsidR="005818AD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Hármas it. kezelés (életkorra korrigált): 1. és 22.</w:t>
            </w:r>
            <w:r w:rsidR="0087414E" w:rsidRPr="00CC170B">
              <w:rPr>
                <w:lang w:val="hu-HU"/>
              </w:rPr>
              <w:t> nap</w:t>
            </w:r>
            <w:r w:rsidRPr="00CC170B">
              <w:rPr>
                <w:lang w:val="hu-HU"/>
              </w:rPr>
              <w:t xml:space="preserve"> </w:t>
            </w:r>
          </w:p>
          <w:p w14:paraId="1AFCA52A" w14:textId="67319B3C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VP-16 (100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/nap, iv.): 22-26.</w:t>
            </w:r>
            <w:r w:rsidR="0087414E" w:rsidRPr="00CC170B">
              <w:rPr>
                <w:lang w:val="hu-HU"/>
              </w:rPr>
              <w:t> nap</w:t>
            </w:r>
          </w:p>
          <w:p w14:paraId="6958F799" w14:textId="04855DF9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CPM (300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/nap, iv.): 22-26.</w:t>
            </w:r>
            <w:r w:rsidR="0087414E" w:rsidRPr="00CC170B">
              <w:rPr>
                <w:lang w:val="hu-HU"/>
              </w:rPr>
              <w:t> nap</w:t>
            </w:r>
          </w:p>
          <w:p w14:paraId="151FA364" w14:textId="4CC56EA9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MESNA (150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/nap, iv.): 22-26.</w:t>
            </w:r>
            <w:r w:rsidR="0087414E" w:rsidRPr="00CC170B">
              <w:rPr>
                <w:lang w:val="hu-HU"/>
              </w:rPr>
              <w:t> nap</w:t>
            </w:r>
          </w:p>
          <w:p w14:paraId="79CC0200" w14:textId="0A27BDBF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G-CSF (5</w:t>
            </w:r>
            <w:r w:rsidR="005818AD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mikrogramm/ttkg, sc.): 27-36.</w:t>
            </w:r>
            <w:r w:rsidR="0087414E" w:rsidRPr="00CC170B">
              <w:rPr>
                <w:lang w:val="hu-HU"/>
              </w:rPr>
              <w:t> nap</w:t>
            </w:r>
            <w:r w:rsidRPr="00CC170B">
              <w:rPr>
                <w:lang w:val="hu-HU"/>
              </w:rPr>
              <w:t xml:space="preserve"> vagy addig, amíg az ANC &gt;</w:t>
            </w:r>
            <w:r w:rsidR="005818AD">
              <w:rPr>
                <w:lang w:val="hu-HU"/>
              </w:rPr>
              <w:t> </w:t>
            </w:r>
            <w:r w:rsidRPr="00CC170B">
              <w:rPr>
                <w:lang w:val="hu-HU"/>
              </w:rPr>
              <w:t>1500 a mélypont után</w:t>
            </w:r>
          </w:p>
          <w:p w14:paraId="2275AF91" w14:textId="7074C3CC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ARA-C (3</w:t>
            </w:r>
            <w:r w:rsidR="005818AD">
              <w:rPr>
                <w:lang w:val="hu-HU"/>
              </w:rPr>
              <w:t> </w:t>
            </w:r>
            <w:r w:rsidRPr="00CC170B">
              <w:rPr>
                <w:lang w:val="hu-HU"/>
              </w:rPr>
              <w:t>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, 12 óránként, iv.): 43., 44.</w:t>
            </w:r>
            <w:r w:rsidR="0087414E" w:rsidRPr="00CC170B">
              <w:rPr>
                <w:lang w:val="hu-HU"/>
              </w:rPr>
              <w:t> nap</w:t>
            </w:r>
          </w:p>
          <w:p w14:paraId="17DD0101" w14:textId="6AF59992" w:rsidR="00FC0D76" w:rsidRPr="00CC170B" w:rsidRDefault="00FC0D76" w:rsidP="007A1545">
            <w:pPr>
              <w:ind w:left="142"/>
              <w:rPr>
                <w:lang w:val="hu-HU"/>
              </w:rPr>
            </w:pPr>
            <w:r w:rsidRPr="00CC170B">
              <w:rPr>
                <w:lang w:val="hu-HU"/>
              </w:rPr>
              <w:t>L-ASP (6000</w:t>
            </w:r>
            <w:r w:rsidR="005818AD">
              <w:rPr>
                <w:lang w:val="hu-HU"/>
              </w:rPr>
              <w:t> </w:t>
            </w:r>
            <w:r w:rsidRPr="00CC170B">
              <w:rPr>
                <w:lang w:val="hu-HU"/>
              </w:rPr>
              <w:t>NE/m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, im.): 44.</w:t>
            </w:r>
            <w:r w:rsidR="0087414E" w:rsidRPr="00CC170B">
              <w:rPr>
                <w:lang w:val="hu-HU"/>
              </w:rPr>
              <w:t> nap</w:t>
            </w:r>
          </w:p>
        </w:tc>
      </w:tr>
      <w:tr w:rsidR="00FC0D76" w:rsidRPr="00CC170B" w14:paraId="59AD8711" w14:textId="77777777" w:rsidTr="002213E5">
        <w:trPr>
          <w:trHeight w:val="3120"/>
        </w:trPr>
        <w:tc>
          <w:tcPr>
            <w:tcW w:w="2723" w:type="dxa"/>
          </w:tcPr>
          <w:p w14:paraId="67921BBB" w14:textId="77777777" w:rsidR="002213E5" w:rsidRPr="00CC170B" w:rsidRDefault="00FC0D76" w:rsidP="00395A66">
            <w:pPr>
              <w:ind w:left="169"/>
              <w:rPr>
                <w:lang w:val="hu-HU"/>
              </w:rPr>
            </w:pPr>
            <w:r w:rsidRPr="00CC170B">
              <w:rPr>
                <w:lang w:val="hu-HU"/>
              </w:rPr>
              <w:t xml:space="preserve">Fenntartó kezelés </w:t>
            </w:r>
          </w:p>
          <w:p w14:paraId="36F118F5" w14:textId="1548B900" w:rsidR="00FC0D76" w:rsidRPr="00CC170B" w:rsidRDefault="00FC0D76" w:rsidP="00395A66">
            <w:pPr>
              <w:ind w:left="169"/>
              <w:rPr>
                <w:lang w:val="hu-HU"/>
              </w:rPr>
            </w:pPr>
            <w:r w:rsidRPr="00CC170B">
              <w:rPr>
                <w:lang w:val="hu-HU"/>
              </w:rPr>
              <w:t>(8</w:t>
            </w:r>
            <w:r w:rsidR="005818AD">
              <w:rPr>
                <w:lang w:val="hu-HU"/>
              </w:rPr>
              <w:t> </w:t>
            </w:r>
            <w:r w:rsidRPr="00CC170B">
              <w:rPr>
                <w:lang w:val="hu-HU"/>
              </w:rPr>
              <w:t>hetes ciklusok)</w:t>
            </w:r>
          </w:p>
          <w:p w14:paraId="5A5741F3" w14:textId="61953324" w:rsidR="00FC0D76" w:rsidRPr="00CC170B" w:rsidRDefault="00FC0D76" w:rsidP="00395A66">
            <w:pPr>
              <w:ind w:left="169"/>
              <w:rPr>
                <w:lang w:val="hu-HU"/>
              </w:rPr>
            </w:pPr>
            <w:r w:rsidRPr="00CC170B">
              <w:rPr>
                <w:lang w:val="hu-HU"/>
              </w:rPr>
              <w:t xml:space="preserve">1–4. </w:t>
            </w:r>
            <w:r w:rsidR="002213E5" w:rsidRPr="00CC170B">
              <w:rPr>
                <w:lang w:val="hu-HU"/>
              </w:rPr>
              <w:t>c</w:t>
            </w:r>
            <w:r w:rsidRPr="00CC170B">
              <w:rPr>
                <w:lang w:val="hu-HU"/>
              </w:rPr>
              <w:t>iklus</w:t>
            </w:r>
          </w:p>
        </w:tc>
        <w:tc>
          <w:tcPr>
            <w:tcW w:w="6349" w:type="dxa"/>
          </w:tcPr>
          <w:p w14:paraId="6089E409" w14:textId="250C75F3" w:rsidR="00FC0D76" w:rsidRPr="00CC170B" w:rsidRDefault="00FC0D76" w:rsidP="005818AD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MTX (5 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 xml:space="preserve"> 24 óra alatt, iv.): 1.</w:t>
            </w:r>
            <w:r w:rsidR="0087414E" w:rsidRPr="00CC170B">
              <w:rPr>
                <w:lang w:val="hu-HU"/>
              </w:rPr>
              <w:t> nap</w:t>
            </w:r>
          </w:p>
          <w:p w14:paraId="24FE2887" w14:textId="73931911" w:rsidR="00FC0D76" w:rsidRPr="00CC170B" w:rsidRDefault="00FC0D76" w:rsidP="006E4EA1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Leukovorin (75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 xml:space="preserve"> a 36. órában, iv.; 15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 xml:space="preserve"> iv. vagy p.o. 6</w:t>
            </w:r>
            <w:r w:rsidR="006E4EA1">
              <w:rPr>
                <w:lang w:val="hu-HU"/>
              </w:rPr>
              <w:t> </w:t>
            </w:r>
            <w:r w:rsidRPr="00CC170B">
              <w:rPr>
                <w:lang w:val="hu-HU"/>
              </w:rPr>
              <w:t>óránként, 6 dózis)</w:t>
            </w:r>
            <w:r w:rsidR="006E4EA1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iii: 2. és 3.</w:t>
            </w:r>
            <w:r w:rsidR="0087414E" w:rsidRPr="00CC170B">
              <w:rPr>
                <w:lang w:val="hu-HU"/>
              </w:rPr>
              <w:t> nap</w:t>
            </w:r>
          </w:p>
          <w:p w14:paraId="4565952A" w14:textId="35E8D6FE" w:rsidR="00FC0D76" w:rsidRPr="00CC170B" w:rsidRDefault="00FC0D76" w:rsidP="005818AD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Hármas it. kezelés (életkorra korrigált): 1., 29.</w:t>
            </w:r>
            <w:r w:rsidR="0087414E" w:rsidRPr="00CC170B">
              <w:rPr>
                <w:lang w:val="hu-HU"/>
              </w:rPr>
              <w:t> nap</w:t>
            </w:r>
            <w:r w:rsidRPr="00CC170B">
              <w:rPr>
                <w:lang w:val="hu-HU"/>
              </w:rPr>
              <w:t xml:space="preserve"> VCR (1,5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, iv.): 1., 29.</w:t>
            </w:r>
            <w:r w:rsidR="0087414E" w:rsidRPr="00CC170B">
              <w:rPr>
                <w:lang w:val="hu-HU"/>
              </w:rPr>
              <w:t> nap</w:t>
            </w:r>
          </w:p>
          <w:p w14:paraId="65184918" w14:textId="6F06131C" w:rsidR="00FC0D76" w:rsidRPr="00CC170B" w:rsidRDefault="00FC0D76" w:rsidP="005818AD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DEX (6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/nap, p.o.): 1-5.; 29-33.</w:t>
            </w:r>
            <w:r w:rsidR="0087414E" w:rsidRPr="00CC170B">
              <w:rPr>
                <w:lang w:val="hu-HU"/>
              </w:rPr>
              <w:t> nap</w:t>
            </w:r>
          </w:p>
          <w:p w14:paraId="6FB8F994" w14:textId="5113FAE5" w:rsidR="00FC0D76" w:rsidRPr="00CC170B" w:rsidRDefault="00FC0D76" w:rsidP="005818AD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6-MP (75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/nap, p.o.): 8-28.</w:t>
            </w:r>
            <w:r w:rsidR="0087414E" w:rsidRPr="00CC170B">
              <w:rPr>
                <w:lang w:val="hu-HU"/>
              </w:rPr>
              <w:t> nap</w:t>
            </w:r>
          </w:p>
          <w:p w14:paraId="264B9722" w14:textId="6D7FE349" w:rsidR="00FC0D76" w:rsidRPr="00CC170B" w:rsidRDefault="00FC0D76" w:rsidP="005818AD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Metotrexát (20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/hét, p.o.): 8., 15., 22.</w:t>
            </w:r>
            <w:r w:rsidR="0087414E" w:rsidRPr="00CC170B">
              <w:rPr>
                <w:lang w:val="hu-HU"/>
              </w:rPr>
              <w:t> nap</w:t>
            </w:r>
          </w:p>
          <w:p w14:paraId="3CF1AA46" w14:textId="40AEDF10" w:rsidR="00FC0D76" w:rsidRPr="00CC170B" w:rsidRDefault="00FC0D76" w:rsidP="005818AD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VP-16 (100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, iv.): 29-33.</w:t>
            </w:r>
            <w:r w:rsidR="0087414E" w:rsidRPr="00CC170B">
              <w:rPr>
                <w:lang w:val="hu-HU"/>
              </w:rPr>
              <w:t> nap</w:t>
            </w:r>
          </w:p>
          <w:p w14:paraId="01D108A2" w14:textId="77777777" w:rsidR="00C7183F" w:rsidRDefault="00FC0D76" w:rsidP="005818AD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CPM (300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, iv.): 29-33.</w:t>
            </w:r>
            <w:r w:rsidR="0087414E" w:rsidRPr="00CC170B">
              <w:rPr>
                <w:lang w:val="hu-HU"/>
              </w:rPr>
              <w:t> nap</w:t>
            </w:r>
            <w:r w:rsidRPr="00CC170B">
              <w:rPr>
                <w:lang w:val="hu-HU"/>
              </w:rPr>
              <w:t xml:space="preserve"> </w:t>
            </w:r>
          </w:p>
          <w:p w14:paraId="1E1E1EBE" w14:textId="5806394C" w:rsidR="00FC0D76" w:rsidRPr="00CC170B" w:rsidRDefault="00FC0D76" w:rsidP="005818AD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MESNA iv., 29-33.</w:t>
            </w:r>
            <w:r w:rsidR="0087414E" w:rsidRPr="00CC170B">
              <w:rPr>
                <w:lang w:val="hu-HU"/>
              </w:rPr>
              <w:t> nap</w:t>
            </w:r>
          </w:p>
          <w:p w14:paraId="048E144D" w14:textId="524CD10A" w:rsidR="00FC0D76" w:rsidRPr="00CC170B" w:rsidRDefault="00FC0D76" w:rsidP="005818AD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G-CSF (5 mikrogramm/ttkg, sc.): 34-43.</w:t>
            </w:r>
            <w:r w:rsidR="0087414E" w:rsidRPr="00CC170B">
              <w:rPr>
                <w:lang w:val="hu-HU"/>
              </w:rPr>
              <w:t> nap</w:t>
            </w:r>
          </w:p>
        </w:tc>
      </w:tr>
      <w:tr w:rsidR="00FC0D76" w:rsidRPr="00CC170B" w14:paraId="5F155F9E" w14:textId="77777777" w:rsidTr="002213E5">
        <w:trPr>
          <w:trHeight w:val="2860"/>
        </w:trPr>
        <w:tc>
          <w:tcPr>
            <w:tcW w:w="2723" w:type="dxa"/>
          </w:tcPr>
          <w:p w14:paraId="4C3850BC" w14:textId="77777777" w:rsidR="002213E5" w:rsidRPr="00CC170B" w:rsidRDefault="00FC0D76" w:rsidP="00395A66">
            <w:pPr>
              <w:ind w:left="169"/>
              <w:rPr>
                <w:lang w:val="hu-HU"/>
              </w:rPr>
            </w:pPr>
            <w:r w:rsidRPr="00CC170B">
              <w:rPr>
                <w:lang w:val="hu-HU"/>
              </w:rPr>
              <w:t xml:space="preserve">Fenntartó kezelés </w:t>
            </w:r>
          </w:p>
          <w:p w14:paraId="712380BF" w14:textId="4FB41FE4" w:rsidR="00FC0D76" w:rsidRPr="00CC170B" w:rsidRDefault="00FC0D76" w:rsidP="00395A66">
            <w:pPr>
              <w:ind w:left="169"/>
              <w:rPr>
                <w:lang w:val="hu-HU"/>
              </w:rPr>
            </w:pPr>
            <w:r w:rsidRPr="00CC170B">
              <w:rPr>
                <w:lang w:val="hu-HU"/>
              </w:rPr>
              <w:t>(8 hetes ciklusok)</w:t>
            </w:r>
          </w:p>
          <w:p w14:paraId="7A0F1CF7" w14:textId="77777777" w:rsidR="00FC0D76" w:rsidRPr="00CC170B" w:rsidRDefault="00FC0D76" w:rsidP="00395A66">
            <w:pPr>
              <w:ind w:left="169"/>
              <w:rPr>
                <w:lang w:val="hu-HU"/>
              </w:rPr>
            </w:pPr>
            <w:r w:rsidRPr="00CC170B">
              <w:rPr>
                <w:lang w:val="hu-HU"/>
              </w:rPr>
              <w:t>5. ciklus</w:t>
            </w:r>
          </w:p>
        </w:tc>
        <w:tc>
          <w:tcPr>
            <w:tcW w:w="6349" w:type="dxa"/>
          </w:tcPr>
          <w:p w14:paraId="30D71A0E" w14:textId="77777777" w:rsidR="00FC0D76" w:rsidRPr="00CC170B" w:rsidRDefault="00FC0D76" w:rsidP="005818AD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Koponya irradiáció (csak az 5. blokkban)</w:t>
            </w:r>
          </w:p>
          <w:p w14:paraId="470F5B56" w14:textId="77777777" w:rsidR="00FC0D76" w:rsidRPr="00CC170B" w:rsidRDefault="00FC0D76" w:rsidP="005818AD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12 Gy 8 frakcióban, minden olyan betegnél, aki a diagnózis pillanatában CNS1 és CNS2 stádiumban van</w:t>
            </w:r>
          </w:p>
          <w:p w14:paraId="332FBA53" w14:textId="77777777" w:rsidR="00FC0D76" w:rsidRPr="00CC170B" w:rsidRDefault="00FC0D76" w:rsidP="005818AD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18 Gy 10 frakcióban, minden olyan betegnél, aki a diagnózis pillanatában CNS3 stádiumban van</w:t>
            </w:r>
          </w:p>
          <w:p w14:paraId="490BD1F3" w14:textId="57671C41" w:rsidR="00FC0D76" w:rsidRPr="00CC170B" w:rsidRDefault="00FC0D76" w:rsidP="005818AD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VCR (1,5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/nap, iv.): 1., 29.</w:t>
            </w:r>
            <w:r w:rsidR="0087414E" w:rsidRPr="00CC170B">
              <w:rPr>
                <w:lang w:val="hu-HU"/>
              </w:rPr>
              <w:t> nap</w:t>
            </w:r>
          </w:p>
          <w:p w14:paraId="65824246" w14:textId="700AAE8F" w:rsidR="00FC0D76" w:rsidRPr="00CC170B" w:rsidRDefault="00FC0D76" w:rsidP="005818AD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DEX (6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/nap, p.o.): 1-5.; 29-33.</w:t>
            </w:r>
            <w:r w:rsidR="0087414E" w:rsidRPr="00CC170B">
              <w:rPr>
                <w:lang w:val="hu-HU"/>
              </w:rPr>
              <w:t> nap</w:t>
            </w:r>
          </w:p>
          <w:p w14:paraId="51355FF4" w14:textId="08077A89" w:rsidR="00FC0D76" w:rsidRPr="00CC170B" w:rsidRDefault="00FC0D76" w:rsidP="005818AD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6-MP (75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/nap, p.o.): 11-56.</w:t>
            </w:r>
            <w:r w:rsidR="0087414E" w:rsidRPr="00CC170B">
              <w:rPr>
                <w:lang w:val="hu-HU"/>
              </w:rPr>
              <w:t> nap</w:t>
            </w:r>
            <w:r w:rsidRPr="00CC170B">
              <w:rPr>
                <w:lang w:val="hu-HU"/>
              </w:rPr>
              <w:t xml:space="preserve"> (Az 5. ciklus 1.</w:t>
            </w:r>
            <w:r w:rsidR="0087414E" w:rsidRPr="00CC170B">
              <w:rPr>
                <w:lang w:val="hu-HU"/>
              </w:rPr>
              <w:t> nap</w:t>
            </w:r>
            <w:r w:rsidRPr="00CC170B">
              <w:rPr>
                <w:lang w:val="hu-HU"/>
              </w:rPr>
              <w:t>ján kezdődő koponya irradiáció 6-10.</w:t>
            </w:r>
            <w:r w:rsidR="0087414E" w:rsidRPr="00CC170B">
              <w:rPr>
                <w:lang w:val="hu-HU"/>
              </w:rPr>
              <w:t> nap</w:t>
            </w:r>
            <w:r w:rsidRPr="00CC170B">
              <w:rPr>
                <w:lang w:val="hu-HU"/>
              </w:rPr>
              <w:t>ja alatt a 6-MP adását abba kell hagyni. A 6-MP-t a koponya irradiáció befejezése utáni 1.</w:t>
            </w:r>
            <w:r w:rsidR="0087414E" w:rsidRPr="00CC170B">
              <w:rPr>
                <w:lang w:val="hu-HU"/>
              </w:rPr>
              <w:t> nap</w:t>
            </w:r>
            <w:r w:rsidRPr="00CC170B">
              <w:rPr>
                <w:lang w:val="hu-HU"/>
              </w:rPr>
              <w:t xml:space="preserve"> kell elkezdeni.)</w:t>
            </w:r>
          </w:p>
          <w:p w14:paraId="07AEFC65" w14:textId="3B4EF8EB" w:rsidR="00FC0D76" w:rsidRPr="00CC170B" w:rsidRDefault="00FC0D76" w:rsidP="005818AD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Metotrexát (20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/hét, p.o.): 8., 15., 22., 29., 36., 43., 50.</w:t>
            </w:r>
            <w:r w:rsidR="0087414E" w:rsidRPr="00CC170B">
              <w:rPr>
                <w:lang w:val="hu-HU"/>
              </w:rPr>
              <w:t> nap</w:t>
            </w:r>
          </w:p>
        </w:tc>
      </w:tr>
      <w:tr w:rsidR="00FC0D76" w:rsidRPr="00CC170B" w14:paraId="4067888C" w14:textId="77777777" w:rsidTr="002213E5">
        <w:trPr>
          <w:trHeight w:val="1040"/>
        </w:trPr>
        <w:tc>
          <w:tcPr>
            <w:tcW w:w="2723" w:type="dxa"/>
          </w:tcPr>
          <w:p w14:paraId="29CB1DE8" w14:textId="77777777" w:rsidR="002213E5" w:rsidRPr="00CC170B" w:rsidRDefault="00FC0D76" w:rsidP="00395A66">
            <w:pPr>
              <w:ind w:left="169"/>
              <w:rPr>
                <w:lang w:val="hu-HU"/>
              </w:rPr>
            </w:pPr>
            <w:r w:rsidRPr="00CC170B">
              <w:rPr>
                <w:lang w:val="hu-HU"/>
              </w:rPr>
              <w:t xml:space="preserve">Fenntartó kezelés </w:t>
            </w:r>
          </w:p>
          <w:p w14:paraId="520221B0" w14:textId="277E0D25" w:rsidR="00FC0D76" w:rsidRPr="00CC170B" w:rsidRDefault="00FC0D76" w:rsidP="00395A66">
            <w:pPr>
              <w:ind w:left="169"/>
              <w:rPr>
                <w:lang w:val="hu-HU"/>
              </w:rPr>
            </w:pPr>
            <w:r w:rsidRPr="00CC170B">
              <w:rPr>
                <w:lang w:val="hu-HU"/>
              </w:rPr>
              <w:t>(8 hetes ciklusok)</w:t>
            </w:r>
          </w:p>
          <w:p w14:paraId="36D34F5B" w14:textId="77777777" w:rsidR="00FC0D76" w:rsidRPr="00CC170B" w:rsidRDefault="00FC0D76" w:rsidP="00395A66">
            <w:pPr>
              <w:ind w:left="169"/>
              <w:rPr>
                <w:lang w:val="hu-HU"/>
              </w:rPr>
            </w:pPr>
            <w:r w:rsidRPr="00CC170B">
              <w:rPr>
                <w:lang w:val="hu-HU"/>
              </w:rPr>
              <w:t>6-12. ciklus</w:t>
            </w:r>
          </w:p>
        </w:tc>
        <w:tc>
          <w:tcPr>
            <w:tcW w:w="6349" w:type="dxa"/>
          </w:tcPr>
          <w:p w14:paraId="6398178B" w14:textId="008F17CF" w:rsidR="00FC0D76" w:rsidRPr="00CC170B" w:rsidRDefault="00FC0D76" w:rsidP="005818AD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VCR (1,5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/nap, iv.): 1., 29.</w:t>
            </w:r>
            <w:r w:rsidR="0087414E" w:rsidRPr="00CC170B">
              <w:rPr>
                <w:lang w:val="hu-HU"/>
              </w:rPr>
              <w:t> nap</w:t>
            </w:r>
          </w:p>
          <w:p w14:paraId="5CCC2642" w14:textId="31A1A892" w:rsidR="00FC0D76" w:rsidRPr="00CC170B" w:rsidRDefault="00FC0D76" w:rsidP="005818AD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DEX (6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/nap, p.o.): 1-5.; 29-33.</w:t>
            </w:r>
            <w:r w:rsidR="0087414E" w:rsidRPr="00CC170B">
              <w:rPr>
                <w:lang w:val="hu-HU"/>
              </w:rPr>
              <w:t> nap</w:t>
            </w:r>
          </w:p>
          <w:p w14:paraId="1EE487FF" w14:textId="43E91B2E" w:rsidR="00FC0D76" w:rsidRPr="00CC170B" w:rsidRDefault="00FC0D76" w:rsidP="005818AD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6-MP (75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/nap, p.o.): 1-56.</w:t>
            </w:r>
            <w:r w:rsidR="0087414E" w:rsidRPr="00CC170B">
              <w:rPr>
                <w:lang w:val="hu-HU"/>
              </w:rPr>
              <w:t> nap</w:t>
            </w:r>
          </w:p>
          <w:p w14:paraId="40420932" w14:textId="6CB57B9B" w:rsidR="00FC0D76" w:rsidRPr="00CC170B" w:rsidRDefault="00FC0D76" w:rsidP="005818AD">
            <w:pPr>
              <w:ind w:left="116"/>
              <w:rPr>
                <w:lang w:val="hu-HU"/>
              </w:rPr>
            </w:pPr>
            <w:r w:rsidRPr="00CC170B">
              <w:rPr>
                <w:lang w:val="hu-HU"/>
              </w:rPr>
              <w:t>Metotrexát (20 mg/m</w:t>
            </w:r>
            <w:r w:rsidRPr="00CC170B">
              <w:rPr>
                <w:vertAlign w:val="superscript"/>
                <w:lang w:val="hu-HU"/>
              </w:rPr>
              <w:t>2</w:t>
            </w:r>
            <w:r w:rsidRPr="00CC170B">
              <w:rPr>
                <w:lang w:val="hu-HU"/>
              </w:rPr>
              <w:t>/hét, p.o.): 1., 8., 15., 22., 29., 36., 43., 50.</w:t>
            </w:r>
            <w:r w:rsidR="0087414E" w:rsidRPr="00CC170B">
              <w:rPr>
                <w:lang w:val="hu-HU"/>
              </w:rPr>
              <w:t> nap</w:t>
            </w:r>
          </w:p>
        </w:tc>
      </w:tr>
      <w:tr w:rsidR="00FC0D76" w:rsidRPr="00CC170B" w14:paraId="0C3137DB" w14:textId="77777777" w:rsidTr="002213E5">
        <w:trPr>
          <w:trHeight w:val="1300"/>
        </w:trPr>
        <w:tc>
          <w:tcPr>
            <w:tcW w:w="9072" w:type="dxa"/>
            <w:gridSpan w:val="2"/>
          </w:tcPr>
          <w:p w14:paraId="7A4D8D43" w14:textId="687AB761" w:rsidR="00FC0D76" w:rsidRPr="00CC170B" w:rsidRDefault="00FC0D76" w:rsidP="002213E5">
            <w:pPr>
              <w:ind w:left="169"/>
              <w:rPr>
                <w:lang w:val="hu-HU"/>
              </w:rPr>
            </w:pPr>
            <w:r w:rsidRPr="00CC170B">
              <w:rPr>
                <w:lang w:val="hu-HU"/>
              </w:rPr>
              <w:t>G-CSF</w:t>
            </w:r>
            <w:r w:rsidR="002213E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2213E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granulocyta</w:t>
            </w:r>
            <w:r w:rsidR="006E4EA1">
              <w:rPr>
                <w:lang w:val="hu-HU"/>
              </w:rPr>
              <w:t>-</w:t>
            </w:r>
            <w:r w:rsidRPr="00CC170B">
              <w:rPr>
                <w:lang w:val="hu-HU"/>
              </w:rPr>
              <w:t>kolónia</w:t>
            </w:r>
            <w:r w:rsidR="006E4EA1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stimuláló faktor, VP-16</w:t>
            </w:r>
            <w:r w:rsidR="002213E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2213E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etopozid, MTX</w:t>
            </w:r>
            <w:r w:rsidR="002213E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2213E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metotrexát, iv.</w:t>
            </w:r>
            <w:r w:rsidR="002213E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2213E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intravénás, sc.</w:t>
            </w:r>
            <w:r w:rsidR="002213E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2213E5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subcutan, it.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intrathecalis, p.o.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i/>
                <w:lang w:val="hu-HU"/>
              </w:rPr>
              <w:t>per os</w:t>
            </w:r>
            <w:r w:rsidRPr="00CC170B">
              <w:rPr>
                <w:lang w:val="hu-HU"/>
              </w:rPr>
              <w:t>, im.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intramuscularis, ARA-C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citarabin,</w:t>
            </w:r>
            <w:r w:rsidR="002213E5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CPM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ciklofoszfamid, VCR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vinkrisztin, DEX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dexametazon, DAUN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daunorubicin, 6-MP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6-merkaptopurin, E. Coli L-ASP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L-aszparagináz, PEG</w:t>
            </w:r>
            <w:r w:rsidR="006E4EA1">
              <w:rPr>
                <w:lang w:val="hu-HU"/>
              </w:rPr>
              <w:noBreakHyphen/>
            </w:r>
            <w:r w:rsidRPr="00CC170B">
              <w:rPr>
                <w:lang w:val="hu-HU"/>
              </w:rPr>
              <w:t>ASP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pegaszparagináz,</w:t>
            </w:r>
            <w:r w:rsidR="002213E5" w:rsidRPr="00CC170B">
              <w:rPr>
                <w:lang w:val="hu-HU"/>
              </w:rPr>
              <w:t xml:space="preserve"> </w:t>
            </w:r>
            <w:r w:rsidRPr="00CC170B">
              <w:rPr>
                <w:lang w:val="hu-HU"/>
              </w:rPr>
              <w:t>MESNA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2-merkaptoetán-szulfonát-nátrium, iii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vagy amíg az MTX</w:t>
            </w:r>
            <w:r w:rsidR="006350E2" w:rsidRPr="00CC170B">
              <w:rPr>
                <w:lang w:val="hu-HU"/>
              </w:rPr>
              <w:noBreakHyphen/>
            </w:r>
            <w:r w:rsidRPr="00CC170B">
              <w:rPr>
                <w:lang w:val="hu-HU"/>
              </w:rPr>
              <w:t>szint &lt;0,1</w:t>
            </w:r>
            <w:r w:rsidR="00C7183F">
              <w:rPr>
                <w:lang w:val="hu-HU"/>
              </w:rPr>
              <w:t> </w:t>
            </w:r>
            <w:r w:rsidRPr="00CC170B">
              <w:rPr>
                <w:lang w:val="hu-HU"/>
              </w:rPr>
              <w:t>mikromol, Gy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=</w:t>
            </w:r>
            <w:r w:rsidR="006350E2" w:rsidRPr="00CC170B">
              <w:rPr>
                <w:lang w:val="hu-HU"/>
              </w:rPr>
              <w:t> </w:t>
            </w:r>
            <w:r w:rsidRPr="00CC170B">
              <w:rPr>
                <w:lang w:val="hu-HU"/>
              </w:rPr>
              <w:t>Gray</w:t>
            </w:r>
          </w:p>
        </w:tc>
      </w:tr>
    </w:tbl>
    <w:p w14:paraId="5738916B" w14:textId="77777777" w:rsidR="00FC0D76" w:rsidRPr="00CC170B" w:rsidRDefault="00FC0D76" w:rsidP="00FC0D76">
      <w:pPr>
        <w:rPr>
          <w:bCs/>
        </w:rPr>
      </w:pPr>
    </w:p>
    <w:p w14:paraId="302F8CF0" w14:textId="389DEC24" w:rsidR="00FC0D76" w:rsidRPr="00CC170B" w:rsidRDefault="00FC0D76" w:rsidP="00FC0D76">
      <w:r w:rsidRPr="00CC170B">
        <w:t>Az AIT07</w:t>
      </w:r>
      <w:r w:rsidR="006E4EA1">
        <w:t xml:space="preserve"> </w:t>
      </w:r>
      <w:r w:rsidRPr="00CC170B">
        <w:t xml:space="preserve">vizsgálat egy multicentrikus, nyílt elrendezésű, randomizált, II/III. fázisú vizsgálat volt, amelyben 128 (1 – &lt;18 éves) beteget kezeltek imatinibbel, kemoterápiával kombinációban. Úgy tűnik, hogy ennek a vizsgálatnak a biztonságossági adatai összhangban vannak az imatinib </w:t>
      </w:r>
      <w:r w:rsidR="006E4EA1">
        <w:t xml:space="preserve">a </w:t>
      </w:r>
      <w:r w:rsidRPr="00CC170B">
        <w:t>Ph+ ALL-ben szenvedő betegeknél</w:t>
      </w:r>
      <w:r w:rsidR="006E4EA1">
        <w:t xml:space="preserve"> jel</w:t>
      </w:r>
      <w:r w:rsidR="00D64C2F">
        <w:t>l</w:t>
      </w:r>
      <w:r w:rsidR="006E4EA1">
        <w:t>emző</w:t>
      </w:r>
      <w:r w:rsidRPr="00CC170B">
        <w:t xml:space="preserve"> biztonságossági profiljával.</w:t>
      </w:r>
    </w:p>
    <w:p w14:paraId="2B3EAF93" w14:textId="77777777" w:rsidR="00FC0D76" w:rsidRPr="00CC170B" w:rsidRDefault="00FC0D76" w:rsidP="00FC0D76"/>
    <w:p w14:paraId="1EE272D2" w14:textId="1D78FBD2" w:rsidR="00FC0D76" w:rsidRPr="00CC170B" w:rsidRDefault="009F6F3A" w:rsidP="00FC0D76">
      <w:pPr>
        <w:rPr>
          <w:i/>
        </w:rPr>
      </w:pPr>
      <w:r w:rsidRPr="00CC170B">
        <w:rPr>
          <w:i/>
          <w:u w:val="single"/>
        </w:rPr>
        <w:t>Rela</w:t>
      </w:r>
      <w:r w:rsidR="006E4EA1">
        <w:rPr>
          <w:i/>
          <w:u w:val="single"/>
        </w:rPr>
        <w:t>b</w:t>
      </w:r>
      <w:r w:rsidRPr="00CC170B">
        <w:rPr>
          <w:i/>
          <w:u w:val="single"/>
        </w:rPr>
        <w:t>áló</w:t>
      </w:r>
      <w:r w:rsidR="00FC0D76" w:rsidRPr="00CC170B">
        <w:rPr>
          <w:i/>
          <w:u w:val="single"/>
        </w:rPr>
        <w:t>/refrakter Ph+ ALL</w:t>
      </w:r>
    </w:p>
    <w:p w14:paraId="28420BA1" w14:textId="77777777" w:rsidR="00AF0386" w:rsidRPr="00CC170B" w:rsidRDefault="00AF0386" w:rsidP="00FC0D76"/>
    <w:p w14:paraId="705BA2A6" w14:textId="378762C3" w:rsidR="00FC0D76" w:rsidRPr="00CC170B" w:rsidRDefault="00FC0D76" w:rsidP="00FC0D76">
      <w:r w:rsidRPr="00CC170B">
        <w:t xml:space="preserve">Amikor imatinib-monoterápiát alkalmaztak </w:t>
      </w:r>
      <w:r w:rsidR="009F6F3A" w:rsidRPr="00CC170B">
        <w:t>rela</w:t>
      </w:r>
      <w:r w:rsidR="006E4EA1">
        <w:t>b</w:t>
      </w:r>
      <w:r w:rsidR="009F6F3A" w:rsidRPr="00CC170B">
        <w:t>áló</w:t>
      </w:r>
      <w:r w:rsidRPr="00CC170B">
        <w:t>/refrakter Ph+ ALL-es betegeknél, a terápiás válasz szempontjából értékelhető 411</w:t>
      </w:r>
      <w:r w:rsidR="00C7183F">
        <w:t> </w:t>
      </w:r>
      <w:r w:rsidRPr="00CC170B">
        <w:t>betegből 53-nál 30%-os hematológiai válaszarányt (9% teljes) és 23%-os nagyfokú citogenetikai válaszarányt értek el. (Fontos megjegyezni, hogy a 411</w:t>
      </w:r>
      <w:r w:rsidR="00AF0386" w:rsidRPr="00CC170B">
        <w:t> </w:t>
      </w:r>
      <w:r w:rsidRPr="00CC170B">
        <w:t xml:space="preserve">betegből </w:t>
      </w:r>
      <w:r w:rsidRPr="00CC170B">
        <w:lastRenderedPageBreak/>
        <w:t>353</w:t>
      </w:r>
      <w:r w:rsidR="00AF0386" w:rsidRPr="00CC170B">
        <w:noBreakHyphen/>
      </w:r>
      <w:r w:rsidRPr="00CC170B">
        <w:t xml:space="preserve">at </w:t>
      </w:r>
      <w:r w:rsidR="006E4EA1">
        <w:t xml:space="preserve">egy </w:t>
      </w:r>
      <w:r w:rsidRPr="00CC170B">
        <w:t xml:space="preserve">engedélyezés előtti gyógyszeralkalmazás keretében kezeltek, és esetükben nem gyűjtöttek adatokat a primer válaszról.) A progresszióig eltelt </w:t>
      </w:r>
      <w:r w:rsidR="006E4EA1">
        <w:t xml:space="preserve">medián </w:t>
      </w:r>
      <w:r w:rsidRPr="00CC170B">
        <w:t>idő a teljes 411</w:t>
      </w:r>
      <w:r w:rsidR="00C7183F">
        <w:t> </w:t>
      </w:r>
      <w:r w:rsidRPr="00CC170B">
        <w:t xml:space="preserve">fős </w:t>
      </w:r>
      <w:r w:rsidR="009F6F3A" w:rsidRPr="00CC170B">
        <w:t>rela</w:t>
      </w:r>
      <w:r w:rsidR="006E4EA1">
        <w:t>b</w:t>
      </w:r>
      <w:r w:rsidR="009F6F3A" w:rsidRPr="00CC170B">
        <w:t>áló</w:t>
      </w:r>
      <w:r w:rsidRPr="00CC170B">
        <w:t>/refrakter Ph+</w:t>
      </w:r>
      <w:r w:rsidR="006E4EA1">
        <w:t> </w:t>
      </w:r>
      <w:r w:rsidRPr="00CC170B">
        <w:t>ALL-es betegmintában 2,6–3,1</w:t>
      </w:r>
      <w:r w:rsidR="00645FEE" w:rsidRPr="00CC170B">
        <w:t> hónap</w:t>
      </w:r>
      <w:r w:rsidRPr="00CC170B">
        <w:t xml:space="preserve">, míg a </w:t>
      </w:r>
      <w:r w:rsidR="006E4EA1">
        <w:t xml:space="preserve">medián </w:t>
      </w:r>
      <w:r w:rsidRPr="00CC170B">
        <w:t>teljes túlélés a 401</w:t>
      </w:r>
      <w:r w:rsidR="00C7183F">
        <w:t> </w:t>
      </w:r>
      <w:r w:rsidRPr="00CC170B">
        <w:t>értékelhető beteg esetében 4,9–9</w:t>
      </w:r>
      <w:r w:rsidR="00645FEE" w:rsidRPr="00CC170B">
        <w:t> hónap</w:t>
      </w:r>
      <w:r w:rsidRPr="00CC170B">
        <w:t xml:space="preserve"> volt. Hasonló eredményeket kaptak, amikor az adatok ismételt elemzésekor csak az 55 éves és idősebb betegek adatait</w:t>
      </w:r>
      <w:r w:rsidRPr="00CC170B">
        <w:rPr>
          <w:spacing w:val="-2"/>
        </w:rPr>
        <w:t xml:space="preserve"> </w:t>
      </w:r>
      <w:r w:rsidRPr="00CC170B">
        <w:t>vizsgálták.</w:t>
      </w:r>
    </w:p>
    <w:p w14:paraId="067BBBA3" w14:textId="77777777" w:rsidR="00FC0D76" w:rsidRPr="00CC170B" w:rsidRDefault="00FC0D76" w:rsidP="00FC0D76"/>
    <w:p w14:paraId="53D9FD1C" w14:textId="77777777" w:rsidR="00FC0D76" w:rsidRPr="00CC170B" w:rsidRDefault="00FC0D76" w:rsidP="00FC0D76">
      <w:r w:rsidRPr="00CC170B">
        <w:rPr>
          <w:u w:val="single"/>
        </w:rPr>
        <w:t>Klinikai vizsgálatok MDS/MPD-ben</w:t>
      </w:r>
    </w:p>
    <w:p w14:paraId="6CCFEB0B" w14:textId="77777777" w:rsidR="00FC0D76" w:rsidRPr="00CC170B" w:rsidRDefault="00FC0D76" w:rsidP="00FC0D76"/>
    <w:p w14:paraId="7F78F6F5" w14:textId="5FE49FCA" w:rsidR="00FC0D76" w:rsidRPr="00CC170B" w:rsidRDefault="00FC0D76" w:rsidP="00FC0D76">
      <w:r w:rsidRPr="00CC170B">
        <w:t xml:space="preserve">Ebben az indikációban </w:t>
      </w:r>
      <w:r w:rsidR="00F65A4E" w:rsidRPr="00CC170B">
        <w:t xml:space="preserve">az </w:t>
      </w:r>
      <w:r w:rsidR="00AF0386" w:rsidRPr="00CC170B">
        <w:t>i</w:t>
      </w:r>
      <w:r w:rsidR="00D07FC6" w:rsidRPr="00CC170B">
        <w:t>matinib</w:t>
      </w:r>
      <w:r w:rsidRPr="00CC170B">
        <w:t xml:space="preserve"> alkalmazásáról nagyon kevés tapasztalat áll rendelkezésre. Ezen tapasztalatok a hematológiai és a citogenetikai válaszarányokon alapulnak. Nem végeztek a klinikai előnyt vagy a túlélés javulását igazoló kontrollos klinikai vizsgálatot. Egy nyílt elrendezésű, multicentrikus, II. fázisú klinikai vizsgálatban (B2225 vizsgálat) tanulmányozták </w:t>
      </w:r>
      <w:r w:rsidR="00F65A4E" w:rsidRPr="00CC170B">
        <w:t xml:space="preserve">az </w:t>
      </w:r>
      <w:r w:rsidR="00AF0386" w:rsidRPr="00CC170B">
        <w:t>i</w:t>
      </w:r>
      <w:r w:rsidR="00D07FC6" w:rsidRPr="00CC170B">
        <w:t>matinib</w:t>
      </w:r>
      <w:r w:rsidRPr="00CC170B">
        <w:t xml:space="preserve"> hatásait ABL, Kit vagy PDGFR protein-tirozin-kinázzal kapcsolatos, életet veszélyeztető betegségben szenvedő egyénekből álló különböző betegcsoportokban. Ebbe a vizsgálatba 7, MDS/MPD-ben szenvedő beteget vontak be, akiket</w:t>
      </w:r>
      <w:r w:rsidR="00552C02">
        <w:t xml:space="preserve"> </w:t>
      </w:r>
      <w:r w:rsidR="0087414E" w:rsidRPr="00CC170B">
        <w:t>nap</w:t>
      </w:r>
      <w:r w:rsidRPr="00CC170B">
        <w:t xml:space="preserve">i 400 mg </w:t>
      </w:r>
      <w:r w:rsidR="00CD300A" w:rsidRPr="00CC170B">
        <w:t>i</w:t>
      </w:r>
      <w:r w:rsidRPr="00CC170B">
        <w:t>matinib</w:t>
      </w:r>
      <w:r w:rsidR="00CD300A" w:rsidRPr="00CC170B">
        <w:t xml:space="preserve">bel </w:t>
      </w:r>
      <w:r w:rsidRPr="00CC170B">
        <w:t>kezeltek. Három betegnél teljes hematológiai választ (CHR), egy betegnél részleges hematológiai választ (PHR) értek el. Az eredeti analízis idején a négy</w:t>
      </w:r>
      <w:r w:rsidR="006E4EA1">
        <w:t>,</w:t>
      </w:r>
      <w:r w:rsidRPr="00CC170B">
        <w:t xml:space="preserve"> PDGFR-génátrendeződést mutató beteg közül háromnál  jelentkezett hematológiai válasz</w:t>
      </w:r>
      <w:r w:rsidR="006E4EA1">
        <w:t xml:space="preserve"> </w:t>
      </w:r>
      <w:r w:rsidR="006E4EA1" w:rsidRPr="00CC170B">
        <w:t>(2 CHR és 1 PHR)</w:t>
      </w:r>
      <w:r w:rsidRPr="00CC170B">
        <w:t>. Ezen betegek életkora 20 és 72</w:t>
      </w:r>
      <w:r w:rsidR="00552C02">
        <w:t> </w:t>
      </w:r>
      <w:r w:rsidRPr="00CC170B">
        <w:t>év között volt.</w:t>
      </w:r>
    </w:p>
    <w:p w14:paraId="5EA71FD8" w14:textId="77777777" w:rsidR="00FC0D76" w:rsidRPr="00CC170B" w:rsidRDefault="00FC0D76" w:rsidP="00FC0D76"/>
    <w:p w14:paraId="0848F0D6" w14:textId="2DB6EB10" w:rsidR="00FC0D76" w:rsidRPr="00CC170B" w:rsidRDefault="00FC0D76" w:rsidP="00FC0D76">
      <w:r w:rsidRPr="00CC170B">
        <w:t xml:space="preserve">Létrehoztak egy obszervációs regisztert (L2401 vizsgálat), hogy hosszú távú biztonságossági és hatásossági adatokat gyűjtsenek a PDGFR-béta génátrendeződéssel társuló myeloproliferativ daganatban szenvedő olyan betegekről, akiket </w:t>
      </w:r>
      <w:r w:rsidR="00CD300A" w:rsidRPr="00CC170B">
        <w:t>i</w:t>
      </w:r>
      <w:r w:rsidRPr="00CC170B">
        <w:t>matinib</w:t>
      </w:r>
      <w:r w:rsidR="00CD300A" w:rsidRPr="00CC170B">
        <w:t>bel</w:t>
      </w:r>
      <w:r w:rsidRPr="00CC170B">
        <w:t xml:space="preserve"> kezeltek. Az ebbe a regiszterbe bevont 23</w:t>
      </w:r>
      <w:r w:rsidR="00CD300A" w:rsidRPr="00CC170B">
        <w:t> </w:t>
      </w:r>
      <w:r w:rsidRPr="00CC170B">
        <w:t>beteg 264 mg-os medián</w:t>
      </w:r>
      <w:r w:rsidR="0087414E" w:rsidRPr="00CC170B">
        <w:t> nap</w:t>
      </w:r>
      <w:r w:rsidRPr="00CC170B">
        <w:t xml:space="preserve">i dózisban kapott </w:t>
      </w:r>
      <w:r w:rsidR="00CD300A" w:rsidRPr="00CC170B">
        <w:t>i</w:t>
      </w:r>
      <w:r w:rsidRPr="00CC170B">
        <w:t>matinibet (szélsőértékek: 100–400 mg), 7,2</w:t>
      </w:r>
      <w:r w:rsidR="00552C02">
        <w:t> </w:t>
      </w:r>
      <w:r w:rsidRPr="00CC170B">
        <w:t>éves medián időtartamban (szélsőértékek: 0,1–12,7</w:t>
      </w:r>
      <w:r w:rsidR="00552C02">
        <w:t> </w:t>
      </w:r>
      <w:r w:rsidRPr="00CC170B">
        <w:t>év). A regiszter obszervációs jellegéből adódóan a 23</w:t>
      </w:r>
      <w:r w:rsidR="00552C02">
        <w:t> </w:t>
      </w:r>
      <w:r w:rsidRPr="00CC170B">
        <w:t>bevont betegből a hematológiai vizsgálati adatok 22</w:t>
      </w:r>
      <w:r w:rsidR="00552C02">
        <w:t> </w:t>
      </w:r>
      <w:r w:rsidRPr="00CC170B">
        <w:t>betegnél, a citogenetikai vizsgálati eredmények 9</w:t>
      </w:r>
      <w:r w:rsidR="00552C02">
        <w:t> </w:t>
      </w:r>
      <w:r w:rsidRPr="00CC170B">
        <w:t>betegnél, a molekuláris vizsgálati adatok 17</w:t>
      </w:r>
      <w:r w:rsidR="00552C02">
        <w:t> </w:t>
      </w:r>
      <w:r w:rsidRPr="00CC170B">
        <w:t>betegnél álltak rendelkezésre.</w:t>
      </w:r>
      <w:r w:rsidR="00CD300A" w:rsidRPr="00CC170B">
        <w:t xml:space="preserve"> </w:t>
      </w:r>
      <w:r w:rsidRPr="00CC170B">
        <w:t>Konzervatívan feltételezve, hogy azok a betegek, akiknél az adatok hiányoztak, nonreszponderek voltak, teljes hematológiai választ 20/23 (87%) betegnél, teljes citogenetikai választ 9/23 (39,1%) betegnél, és molekuláris választ 11/23 (47,8%) betegnél figyeltek meg. Amikor a válaszadási arányt olyan betegeknél számították, akiknél legalább egy valós vizsgálati adat volt, a CHR, CCyR és MR válaszadási arány sorrendben 20/22 (90,9%), 9/9 (100%) és 11/17 (64,7%) volt.</w:t>
      </w:r>
    </w:p>
    <w:p w14:paraId="714BF451" w14:textId="77777777" w:rsidR="00FC0D76" w:rsidRPr="00CC170B" w:rsidRDefault="00FC0D76" w:rsidP="00FC0D76"/>
    <w:p w14:paraId="3FFD774E" w14:textId="60D2F720" w:rsidR="00FC0D76" w:rsidRPr="00CC170B" w:rsidRDefault="00FC0D76" w:rsidP="00FC0D76">
      <w:r w:rsidRPr="00CC170B">
        <w:t>Tizenhárom publikáció további 24, MDS/MPD-ben szenvedő betegről számolt be. Huszonegy beteget kezeltek</w:t>
      </w:r>
      <w:r w:rsidR="00552C02">
        <w:t xml:space="preserve"> </w:t>
      </w:r>
      <w:r w:rsidR="0087414E" w:rsidRPr="00CC170B">
        <w:t>nap</w:t>
      </w:r>
      <w:r w:rsidRPr="00CC170B">
        <w:t xml:space="preserve">i 400 mg </w:t>
      </w:r>
      <w:r w:rsidR="00CD300A" w:rsidRPr="00CC170B">
        <w:t>i</w:t>
      </w:r>
      <w:r w:rsidRPr="00CC170B">
        <w:t>matinib</w:t>
      </w:r>
      <w:r w:rsidR="00CD300A" w:rsidRPr="00CC170B">
        <w:t>bel</w:t>
      </w:r>
      <w:r w:rsidRPr="00CC170B">
        <w:t>, míg a másik 3</w:t>
      </w:r>
      <w:r w:rsidR="00CD300A" w:rsidRPr="00CC170B">
        <w:t> </w:t>
      </w:r>
      <w:r w:rsidRPr="00CC170B">
        <w:t>beteg kisebb adagot kapott. Tizenegy betegnél mutattak ki PDGFR-génátrendeződést, akik közül 9-nél jelentkezett CHR és egynél PHR. Ezen betegek életkora 2 és 79</w:t>
      </w:r>
      <w:r w:rsidR="00552C02">
        <w:t> </w:t>
      </w:r>
      <w:r w:rsidRPr="00CC170B">
        <w:t>év között volt. Egy nemrégiben megjelent publikáció szerint, mely ebből a 11</w:t>
      </w:r>
      <w:r w:rsidR="00552C02">
        <w:t> </w:t>
      </w:r>
      <w:r w:rsidRPr="00CC170B">
        <w:t>betegből 6-ról</w:t>
      </w:r>
      <w:r w:rsidR="00552C02">
        <w:t xml:space="preserve"> </w:t>
      </w:r>
      <w:r w:rsidR="0087414E" w:rsidRPr="00CC170B">
        <w:t>nap</w:t>
      </w:r>
      <w:r w:rsidRPr="00CC170B">
        <w:t>rakész információkat közölt, ezen betegek mindegyike citogenetikai remisszióban maradt (32–38</w:t>
      </w:r>
      <w:r w:rsidR="00645FEE" w:rsidRPr="00CC170B">
        <w:t> hónap</w:t>
      </w:r>
      <w:r w:rsidRPr="00CC170B">
        <w:t>). Ugyanez a publikáció hosszú távú utánkövetési adatokat közölt 12, PDGFR-génátrendeződéssel társuló MDS/MPD-ben szenvedő betegről (ebből 5</w:t>
      </w:r>
      <w:r w:rsidR="00552C02">
        <w:t> </w:t>
      </w:r>
      <w:r w:rsidRPr="00CC170B">
        <w:t>beteg a B2225 vizsgálat</w:t>
      </w:r>
      <w:r w:rsidR="00FF3742">
        <w:t xml:space="preserve"> résztvevője volt</w:t>
      </w:r>
      <w:r w:rsidRPr="00CC170B">
        <w:t>). Ezek a betegek átlagosan 47</w:t>
      </w:r>
      <w:r w:rsidR="00645FEE" w:rsidRPr="00CC170B">
        <w:t> hónap</w:t>
      </w:r>
      <w:r w:rsidRPr="00CC170B">
        <w:t>on keresztül (24</w:t>
      </w:r>
      <w:r w:rsidR="0087414E" w:rsidRPr="00CC170B">
        <w:t> nap</w:t>
      </w:r>
      <w:r w:rsidRPr="00CC170B">
        <w:t xml:space="preserve"> – 60</w:t>
      </w:r>
      <w:r w:rsidR="00645FEE" w:rsidRPr="00CC170B">
        <w:t> hónap</w:t>
      </w:r>
      <w:r w:rsidRPr="00CC170B">
        <w:t xml:space="preserve">) kaptak </w:t>
      </w:r>
      <w:r w:rsidR="00CD300A" w:rsidRPr="00CC170B">
        <w:t>i</w:t>
      </w:r>
      <w:r w:rsidRPr="00CC170B">
        <w:t>matinibet. Közülük 6</w:t>
      </w:r>
      <w:r w:rsidR="00552C02">
        <w:t> </w:t>
      </w:r>
      <w:r w:rsidRPr="00CC170B">
        <w:t>beteg esetében az utánkövetési idő jelenleg meghaladja a 4</w:t>
      </w:r>
      <w:r w:rsidR="00CD300A" w:rsidRPr="00CC170B">
        <w:t> </w:t>
      </w:r>
      <w:r w:rsidRPr="00CC170B">
        <w:t>évet. Tizenegy beteg esetében jelentkezett gyorsan kialakuló CHR, 10</w:t>
      </w:r>
      <w:r w:rsidR="00552C02">
        <w:t> </w:t>
      </w:r>
      <w:r w:rsidRPr="00CC170B">
        <w:t>beteg esetében szűntek meg teljesen a citogenetikai rendellenességek, és csökkent vagy nem volt kimutatható a</w:t>
      </w:r>
      <w:r w:rsidR="00FF3742">
        <w:t>z</w:t>
      </w:r>
      <w:r w:rsidRPr="00CC170B">
        <w:t xml:space="preserve"> RT-PCR-rel mért fúziós transzkripció. A hematológiai válasz átlagosan 49</w:t>
      </w:r>
      <w:r w:rsidR="00645FEE" w:rsidRPr="00CC170B">
        <w:t> hónap</w:t>
      </w:r>
      <w:r w:rsidRPr="00CC170B">
        <w:t>ig (19–60</w:t>
      </w:r>
      <w:r w:rsidR="00645FEE" w:rsidRPr="00CC170B">
        <w:t> hónap</w:t>
      </w:r>
      <w:r w:rsidRPr="00CC170B">
        <w:t>), a citogenetikai válasz átlagosan 47</w:t>
      </w:r>
      <w:r w:rsidR="00645FEE" w:rsidRPr="00CC170B">
        <w:t> hónap</w:t>
      </w:r>
      <w:r w:rsidRPr="00CC170B">
        <w:t>ig (16–59</w:t>
      </w:r>
      <w:r w:rsidR="00645FEE" w:rsidRPr="00CC170B">
        <w:t> hónap</w:t>
      </w:r>
      <w:r w:rsidRPr="00CC170B">
        <w:t>) maradt fent. A teljes túlélés a diagnózis időpontjától számított 65</w:t>
      </w:r>
      <w:r w:rsidR="00645FEE" w:rsidRPr="00CC170B">
        <w:t> hónap</w:t>
      </w:r>
      <w:r w:rsidRPr="00CC170B">
        <w:rPr>
          <w:spacing w:val="-14"/>
        </w:rPr>
        <w:t xml:space="preserve"> </w:t>
      </w:r>
      <w:r w:rsidRPr="00CC170B">
        <w:t>(25</w:t>
      </w:r>
      <w:r w:rsidR="00CD300A" w:rsidRPr="00CC170B">
        <w:noBreakHyphen/>
      </w:r>
      <w:r w:rsidRPr="00CC170B">
        <w:t>234</w:t>
      </w:r>
      <w:r w:rsidR="00645FEE" w:rsidRPr="00CC170B">
        <w:t> hónap</w:t>
      </w:r>
      <w:r w:rsidRPr="00CC170B">
        <w:t xml:space="preserve">). </w:t>
      </w:r>
      <w:r w:rsidR="00430469" w:rsidRPr="00CC170B">
        <w:t xml:space="preserve">Az </w:t>
      </w:r>
      <w:r w:rsidR="00CD300A" w:rsidRPr="00CC170B">
        <w:t>i</w:t>
      </w:r>
      <w:r w:rsidR="00430469" w:rsidRPr="00CC170B">
        <w:t xml:space="preserve">matinib </w:t>
      </w:r>
      <w:r w:rsidRPr="00CC170B">
        <w:t>alkalmazása a genetikai transzlokációt nem mutató betegek esetében rendszerint nem eredményez javulást.</w:t>
      </w:r>
    </w:p>
    <w:p w14:paraId="79D6C300" w14:textId="77777777" w:rsidR="00FC0D76" w:rsidRPr="00CC170B" w:rsidRDefault="00FC0D76" w:rsidP="00FC0D76"/>
    <w:p w14:paraId="3F03C4C5" w14:textId="185F724D" w:rsidR="00FC0D76" w:rsidRPr="00CC170B" w:rsidRDefault="00FC0D76" w:rsidP="00FC0D76">
      <w:r w:rsidRPr="00CC170B">
        <w:t>MDS/MPD-ben szenvedő gyermek, illetve serdülő betegekkel nincsenek kontrollos vizsgálatok. Négy publikációban 5, PDGFR-rel társult, MDS/MPD-ben szenvedő betegnél génátrendeződésről számoltak be. Ezen betegek életkora 3</w:t>
      </w:r>
      <w:r w:rsidR="00645FEE" w:rsidRPr="00CC170B">
        <w:t> hónap</w:t>
      </w:r>
      <w:r w:rsidRPr="00CC170B">
        <w:t xml:space="preserve"> és 4</w:t>
      </w:r>
      <w:r w:rsidR="00B0631C">
        <w:t> </w:t>
      </w:r>
      <w:r w:rsidRPr="00CC170B">
        <w:t>év közé esett, és az imatinibet</w:t>
      </w:r>
      <w:r w:rsidR="00CD300A" w:rsidRPr="00CC170B">
        <w:t xml:space="preserve"> </w:t>
      </w:r>
      <w:r w:rsidR="0087414E" w:rsidRPr="00CC170B">
        <w:t>nap</w:t>
      </w:r>
      <w:r w:rsidRPr="00CC170B">
        <w:t>i 50 mg-os dózisban vagy</w:t>
      </w:r>
      <w:r w:rsidR="0087414E" w:rsidRPr="00CC170B">
        <w:t> nap</w:t>
      </w:r>
      <w:r w:rsidRPr="00CC170B">
        <w:t>i 92,5–340 mg/m</w:t>
      </w:r>
      <w:r w:rsidRPr="00CC170B">
        <w:rPr>
          <w:vertAlign w:val="superscript"/>
        </w:rPr>
        <w:t>2</w:t>
      </w:r>
      <w:r w:rsidRPr="00CC170B">
        <w:t xml:space="preserve"> dózisban kapták. Minden beteg teljes hematológiai választ, citogenetikai választ és/vagy klinikai választ ért el.</w:t>
      </w:r>
    </w:p>
    <w:p w14:paraId="0EA09774" w14:textId="77777777" w:rsidR="00FC0D76" w:rsidRPr="00CC170B" w:rsidRDefault="00FC0D76" w:rsidP="00FC0D76"/>
    <w:p w14:paraId="41DF0778" w14:textId="77777777" w:rsidR="00FC0D76" w:rsidRPr="00CC170B" w:rsidRDefault="00FC0D76" w:rsidP="00B0631C">
      <w:pPr>
        <w:keepNext/>
        <w:widowControl/>
      </w:pPr>
      <w:r w:rsidRPr="00CC170B">
        <w:rPr>
          <w:u w:val="single"/>
        </w:rPr>
        <w:t>Klinikai vizsgálatok HES/CEL-ben</w:t>
      </w:r>
    </w:p>
    <w:p w14:paraId="242E67A1" w14:textId="77777777" w:rsidR="00FC0D76" w:rsidRPr="00CC170B" w:rsidRDefault="00FC0D76" w:rsidP="00B0631C">
      <w:pPr>
        <w:keepNext/>
        <w:widowControl/>
      </w:pPr>
    </w:p>
    <w:p w14:paraId="73A8EC87" w14:textId="20B0A820" w:rsidR="00FC0D76" w:rsidRPr="00CC170B" w:rsidRDefault="00FC0D76" w:rsidP="00FC0D76">
      <w:r w:rsidRPr="00CC170B">
        <w:t xml:space="preserve">Egy nyílt elrendezésű, multicentrikus, II. fázisú klinikai vizsgálatban (B2225 vizsgálat) az ABL, Kit </w:t>
      </w:r>
      <w:r w:rsidRPr="00CC170B">
        <w:lastRenderedPageBreak/>
        <w:t xml:space="preserve">vagy PDGFR protein-tirozin-kinázokkal kapcsolatban álló életveszélyes betegségben szenvedő betegek különféle populációiban vizsgálták </w:t>
      </w:r>
      <w:r w:rsidR="00F65A4E" w:rsidRPr="00CC170B">
        <w:t xml:space="preserve">az </w:t>
      </w:r>
      <w:r w:rsidR="00CC6F76" w:rsidRPr="00CC170B">
        <w:t>i</w:t>
      </w:r>
      <w:r w:rsidR="00D07FC6" w:rsidRPr="00CC170B">
        <w:t>matinib</w:t>
      </w:r>
      <w:r w:rsidRPr="00CC170B">
        <w:t>et. Az ezen vizsgálatba bevont 14</w:t>
      </w:r>
      <w:r w:rsidR="00CC6F76" w:rsidRPr="00CC170B">
        <w:t>,</w:t>
      </w:r>
      <w:r w:rsidRPr="00CC170B">
        <w:t xml:space="preserve"> HES/CEL-ben szenvedő beteg</w:t>
      </w:r>
      <w:r w:rsidR="00CC6F76" w:rsidRPr="00CC170B">
        <w:t xml:space="preserve"> </w:t>
      </w:r>
      <w:r w:rsidR="0087414E" w:rsidRPr="00CC170B">
        <w:t>nap</w:t>
      </w:r>
      <w:r w:rsidRPr="00CC170B">
        <w:t xml:space="preserve">onta 100–1000 mg adagban kapott </w:t>
      </w:r>
      <w:r w:rsidR="00CC6F76" w:rsidRPr="00CC170B">
        <w:t>imatinibet</w:t>
      </w:r>
      <w:r w:rsidRPr="00CC170B">
        <w:t>. Harmincöt publikált esettanulmányban és esetsorozatban további 162, HES/CEL-ben szenvedő betegről számoltak be, akik</w:t>
      </w:r>
      <w:r w:rsidR="0087414E" w:rsidRPr="00CC170B">
        <w:t> nap</w:t>
      </w:r>
      <w:r w:rsidRPr="00CC170B">
        <w:t xml:space="preserve">onta 75–800 mg adagban kaptak </w:t>
      </w:r>
      <w:r w:rsidR="00E0464A" w:rsidRPr="00CC170B">
        <w:t>imatinibet</w:t>
      </w:r>
      <w:r w:rsidRPr="00CC170B">
        <w:t>. Összesen 176</w:t>
      </w:r>
      <w:r w:rsidR="00E0464A" w:rsidRPr="00CC170B">
        <w:t> </w:t>
      </w:r>
      <w:r w:rsidRPr="00CC170B">
        <w:t>betegből 117</w:t>
      </w:r>
      <w:r w:rsidR="00E0464A" w:rsidRPr="00CC170B">
        <w:t> </w:t>
      </w:r>
      <w:r w:rsidRPr="00CC170B">
        <w:t>esetében vizsgálták a citogenetikai rendellenességeket. E 117</w:t>
      </w:r>
      <w:r w:rsidR="00E0464A" w:rsidRPr="00CC170B">
        <w:t> </w:t>
      </w:r>
      <w:r w:rsidRPr="00CC170B">
        <w:t>beteg közül 61 esetében mutatták ki a FIP1L1-PDGFRα fúziós kinázt. 3 másik publikációban további 4</w:t>
      </w:r>
      <w:r w:rsidR="00FF3742">
        <w:t>,</w:t>
      </w:r>
      <w:r w:rsidRPr="00CC170B">
        <w:t xml:space="preserve"> FIP1L1-PDGFRα fúziós kináz-pozitív, HES-ben szenvedő betegről számoltak be. Mind a 65</w:t>
      </w:r>
      <w:r w:rsidR="00FF3742">
        <w:t>,</w:t>
      </w:r>
      <w:r w:rsidRPr="00CC170B">
        <w:t xml:space="preserve"> FIP1L1-PDGFRα fúziós kináz-pozitív beteg teljes hematológiai választ ért el, amely</w:t>
      </w:r>
      <w:r w:rsidR="00645FEE" w:rsidRPr="00CC170B">
        <w:t> hónap</w:t>
      </w:r>
      <w:r w:rsidRPr="00CC170B">
        <w:t>okig fennmaradt (&gt;</w:t>
      </w:r>
      <w:r w:rsidR="00E0464A" w:rsidRPr="00CC170B">
        <w:t> </w:t>
      </w:r>
      <w:r w:rsidRPr="00CC170B">
        <w:t>1 és &gt;</w:t>
      </w:r>
      <w:r w:rsidR="00E0464A" w:rsidRPr="00CC170B">
        <w:t> </w:t>
      </w:r>
      <w:r w:rsidRPr="00CC170B">
        <w:t>44</w:t>
      </w:r>
      <w:r w:rsidR="00645FEE" w:rsidRPr="00CC170B">
        <w:t> hónap</w:t>
      </w:r>
      <w:r w:rsidRPr="00CC170B">
        <w:t xml:space="preserve"> közötti tartományban, a bejelentés időpontjakor cenzorálva). Amint arról egy nemrégiben megjelent publikációban beszámoltak,</w:t>
      </w:r>
      <w:r w:rsidRPr="00CC170B">
        <w:rPr>
          <w:spacing w:val="-10"/>
        </w:rPr>
        <w:t xml:space="preserve"> </w:t>
      </w:r>
      <w:r w:rsidRPr="00CC170B">
        <w:t>a</w:t>
      </w:r>
      <w:r w:rsidR="00E0464A" w:rsidRPr="00CC170B">
        <w:t xml:space="preserve"> </w:t>
      </w:r>
      <w:r w:rsidRPr="00CC170B">
        <w:t>65</w:t>
      </w:r>
      <w:r w:rsidR="00E0464A" w:rsidRPr="00CC170B">
        <w:t> </w:t>
      </w:r>
      <w:r w:rsidRPr="00CC170B">
        <w:t>beteg közül 21</w:t>
      </w:r>
      <w:r w:rsidR="00E0464A" w:rsidRPr="00CC170B">
        <w:t> </w:t>
      </w:r>
      <w:r w:rsidRPr="00CC170B">
        <w:t>ért el teljes molekuláris remissziót a medián 28</w:t>
      </w:r>
      <w:r w:rsidR="00645FEE" w:rsidRPr="00CC170B">
        <w:t> hónap</w:t>
      </w:r>
      <w:r w:rsidRPr="00CC170B">
        <w:t>os (13–67</w:t>
      </w:r>
      <w:r w:rsidR="00645FEE" w:rsidRPr="00CC170B">
        <w:t> hónap</w:t>
      </w:r>
      <w:r w:rsidRPr="00CC170B">
        <w:t xml:space="preserve">) követési idő </w:t>
      </w:r>
      <w:r w:rsidR="00FF3742">
        <w:t>alatt</w:t>
      </w:r>
      <w:r w:rsidRPr="00CC170B">
        <w:t>. Ezen betegek életkora 25 és 72</w:t>
      </w:r>
      <w:r w:rsidR="00E0464A" w:rsidRPr="00CC170B">
        <w:t> </w:t>
      </w:r>
      <w:r w:rsidRPr="00CC170B">
        <w:t>év között volt. Az esettanulmányokban ezenkívül a vizsgálatvezetők a tünetek és az egyéb szervek diszfunkciójának javulásáról számoltak be. Javulásról számoltak be az alábbi szervrendszerek tekintetében: szív, idegrendszer, bőr / bőr alatti szövetek, légzőrendszer/mellkas/mediastinum, vázizom/kötőszövet/érrendszer és emésztőrendszer.</w:t>
      </w:r>
    </w:p>
    <w:p w14:paraId="3286E93C" w14:textId="77777777" w:rsidR="00FC0D76" w:rsidRPr="00CC170B" w:rsidRDefault="00FC0D76" w:rsidP="00FC0D76"/>
    <w:p w14:paraId="4BE7D6C9" w14:textId="342E9749" w:rsidR="00FC0D76" w:rsidRPr="00CC170B" w:rsidRDefault="00FC0D76" w:rsidP="00FC0D76">
      <w:r w:rsidRPr="00CC170B">
        <w:t>HES/CEL-ben szenvedő gyermek, illetve serdülő betegekkel nincsenek kontrollos vizsgálatok. Három publikációban három, HES-ben, illetve CEL-ben szenvedő betegnél társult</w:t>
      </w:r>
      <w:r w:rsidR="00E0464A" w:rsidRPr="00CC170B">
        <w:t xml:space="preserve"> </w:t>
      </w:r>
      <w:r w:rsidRPr="00CC170B">
        <w:t>PDGFR-génátrendeződésről számoltak be. Ezen betegek életkora 2 és 16</w:t>
      </w:r>
      <w:r w:rsidR="00AB2353">
        <w:t> </w:t>
      </w:r>
      <w:r w:rsidRPr="00CC170B">
        <w:t>év közé esett, és az imatinibet</w:t>
      </w:r>
      <w:r w:rsidR="00E0464A" w:rsidRPr="00CC170B">
        <w:t xml:space="preserve"> </w:t>
      </w:r>
      <w:r w:rsidR="0087414E" w:rsidRPr="00CC170B">
        <w:t>nap</w:t>
      </w:r>
      <w:r w:rsidRPr="00CC170B">
        <w:t>i 300 mg/m</w:t>
      </w:r>
      <w:r w:rsidRPr="00CC170B">
        <w:rPr>
          <w:vertAlign w:val="superscript"/>
        </w:rPr>
        <w:t>2</w:t>
      </w:r>
      <w:r w:rsidRPr="00CC170B">
        <w:t>-es dózisban vagy</w:t>
      </w:r>
      <w:r w:rsidR="0087414E" w:rsidRPr="00CC170B">
        <w:t> nap</w:t>
      </w:r>
      <w:r w:rsidRPr="00CC170B">
        <w:t>i 200–400 mg dózisban kapták. Minden beteg teljes hematológiai választ, teljes citogenetikai választ és/vagy teljes molekuláris választ ért el.</w:t>
      </w:r>
    </w:p>
    <w:p w14:paraId="1827B211" w14:textId="77777777" w:rsidR="00FC0D76" w:rsidRPr="00CC170B" w:rsidRDefault="00FC0D76" w:rsidP="00FC0D76"/>
    <w:p w14:paraId="45E6EFDF" w14:textId="29822B7F" w:rsidR="00FC0D76" w:rsidRPr="00CC170B" w:rsidRDefault="00FC0D76" w:rsidP="00FC0D76">
      <w:r w:rsidRPr="00CC170B">
        <w:rPr>
          <w:u w:val="single"/>
        </w:rPr>
        <w:t xml:space="preserve">Klinikai vizsgálatok nem reszekábilis és/vagy </w:t>
      </w:r>
      <w:r w:rsidR="006276E6" w:rsidRPr="00CC170B">
        <w:rPr>
          <w:u w:val="single"/>
        </w:rPr>
        <w:t>metasztatizáló</w:t>
      </w:r>
      <w:r w:rsidRPr="00CC170B">
        <w:rPr>
          <w:u w:val="single"/>
        </w:rPr>
        <w:t xml:space="preserve"> GIST-ben</w:t>
      </w:r>
    </w:p>
    <w:p w14:paraId="478D129B" w14:textId="77777777" w:rsidR="00FC0D76" w:rsidRPr="00CC170B" w:rsidRDefault="00FC0D76" w:rsidP="00FC0D76"/>
    <w:p w14:paraId="0A0FA0EC" w14:textId="7A6EA62E" w:rsidR="00FC0D76" w:rsidRPr="00CC170B" w:rsidRDefault="00FC0D76" w:rsidP="00FC0D76">
      <w:r w:rsidRPr="00CC170B">
        <w:t>Egy nyílt elrendezésű, randomizált, nem kontrollos, nemzetközi II. fázisú vizsgálat</w:t>
      </w:r>
      <w:r w:rsidR="00AB2353">
        <w:t>ot v</w:t>
      </w:r>
      <w:r w:rsidR="004E0C2F">
        <w:t>é</w:t>
      </w:r>
      <w:r w:rsidR="00AB2353">
        <w:t>ge</w:t>
      </w:r>
      <w:r w:rsidR="004E0C2F">
        <w:t>z</w:t>
      </w:r>
      <w:r w:rsidR="00AB2353">
        <w:t>tek,</w:t>
      </w:r>
      <w:r w:rsidRPr="00CC170B">
        <w:t xml:space="preserve"> nem reszekábilis vagy metasztatizáló malignus gastrointestinalis stromalis tumorban (GIST-ben) szenvedő betegek bevonásával. Száznegyvenhét (147) beteget választottak be a vizsgálatba, és a randomizációt követően</w:t>
      </w:r>
      <w:r w:rsidR="00AB2353">
        <w:t xml:space="preserve"> </w:t>
      </w:r>
      <w:r w:rsidR="0087414E" w:rsidRPr="00CC170B">
        <w:t>nap</w:t>
      </w:r>
      <w:r w:rsidRPr="00CC170B">
        <w:t xml:space="preserve">i egyszer 400 mg vagy 600 mg </w:t>
      </w:r>
      <w:r w:rsidR="00E0464A" w:rsidRPr="00CC170B">
        <w:t>i</w:t>
      </w:r>
      <w:r w:rsidRPr="00CC170B">
        <w:t xml:space="preserve">matinibet kaptak </w:t>
      </w:r>
      <w:r w:rsidRPr="00CC170B">
        <w:rPr>
          <w:i/>
        </w:rPr>
        <w:t>per os</w:t>
      </w:r>
      <w:r w:rsidRPr="00CC170B">
        <w:t>, 36</w:t>
      </w:r>
      <w:r w:rsidR="00645FEE" w:rsidRPr="00CC170B">
        <w:t> hónap</w:t>
      </w:r>
      <w:r w:rsidRPr="00CC170B">
        <w:t>ig. Ezen betegek életkora 18</w:t>
      </w:r>
      <w:r w:rsidR="00FF3742">
        <w:t xml:space="preserve"> és</w:t>
      </w:r>
      <w:r w:rsidRPr="00CC170B">
        <w:t xml:space="preserve"> 83</w:t>
      </w:r>
      <w:r w:rsidR="00AB2353">
        <w:t> </w:t>
      </w:r>
      <w:r w:rsidRPr="00CC170B">
        <w:t xml:space="preserve">év közötti, kórszövettani diagnózisuk Kit-pozitív malignus GIST volt, mely nem reszekábilis és/vagy </w:t>
      </w:r>
      <w:r w:rsidR="006276E6" w:rsidRPr="00CC170B">
        <w:t>metasztatizáló</w:t>
      </w:r>
      <w:r w:rsidRPr="00CC170B">
        <w:t xml:space="preserve"> volt.</w:t>
      </w:r>
    </w:p>
    <w:p w14:paraId="706114A9" w14:textId="1D3D0162" w:rsidR="00FC0D76" w:rsidRPr="00CC170B" w:rsidRDefault="00FC0D76" w:rsidP="00FC0D76">
      <w:r w:rsidRPr="00CC170B">
        <w:t>Az immunhisztokémiai vizsgálat rutinszerűen Kit-antitesttel (A-4502, nyúl polyclonalis antiszérum, 1:100; DAKO Corporation, Carpinteria, CA) történt, antigén-visszanyerés után,</w:t>
      </w:r>
      <w:r w:rsidR="00AB2353">
        <w:t xml:space="preserve"> </w:t>
      </w:r>
      <w:r w:rsidRPr="00CC170B">
        <w:t>avidin-biotin-peroxidáz komplex módszerrel történő vizsgálat szerint.</w:t>
      </w:r>
    </w:p>
    <w:p w14:paraId="576299D8" w14:textId="77777777" w:rsidR="00FC0D76" w:rsidRPr="00CC170B" w:rsidRDefault="00FC0D76" w:rsidP="00FC0D76"/>
    <w:p w14:paraId="7CB4D672" w14:textId="77777777" w:rsidR="00FC0D76" w:rsidRPr="00CC170B" w:rsidRDefault="00FC0D76" w:rsidP="00FC0D76">
      <w:r w:rsidRPr="00CC170B">
        <w:t xml:space="preserve">Az objektív terápiás válasz volt a hatásosság elsődleges bizonyítéka. A daganatnak legalább egy helyen mérhetőnek kellett lennie. A terápiás választ a </w:t>
      </w:r>
      <w:r w:rsidRPr="00CC170B">
        <w:rPr>
          <w:i/>
        </w:rPr>
        <w:t xml:space="preserve">Southwestern Oncology Group </w:t>
      </w:r>
      <w:r w:rsidRPr="00CC170B">
        <w:t>(SWOG-) kritériumok alapján mérték. Az eredményeket a 6. táblázat mutatja be.</w:t>
      </w:r>
    </w:p>
    <w:p w14:paraId="4093D198" w14:textId="77777777" w:rsidR="00FC0D76" w:rsidRPr="00CC170B" w:rsidRDefault="00FC0D76" w:rsidP="00FC0D76"/>
    <w:p w14:paraId="01DC8991" w14:textId="1AAC7D8C" w:rsidR="00FC0D76" w:rsidRPr="00CC170B" w:rsidRDefault="00FC0D76" w:rsidP="00E0464A">
      <w:pPr>
        <w:pStyle w:val="Listaszerbekezds"/>
        <w:numPr>
          <w:ilvl w:val="0"/>
          <w:numId w:val="32"/>
        </w:numPr>
        <w:ind w:left="567" w:hanging="567"/>
        <w:rPr>
          <w:b/>
          <w:bCs/>
        </w:rPr>
      </w:pPr>
      <w:r w:rsidRPr="00CC170B">
        <w:rPr>
          <w:b/>
          <w:bCs/>
        </w:rPr>
        <w:t>táblázat A legjobb tumorválasz az STIB2222 vizsgálatban</w:t>
      </w:r>
      <w:r w:rsidRPr="00CC170B">
        <w:rPr>
          <w:b/>
          <w:bCs/>
          <w:spacing w:val="-16"/>
        </w:rPr>
        <w:t xml:space="preserve"> </w:t>
      </w:r>
      <w:r w:rsidRPr="00CC170B">
        <w:rPr>
          <w:b/>
          <w:bCs/>
        </w:rPr>
        <w:t>(GIST)</w:t>
      </w:r>
    </w:p>
    <w:p w14:paraId="2CFB33AC" w14:textId="77777777" w:rsidR="00E6253F" w:rsidRPr="00CC170B" w:rsidRDefault="00E6253F" w:rsidP="00E6253F">
      <w:pPr>
        <w:pStyle w:val="Bodytext20"/>
        <w:tabs>
          <w:tab w:val="left" w:pos="1134"/>
        </w:tabs>
        <w:spacing w:line="240" w:lineRule="auto"/>
        <w:ind w:left="1134" w:hanging="1134"/>
        <w:rPr>
          <w:b w:val="0"/>
          <w:bCs w:val="0"/>
          <w:szCs w:val="22"/>
        </w:rPr>
      </w:pPr>
    </w:p>
    <w:tbl>
      <w:tblPr>
        <w:tblOverlap w:val="never"/>
        <w:tblW w:w="0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85" w:type="dxa"/>
          <w:right w:w="57" w:type="dxa"/>
        </w:tblCellMar>
        <w:tblLook w:val="04A0" w:firstRow="1" w:lastRow="0" w:firstColumn="1" w:lastColumn="0" w:noHBand="0" w:noVBand="1"/>
      </w:tblPr>
      <w:tblGrid>
        <w:gridCol w:w="2830"/>
        <w:gridCol w:w="6242"/>
      </w:tblGrid>
      <w:tr w:rsidR="00E6253F" w:rsidRPr="00CC170B" w14:paraId="0E66E8EA" w14:textId="77777777" w:rsidTr="00E6253F">
        <w:tc>
          <w:tcPr>
            <w:tcW w:w="2830" w:type="dxa"/>
            <w:tcBorders>
              <w:top w:val="single" w:sz="4" w:space="0" w:color="auto"/>
              <w:bottom w:val="single" w:sz="4" w:space="0" w:color="auto"/>
            </w:tcBorders>
            <w:vAlign w:val="bottom"/>
            <w:hideMark/>
          </w:tcPr>
          <w:p w14:paraId="3BFA10D8" w14:textId="77777777" w:rsidR="00E6253F" w:rsidRPr="00CC170B" w:rsidRDefault="00E6253F" w:rsidP="00E6253F">
            <w:pPr>
              <w:pStyle w:val="Szvegtrzs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bidi="hu-HU"/>
              </w:rPr>
            </w:pPr>
            <w:r w:rsidRPr="00CC170B">
              <w:rPr>
                <w:sz w:val="22"/>
                <w:szCs w:val="22"/>
              </w:rPr>
              <w:t>A legjobb válasz</w:t>
            </w:r>
          </w:p>
        </w:tc>
        <w:tc>
          <w:tcPr>
            <w:tcW w:w="624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36513A0" w14:textId="4C27BEDF" w:rsidR="00E6253F" w:rsidRPr="00CC170B" w:rsidRDefault="00E6253F" w:rsidP="00486ABB">
            <w:pPr>
              <w:jc w:val="center"/>
            </w:pPr>
            <w:r w:rsidRPr="00CC170B">
              <w:t>Minden dózis (n = 147)</w:t>
            </w:r>
          </w:p>
          <w:p w14:paraId="57AE9CD7" w14:textId="40F557AF" w:rsidR="00E6253F" w:rsidRPr="00CC170B" w:rsidRDefault="00E6253F" w:rsidP="00486ABB">
            <w:pPr>
              <w:jc w:val="center"/>
            </w:pPr>
            <w:r w:rsidRPr="00CC170B">
              <w:t>400 mg (n = 73)</w:t>
            </w:r>
          </w:p>
          <w:p w14:paraId="60C3DB64" w14:textId="4CC3EF4C" w:rsidR="00E6253F" w:rsidRPr="00CC170B" w:rsidRDefault="00E6253F" w:rsidP="00486ABB">
            <w:pPr>
              <w:jc w:val="center"/>
            </w:pPr>
            <w:r w:rsidRPr="00CC170B">
              <w:t>600 mg (n = 74)</w:t>
            </w:r>
          </w:p>
          <w:p w14:paraId="54C46BC3" w14:textId="77777777" w:rsidR="00E6253F" w:rsidRPr="00CC170B" w:rsidRDefault="00E6253F" w:rsidP="00486ABB">
            <w:pPr>
              <w:pStyle w:val="Szvegtrzs11"/>
              <w:tabs>
                <w:tab w:val="left" w:pos="567"/>
              </w:tabs>
              <w:ind w:left="274" w:hanging="274"/>
              <w:jc w:val="center"/>
              <w:rPr>
                <w:sz w:val="22"/>
                <w:szCs w:val="22"/>
                <w:lang w:bidi="hu-HU"/>
              </w:rPr>
            </w:pPr>
            <w:r w:rsidRPr="00CC170B">
              <w:rPr>
                <w:sz w:val="22"/>
                <w:szCs w:val="22"/>
              </w:rPr>
              <w:t>n (%)</w:t>
            </w:r>
          </w:p>
        </w:tc>
      </w:tr>
      <w:tr w:rsidR="00E6253F" w:rsidRPr="00CC170B" w14:paraId="63893C46" w14:textId="77777777" w:rsidTr="00E6253F">
        <w:tc>
          <w:tcPr>
            <w:tcW w:w="2830" w:type="dxa"/>
            <w:tcBorders>
              <w:top w:val="single" w:sz="4" w:space="0" w:color="auto"/>
            </w:tcBorders>
            <w:hideMark/>
          </w:tcPr>
          <w:p w14:paraId="1D022104" w14:textId="01EA2AAD" w:rsidR="00E6253F" w:rsidRPr="00CC170B" w:rsidRDefault="00FF3742" w:rsidP="00486ABB">
            <w:pPr>
              <w:pStyle w:val="Szvegtrzs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bidi="hu-HU"/>
              </w:rPr>
            </w:pPr>
            <w:r>
              <w:rPr>
                <w:sz w:val="22"/>
                <w:szCs w:val="22"/>
              </w:rPr>
              <w:t>Teljes</w:t>
            </w:r>
            <w:r w:rsidR="00E6253F" w:rsidRPr="00CC170B">
              <w:rPr>
                <w:sz w:val="22"/>
                <w:szCs w:val="22"/>
              </w:rPr>
              <w:t xml:space="preserve"> válasz</w:t>
            </w:r>
          </w:p>
        </w:tc>
        <w:tc>
          <w:tcPr>
            <w:tcW w:w="6242" w:type="dxa"/>
            <w:tcBorders>
              <w:top w:val="single" w:sz="4" w:space="0" w:color="auto"/>
            </w:tcBorders>
            <w:hideMark/>
          </w:tcPr>
          <w:p w14:paraId="75B95F48" w14:textId="77777777" w:rsidR="00E6253F" w:rsidRPr="00CC170B" w:rsidRDefault="00E6253F" w:rsidP="00486ABB">
            <w:pPr>
              <w:pStyle w:val="Szvegtrzs11"/>
              <w:tabs>
                <w:tab w:val="left" w:pos="567"/>
              </w:tabs>
              <w:ind w:left="274" w:hanging="274"/>
              <w:jc w:val="center"/>
              <w:rPr>
                <w:sz w:val="22"/>
                <w:szCs w:val="22"/>
                <w:lang w:bidi="hu-HU"/>
              </w:rPr>
            </w:pPr>
            <w:r w:rsidRPr="00CC170B">
              <w:rPr>
                <w:sz w:val="22"/>
                <w:szCs w:val="22"/>
              </w:rPr>
              <w:t>1(0,7)</w:t>
            </w:r>
          </w:p>
        </w:tc>
      </w:tr>
      <w:tr w:rsidR="00E6253F" w:rsidRPr="00CC170B" w14:paraId="1D6E9A0F" w14:textId="77777777" w:rsidTr="00E6253F">
        <w:tc>
          <w:tcPr>
            <w:tcW w:w="2830" w:type="dxa"/>
            <w:hideMark/>
          </w:tcPr>
          <w:p w14:paraId="22DA31A8" w14:textId="77777777" w:rsidR="00E6253F" w:rsidRPr="00CC170B" w:rsidRDefault="00E6253F" w:rsidP="00486ABB">
            <w:pPr>
              <w:pStyle w:val="Szvegtrzs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bidi="hu-HU"/>
              </w:rPr>
            </w:pPr>
            <w:r w:rsidRPr="00CC170B">
              <w:rPr>
                <w:sz w:val="22"/>
                <w:szCs w:val="22"/>
              </w:rPr>
              <w:t>Részleges válasz</w:t>
            </w:r>
          </w:p>
        </w:tc>
        <w:tc>
          <w:tcPr>
            <w:tcW w:w="6242" w:type="dxa"/>
            <w:hideMark/>
          </w:tcPr>
          <w:p w14:paraId="27AFC6E9" w14:textId="77777777" w:rsidR="00E6253F" w:rsidRPr="00CC170B" w:rsidRDefault="00E6253F" w:rsidP="00486ABB">
            <w:pPr>
              <w:pStyle w:val="Szvegtrzs11"/>
              <w:tabs>
                <w:tab w:val="left" w:pos="567"/>
              </w:tabs>
              <w:ind w:left="274" w:hanging="274"/>
              <w:jc w:val="center"/>
              <w:rPr>
                <w:sz w:val="22"/>
                <w:szCs w:val="22"/>
                <w:lang w:bidi="hu-HU"/>
              </w:rPr>
            </w:pPr>
            <w:r w:rsidRPr="00CC170B">
              <w:rPr>
                <w:sz w:val="22"/>
                <w:szCs w:val="22"/>
              </w:rPr>
              <w:t>98 (66,7)</w:t>
            </w:r>
          </w:p>
        </w:tc>
      </w:tr>
      <w:tr w:rsidR="00E6253F" w:rsidRPr="00CC170B" w14:paraId="1DCD75EC" w14:textId="77777777" w:rsidTr="00E6253F">
        <w:tc>
          <w:tcPr>
            <w:tcW w:w="2830" w:type="dxa"/>
            <w:hideMark/>
          </w:tcPr>
          <w:p w14:paraId="3718FAE1" w14:textId="77777777" w:rsidR="00E6253F" w:rsidRPr="00CC170B" w:rsidRDefault="00E6253F" w:rsidP="00486ABB">
            <w:pPr>
              <w:pStyle w:val="Szvegtrzs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bidi="hu-HU"/>
              </w:rPr>
            </w:pPr>
            <w:r w:rsidRPr="00CC170B">
              <w:rPr>
                <w:sz w:val="22"/>
                <w:szCs w:val="22"/>
              </w:rPr>
              <w:t>Stabil betegség</w:t>
            </w:r>
          </w:p>
        </w:tc>
        <w:tc>
          <w:tcPr>
            <w:tcW w:w="6242" w:type="dxa"/>
            <w:hideMark/>
          </w:tcPr>
          <w:p w14:paraId="545D63E0" w14:textId="77777777" w:rsidR="00E6253F" w:rsidRPr="00CC170B" w:rsidRDefault="00E6253F" w:rsidP="00486ABB">
            <w:pPr>
              <w:pStyle w:val="Szvegtrzs11"/>
              <w:tabs>
                <w:tab w:val="left" w:pos="567"/>
              </w:tabs>
              <w:ind w:left="274" w:hanging="274"/>
              <w:jc w:val="center"/>
              <w:rPr>
                <w:sz w:val="22"/>
                <w:szCs w:val="22"/>
                <w:lang w:bidi="hu-HU"/>
              </w:rPr>
            </w:pPr>
            <w:r w:rsidRPr="00CC170B">
              <w:rPr>
                <w:sz w:val="22"/>
                <w:szCs w:val="22"/>
              </w:rPr>
              <w:t>23 (15,6)</w:t>
            </w:r>
          </w:p>
        </w:tc>
      </w:tr>
      <w:tr w:rsidR="00E6253F" w:rsidRPr="00CC170B" w14:paraId="4AA68400" w14:textId="77777777" w:rsidTr="00E6253F">
        <w:tc>
          <w:tcPr>
            <w:tcW w:w="2830" w:type="dxa"/>
            <w:hideMark/>
          </w:tcPr>
          <w:p w14:paraId="6E31A7A3" w14:textId="77777777" w:rsidR="00E6253F" w:rsidRPr="00CC170B" w:rsidRDefault="00E6253F" w:rsidP="00486ABB">
            <w:pPr>
              <w:pStyle w:val="Szvegtrzs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bidi="hu-HU"/>
              </w:rPr>
            </w:pPr>
            <w:r w:rsidRPr="00CC170B">
              <w:rPr>
                <w:sz w:val="22"/>
                <w:szCs w:val="22"/>
              </w:rPr>
              <w:t>Progresszív betegség</w:t>
            </w:r>
          </w:p>
        </w:tc>
        <w:tc>
          <w:tcPr>
            <w:tcW w:w="6242" w:type="dxa"/>
            <w:hideMark/>
          </w:tcPr>
          <w:p w14:paraId="01F90E4E" w14:textId="77777777" w:rsidR="00E6253F" w:rsidRPr="00CC170B" w:rsidRDefault="00E6253F" w:rsidP="00486ABB">
            <w:pPr>
              <w:pStyle w:val="Szvegtrzs11"/>
              <w:tabs>
                <w:tab w:val="left" w:pos="567"/>
              </w:tabs>
              <w:ind w:left="274" w:hanging="274"/>
              <w:jc w:val="center"/>
              <w:rPr>
                <w:sz w:val="22"/>
                <w:szCs w:val="22"/>
                <w:lang w:bidi="hu-HU"/>
              </w:rPr>
            </w:pPr>
            <w:r w:rsidRPr="00CC170B">
              <w:rPr>
                <w:sz w:val="22"/>
                <w:szCs w:val="22"/>
              </w:rPr>
              <w:t>18 (12,2)</w:t>
            </w:r>
          </w:p>
        </w:tc>
      </w:tr>
      <w:tr w:rsidR="00E6253F" w:rsidRPr="00CC170B" w14:paraId="45053089" w14:textId="77777777" w:rsidTr="00E6253F">
        <w:tc>
          <w:tcPr>
            <w:tcW w:w="2830" w:type="dxa"/>
            <w:hideMark/>
          </w:tcPr>
          <w:p w14:paraId="7122E0A5" w14:textId="77777777" w:rsidR="00E6253F" w:rsidRPr="00CC170B" w:rsidRDefault="00E6253F" w:rsidP="00486ABB">
            <w:pPr>
              <w:pStyle w:val="Szvegtrzs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bidi="hu-HU"/>
              </w:rPr>
            </w:pPr>
            <w:r w:rsidRPr="00CC170B">
              <w:rPr>
                <w:sz w:val="22"/>
                <w:szCs w:val="22"/>
              </w:rPr>
              <w:t>Nem értékelhető</w:t>
            </w:r>
          </w:p>
        </w:tc>
        <w:tc>
          <w:tcPr>
            <w:tcW w:w="6242" w:type="dxa"/>
            <w:hideMark/>
          </w:tcPr>
          <w:p w14:paraId="62111951" w14:textId="77777777" w:rsidR="00E6253F" w:rsidRPr="00CC170B" w:rsidRDefault="00E6253F" w:rsidP="00486ABB">
            <w:pPr>
              <w:pStyle w:val="Szvegtrzs11"/>
              <w:tabs>
                <w:tab w:val="left" w:pos="567"/>
              </w:tabs>
              <w:ind w:left="274" w:hanging="274"/>
              <w:jc w:val="center"/>
              <w:rPr>
                <w:sz w:val="22"/>
                <w:szCs w:val="22"/>
                <w:lang w:bidi="hu-HU"/>
              </w:rPr>
            </w:pPr>
            <w:r w:rsidRPr="00CC170B">
              <w:rPr>
                <w:sz w:val="22"/>
                <w:szCs w:val="22"/>
              </w:rPr>
              <w:t>5 (3,4)</w:t>
            </w:r>
          </w:p>
        </w:tc>
      </w:tr>
      <w:tr w:rsidR="00E6253F" w:rsidRPr="00CC170B" w14:paraId="180648EC" w14:textId="77777777" w:rsidTr="00E6253F">
        <w:tc>
          <w:tcPr>
            <w:tcW w:w="2830" w:type="dxa"/>
            <w:hideMark/>
          </w:tcPr>
          <w:p w14:paraId="7323D820" w14:textId="77777777" w:rsidR="00E6253F" w:rsidRPr="00CC170B" w:rsidRDefault="00E6253F" w:rsidP="00486ABB">
            <w:pPr>
              <w:pStyle w:val="Szvegtrzs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bidi="hu-HU"/>
              </w:rPr>
            </w:pPr>
            <w:r w:rsidRPr="00CC170B">
              <w:rPr>
                <w:sz w:val="22"/>
                <w:szCs w:val="22"/>
              </w:rPr>
              <w:t>Nem ismert</w:t>
            </w:r>
          </w:p>
        </w:tc>
        <w:tc>
          <w:tcPr>
            <w:tcW w:w="6242" w:type="dxa"/>
            <w:hideMark/>
          </w:tcPr>
          <w:p w14:paraId="41273418" w14:textId="77777777" w:rsidR="00E6253F" w:rsidRPr="00CC170B" w:rsidRDefault="00E6253F" w:rsidP="00486ABB">
            <w:pPr>
              <w:pStyle w:val="Szvegtrzs11"/>
              <w:tabs>
                <w:tab w:val="left" w:pos="567"/>
              </w:tabs>
              <w:ind w:left="274" w:hanging="274"/>
              <w:jc w:val="center"/>
              <w:rPr>
                <w:sz w:val="22"/>
                <w:szCs w:val="22"/>
                <w:lang w:bidi="hu-HU"/>
              </w:rPr>
            </w:pPr>
            <w:r w:rsidRPr="00CC170B">
              <w:rPr>
                <w:sz w:val="22"/>
                <w:szCs w:val="22"/>
              </w:rPr>
              <w:t>2 (1,4)</w:t>
            </w:r>
          </w:p>
        </w:tc>
      </w:tr>
    </w:tbl>
    <w:p w14:paraId="235E529E" w14:textId="77777777" w:rsidR="00FC0D76" w:rsidRPr="00CC170B" w:rsidRDefault="00FC0D76" w:rsidP="00FC0D76"/>
    <w:p w14:paraId="5C106A29" w14:textId="6AA4A880" w:rsidR="00FC0D76" w:rsidRPr="00CC170B" w:rsidRDefault="00FC0D76" w:rsidP="00FC0D76">
      <w:r w:rsidRPr="00CC170B">
        <w:t>A két dozírozású csoport között a terápiásválasz-arány vonatkozásában nem volt különbség. Az interim analízis idején stabil állapotban levő betegek szignifikáns része részleges választ ért el a hosszabb kezelés során (a medián követési idő 31</w:t>
      </w:r>
      <w:r w:rsidR="00645FEE" w:rsidRPr="00CC170B">
        <w:t> hónap</w:t>
      </w:r>
      <w:r w:rsidRPr="00CC170B">
        <w:t xml:space="preserve">). A válasz megjelenéséig eltelt </w:t>
      </w:r>
      <w:r w:rsidR="00FF3742">
        <w:t xml:space="preserve">medián </w:t>
      </w:r>
      <w:r w:rsidRPr="00CC170B">
        <w:t>idő 13</w:t>
      </w:r>
      <w:r w:rsidR="00644CAD">
        <w:t> </w:t>
      </w:r>
      <w:r w:rsidRPr="00CC170B">
        <w:t xml:space="preserve">hét volt (95%-os CI 12–23). A kezelésre reagálók között a kezelés elégtelenné válásáig eltelt </w:t>
      </w:r>
      <w:r w:rsidR="0066146E">
        <w:t xml:space="preserve">medián </w:t>
      </w:r>
      <w:r w:rsidRPr="00CC170B">
        <w:t>idő 122</w:t>
      </w:r>
      <w:r w:rsidR="00644CAD">
        <w:t> </w:t>
      </w:r>
      <w:r w:rsidRPr="00CC170B">
        <w:t>hét volt (95%-os CI 106–147), míg a teljes vizsgálati populációban ez az érték 84</w:t>
      </w:r>
      <w:r w:rsidR="00644CAD">
        <w:t> </w:t>
      </w:r>
      <w:r w:rsidRPr="00CC170B">
        <w:t xml:space="preserve">hét volt (95%-os CI 71–109). A medián teljes túlélést nem érték el. A Kaplan-Meier-becslés szerint a </w:t>
      </w:r>
      <w:r w:rsidRPr="00CC170B">
        <w:lastRenderedPageBreak/>
        <w:t>36</w:t>
      </w:r>
      <w:r w:rsidR="00645FEE" w:rsidRPr="00CC170B">
        <w:t> hónap</w:t>
      </w:r>
      <w:r w:rsidRPr="00CC170B">
        <w:t>os nyomon követés utáni túlélés 68% volt.</w:t>
      </w:r>
    </w:p>
    <w:p w14:paraId="7CC5878C" w14:textId="77777777" w:rsidR="00FC0D76" w:rsidRPr="00CC170B" w:rsidRDefault="00FC0D76" w:rsidP="00FC0D76"/>
    <w:p w14:paraId="40EE1233" w14:textId="01856BCE" w:rsidR="00FC0D76" w:rsidRPr="00CC170B" w:rsidRDefault="00FC0D76" w:rsidP="00FC0D76">
      <w:r w:rsidRPr="00CC170B">
        <w:t xml:space="preserve">Két klinikai vizsgálatban (B2222 vizsgálat és az S0033-as </w:t>
      </w:r>
      <w:r w:rsidRPr="00931686">
        <w:rPr>
          <w:i/>
        </w:rPr>
        <w:t>intergroup</w:t>
      </w:r>
      <w:r w:rsidRPr="00CC170B">
        <w:rPr>
          <w:i/>
        </w:rPr>
        <w:t xml:space="preserve"> </w:t>
      </w:r>
      <w:r w:rsidRPr="00CC170B">
        <w:t xml:space="preserve">vizsgálat) </w:t>
      </w:r>
      <w:r w:rsidR="00F65A4E" w:rsidRPr="00CC170B">
        <w:t xml:space="preserve">az </w:t>
      </w:r>
      <w:r w:rsidR="002D5D5A" w:rsidRPr="00CC170B">
        <w:t>i</w:t>
      </w:r>
      <w:r w:rsidR="00D07FC6" w:rsidRPr="00CC170B">
        <w:t>matinib</w:t>
      </w:r>
      <w:r w:rsidRPr="00CC170B">
        <w:t xml:space="preserve"> </w:t>
      </w:r>
      <w:r w:rsidR="0087414E" w:rsidRPr="00CC170B">
        <w:t>nap</w:t>
      </w:r>
      <w:r w:rsidRPr="00CC170B">
        <w:t>i adagját 800 mg-ig emelték azon betegeknél, akiknek a betegsége kisebb,</w:t>
      </w:r>
      <w:r w:rsidR="0087414E" w:rsidRPr="00CC170B">
        <w:t> nap</w:t>
      </w:r>
      <w:r w:rsidRPr="00CC170B">
        <w:t>i 400 mg vagy 600 mg adag mellett progressziót mutatott. A</w:t>
      </w:r>
      <w:r w:rsidR="0087414E" w:rsidRPr="00CC170B">
        <w:t> nap</w:t>
      </w:r>
      <w:r w:rsidRPr="00CC170B">
        <w:t>i adagot összesen 103</w:t>
      </w:r>
      <w:r w:rsidR="00644CAD">
        <w:t> </w:t>
      </w:r>
      <w:r w:rsidRPr="00CC170B">
        <w:t>betegnél emelték 800 mg-ra; 6</w:t>
      </w:r>
      <w:r w:rsidR="00644CAD">
        <w:t> </w:t>
      </w:r>
      <w:r w:rsidRPr="00CC170B">
        <w:t>beteg ért el részleges választ, és 21</w:t>
      </w:r>
      <w:r w:rsidR="00644CAD">
        <w:t> </w:t>
      </w:r>
      <w:r w:rsidRPr="00CC170B">
        <w:t>beteg állapota stabilizálódott az adag emelését követően, ami 26%-os teljes klinikai előnynek felel meg. A rendelkezésre álló biztonsági adatok arra utalnak, hogy a</w:t>
      </w:r>
      <w:r w:rsidR="00644CAD">
        <w:t xml:space="preserve"> </w:t>
      </w:r>
      <w:r w:rsidR="0087414E" w:rsidRPr="00CC170B">
        <w:t>nap</w:t>
      </w:r>
      <w:r w:rsidRPr="00CC170B">
        <w:t xml:space="preserve">i 400 mg vagy 600 mg adag mellett progressziót mutató betegeknél </w:t>
      </w:r>
      <w:r w:rsidR="00F65A4E" w:rsidRPr="00CC170B">
        <w:t xml:space="preserve">az </w:t>
      </w:r>
      <w:r w:rsidR="002D5D5A" w:rsidRPr="00CC170B">
        <w:t>i</w:t>
      </w:r>
      <w:r w:rsidR="00D07FC6" w:rsidRPr="00CC170B">
        <w:t>matinib</w:t>
      </w:r>
      <w:r w:rsidRPr="00CC170B">
        <w:t xml:space="preserve"> </w:t>
      </w:r>
      <w:r w:rsidR="0087414E" w:rsidRPr="00CC170B">
        <w:t>nap</w:t>
      </w:r>
      <w:r w:rsidRPr="00CC170B">
        <w:t>i adagjának 800 mg-ra való emelése nem befolyásolja a készítmény biztonságossági profilját.</w:t>
      </w:r>
    </w:p>
    <w:p w14:paraId="083D109D" w14:textId="77777777" w:rsidR="00FC0D76" w:rsidRPr="00CC170B" w:rsidRDefault="00FC0D76" w:rsidP="00FC0D76"/>
    <w:p w14:paraId="29B30199" w14:textId="77777777" w:rsidR="00FC0D76" w:rsidRPr="00CC170B" w:rsidRDefault="00FC0D76" w:rsidP="00931686">
      <w:pPr>
        <w:keepNext/>
        <w:widowControl/>
      </w:pPr>
      <w:r w:rsidRPr="00CC170B">
        <w:rPr>
          <w:u w:val="single"/>
        </w:rPr>
        <w:t>A GIST adjuváns kezelése során folytatott klinikai vizsgálatok</w:t>
      </w:r>
    </w:p>
    <w:p w14:paraId="535104A7" w14:textId="77777777" w:rsidR="00FC0D76" w:rsidRPr="00CC170B" w:rsidRDefault="00FC0D76" w:rsidP="00931686">
      <w:pPr>
        <w:keepNext/>
        <w:widowControl/>
      </w:pPr>
    </w:p>
    <w:p w14:paraId="4C628007" w14:textId="718AE765" w:rsidR="00FC0D76" w:rsidRPr="00CC170B" w:rsidRDefault="00FC0D76" w:rsidP="00931686">
      <w:pPr>
        <w:keepNext/>
        <w:widowControl/>
      </w:pPr>
      <w:r w:rsidRPr="00CC170B">
        <w:t xml:space="preserve">Adjuvánsként </w:t>
      </w:r>
      <w:r w:rsidR="00F65A4E" w:rsidRPr="00CC170B">
        <w:t xml:space="preserve">az </w:t>
      </w:r>
      <w:r w:rsidR="002D5D5A" w:rsidRPr="00CC170B">
        <w:t>i</w:t>
      </w:r>
      <w:r w:rsidR="00D07FC6" w:rsidRPr="00CC170B">
        <w:t>matinib</w:t>
      </w:r>
      <w:r w:rsidRPr="00CC170B">
        <w:t>et egy multicentrikus, kettős vak, hosszú távú, placebokontrollos, III. fázisú vizsgálatban (Z9001) értékelték, melybe 773 beteget vontak be. Ezeknek a betegeknek az életkora 18 és 91 év között volt. Olyan betegeket vontak be, akiknek az előzetes szövettani diagnózisa immunhisztokémiai vizsgálattal igazolt, Kit-protein-expresszáló primer GIST volt, és a tumor</w:t>
      </w:r>
      <w:r w:rsidR="002D5D5A" w:rsidRPr="00CC170B">
        <w:t xml:space="preserve"> </w:t>
      </w:r>
      <w:r w:rsidRPr="00CC170B">
        <w:t>legnagyobb átmérője ≥3 cm volt, valamint a GIST teljes, makroszkópos reszekciója a nyilvántartásba vétel előtt 14-70</w:t>
      </w:r>
      <w:r w:rsidR="0087414E" w:rsidRPr="00CC170B">
        <w:t> nap</w:t>
      </w:r>
      <w:r w:rsidRPr="00CC170B">
        <w:t>pal történt. A primer GIST reszekcióját követően a betegeket a két kar egyikébe randomizálták:</w:t>
      </w:r>
      <w:r w:rsidR="002D5D5A" w:rsidRPr="00CC170B">
        <w:t xml:space="preserve"> </w:t>
      </w:r>
      <w:r w:rsidR="0087414E" w:rsidRPr="00CC170B">
        <w:t>nap</w:t>
      </w:r>
      <w:r w:rsidRPr="00CC170B">
        <w:t xml:space="preserve">i 400 mg </w:t>
      </w:r>
      <w:r w:rsidR="002D5D5A" w:rsidRPr="00CC170B">
        <w:t>i</w:t>
      </w:r>
      <w:r w:rsidRPr="00CC170B">
        <w:t>matinib- vagy ennek megfelelő placebokezelésre, egy éven át.</w:t>
      </w:r>
    </w:p>
    <w:p w14:paraId="79D67BBC" w14:textId="77777777" w:rsidR="00FC0D76" w:rsidRPr="00CC170B" w:rsidRDefault="00FC0D76" w:rsidP="00FC0D76"/>
    <w:p w14:paraId="3455CA6B" w14:textId="47E8C9BC" w:rsidR="00FC0D76" w:rsidRPr="00CC170B" w:rsidRDefault="00FC0D76" w:rsidP="00FC0D76">
      <w:r w:rsidRPr="00CC170B">
        <w:t>A vizsgálat elsődleges végpontja a kiújulásmentes túlélés (</w:t>
      </w:r>
      <w:r w:rsidRPr="00CC170B">
        <w:rPr>
          <w:i/>
        </w:rPr>
        <w:t>recurrence-free survival</w:t>
      </w:r>
      <w:r w:rsidRPr="00CC170B">
        <w:t>, RFS) volt, melynek definíciója a randomizációtól a kiújulásig vagy a bármely okból bekövetkező halál</w:t>
      </w:r>
      <w:r w:rsidR="0066146E">
        <w:t>ozás</w:t>
      </w:r>
      <w:r w:rsidRPr="00CC170B">
        <w:t xml:space="preserve"> időpontjáig eltelt idő.</w:t>
      </w:r>
    </w:p>
    <w:p w14:paraId="5A432CBB" w14:textId="77777777" w:rsidR="00FC0D76" w:rsidRPr="00CC170B" w:rsidRDefault="00FC0D76" w:rsidP="00FC0D76"/>
    <w:p w14:paraId="582580C2" w14:textId="0CA0CDB5" w:rsidR="00FC0D76" w:rsidRPr="00CC170B" w:rsidRDefault="00430469" w:rsidP="00FC0D76">
      <w:r w:rsidRPr="00CC170B">
        <w:t xml:space="preserve">Az </w:t>
      </w:r>
      <w:r w:rsidR="002D5D5A" w:rsidRPr="00CC170B">
        <w:t>i</w:t>
      </w:r>
      <w:r w:rsidRPr="00CC170B">
        <w:t xml:space="preserve">matinib </w:t>
      </w:r>
      <w:r w:rsidR="00FC0D76" w:rsidRPr="00CC170B">
        <w:t xml:space="preserve">szignifikánsan meghosszabbította az RFS-t: </w:t>
      </w:r>
      <w:r w:rsidR="00F65A4E" w:rsidRPr="00CC170B">
        <w:t xml:space="preserve">az </w:t>
      </w:r>
      <w:r w:rsidR="002D5D5A" w:rsidRPr="00CC170B">
        <w:t>i</w:t>
      </w:r>
      <w:r w:rsidR="00D07FC6" w:rsidRPr="00CC170B">
        <w:t>matinib</w:t>
      </w:r>
      <w:r w:rsidR="00FC0D76" w:rsidRPr="00CC170B">
        <w:t>-csoportban a betegek 75%</w:t>
      </w:r>
      <w:r w:rsidR="00644CAD">
        <w:noBreakHyphen/>
      </w:r>
      <w:r w:rsidR="00FC0D76" w:rsidRPr="00CC170B">
        <w:t>a kiújulásmentes volt</w:t>
      </w:r>
      <w:r w:rsidR="0066146E" w:rsidRPr="0066146E">
        <w:t xml:space="preserve"> </w:t>
      </w:r>
      <w:r w:rsidR="0066146E" w:rsidRPr="00CC170B">
        <w:t>a 38. hónapban</w:t>
      </w:r>
      <w:r w:rsidR="00FC0D76" w:rsidRPr="00CC170B">
        <w:t>, a placebocsoportban észlelt 20</w:t>
      </w:r>
      <w:r w:rsidR="00645FEE" w:rsidRPr="00CC170B">
        <w:t> hónap</w:t>
      </w:r>
      <w:r w:rsidR="00FC0D76" w:rsidRPr="00CC170B">
        <w:t>pal szemben (95%-os CI: [30 – nem megbecsülhető]</w:t>
      </w:r>
      <w:r w:rsidR="0066146E">
        <w:t>, illetve</w:t>
      </w:r>
      <w:r w:rsidR="00FC0D76" w:rsidRPr="00CC170B">
        <w:t xml:space="preserve"> [14 – nem megbecsülhető</w:t>
      </w:r>
      <w:r w:rsidR="0066146E">
        <w:t>]</w:t>
      </w:r>
      <w:r w:rsidR="00FC0D76" w:rsidRPr="00CC170B">
        <w:t>; relatív hazárd</w:t>
      </w:r>
      <w:r w:rsidR="00644CAD">
        <w:t> </w:t>
      </w:r>
      <w:r w:rsidR="00FC0D76" w:rsidRPr="00CC170B">
        <w:t>=</w:t>
      </w:r>
      <w:r w:rsidR="00644CAD">
        <w:t> </w:t>
      </w:r>
      <w:r w:rsidR="00FC0D76" w:rsidRPr="00CC170B">
        <w:t>0,398 [0,259; 0,610], p</w:t>
      </w:r>
      <w:r w:rsidR="0066146E">
        <w:t> </w:t>
      </w:r>
      <w:r w:rsidR="00FC0D76" w:rsidRPr="00CC170B">
        <w:t xml:space="preserve">&lt;0,0001). Egy év után a teljes RFS szignifikánsan jobb volt </w:t>
      </w:r>
      <w:r w:rsidR="00F65A4E" w:rsidRPr="00CC170B">
        <w:t xml:space="preserve">az </w:t>
      </w:r>
      <w:r w:rsidR="002D5D5A" w:rsidRPr="00CC170B">
        <w:t>i</w:t>
      </w:r>
      <w:r w:rsidR="00D07FC6" w:rsidRPr="00CC170B">
        <w:t>matinib</w:t>
      </w:r>
      <w:r w:rsidR="00FC0D76" w:rsidRPr="00CC170B">
        <w:t xml:space="preserve"> (97,7%), mint a placebo esetén (82,3%), (p &lt;0,0001). A kiújulás kockázata a placebóhoz képest így mintegy 89%-kal csökkent (relatív hazárd</w:t>
      </w:r>
      <w:r w:rsidR="00644CAD">
        <w:t> </w:t>
      </w:r>
      <w:r w:rsidR="00FC0D76" w:rsidRPr="00CC170B">
        <w:t>=</w:t>
      </w:r>
      <w:r w:rsidR="00644CAD">
        <w:t> </w:t>
      </w:r>
      <w:r w:rsidR="00FC0D76" w:rsidRPr="00CC170B">
        <w:t>0,113 [0,049; 0,264]).</w:t>
      </w:r>
    </w:p>
    <w:p w14:paraId="31C98245" w14:textId="77777777" w:rsidR="00FC0D76" w:rsidRPr="00CC170B" w:rsidRDefault="00FC0D76" w:rsidP="00FC0D76"/>
    <w:p w14:paraId="1A976B35" w14:textId="100058BF" w:rsidR="00FC0D76" w:rsidRPr="00CC170B" w:rsidRDefault="00FC0D76" w:rsidP="00FC0D76">
      <w:r w:rsidRPr="00CC170B">
        <w:t>A primer GIST operációján átesett betegeknél a kiújulás kockázatát az alábbi prognosztikai faktorok alapján retrospektív módon értékelték: a daganat mérete, a mitotikus index, a daganat lokalizációja. A 713</w:t>
      </w:r>
      <w:r w:rsidR="00061512">
        <w:t> </w:t>
      </w:r>
      <w:r w:rsidRPr="00CC170B">
        <w:t>fős beválasztás szerinti (</w:t>
      </w:r>
      <w:r w:rsidRPr="00931686">
        <w:rPr>
          <w:i/>
          <w:iCs/>
        </w:rPr>
        <w:t>intention-to-treat</w:t>
      </w:r>
      <w:r w:rsidRPr="00CC170B">
        <w:t xml:space="preserve">, ITT) </w:t>
      </w:r>
      <w:r w:rsidR="007C41E9" w:rsidRPr="00CC170B">
        <w:t xml:space="preserve">populációból </w:t>
      </w:r>
      <w:r w:rsidRPr="00CC170B">
        <w:t xml:space="preserve">a mitotikus indexre vonatkozó adatok 556 beteg esetén álltak rendelkezésre. A </w:t>
      </w:r>
      <w:r w:rsidRPr="00931686">
        <w:rPr>
          <w:i/>
          <w:iCs/>
        </w:rPr>
        <w:t>United States National Institutes of Health</w:t>
      </w:r>
      <w:r w:rsidRPr="00CC170B">
        <w:t xml:space="preserve"> (NIH) és az </w:t>
      </w:r>
      <w:r w:rsidRPr="00931686">
        <w:rPr>
          <w:i/>
          <w:iCs/>
        </w:rPr>
        <w:t>Armed Forces Institute of Pathology</w:t>
      </w:r>
      <w:r w:rsidRPr="00CC170B">
        <w:t xml:space="preserve"> (AFIP) kockázatbesorolása szerint végzett alcsoport-analízis eredményeit a 7. táblázat mutatja. Nem észleltek előnyt az alacsony és a nagyon alacsony kockázatú csoportokban. Nem észleltek teljes túlélési előnyt.</w:t>
      </w:r>
    </w:p>
    <w:p w14:paraId="3DF89770" w14:textId="77777777" w:rsidR="00FC0D76" w:rsidRPr="00CC170B" w:rsidRDefault="00FC0D76" w:rsidP="00FC0D76"/>
    <w:p w14:paraId="04D66C99" w14:textId="78594F81" w:rsidR="00FC0D76" w:rsidRPr="00CC170B" w:rsidRDefault="00FC0D76" w:rsidP="002D5D5A">
      <w:pPr>
        <w:pStyle w:val="Listaszerbekezds"/>
        <w:numPr>
          <w:ilvl w:val="0"/>
          <w:numId w:val="32"/>
        </w:numPr>
        <w:ind w:left="567" w:hanging="567"/>
        <w:rPr>
          <w:b/>
          <w:bCs/>
        </w:rPr>
      </w:pPr>
      <w:r w:rsidRPr="00CC170B">
        <w:rPr>
          <w:b/>
          <w:bCs/>
        </w:rPr>
        <w:t>táblázat A Z9001</w:t>
      </w:r>
      <w:r w:rsidR="007C41E9">
        <w:rPr>
          <w:b/>
          <w:bCs/>
        </w:rPr>
        <w:t xml:space="preserve"> </w:t>
      </w:r>
      <w:r w:rsidRPr="00CC170B">
        <w:rPr>
          <w:b/>
          <w:bCs/>
        </w:rPr>
        <w:t>vizsgálat NIH és AFIP kockázatbesorolása szerinti RFS-analízis összefoglalása</w:t>
      </w:r>
    </w:p>
    <w:p w14:paraId="3110D2F2" w14:textId="77777777" w:rsidR="00FC0D76" w:rsidRPr="00CC170B" w:rsidRDefault="00FC0D76" w:rsidP="00FC0D76">
      <w:pPr>
        <w:rPr>
          <w:bCs/>
        </w:rPr>
      </w:pP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34"/>
        <w:gridCol w:w="993"/>
        <w:gridCol w:w="1701"/>
        <w:gridCol w:w="1559"/>
        <w:gridCol w:w="1276"/>
        <w:gridCol w:w="1275"/>
      </w:tblGrid>
      <w:tr w:rsidR="00FC0D76" w:rsidRPr="00CC170B" w14:paraId="6730C9F6" w14:textId="77777777" w:rsidTr="00061512">
        <w:trPr>
          <w:trHeight w:val="260"/>
        </w:trPr>
        <w:tc>
          <w:tcPr>
            <w:tcW w:w="1134" w:type="dxa"/>
            <w:vMerge w:val="restart"/>
          </w:tcPr>
          <w:p w14:paraId="6D794B94" w14:textId="77777777" w:rsidR="00FC0D76" w:rsidRPr="00CC170B" w:rsidRDefault="00FC0D76" w:rsidP="00061512">
            <w:pPr>
              <w:ind w:left="142"/>
              <w:jc w:val="center"/>
              <w:rPr>
                <w:b/>
                <w:sz w:val="20"/>
                <w:szCs w:val="20"/>
                <w:lang w:val="hu-HU"/>
              </w:rPr>
            </w:pPr>
            <w:r w:rsidRPr="00CC170B">
              <w:rPr>
                <w:b/>
                <w:sz w:val="20"/>
                <w:szCs w:val="20"/>
                <w:lang w:val="hu-HU"/>
              </w:rPr>
              <w:t>Kockázat- besorolás</w:t>
            </w:r>
          </w:p>
        </w:tc>
        <w:tc>
          <w:tcPr>
            <w:tcW w:w="1134" w:type="dxa"/>
            <w:vMerge w:val="restart"/>
          </w:tcPr>
          <w:p w14:paraId="61555969" w14:textId="77777777" w:rsidR="00FC0D76" w:rsidRPr="00CC170B" w:rsidRDefault="00FC0D76" w:rsidP="00061512">
            <w:pPr>
              <w:ind w:left="142"/>
              <w:jc w:val="center"/>
              <w:rPr>
                <w:b/>
                <w:sz w:val="20"/>
                <w:szCs w:val="20"/>
                <w:lang w:val="hu-HU"/>
              </w:rPr>
            </w:pPr>
            <w:r w:rsidRPr="00CC170B">
              <w:rPr>
                <w:b/>
                <w:sz w:val="20"/>
                <w:szCs w:val="20"/>
                <w:lang w:val="hu-HU"/>
              </w:rPr>
              <w:t>Kockázati</w:t>
            </w:r>
            <w:r w:rsidRPr="00CC170B">
              <w:rPr>
                <w:b/>
                <w:w w:val="99"/>
                <w:sz w:val="20"/>
                <w:szCs w:val="20"/>
                <w:lang w:val="hu-HU"/>
              </w:rPr>
              <w:t xml:space="preserve"> </w:t>
            </w:r>
            <w:r w:rsidRPr="00CC170B">
              <w:rPr>
                <w:b/>
                <w:sz w:val="20"/>
                <w:szCs w:val="20"/>
                <w:lang w:val="hu-HU"/>
              </w:rPr>
              <w:t>szint</w:t>
            </w:r>
          </w:p>
        </w:tc>
        <w:tc>
          <w:tcPr>
            <w:tcW w:w="993" w:type="dxa"/>
            <w:vMerge w:val="restart"/>
          </w:tcPr>
          <w:p w14:paraId="2253F9AC" w14:textId="77777777" w:rsidR="00FC0D76" w:rsidRPr="00CC170B" w:rsidRDefault="00FC0D76" w:rsidP="00061512">
            <w:pPr>
              <w:ind w:left="142"/>
              <w:jc w:val="center"/>
              <w:rPr>
                <w:b/>
                <w:sz w:val="20"/>
                <w:szCs w:val="20"/>
                <w:lang w:val="hu-HU"/>
              </w:rPr>
            </w:pPr>
            <w:r w:rsidRPr="00CC170B">
              <w:rPr>
                <w:b/>
                <w:sz w:val="20"/>
                <w:szCs w:val="20"/>
                <w:lang w:val="hu-HU"/>
              </w:rPr>
              <w:t>Betegek</w:t>
            </w:r>
          </w:p>
          <w:p w14:paraId="0A9DFDE0" w14:textId="77777777" w:rsidR="00FC0D76" w:rsidRPr="00CC170B" w:rsidRDefault="00FC0D76" w:rsidP="00061512">
            <w:pPr>
              <w:ind w:left="142"/>
              <w:jc w:val="center"/>
              <w:rPr>
                <w:b/>
                <w:sz w:val="20"/>
                <w:szCs w:val="20"/>
                <w:lang w:val="hu-HU"/>
              </w:rPr>
            </w:pPr>
            <w:r w:rsidRPr="00CC170B">
              <w:rPr>
                <w:b/>
                <w:sz w:val="20"/>
                <w:szCs w:val="20"/>
                <w:lang w:val="hu-HU"/>
              </w:rPr>
              <w:t>%-a</w:t>
            </w:r>
          </w:p>
        </w:tc>
        <w:tc>
          <w:tcPr>
            <w:tcW w:w="1701" w:type="dxa"/>
            <w:vMerge w:val="restart"/>
          </w:tcPr>
          <w:p w14:paraId="6A212B4D" w14:textId="74FBC2E8" w:rsidR="00FC0D76" w:rsidRPr="00CC170B" w:rsidRDefault="00FC0D76" w:rsidP="00061512">
            <w:pPr>
              <w:ind w:left="142"/>
              <w:jc w:val="center"/>
              <w:rPr>
                <w:b/>
                <w:sz w:val="20"/>
                <w:szCs w:val="20"/>
                <w:lang w:val="hu-HU"/>
              </w:rPr>
            </w:pPr>
            <w:r w:rsidRPr="00CC170B">
              <w:rPr>
                <w:b/>
                <w:sz w:val="20"/>
                <w:szCs w:val="20"/>
                <w:lang w:val="hu-HU"/>
              </w:rPr>
              <w:t xml:space="preserve">Események száma / </w:t>
            </w:r>
            <w:r w:rsidR="00061512">
              <w:rPr>
                <w:b/>
                <w:sz w:val="20"/>
                <w:szCs w:val="20"/>
                <w:lang w:val="hu-HU"/>
              </w:rPr>
              <w:t>b</w:t>
            </w:r>
            <w:r w:rsidRPr="00CC170B">
              <w:rPr>
                <w:b/>
                <w:sz w:val="20"/>
                <w:szCs w:val="20"/>
                <w:lang w:val="hu-HU"/>
              </w:rPr>
              <w:t>etegek száma</w:t>
            </w:r>
          </w:p>
        </w:tc>
        <w:tc>
          <w:tcPr>
            <w:tcW w:w="1559" w:type="dxa"/>
            <w:vMerge w:val="restart"/>
          </w:tcPr>
          <w:p w14:paraId="56744E9B" w14:textId="512C59A5" w:rsidR="00BE49DC" w:rsidRPr="00CC170B" w:rsidRDefault="00FC0D76" w:rsidP="00061512">
            <w:pPr>
              <w:ind w:left="142"/>
              <w:jc w:val="center"/>
              <w:rPr>
                <w:b/>
                <w:sz w:val="20"/>
                <w:szCs w:val="20"/>
                <w:lang w:val="hu-HU"/>
              </w:rPr>
            </w:pPr>
            <w:r w:rsidRPr="00CC170B">
              <w:rPr>
                <w:b/>
                <w:sz w:val="20"/>
                <w:szCs w:val="20"/>
                <w:lang w:val="hu-HU"/>
              </w:rPr>
              <w:t>Teljes relatív hazárd</w:t>
            </w:r>
          </w:p>
          <w:p w14:paraId="15871A44" w14:textId="52E92D1B" w:rsidR="00FC0D76" w:rsidRPr="00CC170B" w:rsidRDefault="00FC0D76" w:rsidP="00061512">
            <w:pPr>
              <w:ind w:left="142"/>
              <w:jc w:val="center"/>
              <w:rPr>
                <w:b/>
                <w:sz w:val="20"/>
                <w:szCs w:val="20"/>
                <w:lang w:val="hu-HU"/>
              </w:rPr>
            </w:pPr>
            <w:r w:rsidRPr="00CC170B">
              <w:rPr>
                <w:b/>
                <w:sz w:val="20"/>
                <w:szCs w:val="20"/>
                <w:lang w:val="hu-HU"/>
              </w:rPr>
              <w:t>(95%-os CI)*</w:t>
            </w:r>
          </w:p>
        </w:tc>
        <w:tc>
          <w:tcPr>
            <w:tcW w:w="2551" w:type="dxa"/>
            <w:gridSpan w:val="2"/>
          </w:tcPr>
          <w:p w14:paraId="7B076EC1" w14:textId="77777777" w:rsidR="00FC0D76" w:rsidRPr="00CC170B" w:rsidRDefault="00FC0D76" w:rsidP="00061512">
            <w:pPr>
              <w:ind w:left="142"/>
              <w:jc w:val="center"/>
              <w:rPr>
                <w:b/>
                <w:sz w:val="20"/>
                <w:szCs w:val="20"/>
                <w:lang w:val="hu-HU"/>
              </w:rPr>
            </w:pPr>
            <w:r w:rsidRPr="00CC170B">
              <w:rPr>
                <w:b/>
                <w:sz w:val="20"/>
                <w:szCs w:val="20"/>
                <w:lang w:val="hu-HU"/>
              </w:rPr>
              <w:t>RFS-arányok (%)</w:t>
            </w:r>
          </w:p>
        </w:tc>
      </w:tr>
      <w:tr w:rsidR="00FC0D76" w:rsidRPr="00CC170B" w14:paraId="38160EEB" w14:textId="77777777" w:rsidTr="00061512">
        <w:trPr>
          <w:trHeight w:val="631"/>
        </w:trPr>
        <w:tc>
          <w:tcPr>
            <w:tcW w:w="1134" w:type="dxa"/>
            <w:vMerge/>
            <w:tcBorders>
              <w:top w:val="nil"/>
            </w:tcBorders>
          </w:tcPr>
          <w:p w14:paraId="55C0D947" w14:textId="77777777" w:rsidR="00FC0D76" w:rsidRPr="00CC170B" w:rsidRDefault="00FC0D76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14:paraId="625C5CBF" w14:textId="77777777" w:rsidR="00FC0D76" w:rsidRPr="00CC170B" w:rsidRDefault="00FC0D76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</w:tcPr>
          <w:p w14:paraId="0C5EF111" w14:textId="77777777" w:rsidR="00FC0D76" w:rsidRPr="00CC170B" w:rsidRDefault="00FC0D76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3152DF4F" w14:textId="77777777" w:rsidR="00FC0D76" w:rsidRPr="00CC170B" w:rsidRDefault="00FC0D76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14:paraId="534DB423" w14:textId="77777777" w:rsidR="00FC0D76" w:rsidRPr="00CC170B" w:rsidRDefault="00FC0D76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276" w:type="dxa"/>
          </w:tcPr>
          <w:p w14:paraId="670485C5" w14:textId="7A62CE3E" w:rsidR="00FC0D76" w:rsidRPr="00CC170B" w:rsidRDefault="00FC0D76" w:rsidP="00061512">
            <w:pPr>
              <w:ind w:left="142"/>
              <w:jc w:val="center"/>
              <w:rPr>
                <w:b/>
                <w:sz w:val="20"/>
                <w:szCs w:val="20"/>
                <w:lang w:val="hu-HU"/>
              </w:rPr>
            </w:pPr>
            <w:r w:rsidRPr="00CC170B">
              <w:rPr>
                <w:b/>
                <w:sz w:val="20"/>
                <w:szCs w:val="20"/>
                <w:lang w:val="hu-HU"/>
              </w:rPr>
              <w:t>12</w:t>
            </w:r>
            <w:r w:rsidR="00645FEE" w:rsidRPr="00CC170B">
              <w:rPr>
                <w:b/>
                <w:sz w:val="20"/>
                <w:szCs w:val="20"/>
                <w:lang w:val="hu-HU"/>
              </w:rPr>
              <w:t> hónap</w:t>
            </w:r>
          </w:p>
        </w:tc>
        <w:tc>
          <w:tcPr>
            <w:tcW w:w="1275" w:type="dxa"/>
          </w:tcPr>
          <w:p w14:paraId="338CB55A" w14:textId="7CD61217" w:rsidR="00FC0D76" w:rsidRPr="00CC170B" w:rsidRDefault="00FC0D76" w:rsidP="00061512">
            <w:pPr>
              <w:ind w:left="142"/>
              <w:jc w:val="center"/>
              <w:rPr>
                <w:b/>
                <w:sz w:val="20"/>
                <w:szCs w:val="20"/>
                <w:lang w:val="hu-HU"/>
              </w:rPr>
            </w:pPr>
            <w:r w:rsidRPr="00CC170B">
              <w:rPr>
                <w:b/>
                <w:sz w:val="20"/>
                <w:szCs w:val="20"/>
                <w:lang w:val="hu-HU"/>
              </w:rPr>
              <w:t>24</w:t>
            </w:r>
            <w:r w:rsidR="00645FEE" w:rsidRPr="00CC170B">
              <w:rPr>
                <w:b/>
                <w:sz w:val="20"/>
                <w:szCs w:val="20"/>
                <w:lang w:val="hu-HU"/>
              </w:rPr>
              <w:t> hónap</w:t>
            </w:r>
          </w:p>
        </w:tc>
      </w:tr>
      <w:tr w:rsidR="00FC0D76" w:rsidRPr="00CC170B" w14:paraId="18AC8DAB" w14:textId="77777777" w:rsidTr="00061512">
        <w:trPr>
          <w:trHeight w:val="519"/>
        </w:trPr>
        <w:tc>
          <w:tcPr>
            <w:tcW w:w="1134" w:type="dxa"/>
            <w:vMerge/>
            <w:tcBorders>
              <w:top w:val="nil"/>
            </w:tcBorders>
          </w:tcPr>
          <w:p w14:paraId="41472350" w14:textId="77777777" w:rsidR="00FC0D76" w:rsidRPr="00CC170B" w:rsidRDefault="00FC0D76" w:rsidP="002D5D5A">
            <w:pPr>
              <w:ind w:left="142"/>
              <w:rPr>
                <w:sz w:val="20"/>
                <w:szCs w:val="20"/>
                <w:lang w:val="hu-H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14:paraId="61229B03" w14:textId="77777777" w:rsidR="00FC0D76" w:rsidRPr="00CC170B" w:rsidRDefault="00FC0D76" w:rsidP="002D5D5A">
            <w:pPr>
              <w:ind w:left="142"/>
              <w:rPr>
                <w:sz w:val="20"/>
                <w:szCs w:val="20"/>
                <w:lang w:val="hu-HU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</w:tcPr>
          <w:p w14:paraId="07A1B1F6" w14:textId="77777777" w:rsidR="00FC0D76" w:rsidRPr="00CC170B" w:rsidRDefault="00FC0D76" w:rsidP="002D5D5A">
            <w:pPr>
              <w:ind w:left="142"/>
              <w:rPr>
                <w:sz w:val="20"/>
                <w:szCs w:val="20"/>
                <w:lang w:val="hu-HU"/>
              </w:rPr>
            </w:pPr>
          </w:p>
        </w:tc>
        <w:tc>
          <w:tcPr>
            <w:tcW w:w="1701" w:type="dxa"/>
          </w:tcPr>
          <w:p w14:paraId="6134E51C" w14:textId="4FCB38B1" w:rsidR="00FC0D76" w:rsidRPr="00CC170B" w:rsidRDefault="00FC0D76" w:rsidP="00061512">
            <w:pPr>
              <w:ind w:left="142"/>
              <w:jc w:val="center"/>
              <w:rPr>
                <w:b/>
                <w:i/>
                <w:sz w:val="20"/>
                <w:szCs w:val="20"/>
                <w:lang w:val="hu-HU"/>
              </w:rPr>
            </w:pPr>
            <w:r w:rsidRPr="00CC170B">
              <w:rPr>
                <w:b/>
                <w:sz w:val="20"/>
                <w:szCs w:val="20"/>
                <w:lang w:val="hu-HU"/>
              </w:rPr>
              <w:t xml:space="preserve">Imatinib </w:t>
            </w:r>
            <w:r w:rsidRPr="00CC170B">
              <w:rPr>
                <w:b/>
                <w:i/>
                <w:sz w:val="20"/>
                <w:szCs w:val="20"/>
                <w:lang w:val="hu-HU"/>
              </w:rPr>
              <w:t>vs.</w:t>
            </w:r>
          </w:p>
          <w:p w14:paraId="45464C99" w14:textId="77777777" w:rsidR="00FC0D76" w:rsidRPr="00CC170B" w:rsidRDefault="00FC0D76" w:rsidP="00061512">
            <w:pPr>
              <w:ind w:left="142"/>
              <w:jc w:val="center"/>
              <w:rPr>
                <w:b/>
                <w:sz w:val="20"/>
                <w:szCs w:val="20"/>
                <w:lang w:val="hu-HU"/>
              </w:rPr>
            </w:pPr>
            <w:r w:rsidRPr="00CC170B">
              <w:rPr>
                <w:b/>
                <w:sz w:val="20"/>
                <w:szCs w:val="20"/>
                <w:lang w:val="hu-HU"/>
              </w:rPr>
              <w:t>placebo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 w14:paraId="34F552DD" w14:textId="77777777" w:rsidR="00FC0D76" w:rsidRPr="00CC170B" w:rsidRDefault="00FC0D76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</w:p>
        </w:tc>
        <w:tc>
          <w:tcPr>
            <w:tcW w:w="1276" w:type="dxa"/>
          </w:tcPr>
          <w:p w14:paraId="5EAA4E6B" w14:textId="2D77DEB3" w:rsidR="00BE49DC" w:rsidRPr="00CC170B" w:rsidRDefault="00FC0D76" w:rsidP="00061512">
            <w:pPr>
              <w:ind w:left="142"/>
              <w:jc w:val="center"/>
              <w:rPr>
                <w:b/>
                <w:sz w:val="20"/>
                <w:szCs w:val="20"/>
                <w:lang w:val="hu-HU"/>
              </w:rPr>
            </w:pPr>
            <w:r w:rsidRPr="00CC170B">
              <w:rPr>
                <w:b/>
                <w:sz w:val="20"/>
                <w:szCs w:val="20"/>
                <w:lang w:val="hu-HU"/>
              </w:rPr>
              <w:t>Imatinib</w:t>
            </w:r>
          </w:p>
          <w:p w14:paraId="4278B47D" w14:textId="2CD0BB33" w:rsidR="00FC0D76" w:rsidRPr="00CC170B" w:rsidRDefault="00FC0D76" w:rsidP="00061512">
            <w:pPr>
              <w:ind w:left="142"/>
              <w:jc w:val="center"/>
              <w:rPr>
                <w:b/>
                <w:i/>
                <w:sz w:val="20"/>
                <w:szCs w:val="20"/>
                <w:lang w:val="hu-HU"/>
              </w:rPr>
            </w:pPr>
            <w:r w:rsidRPr="00CC170B">
              <w:rPr>
                <w:b/>
                <w:i/>
                <w:sz w:val="20"/>
                <w:szCs w:val="20"/>
                <w:lang w:val="hu-HU"/>
              </w:rPr>
              <w:t>vs.</w:t>
            </w:r>
          </w:p>
          <w:p w14:paraId="2BB0EED6" w14:textId="77777777" w:rsidR="00FC0D76" w:rsidRPr="00CC170B" w:rsidRDefault="00FC0D76" w:rsidP="00061512">
            <w:pPr>
              <w:ind w:left="142"/>
              <w:jc w:val="center"/>
              <w:rPr>
                <w:b/>
                <w:sz w:val="20"/>
                <w:szCs w:val="20"/>
                <w:lang w:val="hu-HU"/>
              </w:rPr>
            </w:pPr>
            <w:r w:rsidRPr="00CC170B">
              <w:rPr>
                <w:b/>
                <w:sz w:val="20"/>
                <w:szCs w:val="20"/>
                <w:lang w:val="hu-HU"/>
              </w:rPr>
              <w:t>placebo</w:t>
            </w:r>
          </w:p>
        </w:tc>
        <w:tc>
          <w:tcPr>
            <w:tcW w:w="1275" w:type="dxa"/>
          </w:tcPr>
          <w:p w14:paraId="3DC74FE6" w14:textId="6982FB6E" w:rsidR="00FC0D76" w:rsidRPr="00CC170B" w:rsidRDefault="00FC0D76" w:rsidP="00061512">
            <w:pPr>
              <w:ind w:left="129"/>
              <w:jc w:val="center"/>
              <w:rPr>
                <w:b/>
                <w:i/>
                <w:sz w:val="20"/>
                <w:szCs w:val="20"/>
                <w:lang w:val="hu-HU"/>
              </w:rPr>
            </w:pPr>
            <w:r w:rsidRPr="00CC170B">
              <w:rPr>
                <w:b/>
                <w:sz w:val="20"/>
                <w:szCs w:val="20"/>
                <w:lang w:val="hu-HU"/>
              </w:rPr>
              <w:t xml:space="preserve">Imatinib </w:t>
            </w:r>
            <w:r w:rsidRPr="00CC170B">
              <w:rPr>
                <w:b/>
                <w:i/>
                <w:sz w:val="20"/>
                <w:szCs w:val="20"/>
                <w:lang w:val="hu-HU"/>
              </w:rPr>
              <w:t>vs.</w:t>
            </w:r>
          </w:p>
          <w:p w14:paraId="22510153" w14:textId="77777777" w:rsidR="00FC0D76" w:rsidRPr="00CC170B" w:rsidRDefault="00FC0D76" w:rsidP="00061512">
            <w:pPr>
              <w:ind w:left="142"/>
              <w:jc w:val="center"/>
              <w:rPr>
                <w:b/>
                <w:sz w:val="20"/>
                <w:szCs w:val="20"/>
                <w:lang w:val="hu-HU"/>
              </w:rPr>
            </w:pPr>
            <w:r w:rsidRPr="00CC170B">
              <w:rPr>
                <w:b/>
                <w:sz w:val="20"/>
                <w:szCs w:val="20"/>
                <w:lang w:val="hu-HU"/>
              </w:rPr>
              <w:t>placebo</w:t>
            </w:r>
          </w:p>
        </w:tc>
      </w:tr>
      <w:tr w:rsidR="00D23B59" w:rsidRPr="00CC170B" w14:paraId="5EC8B602" w14:textId="77777777" w:rsidTr="00061512">
        <w:trPr>
          <w:trHeight w:val="858"/>
        </w:trPr>
        <w:tc>
          <w:tcPr>
            <w:tcW w:w="1134" w:type="dxa"/>
          </w:tcPr>
          <w:p w14:paraId="21376143" w14:textId="77777777" w:rsidR="00D23B59" w:rsidRPr="00CC170B" w:rsidRDefault="00D23B59" w:rsidP="002D5D5A">
            <w:pPr>
              <w:ind w:left="142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NIH</w:t>
            </w:r>
          </w:p>
        </w:tc>
        <w:tc>
          <w:tcPr>
            <w:tcW w:w="1134" w:type="dxa"/>
          </w:tcPr>
          <w:p w14:paraId="703CD974" w14:textId="77777777" w:rsidR="00D23B59" w:rsidRPr="00CC170B" w:rsidRDefault="00D23B59" w:rsidP="002D5D5A">
            <w:pPr>
              <w:ind w:left="142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Alacsony</w:t>
            </w:r>
          </w:p>
          <w:p w14:paraId="696F353E" w14:textId="77777777" w:rsidR="00D23B59" w:rsidRPr="00CC170B" w:rsidRDefault="00D23B59" w:rsidP="002D5D5A">
            <w:pPr>
              <w:ind w:left="142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Közepes</w:t>
            </w:r>
          </w:p>
          <w:p w14:paraId="649B0A06" w14:textId="6A5A8056" w:rsidR="00D23B59" w:rsidRPr="00CC170B" w:rsidRDefault="00D23B59" w:rsidP="002D5D5A">
            <w:pPr>
              <w:ind w:left="142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Magas</w:t>
            </w:r>
          </w:p>
        </w:tc>
        <w:tc>
          <w:tcPr>
            <w:tcW w:w="993" w:type="dxa"/>
          </w:tcPr>
          <w:p w14:paraId="1AEB3D2B" w14:textId="777777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29,5</w:t>
            </w:r>
          </w:p>
          <w:p w14:paraId="4D964BA0" w14:textId="777777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25,7</w:t>
            </w:r>
          </w:p>
          <w:p w14:paraId="2ADC7B59" w14:textId="19E0168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44,8</w:t>
            </w:r>
          </w:p>
        </w:tc>
        <w:tc>
          <w:tcPr>
            <w:tcW w:w="1701" w:type="dxa"/>
          </w:tcPr>
          <w:p w14:paraId="1DFC7645" w14:textId="777777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0/86 vs. 2/90</w:t>
            </w:r>
          </w:p>
          <w:p w14:paraId="7951F2CE" w14:textId="777777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4/75 vs. 6/78</w:t>
            </w:r>
          </w:p>
          <w:p w14:paraId="6774BFC6" w14:textId="57DCBC73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21/140 vs. 51/127</w:t>
            </w:r>
          </w:p>
        </w:tc>
        <w:tc>
          <w:tcPr>
            <w:tcW w:w="1559" w:type="dxa"/>
          </w:tcPr>
          <w:p w14:paraId="57401D5B" w14:textId="777777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N.m.</w:t>
            </w:r>
          </w:p>
          <w:p w14:paraId="51B31123" w14:textId="777777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0,59 (0,17; 2,10)</w:t>
            </w:r>
          </w:p>
          <w:p w14:paraId="04EE02D9" w14:textId="5DA546D3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0,29 (0,18; 0,49)</w:t>
            </w:r>
          </w:p>
        </w:tc>
        <w:tc>
          <w:tcPr>
            <w:tcW w:w="1276" w:type="dxa"/>
          </w:tcPr>
          <w:p w14:paraId="15717C80" w14:textId="777777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100 vs. 98,7</w:t>
            </w:r>
          </w:p>
          <w:p w14:paraId="3DC20774" w14:textId="777777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100 vs. 94,8</w:t>
            </w:r>
          </w:p>
          <w:p w14:paraId="39EFF23C" w14:textId="57A4B585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94,8 vs. 64,0</w:t>
            </w:r>
          </w:p>
        </w:tc>
        <w:tc>
          <w:tcPr>
            <w:tcW w:w="1275" w:type="dxa"/>
          </w:tcPr>
          <w:p w14:paraId="6440013E" w14:textId="777777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100 vs. 95,5</w:t>
            </w:r>
          </w:p>
          <w:p w14:paraId="067C93E0" w14:textId="777777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97,8 vs. 89,5</w:t>
            </w:r>
          </w:p>
          <w:p w14:paraId="452CB280" w14:textId="74419E83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80,7 vs. 46,6</w:t>
            </w:r>
          </w:p>
        </w:tc>
      </w:tr>
      <w:tr w:rsidR="00D23B59" w:rsidRPr="00CC170B" w14:paraId="60F86067" w14:textId="77777777" w:rsidTr="00061512">
        <w:trPr>
          <w:trHeight w:val="1329"/>
        </w:trPr>
        <w:tc>
          <w:tcPr>
            <w:tcW w:w="1134" w:type="dxa"/>
            <w:tcBorders>
              <w:bottom w:val="single" w:sz="4" w:space="0" w:color="000000"/>
            </w:tcBorders>
          </w:tcPr>
          <w:p w14:paraId="009D1995" w14:textId="77777777" w:rsidR="00D23B59" w:rsidRPr="00CC170B" w:rsidRDefault="00D23B59" w:rsidP="002D5D5A">
            <w:pPr>
              <w:ind w:left="142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AFIP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68BD7D18" w14:textId="77777777" w:rsidR="00D23B59" w:rsidRPr="00CC170B" w:rsidRDefault="00D23B59" w:rsidP="002D5D5A">
            <w:pPr>
              <w:ind w:left="142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 xml:space="preserve">Nagyon </w:t>
            </w:r>
            <w:r w:rsidRPr="00CC170B">
              <w:rPr>
                <w:w w:val="95"/>
                <w:sz w:val="20"/>
                <w:szCs w:val="20"/>
                <w:lang w:val="hu-HU"/>
              </w:rPr>
              <w:t>alacsony</w:t>
            </w:r>
          </w:p>
          <w:p w14:paraId="4874E6F2" w14:textId="77777777" w:rsidR="00D23B59" w:rsidRPr="00CC170B" w:rsidRDefault="00D23B59" w:rsidP="002D5D5A">
            <w:pPr>
              <w:ind w:left="142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Alacsony</w:t>
            </w:r>
          </w:p>
          <w:p w14:paraId="47CCBAF7" w14:textId="77777777" w:rsidR="00D23B59" w:rsidRPr="00CC170B" w:rsidRDefault="00D23B59" w:rsidP="002D5D5A">
            <w:pPr>
              <w:ind w:left="142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Közepes</w:t>
            </w:r>
          </w:p>
          <w:p w14:paraId="25EB115E" w14:textId="142D6289" w:rsidR="00D23B59" w:rsidRPr="00CC170B" w:rsidRDefault="00D23B59" w:rsidP="002D5D5A">
            <w:pPr>
              <w:ind w:left="142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Magas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14:paraId="450D3CF1" w14:textId="77777777" w:rsidR="00A12FF0" w:rsidRPr="00CC170B" w:rsidRDefault="00A12FF0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</w:p>
          <w:p w14:paraId="186208AD" w14:textId="578C8669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20,7</w:t>
            </w:r>
          </w:p>
          <w:p w14:paraId="03F3A300" w14:textId="777777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25,0</w:t>
            </w:r>
          </w:p>
          <w:p w14:paraId="34C0FBC9" w14:textId="777777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24,6</w:t>
            </w:r>
          </w:p>
          <w:p w14:paraId="70EF7179" w14:textId="6A881E1E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29,7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14:paraId="7F991802" w14:textId="77777777" w:rsidR="00A12FF0" w:rsidRPr="00CC170B" w:rsidRDefault="00A12FF0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</w:p>
          <w:p w14:paraId="37EC4CA4" w14:textId="27E7B861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0/52 vs. 2/63</w:t>
            </w:r>
          </w:p>
          <w:p w14:paraId="7F45073E" w14:textId="777777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2/70 vs. 0/69</w:t>
            </w:r>
          </w:p>
          <w:p w14:paraId="1633C34C" w14:textId="777777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2/70 vs. 11/67</w:t>
            </w:r>
          </w:p>
          <w:p w14:paraId="53A4C331" w14:textId="5AD7F221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16/84 vs. 39/81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04F41EE6" w14:textId="77777777" w:rsidR="00A12FF0" w:rsidRPr="00CC170B" w:rsidRDefault="00A12FF0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</w:p>
          <w:p w14:paraId="021E8735" w14:textId="2F3AFC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N.m.</w:t>
            </w:r>
          </w:p>
          <w:p w14:paraId="6835B14D" w14:textId="777777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N.m.</w:t>
            </w:r>
          </w:p>
          <w:p w14:paraId="6EDFC7E4" w14:textId="777777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0,16 (0,03; 0,70)</w:t>
            </w:r>
          </w:p>
          <w:p w14:paraId="41094B3D" w14:textId="1A045C68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0,27 (0,15; 0,48)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7E35B11D" w14:textId="77777777" w:rsidR="00A12FF0" w:rsidRPr="00CC170B" w:rsidRDefault="00A12FF0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</w:p>
          <w:p w14:paraId="7998616B" w14:textId="245223D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100 vs. 98,1</w:t>
            </w:r>
          </w:p>
          <w:p w14:paraId="65DE49AB" w14:textId="777777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100 vs. 100</w:t>
            </w:r>
          </w:p>
          <w:p w14:paraId="1BBD1272" w14:textId="777777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97,9 vs. 90,8</w:t>
            </w:r>
          </w:p>
          <w:p w14:paraId="15E7CC01" w14:textId="3F79536A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98,7 vs. 56,1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</w:tcPr>
          <w:p w14:paraId="4E8073A6" w14:textId="77777777" w:rsidR="00A12FF0" w:rsidRPr="00CC170B" w:rsidRDefault="00A12FF0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</w:p>
          <w:p w14:paraId="7E88A8EA" w14:textId="6CD8A6B6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100 vs. 93,0</w:t>
            </w:r>
          </w:p>
          <w:p w14:paraId="5BC50474" w14:textId="777777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97,8 vs. 100</w:t>
            </w:r>
          </w:p>
          <w:p w14:paraId="3048D080" w14:textId="77777777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97,9 vs. 73,3</w:t>
            </w:r>
          </w:p>
          <w:p w14:paraId="61DC716D" w14:textId="747389BA" w:rsidR="00D23B59" w:rsidRPr="00CC170B" w:rsidRDefault="00D23B59" w:rsidP="00061512">
            <w:pPr>
              <w:ind w:left="142"/>
              <w:jc w:val="center"/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t>79,9 vs. 41,5</w:t>
            </w:r>
          </w:p>
        </w:tc>
      </w:tr>
      <w:tr w:rsidR="00FC0D76" w:rsidRPr="00CC170B" w14:paraId="7E67867B" w14:textId="77777777" w:rsidTr="00A12FF0">
        <w:trPr>
          <w:trHeight w:val="260"/>
        </w:trPr>
        <w:tc>
          <w:tcPr>
            <w:tcW w:w="9072" w:type="dxa"/>
            <w:gridSpan w:val="7"/>
            <w:tcBorders>
              <w:left w:val="nil"/>
              <w:bottom w:val="nil"/>
              <w:right w:val="nil"/>
            </w:tcBorders>
          </w:tcPr>
          <w:p w14:paraId="3E87E4F6" w14:textId="77777777" w:rsidR="00FC0D76" w:rsidRPr="00CC170B" w:rsidRDefault="00FC0D76" w:rsidP="00486ABB">
            <w:pPr>
              <w:rPr>
                <w:sz w:val="20"/>
                <w:szCs w:val="20"/>
                <w:lang w:val="hu-HU"/>
              </w:rPr>
            </w:pPr>
            <w:r w:rsidRPr="00CC170B">
              <w:rPr>
                <w:sz w:val="20"/>
                <w:szCs w:val="20"/>
                <w:lang w:val="hu-HU"/>
              </w:rPr>
              <w:lastRenderedPageBreak/>
              <w:t>* Teljes követési időszak; N.m. – Nem megbecsülhető</w:t>
            </w:r>
          </w:p>
        </w:tc>
      </w:tr>
    </w:tbl>
    <w:p w14:paraId="649F2A12" w14:textId="77777777" w:rsidR="00FC0D76" w:rsidRPr="00CC170B" w:rsidRDefault="00FC0D76" w:rsidP="00FC0D76">
      <w:pPr>
        <w:rPr>
          <w:bCs/>
        </w:rPr>
      </w:pPr>
    </w:p>
    <w:p w14:paraId="329A9A2B" w14:textId="62FAC3CD" w:rsidR="00FC0D76" w:rsidRPr="00CC170B" w:rsidRDefault="00FC0D76" w:rsidP="00FC0D76">
      <w:r w:rsidRPr="00CC170B">
        <w:t>Egy második multicentrikus, nyílt elrendezésű, III. fázisú vizsgálat (SSG XVIII/AIO) a 12</w:t>
      </w:r>
      <w:r w:rsidR="00645FEE" w:rsidRPr="00CC170B">
        <w:t> hónap</w:t>
      </w:r>
      <w:r w:rsidRPr="00CC170B">
        <w:t>ig tartó,</w:t>
      </w:r>
      <w:r w:rsidR="00013F9B">
        <w:t xml:space="preserve"> </w:t>
      </w:r>
      <w:r w:rsidR="0087414E" w:rsidRPr="00CC170B">
        <w:t>nap</w:t>
      </w:r>
      <w:r w:rsidRPr="00CC170B">
        <w:t xml:space="preserve">i 400 mg </w:t>
      </w:r>
      <w:r w:rsidR="00013F9B">
        <w:t>i</w:t>
      </w:r>
      <w:r w:rsidRPr="00CC170B">
        <w:t>matinib-kezelést hasonlította össze a 36</w:t>
      </w:r>
      <w:r w:rsidR="00645FEE" w:rsidRPr="00CC170B">
        <w:t> hónap</w:t>
      </w:r>
      <w:r w:rsidRPr="00CC170B">
        <w:t>os kezeléssel olyan betegeknél, akiknél megtörtént a GIST műtéti reszekciója, és teljesült a következők egyike: a tumor átmérője</w:t>
      </w:r>
      <w:r w:rsidR="00A12FF0" w:rsidRPr="00CC170B">
        <w:t xml:space="preserve"> </w:t>
      </w:r>
      <w:r w:rsidRPr="00CC170B">
        <w:t>&gt;5</w:t>
      </w:r>
      <w:r w:rsidR="007C41E9">
        <w:t> </w:t>
      </w:r>
      <w:r w:rsidRPr="00CC170B">
        <w:t>cm és a mitózisszám nagy nagyítású látóterenként &gt;5/50, vagy a tumor átmérője &gt;10 cm bármilyen mitózisszám mellett, vagy bármilyen tumorméret mellett a mitózisszám nagy nagyítású látóterenként</w:t>
      </w:r>
      <w:r w:rsidR="00A12FF0" w:rsidRPr="00CC170B">
        <w:t xml:space="preserve"> </w:t>
      </w:r>
      <w:r w:rsidRPr="00CC170B">
        <w:t>&gt;10/50, vagy a tumor rupturált a peritonealis űrbe. Összesen 397</w:t>
      </w:r>
      <w:r w:rsidR="00A12FF0" w:rsidRPr="00CC170B">
        <w:t> </w:t>
      </w:r>
      <w:r w:rsidRPr="00CC170B">
        <w:t>beteg egyezett bele a részvételbe, és került randomizálásra a vizsgálatba (199</w:t>
      </w:r>
      <w:r w:rsidR="00013F9B">
        <w:t> </w:t>
      </w:r>
      <w:r w:rsidRPr="00CC170B">
        <w:t>beteg a 12</w:t>
      </w:r>
      <w:r w:rsidR="00645FEE" w:rsidRPr="00CC170B">
        <w:t> hónap</w:t>
      </w:r>
      <w:r w:rsidRPr="00CC170B">
        <w:t>os karra és 198</w:t>
      </w:r>
      <w:r w:rsidR="00A12FF0" w:rsidRPr="00CC170B">
        <w:t> </w:t>
      </w:r>
      <w:r w:rsidRPr="00CC170B">
        <w:t>beteg a 36</w:t>
      </w:r>
      <w:r w:rsidR="00645FEE" w:rsidRPr="00CC170B">
        <w:t> hónap</w:t>
      </w:r>
      <w:r w:rsidRPr="00CC170B">
        <w:t>os karra), akiknek a medián életkora 61</w:t>
      </w:r>
      <w:r w:rsidR="00013F9B">
        <w:t> </w:t>
      </w:r>
      <w:r w:rsidRPr="00CC170B">
        <w:t>év volt (szélsőértékek 22 és 84</w:t>
      </w:r>
      <w:r w:rsidR="00013F9B">
        <w:t> </w:t>
      </w:r>
      <w:r w:rsidRPr="00CC170B">
        <w:t>év). A követés medián időtartama</w:t>
      </w:r>
      <w:r w:rsidR="00A12FF0" w:rsidRPr="00CC170B">
        <w:t xml:space="preserve"> </w:t>
      </w:r>
      <w:r w:rsidRPr="00CC170B">
        <w:t>54</w:t>
      </w:r>
      <w:r w:rsidR="00645FEE" w:rsidRPr="00CC170B">
        <w:t> hónap</w:t>
      </w:r>
      <w:r w:rsidRPr="00CC170B">
        <w:t xml:space="preserve"> volt (a randomizáció</w:t>
      </w:r>
      <w:r w:rsidR="0087414E" w:rsidRPr="00CC170B">
        <w:t> nap</w:t>
      </w:r>
      <w:r w:rsidRPr="00CC170B">
        <w:t>jától az adatok lezárásáig), és az első beteg randomizálásától az adatok lezárásáig eltelt idő összesen 83</w:t>
      </w:r>
      <w:r w:rsidR="00645FEE" w:rsidRPr="00CC170B">
        <w:t> hónap</w:t>
      </w:r>
      <w:r w:rsidRPr="00CC170B">
        <w:t xml:space="preserve"> volt.</w:t>
      </w:r>
    </w:p>
    <w:p w14:paraId="70193E0F" w14:textId="77777777" w:rsidR="00FC0D76" w:rsidRPr="00CC170B" w:rsidRDefault="00FC0D76" w:rsidP="00FC0D76"/>
    <w:p w14:paraId="136EA882" w14:textId="49367167" w:rsidR="00FC0D76" w:rsidRPr="00CC170B" w:rsidRDefault="00FC0D76" w:rsidP="00FC0D76">
      <w:r w:rsidRPr="00CC170B">
        <w:t xml:space="preserve">A vizsgálat elsődleges végpontja a kiújulásmentes túlélés (RFS) volt, amit a randomizációtól a </w:t>
      </w:r>
      <w:r w:rsidR="000A1DFB">
        <w:t>betegség kiújulásáig</w:t>
      </w:r>
      <w:r w:rsidRPr="00CC170B">
        <w:t xml:space="preserve"> vagy a bármilyen okból bekövetkező elhalálozásig eltelt idővel definiáltak.</w:t>
      </w:r>
    </w:p>
    <w:p w14:paraId="17433BCD" w14:textId="77777777" w:rsidR="00FC0D76" w:rsidRPr="00CC170B" w:rsidRDefault="00FC0D76" w:rsidP="00FC0D76"/>
    <w:p w14:paraId="0959E046" w14:textId="48A965C4" w:rsidR="00FC0D76" w:rsidRPr="00CC170B" w:rsidRDefault="00FC0D76" w:rsidP="00FC0D76">
      <w:r w:rsidRPr="00CC170B">
        <w:t>A 36</w:t>
      </w:r>
      <w:r w:rsidR="00645FEE" w:rsidRPr="00CC170B">
        <w:t> hónap</w:t>
      </w:r>
      <w:r w:rsidRPr="00CC170B">
        <w:t xml:space="preserve">os </w:t>
      </w:r>
      <w:r w:rsidR="00A12FF0" w:rsidRPr="00CC170B">
        <w:t>i</w:t>
      </w:r>
      <w:r w:rsidRPr="00CC170B">
        <w:t>matinib-kezelés a 12</w:t>
      </w:r>
      <w:r w:rsidR="00645FEE" w:rsidRPr="00CC170B">
        <w:t> hónap</w:t>
      </w:r>
      <w:r w:rsidRPr="00CC170B">
        <w:t xml:space="preserve">os </w:t>
      </w:r>
      <w:r w:rsidR="00A12FF0" w:rsidRPr="00CC170B">
        <w:t>i</w:t>
      </w:r>
      <w:r w:rsidRPr="00CC170B">
        <w:t>matinib-kezeléshez képest szignifikánsan meghosszabbította a kiújulásmentes túlélést (a teljes relatív hazárd [HR] = 0,46 [0,32; 0,65], p</w:t>
      </w:r>
      <w:r w:rsidR="00013F9B">
        <w:t> </w:t>
      </w:r>
      <w:r w:rsidRPr="00CC170B">
        <w:t>&lt;0,0001) (8. táblázat, 1. ábra).</w:t>
      </w:r>
    </w:p>
    <w:p w14:paraId="57FD84C4" w14:textId="77777777" w:rsidR="00FC0D76" w:rsidRPr="00CC170B" w:rsidRDefault="00FC0D76" w:rsidP="00FC0D76"/>
    <w:p w14:paraId="33DB3AE8" w14:textId="2BAA8684" w:rsidR="00FC0D76" w:rsidRPr="00CC170B" w:rsidRDefault="00FC0D76" w:rsidP="00FC0D76">
      <w:r w:rsidRPr="00CC170B">
        <w:t>Emellett a 36</w:t>
      </w:r>
      <w:r w:rsidR="00645FEE" w:rsidRPr="00CC170B">
        <w:t> hónap</w:t>
      </w:r>
      <w:r w:rsidRPr="00CC170B">
        <w:t xml:space="preserve">os </w:t>
      </w:r>
      <w:r w:rsidR="00A12FF0" w:rsidRPr="00CC170B">
        <w:t>i</w:t>
      </w:r>
      <w:r w:rsidRPr="00CC170B">
        <w:t>matinib-kezelés a 12</w:t>
      </w:r>
      <w:r w:rsidR="00645FEE" w:rsidRPr="00CC170B">
        <w:t> hónap</w:t>
      </w:r>
      <w:r w:rsidRPr="00CC170B">
        <w:t xml:space="preserve">os </w:t>
      </w:r>
      <w:r w:rsidR="00A12FF0" w:rsidRPr="00CC170B">
        <w:t>i</w:t>
      </w:r>
      <w:r w:rsidRPr="00CC170B">
        <w:t>matinib-kezeléshez képest szignifikánsan meghosszabbította a teljes túlélést (OS) (HR</w:t>
      </w:r>
      <w:r w:rsidR="00013F9B">
        <w:t> </w:t>
      </w:r>
      <w:r w:rsidRPr="00CC170B">
        <w:t>=</w:t>
      </w:r>
      <w:r w:rsidR="00013F9B">
        <w:t> </w:t>
      </w:r>
      <w:r w:rsidRPr="00CC170B">
        <w:t>0,45 [0,22; 0,89], p</w:t>
      </w:r>
      <w:r w:rsidR="00013F9B">
        <w:t> </w:t>
      </w:r>
      <w:r w:rsidRPr="00CC170B">
        <w:t>=</w:t>
      </w:r>
      <w:r w:rsidR="00013F9B">
        <w:t> </w:t>
      </w:r>
      <w:r w:rsidRPr="00CC170B">
        <w:t>0,0187) (8. táblázat, 2. ábra).</w:t>
      </w:r>
    </w:p>
    <w:p w14:paraId="7C6F98BD" w14:textId="77777777" w:rsidR="00FC0D76" w:rsidRPr="00CC170B" w:rsidRDefault="00FC0D76" w:rsidP="00FC0D76"/>
    <w:p w14:paraId="60438F48" w14:textId="25B1F8E1" w:rsidR="00FC0D76" w:rsidRPr="00CC170B" w:rsidRDefault="00FC0D76" w:rsidP="00FC0D76">
      <w:r w:rsidRPr="00CC170B">
        <w:t>Hosszabb kezelési időtartam (&gt;36</w:t>
      </w:r>
      <w:r w:rsidR="00645FEE" w:rsidRPr="00CC170B">
        <w:t> hónap</w:t>
      </w:r>
      <w:r w:rsidRPr="00CC170B">
        <w:t>) késleltetheti a további kiújulást, bár ennek a teljes túlélésre kifejtett hatása nem ismert.</w:t>
      </w:r>
    </w:p>
    <w:p w14:paraId="1ADCAA7B" w14:textId="77777777" w:rsidR="00FC0D76" w:rsidRPr="00CC170B" w:rsidRDefault="00FC0D76" w:rsidP="00FC0D76"/>
    <w:p w14:paraId="1E84E4B0" w14:textId="024D7182" w:rsidR="00FC0D76" w:rsidRPr="00CC170B" w:rsidRDefault="00FC0D76" w:rsidP="00FC0D76">
      <w:r w:rsidRPr="00CC170B">
        <w:t>Az összes halálesetek száma 25 volt a 12</w:t>
      </w:r>
      <w:r w:rsidR="00645FEE" w:rsidRPr="00CC170B">
        <w:t> hónap</w:t>
      </w:r>
      <w:r w:rsidRPr="00CC170B">
        <w:t>os terápiás karon és 12 volt a 36</w:t>
      </w:r>
      <w:r w:rsidR="00645FEE" w:rsidRPr="00CC170B">
        <w:t> hónap</w:t>
      </w:r>
      <w:r w:rsidRPr="00CC170B">
        <w:t>os terápiás karon.</w:t>
      </w:r>
    </w:p>
    <w:p w14:paraId="6B45E9A9" w14:textId="77777777" w:rsidR="00FC0D76" w:rsidRPr="00CC170B" w:rsidRDefault="00FC0D76" w:rsidP="00FC0D76"/>
    <w:p w14:paraId="7421DB4C" w14:textId="7928D8D3" w:rsidR="00FC0D76" w:rsidRPr="00CC170B" w:rsidRDefault="00FC0D76" w:rsidP="00FC0D76">
      <w:r w:rsidRPr="00CC170B">
        <w:t>A 36</w:t>
      </w:r>
      <w:r w:rsidR="00645FEE" w:rsidRPr="00CC170B">
        <w:t> hónap</w:t>
      </w:r>
      <w:r w:rsidRPr="00CC170B">
        <w:t>os imatinib-kezelés szuperior volt a 12</w:t>
      </w:r>
      <w:r w:rsidR="00645FEE" w:rsidRPr="00CC170B">
        <w:t> hónap</w:t>
      </w:r>
      <w:r w:rsidRPr="00CC170B">
        <w:t>os kezeléssel szemben az ITT analízisben, azaz a teljes vizsgálati populációt tekintve. Egy tervezett</w:t>
      </w:r>
      <w:r w:rsidR="000A1DFB">
        <w:t>,</w:t>
      </w:r>
      <w:r w:rsidRPr="00CC170B">
        <w:t xml:space="preserve"> mutációtípus szerinti alcsoport-analízisben az olyan betegek 36</w:t>
      </w:r>
      <w:r w:rsidR="00645FEE" w:rsidRPr="00CC170B">
        <w:t> hónap</w:t>
      </w:r>
      <w:r w:rsidRPr="00CC170B">
        <w:t>os kezelésre vonatkozó kiújulásmentes túlélés relatív hazárdja, akiknél a 11-es exon mutálódott, 0,35 volt [95%-os CI: 0,22; 0,56]. Az alacsony észlelt esetszám miatt más, kevésbé általános mutáció-alcsoportokra nem lehet következtetéseket levonni.</w:t>
      </w:r>
    </w:p>
    <w:p w14:paraId="51E6E9D2" w14:textId="77777777" w:rsidR="00FC0D76" w:rsidRPr="00CC170B" w:rsidRDefault="00FC0D76" w:rsidP="00FC0D76"/>
    <w:p w14:paraId="22A4F6D5" w14:textId="2852155B" w:rsidR="00FC0D76" w:rsidRDefault="00FC0D76" w:rsidP="002366AA">
      <w:pPr>
        <w:pStyle w:val="Listaszerbekezds"/>
        <w:numPr>
          <w:ilvl w:val="0"/>
          <w:numId w:val="32"/>
        </w:numPr>
        <w:ind w:left="567" w:hanging="567"/>
        <w:rPr>
          <w:b/>
          <w:bCs/>
        </w:rPr>
      </w:pPr>
      <w:r w:rsidRPr="00CC170B">
        <w:rPr>
          <w:b/>
          <w:bCs/>
        </w:rPr>
        <w:t>táblázat 12</w:t>
      </w:r>
      <w:r w:rsidR="00645FEE" w:rsidRPr="00CC170B">
        <w:rPr>
          <w:b/>
          <w:bCs/>
        </w:rPr>
        <w:t> hónap</w:t>
      </w:r>
      <w:r w:rsidRPr="00CC170B">
        <w:rPr>
          <w:b/>
          <w:bCs/>
        </w:rPr>
        <w:t>os és 36</w:t>
      </w:r>
      <w:r w:rsidR="00645FEE" w:rsidRPr="00CC170B">
        <w:rPr>
          <w:b/>
          <w:bCs/>
        </w:rPr>
        <w:t> hónap</w:t>
      </w:r>
      <w:r w:rsidRPr="00CC170B">
        <w:rPr>
          <w:b/>
          <w:bCs/>
        </w:rPr>
        <w:t xml:space="preserve">os </w:t>
      </w:r>
      <w:r w:rsidR="002366AA" w:rsidRPr="00CC170B">
        <w:rPr>
          <w:b/>
          <w:bCs/>
        </w:rPr>
        <w:t>i</w:t>
      </w:r>
      <w:r w:rsidRPr="00CC170B">
        <w:rPr>
          <w:b/>
          <w:bCs/>
        </w:rPr>
        <w:t>matinib-kezelés (SSGXVIII/AIO</w:t>
      </w:r>
      <w:r w:rsidRPr="00CC170B">
        <w:rPr>
          <w:b/>
          <w:bCs/>
          <w:spacing w:val="-14"/>
        </w:rPr>
        <w:t xml:space="preserve"> </w:t>
      </w:r>
      <w:r w:rsidRPr="00CC170B">
        <w:rPr>
          <w:b/>
          <w:bCs/>
        </w:rPr>
        <w:t>vizsgálat)</w:t>
      </w:r>
    </w:p>
    <w:p w14:paraId="32093D6E" w14:textId="77777777" w:rsidR="00013F9B" w:rsidRPr="00013F9B" w:rsidRDefault="00013F9B" w:rsidP="00013F9B">
      <w:pPr>
        <w:rPr>
          <w:b/>
          <w:bCs/>
        </w:rPr>
      </w:pPr>
    </w:p>
    <w:tbl>
      <w:tblPr>
        <w:tblW w:w="9072" w:type="dxa"/>
        <w:tblCellSpacing w:w="0" w:type="dxa"/>
        <w:tblBorders>
          <w:top w:val="single" w:sz="4" w:space="0" w:color="auto"/>
          <w:bottom w:val="single" w:sz="4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084"/>
        <w:gridCol w:w="2994"/>
        <w:gridCol w:w="2994"/>
      </w:tblGrid>
      <w:tr w:rsidR="00517F07" w:rsidRPr="00CC170B" w14:paraId="68CBE89D" w14:textId="77777777" w:rsidTr="00517F07">
        <w:trPr>
          <w:tblCellSpacing w:w="0" w:type="dxa"/>
        </w:trPr>
        <w:tc>
          <w:tcPr>
            <w:tcW w:w="1700" w:type="pct"/>
            <w:shd w:val="clear" w:color="auto" w:fill="FFFFFF"/>
            <w:hideMark/>
          </w:tcPr>
          <w:p w14:paraId="3C4FFF50" w14:textId="77777777" w:rsidR="00517F07" w:rsidRPr="00CC170B" w:rsidRDefault="00517F07" w:rsidP="00486ABB">
            <w:r w:rsidRPr="00CC170B">
              <w:t> </w:t>
            </w:r>
          </w:p>
        </w:tc>
        <w:tc>
          <w:tcPr>
            <w:tcW w:w="1650" w:type="pct"/>
            <w:vMerge w:val="restart"/>
            <w:shd w:val="clear" w:color="auto" w:fill="FFFFFF"/>
            <w:hideMark/>
          </w:tcPr>
          <w:p w14:paraId="4EE2401B" w14:textId="77777777" w:rsidR="00517F07" w:rsidRPr="00CC170B" w:rsidRDefault="00517F07" w:rsidP="00517F07">
            <w:r w:rsidRPr="00CC170B">
              <w:rPr>
                <w:b/>
                <w:bCs/>
              </w:rPr>
              <w:t>12 hónapos terápiás kar</w:t>
            </w:r>
          </w:p>
          <w:p w14:paraId="64028540" w14:textId="58C22A24" w:rsidR="00517F07" w:rsidRPr="00CC170B" w:rsidRDefault="00517F07" w:rsidP="00517F07">
            <w:r w:rsidRPr="00CC170B">
              <w:rPr>
                <w:b/>
                <w:bCs/>
              </w:rPr>
              <w:t>%(CI)</w:t>
            </w:r>
          </w:p>
        </w:tc>
        <w:tc>
          <w:tcPr>
            <w:tcW w:w="1650" w:type="pct"/>
            <w:vMerge w:val="restart"/>
            <w:shd w:val="clear" w:color="auto" w:fill="FFFFFF"/>
            <w:hideMark/>
          </w:tcPr>
          <w:p w14:paraId="0F6E7272" w14:textId="77777777" w:rsidR="00517F07" w:rsidRPr="00CC170B" w:rsidRDefault="00517F07" w:rsidP="00517F07">
            <w:r w:rsidRPr="00CC170B">
              <w:rPr>
                <w:b/>
                <w:bCs/>
              </w:rPr>
              <w:t>36 hónapos terápiás kar</w:t>
            </w:r>
          </w:p>
          <w:p w14:paraId="4FBEE109" w14:textId="1B29276E" w:rsidR="00517F07" w:rsidRPr="00CC170B" w:rsidRDefault="00517F07" w:rsidP="00517F07">
            <w:r w:rsidRPr="00CC170B">
              <w:rPr>
                <w:b/>
                <w:bCs/>
              </w:rPr>
              <w:t>%(CI)</w:t>
            </w:r>
          </w:p>
        </w:tc>
      </w:tr>
      <w:tr w:rsidR="00517F07" w:rsidRPr="00CC170B" w14:paraId="571D5887" w14:textId="77777777" w:rsidTr="00517F07">
        <w:trPr>
          <w:tblCellSpacing w:w="0" w:type="dxa"/>
        </w:trPr>
        <w:tc>
          <w:tcPr>
            <w:tcW w:w="1700" w:type="pct"/>
            <w:shd w:val="clear" w:color="auto" w:fill="FFFFFF"/>
            <w:hideMark/>
          </w:tcPr>
          <w:p w14:paraId="71A7C0C6" w14:textId="77777777" w:rsidR="00517F07" w:rsidRPr="00CC170B" w:rsidRDefault="00517F07" w:rsidP="00486ABB">
            <w:r w:rsidRPr="00CC170B">
              <w:rPr>
                <w:b/>
                <w:bCs/>
              </w:rPr>
              <w:t>RFS</w:t>
            </w:r>
          </w:p>
        </w:tc>
        <w:tc>
          <w:tcPr>
            <w:tcW w:w="1650" w:type="pct"/>
            <w:vMerge/>
            <w:shd w:val="clear" w:color="auto" w:fill="FFFFFF"/>
            <w:hideMark/>
          </w:tcPr>
          <w:p w14:paraId="4B9B61CB" w14:textId="78F7A0D7" w:rsidR="00517F07" w:rsidRPr="00CC170B" w:rsidRDefault="00517F07" w:rsidP="00486ABB">
            <w:pPr>
              <w:jc w:val="center"/>
            </w:pPr>
          </w:p>
        </w:tc>
        <w:tc>
          <w:tcPr>
            <w:tcW w:w="1650" w:type="pct"/>
            <w:vMerge/>
            <w:shd w:val="clear" w:color="auto" w:fill="FFFFFF"/>
            <w:hideMark/>
          </w:tcPr>
          <w:p w14:paraId="230377F3" w14:textId="2448944F" w:rsidR="00517F07" w:rsidRPr="00CC170B" w:rsidRDefault="00517F07" w:rsidP="00486ABB">
            <w:pPr>
              <w:jc w:val="center"/>
            </w:pPr>
          </w:p>
        </w:tc>
      </w:tr>
      <w:tr w:rsidR="00517F07" w:rsidRPr="00CC170B" w14:paraId="0ABCE529" w14:textId="77777777" w:rsidTr="00517F07">
        <w:trPr>
          <w:trHeight w:val="1192"/>
          <w:tblCellSpacing w:w="0" w:type="dxa"/>
        </w:trPr>
        <w:tc>
          <w:tcPr>
            <w:tcW w:w="1700" w:type="pct"/>
            <w:shd w:val="clear" w:color="auto" w:fill="FFFFFF"/>
            <w:hideMark/>
          </w:tcPr>
          <w:p w14:paraId="2E476C2F" w14:textId="6B12C0E2" w:rsidR="00517F07" w:rsidRPr="00CC170B" w:rsidRDefault="00517F07" w:rsidP="00486ABB">
            <w:pPr>
              <w:ind w:left="284"/>
            </w:pPr>
            <w:r w:rsidRPr="00CC170B">
              <w:t>12</w:t>
            </w:r>
            <w:r w:rsidR="00CC170B">
              <w:t> hónap</w:t>
            </w:r>
          </w:p>
          <w:p w14:paraId="050E20FE" w14:textId="16670C4C" w:rsidR="00517F07" w:rsidRPr="00CC170B" w:rsidRDefault="00517F07" w:rsidP="00486ABB">
            <w:pPr>
              <w:ind w:left="284"/>
            </w:pPr>
            <w:r w:rsidRPr="00CC170B">
              <w:t>24</w:t>
            </w:r>
            <w:r w:rsidR="00CC170B">
              <w:t> hónap</w:t>
            </w:r>
          </w:p>
          <w:p w14:paraId="0A14628E" w14:textId="266BF43E" w:rsidR="00517F07" w:rsidRPr="00CC170B" w:rsidRDefault="00517F07" w:rsidP="00486ABB">
            <w:pPr>
              <w:ind w:left="284"/>
            </w:pPr>
            <w:r w:rsidRPr="00CC170B">
              <w:t>36</w:t>
            </w:r>
            <w:r w:rsidR="00CC170B">
              <w:t> hónap</w:t>
            </w:r>
          </w:p>
          <w:p w14:paraId="4B15907E" w14:textId="21A174C9" w:rsidR="00517F07" w:rsidRPr="00CC170B" w:rsidRDefault="00517F07" w:rsidP="00486ABB">
            <w:pPr>
              <w:ind w:left="284"/>
            </w:pPr>
            <w:r w:rsidRPr="00CC170B">
              <w:t>48</w:t>
            </w:r>
            <w:r w:rsidR="00CC170B">
              <w:t> hónap</w:t>
            </w:r>
          </w:p>
          <w:p w14:paraId="1BDA162D" w14:textId="7B1CD97D" w:rsidR="00517F07" w:rsidRPr="00CC170B" w:rsidRDefault="00517F07" w:rsidP="00486ABB">
            <w:pPr>
              <w:ind w:left="284"/>
            </w:pPr>
            <w:r w:rsidRPr="00CC170B">
              <w:t>60</w:t>
            </w:r>
            <w:r w:rsidR="00CC170B">
              <w:t> hónap</w:t>
            </w:r>
          </w:p>
        </w:tc>
        <w:tc>
          <w:tcPr>
            <w:tcW w:w="1650" w:type="pct"/>
            <w:shd w:val="clear" w:color="auto" w:fill="FFFFFF"/>
            <w:hideMark/>
          </w:tcPr>
          <w:p w14:paraId="4F52A864" w14:textId="77777777" w:rsidR="00517F07" w:rsidRPr="00CC170B" w:rsidRDefault="00517F07" w:rsidP="00517F07">
            <w:r w:rsidRPr="00CC170B">
              <w:t>93,7 (89,2–96,4)</w:t>
            </w:r>
          </w:p>
          <w:p w14:paraId="3112F15A" w14:textId="77777777" w:rsidR="00517F07" w:rsidRPr="00CC170B" w:rsidRDefault="00517F07" w:rsidP="00517F07">
            <w:r w:rsidRPr="00CC170B">
              <w:t>75,4 (68,6–81,0)</w:t>
            </w:r>
          </w:p>
          <w:p w14:paraId="3EC1C830" w14:textId="77777777" w:rsidR="00517F07" w:rsidRPr="00CC170B" w:rsidRDefault="00517F07" w:rsidP="00517F07">
            <w:r w:rsidRPr="00CC170B">
              <w:t>60,1 (52,5–66,9)</w:t>
            </w:r>
          </w:p>
          <w:p w14:paraId="2B299FA6" w14:textId="77777777" w:rsidR="00517F07" w:rsidRPr="00CC170B" w:rsidRDefault="00517F07" w:rsidP="00517F07">
            <w:r w:rsidRPr="00CC170B">
              <w:t>52,3 (44,0–59,8)</w:t>
            </w:r>
          </w:p>
          <w:p w14:paraId="18917BBD" w14:textId="76DE5E58" w:rsidR="00517F07" w:rsidRPr="00CC170B" w:rsidRDefault="00517F07" w:rsidP="00517F07">
            <w:r w:rsidRPr="00CC170B">
              <w:t>47,9 (39,0–56,3)</w:t>
            </w:r>
          </w:p>
        </w:tc>
        <w:tc>
          <w:tcPr>
            <w:tcW w:w="1650" w:type="pct"/>
            <w:shd w:val="clear" w:color="auto" w:fill="FFFFFF"/>
            <w:hideMark/>
          </w:tcPr>
          <w:p w14:paraId="055BDD89" w14:textId="77777777" w:rsidR="00517F07" w:rsidRPr="00CC170B" w:rsidRDefault="00517F07" w:rsidP="00517F07">
            <w:r w:rsidRPr="00CC170B">
              <w:t>95,9 (91,9–97,9)</w:t>
            </w:r>
          </w:p>
          <w:p w14:paraId="304E8FA3" w14:textId="77777777" w:rsidR="00517F07" w:rsidRPr="00CC170B" w:rsidRDefault="00517F07" w:rsidP="00517F07">
            <w:r w:rsidRPr="00CC170B">
              <w:t>90,7 (85,6–94,0)</w:t>
            </w:r>
          </w:p>
          <w:p w14:paraId="50E922E6" w14:textId="77777777" w:rsidR="00517F07" w:rsidRPr="00CC170B" w:rsidRDefault="00517F07" w:rsidP="00517F07">
            <w:r w:rsidRPr="00CC170B">
              <w:t>86,6 (80,8–90,8)</w:t>
            </w:r>
          </w:p>
          <w:p w14:paraId="1AECC4B9" w14:textId="77777777" w:rsidR="00517F07" w:rsidRPr="00CC170B" w:rsidRDefault="00517F07" w:rsidP="00517F07">
            <w:r w:rsidRPr="00CC170B">
              <w:t>78,3 (70,8–84,1)</w:t>
            </w:r>
          </w:p>
          <w:p w14:paraId="2044CEC3" w14:textId="0843A7A8" w:rsidR="00517F07" w:rsidRPr="00CC170B" w:rsidRDefault="00517F07" w:rsidP="00517F07">
            <w:r w:rsidRPr="00CC170B">
              <w:t>65,6 (56,1–73,4)</w:t>
            </w:r>
          </w:p>
        </w:tc>
      </w:tr>
      <w:tr w:rsidR="002366AA" w:rsidRPr="00CC170B" w14:paraId="2D3C2CB3" w14:textId="77777777" w:rsidTr="00517F07">
        <w:trPr>
          <w:tblCellSpacing w:w="0" w:type="dxa"/>
        </w:trPr>
        <w:tc>
          <w:tcPr>
            <w:tcW w:w="1700" w:type="pct"/>
            <w:shd w:val="clear" w:color="auto" w:fill="FFFFFF"/>
            <w:hideMark/>
          </w:tcPr>
          <w:p w14:paraId="3B87191E" w14:textId="77777777" w:rsidR="002366AA" w:rsidRPr="00CC170B" w:rsidRDefault="002366AA" w:rsidP="00486ABB">
            <w:r w:rsidRPr="00CC170B">
              <w:rPr>
                <w:b/>
                <w:bCs/>
              </w:rPr>
              <w:t>Túlélés</w:t>
            </w:r>
          </w:p>
        </w:tc>
        <w:tc>
          <w:tcPr>
            <w:tcW w:w="1650" w:type="pct"/>
            <w:shd w:val="clear" w:color="auto" w:fill="FFFFFF"/>
            <w:hideMark/>
          </w:tcPr>
          <w:p w14:paraId="48DB5F0D" w14:textId="77777777" w:rsidR="002366AA" w:rsidRPr="00CC170B" w:rsidRDefault="002366AA" w:rsidP="00517F07"/>
        </w:tc>
        <w:tc>
          <w:tcPr>
            <w:tcW w:w="1650" w:type="pct"/>
            <w:shd w:val="clear" w:color="auto" w:fill="FFFFFF"/>
            <w:hideMark/>
          </w:tcPr>
          <w:p w14:paraId="22DA56AF" w14:textId="77777777" w:rsidR="002366AA" w:rsidRPr="00CC170B" w:rsidRDefault="002366AA" w:rsidP="00517F07"/>
        </w:tc>
      </w:tr>
      <w:tr w:rsidR="00517F07" w:rsidRPr="00CC170B" w14:paraId="75BB114C" w14:textId="77777777" w:rsidTr="00517F07">
        <w:trPr>
          <w:trHeight w:val="849"/>
          <w:tblCellSpacing w:w="0" w:type="dxa"/>
        </w:trPr>
        <w:tc>
          <w:tcPr>
            <w:tcW w:w="1700" w:type="pct"/>
            <w:shd w:val="clear" w:color="auto" w:fill="FFFFFF"/>
            <w:hideMark/>
          </w:tcPr>
          <w:p w14:paraId="774F85DF" w14:textId="04BF3173" w:rsidR="00517F07" w:rsidRPr="00CC170B" w:rsidRDefault="00517F07" w:rsidP="00486ABB">
            <w:pPr>
              <w:ind w:left="284"/>
            </w:pPr>
            <w:r w:rsidRPr="00CC170B">
              <w:t>36</w:t>
            </w:r>
            <w:r w:rsidR="00CC170B">
              <w:t> hónap</w:t>
            </w:r>
          </w:p>
          <w:p w14:paraId="40CFC0EF" w14:textId="55BB06CB" w:rsidR="00517F07" w:rsidRPr="00CC170B" w:rsidRDefault="00517F07" w:rsidP="00486ABB">
            <w:pPr>
              <w:ind w:left="284"/>
            </w:pPr>
            <w:r w:rsidRPr="00CC170B">
              <w:t>48</w:t>
            </w:r>
            <w:r w:rsidR="00CC170B">
              <w:t> hónap</w:t>
            </w:r>
          </w:p>
          <w:p w14:paraId="788BA08C" w14:textId="4686CED3" w:rsidR="00517F07" w:rsidRPr="00CC170B" w:rsidRDefault="00517F07" w:rsidP="00486ABB">
            <w:pPr>
              <w:ind w:left="284"/>
            </w:pPr>
            <w:r w:rsidRPr="00CC170B">
              <w:t>60</w:t>
            </w:r>
            <w:r w:rsidR="00CC170B">
              <w:t> hónap</w:t>
            </w:r>
          </w:p>
        </w:tc>
        <w:tc>
          <w:tcPr>
            <w:tcW w:w="1650" w:type="pct"/>
            <w:shd w:val="clear" w:color="auto" w:fill="FFFFFF"/>
            <w:hideMark/>
          </w:tcPr>
          <w:p w14:paraId="273DF1AD" w14:textId="77777777" w:rsidR="00517F07" w:rsidRPr="00CC170B" w:rsidRDefault="00517F07" w:rsidP="00517F07">
            <w:r w:rsidRPr="00CC170B">
              <w:t>94,0 (89,5–96,7)</w:t>
            </w:r>
          </w:p>
          <w:p w14:paraId="0E6D4634" w14:textId="77777777" w:rsidR="00517F07" w:rsidRPr="00CC170B" w:rsidRDefault="00517F07" w:rsidP="00517F07">
            <w:r w:rsidRPr="00CC170B">
              <w:t>87,9 (81,1–92,3)</w:t>
            </w:r>
          </w:p>
          <w:p w14:paraId="1F9B0CAE" w14:textId="112AEFE4" w:rsidR="00517F07" w:rsidRPr="00CC170B" w:rsidRDefault="00517F07" w:rsidP="00517F07">
            <w:r w:rsidRPr="00CC170B">
              <w:t>81,7 (73,0–87,8)</w:t>
            </w:r>
          </w:p>
        </w:tc>
        <w:tc>
          <w:tcPr>
            <w:tcW w:w="1650" w:type="pct"/>
            <w:shd w:val="clear" w:color="auto" w:fill="FFFFFF"/>
            <w:hideMark/>
          </w:tcPr>
          <w:p w14:paraId="468B3C21" w14:textId="77777777" w:rsidR="00517F07" w:rsidRPr="00CC170B" w:rsidRDefault="00517F07" w:rsidP="00517F07">
            <w:r w:rsidRPr="00CC170B">
              <w:t>96,3 (92,4–98,2)</w:t>
            </w:r>
          </w:p>
          <w:p w14:paraId="668EA649" w14:textId="77777777" w:rsidR="00517F07" w:rsidRPr="00CC170B" w:rsidRDefault="00517F07" w:rsidP="00517F07">
            <w:r w:rsidRPr="00CC170B">
              <w:t>95,6 (91,2–97,8)</w:t>
            </w:r>
          </w:p>
          <w:p w14:paraId="1A421F64" w14:textId="098E38BB" w:rsidR="00517F07" w:rsidRPr="00CC170B" w:rsidRDefault="00517F07" w:rsidP="00517F07">
            <w:r w:rsidRPr="00CC170B">
              <w:t>92,0 (85,3–95,7)</w:t>
            </w:r>
          </w:p>
        </w:tc>
      </w:tr>
    </w:tbl>
    <w:p w14:paraId="66059615" w14:textId="77777777" w:rsidR="002366AA" w:rsidRPr="00CC170B" w:rsidRDefault="002366AA" w:rsidP="002366AA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7F5B815C" w14:textId="77777777" w:rsidR="002366AA" w:rsidRPr="00CC170B" w:rsidRDefault="002366AA" w:rsidP="00CC170B">
      <w:pPr>
        <w:pStyle w:val="Bodytext20"/>
        <w:keepNext/>
        <w:widowControl/>
        <w:tabs>
          <w:tab w:val="left" w:pos="1134"/>
        </w:tabs>
        <w:spacing w:line="240" w:lineRule="auto"/>
        <w:ind w:left="1134" w:hanging="1134"/>
        <w:rPr>
          <w:sz w:val="22"/>
          <w:szCs w:val="22"/>
        </w:rPr>
      </w:pPr>
      <w:r w:rsidRPr="00CC170B">
        <w:rPr>
          <w:sz w:val="22"/>
          <w:szCs w:val="22"/>
        </w:rPr>
        <w:lastRenderedPageBreak/>
        <w:t>1. ábra</w:t>
      </w:r>
      <w:r w:rsidRPr="00CC170B">
        <w:rPr>
          <w:sz w:val="22"/>
          <w:szCs w:val="22"/>
        </w:rPr>
        <w:tab/>
        <w:t>A primer kiújulásmentes túlélés végpont Kaplan–Meier-féle becslése (ITT populáció)</w:t>
      </w:r>
    </w:p>
    <w:p w14:paraId="747EAF8A" w14:textId="691F5D94" w:rsidR="002366AA" w:rsidRPr="00CC170B" w:rsidRDefault="002366AA" w:rsidP="002366AA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</w:pPr>
      <w:r w:rsidRPr="00CC170B">
        <w:rPr>
          <w:noProof/>
          <w:lang w:eastAsia="hu-HU"/>
        </w:rPr>
        <w:drawing>
          <wp:inline distT="0" distB="0" distL="0" distR="0" wp14:anchorId="3CC22A92" wp14:editId="07CA435D">
            <wp:extent cx="5752465" cy="3105150"/>
            <wp:effectExtent l="0" t="0" r="635" b="0"/>
            <wp:docPr id="331266560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12A8F" w14:textId="77777777" w:rsidR="002366AA" w:rsidRPr="00CC170B" w:rsidRDefault="002366AA" w:rsidP="002366AA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</w:pPr>
    </w:p>
    <w:p w14:paraId="026A794F" w14:textId="77777777" w:rsidR="002366AA" w:rsidRPr="00CC170B" w:rsidRDefault="002366AA" w:rsidP="00517F07">
      <w:pPr>
        <w:pStyle w:val="Bodytext20"/>
        <w:tabs>
          <w:tab w:val="left" w:pos="1134"/>
        </w:tabs>
        <w:spacing w:line="240" w:lineRule="auto"/>
        <w:ind w:left="1134" w:hanging="1134"/>
        <w:rPr>
          <w:sz w:val="22"/>
          <w:szCs w:val="22"/>
        </w:rPr>
      </w:pPr>
      <w:r w:rsidRPr="00CC170B">
        <w:rPr>
          <w:sz w:val="22"/>
          <w:szCs w:val="22"/>
        </w:rPr>
        <w:t>2. ábra</w:t>
      </w:r>
      <w:r w:rsidRPr="00CC170B">
        <w:rPr>
          <w:sz w:val="22"/>
          <w:szCs w:val="22"/>
        </w:rPr>
        <w:tab/>
        <w:t>A teljes túlélés Kaplan–Meier-féle becslése (ITT populáció)</w:t>
      </w:r>
    </w:p>
    <w:p w14:paraId="49BC7882" w14:textId="1DF4ABE2" w:rsidR="002366AA" w:rsidRPr="00CC170B" w:rsidRDefault="002366AA" w:rsidP="002366AA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  <w:r w:rsidRPr="00CC170B">
        <w:rPr>
          <w:noProof/>
          <w:lang w:eastAsia="hu-HU"/>
        </w:rPr>
        <w:drawing>
          <wp:inline distT="0" distB="0" distL="0" distR="0" wp14:anchorId="7FE7F53B" wp14:editId="686863D1">
            <wp:extent cx="5752465" cy="3173095"/>
            <wp:effectExtent l="0" t="0" r="635" b="8255"/>
            <wp:docPr id="2129295857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17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7DE88" w14:textId="77777777" w:rsidR="002366AA" w:rsidRPr="00CC170B" w:rsidRDefault="002366AA" w:rsidP="002366AA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1FB56FA4" w14:textId="488374AA" w:rsidR="00FC0D76" w:rsidRPr="00CC170B" w:rsidRDefault="00FC0D76" w:rsidP="00FC0D76">
      <w:r w:rsidRPr="00CC170B">
        <w:t>A c-Kit-pozitív GIST-ben szenvedő gyermek</w:t>
      </w:r>
      <w:r w:rsidR="000A1DFB">
        <w:t xml:space="preserve"> és</w:t>
      </w:r>
      <w:r w:rsidRPr="00CC170B">
        <w:t xml:space="preserve"> serdülő betegekkel nincsenek kontrollos vizsgálatok. Hét publikációban tizenhét, GIST-ben (Kit- és PDGFR-mutációval vagy anélkül) szenvedő betegről számoltak be. Ezen betegek életkora 8 és 18 év közé esett, és az imatinibet mind adjuváns kezelésként, mind metasztatizáló betegség esetén</w:t>
      </w:r>
      <w:r w:rsidR="0087414E" w:rsidRPr="00CC170B">
        <w:t> nap</w:t>
      </w:r>
      <w:r w:rsidRPr="00CC170B">
        <w:t>i 300–800 mg dózisban kapták. A GIST miatt kezelt gyermek</w:t>
      </w:r>
      <w:r w:rsidR="000A1DFB">
        <w:t xml:space="preserve"> és</w:t>
      </w:r>
      <w:r w:rsidRPr="00CC170B">
        <w:t xml:space="preserve"> serdülő betegek többségénél nem voltak a c-Kit- vagy PDGFR-mutációt megerősítő adatok, ami kevert klinikai kimenetelhez vezethetett.</w:t>
      </w:r>
    </w:p>
    <w:p w14:paraId="0E88A60C" w14:textId="77777777" w:rsidR="00FC0D76" w:rsidRPr="00CC170B" w:rsidRDefault="00FC0D76" w:rsidP="00FC0D76"/>
    <w:p w14:paraId="2B56C811" w14:textId="77777777" w:rsidR="00FC0D76" w:rsidRPr="00CC170B" w:rsidRDefault="00FC0D76" w:rsidP="00FC0D76">
      <w:r w:rsidRPr="00CC170B">
        <w:rPr>
          <w:u w:val="single"/>
        </w:rPr>
        <w:t>Klinikai vizsgálatok DFSP-ben</w:t>
      </w:r>
    </w:p>
    <w:p w14:paraId="3B46065F" w14:textId="77777777" w:rsidR="00FC0D76" w:rsidRPr="00CC170B" w:rsidRDefault="00FC0D76" w:rsidP="00FC0D76"/>
    <w:p w14:paraId="2662ACFF" w14:textId="761F71E6" w:rsidR="00FC0D76" w:rsidRPr="00CC170B" w:rsidRDefault="00FC0D76" w:rsidP="00FC0D76">
      <w:r w:rsidRPr="00CC170B">
        <w:t>Egy nyílt elrendezésű, II. fázisú multicentrikus klinikai vizsgálatban (B2225 vizsgálat) többek között 12, DFSP-ben szenvedő beteget kezeltek</w:t>
      </w:r>
      <w:r w:rsidR="00495FC0">
        <w:t xml:space="preserve"> </w:t>
      </w:r>
      <w:r w:rsidR="0087414E" w:rsidRPr="00CC170B">
        <w:t>nap</w:t>
      </w:r>
      <w:r w:rsidRPr="00CC170B">
        <w:t xml:space="preserve">i 800 mg </w:t>
      </w:r>
      <w:r w:rsidR="00495FC0">
        <w:t>i</w:t>
      </w:r>
      <w:r w:rsidRPr="00CC170B">
        <w:t>matinib</w:t>
      </w:r>
      <w:r w:rsidR="00495FC0">
        <w:t>bel</w:t>
      </w:r>
      <w:r w:rsidRPr="00CC170B">
        <w:t>. A DFSP-s betegek életkora 23 és</w:t>
      </w:r>
      <w:r w:rsidR="00CC170B">
        <w:t xml:space="preserve"> </w:t>
      </w:r>
      <w:r w:rsidRPr="00CC170B">
        <w:t>75</w:t>
      </w:r>
      <w:r w:rsidR="00495FC0">
        <w:t> </w:t>
      </w:r>
      <w:r w:rsidRPr="00CC170B">
        <w:t xml:space="preserve">év között volt; a DFSP </w:t>
      </w:r>
      <w:r w:rsidR="006276E6" w:rsidRPr="00CC170B">
        <w:t>metasztatizáló</w:t>
      </w:r>
      <w:r w:rsidRPr="00CC170B">
        <w:t xml:space="preserve">, a kezdeti reszekciós műtétet követően lokálisan </w:t>
      </w:r>
      <w:r w:rsidR="009F6F3A" w:rsidRPr="00CC170B">
        <w:t>rela</w:t>
      </w:r>
      <w:r w:rsidR="000A1DFB">
        <w:t>b</w:t>
      </w:r>
      <w:r w:rsidR="009F6F3A" w:rsidRPr="00CC170B">
        <w:t>áló</w:t>
      </w:r>
      <w:r w:rsidRPr="00CC170B">
        <w:t xml:space="preserve"> volt, és a betegeket a vizsgálatba történő bevonáskor további reszekciós műtétre nem tekintették </w:t>
      </w:r>
      <w:r w:rsidRPr="00CC170B">
        <w:lastRenderedPageBreak/>
        <w:t>alkalmasnak. Az objektív terápiásválasz-arány volt a hatásosság elsődleges bizonyítéka. A 12</w:t>
      </w:r>
      <w:r w:rsidR="00495FC0">
        <w:t> </w:t>
      </w:r>
      <w:r w:rsidRPr="00CC170B">
        <w:t>bevont betegből 9-nél volt tapasztalható terápiás válasz, közülük 1 beteg teljes választ, 8 beteg részleges választ mutatott. A részleges választ mutatók közül 3 beteg a későbbiekben műtéti beavatkozást követően vált betegségmentessé. A B2225 vizsgálatban a kezelés medián időtartama 6,2</w:t>
      </w:r>
      <w:r w:rsidR="00645FEE" w:rsidRPr="00CC170B">
        <w:t> hónap</w:t>
      </w:r>
      <w:r w:rsidRPr="00CC170B">
        <w:t xml:space="preserve"> volt (a maximális időtartam 24,3</w:t>
      </w:r>
      <w:r w:rsidR="00645FEE" w:rsidRPr="00CC170B">
        <w:t> hónap</w:t>
      </w:r>
      <w:r w:rsidRPr="00CC170B">
        <w:t xml:space="preserve"> volt). Öt publikált esettanulmányban további 6, </w:t>
      </w:r>
      <w:r w:rsidR="00CC170B">
        <w:t>i</w:t>
      </w:r>
      <w:r w:rsidRPr="00CC170B">
        <w:t>matinib</w:t>
      </w:r>
      <w:r w:rsidR="00CC170B">
        <w:t xml:space="preserve">bel </w:t>
      </w:r>
      <w:r w:rsidRPr="00CC170B">
        <w:t>kezelt DFSP-s betegről (életkor: 18</w:t>
      </w:r>
      <w:r w:rsidR="00645FEE" w:rsidRPr="00CC170B">
        <w:t> hónap</w:t>
      </w:r>
      <w:r w:rsidRPr="00CC170B">
        <w:t xml:space="preserve"> – 49</w:t>
      </w:r>
      <w:r w:rsidR="00495FC0">
        <w:t> </w:t>
      </w:r>
      <w:r w:rsidRPr="00CC170B">
        <w:t>év) számoltak be. A szakirodalomban szereplő felnőtt betegeket</w:t>
      </w:r>
      <w:r w:rsidR="00CC170B">
        <w:t xml:space="preserve"> </w:t>
      </w:r>
      <w:r w:rsidR="0087414E" w:rsidRPr="00CC170B">
        <w:t>nap</w:t>
      </w:r>
      <w:r w:rsidRPr="00CC170B">
        <w:t>i 400 mg (4</w:t>
      </w:r>
      <w:r w:rsidR="00495FC0">
        <w:t> </w:t>
      </w:r>
      <w:r w:rsidRPr="00CC170B">
        <w:t>eset) vagy 800 mg (1</w:t>
      </w:r>
      <w:r w:rsidR="00495FC0">
        <w:t> </w:t>
      </w:r>
      <w:r w:rsidRPr="00CC170B">
        <w:t xml:space="preserve">eset) </w:t>
      </w:r>
      <w:r w:rsidR="00CC170B">
        <w:t>i</w:t>
      </w:r>
      <w:r w:rsidRPr="00CC170B">
        <w:t>matinib</w:t>
      </w:r>
      <w:r w:rsidR="00CC170B">
        <w:t>bel</w:t>
      </w:r>
      <w:r w:rsidRPr="00CC170B">
        <w:t xml:space="preserve"> kezelték. Az 5</w:t>
      </w:r>
      <w:r w:rsidR="00CC170B">
        <w:t> </w:t>
      </w:r>
      <w:r w:rsidRPr="00CC170B">
        <w:t>reagáló betegből</w:t>
      </w:r>
      <w:r w:rsidR="00CC170B">
        <w:t xml:space="preserve"> </w:t>
      </w:r>
      <w:r w:rsidRPr="00CC170B">
        <w:t>3</w:t>
      </w:r>
      <w:r w:rsidR="00495FC0">
        <w:t> </w:t>
      </w:r>
      <w:r w:rsidRPr="00CC170B">
        <w:t>teljes választ, 2</w:t>
      </w:r>
      <w:r w:rsidR="00495FC0">
        <w:t xml:space="preserve"> </w:t>
      </w:r>
      <w:r w:rsidRPr="00CC170B">
        <w:t>részleges választ mutatott. A szakirodalomban közölt esetekben a kezelés medián időtartama 4</w:t>
      </w:r>
      <w:r w:rsidR="00495FC0">
        <w:t> </w:t>
      </w:r>
      <w:r w:rsidRPr="00CC170B">
        <w:t>hét és több mint 20</w:t>
      </w:r>
      <w:r w:rsidR="00645FEE" w:rsidRPr="00CC170B">
        <w:t> hónap</w:t>
      </w:r>
      <w:r w:rsidRPr="00CC170B">
        <w:t xml:space="preserve"> között volt. A t(17:22)[(q22:q13)] transzlokáció vagy ennek génproduktuma kimutatható volt </w:t>
      </w:r>
      <w:r w:rsidR="00F65A4E" w:rsidRPr="00CC170B">
        <w:t xml:space="preserve">az </w:t>
      </w:r>
      <w:r w:rsidR="00CC170B">
        <w:t>i</w:t>
      </w:r>
      <w:r w:rsidR="00D07FC6" w:rsidRPr="00CC170B">
        <w:t>matinib</w:t>
      </w:r>
      <w:r w:rsidRPr="00CC170B">
        <w:t>-kezelésre reagáló összes betegnél.</w:t>
      </w:r>
    </w:p>
    <w:p w14:paraId="32938C54" w14:textId="77777777" w:rsidR="00FC0D76" w:rsidRPr="00CC170B" w:rsidRDefault="00FC0D76" w:rsidP="00FC0D76"/>
    <w:p w14:paraId="617B3640" w14:textId="35906559" w:rsidR="00FC0D76" w:rsidRPr="00CC170B" w:rsidRDefault="00FC0D76" w:rsidP="00FC0D76">
      <w:r w:rsidRPr="00CC170B">
        <w:t>DFSP-ben szenvedő gyermek</w:t>
      </w:r>
      <w:r w:rsidR="000A1DFB">
        <w:t xml:space="preserve"> és</w:t>
      </w:r>
      <w:r w:rsidRPr="00CC170B">
        <w:t xml:space="preserve"> serdülő betegekkel nem végeztek kontrollos vizsgálatot. Három publikációban 5, PDGFR-génátrendeződéssel járó DFSP-ben szenvedő betegről számoltak be. Ezen betegek életkora az újszülöttkor és 14 év közé esett, és az imatinibet</w:t>
      </w:r>
      <w:r w:rsidR="007923FA">
        <w:t xml:space="preserve"> </w:t>
      </w:r>
      <w:r w:rsidR="0087414E" w:rsidRPr="00CC170B">
        <w:t>nap</w:t>
      </w:r>
      <w:r w:rsidRPr="00CC170B">
        <w:t>i 50 mg-os dózisban vagy</w:t>
      </w:r>
      <w:r w:rsidR="00495FC0">
        <w:t xml:space="preserve"> </w:t>
      </w:r>
      <w:r w:rsidR="0087414E" w:rsidRPr="00CC170B">
        <w:t>nap</w:t>
      </w:r>
      <w:r w:rsidRPr="00CC170B">
        <w:t>i 400–520 mg/m</w:t>
      </w:r>
      <w:r w:rsidRPr="00CC170B">
        <w:rPr>
          <w:vertAlign w:val="superscript"/>
        </w:rPr>
        <w:t>2</w:t>
      </w:r>
      <w:r w:rsidRPr="00CC170B">
        <w:t xml:space="preserve"> dózisban kapták. Minden beteg részleges és/vagy teljes </w:t>
      </w:r>
      <w:r w:rsidR="00EA5561">
        <w:t>választ</w:t>
      </w:r>
      <w:r w:rsidRPr="00CC170B">
        <w:t xml:space="preserve"> ért el.</w:t>
      </w:r>
    </w:p>
    <w:p w14:paraId="4EDD16E2" w14:textId="77777777" w:rsidR="00FC0D76" w:rsidRPr="00CC170B" w:rsidRDefault="00FC0D76" w:rsidP="00FC0D76"/>
    <w:p w14:paraId="12C3A995" w14:textId="788AF0B8" w:rsidR="00FC0D76" w:rsidRPr="007923FA" w:rsidRDefault="007923FA" w:rsidP="007923FA">
      <w:pPr>
        <w:tabs>
          <w:tab w:val="left" w:pos="567"/>
        </w:tabs>
        <w:rPr>
          <w:b/>
          <w:bCs/>
        </w:rPr>
      </w:pPr>
      <w:r w:rsidRPr="007923FA">
        <w:rPr>
          <w:b/>
          <w:bCs/>
        </w:rPr>
        <w:t>5.2</w:t>
      </w:r>
      <w:r w:rsidRPr="007923FA">
        <w:rPr>
          <w:b/>
          <w:bCs/>
        </w:rPr>
        <w:tab/>
      </w:r>
      <w:r w:rsidR="00FC0D76" w:rsidRPr="007923FA">
        <w:rPr>
          <w:b/>
          <w:bCs/>
        </w:rPr>
        <w:t>Farmakokinetikai</w:t>
      </w:r>
      <w:r w:rsidR="00FC0D76" w:rsidRPr="007923FA">
        <w:rPr>
          <w:b/>
          <w:bCs/>
          <w:spacing w:val="-1"/>
        </w:rPr>
        <w:t xml:space="preserve"> </w:t>
      </w:r>
      <w:r w:rsidR="00FC0D76" w:rsidRPr="007923FA">
        <w:rPr>
          <w:b/>
          <w:bCs/>
        </w:rPr>
        <w:t>tulajdonságok</w:t>
      </w:r>
    </w:p>
    <w:p w14:paraId="774D658F" w14:textId="77777777" w:rsidR="00FC0D76" w:rsidRPr="00495FC0" w:rsidRDefault="00FC0D76" w:rsidP="00FC0D76">
      <w:pPr>
        <w:rPr>
          <w:bCs/>
        </w:rPr>
      </w:pPr>
    </w:p>
    <w:p w14:paraId="6F3E1422" w14:textId="0C53C59B" w:rsidR="00FC0D76" w:rsidRPr="00CC170B" w:rsidRDefault="00430469" w:rsidP="00FC0D76">
      <w:r w:rsidRPr="00CC170B">
        <w:rPr>
          <w:u w:val="single"/>
        </w:rPr>
        <w:t xml:space="preserve">Az </w:t>
      </w:r>
      <w:r w:rsidR="007923FA">
        <w:rPr>
          <w:u w:val="single"/>
        </w:rPr>
        <w:t>i</w:t>
      </w:r>
      <w:r w:rsidRPr="00CC170B">
        <w:rPr>
          <w:u w:val="single"/>
        </w:rPr>
        <w:t xml:space="preserve">matinib </w:t>
      </w:r>
      <w:r w:rsidR="00FC0D76" w:rsidRPr="00CC170B">
        <w:rPr>
          <w:u w:val="single"/>
        </w:rPr>
        <w:t>farmakokinetikai tulajdonságai</w:t>
      </w:r>
    </w:p>
    <w:p w14:paraId="3B975FDA" w14:textId="77777777" w:rsidR="00FC0D76" w:rsidRPr="00CC170B" w:rsidRDefault="00FC0D76" w:rsidP="00FC0D76"/>
    <w:p w14:paraId="3944FFA5" w14:textId="57AA890E" w:rsidR="00FC0D76" w:rsidRPr="00CC170B" w:rsidRDefault="00430469" w:rsidP="00FC0D76">
      <w:r w:rsidRPr="00CC170B">
        <w:t xml:space="preserve">Az </w:t>
      </w:r>
      <w:r w:rsidR="007923FA">
        <w:t>i</w:t>
      </w:r>
      <w:r w:rsidRPr="00CC170B">
        <w:t xml:space="preserve">matinib </w:t>
      </w:r>
      <w:r w:rsidR="00FC0D76" w:rsidRPr="00CC170B">
        <w:t xml:space="preserve">farmakokinetikáját </w:t>
      </w:r>
      <w:r w:rsidR="00EA5561">
        <w:t xml:space="preserve">a </w:t>
      </w:r>
      <w:r w:rsidR="00FC0D76" w:rsidRPr="00CC170B">
        <w:t>25–1000 mg dózistartományban vizsgálták. A plazma farmakokinetikai profilját az 1., majd vagy a 7. vagy a 28.</w:t>
      </w:r>
      <w:r w:rsidR="0087414E" w:rsidRPr="00CC170B">
        <w:t> nap</w:t>
      </w:r>
      <w:r w:rsidR="00FC0D76" w:rsidRPr="00CC170B">
        <w:t>on vizsgálták, amikorra a plazmakoncentráció elérte a dinamikus egyensúlyi állapotot.</w:t>
      </w:r>
    </w:p>
    <w:p w14:paraId="2710216D" w14:textId="77777777" w:rsidR="00FC0D76" w:rsidRPr="00CC170B" w:rsidRDefault="00FC0D76" w:rsidP="00FC0D76"/>
    <w:p w14:paraId="30DF2D30" w14:textId="77777777" w:rsidR="00FC0D76" w:rsidRPr="00CC170B" w:rsidRDefault="00FC0D76" w:rsidP="00FC0D76">
      <w:r w:rsidRPr="00CC170B">
        <w:rPr>
          <w:u w:val="single"/>
        </w:rPr>
        <w:t>Felszívódás</w:t>
      </w:r>
    </w:p>
    <w:p w14:paraId="7CD55510" w14:textId="77777777" w:rsidR="00FC0D76" w:rsidRPr="00CC170B" w:rsidRDefault="00FC0D76" w:rsidP="00FC0D76"/>
    <w:p w14:paraId="1F2D43B8" w14:textId="1DD0AB87" w:rsidR="00FC0D76" w:rsidRPr="00CC170B" w:rsidRDefault="00FC0D76" w:rsidP="00FC0D76">
      <w:r w:rsidRPr="00CC170B">
        <w:t>Az imatinib átlagos abszolút biohasznosulása 98%. Orális dózis alkalmazása után az imatinib plazma AUC-értéke nagy egyéni variabilitást mutatott. Nagy zsírtartalmú étel fogyasztása közben bevéve az imatinib felszívódása minimális mértékben csökkent (a C</w:t>
      </w:r>
      <w:r w:rsidRPr="00CC170B">
        <w:rPr>
          <w:vertAlign w:val="subscript"/>
        </w:rPr>
        <w:t>max</w:t>
      </w:r>
      <w:r w:rsidRPr="00CC170B">
        <w:t xml:space="preserve"> 11%-kal csökkent, a t</w:t>
      </w:r>
      <w:r w:rsidRPr="00CC170B">
        <w:rPr>
          <w:vertAlign w:val="subscript"/>
        </w:rPr>
        <w:t>max</w:t>
      </w:r>
      <w:r w:rsidRPr="00CC170B">
        <w:t xml:space="preserve"> 1,5</w:t>
      </w:r>
      <w:r w:rsidR="00111A46">
        <w:t> </w:t>
      </w:r>
      <w:r w:rsidRPr="00CC170B">
        <w:t>órával nyúlt meg), valamint az AUC is kismértékben csökkent (7,4%) az éh</w:t>
      </w:r>
      <w:r w:rsidR="00111A46">
        <w:t>omi</w:t>
      </w:r>
      <w:r w:rsidRPr="00CC170B">
        <w:t xml:space="preserve"> értékhez képest. A korábbi gastrointestinalis sebészi beavatkozás hatását a gyógyszer felszívódására nem vizsgálták.</w:t>
      </w:r>
    </w:p>
    <w:p w14:paraId="268BBBE4" w14:textId="77777777" w:rsidR="00FC0D76" w:rsidRPr="00CC170B" w:rsidRDefault="00FC0D76" w:rsidP="00FC0D76"/>
    <w:p w14:paraId="59B3EFB2" w14:textId="77777777" w:rsidR="00FC0D76" w:rsidRPr="00CC170B" w:rsidRDefault="00FC0D76" w:rsidP="00FC0D76">
      <w:r w:rsidRPr="00CC170B">
        <w:rPr>
          <w:u w:val="single"/>
        </w:rPr>
        <w:t>Eloszlás</w:t>
      </w:r>
    </w:p>
    <w:p w14:paraId="66FF5FA5" w14:textId="77777777" w:rsidR="00FC0D76" w:rsidRPr="00CC170B" w:rsidRDefault="00FC0D76" w:rsidP="00FC0D76"/>
    <w:p w14:paraId="6E0530EE" w14:textId="77777777" w:rsidR="00FC0D76" w:rsidRPr="00CC170B" w:rsidRDefault="00FC0D76" w:rsidP="00FC0D76">
      <w:r w:rsidRPr="00CC170B">
        <w:rPr>
          <w:i/>
        </w:rPr>
        <w:t xml:space="preserve">In vitro </w:t>
      </w:r>
      <w:r w:rsidRPr="00CC170B">
        <w:t>kísérletekre alapozva, a klinikailag releváns koncentrációkban alkalmazott imatinib plazmafehérjékhez kötődése körülbelül 95%-os volt, elsősorban az albuminhoz és az alfa savas glikoproteinhez, kisebb mértékben a lipoproteinhez kötődött.</w:t>
      </w:r>
    </w:p>
    <w:p w14:paraId="5832FB31" w14:textId="77777777" w:rsidR="00FC0D76" w:rsidRPr="00CC170B" w:rsidRDefault="00FC0D76" w:rsidP="00FC0D76"/>
    <w:p w14:paraId="36DB73D3" w14:textId="77777777" w:rsidR="00FC0D76" w:rsidRPr="00CC170B" w:rsidRDefault="00FC0D76" w:rsidP="00FC0D76">
      <w:r w:rsidRPr="00CC170B">
        <w:rPr>
          <w:u w:val="single"/>
        </w:rPr>
        <w:t>Biotranszformáció</w:t>
      </w:r>
    </w:p>
    <w:p w14:paraId="1BF72425" w14:textId="77777777" w:rsidR="00FC0D76" w:rsidRPr="00CC170B" w:rsidRDefault="00FC0D76" w:rsidP="00FC0D76"/>
    <w:p w14:paraId="733265A5" w14:textId="69510F77" w:rsidR="00FC0D76" w:rsidRPr="00CC170B" w:rsidRDefault="00FC0D76" w:rsidP="00FC0D76">
      <w:r w:rsidRPr="00CC170B">
        <w:t xml:space="preserve">A fő keringő metabolit embernél az </w:t>
      </w:r>
      <w:r w:rsidRPr="00111A46">
        <w:rPr>
          <w:iCs/>
        </w:rPr>
        <w:t>N</w:t>
      </w:r>
      <w:r w:rsidRPr="00CC170B">
        <w:rPr>
          <w:i/>
        </w:rPr>
        <w:t>-</w:t>
      </w:r>
      <w:r w:rsidRPr="00CC170B">
        <w:t xml:space="preserve">demetilált piperazin-származék, aminek a hatásossága </w:t>
      </w:r>
      <w:r w:rsidRPr="00CC170B">
        <w:rPr>
          <w:i/>
        </w:rPr>
        <w:t xml:space="preserve">in vitro </w:t>
      </w:r>
      <w:r w:rsidRPr="00CC170B">
        <w:t xml:space="preserve">az anyavegyületéhez hasonló. E metabolit plazma AUC-értékéről kimutatták, hogy az az imatinibénak mindössze 16%-a. Az </w:t>
      </w:r>
      <w:r w:rsidRPr="00111A46">
        <w:rPr>
          <w:iCs/>
        </w:rPr>
        <w:t>N</w:t>
      </w:r>
      <w:r w:rsidRPr="00CC170B">
        <w:rPr>
          <w:i/>
        </w:rPr>
        <w:t>-</w:t>
      </w:r>
      <w:r w:rsidRPr="00CC170B">
        <w:t>demetilált metabolit plazmafehérje-kötődése hasonló az anyavegyületéhez.</w:t>
      </w:r>
    </w:p>
    <w:p w14:paraId="6F7272B5" w14:textId="77777777" w:rsidR="00FC0D76" w:rsidRPr="00CC170B" w:rsidRDefault="00FC0D76" w:rsidP="00FC0D76"/>
    <w:p w14:paraId="14A78F0E" w14:textId="0A8C240B" w:rsidR="00FC0D76" w:rsidRPr="00CC170B" w:rsidRDefault="00FC0D76" w:rsidP="00FC0D76">
      <w:r w:rsidRPr="00CC170B">
        <w:t xml:space="preserve">Az imatinib és az </w:t>
      </w:r>
      <w:r w:rsidRPr="00111A46">
        <w:rPr>
          <w:iCs/>
        </w:rPr>
        <w:t>N</w:t>
      </w:r>
      <w:r w:rsidRPr="00CC170B">
        <w:rPr>
          <w:i/>
        </w:rPr>
        <w:t>-</w:t>
      </w:r>
      <w:r w:rsidRPr="00CC170B">
        <w:t>de</w:t>
      </w:r>
      <w:r w:rsidR="00EA5561">
        <w:t>z</w:t>
      </w:r>
      <w:r w:rsidRPr="00CC170B">
        <w:t>metil-metabolit együttesen képezi a keringő radioaktivitás (AUC</w:t>
      </w:r>
      <w:r w:rsidRPr="00CC170B">
        <w:rPr>
          <w:vertAlign w:val="subscript"/>
        </w:rPr>
        <w:t>0-48h</w:t>
      </w:r>
      <w:r w:rsidRPr="00CC170B">
        <w:t>) körülbelül 65%-át. A fennmaradó keringő radioaktivitás számos, kisebb jelentőségű metabolittól származik.</w:t>
      </w:r>
    </w:p>
    <w:p w14:paraId="7B27C4F4" w14:textId="77777777" w:rsidR="00FC0D76" w:rsidRPr="00CC170B" w:rsidRDefault="00FC0D76" w:rsidP="00FC0D76"/>
    <w:p w14:paraId="3FBBBFAC" w14:textId="530BA8E7" w:rsidR="00FC0D76" w:rsidRPr="00CC170B" w:rsidRDefault="00FC0D76" w:rsidP="00FC0D76">
      <w:r w:rsidRPr="00CC170B">
        <w:rPr>
          <w:i/>
        </w:rPr>
        <w:t xml:space="preserve">In vitro </w:t>
      </w:r>
      <w:r w:rsidRPr="00CC170B">
        <w:t>eredmények szerint a CYP3A4 volt a legfontosabb humán P450 enzim, ami az imatinib biotranszformációját katalizálja. A lehetséges gyógyszer-interakciók közül (paracetamol, aciklovir, allopurinol, amfotericin, citarabin, eritromicin, flukonazol, hidroxikarbamid, norfloxacin, penicillin V) csak az eritromicin (IC</w:t>
      </w:r>
      <w:r w:rsidRPr="00CC170B">
        <w:rPr>
          <w:vertAlign w:val="subscript"/>
        </w:rPr>
        <w:t>50</w:t>
      </w:r>
      <w:r w:rsidRPr="00CC170B">
        <w:t xml:space="preserve"> 50</w:t>
      </w:r>
      <w:r w:rsidR="00111A46">
        <w:t> </w:t>
      </w:r>
      <w:r w:rsidRPr="00CC170B">
        <w:t>mikromol) és a flukonazol (IC</w:t>
      </w:r>
      <w:r w:rsidRPr="00CC170B">
        <w:rPr>
          <w:vertAlign w:val="subscript"/>
        </w:rPr>
        <w:t>50</w:t>
      </w:r>
      <w:r w:rsidR="00111A46">
        <w:t> </w:t>
      </w:r>
      <w:r w:rsidRPr="00CC170B">
        <w:t>118</w:t>
      </w:r>
      <w:r w:rsidR="00111A46">
        <w:t> </w:t>
      </w:r>
      <w:r w:rsidRPr="00CC170B">
        <w:t>mikromol) gyakorolt olyan gátló hatást az imatinib metabolizmusára, ami klinikai jelentőséggel bírhat.</w:t>
      </w:r>
    </w:p>
    <w:p w14:paraId="20B50D37" w14:textId="77777777" w:rsidR="00FC0D76" w:rsidRPr="00CC170B" w:rsidRDefault="00FC0D76" w:rsidP="00FC0D76"/>
    <w:p w14:paraId="5CC8C7C0" w14:textId="3FD51C75" w:rsidR="00FC0D76" w:rsidRPr="00CC170B" w:rsidRDefault="00FC0D76" w:rsidP="00FC0D76">
      <w:r w:rsidRPr="00CC170B">
        <w:rPr>
          <w:i/>
        </w:rPr>
        <w:t xml:space="preserve">In vitro </w:t>
      </w:r>
      <w:r w:rsidRPr="00CC170B">
        <w:t>az imatinib a CYP2C9, CYP2D6 és CYP3A4/5 marker szubsztrátjainak kompetitív inhibitora. A K</w:t>
      </w:r>
      <w:r w:rsidRPr="00CC170B">
        <w:rPr>
          <w:vertAlign w:val="subscript"/>
        </w:rPr>
        <w:t>i</w:t>
      </w:r>
      <w:r w:rsidRPr="00CC170B">
        <w:t xml:space="preserve"> humán májmicrosomákban a fenti sorrend</w:t>
      </w:r>
      <w:r w:rsidR="00EA5561">
        <w:t>ben</w:t>
      </w:r>
      <w:r w:rsidRPr="00CC170B">
        <w:t xml:space="preserve"> 27, 7,5 és 7,9</w:t>
      </w:r>
      <w:r w:rsidR="00111A46">
        <w:t> </w:t>
      </w:r>
      <w:r w:rsidRPr="00CC170B">
        <w:t>mikromol/l értéket ért el. Betegeknél az imatinib maximális plazmakoncentrációja 2–4</w:t>
      </w:r>
      <w:r w:rsidR="00111A46">
        <w:t> </w:t>
      </w:r>
      <w:r w:rsidRPr="00CC170B">
        <w:t xml:space="preserve">mikromol/l volt, következésképp az egyidejűleg </w:t>
      </w:r>
      <w:r w:rsidRPr="00CC170B">
        <w:lastRenderedPageBreak/>
        <w:t xml:space="preserve">adott, CYP2D6- és/vagy CYP3A4/5-mediált metabolizmusú gyógyszerek gátlása </w:t>
      </w:r>
      <w:r w:rsidR="00EA5561">
        <w:t>lehetséges</w:t>
      </w:r>
      <w:r w:rsidRPr="00CC170B">
        <w:t>. Az imatinib nem akadályozta az 5-fluorouracil biotranszformációját, de a CYP2C8 (K</w:t>
      </w:r>
      <w:r w:rsidRPr="00CC170B">
        <w:rPr>
          <w:vertAlign w:val="subscript"/>
        </w:rPr>
        <w:t>i</w:t>
      </w:r>
      <w:r w:rsidRPr="00CC170B">
        <w:t xml:space="preserve"> = 34,7</w:t>
      </w:r>
      <w:r w:rsidR="00111A46">
        <w:t> </w:t>
      </w:r>
      <w:r w:rsidRPr="00CC170B">
        <w:t>mikromol) kompetitív gátlásának eredményeképpen gátolta a paklitaxel metabolizmusát. Ez a K</w:t>
      </w:r>
      <w:r w:rsidRPr="00CC170B">
        <w:rPr>
          <w:vertAlign w:val="subscript"/>
        </w:rPr>
        <w:t>i</w:t>
      </w:r>
      <w:r w:rsidRPr="00CC170B">
        <w:t xml:space="preserve"> érték lényegesen magasabb, mint a betegeknél várt imatinib-plazmaszint, tehát valószínű, hogy nem várható interakció sem az imatinibbel együtt adott 5-fluorouracillal, sem a paklitaxellel.</w:t>
      </w:r>
    </w:p>
    <w:p w14:paraId="1DA4099D" w14:textId="77777777" w:rsidR="00FC0D76" w:rsidRPr="00CC170B" w:rsidRDefault="00FC0D76" w:rsidP="00FC0D76"/>
    <w:p w14:paraId="39117EFD" w14:textId="77777777" w:rsidR="00FC0D76" w:rsidRPr="00CC170B" w:rsidRDefault="00FC0D76" w:rsidP="00FC0D76">
      <w:r w:rsidRPr="00CC170B">
        <w:rPr>
          <w:u w:val="single"/>
        </w:rPr>
        <w:t>Elimináció</w:t>
      </w:r>
    </w:p>
    <w:p w14:paraId="6F41772A" w14:textId="77777777" w:rsidR="00FC0D76" w:rsidRPr="00CC170B" w:rsidRDefault="00FC0D76" w:rsidP="00FC0D76"/>
    <w:p w14:paraId="3D857C7F" w14:textId="6DB18C78" w:rsidR="00FC0D76" w:rsidRPr="00CC170B" w:rsidRDefault="00FC0D76" w:rsidP="00FC0D76">
      <w:r w:rsidRPr="00CC170B">
        <w:t xml:space="preserve">A bevitt vegyület visszamérésével a </w:t>
      </w:r>
      <w:r w:rsidRPr="00CC170B">
        <w:rPr>
          <w:vertAlign w:val="superscript"/>
        </w:rPr>
        <w:t>14</w:t>
      </w:r>
      <w:r w:rsidRPr="00CC170B">
        <w:t>C-</w:t>
      </w:r>
      <w:r w:rsidR="00EA5561">
        <w:t>izotóppal</w:t>
      </w:r>
      <w:r w:rsidRPr="00CC170B">
        <w:t xml:space="preserve"> jelzett imatinib egyszeri adagjának orális bevételét követően a dózis hozzávetőleg 81%-a 7</w:t>
      </w:r>
      <w:r w:rsidR="0087414E" w:rsidRPr="00CC170B">
        <w:t> nap</w:t>
      </w:r>
      <w:r w:rsidRPr="00CC170B">
        <w:t>on belül a széklettel (az adag 68%-a), illetve a vizelettel (az adag 13%-a) ürült. A változatlan imatinib a dózis 25%-át (5%-a a vizeletben, 20%-a a székletben) tette ki, a fennmaradó hányad metabolitként ürült.</w:t>
      </w:r>
    </w:p>
    <w:p w14:paraId="4505DFE4" w14:textId="77777777" w:rsidR="00FC0D76" w:rsidRPr="00CC170B" w:rsidRDefault="00FC0D76" w:rsidP="00FC0D76"/>
    <w:p w14:paraId="0D6AF9CF" w14:textId="77777777" w:rsidR="00FC0D76" w:rsidRPr="00CC170B" w:rsidRDefault="00FC0D76" w:rsidP="00FC0D76">
      <w:r w:rsidRPr="00CC170B">
        <w:rPr>
          <w:u w:val="single"/>
        </w:rPr>
        <w:t>Farmakokinetika a plazmában</w:t>
      </w:r>
    </w:p>
    <w:p w14:paraId="5BFE34B8" w14:textId="77777777" w:rsidR="00FC0D76" w:rsidRPr="00CC170B" w:rsidRDefault="00FC0D76" w:rsidP="00FC0D76"/>
    <w:p w14:paraId="42394B5D" w14:textId="3B238259" w:rsidR="00FC0D76" w:rsidRPr="00CC170B" w:rsidRDefault="00FC0D76" w:rsidP="00EA5561">
      <w:r w:rsidRPr="00CC170B">
        <w:t>Egészséges önkéntesek orális kezelése során a t</w:t>
      </w:r>
      <w:r w:rsidRPr="00CC170B">
        <w:rPr>
          <w:vertAlign w:val="subscript"/>
        </w:rPr>
        <w:t>1/2</w:t>
      </w:r>
      <w:r w:rsidRPr="00CC170B">
        <w:t xml:space="preserve"> körülbelül 18</w:t>
      </w:r>
      <w:r w:rsidR="00111A46">
        <w:t> </w:t>
      </w:r>
      <w:r w:rsidRPr="00CC170B">
        <w:t>óra volt, ami a</w:t>
      </w:r>
      <w:r w:rsidR="00111A46">
        <w:t xml:space="preserve"> </w:t>
      </w:r>
      <w:r w:rsidR="0087414E" w:rsidRPr="00CC170B">
        <w:t>nap</w:t>
      </w:r>
      <w:r w:rsidRPr="00CC170B">
        <w:t>i egyszeri adagolás megfelelő voltát támasztja alá. 25</w:t>
      </w:r>
      <w:r w:rsidR="00EA5561" w:rsidRPr="00EA5561">
        <w:rPr>
          <w:lang w:val="nl-NL"/>
        </w:rPr>
        <w:t>–</w:t>
      </w:r>
      <w:r w:rsidRPr="00CC170B">
        <w:t>1000 mg imatinib</w:t>
      </w:r>
      <w:r w:rsidR="00EA5561">
        <w:t>-</w:t>
      </w:r>
      <w:r w:rsidRPr="00CC170B">
        <w:t>adag orális adását követően az adag emelésével az AUC is lineárisan, dózisarányosan növekedett. Az ismétlődő adagolás az imatinib farmakokinetikáját nem változtatta meg</w:t>
      </w:r>
      <w:r w:rsidR="00C45F35">
        <w:t>;</w:t>
      </w:r>
      <w:r w:rsidRPr="00CC170B">
        <w:t xml:space="preserve"> dinamikus egyensúlyi állapotban,</w:t>
      </w:r>
      <w:r w:rsidR="00111A46">
        <w:t xml:space="preserve"> </w:t>
      </w:r>
      <w:r w:rsidR="0087414E" w:rsidRPr="00CC170B">
        <w:t>nap</w:t>
      </w:r>
      <w:r w:rsidRPr="00CC170B">
        <w:t>i egyszeri adagolás mellett az akkumuláció 1,5–2,5-szeres volt.</w:t>
      </w:r>
    </w:p>
    <w:p w14:paraId="2B0D046E" w14:textId="77777777" w:rsidR="00FC0D76" w:rsidRPr="00CC170B" w:rsidRDefault="00FC0D76" w:rsidP="00FC0D76"/>
    <w:p w14:paraId="2D6FBB0A" w14:textId="77777777" w:rsidR="00FC0D76" w:rsidRPr="00CC170B" w:rsidRDefault="00FC0D76" w:rsidP="00FC0D76">
      <w:r w:rsidRPr="00CC170B">
        <w:rPr>
          <w:u w:val="single"/>
        </w:rPr>
        <w:t>Farmakokinetika GIST-ben szenvedő betegeknél</w:t>
      </w:r>
    </w:p>
    <w:p w14:paraId="3267489F" w14:textId="77777777" w:rsidR="00FC0D76" w:rsidRPr="00CC170B" w:rsidRDefault="00FC0D76" w:rsidP="00FC0D76"/>
    <w:p w14:paraId="3F59DB5F" w14:textId="5C4C6274" w:rsidR="00FC0D76" w:rsidRPr="00CC170B" w:rsidRDefault="00FC0D76" w:rsidP="00FC0D76">
      <w:r w:rsidRPr="00CC170B">
        <w:t>Ugyanazon</w:t>
      </w:r>
      <w:r w:rsidR="0087414E" w:rsidRPr="00CC170B">
        <w:t> nap</w:t>
      </w:r>
      <w:r w:rsidRPr="00CC170B">
        <w:t>i (400 mg-os) dózis mellett a GIST-es betegeknél a dinamikus egyensúlyi állapotban mért expozíció 1,5-szerese volt a CML-ben megfigyeltnek. Az előzetes populációs farmakokinetikai adatok alapján a GIST-es betegeknél három változót (albumin- és bilirubinszint, fehérvérsejtszám) találtak, melynek szignifikás kapcsolata volt az imatinib farmakokinetikájával. Az albuminszint csökkenése a clearance (CL/f) csökkenését vonta maga után; a magasabb fehérvérsejtszám pedig a CL/f csökkenéséhez vezetett. Ezek az összefüggések azonban nem eléggé kifejezettek ahhoz, hogy dózismódosítást tegyenek indokolttá. Ebben a betegcsoportban a májmetasztázis májelégtelenséghez és csökkent metabolizmushoz vezethet.</w:t>
      </w:r>
    </w:p>
    <w:p w14:paraId="75419CA8" w14:textId="77777777" w:rsidR="00FC0D76" w:rsidRPr="00CC170B" w:rsidRDefault="00FC0D76" w:rsidP="00FC0D76"/>
    <w:p w14:paraId="7123CE5E" w14:textId="77777777" w:rsidR="00FC0D76" w:rsidRPr="00CC170B" w:rsidRDefault="00FC0D76" w:rsidP="00FC0D76">
      <w:r w:rsidRPr="00CC170B">
        <w:rPr>
          <w:u w:val="single"/>
        </w:rPr>
        <w:t>Populációs farmakokinetika</w:t>
      </w:r>
    </w:p>
    <w:p w14:paraId="05B0D760" w14:textId="77777777" w:rsidR="00FC0D76" w:rsidRPr="00CC170B" w:rsidRDefault="00FC0D76" w:rsidP="00FC0D76"/>
    <w:p w14:paraId="6C432EA7" w14:textId="7F655806" w:rsidR="00FC0D76" w:rsidRPr="00CC170B" w:rsidRDefault="00FC0D76" w:rsidP="00FC0D76">
      <w:r w:rsidRPr="00CC170B">
        <w:t>CML-es betegek körében végzett populációs farmakokinetikai vizsgálatok szerint az eloszlási térfogatot az életkor valamelyest befolyásolja (12% növekedés &gt;65</w:t>
      </w:r>
      <w:r w:rsidR="00111A46">
        <w:t> </w:t>
      </w:r>
      <w:r w:rsidRPr="00CC170B">
        <w:t xml:space="preserve">évesek körében). Ezt a különbséget nem tartják klinikailag szignifikánsnak. A testtömeg </w:t>
      </w:r>
      <w:r w:rsidR="00C45F35">
        <w:t xml:space="preserve">hatással van </w:t>
      </w:r>
      <w:r w:rsidRPr="00CC170B">
        <w:t>az imatinib clearance-é</w:t>
      </w:r>
      <w:r w:rsidR="00C45F35">
        <w:t>re:</w:t>
      </w:r>
      <w:r w:rsidRPr="00CC170B">
        <w:t xml:space="preserve"> míg egy 50 kg-os </w:t>
      </w:r>
      <w:r w:rsidR="00C45F35">
        <w:t>beteg</w:t>
      </w:r>
      <w:r w:rsidRPr="00CC170B">
        <w:t xml:space="preserve"> esetén az átlagos clearance várhatóan 8,5</w:t>
      </w:r>
      <w:r w:rsidR="00111A46">
        <w:t> </w:t>
      </w:r>
      <w:r w:rsidRPr="00CC170B">
        <w:t>l/óra, addig egy 100</w:t>
      </w:r>
      <w:r w:rsidR="00111A46">
        <w:t> </w:t>
      </w:r>
      <w:r w:rsidRPr="00CC170B">
        <w:t>kg-os testtömegű beteg esetén a clearance értéke 11,8</w:t>
      </w:r>
      <w:r w:rsidR="00111A46">
        <w:t> </w:t>
      </w:r>
      <w:r w:rsidRPr="00CC170B">
        <w:t>l/óra</w:t>
      </w:r>
      <w:r w:rsidR="00C45F35">
        <w:t xml:space="preserve"> értékre</w:t>
      </w:r>
      <w:r w:rsidRPr="00CC170B">
        <w:t xml:space="preserve"> nő. Ezek a változások azonban nem indokolják, hogy a dózist a testtömeg függvényében módosítani kelljen. A nemnek nincs hatása az imatinib kinetikájára.</w:t>
      </w:r>
    </w:p>
    <w:p w14:paraId="6861A005" w14:textId="77777777" w:rsidR="00FC0D76" w:rsidRPr="00CC170B" w:rsidRDefault="00FC0D76" w:rsidP="00FC0D76"/>
    <w:p w14:paraId="0444DAA1" w14:textId="77777777" w:rsidR="00FC0D76" w:rsidRPr="00CC170B" w:rsidRDefault="00FC0D76" w:rsidP="00FC0D76">
      <w:r w:rsidRPr="00CC170B">
        <w:rPr>
          <w:u w:val="single"/>
        </w:rPr>
        <w:t>Farmakokinetika gyermekeknél és serdülőknél</w:t>
      </w:r>
    </w:p>
    <w:p w14:paraId="6083FACC" w14:textId="77777777" w:rsidR="00FC0D76" w:rsidRPr="00CC170B" w:rsidRDefault="00FC0D76" w:rsidP="00FC0D76"/>
    <w:p w14:paraId="423959AC" w14:textId="2CFA8A91" w:rsidR="00FC0D76" w:rsidRPr="00CC170B" w:rsidRDefault="00C074E7" w:rsidP="00C074E7">
      <w:r w:rsidRPr="00C074E7">
        <w:rPr>
          <w:lang w:val="nl-NL"/>
        </w:rPr>
        <w:t xml:space="preserve">Hasonlóan a felnőtteknél tapasztaltakhoz, </w:t>
      </w:r>
      <w:r>
        <w:rPr>
          <w:lang w:val="nl-NL"/>
        </w:rPr>
        <w:t>a</w:t>
      </w:r>
      <w:r w:rsidR="007923FA">
        <w:t>z I.</w:t>
      </w:r>
      <w:r w:rsidR="00FC0D76" w:rsidRPr="00CC170B">
        <w:t xml:space="preserve"> és II. fázisú vizsgálatokban a gyermekek</w:t>
      </w:r>
      <w:r>
        <w:t>nél</w:t>
      </w:r>
      <w:r w:rsidR="00FC0D76" w:rsidRPr="00CC170B">
        <w:t xml:space="preserve"> és serdülők</w:t>
      </w:r>
      <w:r>
        <w:t>nél</w:t>
      </w:r>
      <w:r w:rsidR="00FC0D76" w:rsidRPr="00CC170B">
        <w:t xml:space="preserve"> </w:t>
      </w:r>
      <w:r w:rsidR="00FC0D76" w:rsidRPr="00CC170B">
        <w:rPr>
          <w:i/>
        </w:rPr>
        <w:t xml:space="preserve">per os </w:t>
      </w:r>
      <w:r>
        <w:t>alkalmazott</w:t>
      </w:r>
      <w:r w:rsidR="00FC0D76" w:rsidRPr="00CC170B">
        <w:t xml:space="preserve"> imatinib gyorsan felszívódott. Gyermekeknél és serdülőknél a 260, illetve 340 mg/m</w:t>
      </w:r>
      <w:r w:rsidR="00FC0D76" w:rsidRPr="00CC170B">
        <w:rPr>
          <w:vertAlign w:val="superscript"/>
        </w:rPr>
        <w:t>2</w:t>
      </w:r>
      <w:r w:rsidR="00FC0D76" w:rsidRPr="00CC170B">
        <w:t>/nap adagolás ugyanazt az expozíciót eredményezte, mint a felnőttek 400 mg</w:t>
      </w:r>
      <w:r w:rsidR="00EF3CF4">
        <w:noBreakHyphen/>
      </w:r>
      <w:r w:rsidR="00FC0D76" w:rsidRPr="00CC170B">
        <w:t>os, illetve 600 mg-os adagja. Az AUC</w:t>
      </w:r>
      <w:r w:rsidR="00FC0D76" w:rsidRPr="00CC170B">
        <w:rPr>
          <w:vertAlign w:val="subscript"/>
        </w:rPr>
        <w:t>(0-24)</w:t>
      </w:r>
      <w:r w:rsidR="00FC0D76" w:rsidRPr="00CC170B">
        <w:t>-értékeket az 1. és a 8.</w:t>
      </w:r>
      <w:r w:rsidR="0087414E" w:rsidRPr="00CC170B">
        <w:t> nap</w:t>
      </w:r>
      <w:r w:rsidR="00FC0D76" w:rsidRPr="00CC170B">
        <w:t xml:space="preserve">on összehasonlítva, </w:t>
      </w:r>
      <w:r>
        <w:t xml:space="preserve">a </w:t>
      </w:r>
      <w:r w:rsidR="00FC0D76" w:rsidRPr="00CC170B">
        <w:t>340 mg/m</w:t>
      </w:r>
      <w:r w:rsidR="00FC0D76" w:rsidRPr="00CC170B">
        <w:rPr>
          <w:vertAlign w:val="superscript"/>
        </w:rPr>
        <w:t>2</w:t>
      </w:r>
      <w:r w:rsidR="00FC0D76" w:rsidRPr="00CC170B">
        <w:t>/nap dózisú ismétlődő,</w:t>
      </w:r>
      <w:r w:rsidR="0087414E" w:rsidRPr="00CC170B">
        <w:t> nap</w:t>
      </w:r>
      <w:r w:rsidR="00FC0D76" w:rsidRPr="00CC170B">
        <w:t>i egyszeri adagolás esetén 1,7-szeres akkumulációt</w:t>
      </w:r>
      <w:r w:rsidR="00FC0D76" w:rsidRPr="00CC170B">
        <w:rPr>
          <w:spacing w:val="-8"/>
        </w:rPr>
        <w:t xml:space="preserve"> </w:t>
      </w:r>
      <w:r w:rsidR="00FC0D76" w:rsidRPr="00CC170B">
        <w:t>találtak.</w:t>
      </w:r>
    </w:p>
    <w:p w14:paraId="2D31F51A" w14:textId="77777777" w:rsidR="00FC0D76" w:rsidRPr="00CC170B" w:rsidRDefault="00FC0D76" w:rsidP="00FC0D76"/>
    <w:p w14:paraId="7094A336" w14:textId="5F63673C" w:rsidR="00FC0D76" w:rsidRPr="00CC170B" w:rsidRDefault="00FC0D76" w:rsidP="00FC0D76">
      <w:r w:rsidRPr="00CC170B">
        <w:t>A hematológiai betegségben (CML, Ph+ ALL vagy más, imatinibbel kezelt hematológiai kórképek) szenvedő gyermekek és serdülők összesített populációs farmakokinetikai analízise alapján az imatinib clearance-e a testfelszínnel együtt nő. A testfelszín hatásának korrekciója után más demográfiai jellemzők, mint például az életkor, a testtömeg és a testtömegindex nem voltak klinikailag jelentős hatással az imatinib expozíciójára. Az analízis megerősítette, hogy gyermekek és serdülők</w:t>
      </w:r>
      <w:r w:rsidR="00C074E7">
        <w:t xml:space="preserve"> esetén a</w:t>
      </w:r>
      <w:r w:rsidR="00EF3CF4">
        <w:t xml:space="preserve"> </w:t>
      </w:r>
      <w:r w:rsidR="0087414E" w:rsidRPr="00CC170B">
        <w:t>nap</w:t>
      </w:r>
      <w:r w:rsidRPr="00CC170B">
        <w:t>onta egyszer adott 260 mg/m</w:t>
      </w:r>
      <w:r w:rsidRPr="00CC170B">
        <w:rPr>
          <w:vertAlign w:val="superscript"/>
        </w:rPr>
        <w:t>2</w:t>
      </w:r>
      <w:r w:rsidRPr="00CC170B">
        <w:t>-es (a</w:t>
      </w:r>
      <w:r w:rsidR="0087414E" w:rsidRPr="00CC170B">
        <w:t> nap</w:t>
      </w:r>
      <w:r w:rsidRPr="00CC170B">
        <w:t>i egyszeri 400 mg-ot nem meghaladó) vagy a</w:t>
      </w:r>
      <w:r w:rsidR="00EF3CF4">
        <w:t xml:space="preserve"> </w:t>
      </w:r>
      <w:r w:rsidR="0087414E" w:rsidRPr="00CC170B">
        <w:t>nap</w:t>
      </w:r>
      <w:r w:rsidRPr="00CC170B">
        <w:t>onta egyszer adott 340 mg/m</w:t>
      </w:r>
      <w:r w:rsidRPr="00CC170B">
        <w:rPr>
          <w:vertAlign w:val="superscript"/>
        </w:rPr>
        <w:t>2</w:t>
      </w:r>
      <w:r w:rsidRPr="00CC170B">
        <w:t>-es (a</w:t>
      </w:r>
      <w:r w:rsidR="0087414E" w:rsidRPr="00CC170B">
        <w:t> nap</w:t>
      </w:r>
      <w:r w:rsidRPr="00CC170B">
        <w:t>i egyszeri 600 mg-ot nem meghaladó) dózis esetén a</w:t>
      </w:r>
      <w:r w:rsidR="00C074E7">
        <w:t>z</w:t>
      </w:r>
      <w:r w:rsidRPr="00CC170B">
        <w:t xml:space="preserve"> imatinib-</w:t>
      </w:r>
      <w:r w:rsidRPr="00CC170B">
        <w:lastRenderedPageBreak/>
        <w:t>expozíció azokéhoz a felnőtt betegekéhez volt hasonló, akik</w:t>
      </w:r>
      <w:r w:rsidR="0087414E" w:rsidRPr="00CC170B">
        <w:t> nap</w:t>
      </w:r>
      <w:r w:rsidRPr="00CC170B">
        <w:t>onta egyszer 400 mg vagy 600 mg imatinibet</w:t>
      </w:r>
      <w:r w:rsidRPr="00CC170B">
        <w:rPr>
          <w:spacing w:val="-1"/>
        </w:rPr>
        <w:t xml:space="preserve"> </w:t>
      </w:r>
      <w:r w:rsidRPr="00CC170B">
        <w:t>kaptak.</w:t>
      </w:r>
    </w:p>
    <w:p w14:paraId="1146345F" w14:textId="77777777" w:rsidR="00FC0D76" w:rsidRPr="00CC170B" w:rsidRDefault="00FC0D76" w:rsidP="00FC0D76"/>
    <w:p w14:paraId="4D53EDC3" w14:textId="77777777" w:rsidR="00FC0D76" w:rsidRPr="00CC170B" w:rsidRDefault="00FC0D76" w:rsidP="00FC0D76">
      <w:r w:rsidRPr="00CC170B">
        <w:rPr>
          <w:u w:val="single"/>
        </w:rPr>
        <w:t>Károsodott</w:t>
      </w:r>
      <w:r w:rsidRPr="00CC170B">
        <w:rPr>
          <w:spacing w:val="-13"/>
          <w:u w:val="single"/>
        </w:rPr>
        <w:t xml:space="preserve"> </w:t>
      </w:r>
      <w:r w:rsidRPr="00CC170B">
        <w:rPr>
          <w:u w:val="single"/>
        </w:rPr>
        <w:t>szervműködés</w:t>
      </w:r>
    </w:p>
    <w:p w14:paraId="27D53618" w14:textId="77777777" w:rsidR="00FC0D76" w:rsidRPr="00CC170B" w:rsidRDefault="00FC0D76" w:rsidP="00FC0D76"/>
    <w:p w14:paraId="5A80CD4B" w14:textId="037C6302" w:rsidR="00FC0D76" w:rsidRPr="00CC170B" w:rsidRDefault="00FC0D76" w:rsidP="00FC0D76">
      <w:r w:rsidRPr="00CC170B">
        <w:t>Az imatinib és metabolitjai nem ürülnek jelentős mértékben a vesén át. Az enyhe vagy közepesen súlyos vesekárosodásban szenvedő betegeknél a plazmaexpozíció mértéke</w:t>
      </w:r>
      <w:r w:rsidR="00C074E7" w:rsidRPr="00CC170B">
        <w:t xml:space="preserve"> magasabbnak tűnik</w:t>
      </w:r>
      <w:r w:rsidRPr="00CC170B">
        <w:t>, mint a normális vesefunkciójú betegek esetében. A növekedés körülbelül 1,5-2-szeres, ami a plazma</w:t>
      </w:r>
      <w:r w:rsidR="00EF3CF4">
        <w:t xml:space="preserve"> </w:t>
      </w:r>
      <w:r w:rsidRPr="00CC170B">
        <w:t>AGP</w:t>
      </w:r>
      <w:r w:rsidR="00EF3CF4">
        <w:noBreakHyphen/>
      </w:r>
      <w:r w:rsidRPr="00CC170B">
        <w:t>szint 1,5-szeres emelkedésének felel meg (az imatinib erősen kötődik az AGP-hez). A nem kötött imatinib clearance-e valószínűleg hasonló a vesekárosodásban szenvedő és a normális vesefunkciójú betegek esetében, mivel a renalis kiválasztás csak kismértékben játszik szerepet az imatinib eliminációjában (lásd 4.2 és 4.4 pont).</w:t>
      </w:r>
    </w:p>
    <w:p w14:paraId="1A509230" w14:textId="77777777" w:rsidR="00FC0D76" w:rsidRPr="00CC170B" w:rsidRDefault="00FC0D76" w:rsidP="00FC0D76"/>
    <w:p w14:paraId="77938115" w14:textId="64058628" w:rsidR="00FC0D76" w:rsidRPr="00CC170B" w:rsidRDefault="00FC0D76" w:rsidP="00FC0D76">
      <w:r w:rsidRPr="00CC170B">
        <w:t>Bár a farmakokinetikai elemzések eredményei azt mutatták, hogy számottevő az egyének közötti variabilitás, az átlagos imatinib-expozíció – a normális májműködésű betegekhez viszonyítva – nem fokozódott a különböző mértékű májkárosodásban szenvedő betegek esetében (lásd 4.2, 4.4 és</w:t>
      </w:r>
      <w:r w:rsidR="00224770" w:rsidRPr="00CC170B">
        <w:t xml:space="preserve"> </w:t>
      </w:r>
      <w:r w:rsidRPr="00CC170B">
        <w:t>4.8 pont).</w:t>
      </w:r>
    </w:p>
    <w:p w14:paraId="70CC01B4" w14:textId="77777777" w:rsidR="00FC0D76" w:rsidRPr="00CC170B" w:rsidRDefault="00FC0D76" w:rsidP="00FC0D76"/>
    <w:p w14:paraId="5D6A58FD" w14:textId="77777777" w:rsidR="00FC0D76" w:rsidRPr="00614FC0" w:rsidRDefault="00FC0D76" w:rsidP="00614FC0">
      <w:pPr>
        <w:tabs>
          <w:tab w:val="left" w:pos="567"/>
        </w:tabs>
        <w:rPr>
          <w:b/>
          <w:bCs/>
        </w:rPr>
      </w:pPr>
      <w:r w:rsidRPr="00614FC0">
        <w:rPr>
          <w:b/>
          <w:bCs/>
        </w:rPr>
        <w:t>5.3</w:t>
      </w:r>
      <w:r w:rsidRPr="00614FC0">
        <w:rPr>
          <w:b/>
          <w:bCs/>
        </w:rPr>
        <w:tab/>
        <w:t>A preklinikai biztonságossági vizsgálatok</w:t>
      </w:r>
      <w:r w:rsidRPr="00614FC0">
        <w:rPr>
          <w:b/>
          <w:bCs/>
          <w:spacing w:val="-4"/>
        </w:rPr>
        <w:t xml:space="preserve"> </w:t>
      </w:r>
      <w:r w:rsidRPr="00614FC0">
        <w:rPr>
          <w:b/>
          <w:bCs/>
        </w:rPr>
        <w:t>eredményei</w:t>
      </w:r>
    </w:p>
    <w:p w14:paraId="53E4D2D4" w14:textId="77777777" w:rsidR="00FC0D76" w:rsidRPr="00CC170B" w:rsidRDefault="00FC0D76" w:rsidP="00FC0D76">
      <w:pPr>
        <w:rPr>
          <w:b/>
        </w:rPr>
      </w:pPr>
    </w:p>
    <w:p w14:paraId="0C78DE98" w14:textId="77777777" w:rsidR="00FC0D76" w:rsidRPr="00CC170B" w:rsidRDefault="00FC0D76" w:rsidP="00FC0D76">
      <w:r w:rsidRPr="00CC170B">
        <w:t>Az imatinib preklinikai biztonságossági profilját patkányoknál, kutyáknál, majmoknál és nyulaknál vizsgálták.</w:t>
      </w:r>
    </w:p>
    <w:p w14:paraId="14001CF3" w14:textId="77777777" w:rsidR="00FC0D76" w:rsidRPr="00CC170B" w:rsidRDefault="00FC0D76" w:rsidP="00FC0D76"/>
    <w:p w14:paraId="636364CD" w14:textId="77777777" w:rsidR="00FC0D76" w:rsidRPr="00CC170B" w:rsidRDefault="00FC0D76" w:rsidP="00FC0D76">
      <w:r w:rsidRPr="00CC170B">
        <w:t>Ismételt adagolású dózistoxicitási vizsgálatok enyhe vagy közepesen súlyos fokú hematológiai elváltozást mutattak patkányoknál, kutyáknál és majmoknál, amit csontvelőeltérés kísért patkányok és kutyák esetében.</w:t>
      </w:r>
    </w:p>
    <w:p w14:paraId="771EF418" w14:textId="77777777" w:rsidR="00FC0D76" w:rsidRPr="00CC170B" w:rsidRDefault="00FC0D76" w:rsidP="00FC0D76"/>
    <w:p w14:paraId="798744EF" w14:textId="55EF0104" w:rsidR="00FC0D76" w:rsidRPr="00CC170B" w:rsidRDefault="00FC0D76" w:rsidP="00FC0D76">
      <w:r w:rsidRPr="00CC170B">
        <w:t>Patkányoknál és kutyáknál a célszerv a máj volt. Mindkét fajnál enyhe vagy közepes mértékű transzaminázszint-emelkedést és csekély mértékű koleszterin-, triglicerid-, összfehérje- és albuminszint-csökkenést figyeltek meg. Patkányok májában hisztopatológiai eltérést nem észleltek. Két hétig kezelt kutyáknál súlyos májtoxicitást észleltek, emelkedett májenzimszint-értékekkel, hepatocellularis necrosissal, epeútnecrosissal és epeút</w:t>
      </w:r>
      <w:r w:rsidR="00C074E7">
        <w:t xml:space="preserve">i </w:t>
      </w:r>
      <w:r w:rsidRPr="00CC170B">
        <w:t>hyperplasiával.</w:t>
      </w:r>
    </w:p>
    <w:p w14:paraId="556C8DB8" w14:textId="77777777" w:rsidR="00FC0D76" w:rsidRPr="00CC170B" w:rsidRDefault="00FC0D76" w:rsidP="00FC0D76"/>
    <w:p w14:paraId="2ED90E26" w14:textId="4D06E69F" w:rsidR="00FC0D76" w:rsidRPr="00CC170B" w:rsidRDefault="00FC0D76" w:rsidP="00FC0D76">
      <w:r w:rsidRPr="00CC170B">
        <w:t>Két hétig kezelt majmoknál vesetoxicitást észleltek, a vesetubulusok focalis mineralisatiójával és dilatatiójával, valamint tubularis nephrosissal. Ezek közül több majomnál megnövekedett</w:t>
      </w:r>
      <w:r w:rsidR="00224770" w:rsidRPr="00CC170B">
        <w:t xml:space="preserve"> </w:t>
      </w:r>
      <w:r w:rsidRPr="00CC170B">
        <w:t>karbamid-nitrogén (BUN) és kreatininszint volt észlelhető a vérben. Patkányok esetében, a 13</w:t>
      </w:r>
      <w:r w:rsidR="00614FC0">
        <w:t> </w:t>
      </w:r>
      <w:r w:rsidRPr="00CC170B">
        <w:t xml:space="preserve">hetes vizsgálatban, </w:t>
      </w:r>
      <w:r w:rsidRPr="00CC170B">
        <w:rPr>
          <w:rFonts w:ascii="Symbol" w:hAnsi="Symbol"/>
        </w:rPr>
        <w:t></w:t>
      </w:r>
      <w:r w:rsidRPr="00CC170B">
        <w:t>6 mg/ttkg dózisok alkalmazása mellett a vesepapilla és a húgyhólyag transitionalis epitheliumának hyperplasiáját észlelték, szérum-, illetve vizeleteltérés nélkül. Krónikus</w:t>
      </w:r>
      <w:r w:rsidR="00614FC0">
        <w:t xml:space="preserve"> </w:t>
      </w:r>
      <w:r w:rsidRPr="00CC170B">
        <w:t>imatinib-kezeléskor az opportunista fertőzések gyakoribb előfordulását figyelték meg.</w:t>
      </w:r>
    </w:p>
    <w:p w14:paraId="5800A16B" w14:textId="77777777" w:rsidR="00FC0D76" w:rsidRPr="00CC170B" w:rsidRDefault="00FC0D76" w:rsidP="00FC0D76"/>
    <w:p w14:paraId="2B3D6901" w14:textId="14E1BA2E" w:rsidR="00FC0D76" w:rsidRPr="00CC170B" w:rsidRDefault="00FC0D76" w:rsidP="00FC0D76">
      <w:r w:rsidRPr="00CC170B">
        <w:t>Egy 39</w:t>
      </w:r>
      <w:r w:rsidR="00310BD2">
        <w:t> </w:t>
      </w:r>
      <w:r w:rsidRPr="00CC170B">
        <w:t>hetes, majmokkal végzett vizsgálatban, a leg</w:t>
      </w:r>
      <w:r w:rsidR="00C074E7">
        <w:t>kisebb,</w:t>
      </w:r>
      <w:r w:rsidRPr="00CC170B">
        <w:t xml:space="preserve"> 15 mg/ttkg dózis – körülbelül egyharmada a testfelszínre számított maximális, 800 mg-os humán dózisnak – alkalmazása mellett nem állapították meg a mellékhatásmentes dózist (</w:t>
      </w:r>
      <w:r w:rsidRPr="00931686">
        <w:rPr>
          <w:i/>
        </w:rPr>
        <w:t>no observed adverse effect level</w:t>
      </w:r>
      <w:r w:rsidRPr="00310BD2">
        <w:rPr>
          <w:iCs/>
        </w:rPr>
        <w:t>,</w:t>
      </w:r>
      <w:r w:rsidRPr="00CC170B">
        <w:t xml:space="preserve"> NOAEL). Ezeknél az állatoknál a kezelés a normális esetben szupprimált maláriás infectio rosszabbodását </w:t>
      </w:r>
      <w:r w:rsidR="00C074E7">
        <w:t>váltotta ki</w:t>
      </w:r>
      <w:r w:rsidRPr="00CC170B">
        <w:t>.</w:t>
      </w:r>
    </w:p>
    <w:p w14:paraId="6DF20AC0" w14:textId="77777777" w:rsidR="00FC0D76" w:rsidRPr="00CC170B" w:rsidRDefault="00FC0D76" w:rsidP="00FC0D76"/>
    <w:p w14:paraId="79935B36" w14:textId="2ECD3CE4" w:rsidR="00FC0D76" w:rsidRPr="00CC170B" w:rsidRDefault="00FC0D76" w:rsidP="00FC0D76">
      <w:r w:rsidRPr="00CC170B">
        <w:t xml:space="preserve">Az imatinib nem bizonyult genotoxikusnak </w:t>
      </w:r>
      <w:r w:rsidRPr="00CC170B">
        <w:rPr>
          <w:i/>
        </w:rPr>
        <w:t xml:space="preserve">in vitro </w:t>
      </w:r>
      <w:r w:rsidRPr="00CC170B">
        <w:t xml:space="preserve">baktériumsejt-assayben (Ames-teszt), </w:t>
      </w:r>
      <w:r w:rsidRPr="00CC170B">
        <w:rPr>
          <w:i/>
        </w:rPr>
        <w:t xml:space="preserve">in vitro </w:t>
      </w:r>
      <w:r w:rsidRPr="00CC170B">
        <w:t>emlőssejt</w:t>
      </w:r>
      <w:r w:rsidR="00C074E7">
        <w:t>-</w:t>
      </w:r>
      <w:r w:rsidRPr="00CC170B">
        <w:t xml:space="preserve">tesztben (egér lymphoma) és </w:t>
      </w:r>
      <w:r w:rsidRPr="00CC170B">
        <w:rPr>
          <w:i/>
        </w:rPr>
        <w:t xml:space="preserve">in vivo </w:t>
      </w:r>
      <w:r w:rsidRPr="00CC170B">
        <w:t xml:space="preserve">patkány micronucleus-tesztben. Pozitív genotoxikus hatást figyeltek meg egy </w:t>
      </w:r>
      <w:r w:rsidRPr="00CC170B">
        <w:rPr>
          <w:i/>
        </w:rPr>
        <w:t xml:space="preserve">in vitro </w:t>
      </w:r>
      <w:r w:rsidRPr="00CC170B">
        <w:t xml:space="preserve">emlőssejt-assayben (kínai hörcsög ovarium) </w:t>
      </w:r>
      <w:r w:rsidR="00C074E7">
        <w:t>k</w:t>
      </w:r>
      <w:r w:rsidRPr="00CC170B">
        <w:t>las</w:t>
      </w:r>
      <w:r w:rsidR="00C074E7">
        <w:t>z</w:t>
      </w:r>
      <w:r w:rsidRPr="00CC170B">
        <w:t>togenicitást tekintve (</w:t>
      </w:r>
      <w:r w:rsidR="00C074E7">
        <w:t>kromoszóma-</w:t>
      </w:r>
      <w:r w:rsidRPr="00CC170B">
        <w:t>aberratio) metabolikus aktiváció fennállásakor. A gyártási folyamat két közbenső vegyülete – ami a végtermékben is jelen van – az Ames-féle mutagenitási tesztben pozitív eredményt adott. A közbenső vegyületek egyike egér lymphoma-tesztben is pozitív eredményt adott.</w:t>
      </w:r>
    </w:p>
    <w:p w14:paraId="251F2360" w14:textId="77777777" w:rsidR="00FC0D76" w:rsidRPr="00CC170B" w:rsidRDefault="00FC0D76" w:rsidP="00FC0D76"/>
    <w:p w14:paraId="3AFCEAA8" w14:textId="7A498B7E" w:rsidR="00FC0D76" w:rsidRPr="00CC170B" w:rsidRDefault="00FC0D76" w:rsidP="00FC0D76">
      <w:r w:rsidRPr="00CC170B">
        <w:t>Egy fertilitási vizsgálatban hím patkányoknál a párosodást megelőző 70</w:t>
      </w:r>
      <w:r w:rsidR="0087414E" w:rsidRPr="00CC170B">
        <w:t> nap</w:t>
      </w:r>
      <w:r w:rsidRPr="00CC170B">
        <w:t xml:space="preserve">ban adott 60 mg/ttkg dózis alkalmazásakor, ami körülbelül megfelel a testfelszínre számított 800 mg/nap maximális klinikai dózisnak, a testicularis és epididymalis tömeg, valamint a mozgó spermiumok arányának csökkenését észlelték. Mindez ≤20 mg/ttkg alkalmazott dózisban nem volt megfigyelhető. Kutyáknál </w:t>
      </w:r>
      <w:r w:rsidRPr="00CC170B">
        <w:rPr>
          <w:rFonts w:ascii="Symbol" w:hAnsi="Symbol"/>
        </w:rPr>
        <w:t></w:t>
      </w:r>
      <w:r w:rsidR="00614FC0" w:rsidRPr="00CC170B">
        <w:t> </w:t>
      </w:r>
      <w:r w:rsidRPr="00CC170B">
        <w:t>30 mg/ttkg orális dózis mellett a spermatogenesis e</w:t>
      </w:r>
      <w:r w:rsidR="00C55E12">
        <w:t>n</w:t>
      </w:r>
      <w:r w:rsidRPr="00CC170B">
        <w:t xml:space="preserve">yhe vagy közepes fokú csökkenését figyelték meg. Amikor </w:t>
      </w:r>
      <w:r w:rsidRPr="00CC170B">
        <w:lastRenderedPageBreak/>
        <w:t xml:space="preserve">nőstény patkányokat </w:t>
      </w:r>
      <w:r w:rsidR="00C55E12" w:rsidRPr="00CC170B">
        <w:t xml:space="preserve">kezeltek </w:t>
      </w:r>
      <w:r w:rsidRPr="00CC170B">
        <w:t>a párosodást megelőző 14.</w:t>
      </w:r>
      <w:r w:rsidR="0087414E" w:rsidRPr="00CC170B">
        <w:t> nap</w:t>
      </w:r>
      <w:r w:rsidRPr="00CC170B">
        <w:t>tól a 6. gesztációs</w:t>
      </w:r>
      <w:r w:rsidR="0087414E" w:rsidRPr="00CC170B">
        <w:t> nap</w:t>
      </w:r>
      <w:r w:rsidRPr="00CC170B">
        <w:t>ig, az nem volt hatással sem a párosodásra, sem a vemhessé vált patkányok számára. Nőstény patkányoknál</w:t>
      </w:r>
      <w:r w:rsidR="00614FC0">
        <w:t xml:space="preserve"> </w:t>
      </w:r>
      <w:r w:rsidRPr="00CC170B">
        <w:t>60 mg/ttkg dózis szignifikáns mértékben fokozta a postimplantatiós spontán vetélés előfordulását, és csökkentette az élő foetusok számát, amit ≤20 mg/ttkg dózisok esetén nem tapasztaltak.</w:t>
      </w:r>
    </w:p>
    <w:p w14:paraId="13C30E45" w14:textId="77777777" w:rsidR="00FC0D76" w:rsidRPr="00CC170B" w:rsidRDefault="00FC0D76" w:rsidP="00FC0D76"/>
    <w:p w14:paraId="3D071B5F" w14:textId="0D1B10F8" w:rsidR="00FC0D76" w:rsidRPr="00CC170B" w:rsidRDefault="00FC0D76" w:rsidP="00FC0D76">
      <w:r w:rsidRPr="00CC170B">
        <w:t>Egy patkányokkal végzett orális pre-, illetve postnatalis fejlődési vizsgálatban vörös hüvelyi folyás mutatkozott a 14., illetve a 15. gesztációs</w:t>
      </w:r>
      <w:r w:rsidR="0087414E" w:rsidRPr="00CC170B">
        <w:t> nap</w:t>
      </w:r>
      <w:r w:rsidRPr="00CC170B">
        <w:t>on a 45 mg/ttkg/nap adagot kapó csoportban. Ugyanezen adag mellett a halvaszületési arány és az ellést követő első négy</w:t>
      </w:r>
      <w:r w:rsidR="00310BD2">
        <w:t xml:space="preserve"> </w:t>
      </w:r>
      <w:r w:rsidR="0087414E" w:rsidRPr="00CC170B">
        <w:t>nap</w:t>
      </w:r>
      <w:r w:rsidRPr="00CC170B">
        <w:t>ban bekövetkező halálozási arány megnövekedett. Az F</w:t>
      </w:r>
      <w:r w:rsidRPr="00CC170B">
        <w:rPr>
          <w:vertAlign w:val="subscript"/>
        </w:rPr>
        <w:t>1</w:t>
      </w:r>
      <w:r w:rsidRPr="00CC170B">
        <w:t xml:space="preserve"> utódok esetében – ugyanezen adag mellett – kisebb volt az átlagos testtömeg a születéstől elhullásukig, és a praeputialis elkülönítést szükségessé tevő alomszám némileg csökkent. Bár az F</w:t>
      </w:r>
      <w:r w:rsidRPr="00CC170B">
        <w:rPr>
          <w:vertAlign w:val="subscript"/>
        </w:rPr>
        <w:t>1</w:t>
      </w:r>
      <w:r w:rsidRPr="00CC170B">
        <w:t xml:space="preserve"> utódok fertilitása nem csökkent, a 45 mg/ttkg</w:t>
      </w:r>
      <w:r w:rsidR="00614FC0">
        <w:t xml:space="preserve"> </w:t>
      </w:r>
      <w:r w:rsidR="0087414E" w:rsidRPr="00CC170B">
        <w:t>nap</w:t>
      </w:r>
      <w:r w:rsidRPr="00CC170B">
        <w:t xml:space="preserve"> adag mellett nagyobb számú volt az intrauterin felszívódás, és kisebb számú az életképes foetusok száma. Az anyaállatra és az F</w:t>
      </w:r>
      <w:r w:rsidRPr="00CC170B">
        <w:rPr>
          <w:vertAlign w:val="subscript"/>
        </w:rPr>
        <w:t>1</w:t>
      </w:r>
      <w:r w:rsidRPr="00CC170B">
        <w:t xml:space="preserve"> generációra a hatásmentes dózis (</w:t>
      </w:r>
      <w:r w:rsidRPr="00931686">
        <w:rPr>
          <w:i/>
        </w:rPr>
        <w:t>no observed effect level</w:t>
      </w:r>
      <w:r w:rsidRPr="00CC170B">
        <w:t>, NOEL) értéke 15 mg/ttkg/nap volt, ami a 800 mg maximális humán adag negyedének felel meg.</w:t>
      </w:r>
    </w:p>
    <w:p w14:paraId="54B1EF17" w14:textId="77777777" w:rsidR="00FC0D76" w:rsidRPr="00CC170B" w:rsidRDefault="00FC0D76" w:rsidP="00FC0D76"/>
    <w:p w14:paraId="0BBCD854" w14:textId="0C9757F6" w:rsidR="00FC0D76" w:rsidRPr="00CC170B" w:rsidRDefault="00FC0D76" w:rsidP="00FC0D76">
      <w:r w:rsidRPr="00CC170B">
        <w:t xml:space="preserve">Patkányoknál az organogenezis ideje alatt alkalmazott </w:t>
      </w:r>
      <w:r w:rsidRPr="00CC170B">
        <w:rPr>
          <w:rFonts w:ascii="Symbol" w:hAnsi="Symbol"/>
        </w:rPr>
        <w:t></w:t>
      </w:r>
      <w:r w:rsidRPr="00CC170B">
        <w:t>100 mg/ttkg (ami körülbelül a testfelszínre számított 800 mg/nap maximális humán klinikai dózisnak felel meg) imatinib-adag teratogénnek bizonyult. A teratogén hatások közé tartozott az exencephalia vagy encephalo</w:t>
      </w:r>
      <w:r w:rsidR="00C55E12">
        <w:t>k</w:t>
      </w:r>
      <w:r w:rsidRPr="00CC170B">
        <w:t>ele, a frontalis csontok hiánya / hiányos kifejlődése és a partietalis csontok hiánya. Ezek a hatások nem voltak észlelhetők</w:t>
      </w:r>
      <w:r w:rsidR="00614FC0">
        <w:t xml:space="preserve"> </w:t>
      </w:r>
      <w:r w:rsidRPr="00CC170B">
        <w:t>≤30 mg/ttkg adagoknál.</w:t>
      </w:r>
    </w:p>
    <w:p w14:paraId="66C3C0B7" w14:textId="77777777" w:rsidR="00FC0D76" w:rsidRPr="00CC170B" w:rsidRDefault="00FC0D76" w:rsidP="00FC0D76"/>
    <w:p w14:paraId="7EC52124" w14:textId="607CD98B" w:rsidR="00FC0D76" w:rsidRPr="00CC170B" w:rsidRDefault="00FC0D76" w:rsidP="00FC0D76">
      <w:r w:rsidRPr="00CC170B">
        <w:t>A fiatal patkányokkal végzett fejlődési toxikológiai vizsgálatban (az ellés utáni 10. és 70.</w:t>
      </w:r>
      <w:r w:rsidR="0087414E" w:rsidRPr="00CC170B">
        <w:t> nap</w:t>
      </w:r>
      <w:r w:rsidRPr="00CC170B">
        <w:t xml:space="preserve">on) a </w:t>
      </w:r>
      <w:r w:rsidR="00C55E12">
        <w:t>kifejlett</w:t>
      </w:r>
      <w:r w:rsidRPr="00CC170B">
        <w:t xml:space="preserve"> patkányoknál már ismert célszervekhez képest nem azonosítottak új célszerveket. A juvenilis toxikológiai vizsgálatban a legnagyobb ajánlott 340 mg/m</w:t>
      </w:r>
      <w:r w:rsidRPr="00CC170B">
        <w:rPr>
          <w:vertAlign w:val="superscript"/>
        </w:rPr>
        <w:t>2</w:t>
      </w:r>
      <w:r w:rsidRPr="00CC170B">
        <w:t>-es dózis mellett, amely az átlagos gyermekgyógyászati expozíció 0,3–2-szerese, a növekedésre gyakorolt hatásokat, a vagina késői megnyílását és a makk-fityma késői elválását észlelték. Ezen kívül, fiatal állatoknál a</w:t>
      </w:r>
      <w:r w:rsidR="00C55E12">
        <w:t>z ajánlott</w:t>
      </w:r>
      <w:r w:rsidRPr="00CC170B">
        <w:t xml:space="preserve"> 340 mg/m</w:t>
      </w:r>
      <w:r w:rsidRPr="00CC170B">
        <w:rPr>
          <w:vertAlign w:val="superscript"/>
        </w:rPr>
        <w:t>2</w:t>
      </w:r>
      <w:r w:rsidRPr="00CC170B">
        <w:t xml:space="preserve">-es </w:t>
      </w:r>
      <w:r w:rsidR="00C55E12">
        <w:t xml:space="preserve">legnagyobb </w:t>
      </w:r>
      <w:r w:rsidRPr="00CC170B">
        <w:t>dózis mellett, amely az átlagos gyermekgyógyászati expozíció 2-szerese, mortalitást is megfigyeltek (az elválasztás ideje körül).</w:t>
      </w:r>
    </w:p>
    <w:p w14:paraId="6B955B29" w14:textId="77777777" w:rsidR="00FC0D76" w:rsidRPr="00CC170B" w:rsidRDefault="00FC0D76" w:rsidP="00FC0D76"/>
    <w:p w14:paraId="5BD7221D" w14:textId="4CFE80AA" w:rsidR="00FC0D76" w:rsidRPr="00CC170B" w:rsidRDefault="00FC0D76" w:rsidP="00FC0D76">
      <w:r w:rsidRPr="00CC170B">
        <w:t>A patkányokkal végzett 2</w:t>
      </w:r>
      <w:r w:rsidR="00614FC0">
        <w:t> </w:t>
      </w:r>
      <w:r w:rsidRPr="00CC170B">
        <w:t>éves karcinogenitási vizsgálatban 15, 30 és 60 mg/ttkg/nap imatinib adása az élettartam statisztikailag szignifikáns csökkenésé</w:t>
      </w:r>
      <w:r w:rsidR="00C55E12">
        <w:t>hez vezetett</w:t>
      </w:r>
      <w:r w:rsidRPr="00CC170B">
        <w:t xml:space="preserve">: hímek esetében 60 mg/ttkg/nap, nőstények esetében </w:t>
      </w:r>
      <w:r w:rsidRPr="00CC170B">
        <w:rPr>
          <w:rFonts w:ascii="Symbol" w:hAnsi="Symbol"/>
        </w:rPr>
        <w:t></w:t>
      </w:r>
      <w:r w:rsidRPr="00CC170B">
        <w:t xml:space="preserve">30 mg/ttkg/nap adag mellett. Az elpusztult egyedek hisztopatológiai vizsgálata során kimutatták, hogy az elhullás és az el nem pusztult egyedek </w:t>
      </w:r>
      <w:r w:rsidR="000340C8">
        <w:t>elaltatásának</w:t>
      </w:r>
      <w:r w:rsidRPr="00CC170B">
        <w:t xml:space="preserve"> oka elsősorban a cardiomyopathia (mindkét nem esetében), a krónikus progresszív nephropathia (nőstények esetében) és a praeputium-mirigy papilloma volt. A daganatos elváltozások a vesét, a húgyhólyagot, a húgycsövet, a praeputium- és clitoris-mirigyeket, a vékonybelet, a mellékpajzsmirigyet, a mellékvesét és a nem mirigyes gyomrot érintették.</w:t>
      </w:r>
    </w:p>
    <w:p w14:paraId="674493DD" w14:textId="77777777" w:rsidR="00FC0D76" w:rsidRPr="00CC170B" w:rsidRDefault="00FC0D76" w:rsidP="00FC0D76"/>
    <w:p w14:paraId="4CE9839D" w14:textId="37833C49" w:rsidR="00FC0D76" w:rsidRPr="00CC170B" w:rsidRDefault="00FC0D76" w:rsidP="00FC0D76">
      <w:r w:rsidRPr="00CC170B">
        <w:t>Praeputium- és clitorismirigy-papillomák/-carcinomák kialakulását 30 mg/ttkg/nap dózistól kezdődően észlelték, amely megfelel a 400 mg/nap humán expozíció (AUC-n alapuló) körülbelül 0,5-szeresének, vagy a 800 mg/nap humán expozíció (AUC-n alapuló) körülbelül 0,3-szeresának, illetve gyermekeknél és serdülőknél a 340 mg/m</w:t>
      </w:r>
      <w:r w:rsidRPr="00CC170B">
        <w:rPr>
          <w:vertAlign w:val="superscript"/>
        </w:rPr>
        <w:t>2</w:t>
      </w:r>
      <w:r w:rsidRPr="00CC170B">
        <w:t>/nap expozíció (AUC-n alapuló) 0,4</w:t>
      </w:r>
      <w:r w:rsidR="000340C8">
        <w:t>-</w:t>
      </w:r>
      <w:r w:rsidRPr="00CC170B">
        <w:t>szeresének. A hatásmentes dózis (NOEL) 15 mg/ttkg/nap volt. Veseadenomát/-carcinomát, húgyhólyag- és húgycsőpapillomát, vékonybél-adenocarcinomát, mellékpajzsmirigy-adenomát, jó- és rosszindulatú medull</w:t>
      </w:r>
      <w:r w:rsidR="000340C8">
        <w:t>a</w:t>
      </w:r>
      <w:r w:rsidRPr="00CC170B">
        <w:t>ris mellékvese</w:t>
      </w:r>
      <w:r w:rsidR="000340C8">
        <w:t>-</w:t>
      </w:r>
      <w:r w:rsidRPr="00CC170B">
        <w:t>adenomát, valamint nem mirigyes gyomorpapillomát/-carcinomát figyeltek meg 60 mg/ttkg/nap dózisnál, amely megfelel a 400 vagy 800 mg/nap humán expozíció (AUC-n alapuló) körülbelül 1,7- vagy 1-szeresének, illetve gyermekeknél és serdülőknél a 340 mg/m</w:t>
      </w:r>
      <w:r w:rsidRPr="00CC170B">
        <w:rPr>
          <w:vertAlign w:val="superscript"/>
        </w:rPr>
        <w:t>2</w:t>
      </w:r>
      <w:r w:rsidRPr="00CC170B">
        <w:t>/nap expozíció (AUC-n alapuló) 1,2-szeresének. A hatásmentes dózis (NOEL) 30 mg/ttkg/nap</w:t>
      </w:r>
      <w:r w:rsidRPr="00CC170B">
        <w:rPr>
          <w:spacing w:val="-5"/>
        </w:rPr>
        <w:t xml:space="preserve"> </w:t>
      </w:r>
      <w:r w:rsidRPr="00CC170B">
        <w:t>volt.</w:t>
      </w:r>
    </w:p>
    <w:p w14:paraId="356B0151" w14:textId="77777777" w:rsidR="00FC0D76" w:rsidRPr="00CC170B" w:rsidRDefault="00FC0D76" w:rsidP="00FC0D76"/>
    <w:p w14:paraId="5699A9F9" w14:textId="4BF32F12" w:rsidR="00FC0D76" w:rsidRPr="00CC170B" w:rsidRDefault="00FC0D76" w:rsidP="00FC0D76">
      <w:r w:rsidRPr="00CC170B">
        <w:t>Még nem tisztázott, hogy a patkány karcinogenitási vizsgálat megállapításainak jelentősége, illetve</w:t>
      </w:r>
      <w:r w:rsidR="00224770" w:rsidRPr="00CC170B">
        <w:t xml:space="preserve"> </w:t>
      </w:r>
      <w:r w:rsidRPr="00CC170B">
        <w:t>ezek mechanizmusa vonatkoztatható-e emberre.</w:t>
      </w:r>
    </w:p>
    <w:p w14:paraId="601A8C86" w14:textId="77777777" w:rsidR="00FC0D76" w:rsidRPr="00CC170B" w:rsidRDefault="00FC0D76" w:rsidP="00FC0D76"/>
    <w:p w14:paraId="758DCD10" w14:textId="77777777" w:rsidR="00FC0D76" w:rsidRPr="00CC170B" w:rsidRDefault="00FC0D76" w:rsidP="00FC0D76">
      <w:r w:rsidRPr="00CC170B">
        <w:t>A nem daganatos elváltozások – melyeket a korábbi preklinikai vizsgálatok során nem azonosítottak – a cardiovascularis rendszert, a hasnyálmirigyet, az endokrin szerveket és a fogakat érintették. A legfontosabb elváltozások között volt a cardialis hypertrophia és dilatatio, melyek néhány állatnál a szívelégtelenség jeleinek kialakulásához vezettek.</w:t>
      </w:r>
    </w:p>
    <w:p w14:paraId="5C00DD97" w14:textId="77777777" w:rsidR="00FC0D76" w:rsidRPr="00CC170B" w:rsidRDefault="00FC0D76" w:rsidP="00FC0D76"/>
    <w:p w14:paraId="2841D095" w14:textId="77777777" w:rsidR="00FC0D76" w:rsidRPr="00CC170B" w:rsidRDefault="00FC0D76" w:rsidP="00FC0D76">
      <w:r w:rsidRPr="00CC170B">
        <w:lastRenderedPageBreak/>
        <w:t>Az imatinib hatóanyag környezeti kockázatot jelent az üledéklakó organizmusokra.</w:t>
      </w:r>
    </w:p>
    <w:p w14:paraId="7FEBBF17" w14:textId="77777777" w:rsidR="00FC0D76" w:rsidRPr="00CC170B" w:rsidRDefault="00FC0D76" w:rsidP="00FC0D76"/>
    <w:p w14:paraId="120EC2D4" w14:textId="77777777" w:rsidR="00FC0D76" w:rsidRPr="00CC170B" w:rsidRDefault="00FC0D76" w:rsidP="00FC0D76"/>
    <w:p w14:paraId="5B550107" w14:textId="592AAF99" w:rsidR="00FC0D76" w:rsidRPr="00082B3A" w:rsidRDefault="00082B3A" w:rsidP="00082B3A">
      <w:pPr>
        <w:tabs>
          <w:tab w:val="left" w:pos="567"/>
        </w:tabs>
        <w:rPr>
          <w:b/>
          <w:bCs/>
        </w:rPr>
      </w:pPr>
      <w:r w:rsidRPr="00082B3A">
        <w:rPr>
          <w:b/>
          <w:bCs/>
        </w:rPr>
        <w:t>6.</w:t>
      </w:r>
      <w:r w:rsidRPr="00082B3A">
        <w:rPr>
          <w:b/>
          <w:bCs/>
        </w:rPr>
        <w:tab/>
      </w:r>
      <w:r w:rsidR="00FC0D76" w:rsidRPr="00082B3A">
        <w:rPr>
          <w:b/>
          <w:bCs/>
        </w:rPr>
        <w:t>GYÓGYSZERÉSZETI</w:t>
      </w:r>
      <w:r w:rsidR="00FC0D76" w:rsidRPr="00082B3A">
        <w:rPr>
          <w:b/>
          <w:bCs/>
          <w:spacing w:val="-1"/>
        </w:rPr>
        <w:t xml:space="preserve"> </w:t>
      </w:r>
      <w:r w:rsidR="00FC0D76" w:rsidRPr="00082B3A">
        <w:rPr>
          <w:b/>
          <w:bCs/>
        </w:rPr>
        <w:t>JELLEMZŐK</w:t>
      </w:r>
    </w:p>
    <w:p w14:paraId="6715445B" w14:textId="77777777" w:rsidR="00FC0D76" w:rsidRPr="00082B3A" w:rsidRDefault="00FC0D76" w:rsidP="00FC0D76">
      <w:pPr>
        <w:rPr>
          <w:bCs/>
        </w:rPr>
      </w:pPr>
    </w:p>
    <w:p w14:paraId="35EC3698" w14:textId="18A42F90" w:rsidR="00FC0D76" w:rsidRPr="00CC170B" w:rsidRDefault="00082B3A" w:rsidP="00082B3A">
      <w:pPr>
        <w:tabs>
          <w:tab w:val="left" w:pos="567"/>
        </w:tabs>
        <w:rPr>
          <w:b/>
        </w:rPr>
      </w:pPr>
      <w:r>
        <w:rPr>
          <w:b/>
        </w:rPr>
        <w:t>6.1</w:t>
      </w:r>
      <w:r>
        <w:rPr>
          <w:b/>
        </w:rPr>
        <w:tab/>
      </w:r>
      <w:r w:rsidR="00FC0D76" w:rsidRPr="00CC170B">
        <w:rPr>
          <w:b/>
        </w:rPr>
        <w:t>Segédanyagok</w:t>
      </w:r>
      <w:r w:rsidR="00FC0D76" w:rsidRPr="00CC170B">
        <w:rPr>
          <w:b/>
          <w:spacing w:val="-2"/>
        </w:rPr>
        <w:t xml:space="preserve"> </w:t>
      </w:r>
      <w:r w:rsidR="00FC0D76" w:rsidRPr="00CC170B">
        <w:rPr>
          <w:b/>
        </w:rPr>
        <w:t>felsorolása</w:t>
      </w:r>
    </w:p>
    <w:p w14:paraId="41F72F66" w14:textId="77777777" w:rsidR="00FC0D76" w:rsidRPr="00082B3A" w:rsidRDefault="00FC0D76" w:rsidP="00FC0D76">
      <w:pPr>
        <w:rPr>
          <w:bCs/>
        </w:rPr>
      </w:pPr>
    </w:p>
    <w:p w14:paraId="2EB63E31" w14:textId="40AC7F82" w:rsidR="00082B3A" w:rsidRPr="0026398C" w:rsidRDefault="00FC0D76" w:rsidP="00FC0D76">
      <w:pPr>
        <w:rPr>
          <w:u w:val="single"/>
        </w:rPr>
      </w:pPr>
      <w:r w:rsidRPr="0026398C">
        <w:rPr>
          <w:u w:val="single"/>
        </w:rPr>
        <w:t>Tablettamag:</w:t>
      </w:r>
    </w:p>
    <w:p w14:paraId="42E22F26" w14:textId="34A46EED" w:rsidR="00FC0D76" w:rsidRPr="00CC170B" w:rsidRDefault="00FC0D76" w:rsidP="00FC0D76">
      <w:r w:rsidRPr="00CC170B">
        <w:t>magnézium-sztearát</w:t>
      </w:r>
    </w:p>
    <w:p w14:paraId="4554B484" w14:textId="77777777" w:rsidR="00FC0D76" w:rsidRPr="00CC170B" w:rsidRDefault="00FC0D76" w:rsidP="00FC0D76"/>
    <w:p w14:paraId="5D9DFEE6" w14:textId="77777777" w:rsidR="00FC0D76" w:rsidRPr="00082B3A" w:rsidRDefault="00FC0D76" w:rsidP="00FC0D76">
      <w:pPr>
        <w:rPr>
          <w:u w:val="single"/>
        </w:rPr>
      </w:pPr>
      <w:r w:rsidRPr="00082B3A">
        <w:rPr>
          <w:u w:val="single"/>
        </w:rPr>
        <w:t>Tablettabevonat:</w:t>
      </w:r>
    </w:p>
    <w:p w14:paraId="1DBD1CDC" w14:textId="77777777" w:rsidR="00082B3A" w:rsidRDefault="00082B3A" w:rsidP="00FC0D76">
      <w:r w:rsidRPr="00CC170B">
        <w:t>hipromellóz</w:t>
      </w:r>
      <w:r>
        <w:t xml:space="preserve"> 2910</w:t>
      </w:r>
    </w:p>
    <w:p w14:paraId="105B85B3" w14:textId="77777777" w:rsidR="00082B3A" w:rsidRDefault="00082B3A" w:rsidP="00FC0D76">
      <w:r>
        <w:t>titán-dioxid (E171)</w:t>
      </w:r>
    </w:p>
    <w:p w14:paraId="17823DB5" w14:textId="2B336E5C" w:rsidR="00082B3A" w:rsidRDefault="00082B3A" w:rsidP="00FC0D76">
      <w:r w:rsidRPr="00CC170B">
        <w:t>makrogol</w:t>
      </w:r>
      <w:r>
        <w:t xml:space="preserve"> 8</w:t>
      </w:r>
      <w:r w:rsidR="00324D24">
        <w:t>000</w:t>
      </w:r>
      <w:r>
        <w:t xml:space="preserve"> (E1521)</w:t>
      </w:r>
    </w:p>
    <w:p w14:paraId="2954EA52" w14:textId="73BBE88F" w:rsidR="00FC0D76" w:rsidRPr="00CC170B" w:rsidRDefault="00FC0D76" w:rsidP="00FC0D76">
      <w:r w:rsidRPr="00CC170B">
        <w:t>talkum</w:t>
      </w:r>
      <w:r w:rsidR="00082B3A">
        <w:t xml:space="preserve"> (E553b)</w:t>
      </w:r>
    </w:p>
    <w:p w14:paraId="39AE1DE9" w14:textId="77777777" w:rsidR="00FC0D76" w:rsidRPr="00CC170B" w:rsidRDefault="00FC0D76" w:rsidP="00FC0D76"/>
    <w:p w14:paraId="67BE507B" w14:textId="150A799E" w:rsidR="00FC0D76" w:rsidRPr="00324D24" w:rsidRDefault="00324D24" w:rsidP="00324D24">
      <w:pPr>
        <w:tabs>
          <w:tab w:val="left" w:pos="567"/>
        </w:tabs>
        <w:rPr>
          <w:b/>
          <w:bCs/>
        </w:rPr>
      </w:pPr>
      <w:r w:rsidRPr="00324D24">
        <w:rPr>
          <w:b/>
          <w:bCs/>
        </w:rPr>
        <w:t>6.2</w:t>
      </w:r>
      <w:r w:rsidRPr="00324D24">
        <w:rPr>
          <w:b/>
          <w:bCs/>
        </w:rPr>
        <w:tab/>
      </w:r>
      <w:r w:rsidR="00FC0D76" w:rsidRPr="00324D24">
        <w:rPr>
          <w:b/>
          <w:bCs/>
        </w:rPr>
        <w:t>Inkompatibilitások</w:t>
      </w:r>
    </w:p>
    <w:p w14:paraId="0B225A8D" w14:textId="77777777" w:rsidR="00FC0D76" w:rsidRPr="00CC170B" w:rsidRDefault="00FC0D76" w:rsidP="00FC0D76">
      <w:pPr>
        <w:rPr>
          <w:b/>
        </w:rPr>
      </w:pPr>
    </w:p>
    <w:p w14:paraId="3FF87ADC" w14:textId="77777777" w:rsidR="00FC0D76" w:rsidRPr="00CC170B" w:rsidRDefault="00FC0D76" w:rsidP="00FC0D76">
      <w:r w:rsidRPr="00CC170B">
        <w:t>Nem értelmezhető.</w:t>
      </w:r>
    </w:p>
    <w:p w14:paraId="3A8E2722" w14:textId="77777777" w:rsidR="00FC0D76" w:rsidRPr="00CC170B" w:rsidRDefault="00FC0D76" w:rsidP="00FC0D76"/>
    <w:p w14:paraId="7A801BB0" w14:textId="2115B863" w:rsidR="00FC0D76" w:rsidRPr="00324D24" w:rsidRDefault="00324D24" w:rsidP="00324D24">
      <w:pPr>
        <w:tabs>
          <w:tab w:val="left" w:pos="567"/>
        </w:tabs>
        <w:rPr>
          <w:b/>
          <w:bCs/>
        </w:rPr>
      </w:pPr>
      <w:r w:rsidRPr="00324D24">
        <w:rPr>
          <w:b/>
          <w:bCs/>
        </w:rPr>
        <w:t>6.3</w:t>
      </w:r>
      <w:r w:rsidRPr="00324D24">
        <w:rPr>
          <w:b/>
          <w:bCs/>
        </w:rPr>
        <w:tab/>
      </w:r>
      <w:r w:rsidR="00FC0D76" w:rsidRPr="00324D24">
        <w:rPr>
          <w:b/>
          <w:bCs/>
        </w:rPr>
        <w:t>Felhasználhatósági</w:t>
      </w:r>
      <w:r w:rsidR="00FC0D76" w:rsidRPr="00324D24">
        <w:rPr>
          <w:b/>
          <w:bCs/>
          <w:spacing w:val="-1"/>
        </w:rPr>
        <w:t xml:space="preserve"> </w:t>
      </w:r>
      <w:r w:rsidR="00FC0D76" w:rsidRPr="00324D24">
        <w:rPr>
          <w:b/>
          <w:bCs/>
        </w:rPr>
        <w:t>időtartam</w:t>
      </w:r>
    </w:p>
    <w:p w14:paraId="1FB33510" w14:textId="77777777" w:rsidR="00FC0D76" w:rsidRPr="00324D24" w:rsidRDefault="00FC0D76" w:rsidP="00FC0D76">
      <w:pPr>
        <w:rPr>
          <w:bCs/>
        </w:rPr>
      </w:pPr>
    </w:p>
    <w:p w14:paraId="39075FAF" w14:textId="591FD245" w:rsidR="00FC0D76" w:rsidRPr="00CC170B" w:rsidRDefault="00FC0D76" w:rsidP="00FC0D76">
      <w:r w:rsidRPr="00CC170B">
        <w:t>3</w:t>
      </w:r>
      <w:r w:rsidR="00324D24">
        <w:t> </w:t>
      </w:r>
      <w:r w:rsidRPr="00CC170B">
        <w:t>év</w:t>
      </w:r>
    </w:p>
    <w:p w14:paraId="6AEE913E" w14:textId="77777777" w:rsidR="00FC0D76" w:rsidRPr="00CC170B" w:rsidRDefault="00FC0D76" w:rsidP="00FC0D76"/>
    <w:p w14:paraId="0926AEF1" w14:textId="029800D8" w:rsidR="00324D24" w:rsidRDefault="00324D24" w:rsidP="00324D24">
      <w:pPr>
        <w:tabs>
          <w:tab w:val="left" w:pos="567"/>
        </w:tabs>
        <w:rPr>
          <w:b/>
          <w:u w:val="single"/>
        </w:rPr>
      </w:pPr>
      <w:r>
        <w:rPr>
          <w:b/>
        </w:rPr>
        <w:t>6.4</w:t>
      </w:r>
      <w:r>
        <w:rPr>
          <w:b/>
        </w:rPr>
        <w:tab/>
      </w:r>
      <w:r w:rsidR="00FC0D76" w:rsidRPr="00CC170B">
        <w:rPr>
          <w:b/>
        </w:rPr>
        <w:t>Különleges tárolási előírások</w:t>
      </w:r>
      <w:r w:rsidR="00FC0D76" w:rsidRPr="00CC170B">
        <w:rPr>
          <w:b/>
          <w:u w:val="single"/>
        </w:rPr>
        <w:t xml:space="preserve"> </w:t>
      </w:r>
    </w:p>
    <w:p w14:paraId="69D36097" w14:textId="77777777" w:rsidR="00324D24" w:rsidRDefault="00324D24" w:rsidP="00FC0D76">
      <w:pPr>
        <w:rPr>
          <w:u w:val="single"/>
        </w:rPr>
      </w:pPr>
    </w:p>
    <w:p w14:paraId="60283D8C" w14:textId="1706B1F7" w:rsidR="00FC0D76" w:rsidRPr="00CC170B" w:rsidRDefault="00324D24" w:rsidP="00FC0D76">
      <w:bookmarkStart w:id="2" w:name="_Hlk213087344"/>
      <w:r w:rsidRPr="00A8144E">
        <w:t>Ez a gyógyszer nem igényel különleges tárolást</w:t>
      </w:r>
      <w:bookmarkEnd w:id="2"/>
      <w:r w:rsidR="003D5D7A">
        <w:t>.</w:t>
      </w:r>
    </w:p>
    <w:p w14:paraId="4EAE8799" w14:textId="77777777" w:rsidR="00324D24" w:rsidRDefault="00324D24" w:rsidP="00FC0D76"/>
    <w:p w14:paraId="02CE1EAC" w14:textId="689C1252" w:rsidR="00FC0D76" w:rsidRPr="00324D24" w:rsidRDefault="00324D24" w:rsidP="00324D24">
      <w:pPr>
        <w:tabs>
          <w:tab w:val="left" w:pos="567"/>
        </w:tabs>
        <w:rPr>
          <w:b/>
          <w:bCs/>
        </w:rPr>
      </w:pPr>
      <w:r w:rsidRPr="00324D24">
        <w:rPr>
          <w:b/>
          <w:bCs/>
        </w:rPr>
        <w:t>6.5</w:t>
      </w:r>
      <w:r w:rsidRPr="00324D24">
        <w:rPr>
          <w:b/>
          <w:bCs/>
        </w:rPr>
        <w:tab/>
      </w:r>
      <w:r w:rsidR="00FC0D76" w:rsidRPr="00324D24">
        <w:rPr>
          <w:b/>
          <w:bCs/>
        </w:rPr>
        <w:t>Csomagolás típusa és</w:t>
      </w:r>
      <w:r w:rsidR="00FC0D76" w:rsidRPr="00324D24">
        <w:rPr>
          <w:b/>
          <w:bCs/>
          <w:spacing w:val="-2"/>
        </w:rPr>
        <w:t xml:space="preserve"> </w:t>
      </w:r>
      <w:r w:rsidR="00FC0D76" w:rsidRPr="00324D24">
        <w:rPr>
          <w:b/>
          <w:bCs/>
        </w:rPr>
        <w:t>kiszerelése</w:t>
      </w:r>
    </w:p>
    <w:p w14:paraId="387B6BCD" w14:textId="77777777" w:rsidR="00FC0D76" w:rsidRPr="00324D24" w:rsidRDefault="00FC0D76" w:rsidP="00FC0D76">
      <w:pPr>
        <w:rPr>
          <w:bCs/>
        </w:rPr>
      </w:pPr>
    </w:p>
    <w:p w14:paraId="1225F299" w14:textId="754A1FF7" w:rsidR="00324D24" w:rsidRPr="00324D24" w:rsidRDefault="00324D24" w:rsidP="00324D24">
      <w:pPr>
        <w:rPr>
          <w:u w:val="single"/>
        </w:rPr>
      </w:pPr>
      <w:r w:rsidRPr="00324D24">
        <w:rPr>
          <w:u w:val="single"/>
        </w:rPr>
        <w:t>100</w:t>
      </w:r>
      <w:r w:rsidR="00E26FF4">
        <w:rPr>
          <w:u w:val="single"/>
        </w:rPr>
        <w:t> </w:t>
      </w:r>
      <w:r w:rsidRPr="00324D24">
        <w:rPr>
          <w:u w:val="single"/>
        </w:rPr>
        <w:t>mg</w:t>
      </w:r>
    </w:p>
    <w:p w14:paraId="54D88B0F" w14:textId="12EED2D9" w:rsidR="00324D24" w:rsidRPr="00324D24" w:rsidRDefault="00324D24" w:rsidP="00324D24">
      <w:r w:rsidRPr="00324D24">
        <w:t>30, 60, 90 és 120</w:t>
      </w:r>
      <w:r w:rsidR="00C64C0E">
        <w:t> db</w:t>
      </w:r>
      <w:r w:rsidRPr="00324D24">
        <w:t xml:space="preserve"> filmtabletta</w:t>
      </w:r>
      <w:r w:rsidR="000340C8" w:rsidRPr="000340C8">
        <w:t xml:space="preserve"> </w:t>
      </w:r>
      <w:r w:rsidR="000340C8" w:rsidRPr="00324D24">
        <w:t>PVC</w:t>
      </w:r>
      <w:r w:rsidR="000340C8">
        <w:t>/</w:t>
      </w:r>
      <w:r w:rsidR="000340C8" w:rsidRPr="00324D24">
        <w:t>Al</w:t>
      </w:r>
      <w:r w:rsidR="000340C8">
        <w:t>/</w:t>
      </w:r>
      <w:r w:rsidR="000340C8" w:rsidRPr="00324D24">
        <w:t>OPA</w:t>
      </w:r>
      <w:r w:rsidR="000340C8">
        <w:t>//Al</w:t>
      </w:r>
      <w:r w:rsidR="000340C8" w:rsidRPr="00324D24">
        <w:t xml:space="preserve"> buborék</w:t>
      </w:r>
      <w:r w:rsidR="000340C8">
        <w:t>csomagolásban és dobozban.</w:t>
      </w:r>
    </w:p>
    <w:p w14:paraId="125B9020" w14:textId="1A6B7E82" w:rsidR="00324D24" w:rsidRPr="00324D24" w:rsidRDefault="00324D24" w:rsidP="000340C8">
      <w:r w:rsidRPr="00324D24">
        <w:t>30 × 1, 60 × 1, 90 × 1 és 120 × 1</w:t>
      </w:r>
      <w:r w:rsidR="00C64C0E">
        <w:t> db</w:t>
      </w:r>
      <w:r w:rsidRPr="00324D24">
        <w:t xml:space="preserve"> filmtabletta</w:t>
      </w:r>
      <w:r w:rsidR="000340C8">
        <w:t xml:space="preserve"> </w:t>
      </w:r>
      <w:r w:rsidR="000340C8" w:rsidRPr="000340C8">
        <w:t xml:space="preserve">adagonként perforált </w:t>
      </w:r>
      <w:r w:rsidR="002D0B40" w:rsidRPr="000340C8">
        <w:t xml:space="preserve">PVC/Al/OPA//Al </w:t>
      </w:r>
      <w:r w:rsidR="000340C8" w:rsidRPr="000340C8">
        <w:t>buborékcsomagolás</w:t>
      </w:r>
      <w:r w:rsidR="000340C8">
        <w:t>ban és dobozban</w:t>
      </w:r>
      <w:r w:rsidRPr="00324D24">
        <w:t>.</w:t>
      </w:r>
    </w:p>
    <w:p w14:paraId="5DB4CEA6" w14:textId="77777777" w:rsidR="00324D24" w:rsidRPr="00324D24" w:rsidRDefault="00324D24" w:rsidP="00324D24">
      <w:pPr>
        <w:rPr>
          <w:u w:val="single"/>
        </w:rPr>
      </w:pPr>
    </w:p>
    <w:p w14:paraId="7C68AAE4" w14:textId="56F4D266" w:rsidR="00324D24" w:rsidRPr="00324D24" w:rsidRDefault="00324D24" w:rsidP="00324D24">
      <w:pPr>
        <w:rPr>
          <w:u w:val="single"/>
        </w:rPr>
      </w:pPr>
      <w:r w:rsidRPr="00324D24">
        <w:rPr>
          <w:u w:val="single"/>
        </w:rPr>
        <w:t>400</w:t>
      </w:r>
      <w:r w:rsidR="00E26FF4">
        <w:rPr>
          <w:u w:val="single"/>
        </w:rPr>
        <w:t> </w:t>
      </w:r>
      <w:r w:rsidRPr="00324D24">
        <w:rPr>
          <w:u w:val="single"/>
        </w:rPr>
        <w:t>mg</w:t>
      </w:r>
    </w:p>
    <w:p w14:paraId="5670DEF1" w14:textId="0BFF93BA" w:rsidR="00324D24" w:rsidRPr="00C64C0E" w:rsidRDefault="00324D24" w:rsidP="000340C8">
      <w:r w:rsidRPr="00C64C0E">
        <w:t>30, 60, 90</w:t>
      </w:r>
      <w:r w:rsidR="00C64C0E">
        <w:t> db</w:t>
      </w:r>
      <w:r w:rsidRPr="00C64C0E">
        <w:t xml:space="preserve"> filmtabletta</w:t>
      </w:r>
      <w:r w:rsidR="000340C8">
        <w:t xml:space="preserve"> </w:t>
      </w:r>
      <w:r w:rsidR="000340C8" w:rsidRPr="000340C8">
        <w:t>PVC/Al/OPA//Al buborékcsomagolás</w:t>
      </w:r>
      <w:r w:rsidR="000340C8">
        <w:t>ban és dobozban</w:t>
      </w:r>
      <w:r w:rsidRPr="00C64C0E">
        <w:t>.</w:t>
      </w:r>
    </w:p>
    <w:p w14:paraId="4325B5F7" w14:textId="3F92F5DD" w:rsidR="00324D24" w:rsidRPr="00C64C0E" w:rsidRDefault="00324D24" w:rsidP="000340C8">
      <w:r w:rsidRPr="00C64C0E">
        <w:t>30 × 1, 60 × 1 és 90 × 1</w:t>
      </w:r>
      <w:r w:rsidR="00C64C0E">
        <w:t> db</w:t>
      </w:r>
      <w:r w:rsidRPr="00C64C0E">
        <w:t xml:space="preserve"> filmtabletta</w:t>
      </w:r>
      <w:r w:rsidR="000340C8">
        <w:t xml:space="preserve"> </w:t>
      </w:r>
      <w:r w:rsidR="000340C8" w:rsidRPr="000340C8">
        <w:t xml:space="preserve">adagonként perforált </w:t>
      </w:r>
      <w:r w:rsidR="002D0B40" w:rsidRPr="000340C8">
        <w:t xml:space="preserve">PVC/Al/OPA//Al </w:t>
      </w:r>
      <w:r w:rsidR="000340C8" w:rsidRPr="000340C8">
        <w:t>buborékcsomagolás</w:t>
      </w:r>
      <w:r w:rsidR="000340C8">
        <w:t>ban és dobozban</w:t>
      </w:r>
      <w:r w:rsidRPr="00C64C0E">
        <w:t>.</w:t>
      </w:r>
    </w:p>
    <w:p w14:paraId="66D4D547" w14:textId="77777777" w:rsidR="00FC0D76" w:rsidRPr="00CC170B" w:rsidRDefault="00FC0D76" w:rsidP="00FC0D76"/>
    <w:p w14:paraId="0E06EB86" w14:textId="77777777" w:rsidR="00FC0D76" w:rsidRPr="00CC170B" w:rsidRDefault="00FC0D76" w:rsidP="00FC0D76">
      <w:r w:rsidRPr="00CC170B">
        <w:t>Nem feltétlenül mindegyik kiszerelés kerül kereskedelmi forgalomba.</w:t>
      </w:r>
    </w:p>
    <w:p w14:paraId="3A862848" w14:textId="77777777" w:rsidR="00FC0D76" w:rsidRPr="00CC170B" w:rsidRDefault="00FC0D76" w:rsidP="00FC0D76"/>
    <w:p w14:paraId="47C41943" w14:textId="1B4BDF48" w:rsidR="00FC0D76" w:rsidRPr="00C64C0E" w:rsidRDefault="00C64C0E" w:rsidP="00C64C0E">
      <w:pPr>
        <w:tabs>
          <w:tab w:val="left" w:pos="567"/>
        </w:tabs>
        <w:rPr>
          <w:b/>
          <w:bCs/>
        </w:rPr>
      </w:pPr>
      <w:r w:rsidRPr="00C64C0E">
        <w:rPr>
          <w:b/>
          <w:bCs/>
        </w:rPr>
        <w:t>6.6</w:t>
      </w:r>
      <w:r w:rsidRPr="00C64C0E">
        <w:rPr>
          <w:b/>
          <w:bCs/>
        </w:rPr>
        <w:tab/>
      </w:r>
      <w:r w:rsidR="00FC0D76" w:rsidRPr="00C64C0E">
        <w:rPr>
          <w:b/>
          <w:bCs/>
        </w:rPr>
        <w:t>A megsemmisítésre vonatkozó különleges</w:t>
      </w:r>
      <w:r w:rsidR="00FC0D76" w:rsidRPr="00C64C0E">
        <w:rPr>
          <w:b/>
          <w:bCs/>
          <w:spacing w:val="-6"/>
        </w:rPr>
        <w:t xml:space="preserve"> </w:t>
      </w:r>
      <w:r w:rsidR="00FC0D76" w:rsidRPr="00C64C0E">
        <w:rPr>
          <w:b/>
          <w:bCs/>
        </w:rPr>
        <w:t>óvintézkedések</w:t>
      </w:r>
    </w:p>
    <w:p w14:paraId="490A07A4" w14:textId="77777777" w:rsidR="00FC0D76" w:rsidRPr="00C64C0E" w:rsidRDefault="00FC0D76" w:rsidP="00FC0D76">
      <w:pPr>
        <w:rPr>
          <w:bCs/>
        </w:rPr>
      </w:pPr>
    </w:p>
    <w:p w14:paraId="20D3F26D" w14:textId="77777777" w:rsidR="00FC0D76" w:rsidRPr="00CC170B" w:rsidRDefault="00FC0D76" w:rsidP="00FC0D76">
      <w:r w:rsidRPr="00CC170B">
        <w:t>Bármilyen fel nem használt gyógyszer, illetve hulladékanyag megsemmisítését a gyógyszerekre vonatkozó előírások szerint kell végrehajtani.</w:t>
      </w:r>
    </w:p>
    <w:p w14:paraId="7E07FCE3" w14:textId="77777777" w:rsidR="00FC0D76" w:rsidRDefault="00FC0D76" w:rsidP="00FC0D76"/>
    <w:p w14:paraId="1608BD6C" w14:textId="77777777" w:rsidR="000340C8" w:rsidRPr="00527835" w:rsidRDefault="000340C8" w:rsidP="000340C8">
      <w:r w:rsidRPr="00527835">
        <w:rPr>
          <w:b/>
        </w:rPr>
        <w:t>Megjegyzés:</w:t>
      </w:r>
      <w:r w:rsidRPr="00527835">
        <w:t xml:space="preserve"> </w:t>
      </w:r>
      <w:r w:rsidRPr="00934338">
        <w:sym w:font="Wingdings" w:char="0058"/>
      </w:r>
      <w:r w:rsidRPr="00527835">
        <w:t xml:space="preserve"> </w:t>
      </w:r>
      <w:r w:rsidRPr="00934338">
        <w:sym w:font="Wingdings" w:char="0058"/>
      </w:r>
      <w:r w:rsidRPr="00527835">
        <w:t xml:space="preserve"> (két keresztes)</w:t>
      </w:r>
    </w:p>
    <w:p w14:paraId="6857A3AF" w14:textId="77777777" w:rsidR="000340C8" w:rsidRPr="00527835" w:rsidRDefault="000340C8" w:rsidP="000340C8">
      <w:pPr>
        <w:rPr>
          <w:b/>
        </w:rPr>
      </w:pPr>
      <w:r w:rsidRPr="00527835">
        <w:rPr>
          <w:b/>
        </w:rPr>
        <w:t>Osztályozás: II/2. csoport</w:t>
      </w:r>
    </w:p>
    <w:p w14:paraId="0EE1D9FC" w14:textId="052F6D69" w:rsidR="000340C8" w:rsidRPr="00527835" w:rsidRDefault="000340C8" w:rsidP="000340C8">
      <w:r w:rsidRPr="00527835">
        <w:t>Korlátozott érvényű orvosi rendelvényhez kötött, szakorvosi/kórházi diagnózist követően folyamatos szakorvosi ellenőrzés mellett alkalmazható gyógyszer (Sz).</w:t>
      </w:r>
    </w:p>
    <w:p w14:paraId="5960A5D4" w14:textId="77777777" w:rsidR="000340C8" w:rsidRPr="00CC170B" w:rsidRDefault="000340C8" w:rsidP="000340C8"/>
    <w:p w14:paraId="137D80A3" w14:textId="77777777" w:rsidR="00FC0D76" w:rsidRPr="00CC170B" w:rsidRDefault="00FC0D76" w:rsidP="00FC0D76"/>
    <w:p w14:paraId="50BC9D8B" w14:textId="47BD93A8" w:rsidR="00FC0D76" w:rsidRPr="00C64C0E" w:rsidRDefault="00C64C0E" w:rsidP="00931686">
      <w:pPr>
        <w:keepNext/>
        <w:widowControl/>
        <w:tabs>
          <w:tab w:val="left" w:pos="567"/>
        </w:tabs>
        <w:rPr>
          <w:b/>
          <w:bCs/>
        </w:rPr>
      </w:pPr>
      <w:r w:rsidRPr="00C64C0E">
        <w:rPr>
          <w:b/>
          <w:bCs/>
        </w:rPr>
        <w:lastRenderedPageBreak/>
        <w:t>7.</w:t>
      </w:r>
      <w:r w:rsidRPr="00C64C0E">
        <w:rPr>
          <w:b/>
          <w:bCs/>
        </w:rPr>
        <w:tab/>
      </w:r>
      <w:r w:rsidR="00FC0D76" w:rsidRPr="00C64C0E">
        <w:rPr>
          <w:b/>
          <w:bCs/>
        </w:rPr>
        <w:t>A FORGALOMBAHOZATALI ENGEDÉLY</w:t>
      </w:r>
      <w:r w:rsidR="00FC0D76" w:rsidRPr="00C64C0E">
        <w:rPr>
          <w:b/>
          <w:bCs/>
          <w:spacing w:val="-4"/>
        </w:rPr>
        <w:t xml:space="preserve"> </w:t>
      </w:r>
      <w:r w:rsidR="00FC0D76" w:rsidRPr="00C64C0E">
        <w:rPr>
          <w:b/>
          <w:bCs/>
        </w:rPr>
        <w:t>JOGOSULTJA</w:t>
      </w:r>
    </w:p>
    <w:p w14:paraId="6EF4BD67" w14:textId="77777777" w:rsidR="00FC0D76" w:rsidRDefault="00FC0D76" w:rsidP="00931686">
      <w:pPr>
        <w:keepNext/>
        <w:widowControl/>
        <w:rPr>
          <w:bCs/>
        </w:rPr>
      </w:pPr>
    </w:p>
    <w:p w14:paraId="5141516F" w14:textId="77777777" w:rsidR="003D5D7A" w:rsidRPr="00144EB6" w:rsidRDefault="003D5D7A" w:rsidP="00931686">
      <w:pPr>
        <w:keepNext/>
        <w:widowControl/>
        <w:spacing w:line="240" w:lineRule="exact"/>
      </w:pPr>
      <w:smartTag w:uri="urn:schemas-microsoft-com:office:smarttags" w:element="metricconverter">
        <w:smartTagPr>
          <w:attr w:name="ProductID" w:val="1 A"/>
        </w:smartTagPr>
        <w:r w:rsidRPr="00144EB6">
          <w:t>1 A</w:t>
        </w:r>
      </w:smartTag>
      <w:r w:rsidRPr="00144EB6">
        <w:t xml:space="preserve"> Pharma GmbH</w:t>
      </w:r>
    </w:p>
    <w:p w14:paraId="457F2BD5" w14:textId="3AC16D0F" w:rsidR="003D5D7A" w:rsidRDefault="003D5D7A" w:rsidP="00931686">
      <w:pPr>
        <w:keepNext/>
        <w:widowControl/>
        <w:spacing w:line="240" w:lineRule="exact"/>
      </w:pPr>
      <w:r>
        <w:t xml:space="preserve">Industriestraße 18 </w:t>
      </w:r>
    </w:p>
    <w:p w14:paraId="51DDEB43" w14:textId="689F61FE" w:rsidR="003D5D7A" w:rsidRDefault="003D5D7A" w:rsidP="00931686">
      <w:pPr>
        <w:keepNext/>
        <w:widowControl/>
        <w:spacing w:line="240" w:lineRule="exact"/>
      </w:pPr>
      <w:r>
        <w:t>83607 Holzkirchen</w:t>
      </w:r>
    </w:p>
    <w:p w14:paraId="49973E4F" w14:textId="77777777" w:rsidR="003D5D7A" w:rsidRPr="00144EB6" w:rsidRDefault="003D5D7A" w:rsidP="003D5D7A">
      <w:pPr>
        <w:spacing w:line="240" w:lineRule="exact"/>
      </w:pPr>
      <w:r w:rsidRPr="00144EB6">
        <w:t>Németország</w:t>
      </w:r>
    </w:p>
    <w:p w14:paraId="617E9C5C" w14:textId="77777777" w:rsidR="003D5D7A" w:rsidRPr="00C64C0E" w:rsidRDefault="003D5D7A" w:rsidP="00FC0D76">
      <w:pPr>
        <w:rPr>
          <w:bCs/>
        </w:rPr>
      </w:pPr>
    </w:p>
    <w:p w14:paraId="58CC24D6" w14:textId="77777777" w:rsidR="00FC0D76" w:rsidRPr="00CC170B" w:rsidRDefault="00FC0D76" w:rsidP="00FC0D76"/>
    <w:p w14:paraId="2AAE12FD" w14:textId="6158ECFF" w:rsidR="00FC0D76" w:rsidRPr="00C64C0E" w:rsidRDefault="00C64C0E" w:rsidP="00C64C0E">
      <w:pPr>
        <w:tabs>
          <w:tab w:val="left" w:pos="567"/>
        </w:tabs>
        <w:rPr>
          <w:b/>
          <w:bCs/>
        </w:rPr>
      </w:pPr>
      <w:r w:rsidRPr="00C64C0E">
        <w:rPr>
          <w:b/>
          <w:bCs/>
        </w:rPr>
        <w:t>8.</w:t>
      </w:r>
      <w:r w:rsidRPr="00C64C0E">
        <w:rPr>
          <w:b/>
          <w:bCs/>
        </w:rPr>
        <w:tab/>
      </w:r>
      <w:r w:rsidR="00FC0D76" w:rsidRPr="00C64C0E">
        <w:rPr>
          <w:b/>
          <w:bCs/>
        </w:rPr>
        <w:t>A FORGALOMBAHOZATALI ENGEDÉLY</w:t>
      </w:r>
      <w:r w:rsidR="00FC0D76" w:rsidRPr="00C64C0E">
        <w:rPr>
          <w:b/>
          <w:bCs/>
          <w:spacing w:val="-4"/>
        </w:rPr>
        <w:t xml:space="preserve"> </w:t>
      </w:r>
      <w:r w:rsidR="00FC0D76" w:rsidRPr="00C64C0E">
        <w:rPr>
          <w:b/>
          <w:bCs/>
        </w:rPr>
        <w:t>SZÁMA(I)</w:t>
      </w:r>
    </w:p>
    <w:p w14:paraId="2B08245C" w14:textId="77777777" w:rsidR="00FC0D76" w:rsidRDefault="00FC0D76" w:rsidP="00FC0D76"/>
    <w:p w14:paraId="1BAC4B82" w14:textId="77777777" w:rsidR="00527835" w:rsidRPr="00931686" w:rsidRDefault="00527835" w:rsidP="00527835">
      <w:pPr>
        <w:rPr>
          <w:u w:val="single"/>
        </w:rPr>
      </w:pPr>
      <w:r w:rsidRPr="00931686">
        <w:rPr>
          <w:u w:val="single"/>
        </w:rPr>
        <w:t>Imatinib 1 A Pharma 100 mg</w:t>
      </w:r>
      <w:r w:rsidRPr="00931686">
        <w:rPr>
          <w:spacing w:val="-9"/>
          <w:u w:val="single"/>
        </w:rPr>
        <w:t xml:space="preserve"> </w:t>
      </w:r>
      <w:r w:rsidRPr="00931686">
        <w:rPr>
          <w:u w:val="single"/>
        </w:rPr>
        <w:t>filmtabletta</w:t>
      </w:r>
    </w:p>
    <w:p w14:paraId="18E7C4EB" w14:textId="07EB0F6A" w:rsidR="003D5D7A" w:rsidRPr="003D5D7A" w:rsidRDefault="003D5D7A" w:rsidP="00527835">
      <w:pPr>
        <w:tabs>
          <w:tab w:val="left" w:pos="2268"/>
          <w:tab w:val="left" w:pos="3261"/>
        </w:tabs>
        <w:jc w:val="both"/>
        <w:rPr>
          <w:bCs/>
          <w:sz w:val="24"/>
          <w:szCs w:val="24"/>
        </w:rPr>
      </w:pPr>
      <w:r w:rsidRPr="009A50DB">
        <w:rPr>
          <w:bCs/>
          <w:lang w:val="it-IT"/>
        </w:rPr>
        <w:t>OGYI-T-</w:t>
      </w:r>
      <w:r w:rsidR="00527835">
        <w:rPr>
          <w:bCs/>
          <w:lang w:val="it-IT"/>
        </w:rPr>
        <w:t>24777/01</w:t>
      </w:r>
      <w:r w:rsidRPr="009A50DB">
        <w:rPr>
          <w:bCs/>
          <w:lang w:val="it-IT"/>
        </w:rPr>
        <w:tab/>
      </w:r>
      <w:r w:rsidRPr="003D5D7A">
        <w:rPr>
          <w:bCs/>
          <w:lang w:val="it-IT"/>
        </w:rPr>
        <w:t>30×</w:t>
      </w:r>
      <w:r w:rsidR="00527835">
        <w:rPr>
          <w:bCs/>
          <w:lang w:val="it-IT"/>
        </w:rPr>
        <w:tab/>
      </w:r>
      <w:r w:rsidRPr="00324D24">
        <w:t>buborék</w:t>
      </w:r>
      <w:r>
        <w:t>csomagolásban</w:t>
      </w:r>
    </w:p>
    <w:p w14:paraId="3B103619" w14:textId="2C94A4C0" w:rsidR="00527835" w:rsidRPr="003D5D7A" w:rsidRDefault="00527835" w:rsidP="00527835">
      <w:pPr>
        <w:tabs>
          <w:tab w:val="left" w:pos="2268"/>
          <w:tab w:val="left" w:pos="3261"/>
        </w:tabs>
        <w:jc w:val="both"/>
        <w:rPr>
          <w:bCs/>
          <w:lang w:val="it-IT" w:eastAsia="en-US"/>
        </w:rPr>
      </w:pPr>
      <w:r w:rsidRPr="003D5D7A">
        <w:rPr>
          <w:bCs/>
          <w:lang w:val="it-IT" w:eastAsia="en-US"/>
        </w:rPr>
        <w:t>OGYI-T-</w:t>
      </w:r>
      <w:r>
        <w:rPr>
          <w:bCs/>
          <w:lang w:val="it-IT"/>
        </w:rPr>
        <w:t>24777/02</w:t>
      </w:r>
      <w:r w:rsidRPr="003D5D7A">
        <w:rPr>
          <w:bCs/>
          <w:lang w:val="it-IT" w:eastAsia="en-US"/>
        </w:rPr>
        <w:tab/>
        <w:t>30</w:t>
      </w:r>
      <w:bookmarkStart w:id="3" w:name="_Hlk164159621"/>
      <w:r w:rsidRPr="003D5D7A">
        <w:rPr>
          <w:bCs/>
          <w:lang w:val="it-IT" w:eastAsia="en-US"/>
        </w:rPr>
        <w:t>×</w:t>
      </w:r>
      <w:bookmarkEnd w:id="3"/>
      <w:r w:rsidRPr="003D5D7A">
        <w:rPr>
          <w:bCs/>
          <w:lang w:val="it-IT" w:eastAsia="en-US"/>
        </w:rPr>
        <w:t>1</w:t>
      </w:r>
      <w:r>
        <w:rPr>
          <w:bCs/>
          <w:lang w:val="it-IT" w:eastAsia="en-US"/>
        </w:rPr>
        <w:tab/>
      </w:r>
      <w:r>
        <w:t xml:space="preserve">adagonként perforált </w:t>
      </w:r>
      <w:r w:rsidRPr="00324D24">
        <w:t>buborék</w:t>
      </w:r>
      <w:r>
        <w:t>csomagolásban</w:t>
      </w:r>
    </w:p>
    <w:p w14:paraId="0E7A3BD9" w14:textId="3858F8A8" w:rsidR="003D5D7A" w:rsidRPr="003D5D7A" w:rsidRDefault="003D5D7A" w:rsidP="00527835">
      <w:pPr>
        <w:tabs>
          <w:tab w:val="left" w:pos="2268"/>
          <w:tab w:val="left" w:pos="3261"/>
        </w:tabs>
        <w:jc w:val="both"/>
        <w:rPr>
          <w:bCs/>
        </w:rPr>
      </w:pPr>
      <w:r w:rsidRPr="003D5D7A">
        <w:rPr>
          <w:bCs/>
        </w:rPr>
        <w:t>OGYI-T-</w:t>
      </w:r>
      <w:r w:rsidR="00527835">
        <w:rPr>
          <w:bCs/>
          <w:lang w:val="it-IT"/>
        </w:rPr>
        <w:t>24777/03</w:t>
      </w:r>
      <w:r w:rsidRPr="003D5D7A">
        <w:rPr>
          <w:bCs/>
        </w:rPr>
        <w:tab/>
        <w:t>60×</w:t>
      </w:r>
      <w:r w:rsidR="00527835">
        <w:rPr>
          <w:bCs/>
        </w:rPr>
        <w:tab/>
      </w:r>
      <w:r w:rsidRPr="00324D24">
        <w:t>buborék</w:t>
      </w:r>
      <w:r>
        <w:t>csomagolásban</w:t>
      </w:r>
    </w:p>
    <w:p w14:paraId="7612B0A8" w14:textId="7747A743" w:rsidR="00527835" w:rsidRPr="003D5D7A" w:rsidRDefault="00527835" w:rsidP="00527835">
      <w:pPr>
        <w:tabs>
          <w:tab w:val="left" w:pos="2268"/>
          <w:tab w:val="left" w:pos="3261"/>
        </w:tabs>
        <w:jc w:val="both"/>
        <w:rPr>
          <w:bCs/>
          <w:lang w:val="it-IT" w:eastAsia="en-US"/>
        </w:rPr>
      </w:pPr>
      <w:r w:rsidRPr="003D5D7A">
        <w:rPr>
          <w:bCs/>
          <w:lang w:val="it-IT" w:eastAsia="en-US"/>
        </w:rPr>
        <w:t>OGYI-T-</w:t>
      </w:r>
      <w:r>
        <w:rPr>
          <w:bCs/>
          <w:lang w:val="it-IT"/>
        </w:rPr>
        <w:t>24777/04</w:t>
      </w:r>
      <w:r w:rsidRPr="003D5D7A">
        <w:rPr>
          <w:bCs/>
          <w:lang w:val="it-IT" w:eastAsia="en-US"/>
        </w:rPr>
        <w:tab/>
        <w:t>60×1</w:t>
      </w:r>
      <w:r>
        <w:tab/>
        <w:t xml:space="preserve">adagonként perforált </w:t>
      </w:r>
      <w:r w:rsidRPr="00324D24">
        <w:t>buborék</w:t>
      </w:r>
      <w:r>
        <w:t>csomagolásban</w:t>
      </w:r>
    </w:p>
    <w:p w14:paraId="0256AA75" w14:textId="35D42804" w:rsidR="003D5D7A" w:rsidRPr="003D5D7A" w:rsidRDefault="003D5D7A" w:rsidP="00527835">
      <w:pPr>
        <w:tabs>
          <w:tab w:val="left" w:pos="2268"/>
          <w:tab w:val="left" w:pos="3261"/>
        </w:tabs>
        <w:jc w:val="both"/>
        <w:rPr>
          <w:bCs/>
        </w:rPr>
      </w:pPr>
      <w:r w:rsidRPr="003D5D7A">
        <w:rPr>
          <w:bCs/>
        </w:rPr>
        <w:t>OGYI-T-</w:t>
      </w:r>
      <w:r w:rsidR="00527835">
        <w:rPr>
          <w:bCs/>
          <w:lang w:val="it-IT"/>
        </w:rPr>
        <w:t>24777/05</w:t>
      </w:r>
      <w:r w:rsidRPr="003D5D7A">
        <w:rPr>
          <w:bCs/>
        </w:rPr>
        <w:tab/>
        <w:t>90×</w:t>
      </w:r>
      <w:r w:rsidR="00527835">
        <w:rPr>
          <w:bCs/>
        </w:rPr>
        <w:tab/>
      </w:r>
      <w:r w:rsidRPr="00324D24">
        <w:t>buborék</w:t>
      </w:r>
      <w:r>
        <w:t>csomagolásban</w:t>
      </w:r>
    </w:p>
    <w:p w14:paraId="018BD44C" w14:textId="437B2A7C" w:rsidR="00527835" w:rsidRPr="003D5D7A" w:rsidRDefault="00527835" w:rsidP="00527835">
      <w:pPr>
        <w:tabs>
          <w:tab w:val="left" w:pos="2268"/>
          <w:tab w:val="left" w:pos="3261"/>
        </w:tabs>
        <w:jc w:val="both"/>
        <w:rPr>
          <w:bCs/>
          <w:lang w:val="it-IT" w:eastAsia="en-US"/>
        </w:rPr>
      </w:pPr>
      <w:r w:rsidRPr="003D5D7A">
        <w:rPr>
          <w:bCs/>
          <w:lang w:val="it-IT" w:eastAsia="en-US"/>
        </w:rPr>
        <w:t>OGYI-T-</w:t>
      </w:r>
      <w:r>
        <w:rPr>
          <w:bCs/>
          <w:lang w:val="it-IT"/>
        </w:rPr>
        <w:t>24777/06</w:t>
      </w:r>
      <w:r w:rsidRPr="003D5D7A">
        <w:rPr>
          <w:bCs/>
          <w:lang w:val="it-IT" w:eastAsia="en-US"/>
        </w:rPr>
        <w:tab/>
        <w:t>90×1</w:t>
      </w:r>
      <w:r>
        <w:rPr>
          <w:bCs/>
          <w:lang w:val="it-IT" w:eastAsia="en-US"/>
        </w:rPr>
        <w:tab/>
      </w:r>
      <w:r>
        <w:t xml:space="preserve">adagonként perforált </w:t>
      </w:r>
      <w:r w:rsidRPr="00324D24">
        <w:t>buborék</w:t>
      </w:r>
      <w:r>
        <w:t>csomagolásban</w:t>
      </w:r>
    </w:p>
    <w:p w14:paraId="51D60DF0" w14:textId="16D766CB" w:rsidR="003D5D7A" w:rsidRPr="003D5D7A" w:rsidRDefault="003D5D7A" w:rsidP="00527835">
      <w:pPr>
        <w:tabs>
          <w:tab w:val="left" w:pos="2268"/>
          <w:tab w:val="left" w:pos="3261"/>
        </w:tabs>
        <w:jc w:val="both"/>
        <w:rPr>
          <w:bCs/>
        </w:rPr>
      </w:pPr>
      <w:r w:rsidRPr="003D5D7A">
        <w:rPr>
          <w:bCs/>
        </w:rPr>
        <w:t>OGYI-T-</w:t>
      </w:r>
      <w:r w:rsidR="00527835">
        <w:rPr>
          <w:bCs/>
          <w:lang w:val="it-IT"/>
        </w:rPr>
        <w:t>24777/07</w:t>
      </w:r>
      <w:r w:rsidRPr="003D5D7A">
        <w:rPr>
          <w:bCs/>
        </w:rPr>
        <w:tab/>
        <w:t>120×</w:t>
      </w:r>
      <w:r w:rsidR="00527835">
        <w:rPr>
          <w:bCs/>
        </w:rPr>
        <w:tab/>
      </w:r>
      <w:r w:rsidRPr="00324D24">
        <w:t>buborék</w:t>
      </w:r>
      <w:r>
        <w:t>csomagolásban</w:t>
      </w:r>
    </w:p>
    <w:p w14:paraId="55682F34" w14:textId="00CBC0F2" w:rsidR="003D5D7A" w:rsidRPr="00CC170B" w:rsidRDefault="003D5D7A" w:rsidP="00527835">
      <w:pPr>
        <w:tabs>
          <w:tab w:val="left" w:pos="2268"/>
          <w:tab w:val="left" w:pos="3261"/>
        </w:tabs>
      </w:pPr>
      <w:r w:rsidRPr="003D5D7A">
        <w:rPr>
          <w:bCs/>
          <w:lang w:val="it-IT" w:eastAsia="en-US"/>
        </w:rPr>
        <w:t>OGYI-T-</w:t>
      </w:r>
      <w:r w:rsidR="00527835">
        <w:rPr>
          <w:bCs/>
          <w:lang w:val="it-IT"/>
        </w:rPr>
        <w:t>24777/08</w:t>
      </w:r>
      <w:r w:rsidRPr="003D5D7A">
        <w:rPr>
          <w:bCs/>
          <w:lang w:val="it-IT" w:eastAsia="en-US"/>
        </w:rPr>
        <w:tab/>
        <w:t>120×1</w:t>
      </w:r>
      <w:r w:rsidR="00527835">
        <w:rPr>
          <w:bCs/>
          <w:lang w:val="it-IT" w:eastAsia="en-US"/>
        </w:rPr>
        <w:tab/>
      </w:r>
      <w:r>
        <w:t xml:space="preserve">adagonként perforált </w:t>
      </w:r>
      <w:r w:rsidRPr="00324D24">
        <w:t>buborék</w:t>
      </w:r>
      <w:r>
        <w:t>csomagolásban</w:t>
      </w:r>
    </w:p>
    <w:p w14:paraId="7267AAE5" w14:textId="77777777" w:rsidR="00FC0D76" w:rsidRDefault="00FC0D76" w:rsidP="00FC0D76"/>
    <w:p w14:paraId="72D36B8E" w14:textId="66083AB3" w:rsidR="00527835" w:rsidRPr="00931686" w:rsidRDefault="00527835" w:rsidP="00527835">
      <w:pPr>
        <w:rPr>
          <w:u w:val="single"/>
        </w:rPr>
      </w:pPr>
      <w:r>
        <w:rPr>
          <w:u w:val="single"/>
        </w:rPr>
        <w:t>Imatinib 1 A Pharma 4</w:t>
      </w:r>
      <w:r w:rsidRPr="00931686">
        <w:rPr>
          <w:u w:val="single"/>
        </w:rPr>
        <w:t>00 mg</w:t>
      </w:r>
      <w:r w:rsidRPr="00931686">
        <w:rPr>
          <w:spacing w:val="-9"/>
          <w:u w:val="single"/>
        </w:rPr>
        <w:t xml:space="preserve"> </w:t>
      </w:r>
      <w:r w:rsidRPr="00931686">
        <w:rPr>
          <w:u w:val="single"/>
        </w:rPr>
        <w:t>filmtabletta</w:t>
      </w:r>
    </w:p>
    <w:p w14:paraId="007C0080" w14:textId="63B47B70" w:rsidR="00527835" w:rsidRPr="00527835" w:rsidRDefault="00527835" w:rsidP="00527835">
      <w:pPr>
        <w:tabs>
          <w:tab w:val="left" w:pos="2268"/>
          <w:tab w:val="left" w:pos="3261"/>
        </w:tabs>
        <w:jc w:val="both"/>
        <w:rPr>
          <w:bCs/>
          <w:lang w:val="it-IT" w:eastAsia="en-US"/>
        </w:rPr>
      </w:pPr>
      <w:r w:rsidRPr="009A50DB">
        <w:rPr>
          <w:bCs/>
          <w:lang w:val="it-IT" w:eastAsia="en-US"/>
        </w:rPr>
        <w:t>OGYI-T-</w:t>
      </w:r>
      <w:r>
        <w:rPr>
          <w:bCs/>
          <w:lang w:val="it-IT" w:eastAsia="en-US"/>
        </w:rPr>
        <w:t>24777/09</w:t>
      </w:r>
      <w:r w:rsidRPr="009A50DB">
        <w:rPr>
          <w:bCs/>
          <w:lang w:val="it-IT" w:eastAsia="en-US"/>
        </w:rPr>
        <w:tab/>
      </w:r>
      <w:r w:rsidRPr="003D5D7A">
        <w:rPr>
          <w:bCs/>
          <w:lang w:val="it-IT" w:eastAsia="en-US"/>
        </w:rPr>
        <w:t>30×</w:t>
      </w:r>
      <w:r>
        <w:rPr>
          <w:bCs/>
          <w:lang w:val="it-IT" w:eastAsia="en-US"/>
        </w:rPr>
        <w:tab/>
      </w:r>
      <w:r w:rsidRPr="00527835">
        <w:rPr>
          <w:bCs/>
          <w:lang w:val="it-IT" w:eastAsia="en-US"/>
        </w:rPr>
        <w:t>buborékcsomagolásban</w:t>
      </w:r>
    </w:p>
    <w:p w14:paraId="302BE02E" w14:textId="40CF9670" w:rsidR="00527835" w:rsidRPr="003D5D7A" w:rsidRDefault="00527835" w:rsidP="00527835">
      <w:pPr>
        <w:tabs>
          <w:tab w:val="left" w:pos="2268"/>
          <w:tab w:val="left" w:pos="3261"/>
        </w:tabs>
        <w:jc w:val="both"/>
        <w:rPr>
          <w:bCs/>
          <w:lang w:val="it-IT" w:eastAsia="en-US"/>
        </w:rPr>
      </w:pPr>
      <w:r w:rsidRPr="003D5D7A">
        <w:rPr>
          <w:bCs/>
          <w:lang w:val="it-IT" w:eastAsia="en-US"/>
        </w:rPr>
        <w:t>OGYI-T-</w:t>
      </w:r>
      <w:r>
        <w:rPr>
          <w:bCs/>
          <w:lang w:val="it-IT" w:eastAsia="en-US"/>
        </w:rPr>
        <w:t>24777/10</w:t>
      </w:r>
      <w:r w:rsidRPr="003D5D7A">
        <w:rPr>
          <w:bCs/>
          <w:lang w:val="it-IT" w:eastAsia="en-US"/>
        </w:rPr>
        <w:tab/>
        <w:t>30×1</w:t>
      </w:r>
      <w:r>
        <w:rPr>
          <w:bCs/>
          <w:lang w:val="it-IT" w:eastAsia="en-US"/>
        </w:rPr>
        <w:tab/>
      </w:r>
      <w:r w:rsidRPr="00527835">
        <w:rPr>
          <w:bCs/>
          <w:lang w:val="it-IT" w:eastAsia="en-US"/>
        </w:rPr>
        <w:t>adagonként perforált buborékcsomagolásban</w:t>
      </w:r>
    </w:p>
    <w:p w14:paraId="1E440899" w14:textId="555C55D0" w:rsidR="00527835" w:rsidRPr="00527835" w:rsidRDefault="00527835" w:rsidP="00527835">
      <w:pPr>
        <w:tabs>
          <w:tab w:val="left" w:pos="2268"/>
          <w:tab w:val="left" w:pos="3261"/>
        </w:tabs>
        <w:jc w:val="both"/>
        <w:rPr>
          <w:bCs/>
          <w:lang w:val="it-IT" w:eastAsia="en-US"/>
        </w:rPr>
      </w:pPr>
      <w:r w:rsidRPr="00527835">
        <w:rPr>
          <w:bCs/>
          <w:lang w:val="it-IT" w:eastAsia="en-US"/>
        </w:rPr>
        <w:t>OGYI-T-</w:t>
      </w:r>
      <w:r>
        <w:rPr>
          <w:bCs/>
          <w:lang w:val="it-IT" w:eastAsia="en-US"/>
        </w:rPr>
        <w:t>24777/11</w:t>
      </w:r>
      <w:r w:rsidRPr="00527835">
        <w:rPr>
          <w:bCs/>
          <w:lang w:val="it-IT" w:eastAsia="en-US"/>
        </w:rPr>
        <w:tab/>
        <w:t>60×</w:t>
      </w:r>
      <w:r w:rsidRPr="00527835">
        <w:rPr>
          <w:bCs/>
          <w:lang w:val="it-IT" w:eastAsia="en-US"/>
        </w:rPr>
        <w:tab/>
        <w:t>buborékcsomagolásban</w:t>
      </w:r>
    </w:p>
    <w:p w14:paraId="330AAA4A" w14:textId="3A852FA9" w:rsidR="00527835" w:rsidRPr="003D5D7A" w:rsidRDefault="00527835" w:rsidP="00527835">
      <w:pPr>
        <w:tabs>
          <w:tab w:val="left" w:pos="2268"/>
          <w:tab w:val="left" w:pos="3261"/>
        </w:tabs>
        <w:jc w:val="both"/>
        <w:rPr>
          <w:bCs/>
          <w:lang w:val="it-IT" w:eastAsia="en-US"/>
        </w:rPr>
      </w:pPr>
      <w:r w:rsidRPr="003D5D7A">
        <w:rPr>
          <w:bCs/>
          <w:lang w:val="it-IT" w:eastAsia="en-US"/>
        </w:rPr>
        <w:t>OGYI-T-</w:t>
      </w:r>
      <w:r>
        <w:rPr>
          <w:bCs/>
          <w:lang w:val="it-IT" w:eastAsia="en-US"/>
        </w:rPr>
        <w:t>24777/12</w:t>
      </w:r>
      <w:r w:rsidRPr="003D5D7A">
        <w:rPr>
          <w:bCs/>
          <w:lang w:val="it-IT" w:eastAsia="en-US"/>
        </w:rPr>
        <w:tab/>
        <w:t>60×1</w:t>
      </w:r>
      <w:r w:rsidRPr="00527835">
        <w:rPr>
          <w:bCs/>
          <w:lang w:val="it-IT" w:eastAsia="en-US"/>
        </w:rPr>
        <w:tab/>
        <w:t>adagonként perforált buborékcsomagolásban</w:t>
      </w:r>
    </w:p>
    <w:p w14:paraId="3B33ACC4" w14:textId="5A8FBE96" w:rsidR="00527835" w:rsidRPr="00527835" w:rsidRDefault="00527835" w:rsidP="00527835">
      <w:pPr>
        <w:tabs>
          <w:tab w:val="left" w:pos="2268"/>
          <w:tab w:val="left" w:pos="3261"/>
        </w:tabs>
        <w:jc w:val="both"/>
        <w:rPr>
          <w:bCs/>
          <w:lang w:val="it-IT" w:eastAsia="en-US"/>
        </w:rPr>
      </w:pPr>
      <w:r w:rsidRPr="00527835">
        <w:rPr>
          <w:bCs/>
          <w:lang w:val="it-IT" w:eastAsia="en-US"/>
        </w:rPr>
        <w:t>OGYI-T-</w:t>
      </w:r>
      <w:r>
        <w:rPr>
          <w:bCs/>
          <w:lang w:val="it-IT" w:eastAsia="en-US"/>
        </w:rPr>
        <w:t>24777/13</w:t>
      </w:r>
      <w:r w:rsidRPr="00527835">
        <w:rPr>
          <w:bCs/>
          <w:lang w:val="it-IT" w:eastAsia="en-US"/>
        </w:rPr>
        <w:tab/>
        <w:t>90×</w:t>
      </w:r>
      <w:r w:rsidRPr="00527835">
        <w:rPr>
          <w:bCs/>
          <w:lang w:val="it-IT" w:eastAsia="en-US"/>
        </w:rPr>
        <w:tab/>
        <w:t>buborékcsomagolásban</w:t>
      </w:r>
    </w:p>
    <w:p w14:paraId="4877AF29" w14:textId="093E820C" w:rsidR="00527835" w:rsidRPr="003D5D7A" w:rsidRDefault="00527835" w:rsidP="00527835">
      <w:pPr>
        <w:tabs>
          <w:tab w:val="left" w:pos="2268"/>
          <w:tab w:val="left" w:pos="3261"/>
        </w:tabs>
        <w:jc w:val="both"/>
        <w:rPr>
          <w:bCs/>
          <w:lang w:val="it-IT" w:eastAsia="en-US"/>
        </w:rPr>
      </w:pPr>
      <w:r w:rsidRPr="003D5D7A">
        <w:rPr>
          <w:bCs/>
          <w:lang w:val="it-IT" w:eastAsia="en-US"/>
        </w:rPr>
        <w:t>OGYI-T-</w:t>
      </w:r>
      <w:r>
        <w:rPr>
          <w:bCs/>
          <w:lang w:val="it-IT" w:eastAsia="en-US"/>
        </w:rPr>
        <w:t>24777/14</w:t>
      </w:r>
      <w:r w:rsidRPr="003D5D7A">
        <w:rPr>
          <w:bCs/>
          <w:lang w:val="it-IT" w:eastAsia="en-US"/>
        </w:rPr>
        <w:tab/>
        <w:t>90×1</w:t>
      </w:r>
      <w:r>
        <w:rPr>
          <w:bCs/>
          <w:lang w:val="it-IT" w:eastAsia="en-US"/>
        </w:rPr>
        <w:tab/>
      </w:r>
      <w:r w:rsidRPr="00527835">
        <w:rPr>
          <w:bCs/>
          <w:lang w:val="it-IT" w:eastAsia="en-US"/>
        </w:rPr>
        <w:t>adagonként perforált buborékcsomagolásban</w:t>
      </w:r>
    </w:p>
    <w:p w14:paraId="5E5887B5" w14:textId="4B69FC18" w:rsidR="003D5D7A" w:rsidRPr="00527835" w:rsidRDefault="003D5D7A" w:rsidP="00FC0D76">
      <w:pPr>
        <w:rPr>
          <w:lang w:val="it-IT"/>
        </w:rPr>
      </w:pPr>
    </w:p>
    <w:p w14:paraId="3BF8FC4F" w14:textId="77777777" w:rsidR="00527835" w:rsidRPr="00CC170B" w:rsidRDefault="00527835" w:rsidP="00FC0D76"/>
    <w:p w14:paraId="0E140C5B" w14:textId="0B833088" w:rsidR="00FC0D76" w:rsidRPr="00C64C0E" w:rsidRDefault="00FC0D76" w:rsidP="00C64C0E">
      <w:pPr>
        <w:pStyle w:val="Listaszerbekezds"/>
        <w:numPr>
          <w:ilvl w:val="0"/>
          <w:numId w:val="32"/>
        </w:numPr>
        <w:ind w:left="567" w:hanging="567"/>
        <w:rPr>
          <w:b/>
          <w:bCs/>
        </w:rPr>
      </w:pPr>
      <w:r w:rsidRPr="00C64C0E">
        <w:rPr>
          <w:b/>
          <w:bCs/>
        </w:rPr>
        <w:t>A FORGALOMBAHOZATALI ENGEDÉLY ELSŐ</w:t>
      </w:r>
      <w:r w:rsidRPr="00C64C0E">
        <w:rPr>
          <w:b/>
          <w:bCs/>
          <w:spacing w:val="-6"/>
        </w:rPr>
        <w:t xml:space="preserve"> </w:t>
      </w:r>
      <w:r w:rsidRPr="00C64C0E">
        <w:rPr>
          <w:b/>
          <w:bCs/>
        </w:rPr>
        <w:t>KIADÁSÁNAK/</w:t>
      </w:r>
    </w:p>
    <w:p w14:paraId="322AA799" w14:textId="77777777" w:rsidR="00FC0D76" w:rsidRPr="00CC170B" w:rsidRDefault="00FC0D76" w:rsidP="00C64C0E">
      <w:pPr>
        <w:ind w:firstLine="567"/>
        <w:rPr>
          <w:b/>
        </w:rPr>
      </w:pPr>
      <w:r w:rsidRPr="00CC170B">
        <w:rPr>
          <w:b/>
        </w:rPr>
        <w:t>MEGÚJÍTÁSÁNAK DÁTUMA</w:t>
      </w:r>
    </w:p>
    <w:p w14:paraId="296C5653" w14:textId="77777777" w:rsidR="00FC0D76" w:rsidRPr="00E26FF4" w:rsidRDefault="00FC0D76" w:rsidP="00FC0D76">
      <w:pPr>
        <w:rPr>
          <w:bCs/>
        </w:rPr>
      </w:pPr>
    </w:p>
    <w:p w14:paraId="5DE302AC" w14:textId="535E6431" w:rsidR="00FC0D76" w:rsidRPr="00CC170B" w:rsidRDefault="00FC0D76" w:rsidP="00E26FF4">
      <w:r w:rsidRPr="00CC170B">
        <w:t>A forgalomba</w:t>
      </w:r>
      <w:r w:rsidR="00E26FF4">
        <w:t xml:space="preserve"> </w:t>
      </w:r>
      <w:r w:rsidRPr="00CC170B">
        <w:t xml:space="preserve">hozatali engedély első kiadásának dátuma: </w:t>
      </w:r>
      <w:r w:rsidR="00363EBB">
        <w:t>2026. augusztus 14.</w:t>
      </w:r>
    </w:p>
    <w:p w14:paraId="68EA5BAC" w14:textId="77777777" w:rsidR="00FC0D76" w:rsidRPr="00CC170B" w:rsidRDefault="00FC0D76" w:rsidP="00FC0D76"/>
    <w:p w14:paraId="01CBB180" w14:textId="77777777" w:rsidR="00FC0D76" w:rsidRPr="00CC170B" w:rsidRDefault="00FC0D76" w:rsidP="00FC0D76"/>
    <w:p w14:paraId="7E653112" w14:textId="6ED6C29F" w:rsidR="00FC0D76" w:rsidRPr="00E26FF4" w:rsidRDefault="00FC0D76" w:rsidP="00E26FF4">
      <w:pPr>
        <w:pStyle w:val="Listaszerbekezds"/>
        <w:numPr>
          <w:ilvl w:val="0"/>
          <w:numId w:val="32"/>
        </w:numPr>
        <w:ind w:left="567" w:hanging="567"/>
        <w:rPr>
          <w:b/>
          <w:bCs/>
        </w:rPr>
      </w:pPr>
      <w:r w:rsidRPr="00E26FF4">
        <w:rPr>
          <w:b/>
          <w:bCs/>
        </w:rPr>
        <w:t>A SZÖVEG ELLENŐRZÉSÉNEK</w:t>
      </w:r>
      <w:r w:rsidRPr="00E26FF4">
        <w:rPr>
          <w:b/>
          <w:bCs/>
          <w:spacing w:val="-3"/>
        </w:rPr>
        <w:t xml:space="preserve"> </w:t>
      </w:r>
      <w:r w:rsidRPr="00E26FF4">
        <w:rPr>
          <w:b/>
          <w:bCs/>
        </w:rPr>
        <w:t>DÁTUMA</w:t>
      </w:r>
    </w:p>
    <w:p w14:paraId="0B187AE0" w14:textId="77777777" w:rsidR="00FC0D76" w:rsidRPr="00E26FF4" w:rsidRDefault="00FC0D76" w:rsidP="00FC0D76">
      <w:pPr>
        <w:rPr>
          <w:bCs/>
        </w:rPr>
      </w:pPr>
    </w:p>
    <w:p w14:paraId="452EAD2E" w14:textId="1333362A" w:rsidR="00FC0D76" w:rsidRPr="00E26FF4" w:rsidRDefault="00363EBB" w:rsidP="00FC0D76">
      <w:pPr>
        <w:rPr>
          <w:bCs/>
        </w:rPr>
      </w:pPr>
      <w:r>
        <w:t>2026. augusztus 14.</w:t>
      </w:r>
    </w:p>
    <w:sectPr w:rsidR="00FC0D76" w:rsidRPr="00E26FF4" w:rsidSect="00931686">
      <w:headerReference w:type="default" r:id="rId10"/>
      <w:footerReference w:type="first" r:id="rId11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D6243" w14:textId="77777777" w:rsidR="005010DD" w:rsidRDefault="005010DD" w:rsidP="0088382A">
      <w:r>
        <w:separator/>
      </w:r>
    </w:p>
  </w:endnote>
  <w:endnote w:type="continuationSeparator" w:id="0">
    <w:p w14:paraId="0E6880B6" w14:textId="77777777" w:rsidR="005010DD" w:rsidRDefault="005010DD" w:rsidP="00883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3C66E3" w14:textId="254E5FA1" w:rsidR="0009105E" w:rsidRPr="00931686" w:rsidRDefault="00C839DC" w:rsidP="0009105E">
    <w:pPr>
      <w:pStyle w:val="llb"/>
      <w:rPr>
        <w:sz w:val="18"/>
        <w:szCs w:val="18"/>
      </w:rPr>
    </w:pPr>
    <w:r>
      <w:rPr>
        <w:sz w:val="18"/>
        <w:szCs w:val="18"/>
      </w:rPr>
      <w:t>NNGYK/GYSZ/24917/2024</w:t>
    </w:r>
  </w:p>
  <w:p w14:paraId="03A77C72" w14:textId="692FA0F4" w:rsidR="0009105E" w:rsidRDefault="00C839DC" w:rsidP="0009105E">
    <w:pPr>
      <w:pStyle w:val="llb"/>
    </w:pPr>
    <w:r>
      <w:rPr>
        <w:sz w:val="18"/>
        <w:szCs w:val="18"/>
      </w:rPr>
      <w:t>NNGYK/GYSZ/24918/2024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34FFAA" w14:textId="77777777" w:rsidR="005010DD" w:rsidRDefault="005010DD" w:rsidP="0088382A">
      <w:r>
        <w:separator/>
      </w:r>
    </w:p>
  </w:footnote>
  <w:footnote w:type="continuationSeparator" w:id="0">
    <w:p w14:paraId="5FB211C2" w14:textId="77777777" w:rsidR="005010DD" w:rsidRDefault="005010DD" w:rsidP="008838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681514199"/>
      <w:docPartObj>
        <w:docPartGallery w:val="Page Numbers (Top of Page)"/>
        <w:docPartUnique/>
      </w:docPartObj>
    </w:sdtPr>
    <w:sdtEndPr/>
    <w:sdtContent>
      <w:p w14:paraId="1309675B" w14:textId="755D48F2" w:rsidR="000B1D6D" w:rsidRPr="00931686" w:rsidRDefault="00836EB1" w:rsidP="00836EB1">
        <w:pPr>
          <w:pStyle w:val="lfej"/>
          <w:jc w:val="center"/>
          <w:rPr>
            <w:sz w:val="18"/>
            <w:szCs w:val="18"/>
          </w:rPr>
        </w:pPr>
        <w:r w:rsidRPr="00931686">
          <w:rPr>
            <w:sz w:val="18"/>
            <w:szCs w:val="18"/>
          </w:rPr>
          <w:fldChar w:fldCharType="begin"/>
        </w:r>
        <w:r w:rsidRPr="00931686">
          <w:rPr>
            <w:sz w:val="18"/>
            <w:szCs w:val="18"/>
          </w:rPr>
          <w:instrText>PAGE   \* MERGEFORMAT</w:instrText>
        </w:r>
        <w:r w:rsidRPr="00931686">
          <w:rPr>
            <w:sz w:val="18"/>
            <w:szCs w:val="18"/>
          </w:rPr>
          <w:fldChar w:fldCharType="separate"/>
        </w:r>
        <w:r w:rsidR="00C839DC">
          <w:rPr>
            <w:noProof/>
            <w:sz w:val="18"/>
            <w:szCs w:val="18"/>
          </w:rPr>
          <w:t>2</w:t>
        </w:r>
        <w:r w:rsidRPr="00931686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E48E5"/>
    <w:multiLevelType w:val="hybridMultilevel"/>
    <w:tmpl w:val="9386EF3E"/>
    <w:lvl w:ilvl="0" w:tplc="BC98BA30">
      <w:start w:val="1"/>
      <w:numFmt w:val="decimal"/>
      <w:lvlText w:val="%1."/>
      <w:lvlJc w:val="left"/>
      <w:pPr>
        <w:ind w:left="946" w:hanging="568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612EAA6E">
      <w:numFmt w:val="bullet"/>
      <w:lvlText w:val="•"/>
      <w:lvlJc w:val="left"/>
      <w:pPr>
        <w:ind w:left="1932" w:hanging="568"/>
      </w:pPr>
      <w:rPr>
        <w:rFonts w:hint="default"/>
        <w:lang w:val="hu-HU" w:eastAsia="hu-HU" w:bidi="hu-HU"/>
      </w:rPr>
    </w:lvl>
    <w:lvl w:ilvl="2" w:tplc="ECEA75B2">
      <w:numFmt w:val="bullet"/>
      <w:lvlText w:val="•"/>
      <w:lvlJc w:val="left"/>
      <w:pPr>
        <w:ind w:left="2925" w:hanging="568"/>
      </w:pPr>
      <w:rPr>
        <w:rFonts w:hint="default"/>
        <w:lang w:val="hu-HU" w:eastAsia="hu-HU" w:bidi="hu-HU"/>
      </w:rPr>
    </w:lvl>
    <w:lvl w:ilvl="3" w:tplc="C2C8F97C">
      <w:numFmt w:val="bullet"/>
      <w:lvlText w:val="•"/>
      <w:lvlJc w:val="left"/>
      <w:pPr>
        <w:ind w:left="3917" w:hanging="568"/>
      </w:pPr>
      <w:rPr>
        <w:rFonts w:hint="default"/>
        <w:lang w:val="hu-HU" w:eastAsia="hu-HU" w:bidi="hu-HU"/>
      </w:rPr>
    </w:lvl>
    <w:lvl w:ilvl="4" w:tplc="B296B6F2">
      <w:numFmt w:val="bullet"/>
      <w:lvlText w:val="•"/>
      <w:lvlJc w:val="left"/>
      <w:pPr>
        <w:ind w:left="4910" w:hanging="568"/>
      </w:pPr>
      <w:rPr>
        <w:rFonts w:hint="default"/>
        <w:lang w:val="hu-HU" w:eastAsia="hu-HU" w:bidi="hu-HU"/>
      </w:rPr>
    </w:lvl>
    <w:lvl w:ilvl="5" w:tplc="F0B602AC">
      <w:numFmt w:val="bullet"/>
      <w:lvlText w:val="•"/>
      <w:lvlJc w:val="left"/>
      <w:pPr>
        <w:ind w:left="5902" w:hanging="568"/>
      </w:pPr>
      <w:rPr>
        <w:rFonts w:hint="default"/>
        <w:lang w:val="hu-HU" w:eastAsia="hu-HU" w:bidi="hu-HU"/>
      </w:rPr>
    </w:lvl>
    <w:lvl w:ilvl="6" w:tplc="E22C3638">
      <w:numFmt w:val="bullet"/>
      <w:lvlText w:val="•"/>
      <w:lvlJc w:val="left"/>
      <w:pPr>
        <w:ind w:left="6895" w:hanging="568"/>
      </w:pPr>
      <w:rPr>
        <w:rFonts w:hint="default"/>
        <w:lang w:val="hu-HU" w:eastAsia="hu-HU" w:bidi="hu-HU"/>
      </w:rPr>
    </w:lvl>
    <w:lvl w:ilvl="7" w:tplc="4DB80516">
      <w:numFmt w:val="bullet"/>
      <w:lvlText w:val="•"/>
      <w:lvlJc w:val="left"/>
      <w:pPr>
        <w:ind w:left="7887" w:hanging="568"/>
      </w:pPr>
      <w:rPr>
        <w:rFonts w:hint="default"/>
        <w:lang w:val="hu-HU" w:eastAsia="hu-HU" w:bidi="hu-HU"/>
      </w:rPr>
    </w:lvl>
    <w:lvl w:ilvl="8" w:tplc="76F02FF0">
      <w:numFmt w:val="bullet"/>
      <w:lvlText w:val="•"/>
      <w:lvlJc w:val="left"/>
      <w:pPr>
        <w:ind w:left="8880" w:hanging="568"/>
      </w:pPr>
      <w:rPr>
        <w:rFonts w:hint="default"/>
        <w:lang w:val="hu-HU" w:eastAsia="hu-HU" w:bidi="hu-HU"/>
      </w:rPr>
    </w:lvl>
  </w:abstractNum>
  <w:abstractNum w:abstractNumId="1" w15:restartNumberingAfterBreak="0">
    <w:nsid w:val="12AC1639"/>
    <w:multiLevelType w:val="hybridMultilevel"/>
    <w:tmpl w:val="6E5C47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30F22"/>
    <w:multiLevelType w:val="hybridMultilevel"/>
    <w:tmpl w:val="5B8678D8"/>
    <w:lvl w:ilvl="0" w:tplc="83F0FB24">
      <w:start w:val="2"/>
      <w:numFmt w:val="decimal"/>
      <w:lvlText w:val="%1."/>
      <w:lvlJc w:val="left"/>
      <w:pPr>
        <w:ind w:left="1512" w:hanging="222"/>
      </w:pPr>
      <w:rPr>
        <w:rFonts w:hint="default"/>
        <w:b/>
        <w:bCs/>
        <w:w w:val="99"/>
        <w:lang w:val="hu-HU" w:eastAsia="hu-HU" w:bidi="hu-HU"/>
      </w:rPr>
    </w:lvl>
    <w:lvl w:ilvl="1" w:tplc="2FB21B70">
      <w:numFmt w:val="bullet"/>
      <w:lvlText w:val="•"/>
      <w:lvlJc w:val="left"/>
      <w:pPr>
        <w:ind w:left="2454" w:hanging="222"/>
      </w:pPr>
      <w:rPr>
        <w:rFonts w:hint="default"/>
        <w:lang w:val="hu-HU" w:eastAsia="hu-HU" w:bidi="hu-HU"/>
      </w:rPr>
    </w:lvl>
    <w:lvl w:ilvl="2" w:tplc="0226D67E">
      <w:numFmt w:val="bullet"/>
      <w:lvlText w:val="•"/>
      <w:lvlJc w:val="left"/>
      <w:pPr>
        <w:ind w:left="3389" w:hanging="222"/>
      </w:pPr>
      <w:rPr>
        <w:rFonts w:hint="default"/>
        <w:lang w:val="hu-HU" w:eastAsia="hu-HU" w:bidi="hu-HU"/>
      </w:rPr>
    </w:lvl>
    <w:lvl w:ilvl="3" w:tplc="43E661BC">
      <w:numFmt w:val="bullet"/>
      <w:lvlText w:val="•"/>
      <w:lvlJc w:val="left"/>
      <w:pPr>
        <w:ind w:left="4323" w:hanging="222"/>
      </w:pPr>
      <w:rPr>
        <w:rFonts w:hint="default"/>
        <w:lang w:val="hu-HU" w:eastAsia="hu-HU" w:bidi="hu-HU"/>
      </w:rPr>
    </w:lvl>
    <w:lvl w:ilvl="4" w:tplc="D8B4F93A">
      <w:numFmt w:val="bullet"/>
      <w:lvlText w:val="•"/>
      <w:lvlJc w:val="left"/>
      <w:pPr>
        <w:ind w:left="5258" w:hanging="222"/>
      </w:pPr>
      <w:rPr>
        <w:rFonts w:hint="default"/>
        <w:lang w:val="hu-HU" w:eastAsia="hu-HU" w:bidi="hu-HU"/>
      </w:rPr>
    </w:lvl>
    <w:lvl w:ilvl="5" w:tplc="CD34FCF8">
      <w:numFmt w:val="bullet"/>
      <w:lvlText w:val="•"/>
      <w:lvlJc w:val="left"/>
      <w:pPr>
        <w:ind w:left="6192" w:hanging="222"/>
      </w:pPr>
      <w:rPr>
        <w:rFonts w:hint="default"/>
        <w:lang w:val="hu-HU" w:eastAsia="hu-HU" w:bidi="hu-HU"/>
      </w:rPr>
    </w:lvl>
    <w:lvl w:ilvl="6" w:tplc="5CB289E2">
      <w:numFmt w:val="bullet"/>
      <w:lvlText w:val="•"/>
      <w:lvlJc w:val="left"/>
      <w:pPr>
        <w:ind w:left="7127" w:hanging="222"/>
      </w:pPr>
      <w:rPr>
        <w:rFonts w:hint="default"/>
        <w:lang w:val="hu-HU" w:eastAsia="hu-HU" w:bidi="hu-HU"/>
      </w:rPr>
    </w:lvl>
    <w:lvl w:ilvl="7" w:tplc="05642ABA">
      <w:numFmt w:val="bullet"/>
      <w:lvlText w:val="•"/>
      <w:lvlJc w:val="left"/>
      <w:pPr>
        <w:ind w:left="8061" w:hanging="222"/>
      </w:pPr>
      <w:rPr>
        <w:rFonts w:hint="default"/>
        <w:lang w:val="hu-HU" w:eastAsia="hu-HU" w:bidi="hu-HU"/>
      </w:rPr>
    </w:lvl>
    <w:lvl w:ilvl="8" w:tplc="8790245C">
      <w:numFmt w:val="bullet"/>
      <w:lvlText w:val="•"/>
      <w:lvlJc w:val="left"/>
      <w:pPr>
        <w:ind w:left="8996" w:hanging="222"/>
      </w:pPr>
      <w:rPr>
        <w:rFonts w:hint="default"/>
        <w:lang w:val="hu-HU" w:eastAsia="hu-HU" w:bidi="hu-HU"/>
      </w:rPr>
    </w:lvl>
  </w:abstractNum>
  <w:abstractNum w:abstractNumId="3" w15:restartNumberingAfterBreak="0">
    <w:nsid w:val="1DF31C20"/>
    <w:multiLevelType w:val="hybridMultilevel"/>
    <w:tmpl w:val="78663FC0"/>
    <w:lvl w:ilvl="0" w:tplc="2B2456F2">
      <w:numFmt w:val="bullet"/>
      <w:lvlText w:val=""/>
      <w:lvlJc w:val="left"/>
      <w:pPr>
        <w:ind w:left="946" w:hanging="568"/>
      </w:pPr>
      <w:rPr>
        <w:rFonts w:ascii="Symbol" w:eastAsia="Symbol" w:hAnsi="Symbol" w:cs="Symbol" w:hint="default"/>
        <w:w w:val="99"/>
        <w:sz w:val="22"/>
        <w:szCs w:val="22"/>
        <w:lang w:val="hu-HU" w:eastAsia="hu-HU" w:bidi="hu-HU"/>
      </w:rPr>
    </w:lvl>
    <w:lvl w:ilvl="1" w:tplc="04766E52">
      <w:numFmt w:val="bullet"/>
      <w:lvlText w:val=""/>
      <w:lvlJc w:val="left"/>
      <w:pPr>
        <w:ind w:left="1512" w:hanging="568"/>
      </w:pPr>
      <w:rPr>
        <w:rFonts w:ascii="Symbol" w:eastAsia="Symbol" w:hAnsi="Symbol" w:cs="Symbol" w:hint="default"/>
        <w:w w:val="99"/>
        <w:sz w:val="22"/>
        <w:szCs w:val="22"/>
        <w:lang w:val="hu-HU" w:eastAsia="hu-HU" w:bidi="hu-HU"/>
      </w:rPr>
    </w:lvl>
    <w:lvl w:ilvl="2" w:tplc="E0C6A6C6">
      <w:numFmt w:val="bullet"/>
      <w:lvlText w:val="•"/>
      <w:lvlJc w:val="left"/>
      <w:pPr>
        <w:ind w:left="2558" w:hanging="568"/>
      </w:pPr>
      <w:rPr>
        <w:rFonts w:hint="default"/>
        <w:lang w:val="hu-HU" w:eastAsia="hu-HU" w:bidi="hu-HU"/>
      </w:rPr>
    </w:lvl>
    <w:lvl w:ilvl="3" w:tplc="7A685F86">
      <w:numFmt w:val="bullet"/>
      <w:lvlText w:val="•"/>
      <w:lvlJc w:val="left"/>
      <w:pPr>
        <w:ind w:left="3596" w:hanging="568"/>
      </w:pPr>
      <w:rPr>
        <w:rFonts w:hint="default"/>
        <w:lang w:val="hu-HU" w:eastAsia="hu-HU" w:bidi="hu-HU"/>
      </w:rPr>
    </w:lvl>
    <w:lvl w:ilvl="4" w:tplc="26D40FDA">
      <w:numFmt w:val="bullet"/>
      <w:lvlText w:val="•"/>
      <w:lvlJc w:val="left"/>
      <w:pPr>
        <w:ind w:left="4635" w:hanging="568"/>
      </w:pPr>
      <w:rPr>
        <w:rFonts w:hint="default"/>
        <w:lang w:val="hu-HU" w:eastAsia="hu-HU" w:bidi="hu-HU"/>
      </w:rPr>
    </w:lvl>
    <w:lvl w:ilvl="5" w:tplc="7138DB44">
      <w:numFmt w:val="bullet"/>
      <w:lvlText w:val="•"/>
      <w:lvlJc w:val="left"/>
      <w:pPr>
        <w:ind w:left="5673" w:hanging="568"/>
      </w:pPr>
      <w:rPr>
        <w:rFonts w:hint="default"/>
        <w:lang w:val="hu-HU" w:eastAsia="hu-HU" w:bidi="hu-HU"/>
      </w:rPr>
    </w:lvl>
    <w:lvl w:ilvl="6" w:tplc="80D8414E">
      <w:numFmt w:val="bullet"/>
      <w:lvlText w:val="•"/>
      <w:lvlJc w:val="left"/>
      <w:pPr>
        <w:ind w:left="6711" w:hanging="568"/>
      </w:pPr>
      <w:rPr>
        <w:rFonts w:hint="default"/>
        <w:lang w:val="hu-HU" w:eastAsia="hu-HU" w:bidi="hu-HU"/>
      </w:rPr>
    </w:lvl>
    <w:lvl w:ilvl="7" w:tplc="C23299CE">
      <w:numFmt w:val="bullet"/>
      <w:lvlText w:val="•"/>
      <w:lvlJc w:val="left"/>
      <w:pPr>
        <w:ind w:left="7750" w:hanging="568"/>
      </w:pPr>
      <w:rPr>
        <w:rFonts w:hint="default"/>
        <w:lang w:val="hu-HU" w:eastAsia="hu-HU" w:bidi="hu-HU"/>
      </w:rPr>
    </w:lvl>
    <w:lvl w:ilvl="8" w:tplc="02083A74">
      <w:numFmt w:val="bullet"/>
      <w:lvlText w:val="•"/>
      <w:lvlJc w:val="left"/>
      <w:pPr>
        <w:ind w:left="8788" w:hanging="568"/>
      </w:pPr>
      <w:rPr>
        <w:rFonts w:hint="default"/>
        <w:lang w:val="hu-HU" w:eastAsia="hu-HU" w:bidi="hu-HU"/>
      </w:rPr>
    </w:lvl>
  </w:abstractNum>
  <w:abstractNum w:abstractNumId="4" w15:restartNumberingAfterBreak="0">
    <w:nsid w:val="212B1A73"/>
    <w:multiLevelType w:val="multilevel"/>
    <w:tmpl w:val="32AA00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42D1698"/>
    <w:multiLevelType w:val="hybridMultilevel"/>
    <w:tmpl w:val="F560262E"/>
    <w:lvl w:ilvl="0" w:tplc="2FF8B09A">
      <w:start w:val="1"/>
      <w:numFmt w:val="decimal"/>
      <w:lvlText w:val="%1."/>
      <w:lvlJc w:val="left"/>
      <w:pPr>
        <w:ind w:left="1512" w:hanging="222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1" w:tplc="7C7C4416">
      <w:numFmt w:val="bullet"/>
      <w:lvlText w:val="•"/>
      <w:lvlJc w:val="left"/>
      <w:pPr>
        <w:ind w:left="2454" w:hanging="222"/>
      </w:pPr>
      <w:rPr>
        <w:rFonts w:hint="default"/>
        <w:lang w:val="hu-HU" w:eastAsia="hu-HU" w:bidi="hu-HU"/>
      </w:rPr>
    </w:lvl>
    <w:lvl w:ilvl="2" w:tplc="867E0AF6">
      <w:numFmt w:val="bullet"/>
      <w:lvlText w:val="•"/>
      <w:lvlJc w:val="left"/>
      <w:pPr>
        <w:ind w:left="3389" w:hanging="222"/>
      </w:pPr>
      <w:rPr>
        <w:rFonts w:hint="default"/>
        <w:lang w:val="hu-HU" w:eastAsia="hu-HU" w:bidi="hu-HU"/>
      </w:rPr>
    </w:lvl>
    <w:lvl w:ilvl="3" w:tplc="CF9E707C">
      <w:numFmt w:val="bullet"/>
      <w:lvlText w:val="•"/>
      <w:lvlJc w:val="left"/>
      <w:pPr>
        <w:ind w:left="4323" w:hanging="222"/>
      </w:pPr>
      <w:rPr>
        <w:rFonts w:hint="default"/>
        <w:lang w:val="hu-HU" w:eastAsia="hu-HU" w:bidi="hu-HU"/>
      </w:rPr>
    </w:lvl>
    <w:lvl w:ilvl="4" w:tplc="C2AA6C36">
      <w:numFmt w:val="bullet"/>
      <w:lvlText w:val="•"/>
      <w:lvlJc w:val="left"/>
      <w:pPr>
        <w:ind w:left="5258" w:hanging="222"/>
      </w:pPr>
      <w:rPr>
        <w:rFonts w:hint="default"/>
        <w:lang w:val="hu-HU" w:eastAsia="hu-HU" w:bidi="hu-HU"/>
      </w:rPr>
    </w:lvl>
    <w:lvl w:ilvl="5" w:tplc="F1FA87BA">
      <w:numFmt w:val="bullet"/>
      <w:lvlText w:val="•"/>
      <w:lvlJc w:val="left"/>
      <w:pPr>
        <w:ind w:left="6192" w:hanging="222"/>
      </w:pPr>
      <w:rPr>
        <w:rFonts w:hint="default"/>
        <w:lang w:val="hu-HU" w:eastAsia="hu-HU" w:bidi="hu-HU"/>
      </w:rPr>
    </w:lvl>
    <w:lvl w:ilvl="6" w:tplc="7D1E554C">
      <w:numFmt w:val="bullet"/>
      <w:lvlText w:val="•"/>
      <w:lvlJc w:val="left"/>
      <w:pPr>
        <w:ind w:left="7127" w:hanging="222"/>
      </w:pPr>
      <w:rPr>
        <w:rFonts w:hint="default"/>
        <w:lang w:val="hu-HU" w:eastAsia="hu-HU" w:bidi="hu-HU"/>
      </w:rPr>
    </w:lvl>
    <w:lvl w:ilvl="7" w:tplc="D42E7586">
      <w:numFmt w:val="bullet"/>
      <w:lvlText w:val="•"/>
      <w:lvlJc w:val="left"/>
      <w:pPr>
        <w:ind w:left="8061" w:hanging="222"/>
      </w:pPr>
      <w:rPr>
        <w:rFonts w:hint="default"/>
        <w:lang w:val="hu-HU" w:eastAsia="hu-HU" w:bidi="hu-HU"/>
      </w:rPr>
    </w:lvl>
    <w:lvl w:ilvl="8" w:tplc="0A38507C">
      <w:numFmt w:val="bullet"/>
      <w:lvlText w:val="•"/>
      <w:lvlJc w:val="left"/>
      <w:pPr>
        <w:ind w:left="8996" w:hanging="222"/>
      </w:pPr>
      <w:rPr>
        <w:rFonts w:hint="default"/>
        <w:lang w:val="hu-HU" w:eastAsia="hu-HU" w:bidi="hu-HU"/>
      </w:rPr>
    </w:lvl>
  </w:abstractNum>
  <w:abstractNum w:abstractNumId="6" w15:restartNumberingAfterBreak="0">
    <w:nsid w:val="255C7850"/>
    <w:multiLevelType w:val="hybridMultilevel"/>
    <w:tmpl w:val="D054A4A2"/>
    <w:lvl w:ilvl="0" w:tplc="167AA62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826E7C"/>
    <w:multiLevelType w:val="hybridMultilevel"/>
    <w:tmpl w:val="901C25B8"/>
    <w:lvl w:ilvl="0" w:tplc="167AA6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BA580F"/>
    <w:multiLevelType w:val="multilevel"/>
    <w:tmpl w:val="6172D5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vertAlign w:val="superscript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AE84E18"/>
    <w:multiLevelType w:val="multilevel"/>
    <w:tmpl w:val="7E9C91FA"/>
    <w:lvl w:ilvl="0">
      <w:start w:val="8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vertAlign w:val="superscript"/>
        <w:lang w:val="hu-HU" w:eastAsia="hu-HU" w:bidi="hu-H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F0A5F22"/>
    <w:multiLevelType w:val="hybridMultilevel"/>
    <w:tmpl w:val="CD8AAC02"/>
    <w:lvl w:ilvl="0" w:tplc="5A40D362">
      <w:start w:val="1"/>
      <w:numFmt w:val="upperLetter"/>
      <w:lvlText w:val="%1."/>
      <w:lvlJc w:val="left"/>
      <w:pPr>
        <w:ind w:left="946" w:hanging="568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hu-HU" w:eastAsia="hu-HU" w:bidi="hu-HU"/>
      </w:rPr>
    </w:lvl>
    <w:lvl w:ilvl="1" w:tplc="FFCAA24C">
      <w:numFmt w:val="bullet"/>
      <w:lvlText w:val="•"/>
      <w:lvlJc w:val="left"/>
      <w:pPr>
        <w:ind w:left="1932" w:hanging="568"/>
      </w:pPr>
      <w:rPr>
        <w:rFonts w:hint="default"/>
        <w:lang w:val="hu-HU" w:eastAsia="hu-HU" w:bidi="hu-HU"/>
      </w:rPr>
    </w:lvl>
    <w:lvl w:ilvl="2" w:tplc="CAD4A2F4">
      <w:numFmt w:val="bullet"/>
      <w:lvlText w:val="•"/>
      <w:lvlJc w:val="left"/>
      <w:pPr>
        <w:ind w:left="2925" w:hanging="568"/>
      </w:pPr>
      <w:rPr>
        <w:rFonts w:hint="default"/>
        <w:lang w:val="hu-HU" w:eastAsia="hu-HU" w:bidi="hu-HU"/>
      </w:rPr>
    </w:lvl>
    <w:lvl w:ilvl="3" w:tplc="FE2EBDEC">
      <w:numFmt w:val="bullet"/>
      <w:lvlText w:val="•"/>
      <w:lvlJc w:val="left"/>
      <w:pPr>
        <w:ind w:left="3917" w:hanging="568"/>
      </w:pPr>
      <w:rPr>
        <w:rFonts w:hint="default"/>
        <w:lang w:val="hu-HU" w:eastAsia="hu-HU" w:bidi="hu-HU"/>
      </w:rPr>
    </w:lvl>
    <w:lvl w:ilvl="4" w:tplc="9250A8D2">
      <w:numFmt w:val="bullet"/>
      <w:lvlText w:val="•"/>
      <w:lvlJc w:val="left"/>
      <w:pPr>
        <w:ind w:left="4910" w:hanging="568"/>
      </w:pPr>
      <w:rPr>
        <w:rFonts w:hint="default"/>
        <w:lang w:val="hu-HU" w:eastAsia="hu-HU" w:bidi="hu-HU"/>
      </w:rPr>
    </w:lvl>
    <w:lvl w:ilvl="5" w:tplc="08F60820">
      <w:numFmt w:val="bullet"/>
      <w:lvlText w:val="•"/>
      <w:lvlJc w:val="left"/>
      <w:pPr>
        <w:ind w:left="5902" w:hanging="568"/>
      </w:pPr>
      <w:rPr>
        <w:rFonts w:hint="default"/>
        <w:lang w:val="hu-HU" w:eastAsia="hu-HU" w:bidi="hu-HU"/>
      </w:rPr>
    </w:lvl>
    <w:lvl w:ilvl="6" w:tplc="EC4CE124">
      <w:numFmt w:val="bullet"/>
      <w:lvlText w:val="•"/>
      <w:lvlJc w:val="left"/>
      <w:pPr>
        <w:ind w:left="6895" w:hanging="568"/>
      </w:pPr>
      <w:rPr>
        <w:rFonts w:hint="default"/>
        <w:lang w:val="hu-HU" w:eastAsia="hu-HU" w:bidi="hu-HU"/>
      </w:rPr>
    </w:lvl>
    <w:lvl w:ilvl="7" w:tplc="AE64B21E">
      <w:numFmt w:val="bullet"/>
      <w:lvlText w:val="•"/>
      <w:lvlJc w:val="left"/>
      <w:pPr>
        <w:ind w:left="7887" w:hanging="568"/>
      </w:pPr>
      <w:rPr>
        <w:rFonts w:hint="default"/>
        <w:lang w:val="hu-HU" w:eastAsia="hu-HU" w:bidi="hu-HU"/>
      </w:rPr>
    </w:lvl>
    <w:lvl w:ilvl="8" w:tplc="D9845AC2">
      <w:numFmt w:val="bullet"/>
      <w:lvlText w:val="•"/>
      <w:lvlJc w:val="left"/>
      <w:pPr>
        <w:ind w:left="8880" w:hanging="568"/>
      </w:pPr>
      <w:rPr>
        <w:rFonts w:hint="default"/>
        <w:lang w:val="hu-HU" w:eastAsia="hu-HU" w:bidi="hu-HU"/>
      </w:rPr>
    </w:lvl>
  </w:abstractNum>
  <w:abstractNum w:abstractNumId="11" w15:restartNumberingAfterBreak="0">
    <w:nsid w:val="2F97674C"/>
    <w:multiLevelType w:val="hybridMultilevel"/>
    <w:tmpl w:val="4F70DE5A"/>
    <w:lvl w:ilvl="0" w:tplc="DCF40DDA">
      <w:start w:val="1"/>
      <w:numFmt w:val="upperRoman"/>
      <w:lvlText w:val="%1."/>
      <w:lvlJc w:val="left"/>
      <w:pPr>
        <w:ind w:left="378" w:hanging="184"/>
        <w:jc w:val="right"/>
      </w:pPr>
      <w:rPr>
        <w:rFonts w:hint="default"/>
        <w:w w:val="99"/>
        <w:lang w:val="hu-HU" w:eastAsia="hu-HU" w:bidi="hu-HU"/>
      </w:rPr>
    </w:lvl>
    <w:lvl w:ilvl="1" w:tplc="B732AE46">
      <w:numFmt w:val="bullet"/>
      <w:lvlText w:val="•"/>
      <w:lvlJc w:val="left"/>
      <w:pPr>
        <w:ind w:left="1428" w:hanging="184"/>
      </w:pPr>
      <w:rPr>
        <w:rFonts w:hint="default"/>
        <w:lang w:val="hu-HU" w:eastAsia="hu-HU" w:bidi="hu-HU"/>
      </w:rPr>
    </w:lvl>
    <w:lvl w:ilvl="2" w:tplc="3A02C858">
      <w:numFmt w:val="bullet"/>
      <w:lvlText w:val="•"/>
      <w:lvlJc w:val="left"/>
      <w:pPr>
        <w:ind w:left="2477" w:hanging="184"/>
      </w:pPr>
      <w:rPr>
        <w:rFonts w:hint="default"/>
        <w:lang w:val="hu-HU" w:eastAsia="hu-HU" w:bidi="hu-HU"/>
      </w:rPr>
    </w:lvl>
    <w:lvl w:ilvl="3" w:tplc="7F50A122">
      <w:numFmt w:val="bullet"/>
      <w:lvlText w:val="•"/>
      <w:lvlJc w:val="left"/>
      <w:pPr>
        <w:ind w:left="3525" w:hanging="184"/>
      </w:pPr>
      <w:rPr>
        <w:rFonts w:hint="default"/>
        <w:lang w:val="hu-HU" w:eastAsia="hu-HU" w:bidi="hu-HU"/>
      </w:rPr>
    </w:lvl>
    <w:lvl w:ilvl="4" w:tplc="0E8679F0">
      <w:numFmt w:val="bullet"/>
      <w:lvlText w:val="•"/>
      <w:lvlJc w:val="left"/>
      <w:pPr>
        <w:ind w:left="4574" w:hanging="184"/>
      </w:pPr>
      <w:rPr>
        <w:rFonts w:hint="default"/>
        <w:lang w:val="hu-HU" w:eastAsia="hu-HU" w:bidi="hu-HU"/>
      </w:rPr>
    </w:lvl>
    <w:lvl w:ilvl="5" w:tplc="8BEEB846">
      <w:numFmt w:val="bullet"/>
      <w:lvlText w:val="•"/>
      <w:lvlJc w:val="left"/>
      <w:pPr>
        <w:ind w:left="5622" w:hanging="184"/>
      </w:pPr>
      <w:rPr>
        <w:rFonts w:hint="default"/>
        <w:lang w:val="hu-HU" w:eastAsia="hu-HU" w:bidi="hu-HU"/>
      </w:rPr>
    </w:lvl>
    <w:lvl w:ilvl="6" w:tplc="FB6AD13E">
      <w:numFmt w:val="bullet"/>
      <w:lvlText w:val="•"/>
      <w:lvlJc w:val="left"/>
      <w:pPr>
        <w:ind w:left="6671" w:hanging="184"/>
      </w:pPr>
      <w:rPr>
        <w:rFonts w:hint="default"/>
        <w:lang w:val="hu-HU" w:eastAsia="hu-HU" w:bidi="hu-HU"/>
      </w:rPr>
    </w:lvl>
    <w:lvl w:ilvl="7" w:tplc="BD3C305E">
      <w:numFmt w:val="bullet"/>
      <w:lvlText w:val="•"/>
      <w:lvlJc w:val="left"/>
      <w:pPr>
        <w:ind w:left="7719" w:hanging="184"/>
      </w:pPr>
      <w:rPr>
        <w:rFonts w:hint="default"/>
        <w:lang w:val="hu-HU" w:eastAsia="hu-HU" w:bidi="hu-HU"/>
      </w:rPr>
    </w:lvl>
    <w:lvl w:ilvl="8" w:tplc="FCE8E638">
      <w:numFmt w:val="bullet"/>
      <w:lvlText w:val="•"/>
      <w:lvlJc w:val="left"/>
      <w:pPr>
        <w:ind w:left="8768" w:hanging="184"/>
      </w:pPr>
      <w:rPr>
        <w:rFonts w:hint="default"/>
        <w:lang w:val="hu-HU" w:eastAsia="hu-HU" w:bidi="hu-HU"/>
      </w:rPr>
    </w:lvl>
  </w:abstractNum>
  <w:abstractNum w:abstractNumId="12" w15:restartNumberingAfterBreak="0">
    <w:nsid w:val="364E0F70"/>
    <w:multiLevelType w:val="hybridMultilevel"/>
    <w:tmpl w:val="D966D6CA"/>
    <w:lvl w:ilvl="0" w:tplc="D4DA577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370F084D"/>
    <w:multiLevelType w:val="hybridMultilevel"/>
    <w:tmpl w:val="31E0A83E"/>
    <w:lvl w:ilvl="0" w:tplc="E9168136">
      <w:start w:val="5"/>
      <w:numFmt w:val="decimal"/>
      <w:lvlText w:val="%1."/>
      <w:lvlJc w:val="left"/>
      <w:pPr>
        <w:ind w:left="1512" w:hanging="222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1" w:tplc="6BA645B0">
      <w:numFmt w:val="bullet"/>
      <w:lvlText w:val="•"/>
      <w:lvlJc w:val="left"/>
      <w:pPr>
        <w:ind w:left="2454" w:hanging="222"/>
      </w:pPr>
      <w:rPr>
        <w:rFonts w:hint="default"/>
        <w:lang w:val="hu-HU" w:eastAsia="hu-HU" w:bidi="hu-HU"/>
      </w:rPr>
    </w:lvl>
    <w:lvl w:ilvl="2" w:tplc="E528C67C">
      <w:numFmt w:val="bullet"/>
      <w:lvlText w:val="•"/>
      <w:lvlJc w:val="left"/>
      <w:pPr>
        <w:ind w:left="3389" w:hanging="222"/>
      </w:pPr>
      <w:rPr>
        <w:rFonts w:hint="default"/>
        <w:lang w:val="hu-HU" w:eastAsia="hu-HU" w:bidi="hu-HU"/>
      </w:rPr>
    </w:lvl>
    <w:lvl w:ilvl="3" w:tplc="2FB23B66">
      <w:numFmt w:val="bullet"/>
      <w:lvlText w:val="•"/>
      <w:lvlJc w:val="left"/>
      <w:pPr>
        <w:ind w:left="4323" w:hanging="222"/>
      </w:pPr>
      <w:rPr>
        <w:rFonts w:hint="default"/>
        <w:lang w:val="hu-HU" w:eastAsia="hu-HU" w:bidi="hu-HU"/>
      </w:rPr>
    </w:lvl>
    <w:lvl w:ilvl="4" w:tplc="2B060D8C">
      <w:numFmt w:val="bullet"/>
      <w:lvlText w:val="•"/>
      <w:lvlJc w:val="left"/>
      <w:pPr>
        <w:ind w:left="5258" w:hanging="222"/>
      </w:pPr>
      <w:rPr>
        <w:rFonts w:hint="default"/>
        <w:lang w:val="hu-HU" w:eastAsia="hu-HU" w:bidi="hu-HU"/>
      </w:rPr>
    </w:lvl>
    <w:lvl w:ilvl="5" w:tplc="FFA4F46A">
      <w:numFmt w:val="bullet"/>
      <w:lvlText w:val="•"/>
      <w:lvlJc w:val="left"/>
      <w:pPr>
        <w:ind w:left="6192" w:hanging="222"/>
      </w:pPr>
      <w:rPr>
        <w:rFonts w:hint="default"/>
        <w:lang w:val="hu-HU" w:eastAsia="hu-HU" w:bidi="hu-HU"/>
      </w:rPr>
    </w:lvl>
    <w:lvl w:ilvl="6" w:tplc="29BA3B32">
      <w:numFmt w:val="bullet"/>
      <w:lvlText w:val="•"/>
      <w:lvlJc w:val="left"/>
      <w:pPr>
        <w:ind w:left="7127" w:hanging="222"/>
      </w:pPr>
      <w:rPr>
        <w:rFonts w:hint="default"/>
        <w:lang w:val="hu-HU" w:eastAsia="hu-HU" w:bidi="hu-HU"/>
      </w:rPr>
    </w:lvl>
    <w:lvl w:ilvl="7" w:tplc="7E2CE65C">
      <w:numFmt w:val="bullet"/>
      <w:lvlText w:val="•"/>
      <w:lvlJc w:val="left"/>
      <w:pPr>
        <w:ind w:left="8061" w:hanging="222"/>
      </w:pPr>
      <w:rPr>
        <w:rFonts w:hint="default"/>
        <w:lang w:val="hu-HU" w:eastAsia="hu-HU" w:bidi="hu-HU"/>
      </w:rPr>
    </w:lvl>
    <w:lvl w:ilvl="8" w:tplc="EA009DCE">
      <w:numFmt w:val="bullet"/>
      <w:lvlText w:val="•"/>
      <w:lvlJc w:val="left"/>
      <w:pPr>
        <w:ind w:left="8996" w:hanging="222"/>
      </w:pPr>
      <w:rPr>
        <w:rFonts w:hint="default"/>
        <w:lang w:val="hu-HU" w:eastAsia="hu-HU" w:bidi="hu-HU"/>
      </w:rPr>
    </w:lvl>
  </w:abstractNum>
  <w:abstractNum w:abstractNumId="14" w15:restartNumberingAfterBreak="0">
    <w:nsid w:val="39645F53"/>
    <w:multiLevelType w:val="hybridMultilevel"/>
    <w:tmpl w:val="6AC6A8E4"/>
    <w:lvl w:ilvl="0" w:tplc="AA807A38">
      <w:start w:val="1"/>
      <w:numFmt w:val="upperLetter"/>
      <w:lvlText w:val="%1."/>
      <w:lvlJc w:val="left"/>
      <w:pPr>
        <w:ind w:left="2080" w:hanging="568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hu-HU" w:eastAsia="hu-HU" w:bidi="hu-HU"/>
      </w:rPr>
    </w:lvl>
    <w:lvl w:ilvl="1" w:tplc="5BECC1B0">
      <w:numFmt w:val="bullet"/>
      <w:lvlText w:val="•"/>
      <w:lvlJc w:val="left"/>
      <w:pPr>
        <w:ind w:left="2958" w:hanging="568"/>
      </w:pPr>
      <w:rPr>
        <w:rFonts w:hint="default"/>
        <w:lang w:val="hu-HU" w:eastAsia="hu-HU" w:bidi="hu-HU"/>
      </w:rPr>
    </w:lvl>
    <w:lvl w:ilvl="2" w:tplc="21A2A3B8">
      <w:numFmt w:val="bullet"/>
      <w:lvlText w:val="•"/>
      <w:lvlJc w:val="left"/>
      <w:pPr>
        <w:ind w:left="3837" w:hanging="568"/>
      </w:pPr>
      <w:rPr>
        <w:rFonts w:hint="default"/>
        <w:lang w:val="hu-HU" w:eastAsia="hu-HU" w:bidi="hu-HU"/>
      </w:rPr>
    </w:lvl>
    <w:lvl w:ilvl="3" w:tplc="4B6600DC">
      <w:numFmt w:val="bullet"/>
      <w:lvlText w:val="•"/>
      <w:lvlJc w:val="left"/>
      <w:pPr>
        <w:ind w:left="4715" w:hanging="568"/>
      </w:pPr>
      <w:rPr>
        <w:rFonts w:hint="default"/>
        <w:lang w:val="hu-HU" w:eastAsia="hu-HU" w:bidi="hu-HU"/>
      </w:rPr>
    </w:lvl>
    <w:lvl w:ilvl="4" w:tplc="63B0C53C">
      <w:numFmt w:val="bullet"/>
      <w:lvlText w:val="•"/>
      <w:lvlJc w:val="left"/>
      <w:pPr>
        <w:ind w:left="5594" w:hanging="568"/>
      </w:pPr>
      <w:rPr>
        <w:rFonts w:hint="default"/>
        <w:lang w:val="hu-HU" w:eastAsia="hu-HU" w:bidi="hu-HU"/>
      </w:rPr>
    </w:lvl>
    <w:lvl w:ilvl="5" w:tplc="36F6E1FE">
      <w:numFmt w:val="bullet"/>
      <w:lvlText w:val="•"/>
      <w:lvlJc w:val="left"/>
      <w:pPr>
        <w:ind w:left="6472" w:hanging="568"/>
      </w:pPr>
      <w:rPr>
        <w:rFonts w:hint="default"/>
        <w:lang w:val="hu-HU" w:eastAsia="hu-HU" w:bidi="hu-HU"/>
      </w:rPr>
    </w:lvl>
    <w:lvl w:ilvl="6" w:tplc="541AC70C">
      <w:numFmt w:val="bullet"/>
      <w:lvlText w:val="•"/>
      <w:lvlJc w:val="left"/>
      <w:pPr>
        <w:ind w:left="7351" w:hanging="568"/>
      </w:pPr>
      <w:rPr>
        <w:rFonts w:hint="default"/>
        <w:lang w:val="hu-HU" w:eastAsia="hu-HU" w:bidi="hu-HU"/>
      </w:rPr>
    </w:lvl>
    <w:lvl w:ilvl="7" w:tplc="9B5206D2">
      <w:numFmt w:val="bullet"/>
      <w:lvlText w:val="•"/>
      <w:lvlJc w:val="left"/>
      <w:pPr>
        <w:ind w:left="8229" w:hanging="568"/>
      </w:pPr>
      <w:rPr>
        <w:rFonts w:hint="default"/>
        <w:lang w:val="hu-HU" w:eastAsia="hu-HU" w:bidi="hu-HU"/>
      </w:rPr>
    </w:lvl>
    <w:lvl w:ilvl="8" w:tplc="EC865B20">
      <w:numFmt w:val="bullet"/>
      <w:lvlText w:val="•"/>
      <w:lvlJc w:val="left"/>
      <w:pPr>
        <w:ind w:left="9108" w:hanging="568"/>
      </w:pPr>
      <w:rPr>
        <w:rFonts w:hint="default"/>
        <w:lang w:val="hu-HU" w:eastAsia="hu-HU" w:bidi="hu-HU"/>
      </w:rPr>
    </w:lvl>
  </w:abstractNum>
  <w:abstractNum w:abstractNumId="15" w15:restartNumberingAfterBreak="0">
    <w:nsid w:val="3B044413"/>
    <w:multiLevelType w:val="hybridMultilevel"/>
    <w:tmpl w:val="7AC44B0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B37D40"/>
    <w:multiLevelType w:val="multilevel"/>
    <w:tmpl w:val="AB6CB912"/>
    <w:lvl w:ilvl="0">
      <w:start w:val="1"/>
      <w:numFmt w:val="decimal"/>
      <w:lvlText w:val="%1"/>
      <w:lvlJc w:val="left"/>
      <w:pPr>
        <w:ind w:left="874" w:hanging="496"/>
      </w:pPr>
      <w:rPr>
        <w:rFonts w:hint="default"/>
        <w:lang w:val="hu-HU" w:eastAsia="hu-HU" w:bidi="hu-HU"/>
      </w:rPr>
    </w:lvl>
    <w:lvl w:ilvl="1">
      <w:start w:val="8"/>
      <w:numFmt w:val="decimal"/>
      <w:lvlText w:val="%1.%2"/>
      <w:lvlJc w:val="left"/>
      <w:pPr>
        <w:ind w:left="874" w:hanging="496"/>
      </w:pPr>
      <w:rPr>
        <w:rFonts w:hint="default"/>
        <w:lang w:val="hu-HU" w:eastAsia="hu-HU" w:bidi="hu-HU"/>
      </w:rPr>
    </w:lvl>
    <w:lvl w:ilvl="2">
      <w:start w:val="2"/>
      <w:numFmt w:val="decimal"/>
      <w:lvlText w:val="%1.%2.%3"/>
      <w:lvlJc w:val="left"/>
      <w:pPr>
        <w:ind w:left="874" w:hanging="496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3">
      <w:start w:val="1"/>
      <w:numFmt w:val="upperLetter"/>
      <w:lvlText w:val="%4."/>
      <w:lvlJc w:val="left"/>
      <w:pPr>
        <w:ind w:left="4202" w:hanging="269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hu-HU" w:eastAsia="hu-HU" w:bidi="hu-HU"/>
      </w:rPr>
    </w:lvl>
    <w:lvl w:ilvl="4">
      <w:numFmt w:val="bullet"/>
      <w:lvlText w:val="•"/>
      <w:lvlJc w:val="left"/>
      <w:pPr>
        <w:ind w:left="6421" w:hanging="269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7162" w:hanging="269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7902" w:hanging="269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8643" w:hanging="269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9384" w:hanging="269"/>
      </w:pPr>
      <w:rPr>
        <w:rFonts w:hint="default"/>
        <w:lang w:val="hu-HU" w:eastAsia="hu-HU" w:bidi="hu-HU"/>
      </w:rPr>
    </w:lvl>
  </w:abstractNum>
  <w:abstractNum w:abstractNumId="17" w15:restartNumberingAfterBreak="0">
    <w:nsid w:val="3D7E46D4"/>
    <w:multiLevelType w:val="hybridMultilevel"/>
    <w:tmpl w:val="229E792A"/>
    <w:lvl w:ilvl="0" w:tplc="167AA62C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615DB6"/>
    <w:multiLevelType w:val="hybridMultilevel"/>
    <w:tmpl w:val="A18AC328"/>
    <w:lvl w:ilvl="0" w:tplc="91D4DF40">
      <w:start w:val="1"/>
      <w:numFmt w:val="decimal"/>
      <w:lvlText w:val="%1."/>
      <w:lvlJc w:val="left"/>
      <w:pPr>
        <w:ind w:left="733" w:hanging="585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3614F7D6">
      <w:numFmt w:val="bullet"/>
      <w:lvlText w:val="•"/>
      <w:lvlJc w:val="left"/>
      <w:pPr>
        <w:ind w:left="1118" w:hanging="585"/>
      </w:pPr>
      <w:rPr>
        <w:rFonts w:hint="default"/>
        <w:lang w:val="hu-HU" w:eastAsia="hu-HU" w:bidi="hu-HU"/>
      </w:rPr>
    </w:lvl>
    <w:lvl w:ilvl="2" w:tplc="87CABA58">
      <w:numFmt w:val="bullet"/>
      <w:lvlText w:val="•"/>
      <w:lvlJc w:val="left"/>
      <w:pPr>
        <w:ind w:left="1497" w:hanging="585"/>
      </w:pPr>
      <w:rPr>
        <w:rFonts w:hint="default"/>
        <w:lang w:val="hu-HU" w:eastAsia="hu-HU" w:bidi="hu-HU"/>
      </w:rPr>
    </w:lvl>
    <w:lvl w:ilvl="3" w:tplc="362C96F6">
      <w:numFmt w:val="bullet"/>
      <w:lvlText w:val="•"/>
      <w:lvlJc w:val="left"/>
      <w:pPr>
        <w:ind w:left="1875" w:hanging="585"/>
      </w:pPr>
      <w:rPr>
        <w:rFonts w:hint="default"/>
        <w:lang w:val="hu-HU" w:eastAsia="hu-HU" w:bidi="hu-HU"/>
      </w:rPr>
    </w:lvl>
    <w:lvl w:ilvl="4" w:tplc="D1A40F70">
      <w:numFmt w:val="bullet"/>
      <w:lvlText w:val="•"/>
      <w:lvlJc w:val="left"/>
      <w:pPr>
        <w:ind w:left="2254" w:hanging="585"/>
      </w:pPr>
      <w:rPr>
        <w:rFonts w:hint="default"/>
        <w:lang w:val="hu-HU" w:eastAsia="hu-HU" w:bidi="hu-HU"/>
      </w:rPr>
    </w:lvl>
    <w:lvl w:ilvl="5" w:tplc="7E7E412A">
      <w:numFmt w:val="bullet"/>
      <w:lvlText w:val="•"/>
      <w:lvlJc w:val="left"/>
      <w:pPr>
        <w:ind w:left="2633" w:hanging="585"/>
      </w:pPr>
      <w:rPr>
        <w:rFonts w:hint="default"/>
        <w:lang w:val="hu-HU" w:eastAsia="hu-HU" w:bidi="hu-HU"/>
      </w:rPr>
    </w:lvl>
    <w:lvl w:ilvl="6" w:tplc="47783746">
      <w:numFmt w:val="bullet"/>
      <w:lvlText w:val="•"/>
      <w:lvlJc w:val="left"/>
      <w:pPr>
        <w:ind w:left="3011" w:hanging="585"/>
      </w:pPr>
      <w:rPr>
        <w:rFonts w:hint="default"/>
        <w:lang w:val="hu-HU" w:eastAsia="hu-HU" w:bidi="hu-HU"/>
      </w:rPr>
    </w:lvl>
    <w:lvl w:ilvl="7" w:tplc="D38EAC3E">
      <w:numFmt w:val="bullet"/>
      <w:lvlText w:val="•"/>
      <w:lvlJc w:val="left"/>
      <w:pPr>
        <w:ind w:left="3390" w:hanging="585"/>
      </w:pPr>
      <w:rPr>
        <w:rFonts w:hint="default"/>
        <w:lang w:val="hu-HU" w:eastAsia="hu-HU" w:bidi="hu-HU"/>
      </w:rPr>
    </w:lvl>
    <w:lvl w:ilvl="8" w:tplc="586CAE1E">
      <w:numFmt w:val="bullet"/>
      <w:lvlText w:val="•"/>
      <w:lvlJc w:val="left"/>
      <w:pPr>
        <w:ind w:left="3768" w:hanging="585"/>
      </w:pPr>
      <w:rPr>
        <w:rFonts w:hint="default"/>
        <w:lang w:val="hu-HU" w:eastAsia="hu-HU" w:bidi="hu-HU"/>
      </w:rPr>
    </w:lvl>
  </w:abstractNum>
  <w:abstractNum w:abstractNumId="19" w15:restartNumberingAfterBreak="0">
    <w:nsid w:val="457A124B"/>
    <w:multiLevelType w:val="hybridMultilevel"/>
    <w:tmpl w:val="066E2D5E"/>
    <w:lvl w:ilvl="0" w:tplc="CE623F2E">
      <w:numFmt w:val="bullet"/>
      <w:lvlText w:val="-"/>
      <w:lvlJc w:val="left"/>
      <w:pPr>
        <w:ind w:left="946" w:hanging="568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37B6A9DC">
      <w:numFmt w:val="bullet"/>
      <w:lvlText w:val="-"/>
      <w:lvlJc w:val="left"/>
      <w:pPr>
        <w:ind w:left="1512" w:hanging="568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2" w:tplc="FC4C8326">
      <w:numFmt w:val="bullet"/>
      <w:lvlText w:val="•"/>
      <w:lvlJc w:val="left"/>
      <w:pPr>
        <w:ind w:left="2558" w:hanging="568"/>
      </w:pPr>
      <w:rPr>
        <w:rFonts w:hint="default"/>
        <w:lang w:val="hu-HU" w:eastAsia="hu-HU" w:bidi="hu-HU"/>
      </w:rPr>
    </w:lvl>
    <w:lvl w:ilvl="3" w:tplc="B672BCC0">
      <w:numFmt w:val="bullet"/>
      <w:lvlText w:val="•"/>
      <w:lvlJc w:val="left"/>
      <w:pPr>
        <w:ind w:left="3596" w:hanging="568"/>
      </w:pPr>
      <w:rPr>
        <w:rFonts w:hint="default"/>
        <w:lang w:val="hu-HU" w:eastAsia="hu-HU" w:bidi="hu-HU"/>
      </w:rPr>
    </w:lvl>
    <w:lvl w:ilvl="4" w:tplc="9F481146">
      <w:numFmt w:val="bullet"/>
      <w:lvlText w:val="•"/>
      <w:lvlJc w:val="left"/>
      <w:pPr>
        <w:ind w:left="4635" w:hanging="568"/>
      </w:pPr>
      <w:rPr>
        <w:rFonts w:hint="default"/>
        <w:lang w:val="hu-HU" w:eastAsia="hu-HU" w:bidi="hu-HU"/>
      </w:rPr>
    </w:lvl>
    <w:lvl w:ilvl="5" w:tplc="0672BA64">
      <w:numFmt w:val="bullet"/>
      <w:lvlText w:val="•"/>
      <w:lvlJc w:val="left"/>
      <w:pPr>
        <w:ind w:left="5673" w:hanging="568"/>
      </w:pPr>
      <w:rPr>
        <w:rFonts w:hint="default"/>
        <w:lang w:val="hu-HU" w:eastAsia="hu-HU" w:bidi="hu-HU"/>
      </w:rPr>
    </w:lvl>
    <w:lvl w:ilvl="6" w:tplc="09546014">
      <w:numFmt w:val="bullet"/>
      <w:lvlText w:val="•"/>
      <w:lvlJc w:val="left"/>
      <w:pPr>
        <w:ind w:left="6711" w:hanging="568"/>
      </w:pPr>
      <w:rPr>
        <w:rFonts w:hint="default"/>
        <w:lang w:val="hu-HU" w:eastAsia="hu-HU" w:bidi="hu-HU"/>
      </w:rPr>
    </w:lvl>
    <w:lvl w:ilvl="7" w:tplc="6C705FDA">
      <w:numFmt w:val="bullet"/>
      <w:lvlText w:val="•"/>
      <w:lvlJc w:val="left"/>
      <w:pPr>
        <w:ind w:left="7750" w:hanging="568"/>
      </w:pPr>
      <w:rPr>
        <w:rFonts w:hint="default"/>
        <w:lang w:val="hu-HU" w:eastAsia="hu-HU" w:bidi="hu-HU"/>
      </w:rPr>
    </w:lvl>
    <w:lvl w:ilvl="8" w:tplc="BF4C584E">
      <w:numFmt w:val="bullet"/>
      <w:lvlText w:val="•"/>
      <w:lvlJc w:val="left"/>
      <w:pPr>
        <w:ind w:left="8788" w:hanging="568"/>
      </w:pPr>
      <w:rPr>
        <w:rFonts w:hint="default"/>
        <w:lang w:val="hu-HU" w:eastAsia="hu-HU" w:bidi="hu-HU"/>
      </w:rPr>
    </w:lvl>
  </w:abstractNum>
  <w:abstractNum w:abstractNumId="20" w15:restartNumberingAfterBreak="0">
    <w:nsid w:val="4B605886"/>
    <w:multiLevelType w:val="hybridMultilevel"/>
    <w:tmpl w:val="CA522A2A"/>
    <w:lvl w:ilvl="0" w:tplc="054E0010">
      <w:start w:val="1"/>
      <w:numFmt w:val="decimal"/>
      <w:lvlText w:val="%1."/>
      <w:lvlJc w:val="left"/>
      <w:pPr>
        <w:ind w:left="946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1" w:tplc="C08C7252">
      <w:numFmt w:val="bullet"/>
      <w:lvlText w:val="•"/>
      <w:lvlJc w:val="left"/>
      <w:pPr>
        <w:ind w:left="1932" w:hanging="568"/>
      </w:pPr>
      <w:rPr>
        <w:rFonts w:hint="default"/>
        <w:lang w:val="hu-HU" w:eastAsia="hu-HU" w:bidi="hu-HU"/>
      </w:rPr>
    </w:lvl>
    <w:lvl w:ilvl="2" w:tplc="34BC845C">
      <w:numFmt w:val="bullet"/>
      <w:lvlText w:val="•"/>
      <w:lvlJc w:val="left"/>
      <w:pPr>
        <w:ind w:left="2925" w:hanging="568"/>
      </w:pPr>
      <w:rPr>
        <w:rFonts w:hint="default"/>
        <w:lang w:val="hu-HU" w:eastAsia="hu-HU" w:bidi="hu-HU"/>
      </w:rPr>
    </w:lvl>
    <w:lvl w:ilvl="3" w:tplc="27FC597E">
      <w:numFmt w:val="bullet"/>
      <w:lvlText w:val="•"/>
      <w:lvlJc w:val="left"/>
      <w:pPr>
        <w:ind w:left="3917" w:hanging="568"/>
      </w:pPr>
      <w:rPr>
        <w:rFonts w:hint="default"/>
        <w:lang w:val="hu-HU" w:eastAsia="hu-HU" w:bidi="hu-HU"/>
      </w:rPr>
    </w:lvl>
    <w:lvl w:ilvl="4" w:tplc="9C18B7AC">
      <w:numFmt w:val="bullet"/>
      <w:lvlText w:val="•"/>
      <w:lvlJc w:val="left"/>
      <w:pPr>
        <w:ind w:left="4910" w:hanging="568"/>
      </w:pPr>
      <w:rPr>
        <w:rFonts w:hint="default"/>
        <w:lang w:val="hu-HU" w:eastAsia="hu-HU" w:bidi="hu-HU"/>
      </w:rPr>
    </w:lvl>
    <w:lvl w:ilvl="5" w:tplc="DD7A210A">
      <w:numFmt w:val="bullet"/>
      <w:lvlText w:val="•"/>
      <w:lvlJc w:val="left"/>
      <w:pPr>
        <w:ind w:left="5902" w:hanging="568"/>
      </w:pPr>
      <w:rPr>
        <w:rFonts w:hint="default"/>
        <w:lang w:val="hu-HU" w:eastAsia="hu-HU" w:bidi="hu-HU"/>
      </w:rPr>
    </w:lvl>
    <w:lvl w:ilvl="6" w:tplc="F8FED298">
      <w:numFmt w:val="bullet"/>
      <w:lvlText w:val="•"/>
      <w:lvlJc w:val="left"/>
      <w:pPr>
        <w:ind w:left="6895" w:hanging="568"/>
      </w:pPr>
      <w:rPr>
        <w:rFonts w:hint="default"/>
        <w:lang w:val="hu-HU" w:eastAsia="hu-HU" w:bidi="hu-HU"/>
      </w:rPr>
    </w:lvl>
    <w:lvl w:ilvl="7" w:tplc="C3CAA1A8">
      <w:numFmt w:val="bullet"/>
      <w:lvlText w:val="•"/>
      <w:lvlJc w:val="left"/>
      <w:pPr>
        <w:ind w:left="7887" w:hanging="568"/>
      </w:pPr>
      <w:rPr>
        <w:rFonts w:hint="default"/>
        <w:lang w:val="hu-HU" w:eastAsia="hu-HU" w:bidi="hu-HU"/>
      </w:rPr>
    </w:lvl>
    <w:lvl w:ilvl="8" w:tplc="41E6882E">
      <w:numFmt w:val="bullet"/>
      <w:lvlText w:val="•"/>
      <w:lvlJc w:val="left"/>
      <w:pPr>
        <w:ind w:left="8880" w:hanging="568"/>
      </w:pPr>
      <w:rPr>
        <w:rFonts w:hint="default"/>
        <w:lang w:val="hu-HU" w:eastAsia="hu-HU" w:bidi="hu-HU"/>
      </w:rPr>
    </w:lvl>
  </w:abstractNum>
  <w:abstractNum w:abstractNumId="21" w15:restartNumberingAfterBreak="0">
    <w:nsid w:val="4CEF3103"/>
    <w:multiLevelType w:val="hybridMultilevel"/>
    <w:tmpl w:val="DA92AFEA"/>
    <w:lvl w:ilvl="0" w:tplc="5ACE13A0">
      <w:start w:val="1"/>
      <w:numFmt w:val="decimal"/>
      <w:lvlText w:val="%1."/>
      <w:lvlJc w:val="left"/>
      <w:pPr>
        <w:ind w:left="733" w:hanging="585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55E47840">
      <w:start w:val="1"/>
      <w:numFmt w:val="decimal"/>
      <w:lvlText w:val="%2."/>
      <w:lvlJc w:val="left"/>
      <w:pPr>
        <w:ind w:left="953" w:hanging="221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2" w:tplc="C00E76E6">
      <w:numFmt w:val="bullet"/>
      <w:lvlText w:val="•"/>
      <w:lvlJc w:val="left"/>
      <w:pPr>
        <w:ind w:left="1356" w:hanging="221"/>
      </w:pPr>
      <w:rPr>
        <w:rFonts w:hint="default"/>
        <w:lang w:val="hu-HU" w:eastAsia="hu-HU" w:bidi="hu-HU"/>
      </w:rPr>
    </w:lvl>
    <w:lvl w:ilvl="3" w:tplc="E990D22E">
      <w:numFmt w:val="bullet"/>
      <w:lvlText w:val="•"/>
      <w:lvlJc w:val="left"/>
      <w:pPr>
        <w:ind w:left="1752" w:hanging="221"/>
      </w:pPr>
      <w:rPr>
        <w:rFonts w:hint="default"/>
        <w:lang w:val="hu-HU" w:eastAsia="hu-HU" w:bidi="hu-HU"/>
      </w:rPr>
    </w:lvl>
    <w:lvl w:ilvl="4" w:tplc="D24E8FC2">
      <w:numFmt w:val="bullet"/>
      <w:lvlText w:val="•"/>
      <w:lvlJc w:val="left"/>
      <w:pPr>
        <w:ind w:left="2148" w:hanging="221"/>
      </w:pPr>
      <w:rPr>
        <w:rFonts w:hint="default"/>
        <w:lang w:val="hu-HU" w:eastAsia="hu-HU" w:bidi="hu-HU"/>
      </w:rPr>
    </w:lvl>
    <w:lvl w:ilvl="5" w:tplc="6CFEE2D4">
      <w:numFmt w:val="bullet"/>
      <w:lvlText w:val="•"/>
      <w:lvlJc w:val="left"/>
      <w:pPr>
        <w:ind w:left="2544" w:hanging="221"/>
      </w:pPr>
      <w:rPr>
        <w:rFonts w:hint="default"/>
        <w:lang w:val="hu-HU" w:eastAsia="hu-HU" w:bidi="hu-HU"/>
      </w:rPr>
    </w:lvl>
    <w:lvl w:ilvl="6" w:tplc="76C00BFA">
      <w:numFmt w:val="bullet"/>
      <w:lvlText w:val="•"/>
      <w:lvlJc w:val="left"/>
      <w:pPr>
        <w:ind w:left="2941" w:hanging="221"/>
      </w:pPr>
      <w:rPr>
        <w:rFonts w:hint="default"/>
        <w:lang w:val="hu-HU" w:eastAsia="hu-HU" w:bidi="hu-HU"/>
      </w:rPr>
    </w:lvl>
    <w:lvl w:ilvl="7" w:tplc="BCF47226">
      <w:numFmt w:val="bullet"/>
      <w:lvlText w:val="•"/>
      <w:lvlJc w:val="left"/>
      <w:pPr>
        <w:ind w:left="3337" w:hanging="221"/>
      </w:pPr>
      <w:rPr>
        <w:rFonts w:hint="default"/>
        <w:lang w:val="hu-HU" w:eastAsia="hu-HU" w:bidi="hu-HU"/>
      </w:rPr>
    </w:lvl>
    <w:lvl w:ilvl="8" w:tplc="BEFA03D0">
      <w:numFmt w:val="bullet"/>
      <w:lvlText w:val="•"/>
      <w:lvlJc w:val="left"/>
      <w:pPr>
        <w:ind w:left="3733" w:hanging="221"/>
      </w:pPr>
      <w:rPr>
        <w:rFonts w:hint="default"/>
        <w:lang w:val="hu-HU" w:eastAsia="hu-HU" w:bidi="hu-HU"/>
      </w:rPr>
    </w:lvl>
  </w:abstractNum>
  <w:abstractNum w:abstractNumId="22" w15:restartNumberingAfterBreak="0">
    <w:nsid w:val="4F1F241C"/>
    <w:multiLevelType w:val="hybridMultilevel"/>
    <w:tmpl w:val="1E341070"/>
    <w:lvl w:ilvl="0" w:tplc="D7A6752C">
      <w:start w:val="7"/>
      <w:numFmt w:val="decimal"/>
      <w:lvlText w:val="%1."/>
      <w:lvlJc w:val="left"/>
      <w:pPr>
        <w:ind w:left="1512" w:hanging="222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1" w:tplc="8D3464C6">
      <w:numFmt w:val="bullet"/>
      <w:lvlText w:val="•"/>
      <w:lvlJc w:val="left"/>
      <w:pPr>
        <w:ind w:left="2454" w:hanging="222"/>
      </w:pPr>
      <w:rPr>
        <w:rFonts w:hint="default"/>
        <w:lang w:val="hu-HU" w:eastAsia="hu-HU" w:bidi="hu-HU"/>
      </w:rPr>
    </w:lvl>
    <w:lvl w:ilvl="2" w:tplc="7076D7F0">
      <w:numFmt w:val="bullet"/>
      <w:lvlText w:val="•"/>
      <w:lvlJc w:val="left"/>
      <w:pPr>
        <w:ind w:left="3389" w:hanging="222"/>
      </w:pPr>
      <w:rPr>
        <w:rFonts w:hint="default"/>
        <w:lang w:val="hu-HU" w:eastAsia="hu-HU" w:bidi="hu-HU"/>
      </w:rPr>
    </w:lvl>
    <w:lvl w:ilvl="3" w:tplc="C5E45FAA">
      <w:numFmt w:val="bullet"/>
      <w:lvlText w:val="•"/>
      <w:lvlJc w:val="left"/>
      <w:pPr>
        <w:ind w:left="4323" w:hanging="222"/>
      </w:pPr>
      <w:rPr>
        <w:rFonts w:hint="default"/>
        <w:lang w:val="hu-HU" w:eastAsia="hu-HU" w:bidi="hu-HU"/>
      </w:rPr>
    </w:lvl>
    <w:lvl w:ilvl="4" w:tplc="97F41576">
      <w:numFmt w:val="bullet"/>
      <w:lvlText w:val="•"/>
      <w:lvlJc w:val="left"/>
      <w:pPr>
        <w:ind w:left="5258" w:hanging="222"/>
      </w:pPr>
      <w:rPr>
        <w:rFonts w:hint="default"/>
        <w:lang w:val="hu-HU" w:eastAsia="hu-HU" w:bidi="hu-HU"/>
      </w:rPr>
    </w:lvl>
    <w:lvl w:ilvl="5" w:tplc="BFE8B30E">
      <w:numFmt w:val="bullet"/>
      <w:lvlText w:val="•"/>
      <w:lvlJc w:val="left"/>
      <w:pPr>
        <w:ind w:left="6192" w:hanging="222"/>
      </w:pPr>
      <w:rPr>
        <w:rFonts w:hint="default"/>
        <w:lang w:val="hu-HU" w:eastAsia="hu-HU" w:bidi="hu-HU"/>
      </w:rPr>
    </w:lvl>
    <w:lvl w:ilvl="6" w:tplc="CF56C8D6">
      <w:numFmt w:val="bullet"/>
      <w:lvlText w:val="•"/>
      <w:lvlJc w:val="left"/>
      <w:pPr>
        <w:ind w:left="7127" w:hanging="222"/>
      </w:pPr>
      <w:rPr>
        <w:rFonts w:hint="default"/>
        <w:lang w:val="hu-HU" w:eastAsia="hu-HU" w:bidi="hu-HU"/>
      </w:rPr>
    </w:lvl>
    <w:lvl w:ilvl="7" w:tplc="5D6207F2">
      <w:numFmt w:val="bullet"/>
      <w:lvlText w:val="•"/>
      <w:lvlJc w:val="left"/>
      <w:pPr>
        <w:ind w:left="8061" w:hanging="222"/>
      </w:pPr>
      <w:rPr>
        <w:rFonts w:hint="default"/>
        <w:lang w:val="hu-HU" w:eastAsia="hu-HU" w:bidi="hu-HU"/>
      </w:rPr>
    </w:lvl>
    <w:lvl w:ilvl="8" w:tplc="42621478">
      <w:numFmt w:val="bullet"/>
      <w:lvlText w:val="•"/>
      <w:lvlJc w:val="left"/>
      <w:pPr>
        <w:ind w:left="8996" w:hanging="222"/>
      </w:pPr>
      <w:rPr>
        <w:rFonts w:hint="default"/>
        <w:lang w:val="hu-HU" w:eastAsia="hu-HU" w:bidi="hu-HU"/>
      </w:rPr>
    </w:lvl>
  </w:abstractNum>
  <w:abstractNum w:abstractNumId="23" w15:restartNumberingAfterBreak="0">
    <w:nsid w:val="4F313F4F"/>
    <w:multiLevelType w:val="hybridMultilevel"/>
    <w:tmpl w:val="E86AF14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844A8B"/>
    <w:multiLevelType w:val="multilevel"/>
    <w:tmpl w:val="F7B81952"/>
    <w:lvl w:ilvl="0">
      <w:start w:val="6"/>
      <w:numFmt w:val="decimal"/>
      <w:lvlText w:val="%1."/>
      <w:lvlJc w:val="left"/>
      <w:pPr>
        <w:ind w:left="946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946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925" w:hanging="568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917" w:hanging="568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910" w:hanging="568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902" w:hanging="568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895" w:hanging="568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887" w:hanging="568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880" w:hanging="568"/>
      </w:pPr>
      <w:rPr>
        <w:rFonts w:hint="default"/>
        <w:lang w:val="hu-HU" w:eastAsia="hu-HU" w:bidi="hu-HU"/>
      </w:rPr>
    </w:lvl>
  </w:abstractNum>
  <w:abstractNum w:abstractNumId="25" w15:restartNumberingAfterBreak="0">
    <w:nsid w:val="51E04EE2"/>
    <w:multiLevelType w:val="multilevel"/>
    <w:tmpl w:val="D840D076"/>
    <w:lvl w:ilvl="0">
      <w:start w:val="1"/>
      <w:numFmt w:val="decimal"/>
      <w:lvlText w:val="%1."/>
      <w:lvlJc w:val="left"/>
      <w:pPr>
        <w:ind w:left="946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946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925" w:hanging="568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917" w:hanging="568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910" w:hanging="568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902" w:hanging="568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895" w:hanging="568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887" w:hanging="568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880" w:hanging="568"/>
      </w:pPr>
      <w:rPr>
        <w:rFonts w:hint="default"/>
        <w:lang w:val="hu-HU" w:eastAsia="hu-HU" w:bidi="hu-HU"/>
      </w:rPr>
    </w:lvl>
  </w:abstractNum>
  <w:abstractNum w:abstractNumId="26" w15:restartNumberingAfterBreak="0">
    <w:nsid w:val="575E7267"/>
    <w:multiLevelType w:val="hybridMultilevel"/>
    <w:tmpl w:val="50D8F470"/>
    <w:lvl w:ilvl="0" w:tplc="258487C0">
      <w:start w:val="1"/>
      <w:numFmt w:val="decimal"/>
      <w:lvlText w:val="%1."/>
      <w:lvlJc w:val="left"/>
      <w:pPr>
        <w:ind w:left="731" w:hanging="568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5B7C1A6A">
      <w:numFmt w:val="bullet"/>
      <w:lvlText w:val="•"/>
      <w:lvlJc w:val="left"/>
      <w:pPr>
        <w:ind w:left="1118" w:hanging="568"/>
      </w:pPr>
      <w:rPr>
        <w:rFonts w:hint="default"/>
        <w:lang w:val="hu-HU" w:eastAsia="hu-HU" w:bidi="hu-HU"/>
      </w:rPr>
    </w:lvl>
    <w:lvl w:ilvl="2" w:tplc="DDD4B39A">
      <w:numFmt w:val="bullet"/>
      <w:lvlText w:val="•"/>
      <w:lvlJc w:val="left"/>
      <w:pPr>
        <w:ind w:left="1497" w:hanging="568"/>
      </w:pPr>
      <w:rPr>
        <w:rFonts w:hint="default"/>
        <w:lang w:val="hu-HU" w:eastAsia="hu-HU" w:bidi="hu-HU"/>
      </w:rPr>
    </w:lvl>
    <w:lvl w:ilvl="3" w:tplc="AB66F4A4">
      <w:numFmt w:val="bullet"/>
      <w:lvlText w:val="•"/>
      <w:lvlJc w:val="left"/>
      <w:pPr>
        <w:ind w:left="1875" w:hanging="568"/>
      </w:pPr>
      <w:rPr>
        <w:rFonts w:hint="default"/>
        <w:lang w:val="hu-HU" w:eastAsia="hu-HU" w:bidi="hu-HU"/>
      </w:rPr>
    </w:lvl>
    <w:lvl w:ilvl="4" w:tplc="E32837CA">
      <w:numFmt w:val="bullet"/>
      <w:lvlText w:val="•"/>
      <w:lvlJc w:val="left"/>
      <w:pPr>
        <w:ind w:left="2254" w:hanging="568"/>
      </w:pPr>
      <w:rPr>
        <w:rFonts w:hint="default"/>
        <w:lang w:val="hu-HU" w:eastAsia="hu-HU" w:bidi="hu-HU"/>
      </w:rPr>
    </w:lvl>
    <w:lvl w:ilvl="5" w:tplc="969A043E">
      <w:numFmt w:val="bullet"/>
      <w:lvlText w:val="•"/>
      <w:lvlJc w:val="left"/>
      <w:pPr>
        <w:ind w:left="2633" w:hanging="568"/>
      </w:pPr>
      <w:rPr>
        <w:rFonts w:hint="default"/>
        <w:lang w:val="hu-HU" w:eastAsia="hu-HU" w:bidi="hu-HU"/>
      </w:rPr>
    </w:lvl>
    <w:lvl w:ilvl="6" w:tplc="1688B694">
      <w:numFmt w:val="bullet"/>
      <w:lvlText w:val="•"/>
      <w:lvlJc w:val="left"/>
      <w:pPr>
        <w:ind w:left="3011" w:hanging="568"/>
      </w:pPr>
      <w:rPr>
        <w:rFonts w:hint="default"/>
        <w:lang w:val="hu-HU" w:eastAsia="hu-HU" w:bidi="hu-HU"/>
      </w:rPr>
    </w:lvl>
    <w:lvl w:ilvl="7" w:tplc="F8B6E228">
      <w:numFmt w:val="bullet"/>
      <w:lvlText w:val="•"/>
      <w:lvlJc w:val="left"/>
      <w:pPr>
        <w:ind w:left="3390" w:hanging="568"/>
      </w:pPr>
      <w:rPr>
        <w:rFonts w:hint="default"/>
        <w:lang w:val="hu-HU" w:eastAsia="hu-HU" w:bidi="hu-HU"/>
      </w:rPr>
    </w:lvl>
    <w:lvl w:ilvl="8" w:tplc="C4569526">
      <w:numFmt w:val="bullet"/>
      <w:lvlText w:val="•"/>
      <w:lvlJc w:val="left"/>
      <w:pPr>
        <w:ind w:left="3768" w:hanging="568"/>
      </w:pPr>
      <w:rPr>
        <w:rFonts w:hint="default"/>
        <w:lang w:val="hu-HU" w:eastAsia="hu-HU" w:bidi="hu-HU"/>
      </w:rPr>
    </w:lvl>
  </w:abstractNum>
  <w:abstractNum w:abstractNumId="27" w15:restartNumberingAfterBreak="0">
    <w:nsid w:val="58700952"/>
    <w:multiLevelType w:val="hybridMultilevel"/>
    <w:tmpl w:val="E5C45632"/>
    <w:lvl w:ilvl="0" w:tplc="70C25DB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58F912B1"/>
    <w:multiLevelType w:val="hybridMultilevel"/>
    <w:tmpl w:val="EBFE0618"/>
    <w:lvl w:ilvl="0" w:tplc="167AA6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0223C6"/>
    <w:multiLevelType w:val="hybridMultilevel"/>
    <w:tmpl w:val="98ACA498"/>
    <w:lvl w:ilvl="0" w:tplc="76807CF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B1618B4"/>
    <w:multiLevelType w:val="hybridMultilevel"/>
    <w:tmpl w:val="D3B44C1C"/>
    <w:lvl w:ilvl="0" w:tplc="304064CA">
      <w:start w:val="1"/>
      <w:numFmt w:val="decimal"/>
      <w:lvlText w:val="%1."/>
      <w:lvlJc w:val="left"/>
      <w:pPr>
        <w:ind w:left="731" w:hanging="568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F3C44D40">
      <w:start w:val="1"/>
      <w:numFmt w:val="decimal"/>
      <w:lvlText w:val="%2."/>
      <w:lvlJc w:val="left"/>
      <w:pPr>
        <w:ind w:left="952" w:hanging="221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2" w:tplc="FA1ED282">
      <w:numFmt w:val="bullet"/>
      <w:lvlText w:val="•"/>
      <w:lvlJc w:val="left"/>
      <w:pPr>
        <w:ind w:left="1356" w:hanging="221"/>
      </w:pPr>
      <w:rPr>
        <w:rFonts w:hint="default"/>
        <w:lang w:val="hu-HU" w:eastAsia="hu-HU" w:bidi="hu-HU"/>
      </w:rPr>
    </w:lvl>
    <w:lvl w:ilvl="3" w:tplc="58DC7D68">
      <w:numFmt w:val="bullet"/>
      <w:lvlText w:val="•"/>
      <w:lvlJc w:val="left"/>
      <w:pPr>
        <w:ind w:left="1752" w:hanging="221"/>
      </w:pPr>
      <w:rPr>
        <w:rFonts w:hint="default"/>
        <w:lang w:val="hu-HU" w:eastAsia="hu-HU" w:bidi="hu-HU"/>
      </w:rPr>
    </w:lvl>
    <w:lvl w:ilvl="4" w:tplc="5DA2712E">
      <w:numFmt w:val="bullet"/>
      <w:lvlText w:val="•"/>
      <w:lvlJc w:val="left"/>
      <w:pPr>
        <w:ind w:left="2148" w:hanging="221"/>
      </w:pPr>
      <w:rPr>
        <w:rFonts w:hint="default"/>
        <w:lang w:val="hu-HU" w:eastAsia="hu-HU" w:bidi="hu-HU"/>
      </w:rPr>
    </w:lvl>
    <w:lvl w:ilvl="5" w:tplc="7C1CA6DC">
      <w:numFmt w:val="bullet"/>
      <w:lvlText w:val="•"/>
      <w:lvlJc w:val="left"/>
      <w:pPr>
        <w:ind w:left="2544" w:hanging="221"/>
      </w:pPr>
      <w:rPr>
        <w:rFonts w:hint="default"/>
        <w:lang w:val="hu-HU" w:eastAsia="hu-HU" w:bidi="hu-HU"/>
      </w:rPr>
    </w:lvl>
    <w:lvl w:ilvl="6" w:tplc="C79C658C">
      <w:numFmt w:val="bullet"/>
      <w:lvlText w:val="•"/>
      <w:lvlJc w:val="left"/>
      <w:pPr>
        <w:ind w:left="2941" w:hanging="221"/>
      </w:pPr>
      <w:rPr>
        <w:rFonts w:hint="default"/>
        <w:lang w:val="hu-HU" w:eastAsia="hu-HU" w:bidi="hu-HU"/>
      </w:rPr>
    </w:lvl>
    <w:lvl w:ilvl="7" w:tplc="4CE20DC2">
      <w:numFmt w:val="bullet"/>
      <w:lvlText w:val="•"/>
      <w:lvlJc w:val="left"/>
      <w:pPr>
        <w:ind w:left="3337" w:hanging="221"/>
      </w:pPr>
      <w:rPr>
        <w:rFonts w:hint="default"/>
        <w:lang w:val="hu-HU" w:eastAsia="hu-HU" w:bidi="hu-HU"/>
      </w:rPr>
    </w:lvl>
    <w:lvl w:ilvl="8" w:tplc="5114FB02">
      <w:numFmt w:val="bullet"/>
      <w:lvlText w:val="•"/>
      <w:lvlJc w:val="left"/>
      <w:pPr>
        <w:ind w:left="3733" w:hanging="221"/>
      </w:pPr>
      <w:rPr>
        <w:rFonts w:hint="default"/>
        <w:lang w:val="hu-HU" w:eastAsia="hu-HU" w:bidi="hu-HU"/>
      </w:rPr>
    </w:lvl>
  </w:abstractNum>
  <w:abstractNum w:abstractNumId="31" w15:restartNumberingAfterBreak="0">
    <w:nsid w:val="5D36246C"/>
    <w:multiLevelType w:val="hybridMultilevel"/>
    <w:tmpl w:val="E598984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047855"/>
    <w:multiLevelType w:val="hybridMultilevel"/>
    <w:tmpl w:val="36C4690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28393E"/>
    <w:multiLevelType w:val="multilevel"/>
    <w:tmpl w:val="91248442"/>
    <w:lvl w:ilvl="0">
      <w:start w:val="4"/>
      <w:numFmt w:val="decimal"/>
      <w:lvlText w:val="%1."/>
      <w:lvlJc w:val="left"/>
      <w:pPr>
        <w:ind w:left="599" w:hanging="222"/>
      </w:pPr>
      <w:rPr>
        <w:rFonts w:hint="default"/>
        <w:w w:val="99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946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042" w:hanging="568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145" w:hanging="568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248" w:hanging="568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351" w:hanging="568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454" w:hanging="568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556" w:hanging="568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659" w:hanging="568"/>
      </w:pPr>
      <w:rPr>
        <w:rFonts w:hint="default"/>
        <w:lang w:val="hu-HU" w:eastAsia="hu-HU" w:bidi="hu-HU"/>
      </w:rPr>
    </w:lvl>
  </w:abstractNum>
  <w:abstractNum w:abstractNumId="34" w15:restartNumberingAfterBreak="0">
    <w:nsid w:val="71965915"/>
    <w:multiLevelType w:val="multilevel"/>
    <w:tmpl w:val="880CAF38"/>
    <w:lvl w:ilvl="0">
      <w:start w:val="4"/>
      <w:numFmt w:val="decimal"/>
      <w:lvlText w:val="%1"/>
      <w:lvlJc w:val="left"/>
      <w:pPr>
        <w:ind w:left="946" w:hanging="568"/>
      </w:pPr>
      <w:rPr>
        <w:rFonts w:hint="default"/>
        <w:lang w:val="hu-HU" w:eastAsia="hu-HU" w:bidi="hu-HU"/>
      </w:rPr>
    </w:lvl>
    <w:lvl w:ilvl="1">
      <w:start w:val="5"/>
      <w:numFmt w:val="decimal"/>
      <w:lvlText w:val="%1.%2"/>
      <w:lvlJc w:val="left"/>
      <w:pPr>
        <w:ind w:left="946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925" w:hanging="568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917" w:hanging="568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910" w:hanging="568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902" w:hanging="568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895" w:hanging="568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887" w:hanging="568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880" w:hanging="568"/>
      </w:pPr>
      <w:rPr>
        <w:rFonts w:hint="default"/>
        <w:lang w:val="hu-HU" w:eastAsia="hu-HU" w:bidi="hu-HU"/>
      </w:rPr>
    </w:lvl>
  </w:abstractNum>
  <w:abstractNum w:abstractNumId="35" w15:restartNumberingAfterBreak="0">
    <w:nsid w:val="73264075"/>
    <w:multiLevelType w:val="hybridMultilevel"/>
    <w:tmpl w:val="F544E72A"/>
    <w:lvl w:ilvl="0" w:tplc="E49A8636">
      <w:start w:val="1"/>
      <w:numFmt w:val="decimal"/>
      <w:lvlText w:val="%1."/>
      <w:lvlJc w:val="left"/>
      <w:pPr>
        <w:ind w:left="731" w:hanging="568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46967D36">
      <w:numFmt w:val="bullet"/>
      <w:lvlText w:val="•"/>
      <w:lvlJc w:val="left"/>
      <w:pPr>
        <w:ind w:left="1118" w:hanging="568"/>
      </w:pPr>
      <w:rPr>
        <w:rFonts w:hint="default"/>
        <w:lang w:val="hu-HU" w:eastAsia="hu-HU" w:bidi="hu-HU"/>
      </w:rPr>
    </w:lvl>
    <w:lvl w:ilvl="2" w:tplc="F1E0E486">
      <w:numFmt w:val="bullet"/>
      <w:lvlText w:val="•"/>
      <w:lvlJc w:val="left"/>
      <w:pPr>
        <w:ind w:left="1497" w:hanging="568"/>
      </w:pPr>
      <w:rPr>
        <w:rFonts w:hint="default"/>
        <w:lang w:val="hu-HU" w:eastAsia="hu-HU" w:bidi="hu-HU"/>
      </w:rPr>
    </w:lvl>
    <w:lvl w:ilvl="3" w:tplc="8918EF76">
      <w:numFmt w:val="bullet"/>
      <w:lvlText w:val="•"/>
      <w:lvlJc w:val="left"/>
      <w:pPr>
        <w:ind w:left="1875" w:hanging="568"/>
      </w:pPr>
      <w:rPr>
        <w:rFonts w:hint="default"/>
        <w:lang w:val="hu-HU" w:eastAsia="hu-HU" w:bidi="hu-HU"/>
      </w:rPr>
    </w:lvl>
    <w:lvl w:ilvl="4" w:tplc="1498494E">
      <w:numFmt w:val="bullet"/>
      <w:lvlText w:val="•"/>
      <w:lvlJc w:val="left"/>
      <w:pPr>
        <w:ind w:left="2254" w:hanging="568"/>
      </w:pPr>
      <w:rPr>
        <w:rFonts w:hint="default"/>
        <w:lang w:val="hu-HU" w:eastAsia="hu-HU" w:bidi="hu-HU"/>
      </w:rPr>
    </w:lvl>
    <w:lvl w:ilvl="5" w:tplc="C44AFF50">
      <w:numFmt w:val="bullet"/>
      <w:lvlText w:val="•"/>
      <w:lvlJc w:val="left"/>
      <w:pPr>
        <w:ind w:left="2633" w:hanging="568"/>
      </w:pPr>
      <w:rPr>
        <w:rFonts w:hint="default"/>
        <w:lang w:val="hu-HU" w:eastAsia="hu-HU" w:bidi="hu-HU"/>
      </w:rPr>
    </w:lvl>
    <w:lvl w:ilvl="6" w:tplc="54D62586">
      <w:numFmt w:val="bullet"/>
      <w:lvlText w:val="•"/>
      <w:lvlJc w:val="left"/>
      <w:pPr>
        <w:ind w:left="3011" w:hanging="568"/>
      </w:pPr>
      <w:rPr>
        <w:rFonts w:hint="default"/>
        <w:lang w:val="hu-HU" w:eastAsia="hu-HU" w:bidi="hu-HU"/>
      </w:rPr>
    </w:lvl>
    <w:lvl w:ilvl="7" w:tplc="F0209078">
      <w:numFmt w:val="bullet"/>
      <w:lvlText w:val="•"/>
      <w:lvlJc w:val="left"/>
      <w:pPr>
        <w:ind w:left="3390" w:hanging="568"/>
      </w:pPr>
      <w:rPr>
        <w:rFonts w:hint="default"/>
        <w:lang w:val="hu-HU" w:eastAsia="hu-HU" w:bidi="hu-HU"/>
      </w:rPr>
    </w:lvl>
    <w:lvl w:ilvl="8" w:tplc="F000C4F6">
      <w:numFmt w:val="bullet"/>
      <w:lvlText w:val="•"/>
      <w:lvlJc w:val="left"/>
      <w:pPr>
        <w:ind w:left="3768" w:hanging="568"/>
      </w:pPr>
      <w:rPr>
        <w:rFonts w:hint="default"/>
        <w:lang w:val="hu-HU" w:eastAsia="hu-HU" w:bidi="hu-HU"/>
      </w:rPr>
    </w:lvl>
  </w:abstractNum>
  <w:abstractNum w:abstractNumId="36" w15:restartNumberingAfterBreak="0">
    <w:nsid w:val="7A043FF7"/>
    <w:multiLevelType w:val="hybridMultilevel"/>
    <w:tmpl w:val="33D4C6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21A92"/>
    <w:multiLevelType w:val="hybridMultilevel"/>
    <w:tmpl w:val="0B24A328"/>
    <w:lvl w:ilvl="0" w:tplc="A1909C42">
      <w:start w:val="1"/>
      <w:numFmt w:val="decimal"/>
      <w:lvlText w:val="%1."/>
      <w:lvlJc w:val="left"/>
      <w:pPr>
        <w:ind w:left="731" w:hanging="568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1EF4F408">
      <w:start w:val="1"/>
      <w:numFmt w:val="decimal"/>
      <w:lvlText w:val="%2."/>
      <w:lvlJc w:val="left"/>
      <w:pPr>
        <w:ind w:left="952" w:hanging="221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2" w:tplc="99E2FE78">
      <w:numFmt w:val="bullet"/>
      <w:lvlText w:val="•"/>
      <w:lvlJc w:val="left"/>
      <w:pPr>
        <w:ind w:left="1356" w:hanging="221"/>
      </w:pPr>
      <w:rPr>
        <w:rFonts w:hint="default"/>
        <w:lang w:val="hu-HU" w:eastAsia="hu-HU" w:bidi="hu-HU"/>
      </w:rPr>
    </w:lvl>
    <w:lvl w:ilvl="3" w:tplc="C80C0D9C">
      <w:numFmt w:val="bullet"/>
      <w:lvlText w:val="•"/>
      <w:lvlJc w:val="left"/>
      <w:pPr>
        <w:ind w:left="1752" w:hanging="221"/>
      </w:pPr>
      <w:rPr>
        <w:rFonts w:hint="default"/>
        <w:lang w:val="hu-HU" w:eastAsia="hu-HU" w:bidi="hu-HU"/>
      </w:rPr>
    </w:lvl>
    <w:lvl w:ilvl="4" w:tplc="5AFC0BDA">
      <w:numFmt w:val="bullet"/>
      <w:lvlText w:val="•"/>
      <w:lvlJc w:val="left"/>
      <w:pPr>
        <w:ind w:left="2148" w:hanging="221"/>
      </w:pPr>
      <w:rPr>
        <w:rFonts w:hint="default"/>
        <w:lang w:val="hu-HU" w:eastAsia="hu-HU" w:bidi="hu-HU"/>
      </w:rPr>
    </w:lvl>
    <w:lvl w:ilvl="5" w:tplc="1B667E40">
      <w:numFmt w:val="bullet"/>
      <w:lvlText w:val="•"/>
      <w:lvlJc w:val="left"/>
      <w:pPr>
        <w:ind w:left="2544" w:hanging="221"/>
      </w:pPr>
      <w:rPr>
        <w:rFonts w:hint="default"/>
        <w:lang w:val="hu-HU" w:eastAsia="hu-HU" w:bidi="hu-HU"/>
      </w:rPr>
    </w:lvl>
    <w:lvl w:ilvl="6" w:tplc="F3580B24">
      <w:numFmt w:val="bullet"/>
      <w:lvlText w:val="•"/>
      <w:lvlJc w:val="left"/>
      <w:pPr>
        <w:ind w:left="2941" w:hanging="221"/>
      </w:pPr>
      <w:rPr>
        <w:rFonts w:hint="default"/>
        <w:lang w:val="hu-HU" w:eastAsia="hu-HU" w:bidi="hu-HU"/>
      </w:rPr>
    </w:lvl>
    <w:lvl w:ilvl="7" w:tplc="D8DE5222">
      <w:numFmt w:val="bullet"/>
      <w:lvlText w:val="•"/>
      <w:lvlJc w:val="left"/>
      <w:pPr>
        <w:ind w:left="3337" w:hanging="221"/>
      </w:pPr>
      <w:rPr>
        <w:rFonts w:hint="default"/>
        <w:lang w:val="hu-HU" w:eastAsia="hu-HU" w:bidi="hu-HU"/>
      </w:rPr>
    </w:lvl>
    <w:lvl w:ilvl="8" w:tplc="31D4DA8A">
      <w:numFmt w:val="bullet"/>
      <w:lvlText w:val="•"/>
      <w:lvlJc w:val="left"/>
      <w:pPr>
        <w:ind w:left="3733" w:hanging="221"/>
      </w:pPr>
      <w:rPr>
        <w:rFonts w:hint="default"/>
        <w:lang w:val="hu-HU" w:eastAsia="hu-HU" w:bidi="hu-HU"/>
      </w:rPr>
    </w:lvl>
  </w:abstractNum>
  <w:num w:numId="1">
    <w:abstractNumId w:val="20"/>
  </w:num>
  <w:num w:numId="2">
    <w:abstractNumId w:val="0"/>
  </w:num>
  <w:num w:numId="3">
    <w:abstractNumId w:val="19"/>
  </w:num>
  <w:num w:numId="4">
    <w:abstractNumId w:val="16"/>
  </w:num>
  <w:num w:numId="5">
    <w:abstractNumId w:val="10"/>
  </w:num>
  <w:num w:numId="6">
    <w:abstractNumId w:val="14"/>
  </w:num>
  <w:num w:numId="7">
    <w:abstractNumId w:val="24"/>
  </w:num>
  <w:num w:numId="8">
    <w:abstractNumId w:val="11"/>
  </w:num>
  <w:num w:numId="9">
    <w:abstractNumId w:val="5"/>
  </w:num>
  <w:num w:numId="10">
    <w:abstractNumId w:val="22"/>
  </w:num>
  <w:num w:numId="11">
    <w:abstractNumId w:val="13"/>
  </w:num>
  <w:num w:numId="12">
    <w:abstractNumId w:val="2"/>
  </w:num>
  <w:num w:numId="13">
    <w:abstractNumId w:val="33"/>
  </w:num>
  <w:num w:numId="14">
    <w:abstractNumId w:val="34"/>
  </w:num>
  <w:num w:numId="15">
    <w:abstractNumId w:val="21"/>
  </w:num>
  <w:num w:numId="16">
    <w:abstractNumId w:val="18"/>
  </w:num>
  <w:num w:numId="17">
    <w:abstractNumId w:val="35"/>
  </w:num>
  <w:num w:numId="18">
    <w:abstractNumId w:val="37"/>
  </w:num>
  <w:num w:numId="19">
    <w:abstractNumId w:val="30"/>
  </w:num>
  <w:num w:numId="20">
    <w:abstractNumId w:val="26"/>
  </w:num>
  <w:num w:numId="21">
    <w:abstractNumId w:val="3"/>
  </w:num>
  <w:num w:numId="22">
    <w:abstractNumId w:val="25"/>
  </w:num>
  <w:num w:numId="23">
    <w:abstractNumId w:val="4"/>
  </w:num>
  <w:num w:numId="24">
    <w:abstractNumId w:val="1"/>
  </w:num>
  <w:num w:numId="25">
    <w:abstractNumId w:val="23"/>
  </w:num>
  <w:num w:numId="26">
    <w:abstractNumId w:val="32"/>
  </w:num>
  <w:num w:numId="27">
    <w:abstractNumId w:val="36"/>
  </w:num>
  <w:num w:numId="28">
    <w:abstractNumId w:val="31"/>
  </w:num>
  <w:num w:numId="29">
    <w:abstractNumId w:val="17"/>
  </w:num>
  <w:num w:numId="30">
    <w:abstractNumId w:val="15"/>
  </w:num>
  <w:num w:numId="31">
    <w:abstractNumId w:val="7"/>
  </w:num>
  <w:num w:numId="32">
    <w:abstractNumId w:val="6"/>
  </w:num>
  <w:num w:numId="33">
    <w:abstractNumId w:val="8"/>
  </w:num>
  <w:num w:numId="34">
    <w:abstractNumId w:val="9"/>
  </w:num>
  <w:num w:numId="35">
    <w:abstractNumId w:val="28"/>
  </w:num>
  <w:num w:numId="36">
    <w:abstractNumId w:val="27"/>
  </w:num>
  <w:num w:numId="37">
    <w:abstractNumId w:val="12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D76"/>
    <w:rsid w:val="0000020F"/>
    <w:rsid w:val="00011E0C"/>
    <w:rsid w:val="00013F9B"/>
    <w:rsid w:val="00017FBA"/>
    <w:rsid w:val="00024E6B"/>
    <w:rsid w:val="000340C8"/>
    <w:rsid w:val="00050E99"/>
    <w:rsid w:val="000607EF"/>
    <w:rsid w:val="00061512"/>
    <w:rsid w:val="00063A40"/>
    <w:rsid w:val="00082B3A"/>
    <w:rsid w:val="0009105E"/>
    <w:rsid w:val="00091B04"/>
    <w:rsid w:val="000A1DFB"/>
    <w:rsid w:val="000B1D6D"/>
    <w:rsid w:val="000E5414"/>
    <w:rsid w:val="000F11A6"/>
    <w:rsid w:val="00111A46"/>
    <w:rsid w:val="00136CE1"/>
    <w:rsid w:val="0015750B"/>
    <w:rsid w:val="0016519C"/>
    <w:rsid w:val="001734CC"/>
    <w:rsid w:val="00174B0E"/>
    <w:rsid w:val="00180001"/>
    <w:rsid w:val="001D4A3D"/>
    <w:rsid w:val="001F2822"/>
    <w:rsid w:val="0020470A"/>
    <w:rsid w:val="00205BAE"/>
    <w:rsid w:val="00207AD9"/>
    <w:rsid w:val="002213E5"/>
    <w:rsid w:val="00224770"/>
    <w:rsid w:val="0023347C"/>
    <w:rsid w:val="002366AA"/>
    <w:rsid w:val="00237B3B"/>
    <w:rsid w:val="0024398B"/>
    <w:rsid w:val="002509DC"/>
    <w:rsid w:val="0026398C"/>
    <w:rsid w:val="00277DA7"/>
    <w:rsid w:val="002833C1"/>
    <w:rsid w:val="002A0C19"/>
    <w:rsid w:val="002A699F"/>
    <w:rsid w:val="002D0B40"/>
    <w:rsid w:val="002D5D5A"/>
    <w:rsid w:val="002D64FD"/>
    <w:rsid w:val="00310BD2"/>
    <w:rsid w:val="003225C2"/>
    <w:rsid w:val="00324D24"/>
    <w:rsid w:val="003357E9"/>
    <w:rsid w:val="00336A37"/>
    <w:rsid w:val="00343258"/>
    <w:rsid w:val="00362A05"/>
    <w:rsid w:val="00363EBB"/>
    <w:rsid w:val="00373556"/>
    <w:rsid w:val="003779E0"/>
    <w:rsid w:val="0038306D"/>
    <w:rsid w:val="00395A66"/>
    <w:rsid w:val="003C27DC"/>
    <w:rsid w:val="003C4363"/>
    <w:rsid w:val="003D5D7A"/>
    <w:rsid w:val="003D6512"/>
    <w:rsid w:val="003E211B"/>
    <w:rsid w:val="003E439F"/>
    <w:rsid w:val="00430469"/>
    <w:rsid w:val="00445CF3"/>
    <w:rsid w:val="00460645"/>
    <w:rsid w:val="004801D8"/>
    <w:rsid w:val="00486CB8"/>
    <w:rsid w:val="00495FC0"/>
    <w:rsid w:val="004A28CD"/>
    <w:rsid w:val="004B0D5F"/>
    <w:rsid w:val="004D0AF8"/>
    <w:rsid w:val="004D10F5"/>
    <w:rsid w:val="004D3F24"/>
    <w:rsid w:val="004E0C2F"/>
    <w:rsid w:val="004E4A04"/>
    <w:rsid w:val="004E4AE5"/>
    <w:rsid w:val="005010DD"/>
    <w:rsid w:val="005102F6"/>
    <w:rsid w:val="00517F07"/>
    <w:rsid w:val="00527835"/>
    <w:rsid w:val="00552C02"/>
    <w:rsid w:val="00560D9E"/>
    <w:rsid w:val="00563E8F"/>
    <w:rsid w:val="005818AD"/>
    <w:rsid w:val="0058404E"/>
    <w:rsid w:val="005B34CA"/>
    <w:rsid w:val="005C6E41"/>
    <w:rsid w:val="005F6FED"/>
    <w:rsid w:val="00610181"/>
    <w:rsid w:val="00614FC0"/>
    <w:rsid w:val="00620A30"/>
    <w:rsid w:val="00622B80"/>
    <w:rsid w:val="006276E6"/>
    <w:rsid w:val="006350E2"/>
    <w:rsid w:val="00644CAD"/>
    <w:rsid w:val="00645FEE"/>
    <w:rsid w:val="00647035"/>
    <w:rsid w:val="006610A4"/>
    <w:rsid w:val="0066146E"/>
    <w:rsid w:val="00681233"/>
    <w:rsid w:val="0068439E"/>
    <w:rsid w:val="006A59C5"/>
    <w:rsid w:val="006A5C1F"/>
    <w:rsid w:val="006A5E9F"/>
    <w:rsid w:val="006B17E3"/>
    <w:rsid w:val="006E32DF"/>
    <w:rsid w:val="006E4EA1"/>
    <w:rsid w:val="006F1C64"/>
    <w:rsid w:val="006F72CB"/>
    <w:rsid w:val="007147F7"/>
    <w:rsid w:val="00723537"/>
    <w:rsid w:val="0074131B"/>
    <w:rsid w:val="00743305"/>
    <w:rsid w:val="00761078"/>
    <w:rsid w:val="00776A30"/>
    <w:rsid w:val="00777EFC"/>
    <w:rsid w:val="00782D39"/>
    <w:rsid w:val="007923FA"/>
    <w:rsid w:val="00796503"/>
    <w:rsid w:val="007A1545"/>
    <w:rsid w:val="007C41E9"/>
    <w:rsid w:val="007E4976"/>
    <w:rsid w:val="007F5038"/>
    <w:rsid w:val="008326B9"/>
    <w:rsid w:val="00836EB1"/>
    <w:rsid w:val="00843D27"/>
    <w:rsid w:val="0087414E"/>
    <w:rsid w:val="00882F61"/>
    <w:rsid w:val="008830D8"/>
    <w:rsid w:val="0088382A"/>
    <w:rsid w:val="008908AC"/>
    <w:rsid w:val="008B4088"/>
    <w:rsid w:val="008D22B1"/>
    <w:rsid w:val="00911550"/>
    <w:rsid w:val="00931686"/>
    <w:rsid w:val="00931A1B"/>
    <w:rsid w:val="0097317E"/>
    <w:rsid w:val="009E2125"/>
    <w:rsid w:val="009F546B"/>
    <w:rsid w:val="009F6F3A"/>
    <w:rsid w:val="00A12FF0"/>
    <w:rsid w:val="00A231BC"/>
    <w:rsid w:val="00A41A27"/>
    <w:rsid w:val="00A42BF9"/>
    <w:rsid w:val="00A57537"/>
    <w:rsid w:val="00A67DB6"/>
    <w:rsid w:val="00A7094B"/>
    <w:rsid w:val="00A75A9A"/>
    <w:rsid w:val="00A826FA"/>
    <w:rsid w:val="00A82810"/>
    <w:rsid w:val="00AB1443"/>
    <w:rsid w:val="00AB2353"/>
    <w:rsid w:val="00AC5E7C"/>
    <w:rsid w:val="00AF0386"/>
    <w:rsid w:val="00AF6A45"/>
    <w:rsid w:val="00B04BAB"/>
    <w:rsid w:val="00B0631C"/>
    <w:rsid w:val="00B713F1"/>
    <w:rsid w:val="00B72EC0"/>
    <w:rsid w:val="00B933E0"/>
    <w:rsid w:val="00B93F08"/>
    <w:rsid w:val="00BE49DC"/>
    <w:rsid w:val="00C01460"/>
    <w:rsid w:val="00C074E7"/>
    <w:rsid w:val="00C23E0B"/>
    <w:rsid w:val="00C250C3"/>
    <w:rsid w:val="00C45F35"/>
    <w:rsid w:val="00C47289"/>
    <w:rsid w:val="00C51255"/>
    <w:rsid w:val="00C55E12"/>
    <w:rsid w:val="00C64C0E"/>
    <w:rsid w:val="00C7183F"/>
    <w:rsid w:val="00C72AF7"/>
    <w:rsid w:val="00C77341"/>
    <w:rsid w:val="00C81B30"/>
    <w:rsid w:val="00C839DC"/>
    <w:rsid w:val="00CC170B"/>
    <w:rsid w:val="00CC6F76"/>
    <w:rsid w:val="00CD300A"/>
    <w:rsid w:val="00CD5860"/>
    <w:rsid w:val="00CE48E8"/>
    <w:rsid w:val="00CE7373"/>
    <w:rsid w:val="00D07FC6"/>
    <w:rsid w:val="00D122A0"/>
    <w:rsid w:val="00D17DC3"/>
    <w:rsid w:val="00D23B59"/>
    <w:rsid w:val="00D245E2"/>
    <w:rsid w:val="00D314A9"/>
    <w:rsid w:val="00D414C5"/>
    <w:rsid w:val="00D53BB5"/>
    <w:rsid w:val="00D625A6"/>
    <w:rsid w:val="00D645D9"/>
    <w:rsid w:val="00D646A8"/>
    <w:rsid w:val="00D64C2F"/>
    <w:rsid w:val="00D80A08"/>
    <w:rsid w:val="00D90BCF"/>
    <w:rsid w:val="00D95497"/>
    <w:rsid w:val="00DB36F7"/>
    <w:rsid w:val="00DC15EB"/>
    <w:rsid w:val="00DE0F37"/>
    <w:rsid w:val="00DE4C69"/>
    <w:rsid w:val="00DE5910"/>
    <w:rsid w:val="00DF4763"/>
    <w:rsid w:val="00DF56DB"/>
    <w:rsid w:val="00DF7FCE"/>
    <w:rsid w:val="00E0464A"/>
    <w:rsid w:val="00E2038B"/>
    <w:rsid w:val="00E26FF4"/>
    <w:rsid w:val="00E46295"/>
    <w:rsid w:val="00E47CFB"/>
    <w:rsid w:val="00E52201"/>
    <w:rsid w:val="00E56CE8"/>
    <w:rsid w:val="00E6253F"/>
    <w:rsid w:val="00E67716"/>
    <w:rsid w:val="00E82AA7"/>
    <w:rsid w:val="00EA0123"/>
    <w:rsid w:val="00EA3335"/>
    <w:rsid w:val="00EA5561"/>
    <w:rsid w:val="00EA5C28"/>
    <w:rsid w:val="00EA64E3"/>
    <w:rsid w:val="00EB57C7"/>
    <w:rsid w:val="00EC1D24"/>
    <w:rsid w:val="00EC4D02"/>
    <w:rsid w:val="00ED4444"/>
    <w:rsid w:val="00EF1922"/>
    <w:rsid w:val="00EF3CF4"/>
    <w:rsid w:val="00F063CD"/>
    <w:rsid w:val="00F11735"/>
    <w:rsid w:val="00F41EEF"/>
    <w:rsid w:val="00F65A4E"/>
    <w:rsid w:val="00F7304E"/>
    <w:rsid w:val="00F84372"/>
    <w:rsid w:val="00FC0D76"/>
    <w:rsid w:val="00FC0DA5"/>
    <w:rsid w:val="00FD27AB"/>
    <w:rsid w:val="00FD69E8"/>
    <w:rsid w:val="00FE6B7B"/>
    <w:rsid w:val="00FF12A3"/>
    <w:rsid w:val="00FF3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40804FE6"/>
  <w15:chartTrackingRefBased/>
  <w15:docId w15:val="{C48AF796-D6C0-4C76-898A-255AA0517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C0D76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FC0D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C0D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C0D7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0D7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0D7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0D7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0D7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0D7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0D7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FC0D76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C0D7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C0D76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0D76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0D76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0D76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0D76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0D76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0D76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FC0D7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C0D76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FC0D7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FC0D76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FC0D7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FC0D76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1"/>
    <w:qFormat/>
    <w:rsid w:val="00FC0D7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FC0D76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0D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0D76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FC0D76"/>
    <w:rPr>
      <w:b/>
      <w:bCs/>
      <w:smallCaps/>
      <w:color w:val="2F5496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FC0D76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FC0D76"/>
  </w:style>
  <w:style w:type="character" w:customStyle="1" w:styleId="SzvegtrzsChar">
    <w:name w:val="Szövegtörzs Char"/>
    <w:basedOn w:val="Bekezdsalapbettpusa"/>
    <w:link w:val="Szvegtrzs"/>
    <w:uiPriority w:val="1"/>
    <w:rsid w:val="00FC0D76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customStyle="1" w:styleId="TableParagraph">
    <w:name w:val="Table Paragraph"/>
    <w:basedOn w:val="Norml"/>
    <w:uiPriority w:val="1"/>
    <w:qFormat/>
    <w:rsid w:val="00FC0D76"/>
    <w:pPr>
      <w:ind w:left="107"/>
    </w:pPr>
  </w:style>
  <w:style w:type="paragraph" w:styleId="lfej">
    <w:name w:val="header"/>
    <w:basedOn w:val="Norml"/>
    <w:link w:val="lfejChar"/>
    <w:uiPriority w:val="99"/>
    <w:unhideWhenUsed/>
    <w:rsid w:val="00FC0D7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C0D76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FC0D7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C0D76"/>
    <w:rPr>
      <w:rFonts w:ascii="Times New Roman" w:hAnsi="Times New Roman" w:cs="Times New Roman"/>
      <w:kern w:val="0"/>
      <w:lang w:eastAsia="hu-HU" w:bidi="hu-HU"/>
      <w14:ligatures w14:val="none"/>
    </w:rPr>
  </w:style>
  <w:style w:type="character" w:customStyle="1" w:styleId="Heading1">
    <w:name w:val="Heading #1_"/>
    <w:link w:val="Heading10"/>
    <w:rsid w:val="00FC0D76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Bodytext">
    <w:name w:val="Body text_"/>
    <w:link w:val="BodyText11"/>
    <w:rsid w:val="00FC0D76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Heading10">
    <w:name w:val="Heading #1"/>
    <w:basedOn w:val="Norml"/>
    <w:link w:val="Heading1"/>
    <w:rsid w:val="00FC0D76"/>
    <w:pPr>
      <w:shd w:val="clear" w:color="auto" w:fill="FFFFFF"/>
      <w:autoSpaceDE/>
      <w:autoSpaceDN/>
      <w:spacing w:line="0" w:lineRule="atLeast"/>
      <w:jc w:val="both"/>
      <w:outlineLvl w:val="0"/>
    </w:pPr>
    <w:rPr>
      <w:b/>
      <w:bCs/>
      <w:kern w:val="2"/>
      <w:sz w:val="20"/>
      <w:szCs w:val="20"/>
      <w:lang w:eastAsia="en-US" w:bidi="ar-SA"/>
      <w14:ligatures w14:val="standardContextual"/>
    </w:rPr>
  </w:style>
  <w:style w:type="paragraph" w:customStyle="1" w:styleId="BodyText11">
    <w:name w:val="Body Text11"/>
    <w:basedOn w:val="Norml"/>
    <w:link w:val="Bodytext"/>
    <w:rsid w:val="00FC0D76"/>
    <w:pPr>
      <w:shd w:val="clear" w:color="auto" w:fill="FFFFFF"/>
      <w:autoSpaceDE/>
      <w:autoSpaceDN/>
      <w:spacing w:line="0" w:lineRule="atLeast"/>
      <w:ind w:hanging="580"/>
      <w:jc w:val="both"/>
    </w:pPr>
    <w:rPr>
      <w:kern w:val="2"/>
      <w:sz w:val="20"/>
      <w:szCs w:val="20"/>
      <w:lang w:eastAsia="en-US" w:bidi="ar-SA"/>
      <w14:ligatures w14:val="standardContextual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091B04"/>
    <w:rPr>
      <w:rFonts w:ascii="Consolas" w:hAnsi="Consolas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091B04"/>
    <w:rPr>
      <w:rFonts w:ascii="Consolas" w:hAnsi="Consolas" w:cs="Times New Roman"/>
      <w:kern w:val="0"/>
      <w:sz w:val="20"/>
      <w:szCs w:val="20"/>
      <w:lang w:eastAsia="hu-HU" w:bidi="hu-HU"/>
      <w14:ligatures w14:val="none"/>
    </w:rPr>
  </w:style>
  <w:style w:type="table" w:styleId="Rcsostblzat">
    <w:name w:val="Table Grid"/>
    <w:basedOn w:val="Normltblzat"/>
    <w:uiPriority w:val="39"/>
    <w:rsid w:val="00A67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link w:val="Bodytext20"/>
    <w:rsid w:val="005B34CA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ablecaption">
    <w:name w:val="Table caption_"/>
    <w:link w:val="Tablecaption0"/>
    <w:rsid w:val="005B34CA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BodyText21">
    <w:name w:val="Body Text2"/>
    <w:rsid w:val="005B34C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Tablecaption2">
    <w:name w:val="Table caption (2)_"/>
    <w:rsid w:val="005B34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">
    <w:name w:val="Body text + Bold"/>
    <w:rsid w:val="005B34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Italic">
    <w:name w:val="Body text + Italic"/>
    <w:rsid w:val="005B34C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Tablecaption20">
    <w:name w:val="Table caption (2)"/>
    <w:rsid w:val="005B34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paragraph" w:customStyle="1" w:styleId="Bodytext20">
    <w:name w:val="Body text (2)"/>
    <w:basedOn w:val="Norml"/>
    <w:link w:val="Bodytext2"/>
    <w:rsid w:val="005B34CA"/>
    <w:pPr>
      <w:shd w:val="clear" w:color="auto" w:fill="FFFFFF"/>
      <w:autoSpaceDE/>
      <w:autoSpaceDN/>
      <w:spacing w:line="490" w:lineRule="exact"/>
      <w:ind w:hanging="1140"/>
    </w:pPr>
    <w:rPr>
      <w:b/>
      <w:bCs/>
      <w:kern w:val="2"/>
      <w:sz w:val="20"/>
      <w:szCs w:val="20"/>
      <w:lang w:eastAsia="en-US" w:bidi="ar-SA"/>
      <w14:ligatures w14:val="standardContextual"/>
    </w:rPr>
  </w:style>
  <w:style w:type="paragraph" w:customStyle="1" w:styleId="Tablecaption0">
    <w:name w:val="Table caption"/>
    <w:basedOn w:val="Norml"/>
    <w:link w:val="Tablecaption"/>
    <w:rsid w:val="005B34CA"/>
    <w:pPr>
      <w:shd w:val="clear" w:color="auto" w:fill="FFFFFF"/>
      <w:autoSpaceDE/>
      <w:autoSpaceDN/>
      <w:spacing w:line="245" w:lineRule="exact"/>
      <w:jc w:val="both"/>
    </w:pPr>
    <w:rPr>
      <w:kern w:val="2"/>
      <w:sz w:val="20"/>
      <w:szCs w:val="20"/>
      <w:lang w:eastAsia="en-US" w:bidi="ar-SA"/>
      <w14:ligatures w14:val="standardContextual"/>
    </w:rPr>
  </w:style>
  <w:style w:type="character" w:customStyle="1" w:styleId="BodyText1">
    <w:name w:val="Body Text1"/>
    <w:rsid w:val="00E625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paragraph" w:customStyle="1" w:styleId="Szvegtrzs11">
    <w:name w:val="Szövegtörzs11"/>
    <w:basedOn w:val="Norml"/>
    <w:rsid w:val="00E6253F"/>
    <w:pPr>
      <w:shd w:val="clear" w:color="auto" w:fill="FFFFFF"/>
      <w:autoSpaceDE/>
      <w:autoSpaceDN/>
      <w:spacing w:line="0" w:lineRule="atLeast"/>
      <w:ind w:hanging="580"/>
      <w:jc w:val="both"/>
    </w:pPr>
    <w:rPr>
      <w:sz w:val="20"/>
      <w:szCs w:val="20"/>
      <w:lang w:bidi="ar-SA"/>
    </w:rPr>
  </w:style>
  <w:style w:type="paragraph" w:styleId="Vltozat">
    <w:name w:val="Revision"/>
    <w:hidden/>
    <w:uiPriority w:val="99"/>
    <w:semiHidden/>
    <w:rsid w:val="00343258"/>
    <w:pPr>
      <w:spacing w:after="0" w:line="240" w:lineRule="auto"/>
    </w:pPr>
    <w:rPr>
      <w:rFonts w:ascii="Times New Roman" w:hAnsi="Times New Roman" w:cs="Times New Roman"/>
      <w:kern w:val="0"/>
      <w:lang w:eastAsia="hu-HU" w:bidi="hu-HU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D64C2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64C2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64C2F"/>
    <w:rPr>
      <w:rFonts w:ascii="Times New Roman" w:hAnsi="Times New Roman" w:cs="Times New Roman"/>
      <w:kern w:val="0"/>
      <w:sz w:val="20"/>
      <w:szCs w:val="20"/>
      <w:lang w:eastAsia="hu-HU" w:bidi="hu-HU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64C2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64C2F"/>
    <w:rPr>
      <w:rFonts w:ascii="Times New Roman" w:hAnsi="Times New Roman" w:cs="Times New Roman"/>
      <w:b/>
      <w:bCs/>
      <w:kern w:val="0"/>
      <w:sz w:val="20"/>
      <w:szCs w:val="20"/>
      <w:lang w:eastAsia="hu-HU" w:bidi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36</Pages>
  <Words>14700</Words>
  <Characters>101433</Characters>
  <Application>Microsoft Office Word</Application>
  <DocSecurity>0</DocSecurity>
  <Lines>845</Lines>
  <Paragraphs>231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HU_OGYI_45.1</cp:lastModifiedBy>
  <cp:revision>8</cp:revision>
  <dcterms:created xsi:type="dcterms:W3CDTF">2026-08-11T10:03:00Z</dcterms:created>
  <dcterms:modified xsi:type="dcterms:W3CDTF">2026-08-14T09:54:00Z</dcterms:modified>
</cp:coreProperties>
</file>