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7C82C" w14:textId="77777777" w:rsidR="00F45C51" w:rsidRPr="00674EDC" w:rsidRDefault="00722712" w:rsidP="00AF42AD">
      <w:pPr>
        <w:widowControl w:val="0"/>
        <w:spacing w:line="240" w:lineRule="auto"/>
        <w:rPr>
          <w:szCs w:val="22"/>
          <w:lang w:val="hu-HU"/>
        </w:rPr>
      </w:pPr>
      <w:r w:rsidRPr="00674EDC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674EDC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5C728D0" w14:textId="77777777" w:rsidR="00F45C51" w:rsidRPr="00674EDC" w:rsidRDefault="00F45C51" w:rsidP="00AF42AD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4756B76" w14:textId="10E27A23" w:rsidR="00E26411" w:rsidRPr="00674EDC" w:rsidRDefault="00592DE3" w:rsidP="00AF42AD">
      <w:pPr>
        <w:pStyle w:val="Szvegtrzs1"/>
        <w:spacing w:after="0"/>
        <w:rPr>
          <w:lang w:val="hu-HU"/>
        </w:rPr>
      </w:pPr>
      <w:r w:rsidRPr="00674EDC">
        <w:rPr>
          <w:color w:val="000000"/>
          <w:lang w:val="hu-HU"/>
        </w:rPr>
        <w:t>Voriconazole SaneXcel</w:t>
      </w:r>
      <w:r w:rsidR="00D46837" w:rsidRPr="00674EDC">
        <w:rPr>
          <w:color w:val="000000"/>
          <w:lang w:val="hu-HU"/>
        </w:rPr>
        <w:t xml:space="preserve"> </w:t>
      </w:r>
      <w:r w:rsidR="00E26411" w:rsidRPr="00674EDC">
        <w:rPr>
          <w:color w:val="000000"/>
          <w:lang w:val="hu-HU"/>
        </w:rPr>
        <w:t>200</w:t>
      </w:r>
      <w:r w:rsidR="00141680" w:rsidRPr="00674EDC">
        <w:rPr>
          <w:color w:val="000000"/>
          <w:lang w:val="hu-HU"/>
        </w:rPr>
        <w:t> mg</w:t>
      </w:r>
      <w:r w:rsidR="00E26411" w:rsidRPr="00674EDC">
        <w:rPr>
          <w:color w:val="000000"/>
          <w:lang w:val="hu-HU"/>
        </w:rPr>
        <w:t xml:space="preserve"> por oldatos infúzióhoz</w:t>
      </w:r>
    </w:p>
    <w:p w14:paraId="67A854AC" w14:textId="77777777" w:rsidR="008A53A7" w:rsidRPr="00674EDC" w:rsidRDefault="008A53A7" w:rsidP="00AF42AD">
      <w:pPr>
        <w:spacing w:line="240" w:lineRule="auto"/>
        <w:rPr>
          <w:szCs w:val="22"/>
          <w:lang w:val="hu-HU"/>
        </w:rPr>
      </w:pPr>
    </w:p>
    <w:p w14:paraId="3FC53D46" w14:textId="77777777" w:rsidR="00F45C51" w:rsidRPr="00674EDC" w:rsidRDefault="00F45C51" w:rsidP="00AF42AD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CCC8AC3" w14:textId="77777777" w:rsidR="00F45C51" w:rsidRPr="00674EDC" w:rsidRDefault="00722712" w:rsidP="00AF42AD">
      <w:pPr>
        <w:widowControl w:val="0"/>
        <w:spacing w:line="240" w:lineRule="auto"/>
        <w:rPr>
          <w:b/>
          <w:szCs w:val="22"/>
          <w:lang w:val="hu-HU"/>
        </w:rPr>
      </w:pPr>
      <w:r w:rsidRPr="00674EDC">
        <w:rPr>
          <w:b/>
          <w:szCs w:val="22"/>
          <w:lang w:val="hu-HU"/>
        </w:rPr>
        <w:t>2.</w:t>
      </w:r>
      <w:r w:rsidRPr="00674EDC">
        <w:rPr>
          <w:b/>
          <w:szCs w:val="22"/>
          <w:lang w:val="hu-HU"/>
        </w:rPr>
        <w:tab/>
        <w:t>MINŐSÉGI ÉS MENNYISÉGI ÖSSZETÉTEL</w:t>
      </w:r>
    </w:p>
    <w:p w14:paraId="1DF416A3" w14:textId="77777777" w:rsidR="007471D2" w:rsidRPr="00674EDC" w:rsidRDefault="007471D2" w:rsidP="00AF42AD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69F79F8F" w14:textId="2C649800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200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vorikonazolt tartalmaz injekciós üvegenként.</w:t>
      </w:r>
    </w:p>
    <w:p w14:paraId="272750DA" w14:textId="77777777" w:rsidR="00592DE3" w:rsidRPr="00674EDC" w:rsidRDefault="00592DE3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BB11E91" w14:textId="7ABDE0CE" w:rsidR="00E26411" w:rsidRPr="00674EDC" w:rsidRDefault="003319BA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Feloldás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után az oldat 10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vorikonazolt tartalmaz milliliterenként. Alkalmazás előtt további hígítás szükséges.</w:t>
      </w:r>
    </w:p>
    <w:p w14:paraId="1EE6A017" w14:textId="77777777" w:rsidR="00141680" w:rsidRPr="00674EDC" w:rsidRDefault="00141680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88F3EF9" w14:textId="7FC8880C" w:rsidR="00592DE3" w:rsidRPr="00674EDC" w:rsidRDefault="00592DE3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Ismert hatású segédanyagok</w:t>
      </w:r>
    </w:p>
    <w:p w14:paraId="5DE098E0" w14:textId="1112052C" w:rsidR="00592DE3" w:rsidRPr="00674EDC" w:rsidRDefault="00592DE3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88,74 mg nátriumot tartalmaz injekciós üvegenként.</w:t>
      </w:r>
    </w:p>
    <w:p w14:paraId="40F3CBB1" w14:textId="186C67CE" w:rsidR="00592DE3" w:rsidRPr="00674EDC" w:rsidRDefault="00592DE3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2400 mg hidroxipropil-betadexet (hidroxipropil</w:t>
      </w:r>
      <w:r w:rsidR="003C143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β</w:t>
      </w:r>
      <w:r w:rsidR="003C143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ciklodextrin (HP</w:t>
      </w:r>
      <w:r w:rsidR="003C143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β</w:t>
      </w:r>
      <w:r w:rsidR="003C143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CD)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 tartalmaz injekciós üvegenként</w:t>
      </w:r>
      <w:r w:rsidR="003C143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0348D68" w14:textId="4F8C63D1" w:rsidR="00592DE3" w:rsidRPr="00674EDC" w:rsidRDefault="00592DE3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B537D07" w14:textId="707BF12F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segédanyagok teljes listáját lásd a 6.1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ban.</w:t>
      </w:r>
    </w:p>
    <w:p w14:paraId="0335B49D" w14:textId="77777777" w:rsidR="008A53A7" w:rsidRPr="00674EDC" w:rsidRDefault="008A53A7" w:rsidP="00AF42AD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</w:p>
    <w:p w14:paraId="3E5E8F4D" w14:textId="77777777" w:rsidR="00F45C51" w:rsidRPr="00674EDC" w:rsidRDefault="00F45C51" w:rsidP="00AF42AD">
      <w:pPr>
        <w:widowControl w:val="0"/>
        <w:spacing w:line="240" w:lineRule="auto"/>
        <w:rPr>
          <w:bCs/>
          <w:szCs w:val="22"/>
          <w:lang w:val="hu-HU"/>
        </w:rPr>
      </w:pPr>
    </w:p>
    <w:p w14:paraId="4CAC5384" w14:textId="77777777" w:rsidR="00F45C51" w:rsidRPr="00674EDC" w:rsidRDefault="00722712" w:rsidP="00AF42AD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674EDC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674EDC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0A0CD7EE" w14:textId="77777777" w:rsidR="00F45C51" w:rsidRPr="00674EDC" w:rsidRDefault="00F45C51" w:rsidP="00AF42AD">
      <w:pPr>
        <w:spacing w:line="240" w:lineRule="auto"/>
        <w:ind w:left="567" w:hanging="567"/>
        <w:rPr>
          <w:bCs/>
          <w:szCs w:val="22"/>
          <w:lang w:val="hu-HU"/>
        </w:rPr>
      </w:pPr>
    </w:p>
    <w:p w14:paraId="758937DD" w14:textId="6780C80C" w:rsidR="00D46837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Por oldatos infúzióhoz</w:t>
      </w:r>
      <w:r w:rsidR="00D4683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1D324EF8" w14:textId="5B935F26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Fehér</w:t>
      </w:r>
      <w:r w:rsidR="00570D76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-törtfehér színű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 liofilizált por</w:t>
      </w:r>
      <w:r w:rsidR="004F62D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AE5ED5E" w14:textId="745458B7" w:rsidR="00570D76" w:rsidRPr="00674EDC" w:rsidRDefault="00570D76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pH: 5,0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7,0</w:t>
      </w:r>
    </w:p>
    <w:p w14:paraId="3BEA0114" w14:textId="5F5C5CF9" w:rsidR="00570D76" w:rsidRPr="00674EDC" w:rsidRDefault="00570D76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Ozmolalitás: 530 mOsm/kg ± 10%</w:t>
      </w:r>
    </w:p>
    <w:p w14:paraId="1A9B070E" w14:textId="77777777" w:rsidR="00F45C51" w:rsidRPr="00674EDC" w:rsidRDefault="00F45C51" w:rsidP="00AF42AD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86A5DEE" w14:textId="77777777" w:rsidR="00F45C51" w:rsidRPr="00674EDC" w:rsidRDefault="00F45C51" w:rsidP="00AF42AD">
      <w:pPr>
        <w:spacing w:line="240" w:lineRule="auto"/>
        <w:rPr>
          <w:szCs w:val="22"/>
          <w:lang w:val="hu-HU"/>
        </w:rPr>
      </w:pPr>
    </w:p>
    <w:p w14:paraId="33A255FE" w14:textId="77777777" w:rsidR="00F45C51" w:rsidRPr="00674EDC" w:rsidRDefault="00722712" w:rsidP="00AF42AD">
      <w:pPr>
        <w:spacing w:line="240" w:lineRule="auto"/>
        <w:rPr>
          <w:b/>
          <w:bCs/>
          <w:szCs w:val="22"/>
          <w:lang w:val="hu-HU"/>
        </w:rPr>
      </w:pPr>
      <w:r w:rsidRPr="00674EDC">
        <w:rPr>
          <w:b/>
          <w:bCs/>
          <w:szCs w:val="22"/>
          <w:lang w:val="hu-HU"/>
        </w:rPr>
        <w:t>4.</w:t>
      </w:r>
      <w:r w:rsidRPr="00674EDC">
        <w:rPr>
          <w:b/>
          <w:bCs/>
          <w:szCs w:val="22"/>
          <w:lang w:val="hu-HU"/>
        </w:rPr>
        <w:tab/>
        <w:t>KLINIKAI JELLEMZŐK</w:t>
      </w:r>
    </w:p>
    <w:p w14:paraId="75C9C5A4" w14:textId="77777777" w:rsidR="00F45C51" w:rsidRPr="00674EDC" w:rsidRDefault="00F45C51" w:rsidP="00AF42AD">
      <w:pPr>
        <w:spacing w:line="240" w:lineRule="auto"/>
        <w:rPr>
          <w:szCs w:val="22"/>
          <w:lang w:val="hu-HU"/>
        </w:rPr>
      </w:pPr>
    </w:p>
    <w:p w14:paraId="58B012A6" w14:textId="77777777" w:rsidR="00F45C51" w:rsidRPr="00674EDC" w:rsidRDefault="00722712" w:rsidP="00AF42AD">
      <w:pPr>
        <w:spacing w:line="240" w:lineRule="auto"/>
        <w:rPr>
          <w:b/>
          <w:bCs/>
          <w:noProof/>
          <w:snapToGrid/>
          <w:szCs w:val="22"/>
          <w:lang w:val="hu-HU" w:eastAsia="en-US"/>
        </w:rPr>
      </w:pPr>
      <w:r w:rsidRPr="00674EDC">
        <w:rPr>
          <w:b/>
          <w:bCs/>
          <w:noProof/>
          <w:snapToGrid/>
          <w:szCs w:val="22"/>
          <w:lang w:val="hu-HU" w:eastAsia="en-US"/>
        </w:rPr>
        <w:t>4.1</w:t>
      </w:r>
      <w:r w:rsidRPr="00674EDC">
        <w:rPr>
          <w:b/>
          <w:bCs/>
          <w:noProof/>
          <w:snapToGrid/>
          <w:szCs w:val="22"/>
          <w:lang w:val="hu-HU" w:eastAsia="en-US"/>
        </w:rPr>
        <w:tab/>
        <w:t>Terápiás javallatok</w:t>
      </w:r>
    </w:p>
    <w:p w14:paraId="75C83DB2" w14:textId="77777777" w:rsidR="00F45C51" w:rsidRPr="00674EDC" w:rsidRDefault="00F45C51" w:rsidP="00AF42AD">
      <w:pPr>
        <w:spacing w:line="240" w:lineRule="auto"/>
        <w:rPr>
          <w:szCs w:val="22"/>
          <w:lang w:val="hu-HU"/>
        </w:rPr>
      </w:pPr>
    </w:p>
    <w:p w14:paraId="39B21F00" w14:textId="1B4E0CB8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D4683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vorikonazol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széles spektrumú, triazol típusú, gombaellenes gyógyszer, amely felnőttek</w:t>
      </w:r>
      <w:r w:rsidR="00D07346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2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es vagy annál idősebb gyermekek</w:t>
      </w:r>
      <w:r w:rsidR="00D07346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 alábbi javallatokban alkalmazható:</w:t>
      </w:r>
    </w:p>
    <w:p w14:paraId="2F2554DA" w14:textId="77777777" w:rsidR="00141680" w:rsidRPr="00674EDC" w:rsidRDefault="00141680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15C0A30" w14:textId="6E904148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Invazív aspergillosis kezelése.</w:t>
      </w:r>
    </w:p>
    <w:p w14:paraId="7B35751C" w14:textId="77777777" w:rsidR="00141680" w:rsidRPr="00674EDC" w:rsidRDefault="00141680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2FF75FB" w14:textId="4635060A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Candidaemia kezelése nem neutropéniás betegeknél.</w:t>
      </w:r>
    </w:p>
    <w:p w14:paraId="7EC3E8BD" w14:textId="77777777" w:rsidR="00141680" w:rsidRPr="00674EDC" w:rsidRDefault="00141680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D5DEDE8" w14:textId="49604389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Súlyos, flukonazolra rezisztens invazív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Candida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fertőzések </w:t>
      </w:r>
      <w:r w:rsidR="00D07346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(beleértve a </w:t>
      </w:r>
      <w:r w:rsidR="00D07346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 krusei</w:t>
      </w:r>
      <w:r w:rsidR="00D07346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t is)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kezelése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.</w:t>
      </w:r>
    </w:p>
    <w:p w14:paraId="5A81E3F8" w14:textId="77777777" w:rsidR="00141680" w:rsidRPr="00674EDC" w:rsidRDefault="00141680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777CCCC6" w14:textId="3CC48728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Scedosporium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spp. és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Fusarium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spp. által okozott súlyos gombás fertőzések kezelése.</w:t>
      </w:r>
    </w:p>
    <w:p w14:paraId="3BC18497" w14:textId="77777777" w:rsidR="00141680" w:rsidRPr="00674EDC" w:rsidRDefault="00141680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9C8AC90" w14:textId="0B086496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592DE3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Voriconazole SaneXcel</w:t>
      </w:r>
      <w:r w:rsidR="00E745E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 elsődlegesen progre</w:t>
      </w:r>
      <w:r w:rsidR="00E745E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sszív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 potenciálisan életveszélyes fertőzése</w:t>
      </w:r>
      <w:r w:rsidR="00E745E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ben </w:t>
      </w:r>
      <w:r w:rsidR="00E745E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szenvedő betegeknél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kell alkalmazni.</w:t>
      </w:r>
    </w:p>
    <w:p w14:paraId="7F40E334" w14:textId="77777777" w:rsidR="00141680" w:rsidRPr="00674EDC" w:rsidRDefault="00141680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290C1B0" w14:textId="0A086615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Invazív gombás fertőzések profilaxisa allogén haemopoeticus őssejt-transzplantáció (HSCT) magas kockázatú recipiensei számára.</w:t>
      </w:r>
    </w:p>
    <w:p w14:paraId="31567A2C" w14:textId="77777777" w:rsidR="00F45C51" w:rsidRPr="00674EDC" w:rsidRDefault="00F45C51" w:rsidP="00AF42AD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D99BD4E" w14:textId="77777777" w:rsidR="00F45C51" w:rsidRPr="00674EDC" w:rsidRDefault="00722712" w:rsidP="00AF42AD">
      <w:pPr>
        <w:spacing w:line="240" w:lineRule="auto"/>
        <w:rPr>
          <w:b/>
          <w:bCs/>
          <w:noProof/>
          <w:snapToGrid/>
          <w:szCs w:val="22"/>
          <w:lang w:val="hu-HU" w:eastAsia="en-US"/>
        </w:rPr>
      </w:pPr>
      <w:r w:rsidRPr="00674EDC">
        <w:rPr>
          <w:b/>
          <w:bCs/>
          <w:noProof/>
          <w:snapToGrid/>
          <w:szCs w:val="22"/>
          <w:lang w:val="hu-HU" w:eastAsia="en-US"/>
        </w:rPr>
        <w:t>4.2</w:t>
      </w:r>
      <w:r w:rsidRPr="00674EDC">
        <w:rPr>
          <w:b/>
          <w:bCs/>
          <w:noProof/>
          <w:snapToGrid/>
          <w:szCs w:val="22"/>
          <w:lang w:val="hu-HU" w:eastAsia="en-US"/>
        </w:rPr>
        <w:tab/>
        <w:t>Adagolás és alkalmazás</w:t>
      </w:r>
    </w:p>
    <w:p w14:paraId="6E003293" w14:textId="77777777" w:rsidR="00F45C51" w:rsidRPr="00674EDC" w:rsidRDefault="00F45C51" w:rsidP="00AF42AD">
      <w:pPr>
        <w:spacing w:line="240" w:lineRule="auto"/>
        <w:rPr>
          <w:szCs w:val="22"/>
          <w:lang w:val="hu-HU"/>
        </w:rPr>
      </w:pPr>
    </w:p>
    <w:p w14:paraId="659376C0" w14:textId="77777777" w:rsidR="00E26411" w:rsidRPr="00674EDC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Adagolás</w:t>
      </w:r>
    </w:p>
    <w:p w14:paraId="653F9C02" w14:textId="288B2C04" w:rsidR="00E26411" w:rsidRPr="00674EDC" w:rsidRDefault="00AC3D3F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kezelés megkezdése előtt és a kezelés alatt monitorozni és szükség esetén korrigálni kell az e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lektrolit-zavarok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at,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mint például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hypokalaemia,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hypomagnesaemia és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hypocalcaemia (lásd 4.4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5C111E17" w14:textId="77777777" w:rsidR="0000224A" w:rsidRPr="00674EDC" w:rsidRDefault="0000224A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450E705" w14:textId="1AC86E6D" w:rsidR="00E26411" w:rsidRDefault="00ED70C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92DE3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Voriconazole SaneXcel</w:t>
      </w:r>
      <w:r w:rsidR="00D4683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infúzió </w:t>
      </w:r>
      <w:r w:rsidR="001F37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alkalmazása legfeljebb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3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/ttkg/óra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1F373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beadási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sebességgel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 1</w:t>
      </w:r>
      <w:r w:rsidR="001720F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3</w:t>
      </w:r>
      <w:r w:rsidR="0000224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1F373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ór</w:t>
      </w:r>
      <w:r w:rsidR="001F373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1F373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 xml:space="preserve">alatt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javasolt</w:t>
      </w:r>
      <w:r w:rsidR="0000224A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5124ACB4" w14:textId="6CA708DA" w:rsidR="00B515DA" w:rsidRDefault="00B515DA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A vorikonazol</w:t>
      </w:r>
      <w:r w:rsidRPr="004255C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kezelés alatt ajánlott a gyógyszerszintek monitorozása.</w:t>
      </w:r>
    </w:p>
    <w:p w14:paraId="0C21A277" w14:textId="77777777" w:rsidR="0000224A" w:rsidRPr="00E26411" w:rsidRDefault="0000224A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EBB930B" w14:textId="59C22854" w:rsidR="00E26411" w:rsidRPr="00E26411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D46837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B515D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r w:rsidR="00141680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D46837"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filmtabletta 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>és 200</w:t>
      </w:r>
      <w:r w:rsidR="00141680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filmtabletta</w:t>
      </w:r>
      <w:r w:rsidR="00B515D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formájában is</w:t>
      </w:r>
      <w:r w:rsidR="00D82A9D" w:rsidRPr="00D82A9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D82A9D">
        <w:rPr>
          <w:rFonts w:eastAsia="Times New Roman"/>
          <w:snapToGrid/>
          <w:color w:val="000000"/>
          <w:szCs w:val="22"/>
          <w:lang w:val="hu-HU" w:eastAsia="hu-HU" w:bidi="hu-HU"/>
        </w:rPr>
        <w:t>elérhető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3488E16A" w14:textId="77777777" w:rsidR="0000224A" w:rsidRDefault="0000224A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3D04D9DF" w14:textId="016255F9" w:rsidR="00E26411" w:rsidRPr="00AC3D3F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C3D3F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Kezelés</w:t>
      </w:r>
    </w:p>
    <w:p w14:paraId="4B7830CE" w14:textId="77777777" w:rsidR="00AC3D3F" w:rsidRPr="00AC3D3F" w:rsidRDefault="00AC3D3F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E2727C9" w14:textId="57C8BFF0" w:rsidR="00E26411" w:rsidRPr="00E26411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E2641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Felnőttek</w:t>
      </w:r>
    </w:p>
    <w:p w14:paraId="3F2E39D0" w14:textId="6310A901" w:rsidR="00E26411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>A kezelést intravénás</w:t>
      </w:r>
      <w:r w:rsidR="00D5652F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 és </w:t>
      </w:r>
      <w:r w:rsidRPr="00E2641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44EF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E2641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adott </w:t>
      </w:r>
      <w:r w:rsidR="00D46837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D46837"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esetében is a meghatározott telítő dózissal kell indítani annak érdekében, hogy az első napon a dinamikus egyensúlyi (steady state) állapothoz közeli plazmakoncentráció jöjjön létre. A nagymértékű </w:t>
      </w:r>
      <w:r w:rsidR="00D5652F" w:rsidRPr="00A93680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44EF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="00D5652F" w:rsidRPr="00A93680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="00D5652F"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>biohasznosulás (96%; lásd 5.2</w:t>
      </w:r>
      <w:r w:rsidR="00141680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miatt az intravénásról a </w:t>
      </w:r>
      <w:r w:rsidRPr="00E2641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44EF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E2641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alkalmazásra történő áttérés klinikailag indokolt esetben helyénvaló.</w:t>
      </w:r>
    </w:p>
    <w:p w14:paraId="60B85A2A" w14:textId="77777777" w:rsidR="0000224A" w:rsidRPr="00E26411" w:rsidRDefault="0000224A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B6CBAB3" w14:textId="77777777" w:rsidR="00E26411" w:rsidRDefault="00E26411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>A javasolt adagolásra vonatkozó részletes információkat a következő táblázat tartalmazza:</w:t>
      </w:r>
    </w:p>
    <w:p w14:paraId="7394CC66" w14:textId="77777777" w:rsidR="004F62D8" w:rsidRPr="00E26411" w:rsidRDefault="004F62D8" w:rsidP="00AF42AD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6"/>
        <w:gridCol w:w="2405"/>
        <w:gridCol w:w="2270"/>
        <w:gridCol w:w="2270"/>
      </w:tblGrid>
      <w:tr w:rsidR="00E26411" w:rsidRPr="00E26411" w14:paraId="32881F0C" w14:textId="77777777" w:rsidTr="00344EFC">
        <w:trPr>
          <w:cantSplit/>
          <w:trHeight w:hRule="exact" w:val="269"/>
          <w:tblHeader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435293" w14:textId="77777777" w:rsidR="00E26411" w:rsidRPr="00E26411" w:rsidRDefault="00E26411" w:rsidP="00E26411">
            <w:pPr>
              <w:widowControl w:val="0"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 w:val="10"/>
                <w:szCs w:val="10"/>
                <w:lang w:val="hu-HU" w:eastAsia="hu-HU" w:bidi="hu-HU"/>
              </w:rPr>
            </w:pP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C39A75" w14:textId="77777777" w:rsidR="00E26411" w:rsidRPr="00E26411" w:rsidRDefault="00E26411" w:rsidP="00E26411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Intravénás</w:t>
            </w:r>
          </w:p>
        </w:tc>
        <w:tc>
          <w:tcPr>
            <w:tcW w:w="45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09582A" w14:textId="0A0BBD88" w:rsidR="00E26411" w:rsidRPr="00E26411" w:rsidRDefault="00E26411" w:rsidP="00E26411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Per</w:t>
            </w:r>
            <w:r w:rsidR="00344EFC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E26411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os</w:t>
            </w:r>
          </w:p>
        </w:tc>
      </w:tr>
      <w:tr w:rsidR="00E26411" w:rsidRPr="00461B50" w14:paraId="151E0CB8" w14:textId="77777777" w:rsidTr="00344EFC">
        <w:trPr>
          <w:cantSplit/>
          <w:trHeight w:hRule="exact" w:val="778"/>
          <w:tblHeader/>
        </w:trPr>
        <w:tc>
          <w:tcPr>
            <w:tcW w:w="213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B1BD665" w14:textId="77777777" w:rsidR="00E26411" w:rsidRPr="00E26411" w:rsidRDefault="00E26411" w:rsidP="00E26411">
            <w:pPr>
              <w:widowControl w:val="0"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2405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5FC9BA8" w14:textId="77777777" w:rsidR="00E26411" w:rsidRPr="00E26411" w:rsidRDefault="00E26411" w:rsidP="00E26411">
            <w:pPr>
              <w:widowControl w:val="0"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EC7A5D" w14:textId="6E02AEC2" w:rsidR="00E26411" w:rsidRPr="00E26411" w:rsidRDefault="00E26411" w:rsidP="00E26411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</w:t>
            </w:r>
            <w:r w:rsidR="0000224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kg</w:t>
            </w:r>
            <w:r w:rsidR="00344E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os és annál nagyobb testtömegű betegek*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1EFEB3" w14:textId="4DDB1D6C" w:rsidR="00E26411" w:rsidRPr="00E26411" w:rsidRDefault="00E26411" w:rsidP="00E26411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</w:t>
            </w:r>
            <w:r w:rsidR="0000224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kg</w:t>
            </w:r>
            <w:r w:rsidR="00344E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nál kisebb testtömegű betegek*</w:t>
            </w:r>
          </w:p>
        </w:tc>
      </w:tr>
      <w:tr w:rsidR="00E26411" w:rsidRPr="00E26411" w14:paraId="0561154B" w14:textId="77777777" w:rsidTr="0082725A">
        <w:trPr>
          <w:trHeight w:hRule="exact" w:val="533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DAB3B4" w14:textId="77777777" w:rsidR="00E26411" w:rsidRPr="00E26411" w:rsidRDefault="00E26411" w:rsidP="00AF42AD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Telítő dózis</w:t>
            </w:r>
          </w:p>
          <w:p w14:paraId="2D2CD775" w14:textId="6A9DB1A8" w:rsidR="00E26411" w:rsidRPr="00E26411" w:rsidRDefault="00E26411" w:rsidP="00AF42AD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(az első 24</w:t>
            </w:r>
            <w:r w:rsidR="0000224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órá</w:t>
            </w: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ban)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27FE4" w14:textId="276A7487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</w:t>
            </w:r>
            <w:r w:rsidR="00141680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/ttkg 12</w:t>
            </w:r>
            <w:r w:rsidR="0000224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órá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nként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01263E" w14:textId="7114396F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400</w:t>
            </w:r>
            <w:r w:rsidR="00141680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12</w:t>
            </w:r>
            <w:r w:rsidR="0000224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órá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nként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24FF3F" w14:textId="14859A3B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200</w:t>
            </w:r>
            <w:r w:rsidR="00141680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12</w:t>
            </w:r>
            <w:r w:rsidR="0000224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órá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nként</w:t>
            </w:r>
          </w:p>
        </w:tc>
      </w:tr>
      <w:tr w:rsidR="00E26411" w:rsidRPr="00E26411" w14:paraId="0B304BF4" w14:textId="77777777" w:rsidTr="0082725A">
        <w:trPr>
          <w:trHeight w:hRule="exact" w:val="5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7A8608" w14:textId="1E413D56" w:rsidR="00E26411" w:rsidRPr="00E26411" w:rsidRDefault="00E26411" w:rsidP="00AF42AD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Fenntartó dózis (az első 24</w:t>
            </w:r>
            <w:r w:rsidR="00F11F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óra után)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74CC0F" w14:textId="7B41A661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</w:t>
            </w:r>
            <w:r w:rsidR="00141680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/ttkg naponta kétszer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C50556" w14:textId="224BBEB3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200</w:t>
            </w:r>
            <w:r w:rsidR="00141680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naponta kétszer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6A7C53" w14:textId="73C18424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100</w:t>
            </w:r>
            <w:r w:rsidR="00141680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naponta kétszer</w:t>
            </w:r>
          </w:p>
        </w:tc>
      </w:tr>
    </w:tbl>
    <w:p w14:paraId="56DE9446" w14:textId="6B75268E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*15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es és annál idősebb betegek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re is vonatkozik</w:t>
      </w:r>
      <w:r w:rsidR="000828B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33EB29F5" w14:textId="7777777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Microsoft Sans Serif"/>
          <w:snapToGrid/>
          <w:color w:val="000000"/>
          <w:szCs w:val="22"/>
          <w:lang w:val="hu-HU" w:eastAsia="hu-HU" w:bidi="hu-HU"/>
        </w:rPr>
      </w:pPr>
    </w:p>
    <w:p w14:paraId="5FB55E64" w14:textId="7777777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Kezelés időtartama</w:t>
      </w:r>
    </w:p>
    <w:p w14:paraId="1C9B7D81" w14:textId="7C9F334B" w:rsidR="000828B8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kezelés időtartamának a beteg klinikai és mikológiai válaszától függően a lehető legrövidebbnek kell lennie. A 180</w:t>
      </w:r>
      <w:r w:rsidR="00FF4CF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napnál (6</w:t>
      </w:r>
      <w:r w:rsidR="00FF4CF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hónapnál) hosszabb, hosszú távú vorikonazol-kezelés esetén az előny</w:t>
      </w:r>
      <w:r w:rsidR="00FF4CF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kockázat arányt gondosan mérlegelni kell (lásd 4.4 és 5.1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  <w:r w:rsidR="00344EFC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255C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="000828B8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intravénásan alkalmazott hidroxipropil-betadex</w:t>
      </w:r>
      <w:r w:rsidR="004255C5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szel történő hosszútávú kezelés</w:t>
      </w:r>
      <w:r w:rsidR="000828B8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biztonságosságának meghatározásához korlátozottan állnak rendelkezésre klinikai adatok</w:t>
      </w:r>
      <w:r w:rsidR="004255C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0828B8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(lásd 5.2</w:t>
      </w:r>
      <w:r w:rsidR="004F62D8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0828B8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8487A50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</w:pPr>
    </w:p>
    <w:p w14:paraId="435F13B1" w14:textId="1E748CC1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Dózismódosítás (felnőttek)</w:t>
      </w:r>
    </w:p>
    <w:p w14:paraId="3183395B" w14:textId="069424E3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Amen</w:t>
      </w:r>
      <w:r w:rsidR="00FF4CF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yiben a naponta kétszeri intravénásan alkalmazott 4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/ttkg dózist a beteg nem </w:t>
      </w:r>
      <w:r w:rsidR="00E92AAD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tudja tolerálni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csökkenteni kell a </w:t>
      </w:r>
      <w:r w:rsidR="00AF671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 naponta kétszer 3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/ttkg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ra.</w:t>
      </w:r>
    </w:p>
    <w:p w14:paraId="444EA783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23C198D" w14:textId="161A0F5A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beteg kezelésre adott reakciója nem kielégítő, a fenntartó dózis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44EFC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adagolás esetén naponta kétszer 300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ra emelhető. 40</w:t>
      </w:r>
      <w:r w:rsidR="0000224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kg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alatti betegek esetén a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44EFC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 naponta kétszer 150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ra emelhető.</w:t>
      </w:r>
    </w:p>
    <w:p w14:paraId="16BEDE8A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6ACE042" w14:textId="03AED411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beteg nem tolerálja az emelt dózisú kezelést, a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44EFC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AF671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 50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onként kell naponta kétszer 200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os fenntartó dózisra csökkenteni (vagy naponta kétszer 100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ra 40</w:t>
      </w:r>
      <w:r w:rsidR="0000224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kg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alatti beteg esetén).</w:t>
      </w:r>
    </w:p>
    <w:p w14:paraId="5161695F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12419FE" w14:textId="336C00A4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profilaktikus célú alkalmazásról szóló tudnivalókat lásd alább.</w:t>
      </w:r>
    </w:p>
    <w:p w14:paraId="20161ECB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48D74221" w14:textId="5462E799" w:rsidR="00F11FF9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Gyermekek (2 és betöltött 12.</w:t>
      </w:r>
      <w:r w:rsidR="00141680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év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között) és fiatal, kis testtömegű serdülők (12</w:t>
      </w:r>
      <w:r w:rsidR="00344EFC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14</w:t>
      </w:r>
      <w:r w:rsidR="00141680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év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es kor és &lt;</w:t>
      </w:r>
      <w:r w:rsidR="00344EFC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50</w:t>
      </w:r>
      <w:r w:rsidR="00F11FF9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="00612D72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tt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kg)</w:t>
      </w:r>
    </w:p>
    <w:p w14:paraId="71061331" w14:textId="0BA80BBE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vorikonazolt a gyermekeknél javasolt adagolási rend szerint kell adagolni, mivel ezek a fiatal serdülők a vorikonazolt inkább a gyermekekhez, mint a felnőttekhez hasonló módon metabolizálhatják.</w:t>
      </w:r>
    </w:p>
    <w:p w14:paraId="4A29E7FE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11B2A8D" w14:textId="2C3D63C9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javasolt adagolási rend a következő: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5"/>
        <w:gridCol w:w="2990"/>
        <w:gridCol w:w="3149"/>
      </w:tblGrid>
      <w:tr w:rsidR="00E26411" w:rsidRPr="00E26411" w14:paraId="7B9F1A2E" w14:textId="77777777" w:rsidTr="00344EFC">
        <w:trPr>
          <w:cantSplit/>
          <w:tblHeader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3C1E7D" w14:textId="77777777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ascii="Microsoft Sans Serif" w:eastAsia="Microsoft Sans Serif" w:hAnsi="Microsoft Sans Serif" w:cs="Microsoft Sans Serif"/>
                <w:snapToGrid/>
                <w:color w:val="000000"/>
                <w:sz w:val="10"/>
                <w:szCs w:val="10"/>
                <w:lang w:val="hu-HU" w:eastAsia="hu-HU" w:bidi="hu-HU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6A9540" w14:textId="77777777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Intravénás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EC8B0C" w14:textId="31509E94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Per</w:t>
            </w:r>
            <w:r w:rsidR="00344EFC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E26411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os</w:t>
            </w:r>
          </w:p>
        </w:tc>
      </w:tr>
      <w:tr w:rsidR="00E26411" w:rsidRPr="00E26411" w14:paraId="3D03F0FC" w14:textId="77777777" w:rsidTr="00F11FF9">
        <w:tc>
          <w:tcPr>
            <w:tcW w:w="28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BC5A36" w14:textId="6AE1226E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Telítő dózis (első 24</w:t>
            </w:r>
            <w:r w:rsidR="0000224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óra)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DD9B10" w14:textId="4A75A40C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</w:t>
            </w:r>
            <w:r w:rsidR="00141680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/ttkg 12</w:t>
            </w:r>
            <w:r w:rsidR="0000224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órá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nként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929FA9" w14:textId="77777777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Nem javasolt</w:t>
            </w:r>
          </w:p>
        </w:tc>
      </w:tr>
      <w:tr w:rsidR="00E26411" w:rsidRPr="00461B50" w14:paraId="1734099E" w14:textId="77777777" w:rsidTr="00F11FF9"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40BE2D" w14:textId="77777777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Fenntartó dózis</w:t>
            </w:r>
          </w:p>
          <w:p w14:paraId="5DCC9AE3" w14:textId="4B090AD8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(az első 24</w:t>
            </w:r>
            <w:r w:rsidR="0000224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órá</w:t>
            </w:r>
            <w:r w:rsidRPr="00E2641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 követően)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5EEECE" w14:textId="43467E5B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</w:t>
            </w:r>
            <w:r w:rsidR="00141680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/ttkg naponta kétszer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FBFD60" w14:textId="4613A4ED" w:rsidR="00E26411" w:rsidRPr="00E26411" w:rsidRDefault="00E26411" w:rsidP="0082725A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</w:t>
            </w:r>
            <w:r w:rsidR="00141680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/ttkg naponta kétszer (legfeljebb 350</w:t>
            </w:r>
            <w:r w:rsidR="00141680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="00344EFC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E2641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os dózisban naponta kétszer)</w:t>
            </w:r>
          </w:p>
        </w:tc>
      </w:tr>
    </w:tbl>
    <w:p w14:paraId="3B02278F" w14:textId="46163FA5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Megjegyzés: 112</w:t>
      </w:r>
      <w:r w:rsidR="0082725A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D761E1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immunkomprimált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 2</w:t>
      </w:r>
      <w:r w:rsidR="00D761E1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és betöltött 12</w:t>
      </w:r>
      <w:r w:rsidR="00AF42AD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korú gyermek, valamint</w:t>
      </w:r>
      <w:r w:rsidR="00F11FF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26</w:t>
      </w:r>
      <w:r w:rsidR="0082725A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D761E1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immunkomprimált</w:t>
      </w:r>
      <w:r w:rsidR="00D761E1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12</w:t>
      </w:r>
      <w:r w:rsidR="00D761E1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és betöltött 17</w:t>
      </w:r>
      <w:r w:rsidR="00AF42AD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korú serdülő beteg populációs farmakokinetikai vizsgálatai alapján.</w:t>
      </w:r>
    </w:p>
    <w:p w14:paraId="5D9A4F90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CB47423" w14:textId="5ABBD89D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Javasolt a kezelést intravénás kezelési sémával kezdeni, és a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44EFC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kezelési sémát csak klinikailag jelentős javulás után lehet fontolóra venni. Megjegyzendő, hogy a 8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/ttkg intravénás dózis körülbelül kétszer akkora vorikonazol-expozíciót jelent, mint a 9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/ttkg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os</w:t>
      </w:r>
      <w:r w:rsidR="00F11FF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44EFC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dózis.</w:t>
      </w:r>
    </w:p>
    <w:p w14:paraId="6E976482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4553150D" w14:textId="0B06FEDC" w:rsidR="00F11FF9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Minden más serdülő (12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14</w:t>
      </w:r>
      <w:r w:rsidR="00141680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év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között és &gt;</w:t>
      </w:r>
      <w:r w:rsidR="00344EFC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50</w:t>
      </w:r>
      <w:r w:rsidR="0000224A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="00612D72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tt</w:t>
      </w:r>
      <w:r w:rsidR="0000224A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kg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; 15 és betöltött 18</w:t>
      </w:r>
      <w:r w:rsidR="00AF42AD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.</w:t>
      </w:r>
      <w:r w:rsidR="00141680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év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között testtömegtől függetlenül) </w:t>
      </w:r>
    </w:p>
    <w:p w14:paraId="11D83EBB" w14:textId="7E2DFD15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vorikonazolt úgy kell adagolni, mint a felnőtteknél.</w:t>
      </w:r>
    </w:p>
    <w:p w14:paraId="10C387C8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FEB4182" w14:textId="2F319315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Dózismódosítás [gyermekek (2 és betöltött 12</w:t>
      </w:r>
      <w:r w:rsidR="00AF42AD"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.</w:t>
      </w:r>
      <w:r w:rsidR="00141680"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 év</w:t>
      </w: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 xml:space="preserve"> között) és fiatal, kis testtömegű serdülők (12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14</w:t>
      </w:r>
      <w:r w:rsidR="00141680"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 év</w:t>
      </w: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es kor és &lt;</w:t>
      </w:r>
      <w:r w:rsidR="00344EFC"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50</w:t>
      </w:r>
      <w:r w:rsidR="00F11FF9"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 </w:t>
      </w:r>
      <w:r w:rsidR="00612D72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tt</w:t>
      </w: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kg)]</w:t>
      </w:r>
    </w:p>
    <w:p w14:paraId="6F3CED31" w14:textId="0DA9EBAF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Ha a beteg kezelésre adott válaszreakciója nem megfelelő, az intravénás dózist fokozatosan, lépésenként 1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/ttkg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mal lehet emelni. Ha a beteg nem tolerálja a kezelést, az intravénás dózist fokozatosan, lépésenként 1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/ttkg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mal lehet csökkenteni.</w:t>
      </w:r>
    </w:p>
    <w:p w14:paraId="562C5DAE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F647042" w14:textId="56A0BA5B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Alkalmazását 2 és betöltött 12</w:t>
      </w:r>
      <w:r w:rsidR="00AF42AD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közötti, máj- vagy veseelégtelenségben szenvedő gyermekeknél nem vizsgálták (lásd 4.8 és 5.2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B15AB73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1B334668" w14:textId="0891FA4E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Profilaxis felnőttek</w:t>
      </w:r>
      <w:r w:rsidR="003D21F5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nél</w:t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és gyermekek</w:t>
      </w:r>
      <w:r w:rsidR="003D21F5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nél</w:t>
      </w:r>
    </w:p>
    <w:p w14:paraId="1920C0A0" w14:textId="35B029DB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profilaxist a transzplantáció napján kell megkezdeni, és legfeljebb 100</w:t>
      </w:r>
      <w:r w:rsidR="00F11FF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napig lehet alkalmazni.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profilaxisnak a lehető legrövidebbnek kell lennie, az invazív gombás fertőzés kialakulásának a neutropenia vagy immunszuppresszió alapján meghatározott kockázatától függően. Folyamatos immunszuppresszió vagy graft</w:t>
      </w:r>
      <w:r w:rsidR="00AC41C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versus</w:t>
      </w:r>
      <w:r w:rsidR="00AC41C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host betegség </w:t>
      </w:r>
      <w:r w:rsidR="00344EFC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(GvHD)</w:t>
      </w:r>
      <w:r w:rsidR="00344EF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esetén a profilaxist a transzplantációt követően legfeljebb 180</w:t>
      </w:r>
      <w:r w:rsidR="00F11FF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napig lehet folytatni (lásd 5.1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559CFF00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88A807C" w14:textId="7777777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Adagolás</w:t>
      </w:r>
    </w:p>
    <w:p w14:paraId="6C0D180D" w14:textId="77777777" w:rsidR="00344EFC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profilaktikus célú alkalmazás javasolt adagolási rendje megegyezik az adott korcsoportokban alkalmazott terápiás dózisokkal.</w:t>
      </w:r>
    </w:p>
    <w:p w14:paraId="146FDE08" w14:textId="0E8DAC06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Lásd a fenti kezelési táblázatokat.</w:t>
      </w:r>
    </w:p>
    <w:p w14:paraId="3AD6DBC9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2A5893D" w14:textId="02EF8BE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 profilaxis időtartama</w:t>
      </w:r>
    </w:p>
    <w:p w14:paraId="438EA2B5" w14:textId="0E82B390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Klinikai vizsgálatokban a vorikonazol 180</w:t>
      </w:r>
      <w:r w:rsidR="00F11FF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napnál hosszabb ideig tartó alkalmazásának biztonságosságát és hatásosságát nem vizsgálták megfelelő mértékben.</w:t>
      </w:r>
    </w:p>
    <w:p w14:paraId="7C9DF0AC" w14:textId="77777777" w:rsidR="00F11FF9" w:rsidRPr="00674EDC" w:rsidRDefault="00F11FF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204C069" w14:textId="34A9FAEA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 180</w:t>
      </w:r>
      <w:r w:rsidR="00F11FF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napnál (6</w:t>
      </w:r>
      <w:r w:rsidR="00F11FF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hónapnál) hosszabb ideig tartó profilaktikus alkalmazása esetén a</w:t>
      </w:r>
      <w:r w:rsidR="00F11FF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z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előny</w:t>
      </w:r>
      <w:r w:rsidR="00F11FF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kockázat arányt gondosan mérlegelni kell (lásd 4.4 és 5.1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  <w:r w:rsidR="00725E2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44EFC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="00725E27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intravénásan alkalmazott hidroxipropil-betadex</w:t>
      </w:r>
      <w:r w:rsidR="00825FFA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szel történő</w:t>
      </w:r>
      <w:r w:rsidR="00725E27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44EFC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hosszútávú </w:t>
      </w:r>
      <w:r w:rsidR="00825FFA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kezelés</w:t>
      </w:r>
      <w:r w:rsidR="00344EFC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25E27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biztonságosságá</w:t>
      </w:r>
      <w:r w:rsidR="00825FFA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nak</w:t>
      </w:r>
      <w:r w:rsidR="00725E27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meghatározásához korlátozottan állnak rendelkezésre klinikai adatok (lásd 5.2</w:t>
      </w:r>
      <w:r w:rsidR="00F11FF9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725E27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87DB41F" w14:textId="77777777" w:rsidR="003601D1" w:rsidRPr="00674EDC" w:rsidRDefault="003601D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1B566100" w14:textId="5055D949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 következő utasítások mind a kezelésre, mind pedig a profilaxisra egyaránt érvényesek</w:t>
      </w:r>
    </w:p>
    <w:p w14:paraId="4664A41E" w14:textId="77777777" w:rsidR="003601D1" w:rsidRPr="00674EDC" w:rsidRDefault="003601D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5BD40335" w14:textId="5973B146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Dózismódosítás</w:t>
      </w:r>
    </w:p>
    <w:p w14:paraId="6F8BE9A8" w14:textId="027FCE91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Profilaktikus alkalmazásnál a hatás elmaradása vagy a kezeléssel kapcsolatos </w:t>
      </w:r>
      <w:r w:rsidR="004255C5">
        <w:rPr>
          <w:rFonts w:eastAsia="Times New Roman"/>
          <w:snapToGrid/>
          <w:color w:val="000000"/>
          <w:szCs w:val="22"/>
          <w:lang w:val="hu-HU" w:eastAsia="hu-HU" w:bidi="hu-HU"/>
        </w:rPr>
        <w:t>mellékhatások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esetén a dózismódosítás nem javasolt. A kezeléssel kapcsolatos </w:t>
      </w:r>
      <w:r w:rsidR="003D21F5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mellékhatások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D21F5">
        <w:rPr>
          <w:rFonts w:eastAsia="Times New Roman"/>
          <w:snapToGrid/>
          <w:color w:val="000000"/>
          <w:szCs w:val="22"/>
          <w:lang w:val="hu-HU" w:eastAsia="hu-HU" w:bidi="hu-HU"/>
        </w:rPr>
        <w:t>jelentkezésekor</w:t>
      </w:r>
      <w:r w:rsidR="003D21F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mérlegelni kell a vorikonazol leállítását és </w:t>
      </w:r>
      <w:r w:rsidR="000A1AE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egyéb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gombaellenes szerek alkalmazását (lásd 4.4 és 4.8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4C17F29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</w:pPr>
    </w:p>
    <w:p w14:paraId="658FD754" w14:textId="0BD97FFC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 xml:space="preserve">Dózismódosítás </w:t>
      </w:r>
      <w:r w:rsidR="000A1AE2"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egyéb</w:t>
      </w: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 xml:space="preserve"> gyógyszerekkel történő együttes alkalmazás esetén</w:t>
      </w:r>
    </w:p>
    <w:p w14:paraId="5A4490C0" w14:textId="4629F653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Rifabutin vagy fenitoin adható vorikonazollal együtt, ha a vorikonazol fenntartó </w:t>
      </w:r>
      <w:r w:rsidR="00AF671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át intravénás alkalmazásnál naponta kétszer 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/ttkg</w:t>
      </w:r>
      <w:r w:rsidR="000A1AE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ra emelik, lásd 4.4 és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0FF93B6B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371EA6C" w14:textId="775C1452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Az efavirenz adható vorikonazollal együtt, ha a vorikonazol fenntartó dózisát 12</w:t>
      </w:r>
      <w:r w:rsidR="0000224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órá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nként 400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bookmarkStart w:id="0" w:name="_Hlk199414779"/>
      <w:r w:rsidR="000A1AE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bookmarkEnd w:id="0"/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ra emelik, és az efavirenz dózisát 50%</w:t>
      </w:r>
      <w:r w:rsidR="000A1AE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kal, vagyis naponta egyszer 300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0A1AE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ra csökkentik. A vorikonazol</w:t>
      </w:r>
      <w:r w:rsidR="000A1AE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kezelés abbahagyásakor az efavirenz kezdeti dózisát vissza kell állítani (lásd 4.4</w:t>
      </w:r>
      <w:r w:rsidR="000A1AE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és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4A8551EC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</w:pPr>
    </w:p>
    <w:p w14:paraId="143AEE74" w14:textId="6769378F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Idősek</w:t>
      </w:r>
    </w:p>
    <w:p w14:paraId="33DA9AFA" w14:textId="631DCB71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Az adagolást idős betegek esetén nem szükséges módosítani (lásd 5.2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50AAD65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</w:pPr>
    </w:p>
    <w:p w14:paraId="6478438E" w14:textId="77A4B6EE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Vesekárosodás</w:t>
      </w:r>
    </w:p>
    <w:p w14:paraId="74C49D83" w14:textId="421E80D2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Közepes vagy súlyos </w:t>
      </w:r>
      <w:r w:rsidR="006E5CD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fokú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vesekárosodás esetén (kreatinin clearance &lt;</w:t>
      </w:r>
      <w:r w:rsidR="003E74F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50</w:t>
      </w:r>
      <w:r w:rsidR="00490B5E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/perc) az intravénás vivőanyag </w:t>
      </w:r>
      <w:r w:rsidR="00490B5E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25E27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hidroxipropil-betadex</w:t>
      </w:r>
      <w:r w:rsidR="00725E27" w:rsidRPr="00674EDC" w:rsidDel="00725E2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90B5E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felhalmozódása figyelhető meg. Ilyen </w:t>
      </w:r>
      <w:r w:rsidR="003D21F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betegek</w:t>
      </w:r>
      <w:r w:rsidR="003D21F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nél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vorikonazolt</w:t>
      </w:r>
      <w:r w:rsidR="00490B5E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E74F8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kell adagolni, kivéve, ha a betegre vonatkozó előnyök és hátrányok elemzése alátámasztja a vorikonazol intravénás alkalmazását. </w:t>
      </w:r>
      <w:r w:rsidR="003D21F5">
        <w:rPr>
          <w:rFonts w:eastAsia="Times New Roman"/>
          <w:snapToGrid/>
          <w:color w:val="000000"/>
          <w:szCs w:val="22"/>
          <w:lang w:val="hu-HU" w:eastAsia="hu-HU" w:bidi="hu-HU"/>
        </w:rPr>
        <w:t>Ezeknél a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betegek</w:t>
      </w:r>
      <w:r w:rsidR="005B2C1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D21F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szorosan ellenőrizni kell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szérum</w:t>
      </w:r>
      <w:r w:rsidR="006E5CD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kreatininszintet</w:t>
      </w:r>
      <w:r w:rsidR="003E74F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ha az emelkedik, </w:t>
      </w:r>
      <w:r w:rsidR="003E74F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mérlegelni kell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szájon át történő kezelésre való áttérést (lásd 5.2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  <w:r w:rsidR="003E74F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E74F8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Hemodialíziben nem részesülő</w:t>
      </w:r>
      <w:r w:rsidR="005B2C1B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betegeknél nem javasolt a</w:t>
      </w:r>
      <w:r w:rsidR="005B2C1B" w:rsidRPr="004255C5">
        <w:rPr>
          <w:szCs w:val="22"/>
          <w:lang w:val="hu-HU"/>
        </w:rPr>
        <w:t>z alkalmazás.</w:t>
      </w:r>
    </w:p>
    <w:p w14:paraId="49C439C0" w14:textId="77777777" w:rsidR="003E74F8" w:rsidRPr="00674EDC" w:rsidRDefault="003E74F8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5DB9F41" w14:textId="18E3AF6C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Hemodialízis során a vorikonazol clearance</w:t>
      </w:r>
      <w:r w:rsidR="005B2C1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 121</w:t>
      </w:r>
      <w:r w:rsidR="00490B5E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/perc. 4</w:t>
      </w:r>
      <w:r w:rsidR="0000224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órá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 hemodialízis alatt nem ürül akkora mennyiségű vorikonazol, ami szükségessé tenné a dózis módosítását.</w:t>
      </w:r>
    </w:p>
    <w:p w14:paraId="39441C05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5795369" w14:textId="1F320A9F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Az intravénás vivőanyag, a</w:t>
      </w:r>
      <w:r w:rsidR="00725E2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25E27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hidroxipropil-betade</w:t>
      </w:r>
      <w:r w:rsidR="00725E2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x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hemodialízis clearance </w:t>
      </w:r>
      <w:r w:rsidR="00725E27" w:rsidRPr="004255C5">
        <w:rPr>
          <w:rFonts w:eastAsia="Times New Roman"/>
          <w:snapToGrid/>
          <w:color w:val="000000"/>
          <w:szCs w:val="22"/>
          <w:lang w:val="hu-HU" w:eastAsia="hu-HU" w:bidi="hu-HU"/>
        </w:rPr>
        <w:t>37,5 ± 24</w:t>
      </w:r>
      <w:r w:rsidR="00490B5E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/perc.</w:t>
      </w:r>
    </w:p>
    <w:p w14:paraId="182621DE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</w:pPr>
    </w:p>
    <w:p w14:paraId="5A81B1F8" w14:textId="04F3CDAD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Májkárosodás</w:t>
      </w:r>
    </w:p>
    <w:p w14:paraId="3C95543B" w14:textId="6A733E6B" w:rsidR="00E26411" w:rsidRPr="00674EDC" w:rsidRDefault="00CD516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Enyhe–közepes fokú májcirrózisban (Child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Pugh A és B) szenvedő, vorikonazollal kezelt betegeknél a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normál telítő dózis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alkalmazás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javasolt, a fenntartó dózist azonban a felére kell csökkenteni (lásd 5.2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BB8DD95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7CD2CCE" w14:textId="762DCD0D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vorikonazolt nem vizsgálták súlyos krónikus májcirrózisban (Child-Pugh C) szenvedő</w:t>
      </w:r>
      <w:r w:rsidR="006E366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betegeknél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3B1F4887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53CBEB8" w14:textId="5106EE9B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Csak korlátozott mennyiségű adat áll rendelkezésre a </w:t>
      </w:r>
      <w:r w:rsidR="00D4683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biztonságosságáról a kóros májfunkciós vizsgálati eredményű betegek esetében </w:t>
      </w:r>
      <w:r w:rsidR="006E366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glutamát-oxálacetát-transzamináz </w:t>
      </w:r>
      <w:r w:rsidR="006E366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GOT</w:t>
      </w:r>
      <w:r w:rsidR="006E366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glutamát-piruvát-transzamináz </w:t>
      </w:r>
      <w:r w:rsidR="006E366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GPT</w:t>
      </w:r>
      <w:r w:rsidR="006E366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az alkalikus foszfatáz </w:t>
      </w:r>
      <w:r w:rsidR="006E366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ALP</w:t>
      </w:r>
      <w:r w:rsidR="006E366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az összbilirubin szintje magasabb a normálérték felső határának 5</w:t>
      </w:r>
      <w:r w:rsidR="006E366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szörösénél</w:t>
      </w:r>
      <w:r w:rsidR="006E366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177B82F6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66D5131" w14:textId="2263028D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vorikonazol alkalmazása során előfordultak emelkedett májfunkciós teszt értékek és a májkárosodás klinikai jelei (például icterus), ezért súlyos </w:t>
      </w:r>
      <w:r w:rsidR="00D14AB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májkárosodásban szenvedő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betegeknél csak akkor szabad alkalmazni, ha az előny meghaladja a kockázatot. Súlyos májkárosodásban szenvedő betegeknél a gyógyszer toxicitását fokozott figyelemmel kell kísérni (lásd 4.8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7980E93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</w:pPr>
    </w:p>
    <w:p w14:paraId="4AD08F0E" w14:textId="785BDF72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Gyermekek és serdülők</w:t>
      </w:r>
    </w:p>
    <w:p w14:paraId="3E0CE626" w14:textId="2740BD26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D4683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biztonságosságát és hatásosságát 2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esnél fiatalabb gyermekek</w:t>
      </w:r>
      <w:r w:rsidR="001B1401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igazolták. A jelenleg rendelkezésre álló adatok leírása a 4.8 és 5.1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ban található, </w:t>
      </w:r>
      <w:r w:rsidR="0076132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de az adagolásra vonatkozóan nem adható ajánlás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13796571" w14:textId="77777777" w:rsidR="00725E27" w:rsidRPr="00674EDC" w:rsidRDefault="00725E27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723B597" w14:textId="1CBA2015" w:rsidR="00725E27" w:rsidRPr="00674EDC" w:rsidRDefault="00725E27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D3DC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6D3DC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2 évesnél fiatalabb </w:t>
      </w:r>
      <w:r w:rsidR="00AE3941" w:rsidRPr="006D3DC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gyermekeknél </w:t>
      </w:r>
      <w:r w:rsidRPr="006D3DC6">
        <w:rPr>
          <w:rFonts w:eastAsia="Times New Roman"/>
          <w:snapToGrid/>
          <w:color w:val="000000"/>
          <w:szCs w:val="22"/>
          <w:lang w:val="hu-HU" w:eastAsia="hu-HU" w:bidi="hu-HU"/>
        </w:rPr>
        <w:t>intravénásan alkalmazott hidroxipropil-betadex biztonságosságának meghatározásához korlátozottan állnak rendelkezésre klinikai adatok.</w:t>
      </w:r>
    </w:p>
    <w:p w14:paraId="7E77C716" w14:textId="77777777" w:rsidR="00725E27" w:rsidRPr="00674EDC" w:rsidRDefault="00725E27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FE62663" w14:textId="7777777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Az alkalmazás módja</w:t>
      </w:r>
    </w:p>
    <w:p w14:paraId="0B5B4AA2" w14:textId="51771466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592DE3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Voriconazole SaneXcel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port </w:t>
      </w:r>
      <w:r w:rsidR="001B140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intravénás infúzióként </w:t>
      </w:r>
      <w:r w:rsidR="001B1401">
        <w:rPr>
          <w:rFonts w:eastAsia="Times New Roman"/>
          <w:snapToGrid/>
          <w:color w:val="000000"/>
          <w:szCs w:val="22"/>
          <w:lang w:val="hu-HU" w:eastAsia="hu-HU" w:bidi="hu-HU"/>
        </w:rPr>
        <w:t>történő beadás előtt</w:t>
      </w:r>
      <w:r w:rsidR="001B140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fel kell oldani és hígítani </w:t>
      </w:r>
      <w:r w:rsidR="001B14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kell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(lásd 6.6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 Tilos bolus injekcióban adni.</w:t>
      </w:r>
    </w:p>
    <w:p w14:paraId="461DC44B" w14:textId="2B6F7F08" w:rsidR="000B2967" w:rsidRPr="00674EDC" w:rsidRDefault="000B2967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D3DC6">
        <w:rPr>
          <w:rFonts w:eastAsia="Times New Roman"/>
          <w:snapToGrid/>
          <w:color w:val="000000"/>
          <w:szCs w:val="22"/>
          <w:lang w:val="hu-HU" w:eastAsia="hu-HU" w:bidi="hu-HU"/>
        </w:rPr>
        <w:t>A gyógyszer alkalmazás előtti feloldására és hígítására vonatkozó utasításokat lásd a 6.6 pontban.</w:t>
      </w:r>
    </w:p>
    <w:p w14:paraId="78D0F1D5" w14:textId="77777777" w:rsidR="00F45C51" w:rsidRPr="00674EDC" w:rsidRDefault="00F45C51" w:rsidP="00674EDC">
      <w:pPr>
        <w:spacing w:line="240" w:lineRule="auto"/>
        <w:rPr>
          <w:szCs w:val="22"/>
          <w:lang w:val="hu-HU"/>
        </w:rPr>
      </w:pPr>
    </w:p>
    <w:p w14:paraId="02DA60D5" w14:textId="77777777" w:rsidR="00F45C51" w:rsidRPr="00674EDC" w:rsidRDefault="00722712" w:rsidP="00674EDC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6D3DC6"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 w:rsidRPr="006D3DC6"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0EC186F3" w14:textId="77777777" w:rsidR="00F45C51" w:rsidRPr="00674EDC" w:rsidRDefault="00F45C51" w:rsidP="00674EDC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6C26D7" w14:textId="016E5FF1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készítmény hatóanyagával vagy a 6.1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ban felsorolt bármely segédanyagával szembeni túlérzékenység.</w:t>
      </w:r>
    </w:p>
    <w:p w14:paraId="4175F987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F1AED0F" w14:textId="21FB7AE6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Együttadása CYP3A4</w:t>
      </w:r>
      <w:r w:rsidR="00D30B7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szubsztrátokkal, terfenadinnal, asztemizollal, ciszapriddal, pimoziddal, kinidinnel vagy ivabradinnal, mert </w:t>
      </w:r>
      <w:r w:rsidR="00D30B7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ezen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gyógyszerek emelkedett plazmakoncentrációja a QTc</w:t>
      </w:r>
      <w:r w:rsidR="00D30B7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meghosszabbodásához és ritka esetben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torsades de</w:t>
      </w:r>
      <w:r w:rsidR="003F3197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pointes</w:t>
      </w:r>
      <w:r w:rsidR="00D30B7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hez vezethet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2189F857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705221B" w14:textId="754F37EA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Együttadása rifampicinnel, karbamazepinnel, fenobarbitállal és közönséges orbáncfűvel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(Hypericum perforatum),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mivel e</w:t>
      </w:r>
      <w:r w:rsidR="00D30B7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zen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gyógyszerek szignifikánsan csökkenthetik a plazma vorikonazol</w:t>
      </w:r>
      <w:r w:rsidR="00383EA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koncentrációját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1EE5542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AFA2E7D" w14:textId="5512925D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Standard dózisú vorikonazol és naponta egyszer 400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383EA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os vagy annál nagyobb dózisú efavirenz együttes alkalmazása ellenjavalt, mivel ilyen dózisoknál az efavirenz egészséges egyéneknél jelentősen csökkenti a plazma vorikonazol-koncentrációját. A vorikonazol szintén jelentősen megnöveli a plazma efavirenz-koncentrációját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 kisebb dózisok esetén 4.4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2FE9B3F7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AD65298" w14:textId="2F4973BC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Együttadása nagy dózisú ritonavirral (naponta kétszeri 400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ennél nagyobb dózis esetén), mivel a ritonavir szignifikánsan csökkenti a plazma vorikonazol-koncentrációját egészséges egyénekben ilyen dózisnál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 kisebb dózisok esetén lásd 4.4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13FDF164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B2B5B40" w14:textId="3F2BB65D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Együttadása </w:t>
      </w:r>
      <w:r w:rsidR="003F319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olyan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ergot alkaloidokkal (ergotamin, dihidroergotamin), amelyek CYP3A4</w:t>
      </w:r>
      <w:r w:rsidR="00383EA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szubsztrátok, mivel e gyógyszerek megnövekedett plazmakoncentrációja ergotizmushoz vezethet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F075F8B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9586B68" w14:textId="10224D9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Együttadása szirolimusszal, mivel a vorikonazol valószínűleg jelentősen növeli a szirolimusz plazmakoncentrációját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EE9890C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01D67BA" w14:textId="7E16C1D8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 együttadása naloxegollal, amely egy CYP3A4</w:t>
      </w:r>
      <w:r w:rsidR="00383EA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szubsztrát, mivel a naloxegol megnövekedett plazmakoncentrációja opioidelvonási tüneteket okozhat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6D3412C2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320F01D" w14:textId="28BD4779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 együttadása tolvaptánnal, mivel az erős CYP3A4</w:t>
      </w:r>
      <w:r w:rsidR="00383EA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inhibitorok (például a vorikonazol) jelentősen megnövelik a tolvaptán plazmakoncentrációját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503A0B27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1A83C17" w14:textId="01C07AF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 együttadása lurazidonnal, mivel a lurazidon-expozíció jelentős növekedése súlyos mellékhatásokat válthat ki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46E3C0A6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E15FF02" w14:textId="5DCAC490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Együttadása venetoklaxszal a venetoklax adagolásának kezdetén, illetve a venetoklax dózistitrálási szakasza alatt, mivel a vorikonazol valószínűleg szignifikánsan megnöveli a venetoklax plazmakoncentrációját és növeli a tumorlízis-szindróma kockázatát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38829905" w14:textId="77777777" w:rsidR="00F45C51" w:rsidRPr="00674EDC" w:rsidRDefault="00F45C51" w:rsidP="00674EDC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5351C14" w14:textId="77777777" w:rsidR="00F45C51" w:rsidRPr="00674EDC" w:rsidRDefault="00722712" w:rsidP="00674EDC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674EDC">
        <w:rPr>
          <w:rFonts w:eastAsia="Times New Roman"/>
          <w:b/>
          <w:snapToGrid/>
          <w:szCs w:val="22"/>
          <w:lang w:val="hu-HU" w:eastAsia="en-US"/>
        </w:rPr>
        <w:t>4.4</w:t>
      </w:r>
      <w:r w:rsidRPr="00674EDC">
        <w:rPr>
          <w:rFonts w:eastAsia="Times New Roman"/>
          <w:b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6182D4C6" w14:textId="77777777" w:rsidR="00F45C51" w:rsidRPr="00674EDC" w:rsidRDefault="00F45C51" w:rsidP="00674EDC">
      <w:pPr>
        <w:spacing w:line="240" w:lineRule="auto"/>
        <w:rPr>
          <w:szCs w:val="22"/>
          <w:lang w:val="hu-HU"/>
        </w:rPr>
      </w:pPr>
    </w:p>
    <w:p w14:paraId="3BB305A7" w14:textId="7777777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Túlérzékenység</w:t>
      </w:r>
    </w:p>
    <w:p w14:paraId="5DECB4CD" w14:textId="14ACF209" w:rsidR="00E26411" w:rsidRPr="00674EDC" w:rsidRDefault="001B140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Azoknál a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betegekn</w:t>
      </w:r>
      <w:r w:rsidR="00235EDD">
        <w:rPr>
          <w:rFonts w:eastAsia="Times New Roman"/>
          <w:snapToGrid/>
          <w:color w:val="000000"/>
          <w:szCs w:val="22"/>
          <w:lang w:val="hu-HU" w:eastAsia="hu-HU" w:bidi="hu-HU"/>
        </w:rPr>
        <w:t>él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akik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túlérzékenyek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más azolokra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ori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onazol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sak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körültekintően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szabad alkalmazni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(lásd még 4.8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1D5101FF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5CE11435" w14:textId="2A626F35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 kezelés időtartama</w:t>
      </w:r>
    </w:p>
    <w:p w14:paraId="41D11922" w14:textId="2FD6AB01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Az intravénás formával történő kezelés időtartama ne haladja meg a 6</w:t>
      </w:r>
      <w:r w:rsidR="00AA0DE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hónapot (lásd 5.3</w:t>
      </w:r>
      <w:r w:rsid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207FC8B9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DBE0C10" w14:textId="47C660E3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Cardiovascularis rendszer</w:t>
      </w:r>
    </w:p>
    <w:p w14:paraId="7C6D9BBB" w14:textId="49CDF7F2" w:rsidR="0094748B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vorikonazol </w:t>
      </w:r>
      <w:r w:rsidR="00C7755D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adása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QTc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szakasz megnyúlásával járhat együtt. Ritk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esetekben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torsade</w:t>
      </w:r>
      <w:r w:rsidR="00EE26D2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de</w:t>
      </w:r>
      <w:r w:rsidR="00EE26D2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pointes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kialakulásáról is beszámoltak olyan vorikonazolt szedő betegek</w:t>
      </w:r>
      <w:r w:rsidR="001B1401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 akik egyéb rizikófaktorral is rendelkeztek, mint pl. korábbi cardiotoxicus kemoterápia, cardiomyopathia, hypokalaemia és egyidejűleg szedett gyógyszerek, melyek additív hatásúak lehetnek.</w:t>
      </w:r>
    </w:p>
    <w:p w14:paraId="4EE18C11" w14:textId="73576FEC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 óvatosan adandó potenciálisan proarrhythmiás állapotú betegeknek, mint például:</w:t>
      </w:r>
    </w:p>
    <w:p w14:paraId="58F1DC0C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DC7423D" w14:textId="13FC3D76" w:rsidR="00E26411" w:rsidRPr="00674EDC" w:rsidRDefault="00E26411" w:rsidP="00674EDC">
      <w:pPr>
        <w:widowControl w:val="0"/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" w:name="bookmark56"/>
      <w:bookmarkEnd w:id="1"/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veleszületett vagy szerzett QTc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megnyúlás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204504BD" w14:textId="4ECE9A54" w:rsidR="00E26411" w:rsidRPr="00674EDC" w:rsidRDefault="00E26411" w:rsidP="00674EDC">
      <w:pPr>
        <w:widowControl w:val="0"/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" w:name="bookmark57"/>
      <w:bookmarkEnd w:id="2"/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cardiomyopathia, különösen szívelégtelenség esetén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12D393B1" w14:textId="670366C6" w:rsidR="00E26411" w:rsidRPr="00674EDC" w:rsidRDefault="00E26411" w:rsidP="00674EDC">
      <w:pPr>
        <w:widowControl w:val="0"/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" w:name="bookmark58"/>
      <w:bookmarkEnd w:id="3"/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sinus bradycardia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59D59649" w14:textId="088AA71B" w:rsidR="00E26411" w:rsidRPr="00674EDC" w:rsidRDefault="00E26411" w:rsidP="00674EDC">
      <w:pPr>
        <w:widowControl w:val="0"/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" w:name="bookmark59"/>
      <w:bookmarkEnd w:id="4"/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fennálló szimptomatikus arrhythmiák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71F35611" w14:textId="243FBF2E" w:rsidR="00E26411" w:rsidRPr="00674EDC" w:rsidRDefault="00E26411" w:rsidP="00674EDC">
      <w:pPr>
        <w:widowControl w:val="0"/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" w:name="bookmark60"/>
      <w:bookmarkEnd w:id="5"/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egyidejűleg szedett, ismerten QTc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szakasz megnyúlást okozó gyógyszerek</w:t>
      </w:r>
      <w:r w:rsidR="00AA7DA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Elektrolit-zavarok 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hypokalaemia, hypomagnesaemia és hypocalcaemia 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94748B"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észlelése érdekében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vorikonazol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kezelés megkezdése előtt és a kezelés során az elektrolit-értékek folyamatos monitorozására és szükség esetén korrigálására van szükség (lásd 4.2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). Egy egészséges önkéntesek bevonásával végzett vizsgálat során </w:t>
      </w:r>
      <w:r w:rsidR="00EE26D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vorikonazol egyszeri 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="00EE26D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ainak a szokásos napi </w:t>
      </w:r>
      <w:r w:rsidR="00AF671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="00EE26D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négyszereséig terjedő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hatását vizsgálták a QTc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szakaszra. Egyetlen beteg sem haladta meg a potenciálisan klinikailag releváns 500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msec</w:t>
      </w:r>
      <w:r w:rsidR="0094748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os küszöböt (lásd 5.1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292AF45C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1F39CB6E" w14:textId="5193AB99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Infúziós reakciók</w:t>
      </w:r>
    </w:p>
    <w:p w14:paraId="073DFB2E" w14:textId="6E5A2863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Infúziós reakciókat, elsősorban kivörösödést és hányingert figyeltek meg az intravénás vorikonazol</w:t>
      </w:r>
      <w:r w:rsidR="00EE26D2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készítmény adása közben. A tünetek súlyosságától függően a kezelés megszakítását is számításba kell venni (lásd 4.8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A5E2355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FD9BA5F" w14:textId="6FED36D9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Májtoxicitás</w:t>
      </w:r>
    </w:p>
    <w:p w14:paraId="0ECFC43A" w14:textId="68709943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klinikai vizsgálatok során a vorikonazollal való kezelés alatt súlyos májreakciók (</w:t>
      </w:r>
      <w:r w:rsidR="00EC60B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köztük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klinikailag manifeszt hepatitis, cholestasis és fulmináns, illetve halálos májelégtelenség is) fordultak elő. Reaktív jelenségek elsősorban súlyos alapbetegségben (túlnyomórészt rosszindulatú hematológiai betegségekben) szenvedők esetében fordultak elő. Átmeneti reaktív elváltozások, beleértve a hepatitist és sárgaságot, más azonosítható rizikófaktorral nem rendelkező betegek esetében fordultak elő. A májfunkciós zavarok a kezelés felfüggesztésekor általában reverzibilisnek bizonyultak (lásd 4.8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36F3B72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53A7A655" w14:textId="087E6181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Májfunkció ellenőrzése</w:t>
      </w:r>
    </w:p>
    <w:p w14:paraId="61A4ECBC" w14:textId="11EEB5FC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EC60B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="00592DE3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ori</w:t>
      </w:r>
      <w:r w:rsidR="00EC60B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592DE3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onazol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 kapó betegeknél a hepatotoxicitást gondosan ellenőrizni kell. A klinikai teendők közé kell tartozzon a </w:t>
      </w:r>
      <w:r w:rsidR="00EC60B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="00592DE3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ori</w:t>
      </w:r>
      <w:r w:rsidR="00EC60B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592DE3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onazol</w:t>
      </w:r>
      <w:r w:rsidR="00EC60B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kezelés kezdetekor, valamint a kezelés első hónapjában legalább hetente a májfunkció laboratóriumi ellenőrzése (különösen a GOT és a GPT). A kezelés időtartamának a lehető legrövidebbnek kell lennie, azonban</w:t>
      </w:r>
      <w:r w:rsidR="00AA7DA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 az előnyök és a kockázatok értékelése alapján a kezelés</w:t>
      </w:r>
      <w:r w:rsidR="002768C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folytat</w:t>
      </w:r>
      <w:r w:rsidR="002768C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já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 (lásd 4.2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), az ellenőrzés gyakorisága havon</w:t>
      </w:r>
      <w:r w:rsidR="00A54C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ta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egy alkalomra csökkenthető, ha a májfunkciós vizsgálatok eredményei nem változnak.</w:t>
      </w:r>
    </w:p>
    <w:p w14:paraId="30FD9FC4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F1ACAAE" w14:textId="22F9A4E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májfunkciós </w:t>
      </w:r>
      <w:r w:rsidR="007B6BF0">
        <w:rPr>
          <w:rFonts w:eastAsia="Times New Roman"/>
          <w:snapToGrid/>
          <w:color w:val="000000"/>
          <w:szCs w:val="22"/>
          <w:lang w:val="hu-HU" w:eastAsia="hu-HU" w:bidi="hu-HU"/>
        </w:rPr>
        <w:t>vizsgálati eredmények</w:t>
      </w:r>
      <w:r w:rsidR="007B6BF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értéke jelentősen emelkedik, meg kell szakítani a </w:t>
      </w:r>
      <w:r w:rsidR="002768C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2768C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kezelés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t, kivéve, ha a kezelés által a betegre jelentett előnyök és kockázatok orvosi megítélése indokolja a kezelés folytatását.</w:t>
      </w:r>
    </w:p>
    <w:p w14:paraId="130FB2CD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1DE3BA6" w14:textId="0CE6F34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májfunkciót gyermekeknél és felnőtteknél is egyaránt monitorozni kell.</w:t>
      </w:r>
    </w:p>
    <w:p w14:paraId="4AC91817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15A2F8E5" w14:textId="5C4B2B4D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Súlyos dermatológiai mellékhatások</w:t>
      </w:r>
    </w:p>
    <w:p w14:paraId="3DB97CEA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8331567" w14:textId="77777777" w:rsidR="00E26411" w:rsidRPr="00674EDC" w:rsidRDefault="00E26411" w:rsidP="00674EDC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Fototoxicitás</w:t>
      </w:r>
    </w:p>
    <w:p w14:paraId="4AC8CA56" w14:textId="6B77BFB2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ind w:left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Emellett a </w:t>
      </w:r>
      <w:r w:rsidR="000928D6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vorikonazolt </w:t>
      </w:r>
      <w:r w:rsidR="00806EA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fototoxicitás</w:t>
      </w:r>
      <w:r w:rsidR="00806EA9">
        <w:rPr>
          <w:rFonts w:eastAsia="Times New Roman"/>
          <w:snapToGrid/>
          <w:color w:val="000000"/>
          <w:szCs w:val="22"/>
          <w:lang w:val="hu-HU" w:eastAsia="hu-HU" w:bidi="hu-HU"/>
        </w:rPr>
        <w:t>t is okozott,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köztük olyan reakciókkal, mint például a szeplők, lentigo és keratosis actinica és pseudoporphyri</w:t>
      </w:r>
      <w:r w:rsidR="00845D8D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806E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</w:t>
      </w:r>
      <w:r w:rsidR="00845D8D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Fényérzékenységet kiváltó gyógyszerek (pl. metotrexát stb.) egyidejű alkalmazása esetén fennáll a bőrreakciók és a bőrtoxicitás fokozott kockázata.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845D8D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845D8D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kezelés alatt </w:t>
      </w:r>
      <w:r w:rsidR="00806EA9">
        <w:rPr>
          <w:rFonts w:eastAsia="Times New Roman"/>
          <w:snapToGrid/>
          <w:color w:val="000000"/>
          <w:szCs w:val="22"/>
          <w:lang w:val="hu-HU" w:eastAsia="hu-HU" w:bidi="hu-HU"/>
        </w:rPr>
        <w:t>minden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beteg, köztük a gyermekek</w:t>
      </w:r>
      <w:r w:rsidR="00806E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r w:rsidR="00806EA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kerülj</w:t>
      </w:r>
      <w:r w:rsidR="00806EA9"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="00806EA9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direkt napfény-expozíciót, </w:t>
      </w:r>
      <w:r w:rsidR="00B94FD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továbbá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megfelelő intézkedések, mint </w:t>
      </w:r>
      <w:r w:rsidR="00B94FD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védőruházat és </w:t>
      </w:r>
      <w:r w:rsidR="00B94FD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magas faktorszámú fényvédőkrém alkalmazása javasolt.</w:t>
      </w:r>
    </w:p>
    <w:p w14:paraId="60BFEFF5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4072EBF" w14:textId="47C6CD1D" w:rsidR="00E26411" w:rsidRPr="00E60B84" w:rsidRDefault="00E26411" w:rsidP="00E60B84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E60B8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Bőr laphámsejtes carcinomája (SCC</w:t>
      </w:r>
      <w:r w:rsidR="008A2095" w:rsidRPr="00E60B8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– </w:t>
      </w:r>
      <w:r w:rsidR="008A2095" w:rsidRPr="007B6BF0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Squamous</w:t>
      </w:r>
      <w:r w:rsidR="008A2095" w:rsidRPr="00E60B8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cell carcinoma</w:t>
      </w:r>
      <w:r w:rsidRPr="00E60B8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)</w:t>
      </w:r>
    </w:p>
    <w:p w14:paraId="7298FF45" w14:textId="6C020932" w:rsidR="00E26411" w:rsidRPr="00674EDC" w:rsidRDefault="00E26411" w:rsidP="00E60B84">
      <w:pPr>
        <w:widowControl w:val="0"/>
        <w:tabs>
          <w:tab w:val="clear" w:pos="567"/>
        </w:tabs>
        <w:spacing w:line="240" w:lineRule="auto"/>
        <w:ind w:left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bőr laphámsejtes carcinomájáról (beleértve az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8A2095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situ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cutan SCC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 vagy Bowen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kórt is) számoltak be olyan betegeknél, akik közül néhánynál korábban fototoxikus reakciókat jelentettek. Ha fototoxikus reakciók jelentkeznek, multidiszciplináris konzultáció szükséges, és a beteget bőrgyógyászhoz kell utalni. 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Mérlegelendő a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kezelés leállítása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egyéb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gombaellenes szer alkalmazása. Ha a 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="00592DE3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ori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592DE3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onazol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kezelést a fototoxicitással kapcsolatos elváltozások ellenére folytatják, akkor az esetleges premalignus elváltozások korai észlelése és kezelése érdekében szisztematikus és rendszeres bőrgyógyászati vizsgálatot kell végezni. Premalignus bőrelváltozások vagy laphámsejtes carcinoma diagnózisa esetén a 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kezelést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le kell állítani (lásd </w:t>
      </w:r>
      <w:r w:rsidR="008A209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lejjebb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Hosszan tartó kezelés</w:t>
      </w:r>
      <w:r w:rsidR="00490B5E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ot).</w:t>
      </w:r>
    </w:p>
    <w:p w14:paraId="44DB77C2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285E882" w14:textId="31117FBB" w:rsidR="00E26411" w:rsidRPr="00674EDC" w:rsidRDefault="00E26411" w:rsidP="00674EDC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Súlyos bőrreakciók</w:t>
      </w:r>
    </w:p>
    <w:p w14:paraId="1635B98B" w14:textId="3F606C3B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ind w:left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 alkalmazásával kapcsolatban súlyos bőrreakciókat (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severe cutaneous adverse reaction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75A5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SCAR), beleértve a Stevens</w:t>
      </w:r>
      <w:r w:rsidR="00375A5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Johnson-szindrómát (SJS), toxicus epidermalis necrolysist (TEN) és eosinophiliával és szisztémás tünetekkel járó gyógyszerreakciót (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drug reaction with eosinophilia and systemic symptoms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FE5EAB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DRESS) jelentettek, amely életveszélyes vagy halálos lehet. A beteget </w:t>
      </w:r>
      <w:r w:rsidR="00375A5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szoros megfigyelés alatt kell tartani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 ha bőrkiütések jelennek meg rajta, és a laesi</w:t>
      </w:r>
      <w:r w:rsidR="00276AB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ó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 progressziója esetén a </w:t>
      </w:r>
      <w:r w:rsidR="00375A5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725E2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75A5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alkalmazását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abba kell hagyni.</w:t>
      </w:r>
    </w:p>
    <w:p w14:paraId="14575BA4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BEC08A1" w14:textId="0913DDD6" w:rsidR="00490B5E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Mellékvesékkel kapcsolatos események</w:t>
      </w:r>
    </w:p>
    <w:p w14:paraId="261BB5C8" w14:textId="513291BC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Mellékvesekéreg-elégtelenség reverzibilis eseteit jelentették azolokat </w:t>
      </w:r>
      <w:r w:rsidR="006D563E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vorikonazolt is beleértve </w:t>
      </w:r>
      <w:r w:rsidR="006D563E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kapó betegeknél. Mellékvesekéreg-elégtelenséget jelentettek kortikoszteroidokkal együttesen vagy azok nélkül azolokat kapó betegeknél. A kortikoszteroidok nélkül azolokat kapó betegeknél a mellékvesekéreg-elégtelenség a szteroidképződés azolok általi közvetlen gátlásával áll összefüggésben. A kortikoszteroidokat szedő betegeknél a metabolizmusukban bekövetkező, vorikonazollal összefüggő CYP3A4</w:t>
      </w:r>
      <w:r w:rsidR="00D90A48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gátlás túl magas kortikoszteroid-szinthez és mellékvesekéreg-szuppresszióhoz vezethet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 A kortikoszteroidokkal együttesen vorikonazolt kapó betegeknél jelentettek Cushing</w:t>
      </w:r>
      <w:r w:rsidR="00E60B8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szindrómát is</w:t>
      </w:r>
      <w:r w:rsidR="00276AB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következményes mellékvesekéreg-elégtelenséggel vagy anélkül.</w:t>
      </w:r>
    </w:p>
    <w:p w14:paraId="4CB47363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0197A8C" w14:textId="0F0C2E0C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hosszan tartó vorikonazol- és kortikoszteroid- (beleértve az inhalációs kortikoszteroidokat, pl. budezonidot és intranasalis kortikoszteroidokat) kezelésben részesülő betegeket gondosan monitorozni kell mellékvesekéreg-károsodás tekintetében</w:t>
      </w:r>
      <w:r w:rsidR="00276AB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mind a kezelés alatt, mind a vorikonazol-kezelés leállításakor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 A betegeket arra kell utasítani, hogy azonnal forduljanak orvoshoz, ha kialakulnak a Cushing-szindróma vagy a mellékvesekéreg-elégtelenség jelei és tünetei.</w:t>
      </w:r>
    </w:p>
    <w:p w14:paraId="506D6723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C7F0BE0" w14:textId="41BB7B13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Hosszan tartó kezelés</w:t>
      </w:r>
    </w:p>
    <w:p w14:paraId="5D51018F" w14:textId="5ABE5762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A 180</w:t>
      </w:r>
      <w:r w:rsidR="00B82E0C"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napnál (6</w:t>
      </w:r>
      <w:r w:rsidR="00B82E0C"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hónapnál) hosszabb, hosszú távú expozíció (kezelés vagy profilaxis) esetén az előny-kockázat arány gondos mérlegelése szükséges, </w:t>
      </w:r>
      <w:r w:rsidRPr="007B6BF0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ezért </w:t>
      </w:r>
      <w:r w:rsidR="00C06801" w:rsidRPr="007B6BF0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az orvosoknak mérlegelniük kell </w:t>
      </w:r>
      <w:r w:rsidRPr="007B6BF0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a </w:t>
      </w:r>
      <w:r w:rsidR="00C06801"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Pr="007B6BF0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-expozíció korlátozásá</w:t>
      </w:r>
      <w:r w:rsidR="00C06801" w:rsidRPr="007B6BF0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t</w:t>
      </w:r>
      <w:r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(lásd 4.2 és</w:t>
      </w:r>
      <w:r w:rsidR="00490B5E"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5.1 </w:t>
      </w:r>
      <w:bookmarkStart w:id="6" w:name="bookmark61"/>
      <w:bookmarkEnd w:id="6"/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pont).</w:t>
      </w:r>
    </w:p>
    <w:p w14:paraId="59263E10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7B5AC96" w14:textId="327FA753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Hosszan tartó </w:t>
      </w:r>
      <w:r w:rsidR="00ED3F9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ED3F9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kezelés kapcsán a bőr laphámsejtes carcinomájáról (beleértve az 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ED3F9F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situ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cutan SCC</w:t>
      </w:r>
      <w:r w:rsidR="00ED3F9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 vagy Bowen</w:t>
      </w:r>
      <w:r w:rsidR="00ED3F9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kórt is) számoltak be</w:t>
      </w:r>
      <w:r w:rsidR="0022679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(lásd 4.8 pont)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33B06872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FAA9D9A" w14:textId="430C10B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Transzplantált betegeknél a fluorid- és alkalikusfoszfatáz-szint emelkedésével járó, nem fertőzéses eredetű periostitisről számoltak be. Ha egy betegnél skeletalis eredetű fájdalom, valamint a periostitisnek megfelelő radiológiai eltérések alakulnak ki, multidiszciplináris konzultációt követően </w:t>
      </w:r>
      <w:r w:rsidR="0022679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mérlegelendő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22679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725E2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22679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alkalmazásának leállítása</w:t>
      </w:r>
      <w:r w:rsidR="001834A4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(lásd 4.8 pont)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73CFB5C9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F6D161B" w14:textId="77777777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Látással kapcsolatos mellékhatások</w:t>
      </w:r>
    </w:p>
    <w:p w14:paraId="06F5D8A3" w14:textId="1FBB4373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Hosszan tartó, látással kapcsolatos mellékhatásokat, köztük homályos látást, látóideggyulladást és papillaoedemát jelentettek (lásd 4.8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2E3E686D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0849BFD" w14:textId="027DC6C0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Veseműködéssel kapcsolatos mellékhatások</w:t>
      </w:r>
    </w:p>
    <w:p w14:paraId="1A610A49" w14:textId="79A00A83" w:rsidR="00E26411" w:rsidRPr="00674EDC" w:rsidRDefault="00407469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="00D4683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orikonazol</w:t>
      </w:r>
      <w:r w:rsidR="00725E2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lal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kezelt súlyos betegeknél akut veseelégtelenséget figyeltek meg. Valószínű, hogy a vorikonazollal kezelt betegek egyidejűleg nephrotoxicus gyógyszereket is kapnak, és fennállhatnak náluk további olyan körülmények is, amelyek csökkent veseműködést eredményezhetnek (lásd 4.8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1AE6884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7D4500A" w14:textId="54F90E82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Veseműködés ellenőrzése</w:t>
      </w:r>
    </w:p>
    <w:p w14:paraId="470F47FB" w14:textId="2B7C1104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betegeknél ellenőrizni kell a normálistól eltérő veseműködés kialakulását. Ennek tartalmaznia kell laboratóriumi vizsgálatot, különös tekintettel a szérum kreatinin</w:t>
      </w:r>
      <w:r w:rsidR="00BF236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szintjére.</w:t>
      </w:r>
    </w:p>
    <w:p w14:paraId="6E2719F0" w14:textId="77777777" w:rsidR="00490B5E" w:rsidRPr="00674EDC" w:rsidRDefault="00490B5E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0493270" w14:textId="4AEC813F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Hasnyálmirigy-működés ellenőrzése</w:t>
      </w:r>
    </w:p>
    <w:p w14:paraId="0320CCC1" w14:textId="59649A26" w:rsidR="00E26411" w:rsidRPr="00674EDC" w:rsidRDefault="00E26411" w:rsidP="00674EDC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betegek, különösen az akut pancreatitis kockázatával bíró gyermekek </w:t>
      </w:r>
      <w:r w:rsidR="004E09F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pl. kemoterápia, haematopoeticusőssejt-transzplantáció </w:t>
      </w:r>
      <w:r w:rsidR="004E09F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HSCT</w:t>
      </w:r>
      <w:r w:rsidR="004E09F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közelmúltban</w:t>
      </w:r>
      <w:r w:rsidR="004E09F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szoros ellenőrzése szükséges a </w:t>
      </w:r>
      <w:r w:rsidR="004E09F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4E09F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kezelés alatt. Az ilyen klinikai helyzetekben a szérum amiláz és lipáz ellenőrzését fontolóra lehet venni.</w:t>
      </w:r>
    </w:p>
    <w:p w14:paraId="3E10F42E" w14:textId="77777777" w:rsidR="00490B5E" w:rsidRPr="00674EDC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1C5BC854" w14:textId="6D1AF409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Gyermekek és serdülők</w:t>
      </w:r>
    </w:p>
    <w:p w14:paraId="08210B8C" w14:textId="0419BF8D" w:rsidR="00E26411" w:rsidRPr="00674EDC" w:rsidRDefault="004E09FF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Az alkalmazás biztonságosságát és hatásosságát két éven aluli gyermekek</w:t>
      </w:r>
      <w:r w:rsidR="00AD47A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nél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igazolták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(lásd 4.8</w:t>
      </w:r>
      <w:r w:rsidR="00674ED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és 5.1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 Vorikonazol adása gyermekeknek 2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es kortól javasolt. Gyermekeknél és serdülőknél nagyobb gyakorisággal észleltek májenzim</w:t>
      </w:r>
      <w:r w:rsidR="00BF236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szint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-emelkedést (lásd 4.8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 A májfunkciót mind gyermekek</w:t>
      </w:r>
      <w:r w:rsidR="00AD47AE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 mind felnőttek</w:t>
      </w:r>
      <w:r w:rsidR="00AD47AE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ellenőrizni kell. A</w:t>
      </w:r>
      <w:r w:rsidR="00BF236C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BF236C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="00BF236C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biohasznosulás korlátozott mértékű lehet olyan 2 és betöltött 12</w:t>
      </w:r>
      <w:r w:rsidR="00AF42AD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gyermekek</w:t>
      </w:r>
      <w:r w:rsidR="00AD47AE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akiknek felszívódási zavaruk </w:t>
      </w:r>
      <w:r w:rsidR="00AD47A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van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vagy a korukhoz képest alacsony </w:t>
      </w:r>
      <w:r w:rsidR="00AD47A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testtömegük. Ezekben az esetekben intravénás vorikonazol adása javasolt.</w:t>
      </w:r>
    </w:p>
    <w:p w14:paraId="261D6F93" w14:textId="77777777" w:rsidR="00490B5E" w:rsidRPr="00674EDC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6C4B9D8" w14:textId="6D7FB2C6" w:rsidR="00E26411" w:rsidRPr="00674EDC" w:rsidRDefault="00E26411" w:rsidP="00AE3001">
      <w:pPr>
        <w:pStyle w:val="Listaszerbekezds"/>
        <w:widowControl w:val="0"/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Súlyos dermatológiai mellékhatások (beleértve az SCC</w:t>
      </w:r>
      <w:r w:rsidR="004E09FF"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t is)</w:t>
      </w:r>
    </w:p>
    <w:p w14:paraId="741A9850" w14:textId="42F745FB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ind w:left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Gyermekek és serdülők körében magasabb a fototoxikus reakciók gyakorisága. Mivel laphámsejtes carcinoma kialakulásáról érkeztek jelentések, szigorú fényvédelmi intézkedések szükségesek ebben a betegpopulációban. Azoknál a gyermekeknél, akiknél a fény öregítő hatása által okozott elváltozások </w:t>
      </w:r>
      <w:r w:rsidR="004E09F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pl. anyajegy és szeplők </w:t>
      </w:r>
      <w:r w:rsidR="004E09FF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jelentek meg, a napfény elkerülése és bőrgyógyászati kontroll javasolt még a kezelés leállítása után is.</w:t>
      </w:r>
    </w:p>
    <w:p w14:paraId="18A514D5" w14:textId="77777777" w:rsidR="00490B5E" w:rsidRPr="00674EDC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3B523737" w14:textId="524E15BF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Profilaxis</w:t>
      </w:r>
    </w:p>
    <w:p w14:paraId="5C1D0016" w14:textId="77777777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kezeléssel összefüggő nemkívánatos események (hepatotoxicitás, súlyos bőrreakciók, köztük fototoxicitás és laphámsejtes carcinoma, súlyos vagy tartós látászavarok és periostitis) esetén mérlegelni kell a vorikonazol leállítását és más gombaellenes szerek alkalmazását.</w:t>
      </w:r>
    </w:p>
    <w:p w14:paraId="434B2E49" w14:textId="77777777" w:rsidR="00490B5E" w:rsidRPr="00674EDC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5F99344A" w14:textId="1054C8F3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Fenitoin (CYP2C9</w:t>
      </w:r>
      <w:r w:rsidR="00CB3B9E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szubsztrát és erős CYP450</w:t>
      </w:r>
      <w:r w:rsidR="00CB3B9E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enziminduktor)</w:t>
      </w:r>
    </w:p>
    <w:p w14:paraId="7C025702" w14:textId="69ECBEBF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A fenitoin vorikonazollal történő együttadásakor a fenitoin</w:t>
      </w:r>
      <w:r w:rsidR="00CB3B9E"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szint gondos monitorozása javasolt. A vorikonazol és fenitoin együttadása kerülendő, kivéve</w:t>
      </w:r>
      <w:r w:rsidR="00417225"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,</w:t>
      </w:r>
      <w:r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ha az előny meghaladja a kockázatot (lásd</w:t>
      </w:r>
      <w:r w:rsidR="00490B5E"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</w:t>
      </w:r>
      <w:bookmarkStart w:id="7" w:name="bookmark62"/>
      <w:bookmarkEnd w:id="7"/>
      <w:r w:rsidR="00490B5E"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4.5 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pont).</w:t>
      </w:r>
    </w:p>
    <w:p w14:paraId="1D914AC7" w14:textId="77777777" w:rsidR="00490B5E" w:rsidRPr="00674EDC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0D0D7E6" w14:textId="380EB353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Efavirenz (CYP450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induktor; CYP3A4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gátló és -szubsztrát)</w:t>
      </w:r>
    </w:p>
    <w:p w14:paraId="66F742E2" w14:textId="40CE86FB" w:rsidR="00E26411" w:rsidRPr="00674EDC" w:rsidRDefault="00CB3B9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Amennyiben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vorikonazolt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efavirenzzel 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egyidejűleg adják, a vorikonazol 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dózisát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12</w:t>
      </w:r>
      <w:r w:rsidR="0000224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órá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nként 400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ra kell emelni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az efavirenz </w:t>
      </w:r>
      <w:r w:rsidR="00AF671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át 24</w:t>
      </w:r>
      <w:r w:rsidR="0000224A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órá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nként 300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ra csökkenteni (lásd 4.2, 4.3</w:t>
      </w:r>
      <w:r w:rsidR="005A4D7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és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="00E26411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ADEB8EC" w14:textId="77777777" w:rsidR="00490B5E" w:rsidRPr="00674EDC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36CDB803" w14:textId="1E461952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Glaszdegib (CYP3A4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szubsztrát)</w:t>
      </w:r>
    </w:p>
    <w:p w14:paraId="0D191D37" w14:textId="55DB6501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 együttadása várhatóan megnöveli a glaszdegib plazmakoncentrációját és fokozza a QTc megnyúlásának kockázatát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 Ha nem kerülhető el az együttes alkalmazás, gyakori EKG</w:t>
      </w:r>
      <w:r w:rsidR="005A4D7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monitorozás javasolt.</w:t>
      </w:r>
    </w:p>
    <w:p w14:paraId="59BCB91F" w14:textId="77777777" w:rsidR="00490B5E" w:rsidRPr="00674EDC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17827D75" w14:textId="362FB87B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Tirozinkináz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gátlók (CYP3A4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szubsztrát)</w:t>
      </w:r>
    </w:p>
    <w:p w14:paraId="0413A702" w14:textId="0F1FBBEB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A vorikonazol együttadása a CYP3A4 által metabolizált tirozinkináz</w:t>
      </w:r>
      <w:r w:rsidR="005A4D7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gátlókkal várhatóan megnöveli a tirozinkináz</w:t>
      </w:r>
      <w:r w:rsidR="005A4D7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gátlók plazmakoncentrációját és a nemkívánatos események kockázatát. Ha nem kerülhető el az együttes alkalmazás, a tirozinkináz</w:t>
      </w:r>
      <w:r w:rsidR="005A4D77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gátló dózisának csökkentése és szoros klinikai monitorozás javasolt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5B35ED89" w14:textId="77777777" w:rsidR="00490B5E" w:rsidRPr="00674EDC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0FA9F5E" w14:textId="136E333F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Rifabutin (erős CYP450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enziminduktor)</w:t>
      </w:r>
    </w:p>
    <w:p w14:paraId="29C08FFF" w14:textId="4DF69F35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rifabutin vorikonazollal történő együttadásakor a teljes vérkép és a rifabutin okozta mellékhatások (pl. uveitis) </w:t>
      </w: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gondos ellenőrzése javasolt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. Vorikonazol és rifabutin együttadása kerülendő, kivéve</w:t>
      </w:r>
      <w:r w:rsidR="00417225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 az előny meghaladja a kockázatot (lásd 4.5</w:t>
      </w:r>
      <w:r w:rsidR="00141680"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2F0DF566" w14:textId="77777777" w:rsidR="00490B5E" w:rsidRPr="00674EDC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5B6101FA" w14:textId="0B64635A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Ritonavir (erős CYP450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induktor; CYP3A4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gátló és -szubsztrát)</w:t>
      </w:r>
    </w:p>
    <w:p w14:paraId="12D04FF7" w14:textId="768E57BE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A vorikonazol együttadása kis dózisú ritonavirral (naponta kétszeri 100</w:t>
      </w:r>
      <w:r w:rsidR="00141680"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 mg</w:t>
      </w:r>
      <w:r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) kerülendő, hacsak a betegre vonatkozó előny/kockázat értékelése nem indokolja a vorikonazol alkalmazását (lásd 4.3 és</w:t>
      </w:r>
      <w:r w:rsidR="00490B5E"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</w:t>
      </w:r>
      <w:bookmarkStart w:id="8" w:name="bookmark63"/>
      <w:bookmarkEnd w:id="8"/>
      <w:r w:rsidR="00490B5E" w:rsidRPr="00674EDC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4.5 </w:t>
      </w: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pont).</w:t>
      </w:r>
    </w:p>
    <w:p w14:paraId="32D82C53" w14:textId="77777777" w:rsidR="00490B5E" w:rsidRPr="00674EDC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5C986735" w14:textId="57B9945D" w:rsidR="00E26411" w:rsidRPr="00674EDC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Everolimusz (CYP3A4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szubsztrát, P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gp</w:t>
      </w:r>
      <w:r w:rsidR="005A4D77"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674EDC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szubsztrát)</w:t>
      </w:r>
    </w:p>
    <w:p w14:paraId="5DBC4A19" w14:textId="0F52EEBC" w:rsidR="00E26411" w:rsidRPr="00AE3001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674EDC">
        <w:rPr>
          <w:rFonts w:eastAsia="Times New Roman"/>
          <w:snapToGrid/>
          <w:color w:val="000000"/>
          <w:szCs w:val="22"/>
          <w:lang w:val="hu-HU" w:eastAsia="hu-HU" w:bidi="hu-HU"/>
        </w:rPr>
        <w:t>Vorikonazol és everolimusz együttesen történő alkalmazása nem javasolt, mert a vorikonazol várhatóan jelentősen megnöveli az everolimusz koncentrációját. Jelenleg nem áll rendelkezésre</w:t>
      </w:r>
      <w:r w:rsidRPr="00E2641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elegendő adat az erre a helyzetre vonatkozó adagolási javaslat megtételéhez (lásd 4.5</w:t>
      </w:r>
      <w:r w:rsidR="00141680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8897FD3" w14:textId="77777777" w:rsidR="00490B5E" w:rsidRPr="00AE3001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1B7385DD" w14:textId="02F47009" w:rsidR="00E26411" w:rsidRPr="00AE3001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Metadon (CYP3A4</w:t>
      </w:r>
      <w:r w:rsidR="00015DD1"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szubsztrát)</w:t>
      </w:r>
    </w:p>
    <w:p w14:paraId="39E32E86" w14:textId="30DDA8F7" w:rsidR="00E26411" w:rsidRPr="00AE3001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Vorikonazollal történő együttadásakor a metadonnal kapcsolatos mellékhatások és toxicitás </w:t>
      </w:r>
      <w:r w:rsidR="00490B5E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beleértve a QTc megnyúlását </w:t>
      </w:r>
      <w:r w:rsidR="00490B5E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folyamatos monitorozása javasolt, mivel együttadásuk esetén megemelked</w:t>
      </w:r>
      <w:r w:rsidR="00015DD1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ett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metadon szintje. </w:t>
      </w:r>
      <w:r w:rsidR="00015DD1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Szükséges lehet a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metadon dózisának csökkentése (lásd 4.5</w:t>
      </w:r>
      <w:r w:rsidR="00141680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7AACE8EC" w14:textId="77777777" w:rsidR="00490B5E" w:rsidRPr="00AE3001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5B7CB035" w14:textId="3462AF94" w:rsidR="00E26411" w:rsidRPr="00AE3001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Rövid hatású opioidok (CYP3A4</w:t>
      </w:r>
      <w:r w:rsidR="00F642AD"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szubsztrátok)</w:t>
      </w:r>
    </w:p>
    <w:p w14:paraId="5980BFD0" w14:textId="265B9759" w:rsidR="00E26411" w:rsidRPr="00AE3001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Vorikonazollal történő egyidejű alkalmazás esetén az alfentanil, fentanil és egyéb, az alfentanilhoz hasonló szerkezetű</w:t>
      </w:r>
      <w:r w:rsidR="00F642AD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CYP3A4 által metabolizált rövid hatású opioidok (pl. szufentanil) dózisának csökkentését fontolóra kell venni (lásd 4.5</w:t>
      </w:r>
      <w:r w:rsidR="00141680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). Mivel az alfentanil és vorikonazol egyidejű alkalmazásakor az alfentanil felezési ideje a 4</w:t>
      </w:r>
      <w:r w:rsidR="00F642AD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szeresére növekszik, és egy független, publikált vizsgálatban a vorikonazol fentanillal történő együttes alkalmazása a fentanil átlagos </w:t>
      </w:r>
      <w:r w:rsidR="00490B5E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AUC</w:t>
      </w:r>
      <w:r w:rsidR="00490B5E" w:rsidRPr="00AE3001">
        <w:rPr>
          <w:szCs w:val="22"/>
          <w:vertAlign w:val="subscript"/>
          <w:lang w:val="hu-HU"/>
        </w:rPr>
        <w:t>0</w:t>
      </w:r>
      <w:r w:rsidR="00F642AD" w:rsidRPr="00AE3001">
        <w:rPr>
          <w:szCs w:val="22"/>
          <w:vertAlign w:val="subscript"/>
          <w:lang w:val="hu-HU"/>
        </w:rPr>
        <w:noBreakHyphen/>
      </w:r>
      <w:r w:rsidR="00490B5E" w:rsidRPr="00AE3001">
        <w:rPr>
          <w:szCs w:val="22"/>
          <w:vertAlign w:val="subscript"/>
          <w:lang w:val="hu-HU"/>
        </w:rPr>
        <w:t>∞</w:t>
      </w:r>
      <w:r w:rsidR="00F642AD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értékének növekedését eredményezte, ezért az opioidok alkalmazásával </w:t>
      </w:r>
      <w:r w:rsidR="00F642AD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együtt járó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mellékhatások (köztük a légzés hosszabb ideig tartó) gyakori ellenőrzésére lehet szükség.</w:t>
      </w:r>
    </w:p>
    <w:p w14:paraId="395028BC" w14:textId="77777777" w:rsidR="00490B5E" w:rsidRPr="00AE3001" w:rsidRDefault="00490B5E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3B4B713E" w14:textId="01751384" w:rsidR="00E26411" w:rsidRPr="00AE3001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Hosszú hatású opioidok (CYP3A4</w:t>
      </w:r>
      <w:r w:rsidR="0011269A"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szubsztrátok)</w:t>
      </w:r>
    </w:p>
    <w:p w14:paraId="4C6B5FD8" w14:textId="2138B1BD" w:rsidR="00E26411" w:rsidRPr="00AE3001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Vorikonazollal történő egyidejű alkalmazás esetén </w:t>
      </w:r>
      <w:r w:rsidR="0011269A" w:rsidRPr="00AB060E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mérlegelni kell</w:t>
      </w:r>
      <w:r w:rsidR="0011269A" w:rsidRPr="00AE3001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</w:t>
      </w:r>
      <w:r w:rsidRPr="00AE3001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az oxikodon, és egyéb, a CYP3A4 által metabolizált hosszú hatású opioidok (pl. hidrokodon) dózisának csökkentését. Az opioidok alkalmazásával </w:t>
      </w:r>
      <w:r w:rsidR="0011269A" w:rsidRPr="00AE3001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együtt járó</w:t>
      </w:r>
      <w:r w:rsidRPr="00AE3001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mellékhatások gyakori monitorozására lehet szükség (lásd</w:t>
      </w:r>
      <w:r w:rsidR="00744107" w:rsidRPr="00AE3001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4.5 </w:t>
      </w:r>
      <w:bookmarkStart w:id="9" w:name="bookmark64"/>
      <w:bookmarkEnd w:id="9"/>
      <w:r w:rsidR="00744107" w:rsidRPr="00AE3001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p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ont).</w:t>
      </w:r>
    </w:p>
    <w:p w14:paraId="563F6C36" w14:textId="77777777" w:rsidR="00744107" w:rsidRPr="00AE3001" w:rsidRDefault="00744107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4E48B58A" w14:textId="068405A4" w:rsidR="00E26411" w:rsidRPr="00AE3001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Flukonazol (CYP2C9-, CYP2C19- és CYP3A4</w:t>
      </w:r>
      <w:r w:rsidR="0011269A"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inhibitor)</w:t>
      </w:r>
    </w:p>
    <w:p w14:paraId="56694154" w14:textId="4F977B72" w:rsidR="00E26411" w:rsidRPr="00AE3001" w:rsidRDefault="00E2641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915DC0" w:rsidRPr="00AE300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AE300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vorikonazol és </w:t>
      </w:r>
      <w:r w:rsidRPr="00AE300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915DC0" w:rsidRPr="00AE300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AE300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flukonazol együttes alkalmazása egészséges önkénteseknél a vorikonazol C</w:t>
      </w:r>
      <w:r w:rsidRPr="00AE3001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 és </w:t>
      </w:r>
      <w:r w:rsidR="00744107" w:rsidRPr="00AE3001">
        <w:rPr>
          <w:szCs w:val="22"/>
          <w:lang w:val="hu-HU"/>
        </w:rPr>
        <w:t>AUC</w:t>
      </w:r>
      <w:r w:rsidR="00744107" w:rsidRPr="00AE3001">
        <w:rPr>
          <w:szCs w:val="22"/>
          <w:vertAlign w:val="subscript"/>
          <w:lang w:val="hu-HU"/>
        </w:rPr>
        <w:t>τ</w:t>
      </w:r>
      <w:r w:rsidR="00915DC0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értékének jelentős megemelkedését eredményezte. A vorikonazol és flukonazol azon, csökkentett dózisait és/vagy adásának gyakoriságát, amely ezt a hatást kiküszöbölné nem határozták meg. A vorikonazollal </w:t>
      </w:r>
      <w:r w:rsidR="00915DC0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együtt járó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mellékhatások monitorozása ajánlott, ha a vorikonazolt a flukonazolt követően alkalmazzák (lásd 4.5</w:t>
      </w:r>
      <w:r w:rsidR="00141680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343CBA89" w14:textId="77777777" w:rsidR="009D56E1" w:rsidRPr="00AE3001" w:rsidRDefault="009D56E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8BFA0CB" w14:textId="5E380097" w:rsidR="009D56E1" w:rsidRPr="007B6BF0" w:rsidRDefault="009D56E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  <w:r w:rsidRPr="007B6BF0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Nátriumtartalom</w:t>
      </w:r>
    </w:p>
    <w:p w14:paraId="08F281A0" w14:textId="03D6B475" w:rsidR="009D56E1" w:rsidRPr="007B6BF0" w:rsidRDefault="009D56E1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Ez a gyógyszer 88,74 mg nátriumot tartalmaz injekciós üvegenként, ami megfelel a WHO által ajánlott maximális napi </w:t>
      </w:r>
      <w:r w:rsidR="00D63ED9"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2 g nátriumbevite</w:t>
      </w: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l 4,44%</w:t>
      </w:r>
      <w:r w:rsidR="00D63ED9" w:rsidRPr="007B6BF0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ának felnőtteknél.</w:t>
      </w:r>
    </w:p>
    <w:p w14:paraId="579F4C02" w14:textId="35045825" w:rsidR="00522BFA" w:rsidRPr="007B6BF0" w:rsidRDefault="00522BFA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Ennek a készítménynek a legmagasabb napi dózisa </w:t>
      </w:r>
      <w:r w:rsidR="00ED6B1C"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felnőtteknél </w:t>
      </w: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megfelel a WHO által ajánlott maximális napi nátriumbevitel </w:t>
      </w:r>
      <w:r w:rsidR="00CB561B"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18</w:t>
      </w: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,6</w:t>
      </w:r>
      <w:r w:rsidR="00CB561B"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4</w:t>
      </w: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%</w:t>
      </w: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>ának.</w:t>
      </w:r>
    </w:p>
    <w:p w14:paraId="298EC0A6" w14:textId="737D5890" w:rsidR="00522BFA" w:rsidRPr="007B6BF0" w:rsidRDefault="00522BFA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A Voriconazole SaneXcel magas nátriumtartalmú készítménynek tekintendő. Ezt kifejezetten figyelembe kell venni az alacsony sótartalmú étrendet követőknél.</w:t>
      </w:r>
    </w:p>
    <w:p w14:paraId="451AF059" w14:textId="2AAAC630" w:rsidR="00F45C51" w:rsidRPr="007B6BF0" w:rsidRDefault="00F45C51" w:rsidP="00AE3001">
      <w:pPr>
        <w:spacing w:line="240" w:lineRule="auto"/>
        <w:rPr>
          <w:szCs w:val="22"/>
          <w:lang w:val="hu-HU"/>
        </w:rPr>
      </w:pPr>
    </w:p>
    <w:p w14:paraId="52EE69C7" w14:textId="7B247DDD" w:rsidR="00D63ED9" w:rsidRPr="007B6BF0" w:rsidRDefault="00D63ED9" w:rsidP="00AE3001">
      <w:pPr>
        <w:spacing w:line="240" w:lineRule="auto"/>
        <w:rPr>
          <w:szCs w:val="22"/>
          <w:u w:val="single"/>
          <w:lang w:val="hu-HU"/>
        </w:rPr>
      </w:pPr>
      <w:r w:rsidRPr="007B6BF0">
        <w:rPr>
          <w:szCs w:val="22"/>
          <w:u w:val="single"/>
          <w:lang w:val="hu-HU"/>
        </w:rPr>
        <w:t>Hidroxipropil-betadex</w:t>
      </w:r>
    </w:p>
    <w:p w14:paraId="62931FCF" w14:textId="46003DD7" w:rsidR="00D63ED9" w:rsidRPr="007B6BF0" w:rsidRDefault="00D63ED9" w:rsidP="00AE3001">
      <w:pPr>
        <w:spacing w:line="240" w:lineRule="auto"/>
        <w:rPr>
          <w:szCs w:val="22"/>
          <w:lang w:val="hu-HU"/>
        </w:rPr>
      </w:pPr>
      <w:r w:rsidRPr="007B6BF0">
        <w:rPr>
          <w:szCs w:val="22"/>
          <w:lang w:val="hu-HU"/>
        </w:rPr>
        <w:t>2</w:t>
      </w:r>
      <w:r w:rsidR="00FD7641" w:rsidRPr="007B6BF0">
        <w:rPr>
          <w:szCs w:val="22"/>
          <w:lang w:val="hu-HU"/>
        </w:rPr>
        <w:t> </w:t>
      </w:r>
      <w:r w:rsidRPr="007B6BF0">
        <w:rPr>
          <w:szCs w:val="22"/>
          <w:lang w:val="hu-HU"/>
        </w:rPr>
        <w:t>éven aluli gyermekeknél az alacsonyabb glomeruláris működés védelmet nyújthat a vesetoxicitás ellen, de a ciklodextrinek magasabb vérszintjét okozhatja.</w:t>
      </w:r>
    </w:p>
    <w:p w14:paraId="34AE4A78" w14:textId="53F0582D" w:rsidR="00D63ED9" w:rsidRPr="00AE3001" w:rsidRDefault="00D63ED9" w:rsidP="00AE3001">
      <w:pPr>
        <w:spacing w:line="240" w:lineRule="auto"/>
        <w:rPr>
          <w:szCs w:val="22"/>
          <w:lang w:val="hu-HU"/>
        </w:rPr>
      </w:pPr>
      <w:r w:rsidRPr="007B6BF0">
        <w:rPr>
          <w:szCs w:val="22"/>
          <w:lang w:val="hu-HU"/>
        </w:rPr>
        <w:t>Közepes</w:t>
      </w:r>
      <w:r w:rsidR="007B6BF0">
        <w:rPr>
          <w:szCs w:val="22"/>
          <w:lang w:val="hu-HU"/>
        </w:rPr>
        <w:t xml:space="preserve"> vagy </w:t>
      </w:r>
      <w:r w:rsidRPr="007B6BF0">
        <w:rPr>
          <w:szCs w:val="22"/>
          <w:lang w:val="hu-HU"/>
        </w:rPr>
        <w:t xml:space="preserve">súlyos </w:t>
      </w:r>
      <w:r w:rsidR="007B6BF0">
        <w:rPr>
          <w:szCs w:val="22"/>
          <w:lang w:val="hu-HU"/>
        </w:rPr>
        <w:t>fokú vesekárosodás</w:t>
      </w:r>
      <w:r w:rsidRPr="007B6BF0">
        <w:rPr>
          <w:szCs w:val="22"/>
          <w:lang w:val="hu-HU"/>
        </w:rPr>
        <w:t xml:space="preserve"> esetén előfordulhat a ciklodextrinek akkumulációja.</w:t>
      </w:r>
    </w:p>
    <w:p w14:paraId="4AB82A05" w14:textId="77777777" w:rsidR="00D63ED9" w:rsidRPr="00AE3001" w:rsidRDefault="00D63ED9" w:rsidP="00AE3001">
      <w:pPr>
        <w:spacing w:line="240" w:lineRule="auto"/>
        <w:rPr>
          <w:szCs w:val="22"/>
          <w:lang w:val="hu-HU"/>
        </w:rPr>
      </w:pPr>
    </w:p>
    <w:p w14:paraId="35835455" w14:textId="77777777" w:rsidR="00F45C51" w:rsidRPr="00AE3001" w:rsidRDefault="00722712" w:rsidP="00AE3001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AE3001">
        <w:rPr>
          <w:rFonts w:eastAsia="Times New Roman"/>
          <w:b/>
          <w:snapToGrid/>
          <w:szCs w:val="22"/>
          <w:lang w:val="hu-HU" w:eastAsia="en-US"/>
        </w:rPr>
        <w:t>4.5</w:t>
      </w:r>
      <w:r w:rsidRPr="00AE3001">
        <w:rPr>
          <w:rFonts w:eastAsia="Times New Roman"/>
          <w:b/>
          <w:snapToGrid/>
          <w:szCs w:val="22"/>
          <w:lang w:val="hu-HU" w:eastAsia="en-US"/>
        </w:rPr>
        <w:tab/>
        <w:t>Gyógyszerkölcsönhatások és egyéb interakciók</w:t>
      </w:r>
    </w:p>
    <w:p w14:paraId="0A471E18" w14:textId="77777777" w:rsidR="00F45C51" w:rsidRPr="00AE3001" w:rsidRDefault="00F45C51" w:rsidP="00AE3001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620EF4" w14:textId="3E084121" w:rsidR="00D46837" w:rsidRPr="00AE3001" w:rsidRDefault="00D46837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A vorikonazolt a citokróm</w:t>
      </w:r>
      <w:r w:rsidR="009D56E1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P450 izoenzimek, a CYP2C19, a CYP2C9 és a CYP3A4 metabolizálják és a vorikonazol gátolja ezek aktivitását. Ezen izoenzimek gátlói és induktorai növelhetik, illetve csökkenthetik a vorikonazol plazmakoncentrációját és a vorikonazol növelheti azoknak a hatóanyagoknak a plazmaszintjét, amelyeket ezek a CYP450 izoenzimek metabolizálnak, különösen a CYP3A4 által metabolizált hatóanyagok esetében, mivel a vorikonazol egy erős CYP3A4</w:t>
      </w:r>
      <w:r w:rsidR="00FD7641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gátló, bár az AUC</w:t>
      </w:r>
      <w:r w:rsidR="00FD7641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értékek növekedése szubsztrátfüggő (lásd az alábbi táblázatot).</w:t>
      </w:r>
    </w:p>
    <w:p w14:paraId="750742F9" w14:textId="77777777" w:rsidR="004B1166" w:rsidRPr="00AE3001" w:rsidRDefault="004B1166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BE46235" w14:textId="52603B4D" w:rsidR="00D46837" w:rsidRPr="00AE3001" w:rsidRDefault="00D46837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Ha másként nincs jelezve, a gyógyszerkölcsönhatásra vonatkozó vizsgálatokat egészséges felnőtt férfi önkéntesekkel végezték, a dinamikus egyensúlyi állapot eléréséig többszöri adagolást alkalmazva, naponta kétszer 200</w:t>
      </w:r>
      <w:r w:rsidR="00141680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AE300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FD7641" w:rsidRPr="00AE300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AE3001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vorikonazollal (BID). Ezek az eredmények más populációkra és alkalmazási módokra is érvényesek.</w:t>
      </w:r>
    </w:p>
    <w:p w14:paraId="71BCBB80" w14:textId="77777777" w:rsidR="004B1166" w:rsidRPr="00AE3001" w:rsidRDefault="004B1166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398749B" w14:textId="4E983597" w:rsidR="00D46837" w:rsidRPr="00AE3001" w:rsidRDefault="00D46837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A vorikonazol óvatosan alkalmazandó azoknál a betegeknél, akik egyidejűleg olyan gyógyszereket</w:t>
      </w:r>
      <w:r w:rsidRPr="00D4683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szednek, melyekről ismert, hogy a QTc</w:t>
      </w:r>
      <w:r w:rsidR="00FD7641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szakasz megnyúlását okozzák. Amennyiben fennáll annak lehetősége is, hogy a vorikonazol megemeli a CYP3A4 izoenzimek által metabolizált hatóanyagok szintjét (egyes antihisztaminok, kinidin, ciszaprid, pimozid és ivabradin), akkor az egyidejű alkalmazás ellenjavallt (lásd alább, illetve 4.3</w:t>
      </w:r>
      <w:r w:rsidR="00141680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620D550A" w14:textId="77777777" w:rsidR="004B1166" w:rsidRPr="00AE3001" w:rsidRDefault="004B1166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5ABE209E" w14:textId="70720A98" w:rsidR="00D46837" w:rsidRPr="00AE3001" w:rsidRDefault="00D46837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Kölcsönhatási táblázat</w:t>
      </w:r>
    </w:p>
    <w:p w14:paraId="4AF64416" w14:textId="46739C1A" w:rsidR="00D46837" w:rsidRPr="00AE3001" w:rsidRDefault="00D46837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alábbi táblázat a vorikonazol és más gyógyszerek közötti </w:t>
      </w: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kölcsönhatásokat sorolja fel.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nyilak iránya az egyes farmakokinetikai paraméterek esetén azon alapul, hogy a </w:t>
      </w:r>
      <w:r w:rsidR="007B6BF0">
        <w:rPr>
          <w:rFonts w:eastAsia="Times New Roman"/>
          <w:snapToGrid/>
          <w:color w:val="000000"/>
          <w:szCs w:val="22"/>
          <w:lang w:val="hu-HU" w:eastAsia="hu-HU" w:bidi="hu-HU"/>
        </w:rPr>
        <w:t>mértani</w:t>
      </w:r>
      <w:r w:rsidR="007B6BF0"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B7AB9"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átlag arány</w:t>
      </w:r>
      <w:r w:rsidR="007E00CC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90%</w:t>
      </w:r>
      <w:r w:rsidR="009459BF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os konfidenciaintervalluma a 80</w:t>
      </w:r>
      <w:r w:rsidR="009459BF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125% tartományon belül </w:t>
      </w:r>
      <w:r w:rsidR="004B1166" w:rsidRPr="00AE3001">
        <w:rPr>
          <w:szCs w:val="22"/>
          <w:lang w:val="hu-HU"/>
        </w:rPr>
        <w:t>(↔),</w:t>
      </w:r>
      <w:r w:rsidR="00DF7935" w:rsidRPr="00AE3001">
        <w:rPr>
          <w:szCs w:val="22"/>
          <w:lang w:val="hu-HU"/>
        </w:rPr>
        <w:t xml:space="preserve"> 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alá </w:t>
      </w:r>
      <w:r w:rsidR="004B1166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="004B1166" w:rsidRPr="00AE3001">
        <w:rPr>
          <w:szCs w:val="22"/>
          <w:lang w:val="hu-HU"/>
        </w:rPr>
        <w:t>↓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) vagy fölé (</w:t>
      </w:r>
      <w:r w:rsidR="004B1166" w:rsidRPr="00AE3001">
        <w:rPr>
          <w:szCs w:val="22"/>
          <w:lang w:val="hu-HU"/>
        </w:rPr>
        <w:t>↑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esik. A csillag jelölés (*) a kétirányú kölcsönhatást mutatja. Az </w:t>
      </w:r>
      <w:r w:rsidR="00DF7935" w:rsidRPr="00AE3001">
        <w:rPr>
          <w:szCs w:val="22"/>
          <w:lang w:val="hu-HU"/>
        </w:rPr>
        <w:t>AUC</w:t>
      </w:r>
      <w:r w:rsidR="00DF7935" w:rsidRPr="00AE3001">
        <w:rPr>
          <w:szCs w:val="22"/>
          <w:vertAlign w:val="subscript"/>
          <w:lang w:val="hu-HU"/>
        </w:rPr>
        <w:t>τ</w:t>
      </w:r>
      <w:r w:rsidR="00DF7935" w:rsidRPr="00AE3001">
        <w:rPr>
          <w:szCs w:val="22"/>
          <w:lang w:val="hu-HU"/>
        </w:rPr>
        <w:t>, AUC</w:t>
      </w:r>
      <w:r w:rsidR="00DF7935" w:rsidRPr="00AE3001">
        <w:rPr>
          <w:szCs w:val="22"/>
          <w:vertAlign w:val="subscript"/>
          <w:lang w:val="hu-HU"/>
        </w:rPr>
        <w:t>t</w:t>
      </w:r>
      <w:r w:rsidR="00DF7935" w:rsidRPr="00AE3001">
        <w:rPr>
          <w:szCs w:val="22"/>
          <w:lang w:val="hu-HU"/>
        </w:rPr>
        <w:t xml:space="preserve"> és AUC</w:t>
      </w:r>
      <w:r w:rsidR="00DF7935" w:rsidRPr="00AE3001">
        <w:rPr>
          <w:szCs w:val="22"/>
          <w:vertAlign w:val="subscript"/>
          <w:lang w:val="hu-HU"/>
        </w:rPr>
        <w:t>0-∞</w:t>
      </w:r>
      <w:r w:rsidR="00DF7935" w:rsidRPr="00AE3001">
        <w:rPr>
          <w:szCs w:val="22"/>
          <w:lang w:val="hu-HU"/>
        </w:rPr>
        <w:t xml:space="preserve"> 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sorrendben a görbe alatti területet mutatja az adagolási intervallumban, nulla időponttól a kimutathatóság </w:t>
      </w:r>
      <w:r w:rsidR="0080724D"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idejé</w:t>
      </w:r>
      <w:r w:rsidRPr="00AE3001">
        <w:rPr>
          <w:rFonts w:eastAsia="Times New Roman"/>
          <w:snapToGrid/>
          <w:color w:val="000000"/>
          <w:szCs w:val="22"/>
          <w:lang w:val="hu-HU" w:eastAsia="hu-HU" w:bidi="hu-HU"/>
        </w:rPr>
        <w:t>ig, valamint a nulla időponttól a végtelenig.</w:t>
      </w:r>
    </w:p>
    <w:p w14:paraId="65FC1A35" w14:textId="77777777" w:rsidR="00423455" w:rsidRPr="00AE3001" w:rsidRDefault="00423455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49ECF0A" w14:textId="716D18FC" w:rsidR="00D46837" w:rsidRPr="00AE3001" w:rsidRDefault="00D46837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táblázatban található kölcsönhatások a következő sorrendben kerülnek ismertetésre: ellenjavallatok, a dózis módosítását és gondos klinikai és/vagy biológiai monitorozást igénylők, és végül a farmakokinetikailag nem jelentős kölcsönhatások, amelyeknek </w:t>
      </w:r>
      <w:r w:rsidR="00DD2F36"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azonban </w:t>
      </w:r>
      <w:r w:rsidRPr="007B6BF0">
        <w:rPr>
          <w:rFonts w:eastAsia="Times New Roman"/>
          <w:snapToGrid/>
          <w:color w:val="000000"/>
          <w:szCs w:val="22"/>
          <w:lang w:val="hu-HU" w:eastAsia="hu-HU" w:bidi="hu-HU"/>
        </w:rPr>
        <w:t>klinikai jelentőségük lehet ezen a terápiás területen.</w:t>
      </w:r>
    </w:p>
    <w:p w14:paraId="2277B5A6" w14:textId="77777777" w:rsidR="00423455" w:rsidRPr="00AE3001" w:rsidRDefault="00423455" w:rsidP="00AE300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W w:w="9179" w:type="dxa"/>
        <w:tblInd w:w="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5"/>
        <w:gridCol w:w="3329"/>
        <w:gridCol w:w="25"/>
        <w:gridCol w:w="2800"/>
      </w:tblGrid>
      <w:tr w:rsidR="00423455" w:rsidRPr="00423455" w14:paraId="0640891D" w14:textId="77777777" w:rsidTr="00D013EA">
        <w:trPr>
          <w:tblHeader/>
        </w:trPr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25033" w14:textId="77777777" w:rsidR="00423455" w:rsidRPr="00F54A21" w:rsidRDefault="00423455" w:rsidP="00AE3001">
            <w:pPr>
              <w:keepNext/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F54A21">
              <w:rPr>
                <w:rFonts w:eastAsia="Calibri"/>
                <w:b/>
                <w:snapToGrid/>
                <w:szCs w:val="22"/>
                <w:lang w:val="hu-HU" w:eastAsia="en-US"/>
              </w:rPr>
              <w:t>Gyógyszer</w:t>
            </w:r>
          </w:p>
          <w:p w14:paraId="4CABA572" w14:textId="77777777" w:rsidR="00423455" w:rsidRPr="00F54A21" w:rsidRDefault="00423455" w:rsidP="00AE3001">
            <w:pPr>
              <w:keepNext/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F54A21">
              <w:rPr>
                <w:rFonts w:eastAsia="Calibri"/>
                <w:b/>
                <w:i/>
                <w:snapToGrid/>
                <w:szCs w:val="22"/>
                <w:lang w:val="hu-HU" w:eastAsia="en-US"/>
              </w:rPr>
              <w:t>[Kölcsönhatási mechanizmus]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6D60F" w14:textId="77777777" w:rsidR="00423455" w:rsidRPr="00AE3001" w:rsidRDefault="00423455" w:rsidP="00AE3001">
            <w:pPr>
              <w:keepNext/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>Kölcsönhatás</w:t>
            </w:r>
          </w:p>
          <w:p w14:paraId="6B7F00DF" w14:textId="798FF72C" w:rsidR="00423455" w:rsidRPr="00AE3001" w:rsidRDefault="00A72917" w:rsidP="00AE3001">
            <w:pPr>
              <w:keepNext/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b/>
                <w:snapToGrid/>
                <w:szCs w:val="22"/>
                <w:lang w:val="hu-HU" w:eastAsia="en-US"/>
              </w:rPr>
            </w:pPr>
            <w:r>
              <w:rPr>
                <w:rFonts w:eastAsia="Calibri"/>
                <w:b/>
                <w:snapToGrid/>
                <w:szCs w:val="22"/>
                <w:lang w:val="hu-HU" w:eastAsia="en-US"/>
              </w:rPr>
              <w:t>Mértani</w:t>
            </w:r>
            <w:r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 </w:t>
            </w:r>
            <w:r w:rsidR="00423455"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>átlag</w:t>
            </w:r>
            <w:r w:rsidR="00FD7641"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 változása</w:t>
            </w:r>
            <w:r w:rsidR="00423455"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 (%)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15BEF" w14:textId="75648511" w:rsidR="00423455" w:rsidRPr="00AE3001" w:rsidRDefault="0066158F" w:rsidP="00AE3001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>A</w:t>
            </w:r>
            <w:r w:rsidR="00423455"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>z együttes alkalmazásra</w:t>
            </w:r>
            <w:r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 vonatkozó </w:t>
            </w:r>
            <w:r w:rsidR="00AB060E">
              <w:rPr>
                <w:rFonts w:eastAsia="Calibri"/>
                <w:b/>
                <w:snapToGrid/>
                <w:szCs w:val="22"/>
                <w:lang w:val="hu-HU" w:eastAsia="en-US"/>
              </w:rPr>
              <w:t>a</w:t>
            </w:r>
            <w:r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>jánlások</w:t>
            </w:r>
          </w:p>
        </w:tc>
      </w:tr>
      <w:tr w:rsidR="00423455" w:rsidRPr="00423455" w14:paraId="1FA06450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8D43B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Asztemizol, ciszaprid, pimozid, kinidin, terfenadin és ivabradin</w:t>
            </w:r>
          </w:p>
          <w:p w14:paraId="3D52E332" w14:textId="3F4B95D5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Cs/>
                <w:i/>
                <w:snapToGrid/>
                <w:szCs w:val="22"/>
                <w:lang w:val="hu-HU" w:eastAsia="en-US"/>
              </w:rPr>
              <w:t>[CYP3A4</w:t>
            </w:r>
            <w:r w:rsidR="00651E07" w:rsidRPr="00AE3001">
              <w:rPr>
                <w:rFonts w:eastAsia="Calibri"/>
                <w:bCs/>
                <w:i/>
                <w:snapToGrid/>
                <w:szCs w:val="22"/>
                <w:lang w:val="hu-HU" w:eastAsia="en-US"/>
              </w:rPr>
              <w:noBreakHyphen/>
            </w:r>
            <w:r w:rsidRPr="00AE3001">
              <w:rPr>
                <w:rFonts w:eastAsia="Calibri"/>
                <w:bCs/>
                <w:i/>
                <w:snapToGrid/>
                <w:szCs w:val="22"/>
                <w:lang w:val="hu-HU" w:eastAsia="en-US"/>
              </w:rPr>
              <w:t>szubsztrátok]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2C4F7" w14:textId="3F3AC61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Bár nem vizsgálták, ezeknek a gyógyszereknek az emelkedett plazmakoncentrációja a QT</w:t>
            </w:r>
            <w:r w:rsidR="00651E07" w:rsidRPr="00AE300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szakasz megnyúlás</w:t>
            </w:r>
            <w:r w:rsidR="00525AC8"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á</w:t>
            </w: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 xml:space="preserve">hoz és ritka esetben </w:t>
            </w:r>
            <w:r w:rsidRPr="00AE3001">
              <w:rPr>
                <w:rFonts w:eastAsia="Calibri"/>
                <w:bCs/>
                <w:i/>
                <w:snapToGrid/>
                <w:szCs w:val="22"/>
                <w:lang w:val="hu-HU" w:eastAsia="en-US"/>
              </w:rPr>
              <w:t>torsades de pointes</w:t>
            </w:r>
            <w:r w:rsidR="00651E07"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noBreakHyphen/>
            </w: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h</w:t>
            </w:r>
            <w:r w:rsidR="00651E07"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o</w:t>
            </w: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z vezethet.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AFC5E" w14:textId="6DFDEE83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</w:tc>
      </w:tr>
      <w:tr w:rsidR="00423455" w:rsidRPr="00423455" w14:paraId="24B7F3CB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51372" w14:textId="47924EDA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Karbamazepin és hosszú hatású barbiturátok (</w:t>
            </w:r>
            <w:r w:rsidR="008E04FE" w:rsidRPr="002B5138">
              <w:rPr>
                <w:rFonts w:eastAsia="Calibri"/>
                <w:bCs/>
                <w:snapToGrid/>
                <w:szCs w:val="22"/>
                <w:lang w:val="hu-HU" w:eastAsia="en-US"/>
              </w:rPr>
              <w:t>többek között, de nem kizárólag</w:t>
            </w: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: fenobarbitál</w:t>
            </w:r>
            <w:r w:rsidR="008E04FE"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,</w:t>
            </w: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 xml:space="preserve"> mefobarbitál)</w:t>
            </w:r>
          </w:p>
          <w:p w14:paraId="7A37FA11" w14:textId="7C0A10FF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[</w:t>
            </w:r>
            <w:r w:rsidRPr="00AE3001">
              <w:rPr>
                <w:rFonts w:eastAsia="Calibri"/>
                <w:bCs/>
                <w:i/>
                <w:snapToGrid/>
                <w:szCs w:val="22"/>
                <w:lang w:val="hu-HU" w:eastAsia="en-US"/>
              </w:rPr>
              <w:t>erős CYP450</w:t>
            </w:r>
            <w:r w:rsidR="008E04FE" w:rsidRPr="00AE3001">
              <w:rPr>
                <w:rFonts w:eastAsia="Calibri"/>
                <w:bCs/>
                <w:i/>
                <w:snapToGrid/>
                <w:szCs w:val="22"/>
                <w:lang w:val="hu-HU" w:eastAsia="en-US"/>
              </w:rPr>
              <w:noBreakHyphen/>
            </w:r>
            <w:r w:rsidRPr="00AE3001">
              <w:rPr>
                <w:rFonts w:eastAsia="Calibri"/>
                <w:bCs/>
                <w:i/>
                <w:snapToGrid/>
                <w:szCs w:val="22"/>
                <w:lang w:val="hu-HU" w:eastAsia="en-US"/>
              </w:rPr>
              <w:t>induktorok]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14F77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Bár nem vizsgálták, a karbamazepin és a hosszú hatású barbiturátok várhatóan szignifikánsan csökkentik a vorikonazol plazmakoncentrációját.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27AA6" w14:textId="32EDD07F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</w:tc>
      </w:tr>
      <w:tr w:rsidR="00423455" w:rsidRPr="004F62D8" w14:paraId="61BF4AFE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08325" w14:textId="396894C3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Efavirenz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 (</w:t>
            </w:r>
            <w:r w:rsidR="009459BF"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egy 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nem</w:t>
            </w:r>
            <w:r w:rsidR="009459BF" w:rsidRPr="00AE3001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nukleozid reverz transzkriptáz gátló) </w:t>
            </w:r>
            <w:r w:rsidRPr="00AE3001">
              <w:rPr>
                <w:rFonts w:eastAsia="Calibri"/>
                <w:i/>
                <w:snapToGrid/>
                <w:szCs w:val="22"/>
                <w:lang w:val="hu-HU" w:eastAsia="en-US"/>
              </w:rPr>
              <w:t>[CYP450-induktor, CYP3A4</w:t>
            </w:r>
            <w:r w:rsidR="009459BF" w:rsidRPr="00AE3001">
              <w:rPr>
                <w:rFonts w:eastAsia="Calibri"/>
                <w:i/>
                <w:snapToGrid/>
                <w:szCs w:val="22"/>
                <w:lang w:val="hu-HU" w:eastAsia="en-US"/>
              </w:rPr>
              <w:noBreakHyphen/>
            </w:r>
            <w:r w:rsidRPr="00AE3001">
              <w:rPr>
                <w:rFonts w:eastAsia="Calibri"/>
                <w:i/>
                <w:snapToGrid/>
                <w:szCs w:val="22"/>
                <w:lang w:val="hu-HU" w:eastAsia="en-US"/>
              </w:rPr>
              <w:t>inhibitor és szubsztrát]</w:t>
            </w:r>
          </w:p>
          <w:p w14:paraId="5483F875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C67B0FB" w14:textId="54BDBE4A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l-GR"/>
              </w:rPr>
            </w:pP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Nap</w:t>
            </w:r>
            <w:r w:rsidR="009459BF" w:rsidRPr="00AE3001">
              <w:rPr>
                <w:rFonts w:eastAsia="Calibri"/>
                <w:snapToGrid/>
                <w:szCs w:val="22"/>
                <w:lang w:val="hu-HU" w:eastAsia="en-US"/>
              </w:rPr>
              <w:t>i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 egyszer 400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 efavirenz</w:t>
            </w:r>
            <w:r w:rsidR="009459BF"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, </w:t>
            </w:r>
            <w:r w:rsidR="009459BF" w:rsidRPr="00AE3001">
              <w:rPr>
                <w:rFonts w:eastAsia="Times New Roman"/>
                <w:bCs/>
                <w:snapToGrid/>
                <w:szCs w:val="22"/>
                <w:lang w:val="hu-HU" w:eastAsia="el-GR"/>
              </w:rPr>
              <w:t>együtt alkalmazva</w:t>
            </w:r>
            <w:r w:rsidR="009459BF"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nap</w:t>
            </w:r>
            <w:r w:rsidR="009459BF" w:rsidRPr="00AE3001">
              <w:rPr>
                <w:rFonts w:eastAsia="Calibri"/>
                <w:snapToGrid/>
                <w:szCs w:val="22"/>
                <w:lang w:val="hu-HU" w:eastAsia="en-US"/>
              </w:rPr>
              <w:t>i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 kétszer </w:t>
            </w:r>
            <w:r w:rsidRPr="00AE3001">
              <w:rPr>
                <w:rFonts w:eastAsia="Times New Roman"/>
                <w:bCs/>
                <w:snapToGrid/>
                <w:szCs w:val="22"/>
                <w:lang w:val="hu-HU" w:eastAsia="el-GR"/>
              </w:rPr>
              <w:t>200</w:t>
            </w:r>
            <w:r w:rsidR="00D013EA" w:rsidRPr="00AE3001">
              <w:rPr>
                <w:rFonts w:eastAsia="Times New Roman"/>
                <w:bCs/>
                <w:snapToGrid/>
                <w:szCs w:val="22"/>
                <w:lang w:val="hu-HU" w:eastAsia="el-GR"/>
              </w:rPr>
              <w:t> mg</w:t>
            </w:r>
            <w:r w:rsidRPr="00AE3001">
              <w:rPr>
                <w:rFonts w:eastAsia="Times New Roman"/>
                <w:bCs/>
                <w:snapToGrid/>
                <w:szCs w:val="22"/>
                <w:lang w:val="hu-HU" w:eastAsia="el-GR"/>
              </w:rPr>
              <w:t xml:space="preserve"> vorikonazollal*</w:t>
            </w:r>
          </w:p>
          <w:p w14:paraId="5D620F6E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5F6E367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B7EA43C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46F6605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2C3610E" w14:textId="09D93508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Naponta egyszer 300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 efavirenz,</w:t>
            </w:r>
          </w:p>
          <w:p w14:paraId="5C6F2E93" w14:textId="23CC3732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naponta kétszer 400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Pr="00AE3001">
              <w:rPr>
                <w:rFonts w:eastAsia="Times New Roman"/>
                <w:snapToGrid/>
                <w:szCs w:val="22"/>
                <w:lang w:val="hu-HU" w:eastAsia="el-GR"/>
              </w:rPr>
              <w:t>vorikonazollal együtt alkalmazva*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AAB19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162B4ED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2C3AF94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062AB19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44AC39D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Efavirenz C</w:t>
            </w:r>
            <w:r w:rsidRPr="00AE3001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AE3001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38%</w:t>
            </w:r>
          </w:p>
          <w:p w14:paraId="633F163B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Efavirenz AUC</w:t>
            </w:r>
            <w:r w:rsidRPr="00AE3001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AE3001">
              <w:rPr>
                <w:rFonts w:eastAsia="SymbolMT"/>
                <w:snapToGrid/>
                <w:szCs w:val="22"/>
                <w:lang w:val="hu-HU" w:eastAsia="en-US"/>
              </w:rPr>
              <w:t xml:space="preserve"> ↑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 xml:space="preserve"> 44%</w:t>
            </w:r>
          </w:p>
          <w:p w14:paraId="0644B81E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AE3001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AE3001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61%</w:t>
            </w:r>
          </w:p>
          <w:p w14:paraId="155812D8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AE3001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AE3001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77%</w:t>
            </w:r>
          </w:p>
          <w:p w14:paraId="6ED7A7EE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2524FE4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ACFD68B" w14:textId="5C76816F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Összehasonlítva naponta egyszer 600</w:t>
            </w:r>
            <w:r w:rsidR="00D013EA" w:rsidRPr="00AE3001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 xml:space="preserve"> efavirenz alkalmazásával,</w:t>
            </w:r>
          </w:p>
          <w:p w14:paraId="62663782" w14:textId="7801031C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Efavirenz C</w:t>
            </w:r>
            <w:r w:rsidRPr="00AE3001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 xml:space="preserve"> ↔</w:t>
            </w:r>
          </w:p>
          <w:p w14:paraId="066C6C18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Efavirenz AUC</w:t>
            </w:r>
            <w:r w:rsidRPr="00AE3001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AE3001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17%</w:t>
            </w:r>
          </w:p>
          <w:p w14:paraId="0489AA55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0583FC5" w14:textId="2DB54CAF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Naponta kétszer 200</w:t>
            </w:r>
            <w:r w:rsidR="00D013EA" w:rsidRPr="00AE3001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 xml:space="preserve"> vorikonazolhoz képest</w:t>
            </w:r>
          </w:p>
          <w:p w14:paraId="44932795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AE3001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AE3001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23%</w:t>
            </w:r>
          </w:p>
          <w:p w14:paraId="5C624FC0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AE3001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AE3001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AE3001">
              <w:rPr>
                <w:rFonts w:eastAsia="Times New Roman"/>
                <w:snapToGrid/>
                <w:szCs w:val="22"/>
                <w:lang w:val="hu-HU" w:eastAsia="en-US"/>
              </w:rPr>
              <w:t>7%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A63AC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A233EC8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52C4D1B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F96E577" w14:textId="6C0028D5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25" w:hanging="25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Standard dózisú vorikonazol és naponta egyszer 400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 vagy azt meghaladó dózisú efavirenz együttadása </w:t>
            </w:r>
            <w:r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  <w:p w14:paraId="6AEDEC35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25" w:hanging="25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2848A6C" w14:textId="7A1CED3F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25" w:hanging="25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A vorikonazolt lehet együttadni efavirenzzel, ha a vorikonazol fenntartó </w:t>
            </w:r>
            <w:r w:rsidR="00E77D9E" w:rsidRPr="00AE3001">
              <w:rPr>
                <w:rFonts w:eastAsia="Calibri"/>
                <w:snapToGrid/>
                <w:szCs w:val="22"/>
                <w:lang w:val="hu-HU" w:eastAsia="en-US"/>
              </w:rPr>
              <w:t>dózis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át naponta kétszer 400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E77D9E" w:rsidRPr="00AE3001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ra emelik, és az efavirenz </w:t>
            </w:r>
            <w:r w:rsidR="00E77D9E" w:rsidRPr="00AE3001">
              <w:rPr>
                <w:rFonts w:eastAsia="Calibri"/>
                <w:snapToGrid/>
                <w:szCs w:val="22"/>
                <w:lang w:val="hu-HU" w:eastAsia="en-US"/>
              </w:rPr>
              <w:t>dózis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át naponta egyszeri 300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E77D9E" w:rsidRPr="00AE3001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ra csökkentik. Ha a vorikonazol</w:t>
            </w:r>
            <w:r w:rsidR="00E77D9E" w:rsidRPr="00AE3001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 xml:space="preserve">kezelést abbahagyják, az efavirenz kezdeti </w:t>
            </w:r>
            <w:r w:rsidR="00E77D9E" w:rsidRPr="00AE3001">
              <w:rPr>
                <w:rFonts w:eastAsia="Calibri"/>
                <w:snapToGrid/>
                <w:szCs w:val="22"/>
                <w:lang w:val="hu-HU" w:eastAsia="en-US"/>
              </w:rPr>
              <w:t>dózis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át vissza kell állítani (lásd 4.2 és 4.4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).</w:t>
            </w:r>
          </w:p>
        </w:tc>
      </w:tr>
      <w:tr w:rsidR="00423455" w:rsidRPr="00423455" w14:paraId="168DE89C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9FF827" w14:textId="77777777" w:rsidR="002B5138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Ergot alkaloidok (</w:t>
            </w:r>
            <w:r w:rsidR="00DE2542" w:rsidRPr="002B5138">
              <w:rPr>
                <w:rFonts w:eastAsia="Calibri"/>
                <w:bCs/>
                <w:snapToGrid/>
                <w:szCs w:val="22"/>
                <w:lang w:val="hu-HU" w:eastAsia="en-US"/>
              </w:rPr>
              <w:t>többek között, de nem kizárólag:</w:t>
            </w:r>
          </w:p>
          <w:p w14:paraId="02ACD28F" w14:textId="37761F6A" w:rsidR="00423455" w:rsidRPr="00AE3001" w:rsidRDefault="00DE2542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 xml:space="preserve"> </w:t>
            </w:r>
            <w:r w:rsidR="00423455"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 xml:space="preserve">ergotamin és dihidroergotamin) </w:t>
            </w:r>
            <w:r w:rsidR="00423455" w:rsidRPr="00AE3001">
              <w:rPr>
                <w:rFonts w:eastAsia="Calibri"/>
                <w:bCs/>
                <w:i/>
                <w:snapToGrid/>
                <w:szCs w:val="22"/>
                <w:lang w:val="hu-HU" w:eastAsia="en-US"/>
              </w:rPr>
              <w:t>[CYP3A4</w:t>
            </w:r>
            <w:r w:rsidRPr="00AE3001">
              <w:rPr>
                <w:rFonts w:eastAsia="Calibri"/>
                <w:bCs/>
                <w:i/>
                <w:snapToGrid/>
                <w:szCs w:val="22"/>
                <w:lang w:val="hu-HU" w:eastAsia="en-US"/>
              </w:rPr>
              <w:noBreakHyphen/>
            </w:r>
            <w:r w:rsidR="00423455" w:rsidRPr="00AE3001">
              <w:rPr>
                <w:rFonts w:eastAsia="Calibri"/>
                <w:bCs/>
                <w:i/>
                <w:snapToGrid/>
                <w:szCs w:val="22"/>
                <w:lang w:val="hu-HU" w:eastAsia="en-US"/>
              </w:rPr>
              <w:t>szubsztrátok]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67B16" w14:textId="7777777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 xml:space="preserve">Bár nem vizsgálták, a vorikonazol </w:t>
            </w:r>
            <w:r w:rsidRPr="00AE3001">
              <w:rPr>
                <w:rFonts w:eastAsia="Times New Roman"/>
                <w:bCs/>
                <w:snapToGrid/>
                <w:szCs w:val="22"/>
                <w:lang w:val="hu-HU" w:eastAsia="en-US"/>
              </w:rPr>
              <w:t xml:space="preserve">várhatóan </w:t>
            </w:r>
            <w:r w:rsidRPr="00AE3001">
              <w:rPr>
                <w:rFonts w:eastAsia="Calibri"/>
                <w:bCs/>
                <w:snapToGrid/>
                <w:szCs w:val="22"/>
                <w:lang w:val="hu-HU" w:eastAsia="en-US"/>
              </w:rPr>
              <w:t>növeli az ergot alkaloidok plazmakoncentrációját és ergotizmushoz vezethet.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CCB3E" w14:textId="71634F97" w:rsidR="00423455" w:rsidRPr="00AE3001" w:rsidRDefault="00423455" w:rsidP="00AE3001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AE3001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AE3001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AE3001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</w:tc>
      </w:tr>
      <w:tr w:rsidR="00423455" w:rsidRPr="00423455" w14:paraId="18477891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F2AD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Lurazidon</w:t>
            </w:r>
          </w:p>
          <w:p w14:paraId="19EBBBDF" w14:textId="4F4080A9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93293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Bár nem vizsgálták, a vorikonazol valószínűleg jelentősen növeli a lurazidon plazmakoncentrációját.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0D63B" w14:textId="090A8272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b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</w:tc>
      </w:tr>
      <w:tr w:rsidR="00423455" w:rsidRPr="00423455" w14:paraId="4651C935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9121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Naloxegol</w:t>
            </w:r>
          </w:p>
          <w:p w14:paraId="7066E346" w14:textId="4D3E0344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9F11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Bár nem vizsgálták, a vorikonazol valószínűleg jelentősen növeli a naloxegol plazmakoncentrációját.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3A29B" w14:textId="3A385302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b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</w:tc>
      </w:tr>
      <w:tr w:rsidR="00423455" w:rsidRPr="004F62D8" w14:paraId="1FFF8983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0D93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bCs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Rifabutin</w:t>
            </w:r>
          </w:p>
          <w:p w14:paraId="17BAC19E" w14:textId="083F4169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i/>
                <w:iCs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i/>
                <w:iCs/>
                <w:snapToGrid/>
                <w:szCs w:val="22"/>
                <w:lang w:val="hu-HU" w:eastAsia="el-GR"/>
              </w:rPr>
              <w:t>[erős CYP450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i/>
                <w:iCs/>
                <w:snapToGrid/>
                <w:szCs w:val="22"/>
                <w:lang w:val="hu-HU" w:eastAsia="el-GR"/>
              </w:rPr>
              <w:t>induktor]</w:t>
            </w:r>
          </w:p>
          <w:p w14:paraId="72A296A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  <w:p w14:paraId="627B413D" w14:textId="09BDE16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>300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l-GR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 xml:space="preserve"> naponta egyszer</w:t>
            </w:r>
          </w:p>
          <w:p w14:paraId="2D82ABA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  <w:p w14:paraId="08FF43F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  <w:p w14:paraId="43DF139A" w14:textId="1BE247EC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>300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l-GR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 xml:space="preserve"> naponta egyszer (együttadva naponta kétszer 350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l-GR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 xml:space="preserve"> vorikonazollal)*</w:t>
            </w:r>
          </w:p>
          <w:p w14:paraId="5FFFCF9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  <w:p w14:paraId="73CC9D9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  <w:p w14:paraId="0BC7793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  <w:p w14:paraId="7E82CD88" w14:textId="50680F6B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>300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l-GR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 xml:space="preserve"> naponta egyszer (együttadva naponta kétszer 400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l-GR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 xml:space="preserve"> vorikonazollal)*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586B1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48D150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36CC0DA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69%</w:t>
            </w:r>
          </w:p>
          <w:p w14:paraId="5E2F493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78%</w:t>
            </w:r>
          </w:p>
          <w:p w14:paraId="571934B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E2DC6DA" w14:textId="77777777" w:rsidR="00C77663" w:rsidRPr="00525E33" w:rsidRDefault="00C77663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D078FD0" w14:textId="6765B15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Naponta kétszer 200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vorikonazolhoz képest</w:t>
            </w:r>
          </w:p>
          <w:p w14:paraId="2625282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4% </w:t>
            </w:r>
          </w:p>
          <w:p w14:paraId="7A8166B5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↓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32%</w:t>
            </w:r>
          </w:p>
          <w:p w14:paraId="514E1D1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CBF1EE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B123195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Rifabutin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>↑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195%</w:t>
            </w:r>
          </w:p>
          <w:p w14:paraId="5404DF8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Rifabutin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>↑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331%</w:t>
            </w:r>
          </w:p>
          <w:p w14:paraId="5A00BD19" w14:textId="23C6A600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Naponta kétszer 200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vorikonazolhoz képest</w:t>
            </w:r>
          </w:p>
          <w:p w14:paraId="69634D9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104% 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87%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651E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rifabutin és vorikonazol együttes alkalmazása kerülendő, kivéve, ha az előny meghaladja a kockázatot.</w:t>
            </w:r>
          </w:p>
          <w:p w14:paraId="2B6211E5" w14:textId="0510A1AC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A vorikonazol fenntartó </w:t>
            </w:r>
            <w:r w:rsidR="00C77663" w:rsidRPr="00525E33">
              <w:rPr>
                <w:rFonts w:eastAsia="Calibri"/>
                <w:snapToGrid/>
                <w:szCs w:val="22"/>
                <w:lang w:val="hu-HU" w:eastAsia="en-US"/>
              </w:rPr>
              <w:t>dózis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intravénás alkalmazásnál naponta kétszer 5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/kg</w:t>
            </w:r>
            <w:r w:rsidR="00C77663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ra, vagy </w:t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per</w:t>
            </w:r>
            <w:r w:rsidR="00C77663"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os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alkalmazásnál naponta kétszer 200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C77663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ról naponta kétszer 350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C77663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ra emelhető (40</w:t>
            </w:r>
            <w:r w:rsidR="007A7A19" w:rsidRPr="00525E33">
              <w:rPr>
                <w:rFonts w:eastAsia="Calibri"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kg alatti betegek esetében </w:t>
            </w:r>
            <w:r w:rsidRPr="00525E33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per</w:t>
            </w:r>
            <w:r w:rsidR="00C77663" w:rsidRPr="00525E33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os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naponta kétszer 100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C77663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ról naponta kétszer 200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C77663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ra) (lásd 4.2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).</w:t>
            </w:r>
          </w:p>
          <w:p w14:paraId="6C55508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rifabutin vorikonazollal történő együttadásakor a teljes vérkép és a rifabutin okozta mellékhatások (pl. uveitis) gondos ellenőrzése javasolt.</w:t>
            </w:r>
          </w:p>
        </w:tc>
      </w:tr>
      <w:tr w:rsidR="00423455" w:rsidRPr="00423455" w14:paraId="1DC7D7A4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B363E" w14:textId="70C82996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Rifampicin</w:t>
            </w: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(naponta egyszer 600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  <w:p w14:paraId="456C9F39" w14:textId="1EF920B2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[erős CYP450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induktor]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5181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93%</w:t>
            </w:r>
          </w:p>
          <w:p w14:paraId="711AD22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96%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DC052" w14:textId="622A70C2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</w:tc>
      </w:tr>
      <w:tr w:rsidR="00423455" w:rsidRPr="004F62D8" w14:paraId="010D7A2D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87DDB" w14:textId="6A170053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Ritonavir</w:t>
            </w: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(proteáz inhibitor)</w:t>
            </w:r>
          </w:p>
          <w:p w14:paraId="58F0F4C7" w14:textId="75BC44A6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[erős CYP450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induktor és 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inhibitor és szubsztrát]</w:t>
            </w:r>
          </w:p>
          <w:p w14:paraId="2EEB554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534511A" w14:textId="1990EDC6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Nagy</w:t>
            </w:r>
            <w:r w:rsidR="00AB5CA9"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dózis (naponta kétszer 400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  <w:p w14:paraId="13181C0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EF7FA4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A4874E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2586292" w14:textId="77777777" w:rsidR="00C77663" w:rsidRPr="00525E33" w:rsidRDefault="00C77663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8BA2507" w14:textId="110666D1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>Alacsony dózis (naponta kétszer 100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l-GR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>)*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B463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F31D9E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680C9D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5CCC215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B3E6C3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Ritonavir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és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↔</w:t>
            </w:r>
          </w:p>
          <w:p w14:paraId="54C9F92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66% 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82%</w:t>
            </w:r>
          </w:p>
          <w:p w14:paraId="63684D85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372C6E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83A7E9D" w14:textId="77777777" w:rsidR="00C77663" w:rsidRPr="00525E33" w:rsidRDefault="00C77663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546433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Ritonavir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25%</w:t>
            </w:r>
          </w:p>
          <w:p w14:paraId="038E96D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Ritonavir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13%</w:t>
            </w:r>
          </w:p>
          <w:p w14:paraId="103E60F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24%</w:t>
            </w:r>
          </w:p>
          <w:p w14:paraId="441BDFC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39%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446D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DFE310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BAC60E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E1BC65A" w14:textId="77777777" w:rsidR="00C77663" w:rsidRPr="00525E33" w:rsidRDefault="00C77663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F0EDCC1" w14:textId="20BA10BC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25" w:hanging="25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vorikonazol és nagy dózisú ritonavir együttadása (naponta kétszer 400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és annál nagyobb </w:t>
            </w:r>
            <w:r w:rsidR="00C77663" w:rsidRPr="00525E33">
              <w:rPr>
                <w:rFonts w:eastAsia="Calibri"/>
                <w:snapToGrid/>
                <w:szCs w:val="22"/>
                <w:lang w:val="hu-HU" w:eastAsia="en-US"/>
              </w:rPr>
              <w:t>dózis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) </w:t>
            </w: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  <w:p w14:paraId="2837B99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7CD7E231" w14:textId="185EC951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25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Vorikonazol és alacsony dózisú ritonavir (naponta kétszer 100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 együttes alkalmazása kerülendő, hacsak az előny/kockázat értékelése nem indokolja a vorikonazol alkalmazását.</w:t>
            </w:r>
          </w:p>
        </w:tc>
      </w:tr>
      <w:tr w:rsidR="00423455" w:rsidRPr="00423455" w14:paraId="322705EF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4B3E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Közönséges orbáncfű</w:t>
            </w:r>
          </w:p>
          <w:p w14:paraId="1E47E2BF" w14:textId="2AB40CFF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hanging="15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[CYP450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induktor, P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gp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induktor]</w:t>
            </w:r>
          </w:p>
          <w:p w14:paraId="46D26F43" w14:textId="7FE2D0EF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naponta háromszor 300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(együttadva egyszeri 400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vorikonazollal)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4B160" w14:textId="77777777" w:rsidR="00554745" w:rsidRPr="00525E33" w:rsidRDefault="0055474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120327D2" w14:textId="50EE879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Egy független, publikált vizsgálatban,</w:t>
            </w:r>
          </w:p>
          <w:p w14:paraId="1E1B6BE6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t>0-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∞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59%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F15E4" w14:textId="77777777" w:rsidR="00554745" w:rsidRPr="00525E33" w:rsidRDefault="0055474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</w:p>
          <w:p w14:paraId="1D070A68" w14:textId="1FA5A3F1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</w:tc>
      </w:tr>
      <w:tr w:rsidR="00423455" w:rsidRPr="00423455" w14:paraId="373943CD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B669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Tolvaptán</w:t>
            </w:r>
          </w:p>
          <w:p w14:paraId="1C3C3EC6" w14:textId="5FECB7DE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[CYP3A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0EC1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Bár nem vizsgálták, a vorikonazol valószínűleg jelentősen növeli a tolvaptán plazmakoncentrációját.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D6CF2" w14:textId="21CD0A59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</w:tc>
      </w:tr>
      <w:tr w:rsidR="00423455" w:rsidRPr="004F62D8" w14:paraId="4081353E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AD8A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Venetoklax</w:t>
            </w:r>
          </w:p>
          <w:p w14:paraId="0E875073" w14:textId="2899B3D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[CYP3A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5F8F5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Bár nem vizsgálták, a vorikonazol valószínűleg szignifikánsan növeli a venetoklax plazmakoncentrációját.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CBD26" w14:textId="33D9D8E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A vorikonazol együttes alkalmazása </w:t>
            </w:r>
            <w:r w:rsidRPr="00525E33">
              <w:rPr>
                <w:rFonts w:eastAsia="Calibri"/>
                <w:b/>
                <w:bCs/>
                <w:snapToGrid/>
                <w:szCs w:val="22"/>
                <w:lang w:val="hu-HU" w:eastAsia="en-US"/>
              </w:rPr>
              <w:t>ellenjavallt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a venetoklax adagolásának kezdetén, illetve a venetoklax dózistitrálási szakasza alatt (lásd 4.3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). Állandó napi dózis esetén szükség van a venetoklax dózisának csökkentésére a felírási segédlet utasításai szerint; szoros monitorozás javasolt a toxicitás jelei tekintetében.</w:t>
            </w:r>
          </w:p>
        </w:tc>
      </w:tr>
      <w:tr w:rsidR="00423455" w:rsidRPr="004F62D8" w14:paraId="1BC5D154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46E94" w14:textId="46588805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Flukonazol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(naponta egyszer 200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  <w:p w14:paraId="5173028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[CYP2C9-, CYP2C19- és</w:t>
            </w:r>
          </w:p>
          <w:p w14:paraId="4435AC72" w14:textId="0EE941C5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inhibitor]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5675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57% 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79% Flukonazol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ND</w:t>
            </w:r>
          </w:p>
          <w:p w14:paraId="67FAF50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Flukonazol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ND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63D9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vorikonazol és flukonazol azon csökkentett dózisait és/vagy alkalmazásának gyakoriságát, ami ezt a hatást kiküszöbölhetné, nem határozták meg. A vorikonazollal együttjáró mellékhatások monitorozása ajánlott, ha a vorikonazolt a flukonazolt követően alkalmazzák.</w:t>
            </w:r>
          </w:p>
        </w:tc>
      </w:tr>
      <w:tr w:rsidR="00423455" w:rsidRPr="004F62D8" w14:paraId="0814EFDB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C469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Fenitoin</w:t>
            </w:r>
          </w:p>
          <w:p w14:paraId="7F2C650B" w14:textId="5D5D9150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[CYP2C9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 és erős CYP450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induktor]</w:t>
            </w:r>
          </w:p>
          <w:p w14:paraId="652D498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56BE8D0" w14:textId="018C94AB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naponta egyszer 300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</w:p>
          <w:p w14:paraId="67CF42A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53E2C96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D41376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9F6699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D3EA306" w14:textId="5FC0A8BD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naponta egyszer 300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(együttes 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>alkalmazása naponta kétszer 400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l-GR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 xml:space="preserve"> vorikonazollal)*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0E1B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7E0F13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B92B7D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6A3FD1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C320FF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49%</w:t>
            </w:r>
          </w:p>
          <w:p w14:paraId="679C173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69%</w:t>
            </w:r>
          </w:p>
          <w:p w14:paraId="6A330BD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35B25A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AC067F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262131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Fenitoin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67%</w:t>
            </w:r>
          </w:p>
          <w:p w14:paraId="67839D2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Fenitoin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81%</w:t>
            </w:r>
          </w:p>
          <w:p w14:paraId="3F305FF8" w14:textId="5C56E11D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Együttes alkalmazása naponta kétszer 200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vorikonazollal</w:t>
            </w:r>
          </w:p>
          <w:p w14:paraId="3DDE8A8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34% </w:t>
            </w:r>
          </w:p>
          <w:p w14:paraId="1D754A4A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39%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FCC4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vorikonazol és fenitoin együttes alkalmazása kerülendő, kivéve, ha az előny meghaladja a kockázatot. A fenitoin és vorikonazol együttes alkalmazásakor a fenitoin plazmaszintjének gondos ellenőrzése javasolt.</w:t>
            </w:r>
          </w:p>
          <w:p w14:paraId="6E3CA00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6D30288" w14:textId="4639D841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fenitoin alkalmazható a vorikonazollal egyidejűleg, ha a vorikonazol fenntartó dózisát intravénásan naponta kétszeri 5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/ttkg</w:t>
            </w:r>
            <w:r w:rsidR="00EE6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ra, vagy </w:t>
            </w:r>
            <w:r w:rsidRPr="00525E33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per</w:t>
            </w:r>
            <w:r w:rsidR="00EE626A" w:rsidRPr="00525E33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os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naponta kétszer 200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EE6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ról 400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EE6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ra (40</w:t>
            </w:r>
            <w:r w:rsidR="003F7A96" w:rsidRPr="00525E33">
              <w:rPr>
                <w:rFonts w:eastAsia="Calibri"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kg alatti betegek esetében naponta </w:t>
            </w:r>
            <w:r w:rsidRPr="00525E33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per</w:t>
            </w:r>
            <w:r w:rsidR="00EE626A" w:rsidRPr="00525E33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os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kétszer 100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EE6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ról kétszer 200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EE6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ra) emelik (lásd 4.2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).</w:t>
            </w:r>
          </w:p>
        </w:tc>
      </w:tr>
      <w:tr w:rsidR="00423455" w:rsidRPr="004F62D8" w14:paraId="1573D9DB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24CD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Letermovir</w:t>
            </w:r>
          </w:p>
          <w:p w14:paraId="588BD636" w14:textId="6045640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[CYP2C9- és CYP2C19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induktor]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5AF3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39%</w:t>
            </w:r>
          </w:p>
          <w:p w14:paraId="7A404D8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t>0-12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↓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44%</w:t>
            </w:r>
          </w:p>
          <w:p w14:paraId="0FEC731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12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↓ 51%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7206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Ha a vorikonazol és a letermovir együttes alkalmazása nem kerülhető el, monitorozni kell a vorikonazol hatásosságának csökkenését.</w:t>
            </w:r>
          </w:p>
        </w:tc>
      </w:tr>
      <w:tr w:rsidR="00423455" w:rsidRPr="004F62D8" w14:paraId="10D1596E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95B8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Glaszdegib</w:t>
            </w:r>
          </w:p>
          <w:p w14:paraId="02B95A5C" w14:textId="70B336D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C28C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Bár nem vizsgálták, a vorikonazol valószínűleg növeli a glaszdegib plazmakoncentrációját és fokozza a QTc megnyúlásának kockázatát.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449D6" w14:textId="4B5AD56D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Ha nem kerülhető el az együttes alkalmazás, gyakori EKG</w:t>
            </w:r>
            <w:r w:rsidR="00EE6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monitorozás javasolt (lásd 4.4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).</w:t>
            </w:r>
          </w:p>
        </w:tc>
      </w:tr>
      <w:tr w:rsidR="00423455" w:rsidRPr="004F62D8" w14:paraId="294FC6D9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09DC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Tirozinkináz-gátlók</w:t>
            </w: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(pl. axitinib, bozutinib, kabozantinib, ceritinib, kobimetinib, dabrafenib, dazatinib, nilotinib, szunitinib, ibrutinib, ribociklib)</w:t>
            </w:r>
          </w:p>
          <w:p w14:paraId="779139A6" w14:textId="2657991B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szubsztrátok]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D8028" w14:textId="6EFEC1F3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Bár nem vizsgálták, a vorikonazol növelheti a CYP3A4 által metabolizált tirozinkináz</w:t>
            </w:r>
            <w:r w:rsidR="00EE626A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gátlók plazmakoncentrációját.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A32E8" w14:textId="0D8F9E9A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Ha nem kerülhető el az együttes alkalmazás, javasolt a tirozinkináz</w:t>
            </w:r>
            <w:r w:rsidR="0043600D" w:rsidRPr="00525E33">
              <w:rPr>
                <w:rFonts w:eastAsia="Calibri"/>
                <w:snapToGrid/>
                <w:szCs w:val="22"/>
                <w:lang w:val="hu-HU" w:eastAsia="en-US"/>
              </w:rPr>
              <w:t>-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gátló dózisának csökkentése (lásd 4.4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).</w:t>
            </w:r>
          </w:p>
        </w:tc>
      </w:tr>
      <w:tr w:rsidR="00423455" w:rsidRPr="004F62D8" w14:paraId="65738A55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C4121" w14:textId="77777777" w:rsidR="00423455" w:rsidRPr="002B5138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2B5138">
              <w:rPr>
                <w:rFonts w:eastAsia="Calibri"/>
                <w:bCs/>
                <w:snapToGrid/>
                <w:szCs w:val="22"/>
                <w:lang w:val="hu-HU" w:eastAsia="en-US"/>
              </w:rPr>
              <w:t>Antikoagulánsok</w:t>
            </w:r>
          </w:p>
          <w:p w14:paraId="43AB8813" w14:textId="77777777" w:rsidR="00423455" w:rsidRPr="002B5138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69008C3" w14:textId="6F7B8DD1" w:rsidR="00423455" w:rsidRPr="002B5138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B5138">
              <w:rPr>
                <w:rFonts w:eastAsia="Calibri"/>
                <w:snapToGrid/>
                <w:szCs w:val="22"/>
                <w:lang w:val="hu-HU" w:eastAsia="en-US"/>
              </w:rPr>
              <w:t>Warfarin (30</w:t>
            </w:r>
            <w:r w:rsidR="00D013EA" w:rsidRPr="002B5138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2B5138">
              <w:rPr>
                <w:rFonts w:eastAsia="Calibri"/>
                <w:snapToGrid/>
                <w:szCs w:val="22"/>
                <w:lang w:val="hu-HU" w:eastAsia="en-US"/>
              </w:rPr>
              <w:t xml:space="preserve"> egyszeri dózis együttadva naponta kétszer 300</w:t>
            </w:r>
            <w:r w:rsidR="00D013EA" w:rsidRPr="002B5138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2B5138">
              <w:rPr>
                <w:rFonts w:eastAsia="Calibri"/>
                <w:snapToGrid/>
                <w:szCs w:val="22"/>
                <w:lang w:val="hu-HU" w:eastAsia="en-US"/>
              </w:rPr>
              <w:t xml:space="preserve"> vorikonazollal </w:t>
            </w:r>
            <w:r w:rsidRPr="002B5138">
              <w:rPr>
                <w:rFonts w:eastAsia="Calibri"/>
                <w:i/>
                <w:snapToGrid/>
                <w:szCs w:val="22"/>
                <w:lang w:val="hu-HU" w:eastAsia="en-US"/>
              </w:rPr>
              <w:t>[CYP2C9</w:t>
            </w:r>
            <w:r w:rsidR="00527A9F" w:rsidRPr="002B5138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2B5138">
              <w:rPr>
                <w:rFonts w:eastAsia="Calibri"/>
                <w:i/>
                <w:snapToGrid/>
                <w:szCs w:val="22"/>
                <w:lang w:val="hu-HU" w:eastAsia="en-US"/>
              </w:rPr>
              <w:t>szubsztrát]</w:t>
            </w:r>
          </w:p>
          <w:p w14:paraId="7EACDBBB" w14:textId="77777777" w:rsidR="00423455" w:rsidRPr="002B5138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8768C4B" w14:textId="5DA306D6" w:rsidR="00423455" w:rsidRPr="002B5138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B5138">
              <w:rPr>
                <w:rFonts w:eastAsia="Calibri"/>
                <w:snapToGrid/>
                <w:szCs w:val="22"/>
                <w:lang w:val="hu-HU" w:eastAsia="en-US"/>
              </w:rPr>
              <w:t xml:space="preserve">Egyéb </w:t>
            </w:r>
            <w:r w:rsidR="0043600D" w:rsidRPr="002B5138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per</w:t>
            </w:r>
            <w:r w:rsidR="00EE626A" w:rsidRPr="002B5138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 </w:t>
            </w:r>
            <w:r w:rsidR="0043600D" w:rsidRPr="002B5138">
              <w:rPr>
                <w:rFonts w:eastAsia="Calibri"/>
                <w:i/>
                <w:iCs/>
                <w:snapToGrid/>
                <w:szCs w:val="22"/>
                <w:lang w:val="hu-HU" w:eastAsia="en-US"/>
              </w:rPr>
              <w:t>os</w:t>
            </w:r>
            <w:r w:rsidR="0043600D" w:rsidRPr="002B5138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Pr="002B5138">
              <w:rPr>
                <w:rFonts w:eastAsia="Calibri"/>
                <w:snapToGrid/>
                <w:szCs w:val="22"/>
                <w:lang w:val="hu-HU" w:eastAsia="en-US"/>
              </w:rPr>
              <w:t>antikoagulánsok (</w:t>
            </w:r>
            <w:r w:rsidR="00EE626A" w:rsidRPr="002B5138">
              <w:rPr>
                <w:rFonts w:eastAsia="Calibri"/>
                <w:snapToGrid/>
                <w:szCs w:val="22"/>
                <w:lang w:val="hu-HU" w:eastAsia="en-US"/>
              </w:rPr>
              <w:t>többek között, de nem kizárólag:</w:t>
            </w:r>
            <w:r w:rsidRPr="002B5138">
              <w:rPr>
                <w:rFonts w:eastAsia="Calibri"/>
                <w:snapToGrid/>
                <w:szCs w:val="22"/>
                <w:lang w:val="hu-HU" w:eastAsia="en-US"/>
              </w:rPr>
              <w:t xml:space="preserve"> fenprokumon, acenokumarol)</w:t>
            </w:r>
          </w:p>
          <w:p w14:paraId="66B58D20" w14:textId="452D851D" w:rsidR="00423455" w:rsidRPr="002B5138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B5138">
              <w:rPr>
                <w:rFonts w:eastAsia="Calibri"/>
                <w:i/>
                <w:snapToGrid/>
                <w:szCs w:val="22"/>
                <w:lang w:val="hu-HU" w:eastAsia="en-US"/>
              </w:rPr>
              <w:t>[CYP2C9- és CYP3A4</w:t>
            </w:r>
            <w:r w:rsidR="00527A9F" w:rsidRPr="002B5138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2B5138">
              <w:rPr>
                <w:rFonts w:eastAsia="Calibri"/>
                <w:i/>
                <w:snapToGrid/>
                <w:szCs w:val="22"/>
                <w:lang w:val="hu-HU" w:eastAsia="en-US"/>
              </w:rPr>
              <w:t>szubsztrátok]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3EF3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22E2FE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0F1BAD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protrombin idő maximális növekedése megközelítőleg kétszeres volt.</w:t>
            </w:r>
          </w:p>
          <w:p w14:paraId="0498B96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20E217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32621F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Bár nem vizsgálták, a vorikonazol növelheti a kumarinok plazmakoncentrációját és ezért a protrombin időt is.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24E9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2BC9C8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8CD4241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protrombin idő és egyéb megfelelő antikoagulációs tesztek gondos ellenőrzése javasolt, és az antikoagulánsok dózisát az eredményeknek megfelelően módosítani kell.</w:t>
            </w:r>
          </w:p>
        </w:tc>
      </w:tr>
      <w:tr w:rsidR="00423455" w:rsidRPr="004F62D8" w14:paraId="1B0FF949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ECD1A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Ivakaftor</w:t>
            </w:r>
          </w:p>
          <w:p w14:paraId="2D5F1957" w14:textId="2233C863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BEF9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Bár nem vizsgálták, a vorikonazol valószínűleg növeli az ivakaftor plazmakoncentrációját a mellékhatások fokozott kockázata mellett.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3CE5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25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Az együttadás alatt javasolt az ivakaftor dózisának csökkentése.</w:t>
            </w:r>
          </w:p>
        </w:tc>
      </w:tr>
      <w:tr w:rsidR="00423455" w:rsidRPr="004F62D8" w14:paraId="34EA9814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B2DE6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Benzodiazepinek</w:t>
            </w:r>
          </w:p>
          <w:p w14:paraId="497CBC3A" w14:textId="72F9F073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i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szubsztrátok]</w:t>
            </w:r>
          </w:p>
          <w:p w14:paraId="514DD795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ind w:left="567" w:hanging="567"/>
              <w:rPr>
                <w:rFonts w:eastAsia="Calibri"/>
                <w:i/>
                <w:snapToGrid/>
                <w:szCs w:val="22"/>
                <w:lang w:val="hu-HU" w:eastAsia="en-US"/>
              </w:rPr>
            </w:pPr>
          </w:p>
          <w:p w14:paraId="32545927" w14:textId="44EE574D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ind w:left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Midazolám (egyetlen 0,05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/ttkg</w:t>
            </w:r>
            <w:r w:rsidR="00EE0176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os iv. </w:t>
            </w:r>
            <w:r w:rsidR="00EE0176" w:rsidRPr="00525E33">
              <w:rPr>
                <w:rFonts w:eastAsia="Times New Roman"/>
                <w:snapToGrid/>
                <w:szCs w:val="22"/>
                <w:lang w:val="hu-HU" w:eastAsia="en-US"/>
              </w:rPr>
              <w:t>dózis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)</w:t>
            </w:r>
          </w:p>
          <w:p w14:paraId="68ED07D4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85247F9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7A0143E" w14:textId="52833809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ind w:left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Midazolám (egyetlen 7,5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n-US"/>
              </w:rPr>
              <w:t> mg</w:t>
            </w:r>
            <w:r w:rsidR="00EE0176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os </w:t>
            </w:r>
            <w:r w:rsidRPr="00525E33">
              <w:rPr>
                <w:rFonts w:eastAsia="Times New Roman"/>
                <w:i/>
                <w:iCs/>
                <w:snapToGrid/>
                <w:szCs w:val="22"/>
                <w:lang w:val="hu-HU" w:eastAsia="en-US"/>
              </w:rPr>
              <w:t>per</w:t>
            </w:r>
            <w:r w:rsidR="00EE0176" w:rsidRPr="00525E33">
              <w:rPr>
                <w:rFonts w:eastAsia="Times New Roman"/>
                <w:i/>
                <w:iCs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Times New Roman"/>
                <w:i/>
                <w:iCs/>
                <w:snapToGrid/>
                <w:szCs w:val="22"/>
                <w:lang w:val="hu-HU" w:eastAsia="en-US"/>
              </w:rPr>
              <w:t>o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s </w:t>
            </w:r>
            <w:r w:rsidR="00EE0176" w:rsidRPr="00525E33">
              <w:rPr>
                <w:rFonts w:eastAsia="Times New Roman"/>
                <w:snapToGrid/>
                <w:szCs w:val="22"/>
                <w:lang w:val="hu-HU" w:eastAsia="en-US"/>
              </w:rPr>
              <w:t>dózis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)</w:t>
            </w:r>
          </w:p>
          <w:p w14:paraId="133560DF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1D21665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3B1C9D3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6989925" w14:textId="4DF2E538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ind w:left="567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Egyéb benzodiazepinek (</w:t>
            </w:r>
            <w:r w:rsidR="00EE0176" w:rsidRPr="002B5138">
              <w:rPr>
                <w:rFonts w:eastAsia="Times New Roman"/>
                <w:snapToGrid/>
                <w:szCs w:val="22"/>
                <w:lang w:val="hu-HU" w:eastAsia="en-US"/>
              </w:rPr>
              <w:t>többek között, de nem kizárólag</w:t>
            </w:r>
            <w:r w:rsidR="00EE0176" w:rsidRPr="00525E33">
              <w:rPr>
                <w:rFonts w:eastAsia="Times New Roman"/>
                <w:snapToGrid/>
                <w:szCs w:val="22"/>
                <w:lang w:val="hu-HU" w:eastAsia="en-US"/>
              </w:rPr>
              <w:t>: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triazolám, alprazolám)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7E3CE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262B14A1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5DC32034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21B7622E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Egy független, publikált vizsgálatban,</w:t>
            </w:r>
          </w:p>
          <w:p w14:paraId="133E38C9" w14:textId="7C1C405A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Midazolám AUC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sym w:font="Symbol" w:char="F030"/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sym w:font="Symbol" w:char="F02D"/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sym w:font="Symbol" w:char="F0A5"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sym w:font="Symbol" w:char="F0AD"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3,7</w:t>
            </w:r>
            <w:r w:rsidR="00EE0176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szeres.</w:t>
            </w:r>
          </w:p>
          <w:p w14:paraId="551521BA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26BBCAF1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Egy független, publikált vizsgálatban,</w:t>
            </w:r>
          </w:p>
          <w:p w14:paraId="0D654862" w14:textId="45873B7A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Midazolám 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sym w:font="Symbol" w:char="F0AD"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3,8</w:t>
            </w:r>
            <w:r w:rsidR="00EE0176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szeres Midazolám AUC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sym w:font="Symbol" w:char="F030"/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sym w:font="Symbol" w:char="F02D"/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sym w:font="Symbol" w:char="F0A5"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sym w:font="Symbol" w:char="F0AD"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10,3</w:t>
            </w:r>
            <w:r w:rsidR="00EE0176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szeres</w:t>
            </w:r>
          </w:p>
          <w:p w14:paraId="0196A05C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0A92AB36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Bár klinikailag nem vizsgálták, a vorikonazol valószínűleg növeli a CYP3A4 által metabolizált egyéb benzodiazepinek plazmaszintjét, ami a szedatív hatás megnyúlásához vezethet.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EFC87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ind w:left="25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Az együttadás alatt meg kell fontolni a benzodiazepinek dózisának csökkentését.</w:t>
            </w:r>
          </w:p>
        </w:tc>
      </w:tr>
      <w:tr w:rsidR="00423455" w:rsidRPr="004F62D8" w14:paraId="5629A6D8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90EE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Immunszuppresszánsok</w:t>
            </w:r>
          </w:p>
          <w:p w14:paraId="701EAE3A" w14:textId="3453352E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szubsztrátok]</w:t>
            </w:r>
          </w:p>
          <w:p w14:paraId="640EEB3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B639340" w14:textId="66A6070A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>Szirolimusz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(2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egyszeri dózis)</w:t>
            </w:r>
          </w:p>
          <w:p w14:paraId="2614BD0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5BF52D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F578E42" w14:textId="77777777" w:rsidR="00AC010A" w:rsidRPr="00525E33" w:rsidRDefault="00AC010A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7DA464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u w:val="single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u w:val="single"/>
                <w:lang w:val="hu-HU" w:eastAsia="en-US"/>
              </w:rPr>
              <w:t>Everolimusz</w:t>
            </w:r>
          </w:p>
          <w:p w14:paraId="0BC68D13" w14:textId="1FCA9FC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i/>
                <w:iCs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i/>
                <w:iCs/>
                <w:snapToGrid/>
                <w:szCs w:val="22"/>
                <w:lang w:val="hu-HU" w:eastAsia="en-US"/>
              </w:rPr>
              <w:t>[P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i/>
                <w:iCs/>
                <w:snapToGrid/>
                <w:szCs w:val="22"/>
                <w:lang w:val="hu-HU" w:eastAsia="en-US"/>
              </w:rPr>
              <w:t>gp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i/>
                <w:iCs/>
                <w:snapToGrid/>
                <w:szCs w:val="22"/>
                <w:lang w:val="hu-HU" w:eastAsia="en-US"/>
              </w:rPr>
              <w:t>szubsztrát is]</w:t>
            </w:r>
          </w:p>
          <w:p w14:paraId="5B1EDACE" w14:textId="77777777" w:rsidR="00423455" w:rsidRPr="00423455" w:rsidRDefault="00423455" w:rsidP="0042345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9BD06EC" w14:textId="77777777" w:rsidR="00423455" w:rsidRPr="00423455" w:rsidRDefault="00423455" w:rsidP="0042345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3BF6FC3" w14:textId="77777777" w:rsidR="00423455" w:rsidRPr="00423455" w:rsidRDefault="00423455" w:rsidP="0042345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22F787D" w14:textId="77777777" w:rsidR="00423455" w:rsidRDefault="00423455" w:rsidP="0042345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9D5B699" w14:textId="77777777" w:rsidR="00454216" w:rsidRPr="00423455" w:rsidRDefault="00454216" w:rsidP="00423455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889F12A" w14:textId="77777777" w:rsidR="00454216" w:rsidRPr="00525E33" w:rsidRDefault="00454216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2B5138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>Ciklosporin</w:t>
            </w:r>
            <w:r w:rsidRPr="002B5138">
              <w:rPr>
                <w:rFonts w:eastAsia="Calibri"/>
                <w:snapToGrid/>
                <w:szCs w:val="22"/>
                <w:lang w:val="hu-HU" w:eastAsia="en-US"/>
              </w:rPr>
              <w:t xml:space="preserve"> (stabil állapotú vesetranszplantált betegeknél tartós ciklosporin</w:t>
            </w:r>
            <w:r w:rsidRPr="002B5138">
              <w:rPr>
                <w:rFonts w:eastAsia="Calibri"/>
                <w:snapToGrid/>
                <w:szCs w:val="22"/>
                <w:lang w:val="hu-HU" w:eastAsia="en-US"/>
              </w:rPr>
              <w:noBreakHyphen/>
              <w:t>kezelésben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  <w:p w14:paraId="7CFE6AC9" w14:textId="77BDEE25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>Ciklosporin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(stabil állapotú vesetranszplantált betegeknél tartós ciklosporin</w:t>
            </w:r>
            <w:r w:rsidR="00454216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kezelésben)</w:t>
            </w:r>
          </w:p>
          <w:p w14:paraId="47539EA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DFB1DD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5B5073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CE2ACB6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F0892E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43DD47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7DB807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ADCD7C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54FF3F8" w14:textId="763CBA2D" w:rsidR="00423455" w:rsidRPr="00423455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>Takrolimusz (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0,1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/kg egyszeri dózis)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F4DE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BBA612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82DF26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Egy független, publikált tanulmányban</w:t>
            </w:r>
          </w:p>
          <w:p w14:paraId="15B84B95" w14:textId="7FD2CEB0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Szirolimusz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6,6</w:t>
            </w:r>
            <w:r w:rsidR="00454216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szeres Szirolimusz AUC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t>0-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∞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11-szeres</w:t>
            </w:r>
          </w:p>
          <w:p w14:paraId="5A384C9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CDF6FA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Bár nem vizsgálták, a vorikonazol valószínűleg jelentősen növeli az everolimusz plazmakoncentrációját.</w:t>
            </w:r>
          </w:p>
          <w:p w14:paraId="62CA82D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BA3F9C5" w14:textId="77777777" w:rsidR="00454216" w:rsidRPr="00525E33" w:rsidRDefault="00454216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32341B7" w14:textId="77777777" w:rsidR="00454216" w:rsidRPr="00525E33" w:rsidRDefault="00454216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F53B7C4" w14:textId="77777777" w:rsidR="00454216" w:rsidRPr="00525E33" w:rsidRDefault="00454216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DB2E9BD" w14:textId="47A1A5F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Ciklosporin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13%</w:t>
            </w:r>
          </w:p>
          <w:p w14:paraId="33BDD6F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Ciklosporin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70%</w:t>
            </w:r>
          </w:p>
          <w:p w14:paraId="14ECC3B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A1DBC6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1D131E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174422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3419FCA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3FF4905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3A12C4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92D0D2A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05EEEE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4FF19C9" w14:textId="77777777" w:rsidR="00423455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B47C07A" w14:textId="77777777" w:rsidR="00E952D2" w:rsidRPr="00525E33" w:rsidRDefault="00E952D2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98D0B0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A32E3E4" w14:textId="77777777" w:rsidR="00454216" w:rsidRPr="00525E33" w:rsidRDefault="00454216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2EC55E6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FA809F0" w14:textId="77777777" w:rsidR="00423455" w:rsidRPr="00423455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Takrolimusz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117% Takrolimusz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t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221%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1E43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567"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C1AF21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0C5CAE7" w14:textId="0BB70B3F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A vorikonazol és szirolimusz együttadása </w:t>
            </w: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ellenjavallt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(lásd 4.3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).</w:t>
            </w:r>
          </w:p>
          <w:p w14:paraId="66E5B0B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1216E6D" w14:textId="77777777" w:rsidR="00AC010A" w:rsidRPr="00525E33" w:rsidRDefault="00AC010A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4B8B838" w14:textId="2CF9403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és everolimusz együttes alkalmazása nem javasolt, mert a vorikonazol várhatóan jelentősen megnöveli az everolimusz koncentrációját (lásd 4.4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).</w:t>
            </w:r>
          </w:p>
          <w:p w14:paraId="1E989B3C" w14:textId="77777777" w:rsidR="00454216" w:rsidRPr="00525E33" w:rsidRDefault="00454216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09E9746" w14:textId="230A5CC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u w:val="single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vorikonazol</w:t>
            </w:r>
            <w:r w:rsidR="00454216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kezelés kezdetekor ciklosporinnal kezelt betegeknél a ciklosporin</w:t>
            </w:r>
            <w:r w:rsidR="002B5138">
              <w:rPr>
                <w:rFonts w:eastAsia="Calibri"/>
                <w:snapToGrid/>
                <w:szCs w:val="22"/>
                <w:lang w:val="hu-HU" w:eastAsia="en-US"/>
              </w:rPr>
              <w:t>-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dózis felére csökkentése és a ciklosporin</w:t>
            </w:r>
            <w:r w:rsidR="00454216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szint gondos ellenőrzése javasolt. A megemelkedett ciklosporin</w:t>
            </w:r>
            <w:r w:rsidR="0004678E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szintet nephrotoxicitással hozták kapcsolatba. </w:t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A</w:t>
            </w: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vorikonazol</w:t>
            </w:r>
            <w:r w:rsidR="00454216"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kezelés</w:t>
            </w: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befejezésekor a ciklosporin</w:t>
            </w:r>
            <w:r w:rsidR="00454216"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szintet gondosan</w:t>
            </w: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ellenőrizni, és a dózist szükség</w:t>
            </w: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szerint emelni kell.</w:t>
            </w:r>
          </w:p>
          <w:p w14:paraId="5F1E15F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03CC3A0" w14:textId="6448F649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vorikonazol</w:t>
            </w:r>
            <w:r w:rsidR="00454216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kezelés kezdetekor takrolimusszal kezelt betegeknél a takrolimusz dózis harmadára való csökkentése és a takrolimusz-szint gondos ellenőrzése javasolt. A megemelkedett takrolimusz</w:t>
            </w:r>
            <w:r w:rsidR="00454216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szintet nephrotoxicitással hozták kapcsolatba. </w:t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A</w:t>
            </w: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vorikonazol</w:t>
            </w:r>
            <w:r w:rsidR="00454216"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kezelés</w:t>
            </w: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befejezésekor a takrolimusz</w:t>
            </w:r>
            <w:r w:rsidR="00454216"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szintet gondosan</w:t>
            </w: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ellenőrizni, és a dózist</w:t>
            </w: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u w:val="single" w:color="000000"/>
                <w:lang w:val="hu-HU" w:eastAsia="en-US"/>
              </w:rPr>
              <w:t>szükség szerint emelni kell.</w:t>
            </w:r>
          </w:p>
        </w:tc>
      </w:tr>
      <w:tr w:rsidR="00423455" w:rsidRPr="00423455" w14:paraId="63630692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27E85" w14:textId="77A48819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 xml:space="preserve">Hosszú hatású </w:t>
            </w:r>
            <w:r w:rsidR="00822A44" w:rsidRPr="00525E33">
              <w:rPr>
                <w:rFonts w:eastAsia="Calibri"/>
                <w:snapToGrid/>
                <w:szCs w:val="22"/>
                <w:lang w:val="hu-HU" w:eastAsia="en-US"/>
              </w:rPr>
              <w:t>opioidok</w:t>
            </w:r>
          </w:p>
          <w:p w14:paraId="6FEC63D1" w14:textId="104F258F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hanging="8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szubsztrátok]</w:t>
            </w:r>
          </w:p>
          <w:p w14:paraId="5ABE4F45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hanging="567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51F3FE21" w14:textId="4F73CF20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hanging="8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 xml:space="preserve">Oxikodon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(10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egyszeri dózis)</w:t>
            </w:r>
          </w:p>
        </w:tc>
        <w:tc>
          <w:tcPr>
            <w:tcW w:w="3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91FB1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13F18BC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71AA9654" w14:textId="77777777" w:rsidR="00822A44" w:rsidRPr="00525E33" w:rsidRDefault="00822A44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6A0A2A4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Egy független, publikált tanulmányban</w:t>
            </w:r>
          </w:p>
          <w:p w14:paraId="2303CC0B" w14:textId="56BF471C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Oxikodon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1,7</w:t>
            </w:r>
            <w:r w:rsidR="00822A44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szeres</w:t>
            </w:r>
          </w:p>
          <w:p w14:paraId="63B77FF6" w14:textId="479FDD3B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Oxikodon AUC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t>0-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∞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3,6</w:t>
            </w:r>
            <w:r w:rsidR="00822A44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szeres</w:t>
            </w:r>
          </w:p>
        </w:tc>
        <w:tc>
          <w:tcPr>
            <w:tcW w:w="282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4E287" w14:textId="247E821A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Az oxikodon és a CYP3A4 által metabolizált hosszú hatású </w:t>
            </w:r>
            <w:r w:rsidR="00822A44" w:rsidRPr="00525E33">
              <w:rPr>
                <w:rFonts w:eastAsia="Calibri"/>
                <w:snapToGrid/>
                <w:szCs w:val="22"/>
                <w:lang w:val="hu-HU" w:eastAsia="en-US"/>
              </w:rPr>
              <w:t>o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pi</w:t>
            </w:r>
            <w:r w:rsidR="00822A44" w:rsidRPr="00525E33">
              <w:rPr>
                <w:rFonts w:eastAsia="Calibri"/>
                <w:snapToGrid/>
                <w:szCs w:val="22"/>
                <w:lang w:val="hu-HU" w:eastAsia="en-US"/>
              </w:rPr>
              <w:t>oid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ok (pl. hidrokodon) dózisának csökkentése válhat szükségessé. Az </w:t>
            </w:r>
            <w:r w:rsidR="00822A44"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opioidokhoz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társuló mellékhatások gyakori ellenőrzése javasolt.</w:t>
            </w:r>
          </w:p>
        </w:tc>
      </w:tr>
      <w:tr w:rsidR="00423455" w:rsidRPr="00423455" w14:paraId="481909BB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328EE" w14:textId="634FED2F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Metadon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(naponta egyszer 32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  <w:t>100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  <w:p w14:paraId="3B65E6B0" w14:textId="53401AA3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FB891" w14:textId="762BCA54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R</w:t>
            </w:r>
            <w:r w:rsidR="00822A44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metadon (aktív)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31%</w:t>
            </w:r>
          </w:p>
          <w:p w14:paraId="40686938" w14:textId="3C171553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R</w:t>
            </w:r>
            <w:r w:rsidR="00822A44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metadon (aktív)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47%</w:t>
            </w:r>
          </w:p>
          <w:p w14:paraId="00995B52" w14:textId="72A46C7F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</w:t>
            </w:r>
            <w:r w:rsidR="00822A44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metadon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65%</w:t>
            </w:r>
          </w:p>
          <w:p w14:paraId="16510154" w14:textId="2C1A6E2E" w:rsidR="00423455" w:rsidRPr="00525E33" w:rsidRDefault="00423455" w:rsidP="00525E33">
            <w:pPr>
              <w:tabs>
                <w:tab w:val="clear" w:pos="567"/>
                <w:tab w:val="left" w:pos="229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</w:t>
            </w:r>
            <w:r w:rsid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</w:t>
            </w:r>
            <w:r w:rsidR="00822A44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metadon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103%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CB142" w14:textId="2CC1AA9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metadonnal összefüggő mellékhatások és toxicitás, – beleértve a QTc</w:t>
            </w:r>
            <w:r w:rsidR="00822A44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szakasz megnyúlását – folyamatos monitorozása ajánlott az együttadás során. A metadon dózisának csökkentése szükséges lehet.</w:t>
            </w:r>
          </w:p>
        </w:tc>
      </w:tr>
      <w:tr w:rsidR="00423455" w:rsidRPr="00423455" w14:paraId="24E4BD07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DC87E" w14:textId="0DDC49C1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Nem-szteroid gyulladáscsökkentő gyógyszerek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(NSAID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="00483886" w:rsidRPr="00525E33">
              <w:rPr>
                <w:rFonts w:eastAsia="Calibri"/>
                <w:snapToGrid/>
                <w:szCs w:val="22"/>
                <w:lang w:val="hu-HU" w:eastAsia="en-US"/>
              </w:rPr>
              <w:t>ok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) </w:t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[CYP2C9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szubsztrátok]</w:t>
            </w:r>
          </w:p>
          <w:p w14:paraId="4CB163B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C4A2F94" w14:textId="5F9619A1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>Ibuprof</w:t>
            </w:r>
            <w:r w:rsidR="00E32802"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>é</w:t>
            </w: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>n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</w:t>
            </w:r>
            <w:r w:rsidR="00AF6715" w:rsidRPr="00525E33">
              <w:rPr>
                <w:rFonts w:eastAsia="Calibri"/>
                <w:snapToGrid/>
                <w:szCs w:val="22"/>
                <w:lang w:val="hu-HU" w:eastAsia="en-US"/>
              </w:rPr>
              <w:t>egyszer</w:t>
            </w:r>
            <w:r w:rsidR="002B5138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400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="00AF6715" w:rsidRPr="00525E3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dózis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  <w:p w14:paraId="5510160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52A25DE" w14:textId="60C1F7B2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>Diklofenák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</w:t>
            </w:r>
            <w:r w:rsidR="00AF6715" w:rsidRPr="00525E33">
              <w:rPr>
                <w:rFonts w:eastAsia="Calibri"/>
                <w:snapToGrid/>
                <w:szCs w:val="22"/>
                <w:lang w:val="hu-HU" w:eastAsia="en-US"/>
              </w:rPr>
              <w:t>egyszer</w:t>
            </w:r>
            <w:r w:rsidR="002B5138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50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="00AF6715" w:rsidRPr="00525E3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dózis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)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BA43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CD8BC41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1BB12B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E65B805" w14:textId="77777777" w:rsidR="00E32802" w:rsidRPr="00525E33" w:rsidRDefault="00E32802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6C8D097" w14:textId="776F349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</w:t>
            </w:r>
            <w:r w:rsidR="00822A44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Ibuprofén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20%</w:t>
            </w:r>
          </w:p>
          <w:p w14:paraId="40F726A5" w14:textId="095D6B9C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</w:t>
            </w:r>
            <w:r w:rsidR="00822A44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Ibuprofén AUC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t>0-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∞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100%</w:t>
            </w:r>
          </w:p>
          <w:p w14:paraId="5C17A5D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Diklofenák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114%</w:t>
            </w:r>
          </w:p>
          <w:p w14:paraId="12425CB6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Diklofenák AUC</w:t>
            </w:r>
            <w:r w:rsidRPr="00525E33">
              <w:rPr>
                <w:rFonts w:eastAsia="Calibri"/>
                <w:snapToGrid/>
                <w:szCs w:val="22"/>
                <w:vertAlign w:val="subscript"/>
                <w:lang w:val="hu-HU" w:eastAsia="en-US"/>
              </w:rPr>
              <w:t>0-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∞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78%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B74A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FAB810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71820AC9" w14:textId="6EE4FA42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t>z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NSAID</w:t>
            </w:r>
            <w:r w:rsidR="00822A44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okhoz társuló mellékhatások és toxicitás gyakori ellenőrzése javasolt. A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t>z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NSAID</w:t>
            </w:r>
            <w:r w:rsidR="009F526A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ok dózisának módosítása szükséges lehet.</w:t>
            </w:r>
          </w:p>
        </w:tc>
      </w:tr>
      <w:tr w:rsidR="00423455" w:rsidRPr="004F62D8" w14:paraId="2EE0FB06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480B1" w14:textId="1FD332A3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38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Omeprazol</w:t>
            </w:r>
            <w:r w:rsidRPr="00525E33">
              <w:rPr>
                <w:rFonts w:eastAsia="Times New Roman"/>
                <w:b/>
                <w:snapToGrid/>
                <w:szCs w:val="22"/>
                <w:lang w:val="hu-HU" w:eastAsia="el-GR"/>
              </w:rPr>
              <w:t xml:space="preserve"> 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>(40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l-GR"/>
              </w:rPr>
              <w:t> mg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 xml:space="preserve"> naponta egyszer)*</w:t>
            </w:r>
          </w:p>
          <w:p w14:paraId="69296866" w14:textId="4B013AD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38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[CYP2C19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inhibitor; CYP2C19- és 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6F083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Omeprazol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>↑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116%</w:t>
            </w:r>
          </w:p>
          <w:p w14:paraId="5D95BB2A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Omeprazol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280% 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>↑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15%</w:t>
            </w:r>
          </w:p>
          <w:p w14:paraId="543A118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41%</w:t>
            </w:r>
          </w:p>
          <w:p w14:paraId="52C01926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E91B93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vorikonazol egyéb CYP2C19- szubsztrát protonpumpa gátlók metabolizmusát is gátolhatja és ezeknek a gyógyszereknek a plazmakoncentrációját is megnövelheti.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B813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25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vorikonazol dózis módosítására nincs szükség.</w:t>
            </w:r>
          </w:p>
          <w:p w14:paraId="48182B9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25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4529312" w14:textId="358BD904" w:rsidR="00423455" w:rsidRPr="00525E33" w:rsidRDefault="00E32802" w:rsidP="00525E33">
            <w:pPr>
              <w:tabs>
                <w:tab w:val="clear" w:pos="567"/>
              </w:tabs>
              <w:spacing w:line="240" w:lineRule="auto"/>
              <w:ind w:left="25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</w:t>
            </w:r>
            <w:r w:rsidR="00423455"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vorikonazol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="00423455" w:rsidRPr="00525E33">
              <w:rPr>
                <w:rFonts w:eastAsia="Calibri"/>
                <w:snapToGrid/>
                <w:szCs w:val="22"/>
                <w:lang w:val="hu-HU" w:eastAsia="en-US"/>
              </w:rPr>
              <w:t>kezelés kezdetén a 40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="00423455"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vagy afeletti dózisban már omeprazollal kezelt betegeknél az omeprazol dózisát a felére kell csökkenteni.</w:t>
            </w:r>
          </w:p>
        </w:tc>
      </w:tr>
      <w:tr w:rsidR="00423455" w:rsidRPr="004F62D8" w14:paraId="43A6C9E3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AD4B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38"/>
              <w:rPr>
                <w:rFonts w:eastAsia="Times New Roman"/>
                <w:bCs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Orális fogamzásgátlók*</w:t>
            </w:r>
          </w:p>
          <w:p w14:paraId="228F71E2" w14:textId="7C2B1FAA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38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szubsztrát; CYP2C19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inhibitor]</w:t>
            </w:r>
          </w:p>
          <w:p w14:paraId="7410B92D" w14:textId="31D7873C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38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1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noretiszteron és 0,035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etinilösztradiol naponta egyszer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CD78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Etinilösztradiol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36%</w:t>
            </w:r>
          </w:p>
          <w:p w14:paraId="5C052A56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Etinilösztradiol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61%</w:t>
            </w:r>
          </w:p>
          <w:p w14:paraId="4D360C5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Noretiszteron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15%</w:t>
            </w:r>
          </w:p>
          <w:p w14:paraId="2D84636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Noretiszteron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53%</w:t>
            </w:r>
          </w:p>
          <w:p w14:paraId="4AE68C0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14%</w:t>
            </w:r>
          </w:p>
          <w:p w14:paraId="099612E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46%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FEA27" w14:textId="0C6D0596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ind w:left="25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Az orális fog</w:t>
            </w:r>
            <w:r w:rsidR="002F2201" w:rsidRPr="00525E33">
              <w:rPr>
                <w:rFonts w:eastAsia="Calibri"/>
                <w:snapToGrid/>
                <w:szCs w:val="22"/>
                <w:lang w:val="hu-HU" w:eastAsia="en-US"/>
              </w:rPr>
              <w:t>a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mzásgátlókkal összefüggő mellékhatások mellett a vorikonazollal összefüggő mellékhatások gyakori ellenőrzése javasolt.</w:t>
            </w:r>
          </w:p>
        </w:tc>
      </w:tr>
      <w:tr w:rsidR="00423455" w:rsidRPr="004F62D8" w14:paraId="00CB9BD5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BDCA2" w14:textId="26D154BA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 xml:space="preserve">Rövid hatású </w:t>
            </w:r>
            <w:r w:rsidR="009F526A"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opioid</w:t>
            </w: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ok</w:t>
            </w:r>
          </w:p>
          <w:p w14:paraId="266C2485" w14:textId="632E7D96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szubsztrátok]</w:t>
            </w:r>
          </w:p>
          <w:p w14:paraId="1DC1CAE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E9299F3" w14:textId="5D893A6D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u w:val="single"/>
                <w:lang w:val="hu-HU" w:eastAsia="en-US"/>
              </w:rPr>
              <w:t>Alfentanil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(20</w:t>
            </w:r>
            <w:r w:rsidR="00527A9F" w:rsidRPr="00525E33">
              <w:rPr>
                <w:rFonts w:eastAsia="Calibri"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μg/kg egyszeri </w:t>
            </w:r>
            <w:r w:rsidR="00762A09" w:rsidRPr="00525E3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dózis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, egyidejűleg alkalmazott naloxonnal)</w:t>
            </w:r>
          </w:p>
          <w:p w14:paraId="4928CD6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D09F4F6" w14:textId="77777777" w:rsidR="0043104C" w:rsidRPr="00525E33" w:rsidRDefault="0043104C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u w:val="single"/>
                <w:lang w:val="hu-HU" w:eastAsia="en-US"/>
              </w:rPr>
            </w:pPr>
          </w:p>
          <w:p w14:paraId="3D5DB9BF" w14:textId="13987C3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u w:val="single"/>
                <w:lang w:val="hu-HU" w:eastAsia="en-US"/>
              </w:rPr>
              <w:t>Fentanil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(5</w:t>
            </w:r>
            <w:r w:rsidR="00527A9F" w:rsidRPr="00525E33">
              <w:rPr>
                <w:rFonts w:eastAsia="Times New Roman"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>μ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g/kg egyszeri </w:t>
            </w:r>
            <w:r w:rsidR="00762A09" w:rsidRPr="00525E3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dózis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)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BA47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6D2098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2C564A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9B2386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Egy független, publikált tanulmányban</w:t>
            </w:r>
          </w:p>
          <w:p w14:paraId="35298415" w14:textId="6705A9B9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Alfentanil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0-∞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6</w:t>
            </w:r>
            <w:r w:rsidR="009F526A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szoros</w:t>
            </w:r>
          </w:p>
          <w:p w14:paraId="14BCDED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F346A8E" w14:textId="77777777" w:rsidR="0043104C" w:rsidRPr="00525E33" w:rsidRDefault="0043104C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2CBE97D5" w14:textId="34904F06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Egy független, publikált tanulmányban</w:t>
            </w:r>
          </w:p>
          <w:p w14:paraId="26D38E29" w14:textId="466CDC06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Fentanil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0-∞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1,34</w:t>
            </w:r>
            <w:r w:rsidR="009F526A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szeres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3E633" w14:textId="5111412C" w:rsidR="0043104C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Az alfentanil, fentanil, valamint az alfentanilhoz hasonló szerkezetű és CYP3A4 által metabolizált rövid hatású 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t>opioid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ok (pl. szufentanil) dózisának csökkentését fontolóra kell venni.</w:t>
            </w:r>
          </w:p>
          <w:p w14:paraId="60C50131" w14:textId="6BD64221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légzésdepresszió és egyéb, az ópiátokhoz társuló mellékhatások hosszabb ideig tartó és gyakori ellenőrzése javasolt.</w:t>
            </w:r>
          </w:p>
        </w:tc>
      </w:tr>
      <w:tr w:rsidR="00423455" w:rsidRPr="004F62D8" w14:paraId="138DF0A0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5E47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Sztatinok</w:t>
            </w: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(pl. lovasztatin)</w:t>
            </w:r>
          </w:p>
          <w:p w14:paraId="2EBB6C66" w14:textId="0521F6F4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szubsztrátok]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A53FD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Bár nem vizsgálták, a vorikonazol valószínűleg növeli a CYP3A4 által metabolizált sztatinok plazmaszintjét, és rhabdomyolysishez vezethet.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50BA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Ha a vorikonazol és a CYP3A4 által metabolizált sztatinok együttes alkalmazása nem kerülhető el, meg kell fontolni a sztatin dózisának csökkentését.</w:t>
            </w:r>
          </w:p>
        </w:tc>
      </w:tr>
      <w:tr w:rsidR="00423455" w:rsidRPr="004F62D8" w14:paraId="059E91D3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4D881" w14:textId="25067CDF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Szulfonilurea származékok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(pl. tolbutamid, glipizid és gliburid) </w:t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[CYP2C9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szubsztrátok]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2B76A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Bár nem vizsgálták, a vorikonazol növelheti a szulfonilurea származékok plazmaszintjét és ezért hypoglykaemiát okozhat.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31C3A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vércukorszint gondos ellenőrzése javasolt. Meg kell fontolni a szulfonilurea származékok dózisának módosítását.</w:t>
            </w:r>
          </w:p>
        </w:tc>
      </w:tr>
      <w:tr w:rsidR="00423455" w:rsidRPr="004F62D8" w14:paraId="6B1EF244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CFA56" w14:textId="5542CD1D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Vinka alkaloidok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(pl. vinkrisztin és vinblasztin) </w:t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szubsztrátok]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C6EF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Bár nem vizsgálták, a vorikonazol növelheti a vinka alkaloidok plazmaszintjét és neurotoxicitáshoz vezethet.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8C1C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Meg kell fontolni a vinka alkaloidok dózisának módosítását.</w:t>
            </w:r>
          </w:p>
        </w:tc>
      </w:tr>
      <w:tr w:rsidR="00423455" w:rsidRPr="004F62D8" w14:paraId="4246ED65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10807" w14:textId="291EE1AF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Egyéb HIV</w:t>
            </w:r>
            <w:r w:rsidR="0094533A"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-</w:t>
            </w:r>
            <w:r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proteáz</w:t>
            </w:r>
            <w:r w:rsidR="0094533A"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-</w:t>
            </w:r>
            <w:r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gátlók</w:t>
            </w:r>
            <w:r w:rsidRPr="00525E33">
              <w:rPr>
                <w:rFonts w:eastAsia="Times New Roman"/>
                <w:snapToGrid/>
                <w:szCs w:val="22"/>
                <w:lang w:val="hu-HU" w:eastAsia="el-GR"/>
              </w:rPr>
              <w:t xml:space="preserve"> (pl. szakvinavir, amprenavir és nelfinavir)*</w:t>
            </w:r>
          </w:p>
          <w:p w14:paraId="62DDA89E" w14:textId="4448E6C9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szubsztrátok és inhibitorok]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A9874" w14:textId="23591504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Klinikai vizsgálatokat nem végeztek. </w:t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</w:t>
            </w:r>
            <w:r w:rsidR="009F526A"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 xml:space="preserve">vitro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vizsgálatok mutatják, hogy a vorikonazol gátolhatja a HIV</w:t>
            </w:r>
            <w:r w:rsidR="009F526A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proteáz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gátlók metabolizációját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t>,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és a vorikonazol metabolizációját gátolhatják a HIV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proteáz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gátlók.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778E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Az esetleges gyógyszertoxicitás megjelenését és/vagy a hatás elmaradását gondosan ellenőrizni kell, és szükséges lehet a dózis módosítása.</w:t>
            </w:r>
          </w:p>
        </w:tc>
      </w:tr>
      <w:tr w:rsidR="00423455" w:rsidRPr="004F62D8" w14:paraId="4A07BC01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E189B" w14:textId="53813890" w:rsidR="00423455" w:rsidRPr="00525E33" w:rsidRDefault="005E01BF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Egyéb n</w:t>
            </w:r>
            <w:r w:rsidR="00423455"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em nukleozid típusú reverztranszkriptáz</w:t>
            </w:r>
            <w:r w:rsidR="0092443D"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-</w:t>
            </w:r>
            <w:r w:rsidR="00423455"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gátlók</w:t>
            </w:r>
            <w:r w:rsidR="00423455" w:rsidRPr="00525E33">
              <w:rPr>
                <w:rFonts w:eastAsia="Times New Roman"/>
                <w:snapToGrid/>
                <w:szCs w:val="22"/>
                <w:lang w:val="hu-HU" w:eastAsia="el-GR"/>
              </w:rPr>
              <w:t xml:space="preserve"> (NNRTI</w:t>
            </w:r>
            <w:r w:rsidR="00527A9F" w:rsidRPr="00525E33">
              <w:rPr>
                <w:rFonts w:eastAsia="Times New Roman"/>
                <w:snapToGrid/>
                <w:szCs w:val="22"/>
                <w:lang w:val="hu-HU" w:eastAsia="el-GR"/>
              </w:rPr>
              <w:noBreakHyphen/>
            </w:r>
            <w:r w:rsidR="00423455" w:rsidRPr="00525E33">
              <w:rPr>
                <w:rFonts w:eastAsia="Times New Roman"/>
                <w:snapToGrid/>
                <w:szCs w:val="22"/>
                <w:lang w:val="hu-HU" w:eastAsia="el-GR"/>
              </w:rPr>
              <w:t>k) (</w:t>
            </w:r>
            <w:r w:rsidR="009F526A" w:rsidRPr="002B5138">
              <w:rPr>
                <w:rFonts w:eastAsia="Times New Roman"/>
                <w:snapToGrid/>
                <w:szCs w:val="22"/>
                <w:lang w:val="hu-HU" w:eastAsia="el-GR"/>
              </w:rPr>
              <w:t>többek között, de nem kizárólag</w:t>
            </w:r>
            <w:r w:rsidR="009F526A" w:rsidRPr="00525E33">
              <w:rPr>
                <w:rFonts w:eastAsia="Times New Roman"/>
                <w:snapToGrid/>
                <w:szCs w:val="22"/>
                <w:lang w:val="hu-HU" w:eastAsia="el-GR"/>
              </w:rPr>
              <w:t>:</w:t>
            </w:r>
            <w:r w:rsidR="00423455" w:rsidRPr="00525E33">
              <w:rPr>
                <w:rFonts w:eastAsia="Times New Roman"/>
                <w:snapToGrid/>
                <w:szCs w:val="22"/>
                <w:lang w:val="hu-HU" w:eastAsia="el-GR"/>
              </w:rPr>
              <w:t xml:space="preserve"> delavirdin, nevirapin)* </w:t>
            </w:r>
            <w:r w:rsidR="00423455" w:rsidRPr="00525E33">
              <w:rPr>
                <w:rFonts w:eastAsia="Times New Roman"/>
                <w:i/>
                <w:iCs/>
                <w:snapToGrid/>
                <w:szCs w:val="22"/>
                <w:lang w:val="hu-HU" w:eastAsia="el-GR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="00423455" w:rsidRPr="00525E33">
              <w:rPr>
                <w:rFonts w:eastAsia="Times New Roman"/>
                <w:i/>
                <w:iCs/>
                <w:snapToGrid/>
                <w:szCs w:val="22"/>
                <w:lang w:val="hu-HU" w:eastAsia="el-GR"/>
              </w:rPr>
              <w:t xml:space="preserve">szubsztrátok, </w:t>
            </w:r>
            <w:r w:rsidR="00423455" w:rsidRPr="00525E33">
              <w:rPr>
                <w:rFonts w:eastAsia="Times New Roman"/>
                <w:i/>
                <w:iCs/>
                <w:snapToGrid/>
                <w:szCs w:val="22"/>
                <w:lang w:val="hu-HU" w:eastAsia="el-GR"/>
              </w:rPr>
              <w:noBreakHyphen/>
              <w:t>inhibitorok vagy CYP450</w:t>
            </w:r>
            <w:r w:rsidR="00423455" w:rsidRPr="00525E33">
              <w:rPr>
                <w:rFonts w:eastAsia="Times New Roman"/>
                <w:i/>
                <w:iCs/>
                <w:snapToGrid/>
                <w:szCs w:val="22"/>
                <w:lang w:val="hu-HU" w:eastAsia="el-GR"/>
              </w:rPr>
              <w:noBreakHyphen/>
              <w:t>induktorok]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2C5C7" w14:textId="740A305E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Klinikai vizsgálatokat nem végeztek</w:t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. In</w:t>
            </w:r>
            <w:r w:rsidR="009F526A"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 xml:space="preserve">vitro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vizsgálatok eredményei azt mutatják, hogy a NNRTI</w:t>
            </w:r>
            <w:r w:rsidR="009F526A" w:rsidRPr="00525E33">
              <w:rPr>
                <w:rFonts w:eastAsia="Times New Roman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k gátolhatják a vorikonazol metabolizációját és a vorikonazol gátolhatja az NNRTI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k metabolizációját. Az efavirenz vorikonazolra gyakorolt hatása alapján az NNRT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k indukálhatják a vorikonazol metabolizációját.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A4A7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Az esetleges gyógyszertoxicitás megjelenését és/vagy a hatás elmaradását gondosan ellenőrizni kell, és szükséges lehet a dózis módosítása.</w:t>
            </w:r>
          </w:p>
        </w:tc>
      </w:tr>
      <w:tr w:rsidR="00423455" w:rsidRPr="004F62D8" w14:paraId="2E091C02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4471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bCs/>
                <w:snapToGrid/>
                <w:szCs w:val="22"/>
                <w:lang w:val="hu-HU" w:eastAsia="el-GR"/>
              </w:rPr>
              <w:t>Tretinoin</w:t>
            </w:r>
          </w:p>
          <w:p w14:paraId="75E8C15B" w14:textId="3DB37534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i/>
                <w:iCs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bCs/>
                <w:i/>
                <w:iCs/>
                <w:snapToGrid/>
                <w:szCs w:val="22"/>
                <w:lang w:val="hu-HU" w:eastAsia="el-GR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bCs/>
                <w:i/>
                <w:iCs/>
                <w:snapToGrid/>
                <w:szCs w:val="22"/>
                <w:lang w:val="hu-HU" w:eastAsia="el-GR"/>
              </w:rPr>
              <w:t>szubsztrát]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EA52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Bár nem vizsgálták, a vorikonazol növelheti a tretinoin koncentrációját és fokozhatja a mellékhatások kockázatát (pseudotumor cerebri, hypercalcaemia).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20AE7" w14:textId="2B23F12E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vorikonazol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kezelés alatt és annak abbahagyása után is javasolt a tretinoin dózisának módosítása.</w:t>
            </w:r>
          </w:p>
        </w:tc>
      </w:tr>
      <w:tr w:rsidR="00423455" w:rsidRPr="00423455" w14:paraId="75DCB0D2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43545" w14:textId="6CA9CB14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Cimetidin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(400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naponta kétszer)</w:t>
            </w:r>
          </w:p>
          <w:p w14:paraId="20FC68EB" w14:textId="39833912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[nem specifikus CYP450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inhibitor és emeli a gyomor pH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t]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1B27A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18%</w:t>
            </w:r>
          </w:p>
          <w:p w14:paraId="6F38A126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23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%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B1CCC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Dózismódosításra nincs szükség.</w:t>
            </w:r>
          </w:p>
        </w:tc>
      </w:tr>
      <w:tr w:rsidR="00423455" w:rsidRPr="00423455" w14:paraId="2B3D30FF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86C04" w14:textId="6C37E9F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Digoxin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(0.25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naponta egyszer)</w:t>
            </w:r>
          </w:p>
          <w:p w14:paraId="5CD49584" w14:textId="7514EA6D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[P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gp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8CE6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Digoxin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↔</w:t>
            </w:r>
          </w:p>
          <w:p w14:paraId="4F93435F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Digoxin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↔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C7A5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Dózismódosításra nincs szükség.</w:t>
            </w:r>
          </w:p>
        </w:tc>
      </w:tr>
      <w:tr w:rsidR="00423455" w:rsidRPr="00423455" w14:paraId="1A2BB8D1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D699F" w14:textId="012E2E54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Indinavir</w:t>
            </w: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(800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naponta háromszor)</w:t>
            </w:r>
          </w:p>
          <w:p w14:paraId="64EA5602" w14:textId="12FF1165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inhibitor és</w:t>
            </w:r>
            <w:r w:rsidR="00F237CF"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 xml:space="preserve"> </w:t>
            </w:r>
            <w:r w:rsidR="00F237CF"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28025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Indinavir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↔</w:t>
            </w:r>
          </w:p>
          <w:p w14:paraId="4E2AB0C1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Indinavir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↔</w:t>
            </w:r>
          </w:p>
          <w:p w14:paraId="56CBC77C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↔</w:t>
            </w:r>
          </w:p>
          <w:p w14:paraId="62B0C50C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↔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457DE" w14:textId="77777777" w:rsidR="00423455" w:rsidRPr="00525E33" w:rsidRDefault="00423455" w:rsidP="00525E33">
            <w:pPr>
              <w:keepNext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Dózismódosításra nincs szükség.</w:t>
            </w:r>
          </w:p>
        </w:tc>
      </w:tr>
      <w:tr w:rsidR="00423455" w:rsidRPr="00423455" w14:paraId="306F7A51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DE34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Makrolid antibiotikumok</w:t>
            </w:r>
          </w:p>
          <w:p w14:paraId="1EE3C001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2249B138" w14:textId="4D7BF96C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Eritromicin (1</w:t>
            </w:r>
            <w:r w:rsidR="00557C42" w:rsidRPr="00525E33">
              <w:rPr>
                <w:rFonts w:eastAsia="Calibri"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g naponta kétszer)</w:t>
            </w:r>
          </w:p>
          <w:p w14:paraId="0020766F" w14:textId="52F776B2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inhibitor]</w:t>
            </w:r>
          </w:p>
          <w:p w14:paraId="786C1F91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703F410" w14:textId="0A70B076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Azitromicin (500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naponta egyszer)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6F1B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E64B708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8CE597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és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 xml:space="preserve">τ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↔</w:t>
            </w:r>
          </w:p>
          <w:p w14:paraId="2F4A0BFC" w14:textId="77777777" w:rsidR="00423455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BE269C4" w14:textId="77777777" w:rsidR="00E952D2" w:rsidRPr="00525E33" w:rsidRDefault="00E952D2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46BA846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és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 xml:space="preserve">τ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↔</w:t>
            </w:r>
          </w:p>
          <w:p w14:paraId="7C767D05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68A71097" w14:textId="70CFC757" w:rsidR="00423455" w:rsidRPr="00525E33" w:rsidRDefault="009F526A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A v</w:t>
            </w:r>
            <w:r w:rsidR="00423455" w:rsidRPr="00525E33">
              <w:rPr>
                <w:rFonts w:eastAsia="Calibri"/>
                <w:snapToGrid/>
                <w:szCs w:val="22"/>
                <w:lang w:val="hu-HU" w:eastAsia="en-US"/>
              </w:rPr>
              <w:t>orikonazolnak sem az eritromicinre, sem az azitromicinre gyakorolt hatása nem ismert.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460B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Dózismódosításra nincs szükség.</w:t>
            </w:r>
          </w:p>
        </w:tc>
      </w:tr>
      <w:tr w:rsidR="00423455" w:rsidRPr="00423455" w14:paraId="39F080FC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4387D" w14:textId="43E590DC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Mikofenolsav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(1</w:t>
            </w:r>
            <w:r w:rsidR="00557C42" w:rsidRPr="00525E33">
              <w:rPr>
                <w:rFonts w:eastAsia="Calibri"/>
                <w:snapToGrid/>
                <w:szCs w:val="22"/>
                <w:lang w:val="hu-HU" w:eastAsia="en-US"/>
              </w:rPr>
              <w:t> 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g egyszeri dózis) </w:t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[UDP</w:t>
            </w:r>
            <w:r w:rsidR="009F526A"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glükuronil transzferáz szubsztrát]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7DCB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Mikofenolsav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↔</w:t>
            </w:r>
          </w:p>
          <w:p w14:paraId="7D0A3E80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Mikofenolsav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t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↔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CAA5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Dózismódosításra nincs szükség.</w:t>
            </w:r>
          </w:p>
        </w:tc>
      </w:tr>
      <w:tr w:rsidR="00423455" w:rsidRPr="004F62D8" w14:paraId="7D5A1096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11D29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Kortikoszteroidok</w:t>
            </w:r>
          </w:p>
          <w:p w14:paraId="0C189107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</w:p>
          <w:p w14:paraId="258078EF" w14:textId="2B3995BB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Prednizolon</w:t>
            </w:r>
            <w:r w:rsidRPr="00525E33">
              <w:rPr>
                <w:rFonts w:eastAsia="Calibri"/>
                <w:b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(60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egyszeri dózis)</w:t>
            </w:r>
          </w:p>
          <w:p w14:paraId="4CAC35ED" w14:textId="5B974689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[CYP3A4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szubsztrát]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25539" w14:textId="77777777" w:rsidR="009F526A" w:rsidRPr="00525E33" w:rsidRDefault="009F526A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1F6D06EB" w14:textId="77777777" w:rsidR="009F526A" w:rsidRPr="00525E33" w:rsidRDefault="009F526A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</w:p>
          <w:p w14:paraId="059D9B6B" w14:textId="02FC2D93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Prednizolon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11%</w:t>
            </w:r>
          </w:p>
          <w:p w14:paraId="0A6014F1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Prednizolon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0-∞</w:t>
            </w:r>
            <w:r w:rsidRPr="00525E33">
              <w:rPr>
                <w:rFonts w:eastAsia="SymbolMT"/>
                <w:snapToGrid/>
                <w:szCs w:val="22"/>
                <w:lang w:val="hu-HU" w:eastAsia="en-US"/>
              </w:rPr>
              <w:t xml:space="preserve"> ↑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34%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101674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Dózismódosításra nincs szükség.</w:t>
            </w:r>
          </w:p>
          <w:p w14:paraId="3B3A1CC2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</w:p>
          <w:p w14:paraId="3F6E164B" w14:textId="4028DB98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A hosszan tartó vorikonazol- és kortikoszteroid- (beleértve az inhalációs kortikoszteroidokat, pl. budezonidot és intranasalis kortikoszteroidokat) kezelésben részesülő betegeket gondosan monitorozni kell mellékvesekéreg-károsodás tekintetében mind a kezelés alatt, mind a vorikonazol</w:t>
            </w:r>
            <w:r w:rsidR="009F526A" w:rsidRPr="00525E33">
              <w:rPr>
                <w:rFonts w:eastAsia="Calibri"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kezelés leállításakor (lásd 4.4</w:t>
            </w:r>
            <w:r w:rsidR="00D013EA" w:rsidRPr="00525E33">
              <w:rPr>
                <w:rFonts w:eastAsia="Times New Roman"/>
                <w:snapToGrid/>
                <w:szCs w:val="22"/>
                <w:lang w:val="hu-HU" w:eastAsia="en-US"/>
              </w:rPr>
              <w:t> pont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).</w:t>
            </w:r>
          </w:p>
        </w:tc>
      </w:tr>
      <w:tr w:rsidR="00423455" w:rsidRPr="00423455" w14:paraId="0E450CB1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B466D" w14:textId="24B12781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Ranitidin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(150</w:t>
            </w:r>
            <w:r w:rsidR="00D013EA" w:rsidRPr="00525E33">
              <w:rPr>
                <w:rFonts w:eastAsia="Calibri"/>
                <w:snapToGrid/>
                <w:szCs w:val="22"/>
                <w:lang w:val="hu-HU" w:eastAsia="en-US"/>
              </w:rPr>
              <w:t> mg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naponta kétszer)</w:t>
            </w:r>
          </w:p>
          <w:p w14:paraId="140987DC" w14:textId="2308D76F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[növeli a gyomor pH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i/>
                <w:snapToGrid/>
                <w:szCs w:val="22"/>
                <w:lang w:val="hu-HU" w:eastAsia="en-US"/>
              </w:rPr>
              <w:t>t]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DC89B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Vorikonazol C</w:t>
            </w:r>
            <w:r w:rsidRPr="00525E33">
              <w:rPr>
                <w:rFonts w:eastAsia="Times New Roman"/>
                <w:snapToGrid/>
                <w:szCs w:val="22"/>
                <w:vertAlign w:val="subscript"/>
                <w:lang w:val="hu-HU" w:eastAsia="en-US"/>
              </w:rPr>
              <w:t>max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és AUC</w:t>
            </w:r>
            <w:r w:rsidRPr="00525E33">
              <w:rPr>
                <w:rFonts w:eastAsia="SymbolMT"/>
                <w:snapToGrid/>
                <w:szCs w:val="22"/>
                <w:vertAlign w:val="subscript"/>
                <w:lang w:val="hu-HU" w:eastAsia="en-US"/>
              </w:rPr>
              <w:t>τ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 xml:space="preserve"> ↔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5D04E" w14:textId="77777777" w:rsidR="00423455" w:rsidRPr="00525E33" w:rsidRDefault="00423455" w:rsidP="00525E33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Dózismódosításra nincs szükség.</w:t>
            </w:r>
          </w:p>
        </w:tc>
      </w:tr>
      <w:tr w:rsidR="00D013EA" w:rsidRPr="004F62D8" w14:paraId="004D3085" w14:textId="77777777" w:rsidTr="00D013EA">
        <w:tc>
          <w:tcPr>
            <w:tcW w:w="30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BC3B4" w14:textId="77777777" w:rsidR="00D013EA" w:rsidRPr="00525E33" w:rsidRDefault="00D013EA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snapToGrid/>
                <w:szCs w:val="22"/>
                <w:lang w:val="hu-HU" w:eastAsia="en-US"/>
              </w:rPr>
              <w:t>Flukloxacillin</w:t>
            </w:r>
          </w:p>
          <w:p w14:paraId="5EAFB8D7" w14:textId="603A6320" w:rsidR="00D013EA" w:rsidRPr="00525E33" w:rsidRDefault="00D013EA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b/>
                <w:i/>
                <w:iCs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[CYP450</w:t>
            </w:r>
            <w:r w:rsidR="00527A9F"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noBreakHyphen/>
            </w:r>
            <w:r w:rsidRPr="00525E33">
              <w:rPr>
                <w:rFonts w:eastAsia="Calibri"/>
                <w:bCs/>
                <w:i/>
                <w:iCs/>
                <w:snapToGrid/>
                <w:szCs w:val="22"/>
                <w:lang w:val="hu-HU" w:eastAsia="en-US"/>
              </w:rPr>
              <w:t>induktor]</w:t>
            </w:r>
          </w:p>
        </w:tc>
        <w:tc>
          <w:tcPr>
            <w:tcW w:w="335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66CE2" w14:textId="19ABECCB" w:rsidR="00D013EA" w:rsidRPr="00525E33" w:rsidRDefault="00D013EA" w:rsidP="00E952D2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n-US"/>
              </w:rPr>
            </w:pP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A plazma vorikonazol</w:t>
            </w:r>
            <w:r w:rsidR="00E952D2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koncentrációjának jelentős</w:t>
            </w:r>
            <w:r w:rsidR="00E952D2">
              <w:rPr>
                <w:rFonts w:eastAsia="Times New Roman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Times New Roman"/>
                <w:snapToGrid/>
                <w:szCs w:val="22"/>
                <w:lang w:val="hu-HU" w:eastAsia="en-US"/>
              </w:rPr>
              <w:t>csökkenéséről számoltak be.</w:t>
            </w:r>
          </w:p>
        </w:tc>
        <w:tc>
          <w:tcPr>
            <w:tcW w:w="2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16A71" w14:textId="066636FE" w:rsidR="00D013EA" w:rsidRPr="00525E33" w:rsidRDefault="00D013EA" w:rsidP="00525E33">
            <w:pPr>
              <w:tabs>
                <w:tab w:val="clear" w:pos="567"/>
              </w:tabs>
              <w:spacing w:line="240" w:lineRule="auto"/>
              <w:rPr>
                <w:rFonts w:eastAsia="Calibri"/>
                <w:snapToGrid/>
                <w:szCs w:val="22"/>
                <w:lang w:val="hu-HU" w:eastAsia="en-US"/>
              </w:rPr>
            </w:pP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Ha a vorikonazol és a flukloxacillin egyidejű alkalmazása nem kerülhető el, monitorozni kell a vorikonazol hatásosságának lehetséges csökkenését (például terápiás gyógyszerszint-monitorozással); szükség lehet a vorikonazol dózisának</w:t>
            </w:r>
            <w:r w:rsidR="00F237CF" w:rsidRPr="00525E33">
              <w:rPr>
                <w:rFonts w:eastAsia="Calibri"/>
                <w:snapToGrid/>
                <w:szCs w:val="22"/>
                <w:lang w:val="hu-HU" w:eastAsia="en-US"/>
              </w:rPr>
              <w:t xml:space="preserve"> </w:t>
            </w:r>
            <w:r w:rsidRPr="00525E33">
              <w:rPr>
                <w:rFonts w:eastAsia="Calibri"/>
                <w:snapToGrid/>
                <w:szCs w:val="22"/>
                <w:lang w:val="hu-HU" w:eastAsia="en-US"/>
              </w:rPr>
              <w:t>növelésére.</w:t>
            </w:r>
          </w:p>
        </w:tc>
      </w:tr>
    </w:tbl>
    <w:p w14:paraId="0A04994D" w14:textId="77777777" w:rsidR="00423455" w:rsidRPr="00525E33" w:rsidRDefault="00423455" w:rsidP="00525E33">
      <w:p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</w:p>
    <w:p w14:paraId="28C58C0A" w14:textId="77777777" w:rsidR="00F45C51" w:rsidRPr="00525E33" w:rsidRDefault="00722712" w:rsidP="00525E33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525E33">
        <w:rPr>
          <w:rFonts w:eastAsia="Times New Roman"/>
          <w:b/>
          <w:snapToGrid/>
          <w:szCs w:val="22"/>
          <w:lang w:val="hu-HU" w:eastAsia="en-US"/>
        </w:rPr>
        <w:t>4.6</w:t>
      </w:r>
      <w:r w:rsidRPr="00525E33">
        <w:rPr>
          <w:rFonts w:eastAsia="Times New Roman"/>
          <w:b/>
          <w:snapToGrid/>
          <w:szCs w:val="22"/>
          <w:lang w:val="hu-HU" w:eastAsia="en-US"/>
        </w:rPr>
        <w:tab/>
        <w:t>Termékenység, terhesség és szoptatás</w:t>
      </w:r>
    </w:p>
    <w:p w14:paraId="3D9A370C" w14:textId="77777777" w:rsidR="00F45C51" w:rsidRPr="00525E33" w:rsidRDefault="00F45C51" w:rsidP="00525E33">
      <w:pPr>
        <w:spacing w:line="240" w:lineRule="auto"/>
        <w:rPr>
          <w:iCs/>
          <w:szCs w:val="22"/>
          <w:lang w:val="hu-HU"/>
        </w:rPr>
      </w:pPr>
    </w:p>
    <w:p w14:paraId="01A2C925" w14:textId="77777777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Terhesség</w:t>
      </w:r>
    </w:p>
    <w:p w14:paraId="5D0B4A36" w14:textId="359CBA1E" w:rsidR="00D46837" w:rsidRPr="00525E33" w:rsidRDefault="007C2984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B060E">
        <w:rPr>
          <w:rFonts w:eastAsia="Times New Roman"/>
          <w:snapToGrid/>
          <w:color w:val="000000"/>
          <w:szCs w:val="22"/>
          <w:lang w:val="hu-HU" w:eastAsia="hu-HU" w:bidi="hu-HU"/>
        </w:rPr>
        <w:t>A vorikonazol terhes nőknél történő alkalmazásáról nincsenek megfelelő adatok</w:t>
      </w:r>
      <w:r w:rsidR="00D46837" w:rsidRPr="00AB060E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1820E0A3" w14:textId="77777777" w:rsidR="002C1328" w:rsidRPr="00525E33" w:rsidRDefault="002C1328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52AD52F" w14:textId="4C392922" w:rsidR="00D46837" w:rsidRPr="00525E33" w:rsidRDefault="007C2984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bookmarkStart w:id="10" w:name="_Hlk197941807"/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állatokkal végzett vizsgálatok </w:t>
      </w:r>
      <w:bookmarkEnd w:id="10"/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reprodukciós toxicitást igazoltak (lásd 5.3 pont).</w:t>
      </w:r>
      <w:r w:rsidR="00D46837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lehetséges kockázat emberekre nézve nem ismert.</w:t>
      </w:r>
    </w:p>
    <w:p w14:paraId="55680BDF" w14:textId="77777777" w:rsidR="002C1328" w:rsidRPr="00525E33" w:rsidRDefault="002C1328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74129AB" w14:textId="19644F61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E666B5">
        <w:rPr>
          <w:rFonts w:eastAsia="Times New Roman"/>
          <w:snapToGrid/>
          <w:color w:val="000000"/>
          <w:szCs w:val="22"/>
          <w:lang w:val="hu-HU" w:eastAsia="hu-HU" w:bidi="hu-HU"/>
        </w:rPr>
        <w:t>v</w:t>
      </w:r>
      <w:r w:rsidR="00592DE3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ori</w:t>
      </w:r>
      <w:r w:rsidR="00E666B5">
        <w:rPr>
          <w:rFonts w:eastAsia="Times New Roman"/>
          <w:snapToGrid/>
          <w:color w:val="000000"/>
          <w:szCs w:val="22"/>
          <w:lang w:val="hu-HU" w:eastAsia="hu-HU" w:bidi="hu-HU"/>
        </w:rPr>
        <w:t>k</w:t>
      </w:r>
      <w:r w:rsidR="00592DE3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onazol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t nem szabad alkalmazni a terhesség alatt, kivéve, ha az anyai előny egyértelműen felülmúlja az esetleges magzati kockázatot.</w:t>
      </w:r>
    </w:p>
    <w:p w14:paraId="6EF1DC33" w14:textId="77777777" w:rsidR="002C1328" w:rsidRPr="00525E33" w:rsidRDefault="002C1328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9E84470" w14:textId="139C5191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Fogamzóképes korú nők</w:t>
      </w:r>
    </w:p>
    <w:p w14:paraId="2E9642D2" w14:textId="418F6A31" w:rsidR="00D46837" w:rsidRPr="00525E33" w:rsidRDefault="00FC297B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Fogamzóképes nőknek hatékony fogamzásgátlást kell alkalmazniuk a kezelés alatt</w:t>
      </w:r>
      <w:r w:rsidR="00D46837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D7833F7" w14:textId="77777777" w:rsidR="002C1328" w:rsidRPr="00525E33" w:rsidRDefault="002C1328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558E4CBA" w14:textId="4F997707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Szoptatás</w:t>
      </w:r>
    </w:p>
    <w:p w14:paraId="4F225EA0" w14:textId="7EAF3CFA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vorikonazol kiválasztódását </w:t>
      </w:r>
      <w:r w:rsidR="00C41475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a humán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anyatejbe nem vizsgálták. A </w:t>
      </w:r>
      <w:r w:rsidR="00FC297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="00FC297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kezelés megkezdésekor a szoptatást abba kell hagyni.</w:t>
      </w:r>
    </w:p>
    <w:p w14:paraId="0020B1B5" w14:textId="77777777" w:rsidR="002C1328" w:rsidRPr="00525E33" w:rsidRDefault="002C1328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494FEE8" w14:textId="176E5E34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Termékenység</w:t>
      </w:r>
    </w:p>
    <w:p w14:paraId="130401DF" w14:textId="1C41D5A4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C41475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állatokkal végzett vizsgálatban 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sem a hím, sem a nőstény patkányok</w:t>
      </w:r>
      <w:r w:rsidR="00C41475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nál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r w:rsidR="00C41475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igazolták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termékenység károsodását (lásd 5.3</w:t>
      </w:r>
      <w:r w:rsidR="00141680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458F503B" w14:textId="77777777" w:rsidR="00F45C51" w:rsidRPr="00525E33" w:rsidRDefault="00F45C51" w:rsidP="00525E33">
      <w:pPr>
        <w:spacing w:line="240" w:lineRule="auto"/>
        <w:rPr>
          <w:szCs w:val="22"/>
          <w:lang w:val="hu-HU"/>
        </w:rPr>
      </w:pPr>
    </w:p>
    <w:p w14:paraId="2605CF10" w14:textId="77777777" w:rsidR="00F45C51" w:rsidRPr="00525E33" w:rsidRDefault="00722712" w:rsidP="00525E33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525E33">
        <w:rPr>
          <w:rFonts w:eastAsia="Times New Roman"/>
          <w:b/>
          <w:snapToGrid/>
          <w:szCs w:val="22"/>
          <w:lang w:val="hu-HU" w:eastAsia="en-US"/>
        </w:rPr>
        <w:t>4.7</w:t>
      </w:r>
      <w:r w:rsidRPr="00525E33">
        <w:rPr>
          <w:rFonts w:eastAsia="Times New Roman"/>
          <w:b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525E33">
        <w:rPr>
          <w:rFonts w:eastAsia="Times New Roman"/>
          <w:b/>
          <w:snapToGrid/>
          <w:szCs w:val="22"/>
          <w:lang w:val="hu-HU" w:eastAsia="en-US"/>
        </w:rPr>
        <w:t xml:space="preserve">a </w:t>
      </w:r>
      <w:r w:rsidRPr="00525E33">
        <w:rPr>
          <w:rFonts w:eastAsia="Times New Roman"/>
          <w:b/>
          <w:snapToGrid/>
          <w:szCs w:val="22"/>
          <w:lang w:val="hu-HU" w:eastAsia="en-US"/>
        </w:rPr>
        <w:t>gépek kezeléséhez szükséges képességekre</w:t>
      </w:r>
    </w:p>
    <w:p w14:paraId="47E5544E" w14:textId="77777777" w:rsidR="00F45C51" w:rsidRPr="00525E33" w:rsidRDefault="00F45C51" w:rsidP="00525E33">
      <w:pPr>
        <w:spacing w:line="240" w:lineRule="auto"/>
        <w:rPr>
          <w:szCs w:val="22"/>
          <w:lang w:val="hu-HU"/>
        </w:rPr>
      </w:pPr>
    </w:p>
    <w:p w14:paraId="0D7EB3B6" w14:textId="68E40ADA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9E60CC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közepes mértékben befolyásolja a gépjárművezetéshez és a gépek kezeléséhez szükséges képességeket. Átmeneti és reverzibilis látászavarokat okozhat, beleértve a homályos látást, a megváltozott/fokozott vizuális érzékelést és/vagy fotofóbiát. Ezen tünetek jelentkezésekor a betegnek kerülnie kell a potenciálisan veszélyes feladatok végzését, mint például a </w:t>
      </w:r>
      <w:r w:rsidR="00A5501A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gépjármű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vezetés vagy a gépek kezelése.</w:t>
      </w:r>
    </w:p>
    <w:p w14:paraId="1B250EBE" w14:textId="77777777" w:rsidR="00F45C51" w:rsidRPr="00525E33" w:rsidRDefault="00F45C51" w:rsidP="00525E33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7B36197" w14:textId="77777777" w:rsidR="00F45C51" w:rsidRPr="00525E33" w:rsidRDefault="00722712" w:rsidP="00525E33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525E33">
        <w:rPr>
          <w:rFonts w:eastAsia="Times New Roman"/>
          <w:b/>
          <w:snapToGrid/>
          <w:szCs w:val="22"/>
          <w:lang w:val="hu-HU" w:eastAsia="en-US"/>
        </w:rPr>
        <w:t>4.8</w:t>
      </w:r>
      <w:r w:rsidRPr="00525E33">
        <w:rPr>
          <w:rFonts w:eastAsia="Times New Roman"/>
          <w:b/>
          <w:snapToGrid/>
          <w:szCs w:val="22"/>
          <w:lang w:val="hu-HU" w:eastAsia="en-US"/>
        </w:rPr>
        <w:tab/>
        <w:t>Nemkívánatos hatások, mellékhatások</w:t>
      </w:r>
    </w:p>
    <w:p w14:paraId="37B3E481" w14:textId="77777777" w:rsidR="00F45C51" w:rsidRPr="00525E33" w:rsidRDefault="00F45C51" w:rsidP="00525E33">
      <w:pPr>
        <w:spacing w:line="240" w:lineRule="auto"/>
        <w:rPr>
          <w:i/>
          <w:szCs w:val="22"/>
          <w:lang w:val="hu-HU"/>
        </w:rPr>
      </w:pPr>
    </w:p>
    <w:p w14:paraId="488BF8F9" w14:textId="77777777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Biztonsági profil összefoglalása</w:t>
      </w:r>
    </w:p>
    <w:p w14:paraId="3CDB533B" w14:textId="38098238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A vorikonazol felnőttekre vonatkozó biztonság</w:t>
      </w:r>
      <w:r w:rsidR="00F917FA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osság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i jellemzőit több mint 2000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személy (ezek közül 1603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felnőtt beteg terápiás klinikai vizsgálatokban vett részt), valamint további 270, profilaktikus klinikai vizsgálatban részt vevő felnőtt</w:t>
      </w:r>
      <w:r w:rsidR="002F1E85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adatait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tartalmazó integrált biztonságossági adatbázis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on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alapu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l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Ez 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heterogén populáció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t képvisel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, melyben malignus hematológiai betegségben szenvedők, oesophagealis candidiasisban és refrakter gombás fertőzésekben szenvedő HIV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fertőzöttek, nem neutropéniás candidaemias, illetve aspergillosisos betegek</w:t>
      </w:r>
      <w:r w:rsidR="00685FA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valamint egészséges önkéntesek is találhatók.</w:t>
      </w:r>
    </w:p>
    <w:p w14:paraId="5EB972E9" w14:textId="77777777" w:rsidR="00685FAB" w:rsidRPr="00525E33" w:rsidRDefault="00685FAB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514D20E" w14:textId="026B055D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A leggyakrabban jelentett mellékhatások a látáskárosodás, láz, bőrkiütés, hányás, émelygés, hasmenés, fejfájás, perifériás ödéma, kóros májfunkciós vizsgálati eredmények, légzési distress és hasi fájdalom voltak.</w:t>
      </w:r>
    </w:p>
    <w:p w14:paraId="6C4FF173" w14:textId="77777777" w:rsidR="00685FAB" w:rsidRPr="00525E33" w:rsidRDefault="00685FAB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ACB31D6" w14:textId="501D3892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Ezek a mellékhatások általában enyhék vagy közepesen súlyosak voltak. Nem mutatkozott klinikailag jelentős különbség a vizsgálat biztonságossági adatai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nak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kor, rassz vagy nem szerint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i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elemzése során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C850643" w14:textId="77777777" w:rsidR="00685FAB" w:rsidRPr="00525E33" w:rsidRDefault="00685FAB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043B4E8" w14:textId="51EEAD8E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 mellékhatások táblázatos felsorolása</w:t>
      </w:r>
    </w:p>
    <w:p w14:paraId="70802423" w14:textId="012785B0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Mivel a vizsgálatok többsége nyílt jellegű volt, az alábbi táblázat szervrendszerenként csoportosítva tartalmaz minden okozati viszonyban lévő mellékhatást és azok gyakorisági kategóriáit 1873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felnőtt összevont terápiás (1603) és profilaktikus (270) vizsgálatok adatai alapján.</w:t>
      </w:r>
    </w:p>
    <w:p w14:paraId="1EE8002F" w14:textId="77777777" w:rsidR="00685FAB" w:rsidRPr="00525E33" w:rsidRDefault="00685FAB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CEAC485" w14:textId="56E7F529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A gyakorisági kategóriák az alábbiak szerint kerültek megadásra:</w:t>
      </w:r>
      <w:r w:rsidR="00685FA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nagyon gyakori (</w:t>
      </w:r>
      <w:r w:rsidR="00685FAB" w:rsidRPr="00525E33">
        <w:rPr>
          <w:szCs w:val="22"/>
          <w:lang w:val="hu-HU"/>
        </w:rPr>
        <w:t>≥</w:t>
      </w:r>
      <w:r w:rsidR="008B24CB" w:rsidRPr="00525E33">
        <w:rPr>
          <w:szCs w:val="22"/>
          <w:lang w:val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1/10), gyakori (</w:t>
      </w:r>
      <w:r w:rsidR="00685FAB" w:rsidRPr="00525E33">
        <w:rPr>
          <w:szCs w:val="22"/>
          <w:lang w:val="hu-HU"/>
        </w:rPr>
        <w:t>≥</w:t>
      </w:r>
      <w:r w:rsidR="008B24CB" w:rsidRPr="00525E33">
        <w:rPr>
          <w:szCs w:val="22"/>
          <w:lang w:val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1/100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685FA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="008B24C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&lt;1/10), nem gyakori (</w:t>
      </w:r>
      <w:r w:rsidR="00685FAB" w:rsidRPr="00525E33">
        <w:rPr>
          <w:szCs w:val="22"/>
          <w:lang w:val="hu-HU"/>
        </w:rPr>
        <w:t>≥</w:t>
      </w:r>
      <w:r w:rsidR="002E040E" w:rsidRPr="00525E33">
        <w:rPr>
          <w:szCs w:val="22"/>
          <w:lang w:val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1/1000</w:t>
      </w:r>
      <w:r w:rsidR="002E040E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685FA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="002E040E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2E040E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1/100) és ritka (</w:t>
      </w:r>
      <w:r w:rsidR="00685FAB" w:rsidRPr="00525E33">
        <w:rPr>
          <w:szCs w:val="22"/>
          <w:lang w:val="hu-HU"/>
        </w:rPr>
        <w:t>≥</w:t>
      </w:r>
      <w:r w:rsidR="002E040E" w:rsidRPr="00525E33">
        <w:rPr>
          <w:szCs w:val="22"/>
          <w:lang w:val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1/10</w:t>
      </w:r>
      <w:r w:rsidR="00685FA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000</w:t>
      </w:r>
      <w:r w:rsidR="002E040E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685FA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="002E040E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&lt;</w:t>
      </w:r>
      <w:r w:rsidR="002E040E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1/1000), nagyon ritka (&lt;</w:t>
      </w:r>
      <w:r w:rsidR="002E040E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1/10</w:t>
      </w:r>
      <w:r w:rsidR="00685FA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000); nem ismert (a gyakoriság a rendelkezésre álló adatok</w:t>
      </w:r>
      <w:r w:rsidR="00B62AD8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ból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nem </w:t>
      </w:r>
      <w:r w:rsidR="00685FAB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állapítható</w:t>
      </w: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meg).</w:t>
      </w:r>
    </w:p>
    <w:p w14:paraId="77995880" w14:textId="77777777" w:rsidR="00685FAB" w:rsidRPr="00525E33" w:rsidRDefault="00685FAB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582041A" w14:textId="53016555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Az egyes gyakorisági kategóriákon belül a mellékhatások csökkenő súlyosság szerint kerülnek megadásra.</w:t>
      </w:r>
    </w:p>
    <w:p w14:paraId="7F055BFF" w14:textId="77777777" w:rsidR="00685FAB" w:rsidRPr="00525E33" w:rsidRDefault="00685FAB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7E40E91" w14:textId="50E5128C" w:rsidR="00D46837" w:rsidRPr="00525E33" w:rsidRDefault="00D46837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>Vorikonazollal kezelt egyéneknél jelentett mellékhatások:</w:t>
      </w:r>
    </w:p>
    <w:p w14:paraId="6971673B" w14:textId="77777777" w:rsidR="007D07DA" w:rsidRPr="00525E33" w:rsidRDefault="007D07DA" w:rsidP="00525E33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W w:w="949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466"/>
        <w:gridCol w:w="1653"/>
        <w:gridCol w:w="1701"/>
        <w:gridCol w:w="1701"/>
        <w:gridCol w:w="1276"/>
      </w:tblGrid>
      <w:tr w:rsidR="00685FAB" w:rsidRPr="004F62D8" w14:paraId="1F8C75C2" w14:textId="77777777" w:rsidTr="00C25A65">
        <w:trPr>
          <w:tblHeader/>
        </w:trPr>
        <w:tc>
          <w:tcPr>
            <w:tcW w:w="16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F4298DF" w14:textId="27C032F6" w:rsidR="00685FAB" w:rsidRPr="002B5138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2B5138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el-GR"/>
              </w:rPr>
              <w:t>Szervrendszer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8EF4C73" w14:textId="7CABB8C7" w:rsidR="00685FAB" w:rsidRPr="002B5138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2B5138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el-GR"/>
              </w:rPr>
              <w:t>Nagyon gyakori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F549C69" w14:textId="579F4617" w:rsidR="00685FAB" w:rsidRPr="002B5138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2B5138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el-GR"/>
              </w:rPr>
              <w:t>Gyakori</w:t>
            </w:r>
          </w:p>
          <w:p w14:paraId="4C0150AB" w14:textId="4B657849" w:rsidR="00685FAB" w:rsidRPr="002B5138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98098DE" w14:textId="38E885E5" w:rsidR="00685FAB" w:rsidRPr="002B5138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2B5138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el-GR"/>
              </w:rPr>
              <w:t>Nem gyakori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5757A4F" w14:textId="53F4C765" w:rsidR="00685FAB" w:rsidRPr="002B5138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2B5138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el-GR"/>
              </w:rPr>
              <w:t>Ritka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6E1CD45" w14:textId="765B5EF3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2B5138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el-GR"/>
              </w:rPr>
              <w:t>Nem ismert</w:t>
            </w:r>
          </w:p>
        </w:tc>
      </w:tr>
      <w:tr w:rsidR="00685FAB" w:rsidRPr="00685FAB" w14:paraId="624A9308" w14:textId="77777777" w:rsidTr="00C25A65">
        <w:tc>
          <w:tcPr>
            <w:tcW w:w="169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8E54F6" w14:textId="1C621F70" w:rsidR="00685FAB" w:rsidRPr="00525E33" w:rsidRDefault="00685FAB" w:rsidP="002B513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right="-111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Fertőző betegségek és parazitafertőzések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5E5820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67C001" w14:textId="6EB9227D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sinusitis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3DD448" w14:textId="4DEBF68A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pseudo</w:t>
            </w:r>
            <w:r w:rsidR="007A3A67"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membranosus colitis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05B9E7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B9B467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7DF86107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1F77BE9" w14:textId="633D6020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Jó-, rosszindulatú és nem meghatározott daganatok (beleértve a cisztákat és polipokat is)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E5989F6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7C0E86EB" w14:textId="34F28852" w:rsidR="00685FAB" w:rsidRPr="00525E33" w:rsidRDefault="007A3A67" w:rsidP="00AB060E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laphámsejtes carcinoma (beleértve az </w:t>
            </w:r>
            <w:r w:rsidRPr="00525E33">
              <w:rPr>
                <w:rFonts w:eastAsia="Times New Roman"/>
                <w:i/>
                <w:iCs/>
                <w:snapToGrid/>
                <w:color w:val="000000"/>
                <w:szCs w:val="22"/>
                <w:lang w:val="hu-HU" w:eastAsia="el-GR"/>
              </w:rPr>
              <w:t>in situ</w:t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 cutan SCC</w:t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noBreakHyphen/>
              <w:t>t vagy Bowen</w:t>
            </w:r>
            <w:r w:rsid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noBreakHyphen/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kórt is)*</w:t>
            </w:r>
            <w:r w:rsidR="00AB060E" w:rsidRPr="002B5138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</w:t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545ADC95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3CCD19AB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35E9149" w14:textId="3472C720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</w:tr>
      <w:tr w:rsidR="00685FAB" w:rsidRPr="00685FAB" w14:paraId="65E810DE" w14:textId="77777777" w:rsidTr="00C25A65">
        <w:tc>
          <w:tcPr>
            <w:tcW w:w="169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3CAF3CA2" w14:textId="5F0BD027" w:rsidR="00685FAB" w:rsidRPr="00525E33" w:rsidRDefault="00685FAB" w:rsidP="00525E33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Vérképzőszervi és nyirokrendszeri betegségek és tünetek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29B5ECB1" w14:textId="77777777" w:rsidR="00685FAB" w:rsidRPr="00525E33" w:rsidRDefault="00685FAB" w:rsidP="00525E33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434613F9" w14:textId="289E6EA5" w:rsidR="00685FAB" w:rsidRPr="00525E33" w:rsidRDefault="00685FAB" w:rsidP="00525E33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right="-109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agranulocytosis</w:t>
            </w:r>
            <w:r w:rsidRPr="00525E33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1</w:t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pancytopenia, thrombocyto</w:t>
            </w:r>
            <w:r w:rsidR="007A3A67"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penia</w:t>
            </w:r>
            <w:r w:rsidRPr="00525E33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2</w:t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leukopenia, anaemia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727910D8" w14:textId="576483D6" w:rsidR="00685FAB" w:rsidRPr="00525E33" w:rsidRDefault="00685FAB" w:rsidP="00525E33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csontvelő</w:t>
            </w:r>
            <w:r w:rsidR="002B5138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elégtelenség, lymphadeno</w:t>
            </w:r>
            <w:r w:rsidR="007A3A67"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pathia, eosinophilia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2988230F" w14:textId="77DD2682" w:rsidR="00685FAB" w:rsidRPr="00525E33" w:rsidRDefault="00685FAB" w:rsidP="00525E33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disseminalt intravascularis coagulatio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66B5C233" w14:textId="77777777" w:rsidR="00685FAB" w:rsidRPr="00525E33" w:rsidRDefault="00685FAB" w:rsidP="00525E33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69A270F8" w14:textId="77777777" w:rsidTr="00C25A65">
        <w:tc>
          <w:tcPr>
            <w:tcW w:w="169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12DBF589" w14:textId="4AACB796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Immunrendszeri betegségek és tünetek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1B6736EE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61B2F7BD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29D6FF1A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túlérzékenység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3805626F" w14:textId="14174A8D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anaphylactoid reakció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419E1BEF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33B54346" w14:textId="77777777" w:rsidTr="00C25A65">
        <w:tc>
          <w:tcPr>
            <w:tcW w:w="169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17D4CF6F" w14:textId="63F50AD0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Endokrin betegségek és tünetek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5A269A08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15F01467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364B71AF" w14:textId="7A1B4CDF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mellékvese</w:t>
            </w: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softHyphen/>
              <w:t>elégtelenség, hypothyreosis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07551E3E" w14:textId="04610CC3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hyperthyreosis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6775F7EE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0C18CE85" w14:textId="77777777" w:rsidTr="00C25A65">
        <w:tc>
          <w:tcPr>
            <w:tcW w:w="169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BE297CA" w14:textId="7F6BC1C1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Anyagcsere- és táplálkozási betegségek és tünetek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EE60589" w14:textId="1A335129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peripheriás oedema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96F3AD9" w14:textId="3DBD4DD6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hypoglykaemia, hypokalaemia, hyponatraemia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B318E1E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725F554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6418F07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4F62D8" w14:paraId="622E4E98" w14:textId="77777777" w:rsidTr="00C25A65">
        <w:tc>
          <w:tcPr>
            <w:tcW w:w="169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B78907" w14:textId="2A8CEF08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Pszichiátriai kórképek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109AAC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0A9D1C" w14:textId="461EADFF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525E33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depresszió, hallucináció, szorongás, insomnia, agitáció, zavart állapot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3A3933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B1474B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090C6B" w14:textId="77777777" w:rsidR="00685FAB" w:rsidRPr="00525E33" w:rsidRDefault="00685FAB" w:rsidP="00525E33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5710B009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58A0260" w14:textId="7BBABE2D" w:rsidR="00685FAB" w:rsidRPr="00152BE4" w:rsidRDefault="00685FAB" w:rsidP="00152BE4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Idegrendszeri betegségek és tünetek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3A89D898" w14:textId="2205EDF9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fejfájás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55471024" w14:textId="41A0B2BE" w:rsidR="00685FAB" w:rsidRPr="00152BE4" w:rsidRDefault="00685FAB" w:rsidP="00152BE4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convulsio, ájulás, tremor, fokozott izomtónus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3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paraesthesia, somnolentia, szédülés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22431583" w14:textId="098103E9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right="-112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agyoedema, encephalopathia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4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extrapyramidalis zavar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5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perifériás neuropathia, ataxia, hypaesthesia, ízérzészavar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29D13AB" w14:textId="443B33A6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hepaticus encephalopathia, Guillain</w:t>
            </w:r>
            <w:r w:rsidR="00C25A65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noBreakHyphen/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Barr</w:t>
            </w:r>
            <w:r w:rsidR="00546B33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é</w:t>
            </w:r>
            <w:r w:rsidR="00C25A65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szindróma, nystagmus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5F0828C3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7D5E822E" w14:textId="77777777" w:rsidTr="00C25A65">
        <w:tc>
          <w:tcPr>
            <w:tcW w:w="169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3E2907" w14:textId="2E392D9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Szembetegségek és szemészeti tünetek</w:t>
            </w:r>
          </w:p>
        </w:tc>
        <w:tc>
          <w:tcPr>
            <w:tcW w:w="146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B8D0A1" w14:textId="38CD88FC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látás</w:t>
            </w:r>
            <w:r w:rsidR="00C25A65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károsodás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6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287739" w14:textId="0C698C8D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retinalis vérzés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728B2B" w14:textId="400D00BE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látóideg rendellenesség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7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papilla-oedema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8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oculogyriás krízis, diplopia, scleritis, blepharitis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51B2B6" w14:textId="192AAB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opticus atrophia, cornea homály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1AB8A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07105080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DB50FA1" w14:textId="6296BBDE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A fül és az egyensúly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softHyphen/>
              <w:t>érzékelő szerv betegségei és tünetei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6256324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335912C7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B3226B2" w14:textId="1500A3AA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halláscsökkenés, vertigo, tinnitus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E0362AA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2ECF217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6DF1F607" w14:textId="77777777" w:rsidTr="00C25A65">
        <w:tc>
          <w:tcPr>
            <w:tcW w:w="169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7ECE098" w14:textId="4BB20E76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Szívbetegségek és a szívvel kapcsolatos tünetek</w:t>
            </w:r>
          </w:p>
        </w:tc>
        <w:tc>
          <w:tcPr>
            <w:tcW w:w="14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70F37E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3A2588" w14:textId="54936369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supraventricularis arrhythmia, tachycardia, bradycardia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BE9685" w14:textId="42C6B0E2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kamrafibrilláció, kamrai extrasystolék, kamrai tachycardia, QT</w:t>
            </w:r>
            <w:r w:rsidR="00C25A65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noBreakHyphen/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megnyúlás</w:t>
            </w:r>
            <w:r w:rsidR="00C25A65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 az EKG</w:t>
            </w:r>
            <w:r w:rsidR="00C25A65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noBreakHyphen/>
              <w:t>n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supra</w:t>
            </w:r>
            <w:r w:rsidR="00C25A65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ventricularis tachycardia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A12411" w14:textId="464BFF30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i/>
                <w:snapToGrid/>
                <w:color w:val="000000"/>
                <w:szCs w:val="22"/>
                <w:lang w:val="hu-HU" w:eastAsia="el-GR"/>
              </w:rPr>
              <w:t>torsades de pointes,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 teljes atrioventricula</w:t>
            </w:r>
            <w:r w:rsidR="00C366D6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ris blokk, szárblokk, nodalis ritmus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8F1590C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7CDA8CBF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6784E1F" w14:textId="08E1A468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Érbetegségek és tünetek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059E48A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3A13D8E" w14:textId="46227E9C" w:rsidR="00685FAB" w:rsidRPr="00152BE4" w:rsidRDefault="00685FAB" w:rsidP="002B513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hypot</w:t>
            </w:r>
            <w:r w:rsidR="002B5138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ensio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phlebitis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BC325A3" w14:textId="6C899E8A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right="-112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thrombophlebitis, lymphangitis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887B722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9898C5D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4F62D8" w14:paraId="400D0747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5667BB" w14:textId="536CCD99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Légzőrendszeri, mellkasi és mediastinalis betegségek és tünetek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D663F2" w14:textId="0EB32EE9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respiratorikus distressz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9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C53426" w14:textId="0B1B5D31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akut légzési distressz szindróma, tüdőoedema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6E6BBF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286556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C4841C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0B758011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DD1837" w14:textId="5B7CA671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Emésztőrend</w:t>
            </w:r>
            <w:r w:rsidR="00C366D6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szeri betegségek és tünetek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F6E5A0" w14:textId="787D8740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hasmenés, hányás, hasi fájdalom, émelygés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D3F754" w14:textId="02BA8E13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cheilitis, dyspepsia, székrekedés, gingivitis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420F0" w14:textId="49E93110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peritonitis, pancreatitis, nyelvduzzanat, duodenitis, gastroenteritis, glossitis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3085B4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86479A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43C99292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BECA98" w14:textId="580A1CCF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Máj- és epebetegségek, illetve tünetek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6EE875" w14:textId="120C1B91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kóros májfunkciós vizsgálati eredmények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D8B609" w14:textId="56698F88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sárgaság, cholestaticus sárgaság, hepatitis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CC2F8B" w14:textId="2AB447B9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májelégtelenség, hepatomegalia, cholecystitis, cholelithiasis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48AAC8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CCA458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</w:p>
        </w:tc>
      </w:tr>
      <w:tr w:rsidR="00685FAB" w:rsidRPr="00685FAB" w14:paraId="37F02638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08B346" w14:textId="56324CE9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A bőr és </w:t>
            </w:r>
            <w:r w:rsidR="00AB060E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a 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bőr alatti szövet betegségei és tünetei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D23BCE" w14:textId="758A519B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bőrkiütés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4D0A3B" w14:textId="31E01F44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exfoliatív dermatitis, alopecia, maculopapulris kiütés, pruritus, erythema</w:t>
            </w:r>
            <w:r w:rsidR="002B5138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, </w:t>
            </w:r>
            <w:r w:rsidR="002B5138" w:rsidRPr="002B5138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fototoxicitás</w:t>
            </w:r>
            <w:r w:rsidR="002B5138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**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8E3C58" w14:textId="18E095C4" w:rsidR="00685FAB" w:rsidRPr="00152BE4" w:rsidRDefault="00685FAB" w:rsidP="002B5138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Stevens</w:t>
            </w:r>
            <w:r w:rsidR="00AB060E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–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Johnson</w:t>
            </w:r>
            <w:r w:rsidR="00B32B33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szindróma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8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purpura, urticaria, allergiás dermatitis, papuláris kiütés, macularis kiütés, ekcéma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ADDDAE" w14:textId="1F3D2E4C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right="-107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toxicus epidermalis necrolysis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8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, </w:t>
            </w:r>
            <w:r w:rsidR="00B32B33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eosinophiliával és szisztémás tünetekkel járó gyógyszerreak-ció (DRESS)</w:t>
            </w:r>
            <w:r w:rsidR="00B32B33"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8</w:t>
            </w:r>
            <w:r w:rsidR="00B32B33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, 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angiooedema, keratosis actinica*, pseudoporphyria, erythema multiforme, psoriasis, </w:t>
            </w:r>
            <w:r w:rsidR="00B32B33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gyógyszerkiütés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1E214B" w14:textId="511D4A22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cutan lupus erythema</w:t>
            </w:r>
            <w:r w:rsidR="00C366D6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-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tosus*, szeplők*, lentigo*</w:t>
            </w:r>
          </w:p>
        </w:tc>
      </w:tr>
      <w:tr w:rsidR="00685FAB" w:rsidRPr="00685FAB" w14:paraId="07BAD4C2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2F70272" w14:textId="48D12ABE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A csont- és izomrendszer, valamint a kötőszövet betegségei és tünetei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925898F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01B0AFE" w14:textId="1B6187FA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hátfájdalom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8817629" w14:textId="07FB0360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arthritis</w:t>
            </w:r>
            <w:r w:rsidR="002B5138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 xml:space="preserve">, </w:t>
            </w:r>
            <w:r w:rsidR="002B5138"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periostitis*</w:t>
            </w:r>
            <w:r w:rsidR="002B5138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,**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99ECC1A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C08C6AE" w14:textId="7ADE46C8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</w:tr>
      <w:tr w:rsidR="00685FAB" w:rsidRPr="00685FAB" w14:paraId="20386AEF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80DE43" w14:textId="7242E90A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Vese-és húgyúti betegségek és tünetek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DB6444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A259D3" w14:textId="0BF30EA9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ind w:right="-109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akut veseelégtelenség, haematuria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5CB452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renalis tubularis necrosis, proteinuria, nephritis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7E57E6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FEEF8B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</w:tr>
      <w:tr w:rsidR="00685FAB" w:rsidRPr="004F62D8" w14:paraId="342D5B74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6B1895" w14:textId="2C16CAF2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Általános tünetek, az alkalmazás helyén fellépő reakciók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9AEA17" w14:textId="69033293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láz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1345A7" w14:textId="3AB81881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mellkasi fájdalom, arcoedema</w:t>
            </w:r>
            <w:r w:rsidRPr="00152BE4">
              <w:rPr>
                <w:rFonts w:eastAsia="Times New Roman"/>
                <w:snapToGrid/>
                <w:color w:val="000000"/>
                <w:szCs w:val="22"/>
                <w:vertAlign w:val="superscript"/>
                <w:lang w:val="hu-HU" w:eastAsia="el-GR"/>
              </w:rPr>
              <w:t>11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, asthenia, hidegrázás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263F494" w14:textId="2A4B296A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reakció az infúzió helyén, influenzaszerű betegség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AAB498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DF1B76" w14:textId="77777777" w:rsidR="00685FAB" w:rsidRPr="00152BE4" w:rsidRDefault="00685FAB" w:rsidP="00152BE4">
            <w:pPr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</w:tr>
      <w:tr w:rsidR="00685FAB" w:rsidRPr="004F62D8" w14:paraId="20490069" w14:textId="77777777" w:rsidTr="00C25A65">
        <w:tc>
          <w:tcPr>
            <w:tcW w:w="16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1A45F6" w14:textId="017462E9" w:rsidR="00685FAB" w:rsidRPr="00152BE4" w:rsidRDefault="00685FAB" w:rsidP="00152BE4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Laboratóriumi és egyéb vizsgálatok eredményei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FAB985" w14:textId="77777777" w:rsidR="00685FAB" w:rsidRPr="00152BE4" w:rsidRDefault="00685FAB" w:rsidP="00152BE4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AC0446" w14:textId="4390EFC5" w:rsidR="00685FAB" w:rsidRPr="00152BE4" w:rsidRDefault="00685FAB" w:rsidP="00152BE4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emelkedett kreatininszint a vérben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2CCCEC" w14:textId="276810B0" w:rsidR="00685FAB" w:rsidRPr="00152BE4" w:rsidRDefault="00685FAB" w:rsidP="00152BE4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  <w:t>a vér karbamidszintjének emelkedése, a vér koleszterinszintjének emelkedése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BE24E5" w14:textId="77777777" w:rsidR="00685FAB" w:rsidRPr="00152BE4" w:rsidRDefault="00685FAB" w:rsidP="00152BE4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9A30A4" w14:textId="77777777" w:rsidR="00685FAB" w:rsidRPr="00152BE4" w:rsidRDefault="00685FAB" w:rsidP="00152BE4">
            <w:pPr>
              <w:keepNext/>
              <w:tabs>
                <w:tab w:val="clear" w:pos="567"/>
              </w:tabs>
              <w:autoSpaceDE w:val="0"/>
              <w:autoSpaceDN w:val="0"/>
              <w:adjustRightInd w:val="0"/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el-GR"/>
              </w:rPr>
            </w:pPr>
          </w:p>
        </w:tc>
      </w:tr>
    </w:tbl>
    <w:p w14:paraId="2BA1874D" w14:textId="6EBDA8BD" w:rsidR="00685FAB" w:rsidRPr="00152BE4" w:rsidRDefault="00685FAB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lang w:val="hu-HU" w:eastAsia="hu-HU"/>
        </w:rPr>
        <w:t>*A forgalomba hozatalt követően azonosított gyógyszer okozta mellékhatás</w:t>
      </w:r>
      <w:r w:rsidR="00DE1F6D" w:rsidRPr="00152BE4">
        <w:rPr>
          <w:rFonts w:eastAsia="Times New Roman"/>
          <w:snapToGrid/>
          <w:szCs w:val="22"/>
          <w:lang w:val="hu-HU" w:eastAsia="hu-HU"/>
        </w:rPr>
        <w:t>.</w:t>
      </w:r>
    </w:p>
    <w:p w14:paraId="0E9B5955" w14:textId="5E54F193" w:rsidR="00DE1F6D" w:rsidRPr="00152BE4" w:rsidRDefault="00DE1F6D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lang w:val="hu-HU" w:eastAsia="hu-HU"/>
        </w:rPr>
        <w:t xml:space="preserve">**A gyakorisági kategória egy megfigyeléses vizsgálaton alapul, amelyben másodlagos </w:t>
      </w:r>
      <w:r w:rsidR="008B7F7C">
        <w:rPr>
          <w:rFonts w:eastAsia="Times New Roman"/>
          <w:snapToGrid/>
          <w:szCs w:val="22"/>
          <w:lang w:val="hu-HU" w:eastAsia="hu-HU"/>
        </w:rPr>
        <w:t xml:space="preserve">svédországi </w:t>
      </w:r>
      <w:r w:rsidRPr="00152BE4">
        <w:rPr>
          <w:rFonts w:eastAsia="Times New Roman"/>
          <w:snapToGrid/>
          <w:szCs w:val="22"/>
          <w:lang w:val="hu-HU" w:eastAsia="hu-HU"/>
        </w:rPr>
        <w:t>adatforrásokból származó, valós körülmények között keletkezett adatokat használtak.</w:t>
      </w:r>
    </w:p>
    <w:p w14:paraId="6ED04F90" w14:textId="77777777" w:rsidR="00685FAB" w:rsidRPr="00152BE4" w:rsidRDefault="00685FAB" w:rsidP="00152BE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s-ES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es-ES"/>
        </w:rPr>
        <w:t xml:space="preserve">1 </w:t>
      </w:r>
      <w:r w:rsidRPr="00152BE4">
        <w:rPr>
          <w:rFonts w:eastAsia="Times New Roman"/>
          <w:snapToGrid/>
          <w:szCs w:val="22"/>
          <w:lang w:val="hu-HU" w:eastAsia="es-ES"/>
        </w:rPr>
        <w:t>Beleértve: lázas neutropenia és neutropenia.</w:t>
      </w:r>
    </w:p>
    <w:p w14:paraId="4889492A" w14:textId="4F08D216" w:rsidR="00685FAB" w:rsidRPr="00152BE4" w:rsidRDefault="007B2C26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hu-HU"/>
        </w:rPr>
        <w:t>2</w:t>
      </w:r>
      <w:r w:rsidRPr="00152BE4">
        <w:rPr>
          <w:rFonts w:eastAsia="Times New Roman"/>
          <w:snapToGrid/>
          <w:szCs w:val="22"/>
          <w:lang w:val="hu-HU" w:eastAsia="hu-HU"/>
        </w:rPr>
        <w:t xml:space="preserve"> </w:t>
      </w:r>
      <w:r w:rsidR="00685FAB" w:rsidRPr="00152BE4">
        <w:rPr>
          <w:rFonts w:eastAsia="Times New Roman"/>
          <w:snapToGrid/>
          <w:szCs w:val="22"/>
          <w:lang w:val="hu-HU" w:eastAsia="hu-HU"/>
        </w:rPr>
        <w:t>Beleértve: immun thrombocytopeniás purpura.</w:t>
      </w:r>
    </w:p>
    <w:p w14:paraId="55C8A1DB" w14:textId="513C02DF" w:rsidR="00685FAB" w:rsidRPr="00152BE4" w:rsidRDefault="007B2C26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hu-HU"/>
        </w:rPr>
        <w:t>3</w:t>
      </w:r>
      <w:r w:rsidRPr="00152BE4">
        <w:rPr>
          <w:rFonts w:eastAsia="Times New Roman"/>
          <w:snapToGrid/>
          <w:szCs w:val="22"/>
          <w:lang w:val="hu-HU" w:eastAsia="hu-HU"/>
        </w:rPr>
        <w:t xml:space="preserve"> </w:t>
      </w:r>
      <w:r w:rsidR="00685FAB" w:rsidRPr="00152BE4">
        <w:rPr>
          <w:rFonts w:eastAsia="Times New Roman"/>
          <w:snapToGrid/>
          <w:szCs w:val="22"/>
          <w:lang w:val="hu-HU" w:eastAsia="hu-HU"/>
        </w:rPr>
        <w:t>Beleértve: tarkómerevség és tetania.</w:t>
      </w:r>
    </w:p>
    <w:p w14:paraId="0CF620FC" w14:textId="666BD0F4" w:rsidR="00685FAB" w:rsidRPr="00152BE4" w:rsidRDefault="007B2C26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hu-HU"/>
        </w:rPr>
        <w:t>4</w:t>
      </w:r>
      <w:r w:rsidRPr="00152BE4">
        <w:rPr>
          <w:rFonts w:eastAsia="Times New Roman"/>
          <w:snapToGrid/>
          <w:szCs w:val="22"/>
          <w:lang w:val="hu-HU" w:eastAsia="hu-HU"/>
        </w:rPr>
        <w:t xml:space="preserve"> </w:t>
      </w:r>
      <w:r w:rsidR="00685FAB" w:rsidRPr="00152BE4">
        <w:rPr>
          <w:rFonts w:eastAsia="Times New Roman"/>
          <w:snapToGrid/>
          <w:szCs w:val="22"/>
          <w:lang w:val="hu-HU" w:eastAsia="hu-HU"/>
        </w:rPr>
        <w:t>Beleértve: hypoxiás-ischaemiás encephalopathia és metabolikus encephalopathia.</w:t>
      </w:r>
    </w:p>
    <w:p w14:paraId="595C0F87" w14:textId="0FE88610" w:rsidR="00685FAB" w:rsidRPr="00152BE4" w:rsidRDefault="007B2C26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hu-HU"/>
        </w:rPr>
        <w:t>5</w:t>
      </w:r>
      <w:r w:rsidRPr="00152BE4">
        <w:rPr>
          <w:rFonts w:eastAsia="Times New Roman"/>
          <w:snapToGrid/>
          <w:szCs w:val="22"/>
          <w:lang w:val="hu-HU" w:eastAsia="hu-HU"/>
        </w:rPr>
        <w:t xml:space="preserve"> B</w:t>
      </w:r>
      <w:r w:rsidR="00685FAB" w:rsidRPr="00152BE4">
        <w:rPr>
          <w:rFonts w:eastAsia="Times New Roman"/>
          <w:snapToGrid/>
          <w:szCs w:val="22"/>
          <w:lang w:val="hu-HU" w:eastAsia="hu-HU"/>
        </w:rPr>
        <w:t>eleértve: akathisia és parkinsonismus.</w:t>
      </w:r>
    </w:p>
    <w:p w14:paraId="3BCC9FC9" w14:textId="1C711300" w:rsidR="00685FAB" w:rsidRPr="00152BE4" w:rsidRDefault="007B2C26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hu-HU"/>
        </w:rPr>
        <w:t>6</w:t>
      </w:r>
      <w:r w:rsidRPr="00152BE4">
        <w:rPr>
          <w:rFonts w:eastAsia="Times New Roman"/>
          <w:snapToGrid/>
          <w:szCs w:val="22"/>
          <w:lang w:val="hu-HU" w:eastAsia="hu-HU"/>
        </w:rPr>
        <w:t xml:space="preserve"> </w:t>
      </w:r>
      <w:r w:rsidR="00685FAB" w:rsidRPr="00152BE4">
        <w:rPr>
          <w:rFonts w:eastAsia="Times New Roman"/>
          <w:snapToGrid/>
          <w:szCs w:val="22"/>
          <w:lang w:val="hu-HU" w:eastAsia="hu-HU"/>
        </w:rPr>
        <w:t>Lásd a „Látáskárosodás” című bekezdést a 4.8</w:t>
      </w:r>
      <w:r w:rsidRPr="00152BE4">
        <w:rPr>
          <w:rFonts w:eastAsia="Times New Roman"/>
          <w:snapToGrid/>
          <w:szCs w:val="22"/>
          <w:lang w:val="hu-HU" w:eastAsia="hu-HU"/>
        </w:rPr>
        <w:t> </w:t>
      </w:r>
      <w:r w:rsidR="00685FAB" w:rsidRPr="00152BE4">
        <w:rPr>
          <w:rFonts w:eastAsia="Times New Roman"/>
          <w:snapToGrid/>
          <w:szCs w:val="22"/>
          <w:lang w:val="hu-HU" w:eastAsia="hu-HU"/>
        </w:rPr>
        <w:t>pontban.</w:t>
      </w:r>
    </w:p>
    <w:p w14:paraId="341AB185" w14:textId="3A61F003" w:rsidR="00685FAB" w:rsidRPr="00152BE4" w:rsidRDefault="007B2C26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hu-HU"/>
        </w:rPr>
        <w:t>7</w:t>
      </w:r>
      <w:r w:rsidRPr="00152BE4">
        <w:rPr>
          <w:rFonts w:eastAsia="Times New Roman"/>
          <w:snapToGrid/>
          <w:szCs w:val="22"/>
          <w:lang w:val="hu-HU" w:eastAsia="hu-HU"/>
        </w:rPr>
        <w:t xml:space="preserve"> </w:t>
      </w:r>
      <w:r w:rsidR="00685FAB" w:rsidRPr="00152BE4">
        <w:rPr>
          <w:rFonts w:eastAsia="Times New Roman"/>
          <w:snapToGrid/>
          <w:szCs w:val="22"/>
          <w:lang w:val="hu-HU" w:eastAsia="hu-HU"/>
        </w:rPr>
        <w:t>A forgalomba hozatal után beszámoltak hosszan tartó opticus neuritisről. Lásd 4.4</w:t>
      </w:r>
      <w:r w:rsidRPr="00152BE4">
        <w:rPr>
          <w:rFonts w:eastAsia="Times New Roman"/>
          <w:snapToGrid/>
          <w:szCs w:val="22"/>
          <w:lang w:val="hu-HU" w:eastAsia="hu-HU"/>
        </w:rPr>
        <w:t> </w:t>
      </w:r>
      <w:r w:rsidR="00685FAB" w:rsidRPr="00152BE4">
        <w:rPr>
          <w:rFonts w:eastAsia="Times New Roman"/>
          <w:snapToGrid/>
          <w:szCs w:val="22"/>
          <w:lang w:val="hu-HU" w:eastAsia="hu-HU"/>
        </w:rPr>
        <w:t>pont.</w:t>
      </w:r>
    </w:p>
    <w:p w14:paraId="7F190A70" w14:textId="4E2E4B37" w:rsidR="00685FAB" w:rsidRPr="00152BE4" w:rsidRDefault="007B2C26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hu-HU"/>
        </w:rPr>
        <w:t>8</w:t>
      </w:r>
      <w:r w:rsidRPr="00152BE4">
        <w:rPr>
          <w:rFonts w:eastAsia="Times New Roman"/>
          <w:snapToGrid/>
          <w:szCs w:val="22"/>
          <w:lang w:val="hu-HU" w:eastAsia="hu-HU"/>
        </w:rPr>
        <w:t xml:space="preserve"> </w:t>
      </w:r>
      <w:r w:rsidR="00685FAB" w:rsidRPr="00152BE4">
        <w:rPr>
          <w:rFonts w:eastAsia="Times New Roman"/>
          <w:snapToGrid/>
          <w:szCs w:val="22"/>
          <w:lang w:val="hu-HU" w:eastAsia="hu-HU"/>
        </w:rPr>
        <w:t>Lásd 4.4</w:t>
      </w:r>
      <w:r w:rsidRPr="00152BE4">
        <w:rPr>
          <w:rFonts w:eastAsia="Times New Roman"/>
          <w:snapToGrid/>
          <w:szCs w:val="22"/>
          <w:lang w:val="hu-HU" w:eastAsia="hu-HU"/>
        </w:rPr>
        <w:t> </w:t>
      </w:r>
      <w:r w:rsidR="00685FAB" w:rsidRPr="00152BE4">
        <w:rPr>
          <w:rFonts w:eastAsia="Times New Roman"/>
          <w:snapToGrid/>
          <w:szCs w:val="22"/>
          <w:lang w:val="hu-HU" w:eastAsia="hu-HU"/>
        </w:rPr>
        <w:t>pont</w:t>
      </w:r>
    </w:p>
    <w:p w14:paraId="7EB263B1" w14:textId="6E15E2BF" w:rsidR="00685FAB" w:rsidRPr="00152BE4" w:rsidRDefault="007B2C26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hu-HU"/>
        </w:rPr>
        <w:t>9</w:t>
      </w:r>
      <w:r w:rsidRPr="00152BE4">
        <w:rPr>
          <w:rFonts w:eastAsia="Times New Roman"/>
          <w:snapToGrid/>
          <w:szCs w:val="22"/>
          <w:lang w:val="hu-HU" w:eastAsia="hu-HU"/>
        </w:rPr>
        <w:t xml:space="preserve"> </w:t>
      </w:r>
      <w:r w:rsidR="00685FAB" w:rsidRPr="00152BE4">
        <w:rPr>
          <w:rFonts w:eastAsia="Times New Roman"/>
          <w:snapToGrid/>
          <w:szCs w:val="22"/>
          <w:lang w:val="hu-HU" w:eastAsia="hu-HU"/>
        </w:rPr>
        <w:t>Beleértve: nehézlégzés és terheléses nehézlégzés.</w:t>
      </w:r>
    </w:p>
    <w:p w14:paraId="1CA78AFE" w14:textId="54479115" w:rsidR="00685FAB" w:rsidRPr="00152BE4" w:rsidRDefault="007B2C26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hu-HU"/>
        </w:rPr>
        <w:t>10</w:t>
      </w:r>
      <w:r w:rsidRPr="00152BE4">
        <w:rPr>
          <w:rFonts w:eastAsia="Times New Roman"/>
          <w:snapToGrid/>
          <w:szCs w:val="22"/>
          <w:lang w:val="hu-HU" w:eastAsia="hu-HU"/>
        </w:rPr>
        <w:t xml:space="preserve"> </w:t>
      </w:r>
      <w:r w:rsidR="00685FAB" w:rsidRPr="00152BE4">
        <w:rPr>
          <w:rFonts w:eastAsia="Times New Roman"/>
          <w:snapToGrid/>
          <w:szCs w:val="22"/>
          <w:lang w:val="hu-HU" w:eastAsia="hu-HU"/>
        </w:rPr>
        <w:t>Beleértve: gyógyszer által okozott májkárosodás, toxikus hepatitis, hepatocellularis károsodás és hepatotoxicitás.</w:t>
      </w:r>
    </w:p>
    <w:p w14:paraId="628BF854" w14:textId="67F228A0" w:rsidR="00685FAB" w:rsidRPr="00152BE4" w:rsidRDefault="007B2C26" w:rsidP="00152BE4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hu-HU"/>
        </w:rPr>
      </w:pPr>
      <w:r w:rsidRPr="00152BE4">
        <w:rPr>
          <w:rFonts w:eastAsia="Times New Roman"/>
          <w:snapToGrid/>
          <w:szCs w:val="22"/>
          <w:vertAlign w:val="superscript"/>
          <w:lang w:val="hu-HU" w:eastAsia="hu-HU"/>
        </w:rPr>
        <w:t>11</w:t>
      </w:r>
      <w:r w:rsidRPr="00152BE4">
        <w:rPr>
          <w:rFonts w:eastAsia="Times New Roman"/>
          <w:snapToGrid/>
          <w:szCs w:val="22"/>
          <w:lang w:val="hu-HU" w:eastAsia="hu-HU"/>
        </w:rPr>
        <w:t xml:space="preserve"> </w:t>
      </w:r>
      <w:r w:rsidR="00685FAB" w:rsidRPr="00152BE4">
        <w:rPr>
          <w:rFonts w:eastAsia="Times New Roman"/>
          <w:snapToGrid/>
          <w:szCs w:val="22"/>
          <w:lang w:val="hu-HU" w:eastAsia="hu-HU"/>
        </w:rPr>
        <w:t>Beleértve: periorbitalis oedema, ajak</w:t>
      </w:r>
      <w:r w:rsidR="002F1E85" w:rsidRPr="00152BE4">
        <w:rPr>
          <w:rFonts w:eastAsia="Times New Roman"/>
          <w:snapToGrid/>
          <w:szCs w:val="22"/>
          <w:lang w:val="hu-HU" w:eastAsia="hu-HU"/>
        </w:rPr>
        <w:t>-</w:t>
      </w:r>
      <w:r w:rsidR="00685FAB" w:rsidRPr="00152BE4">
        <w:rPr>
          <w:rFonts w:eastAsia="Times New Roman"/>
          <w:snapToGrid/>
          <w:szCs w:val="22"/>
          <w:lang w:val="hu-HU" w:eastAsia="hu-HU"/>
        </w:rPr>
        <w:t>oedema és száj</w:t>
      </w:r>
      <w:r w:rsidR="002F1E85" w:rsidRPr="00152BE4">
        <w:rPr>
          <w:rFonts w:eastAsia="Times New Roman"/>
          <w:snapToGrid/>
          <w:szCs w:val="22"/>
          <w:lang w:val="hu-HU" w:eastAsia="hu-HU"/>
        </w:rPr>
        <w:t>-</w:t>
      </w:r>
      <w:r w:rsidR="00685FAB" w:rsidRPr="00152BE4">
        <w:rPr>
          <w:rFonts w:eastAsia="Times New Roman"/>
          <w:snapToGrid/>
          <w:szCs w:val="22"/>
          <w:lang w:val="hu-HU" w:eastAsia="hu-HU"/>
        </w:rPr>
        <w:t>oedema.</w:t>
      </w:r>
    </w:p>
    <w:p w14:paraId="2C9C2A81" w14:textId="77777777" w:rsidR="00685FAB" w:rsidRPr="00152BE4" w:rsidRDefault="00685FAB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771EBD4" w14:textId="77777777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Egyes mellékhatások leírása</w:t>
      </w:r>
    </w:p>
    <w:p w14:paraId="4046A195" w14:textId="77777777" w:rsidR="00844CE4" w:rsidRPr="00152BE4" w:rsidRDefault="00844CE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18711CBA" w14:textId="73092112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Látáskárosodások</w:t>
      </w:r>
    </w:p>
    <w:p w14:paraId="4667D6F3" w14:textId="440A254E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Klinikai vizsgálatokban a vorikonazollal kapcsolatban gyakoriak voltak a látáskárosodások (beleértve: homályos látás, fénykerülés, chloropsia, chromatopsia, színvakság, cyanopsia, szembetegség, gyűrűk látása a fényforrások körül, </w:t>
      </w:r>
      <w:r w:rsidR="00A033CD" w:rsidRPr="002B5138">
        <w:rPr>
          <w:rFonts w:eastAsia="Times New Roman"/>
          <w:snapToGrid/>
          <w:color w:val="000000"/>
          <w:szCs w:val="22"/>
          <w:lang w:val="hu-HU" w:eastAsia="hu-HU" w:bidi="hu-HU"/>
        </w:rPr>
        <w:t>nyctalopia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oscillopsia, photopsia, scotoma scintillans, csökkent látásélesség, </w:t>
      </w:r>
      <w:r w:rsidR="00BA39A0">
        <w:rPr>
          <w:rFonts w:eastAsia="Times New Roman"/>
          <w:snapToGrid/>
          <w:color w:val="000000"/>
          <w:szCs w:val="22"/>
          <w:lang w:val="hu-HU" w:eastAsia="hu-HU" w:bidi="hu-HU"/>
        </w:rPr>
        <w:t>vizuális</w:t>
      </w:r>
      <w:r w:rsidRPr="00BA39A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fényesség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 látótér defectus, üvegtesti homályok és xanthopsia). Ezek a látáskárosodások átmenetiek és teljes mértékben visszafordíthatók voltak, többségükben 60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percen</w:t>
      </w:r>
      <w:r w:rsidRPr="00D4683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belül spontán megszűntek, továbbá klinikailag szignifikáns, hosszútávú, a látásra gyakorolt hatások nem voltak megfigyelhetőek. Bizonyított, hogy a vorikonazol dózisok ismétlésével ez a hatás gyengül. A látáskárosodások általában enyhék voltak, ritkán vezettek a kezelés megszakításához, hosszútávú következménnyel pedig nem jártak. A látáskárosodások a nagyobb plazmakoncentrációval és/vagy dózissal hozhatók kapcsolatba.</w:t>
      </w:r>
    </w:p>
    <w:p w14:paraId="5CE5259F" w14:textId="77777777" w:rsidR="00844CE4" w:rsidRPr="00152BE4" w:rsidRDefault="00844CE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8ADF7C7" w14:textId="304A424B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hatásmechanizmus ismeretlen, támadáspontja azonban valószínűleg a retinán belül van. Egészséges önkénteseken vizsgálva a vorikonazolnak a retina működésére kifejtett hatását, a vorikonazol csökkentette az elektroretinogram (ERG) hullám amplitudóját. Az ERG az elektromos impulzusokat méri a retinában. Az ERG változások a 29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napos kezelés során nem fokozódtak tovább, és a vorikonazol kezelés befejezésével teljes mértékben visszaállt az eredeti állapot.</w:t>
      </w:r>
    </w:p>
    <w:p w14:paraId="20D2C672" w14:textId="77777777" w:rsidR="00844CE4" w:rsidRPr="00152BE4" w:rsidRDefault="00844CE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5075C6A" w14:textId="5DE12199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forgalomba hozatalt követően jelentések érkeztek hosszan tartó vizuális nemkívánatos eseményekről (lásd 4.4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055ACB9" w14:textId="77777777" w:rsidR="00844CE4" w:rsidRPr="00152BE4" w:rsidRDefault="00844CE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66714784" w14:textId="5113D16A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Dermatológiai reakciók</w:t>
      </w:r>
    </w:p>
    <w:p w14:paraId="22D17A35" w14:textId="230DC376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klinikai vizsgálatok során a dermatológiai reakciók nagyon gyakoriak voltak a vorikonazollal kezelt betegek körében, de ezek a betegek valamilyen súlyos alapbetegségben szenvedtek, és több különböző gyógyszert szedtek egyszerre. A bőrkiütések többsége enyhe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közepes 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fokú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volt. A vorikonazol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kezelés alatt a betegeknél súlyos bőrreakciók (SCAR) alakultak ki, beleértve a Stevens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Johnson-szindrómát (SJS) (nem gyakori), a toxicus epidermalis necrolysist (TEN) (ritka), az eosinophiliával és szisztémás tünetekkel járó gyógyszerreakciót (DRESS) (ritka)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az erythema multiformét (ritka) is (lásd 4.4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39742222" w14:textId="77777777" w:rsidR="00844CE4" w:rsidRPr="00152BE4" w:rsidRDefault="00844CE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4D581EF" w14:textId="77777777" w:rsidR="00D905D1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betegen bőrkiütések jelennek meg, szoros monitorozásra van szükség, és ha a laesiók progrediálnak, le kell állítani a 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vorikonazol alkalmazását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594A0244" w14:textId="3A728A70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Fényérzékenységi reakciókat </w:t>
      </w:r>
      <w:r w:rsidR="00B6243E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például szeplők, lentigo és keratosis actinica </w:t>
      </w:r>
      <w:r w:rsidR="00B6243E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jelentettek, különösen hosszantartó kezelés esetén (lásd 4.4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50E7CFD1" w14:textId="77777777" w:rsidR="00844CE4" w:rsidRPr="00152BE4" w:rsidRDefault="00844CE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745E1B1" w14:textId="3DA01048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bőr laphámsejtes carcinomájáról (beleértve az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D905D1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situ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cutan SCC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 vagy Bowen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kórt is) számoltak be olyan betegeknél, akik hosszantartó vorikonazol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kezelésben részesültek; ennek mechanizmusát még nem határozták meg (lásd 4.4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26C4F056" w14:textId="77777777" w:rsidR="00844CE4" w:rsidRPr="00152BE4" w:rsidRDefault="00844CE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1EF007DD" w14:textId="5735B324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Májfunkciós </w:t>
      </w:r>
      <w:r w:rsidR="002B5138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vizsgálati eredmények</w:t>
      </w:r>
    </w:p>
    <w:p w14:paraId="796A647A" w14:textId="550C8F3C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vorikonazol klinikai vizsgálatai során a normálérték felső határát több mint 3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szorosan meghaladó (nemkívánatos eseményt nem feltétlenül okozó) transzamináz-emelkedések összes előfordulása a vorikonazolt kapott felnőttek körében 18,0% (319/1768), a gyermekek körében 25,8% (73/283) volt, a terápiás és profilaktikus alkalmazások adatainak összesítése szerint. A májfunkciós értékek rendellenességei a magasabb plazmakoncentrációval és/vagy dózissal hozhatóak kapcsolatba. A rendellenes májfunkciós értékek az esetek túlnyomó részében normalizálódtak a kezelés során dózismódosítás nélkül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dózismódosítást, illetve a kezelés megszakítását követően.</w:t>
      </w:r>
    </w:p>
    <w:p w14:paraId="2B2591DB" w14:textId="77777777" w:rsidR="00844CE4" w:rsidRPr="00152BE4" w:rsidRDefault="00844CE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19D8932" w14:textId="6C44EC2E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vorikonazolt egyéb súlyos alapbetegségben szenvedő betegeknél kapcsolatba hozták súlyos májtoxicitás kialakulásával. Ezek között előfordult icterus, hepatitis és halált okozó májelégtelenség is (lásd 4.4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97F4252" w14:textId="77777777" w:rsidR="00844CE4" w:rsidRPr="00152BE4" w:rsidRDefault="00844CE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13A4F3CC" w14:textId="5B593CD3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Infúziós szövődmények</w:t>
      </w:r>
    </w:p>
    <w:p w14:paraId="3A29882B" w14:textId="3B1AB78E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Egészséges egyénekben a vorikonazol intravénás gyógyszerformájának infundálása során előfordultak anafilaxiás típusú reakciók, mint bőrpír, láz, izzadás, tachycardia, mellkasi szorítás, légszomj, ájulás, hányinger, viszketés és bőrkiütés. A tünetek rögtön az infúzió kezdetekor jelentkeztek (lásd 4.4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0D0909B3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66599B4B" w14:textId="304CCAB3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Profilaxis</w:t>
      </w:r>
    </w:p>
    <w:p w14:paraId="16A78149" w14:textId="264DB4F5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Egy nyílt elrendezésű, összehasonlító, multicentrikus vizsgálatban, amelyben felnőtt és serdülőkorú, korábbi igazolt vagy valószínűsíthető IFI (invazív gombás fertőzés) nélküli, allogén HSCT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recipiensek elsődleges profilaxisaként alkalmazott vorikonazolt és itrakonazolt hasonlították össze, a betegek 39,3%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nál jelentették a vorikonazol nemkívánatos események miatti végleges</w:t>
      </w:r>
      <w:r w:rsidRPr="00D4683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leállítását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szemben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az itrakonazol kar betegeinek 39,6%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val. A kezelés során kialakult hepatikus nemkívánatos események miatt a vizsgálati gyógyszer végleges leállítására került sor a vorikonazolt kapó betegek közül 50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(21,4%)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az itrakonazolt kapó betegek közül 18</w:t>
      </w:r>
      <w:r w:rsidR="00D905D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(7,1%)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betegnél.</w:t>
      </w:r>
    </w:p>
    <w:p w14:paraId="769294B8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33179CB8" w14:textId="2EC5D53F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Gyermekek és serdülők</w:t>
      </w:r>
    </w:p>
    <w:p w14:paraId="3CE2E39B" w14:textId="2564CC1B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vorikonazol biztonságosságát 288, 2</w:t>
      </w:r>
      <w:r w:rsidR="00F95DF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és betöltött 12.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(169), illetve 12</w:t>
      </w:r>
      <w:r w:rsidR="00F95DF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és betöltött 18.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(119) </w:t>
      </w:r>
      <w:r w:rsidR="00F95DF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élet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korú gyermek és serdülő bevonásával vizsgálták, akik profilaktikus céllal (183), illetve terápiás céllal (105) kaptak vorikonazolt klinikai vizsgálatokban. A vorikonazol biztonságosságát további 158, 2</w:t>
      </w:r>
      <w:r w:rsidR="00F95DF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és betöltött 12.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</w:t>
      </w:r>
      <w:r w:rsidR="00F95DF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élet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korú gyermek részvételével vizsgálták méltányossági alapon kiterjesztett használati programok keretében. Összességében, a vorikonazol biztonságossági profilja a gyermekek és serdülők körében a felnőttekéhez volt hasonló. Azonban a felnőttekkel összehasonlítva, a gyermekgyógyászati betegeknél a klinikai vizsgálatokban a nemkívánatos eseményként jelentett májenzim-emelkedés nagyobb gyakoriságára irányuló tendencia volt megfigyelhető (a transzamináz-emelkedés gyermekeknél és serdülőknél 14,2%</w:t>
      </w:r>
      <w:r w:rsidR="00F95DF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ban, míg felnőtteknél 5,3%</w:t>
      </w:r>
      <w:r w:rsidR="00F95DF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ban fordult elő). A forgalomba hozatalt követő adatok alapján a bőrreakciók (különösen az erythema) előfordulása gyakoribb lehet gyermekeknél és serdülőknél, mint a felnőtteknél.</w:t>
      </w:r>
      <w:r w:rsidR="00A2396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</w:t>
      </w:r>
      <w:r w:rsidR="00F400E6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engedélyezés előtti gyógyszeralkalmazás (compassionate use)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program keretében, ahol 22, 2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nél fiatalabb beteg kapott vorikonazolt, az alábbi mellékhatásokat (nem zárható ki az összefüggés a vorikonazollal) jelentették: fényérzékenységi reakció (1), arrhythmia (1), pancreatitis (1), emelkedett bilirubinérték (1), májenzimek emelkedése (1), kiütés (1) és papillaoedema (1).</w:t>
      </w:r>
      <w:r w:rsidR="00A02E58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forgalomba hozatalt követően vannak pancreatitisről szóló beszámolók gyermekkorú betegeknél.</w:t>
      </w:r>
    </w:p>
    <w:p w14:paraId="60DA6C1E" w14:textId="77777777" w:rsidR="00F5194B" w:rsidRPr="00152BE4" w:rsidRDefault="00F5194B" w:rsidP="00152BE4">
      <w:pPr>
        <w:spacing w:line="240" w:lineRule="auto"/>
        <w:rPr>
          <w:szCs w:val="22"/>
          <w:u w:val="single"/>
          <w:lang w:val="hu-HU"/>
        </w:rPr>
      </w:pPr>
    </w:p>
    <w:p w14:paraId="3672A539" w14:textId="77777777" w:rsidR="00F5194B" w:rsidRPr="00152BE4" w:rsidRDefault="00722712" w:rsidP="00152BE4">
      <w:pPr>
        <w:spacing w:line="240" w:lineRule="auto"/>
        <w:rPr>
          <w:szCs w:val="22"/>
          <w:u w:val="single"/>
          <w:lang w:val="hu-HU"/>
        </w:rPr>
      </w:pPr>
      <w:r w:rsidRPr="00152BE4">
        <w:rPr>
          <w:szCs w:val="22"/>
          <w:u w:val="single"/>
          <w:lang w:val="hu-HU"/>
        </w:rPr>
        <w:t>Feltételezett mellékhatások bejelentése</w:t>
      </w:r>
    </w:p>
    <w:p w14:paraId="16DCD376" w14:textId="77777777" w:rsidR="00F95DF1" w:rsidRPr="00152BE4" w:rsidRDefault="00722712" w:rsidP="00152BE4">
      <w:pPr>
        <w:spacing w:line="240" w:lineRule="auto"/>
        <w:rPr>
          <w:szCs w:val="22"/>
          <w:lang w:val="hu-HU"/>
        </w:rPr>
      </w:pPr>
      <w:r w:rsidRPr="00152BE4"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C20DE37" w14:textId="10E0B06C" w:rsidR="00F5194B" w:rsidRPr="00152BE4" w:rsidRDefault="00722712" w:rsidP="00152BE4">
      <w:pPr>
        <w:spacing w:line="240" w:lineRule="auto"/>
        <w:rPr>
          <w:szCs w:val="22"/>
          <w:lang w:val="hu-HU"/>
        </w:rPr>
      </w:pPr>
      <w:r w:rsidRPr="00152BE4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w:history="1">
        <w:r w:rsidRPr="00152BE4">
          <w:rPr>
            <w:rStyle w:val="Hiperhivatkozs"/>
            <w:szCs w:val="22"/>
            <w:highlight w:val="lightGray"/>
            <w:lang w:val="hu-HU"/>
          </w:rPr>
          <w:t>V. füg</w:t>
        </w:r>
        <w:bookmarkStart w:id="11" w:name="_Hlt352075914"/>
        <w:bookmarkStart w:id="12" w:name="_Hlt352075915"/>
        <w:r w:rsidRPr="00152BE4">
          <w:rPr>
            <w:rStyle w:val="Hiperhivatkozs"/>
            <w:szCs w:val="22"/>
            <w:highlight w:val="lightGray"/>
            <w:lang w:val="hu-HU"/>
          </w:rPr>
          <w:t>g</w:t>
        </w:r>
        <w:bookmarkEnd w:id="11"/>
        <w:bookmarkEnd w:id="12"/>
        <w:r w:rsidRPr="00152BE4">
          <w:rPr>
            <w:rStyle w:val="Hiperhivatkozs"/>
            <w:szCs w:val="22"/>
            <w:highlight w:val="lightGray"/>
            <w:lang w:val="hu-HU"/>
          </w:rPr>
          <w:t>elékben</w:t>
        </w:r>
      </w:hyperlink>
      <w:r w:rsidRPr="00152BE4">
        <w:rPr>
          <w:szCs w:val="22"/>
          <w:highlight w:val="lightGray"/>
          <w:lang w:val="hu-HU"/>
        </w:rPr>
        <w:t xml:space="preserve"> található elérhetőségek valamelyikén keresztül</w:t>
      </w:r>
      <w:r w:rsidR="002D1F2D" w:rsidRPr="00152BE4">
        <w:rPr>
          <w:color w:val="008000"/>
          <w:szCs w:val="22"/>
          <w:lang w:val="hu-HU"/>
        </w:rPr>
        <w:t>.</w:t>
      </w:r>
    </w:p>
    <w:p w14:paraId="33F9B7E7" w14:textId="77777777" w:rsidR="00F5194B" w:rsidRPr="00152BE4" w:rsidRDefault="00F5194B" w:rsidP="00152BE4">
      <w:pPr>
        <w:spacing w:line="240" w:lineRule="auto"/>
        <w:rPr>
          <w:szCs w:val="22"/>
          <w:lang w:val="hu-HU"/>
        </w:rPr>
      </w:pPr>
    </w:p>
    <w:p w14:paraId="622442CF" w14:textId="77777777" w:rsidR="00F45C51" w:rsidRPr="00152BE4" w:rsidRDefault="00722712" w:rsidP="00152BE4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152BE4">
        <w:rPr>
          <w:rFonts w:eastAsia="Times New Roman"/>
          <w:b/>
          <w:snapToGrid/>
          <w:szCs w:val="22"/>
          <w:lang w:val="hu-HU" w:eastAsia="en-US"/>
        </w:rPr>
        <w:t>4.9</w:t>
      </w:r>
      <w:r w:rsidRPr="00152BE4">
        <w:rPr>
          <w:rFonts w:eastAsia="Times New Roman"/>
          <w:b/>
          <w:snapToGrid/>
          <w:szCs w:val="22"/>
          <w:lang w:val="hu-HU" w:eastAsia="en-US"/>
        </w:rPr>
        <w:tab/>
        <w:t>Túladagolás</w:t>
      </w:r>
    </w:p>
    <w:p w14:paraId="2423E58E" w14:textId="77777777" w:rsidR="00F45C51" w:rsidRPr="00152BE4" w:rsidRDefault="00F45C51" w:rsidP="00152BE4">
      <w:pPr>
        <w:spacing w:line="240" w:lineRule="auto"/>
        <w:rPr>
          <w:szCs w:val="22"/>
          <w:lang w:val="hu-HU"/>
        </w:rPr>
      </w:pPr>
    </w:p>
    <w:p w14:paraId="0A8ABA1F" w14:textId="0A9238BC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klinikai vizsgálatok során három esetben fordult elő véletlen túladagolás. Mindegyik gyermekeknél történt, akik a vorikonazol ajánlott intravénás dózisának legfeljebb ötszörösét kapták. Mellékhatásként egy esetben 10</w:t>
      </w:r>
      <w:r w:rsidR="00F33A8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percig tartó fotofóbiát jelentettek.</w:t>
      </w:r>
    </w:p>
    <w:p w14:paraId="6A9E0604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712E81E" w14:textId="30D15B08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vorikonazolnak nincs ismert antidotuma.</w:t>
      </w:r>
    </w:p>
    <w:p w14:paraId="4931648C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B5F8ADB" w14:textId="20981B36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Hemodialízis során a vorikonazol clearance</w:t>
      </w:r>
      <w:r w:rsidR="00F33A8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 121</w:t>
      </w:r>
      <w:r w:rsidR="00490B5E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/perc. Az intravénás segédanyag </w:t>
      </w:r>
      <w:r w:rsidR="002125B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2125B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2125B1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hidroxipropil-betadex </w:t>
      </w:r>
      <w:r w:rsidR="003F6F7C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clearance</w:t>
      </w:r>
      <w:r w:rsidR="00F33A82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 </w:t>
      </w:r>
      <w:r w:rsidR="00F33A82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dialízis során </w:t>
      </w:r>
      <w:r w:rsidR="002125B1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37,5</w:t>
      </w:r>
      <w:r w:rsidR="00F33A82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2125B1" w:rsidRPr="00B657A9">
        <w:rPr>
          <w:szCs w:val="22"/>
          <w:lang w:val="hu-HU"/>
        </w:rPr>
        <w:t>±</w:t>
      </w:r>
      <w:r w:rsidR="00F33A82" w:rsidRPr="00B657A9">
        <w:rPr>
          <w:szCs w:val="22"/>
          <w:lang w:val="hu-HU"/>
        </w:rPr>
        <w:t> </w:t>
      </w:r>
      <w:r w:rsidR="002125B1" w:rsidRPr="00B657A9">
        <w:rPr>
          <w:szCs w:val="22"/>
          <w:lang w:val="hu-HU"/>
        </w:rPr>
        <w:t>24 </w:t>
      </w:r>
      <w:r w:rsidR="00490B5E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ml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/perc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. Túladagolás esetén a hemodialízis segítheti a vorikonazol és a</w:t>
      </w:r>
      <w:r w:rsidR="002125B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2125B1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hidroxipropil-betadex</w:t>
      </w:r>
      <w:r w:rsidR="002125B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szervezetből való kiürülését.</w:t>
      </w:r>
    </w:p>
    <w:p w14:paraId="3D9B6B77" w14:textId="77777777" w:rsidR="00F45C51" w:rsidRPr="00152BE4" w:rsidRDefault="00F45C51" w:rsidP="00152BE4">
      <w:pPr>
        <w:spacing w:line="240" w:lineRule="auto"/>
        <w:rPr>
          <w:szCs w:val="22"/>
          <w:lang w:val="hu-HU"/>
        </w:rPr>
      </w:pPr>
    </w:p>
    <w:p w14:paraId="0E769AA9" w14:textId="77777777" w:rsidR="00F45C51" w:rsidRPr="00152BE4" w:rsidRDefault="00F45C51" w:rsidP="00152BE4">
      <w:pPr>
        <w:spacing w:line="240" w:lineRule="auto"/>
        <w:rPr>
          <w:szCs w:val="22"/>
          <w:lang w:val="hu-HU"/>
        </w:rPr>
      </w:pPr>
    </w:p>
    <w:p w14:paraId="7718047B" w14:textId="77777777" w:rsidR="00F45C51" w:rsidRPr="00152BE4" w:rsidRDefault="00722712" w:rsidP="00152BE4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152BE4">
        <w:rPr>
          <w:rFonts w:eastAsia="Times New Roman"/>
          <w:b/>
          <w:snapToGrid/>
          <w:szCs w:val="22"/>
          <w:lang w:val="hu-HU" w:eastAsia="en-US"/>
        </w:rPr>
        <w:t>5.</w:t>
      </w:r>
      <w:r w:rsidRPr="00152BE4">
        <w:rPr>
          <w:rFonts w:eastAsia="Times New Roman"/>
          <w:b/>
          <w:snapToGrid/>
          <w:szCs w:val="22"/>
          <w:lang w:val="hu-HU" w:eastAsia="en-US"/>
        </w:rPr>
        <w:tab/>
        <w:t>FARMAKOLÓGIAI TULAJDONSÁGOK</w:t>
      </w:r>
    </w:p>
    <w:p w14:paraId="6F70E0A3" w14:textId="77777777" w:rsidR="00F45C51" w:rsidRPr="00152BE4" w:rsidRDefault="00F45C51" w:rsidP="00152BE4">
      <w:pPr>
        <w:spacing w:line="240" w:lineRule="auto"/>
        <w:rPr>
          <w:snapToGrid/>
          <w:szCs w:val="22"/>
          <w:lang w:val="hu-HU" w:eastAsia="en-US"/>
        </w:rPr>
      </w:pPr>
    </w:p>
    <w:p w14:paraId="5866B417" w14:textId="77777777" w:rsidR="00F45C51" w:rsidRPr="00152BE4" w:rsidRDefault="00722712" w:rsidP="00152BE4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152BE4">
        <w:rPr>
          <w:rFonts w:eastAsia="Times New Roman"/>
          <w:b/>
          <w:snapToGrid/>
          <w:szCs w:val="22"/>
          <w:lang w:val="hu-HU" w:eastAsia="en-US"/>
        </w:rPr>
        <w:t>5.1</w:t>
      </w:r>
      <w:r w:rsidRPr="00152BE4">
        <w:rPr>
          <w:rFonts w:eastAsia="Times New Roman"/>
          <w:b/>
          <w:snapToGrid/>
          <w:szCs w:val="22"/>
          <w:lang w:val="hu-HU" w:eastAsia="en-US"/>
        </w:rPr>
        <w:tab/>
        <w:t>Farmakodinámiás tulajdonságok</w:t>
      </w:r>
    </w:p>
    <w:p w14:paraId="7717BF54" w14:textId="77777777" w:rsidR="00F45C51" w:rsidRPr="00152BE4" w:rsidRDefault="00F45C51" w:rsidP="00152BE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13E5B6" w14:textId="50E5A1D7" w:rsidR="00F45C51" w:rsidRPr="00152BE4" w:rsidRDefault="00722712" w:rsidP="00152BE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152BE4">
        <w:rPr>
          <w:rFonts w:eastAsia="Times New Roman"/>
          <w:snapToGrid/>
          <w:szCs w:val="22"/>
          <w:lang w:val="hu-HU" w:eastAsia="en-US"/>
        </w:rPr>
        <w:t xml:space="preserve">Farmakoterápiás csoport: </w:t>
      </w:r>
      <w:r w:rsidR="00D46837" w:rsidRPr="00152BE4">
        <w:rPr>
          <w:color w:val="000000"/>
          <w:szCs w:val="22"/>
          <w:lang w:val="hu-HU"/>
        </w:rPr>
        <w:t>Szisztémás gombaellenes gyógyszerek, triazol</w:t>
      </w:r>
      <w:r w:rsidR="006E251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D46837" w:rsidRPr="00152BE4">
        <w:rPr>
          <w:color w:val="000000"/>
          <w:szCs w:val="22"/>
          <w:lang w:val="hu-HU"/>
        </w:rPr>
        <w:t>származékok, ATC</w:t>
      </w:r>
      <w:r w:rsidR="006E251F" w:rsidRPr="00152BE4">
        <w:rPr>
          <w:color w:val="000000"/>
          <w:szCs w:val="22"/>
          <w:lang w:val="hu-HU"/>
        </w:rPr>
        <w:t> </w:t>
      </w:r>
      <w:r w:rsidR="00D46837" w:rsidRPr="00152BE4">
        <w:rPr>
          <w:color w:val="000000"/>
          <w:szCs w:val="22"/>
          <w:lang w:val="hu-HU"/>
        </w:rPr>
        <w:t>kód:</w:t>
      </w:r>
      <w:r w:rsidR="006E251F" w:rsidRPr="00152BE4">
        <w:rPr>
          <w:color w:val="000000"/>
          <w:szCs w:val="22"/>
          <w:lang w:val="hu-HU"/>
        </w:rPr>
        <w:t> </w:t>
      </w:r>
      <w:r w:rsidR="00D46837" w:rsidRPr="00152BE4">
        <w:rPr>
          <w:color w:val="000000"/>
          <w:szCs w:val="22"/>
          <w:lang w:val="hu-HU"/>
        </w:rPr>
        <w:t>J02A C03</w:t>
      </w:r>
    </w:p>
    <w:p w14:paraId="47605C0C" w14:textId="77777777" w:rsidR="00F45C51" w:rsidRPr="00152BE4" w:rsidRDefault="00F45C51" w:rsidP="00152BE4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85B9666" w14:textId="1C1B28B4" w:rsidR="00F45C51" w:rsidRPr="00152BE4" w:rsidRDefault="00722712" w:rsidP="00152BE4">
      <w:pPr>
        <w:spacing w:line="240" w:lineRule="auto"/>
        <w:rPr>
          <w:szCs w:val="22"/>
          <w:u w:val="single"/>
          <w:lang w:val="hu-HU"/>
        </w:rPr>
      </w:pPr>
      <w:r w:rsidRPr="00152BE4">
        <w:rPr>
          <w:szCs w:val="22"/>
          <w:u w:val="single"/>
          <w:lang w:val="hu-HU"/>
        </w:rPr>
        <w:t>Hatásmechanizmus</w:t>
      </w:r>
    </w:p>
    <w:p w14:paraId="4F296F0D" w14:textId="086B4B19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vorikonazol egy triazol típusú gombaellenes szer. A vorikonazol elsődleges hatásmechanizmusa </w:t>
      </w:r>
      <w:r w:rsidR="00CA32F6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gomba ergoszterin-bioszintézis esszenciális lépésének,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gomba citokróm</w:t>
      </w:r>
      <w:r w:rsidR="006E251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P450 által mediált 14</w:t>
      </w:r>
      <w:r w:rsidR="006E251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alfa</w:t>
      </w:r>
      <w:r w:rsidR="006E251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szterol demetilációjá</w:t>
      </w:r>
      <w:r w:rsidR="006E251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nak gátlása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. A 14</w:t>
      </w:r>
      <w:r w:rsidR="006E251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alfa-metil-szterol felhalmozódása összefüggésben van a gomba sejtfalában lévő ergoszterol következetes csökkenésével</w:t>
      </w:r>
      <w:r w:rsidR="00CA32F6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feltételezhetően ez eredményezi a vorikonazol gombaellenes hatását. A vorikonazol a gombák citokróm</w:t>
      </w:r>
      <w:r w:rsidR="00CA32F6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P450 enzim rendszerére szelektívebb, mint különböző emlősök citokróm</w:t>
      </w:r>
      <w:r w:rsidR="00CA32F6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P450 enzim rendszerére.</w:t>
      </w:r>
    </w:p>
    <w:p w14:paraId="05BED5A0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396336C" w14:textId="02341A3B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Farmakokinetikai/</w:t>
      </w:r>
      <w:r w:rsidR="00CA5C62"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f</w:t>
      </w: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armakodinám</w:t>
      </w:r>
      <w:r w:rsidR="00465E99"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i</w:t>
      </w: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ás összefüggések</w:t>
      </w:r>
    </w:p>
    <w:p w14:paraId="343F66B7" w14:textId="2C7CB0FB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Tíz terápiás vizsgálat során a</w:t>
      </w:r>
      <w:r w:rsidR="0096735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résztvevők egyedi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átlagos és maximális plazmakoncentrációjának középértéke 2425</w:t>
      </w:r>
      <w:r w:rsidR="00880D08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ng/ml (interkvartilis tartomány 1193</w:t>
      </w:r>
      <w:r w:rsidR="0096735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és 4380</w:t>
      </w:r>
      <w:r w:rsidR="00880D08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ng/ml között), illetve 3742</w:t>
      </w:r>
      <w:r w:rsidR="00880D08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ng/ml (interkvartilis tartomány 2027</w:t>
      </w:r>
      <w:r w:rsidR="0096735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és 6302</w:t>
      </w:r>
      <w:r w:rsidR="00880D08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ng/ml között) volt. Az átlagos, maximális és minimális vorikonazol</w:t>
      </w:r>
      <w:r w:rsidR="0096735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plazmakoncentráció és a hatásosság között nem találtak szoros összefüggést a terápiás vizsgálatok során, és a profilaktikus vizsgálatok során ezt a kapcsolatot nem vizsgálták.</w:t>
      </w:r>
    </w:p>
    <w:p w14:paraId="57B28333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F5441F5" w14:textId="7929E7E7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klinikai vizsgálatok adatainak farmakokinetikai és farmakodinámiai elemzése szoros összefüggést mutatott a vorikonazol plazmakoncentrációja és a májfunkciós vizsgálati értékek eltérései, illetve a látászavarok között. A profilaktikus vizsgálatok során dózismódosítást nem vizsgáltak.</w:t>
      </w:r>
    </w:p>
    <w:p w14:paraId="207F23C1" w14:textId="77777777" w:rsidR="00D46837" w:rsidRPr="00152BE4" w:rsidRDefault="00D46837" w:rsidP="00152BE4">
      <w:pPr>
        <w:spacing w:line="240" w:lineRule="auto"/>
        <w:rPr>
          <w:szCs w:val="22"/>
          <w:u w:val="single"/>
          <w:lang w:val="hu-HU"/>
        </w:rPr>
      </w:pPr>
    </w:p>
    <w:p w14:paraId="439F81F9" w14:textId="4E8B2FC9" w:rsidR="00F45C51" w:rsidRPr="00152BE4" w:rsidRDefault="00722712" w:rsidP="00152BE4">
      <w:pPr>
        <w:spacing w:line="240" w:lineRule="auto"/>
        <w:rPr>
          <w:szCs w:val="22"/>
          <w:u w:val="single"/>
          <w:lang w:val="hu-HU"/>
        </w:rPr>
      </w:pPr>
      <w:r w:rsidRPr="00152BE4">
        <w:rPr>
          <w:szCs w:val="22"/>
          <w:u w:val="single"/>
          <w:lang w:val="hu-HU"/>
        </w:rPr>
        <w:t>Klinikai hatásosság és biztonságosság</w:t>
      </w:r>
    </w:p>
    <w:p w14:paraId="32A60303" w14:textId="776FE1EB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96735D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vitro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vorikonazol széles spektrumú gombaellenes aktivitást mutat. Antifungalis hatású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Candida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fajokra (beleértve a flukonazol</w:t>
      </w:r>
      <w:r w:rsidR="0096735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rezisztens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</w:t>
      </w:r>
      <w:r w:rsidR="0096735D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krusei</w:t>
      </w:r>
      <w:r w:rsidR="0096735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="0096735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rezisztens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</w:t>
      </w:r>
      <w:r w:rsidR="0096735D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glabrata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96735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és </w:t>
      </w:r>
      <w:r w:rsidR="0096735D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 albicans</w:t>
      </w:r>
      <w:r w:rsidR="0096735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törzseket is), és fungicid hatása van az összes vizsgált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Aspergillus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fajra. Továbbá a vorikonazol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96735D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vitro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fungicid hatást mutat az újabban előtérbe kerülő gombás kórokozók ellen, beleértve olyanokat, mint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Scedosporium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Fusarium,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amelyek korlátozottan érzékenyek a meglévő gombaellenes szerekre.</w:t>
      </w:r>
    </w:p>
    <w:p w14:paraId="61A46BD9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</w:pPr>
    </w:p>
    <w:p w14:paraId="75F42023" w14:textId="13E4AA62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Klinikai hatásosságot (definíció szerint: teljes vagy részleges válasz) mutatott 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Aspergillus</w:t>
      </w:r>
      <w:r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, beleértve 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A.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flavus, A.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fumigatus, A.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terreus, A.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niger, A.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nidulans; Candida</w:t>
      </w:r>
      <w:r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, beleértve 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C.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albicans, C.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glabrata, C.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krusei, C.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parapsilosis, C.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tropicalis</w:t>
      </w:r>
      <w:r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valamint a 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C.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dubliniensis, C.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inconspicua</w:t>
      </w:r>
      <w:r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és a 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C.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guilliermondii</w:t>
      </w:r>
      <w:r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korlátozott esetei; 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Scedosporium</w:t>
      </w:r>
      <w:r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shd w:val="clear" w:color="auto" w:fill="FFFFFF"/>
          <w:lang w:val="hu-HU" w:eastAsia="hu-HU" w:bidi="hu-HU"/>
        </w:rPr>
        <w:t xml:space="preserve">, beleértve 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S.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apiospermum,</w:t>
      </w:r>
      <w:r w:rsidR="00880D08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 xml:space="preserve"> </w:t>
      </w:r>
      <w:bookmarkStart w:id="13" w:name="bookmark70"/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S</w:t>
      </w:r>
      <w:bookmarkEnd w:id="13"/>
      <w:r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.</w:t>
      </w:r>
      <w:r w:rsidR="00423679" w:rsidRPr="00152BE4">
        <w:rPr>
          <w:rFonts w:eastAsia="Times New Roman"/>
          <w:i/>
          <w:iCs/>
          <w:snapToGrid/>
          <w:color w:val="000000"/>
          <w:szCs w:val="22"/>
          <w:shd w:val="clear" w:color="auto" w:fill="FFFFFF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prolificans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Fusarium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esetében.</w:t>
      </w:r>
    </w:p>
    <w:p w14:paraId="3A16C1F1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181C6CB" w14:textId="7434A7F5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Egyéb kezelt gombás fertőzések (gyakran részleges vagy teljes válasszal) között megtalálhatók az alábbiak izolált esetei: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Alternaria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Blastomyces dermatitidis, Blastoschizomyces capitatus, Cladosporium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Coccidioides immitis, Conidiobolus coronatus, Cryptococcus neoformans, Exserohilum rostratum, Exophiala spinifera, Fonsecaea</w:t>
      </w:r>
      <w:r w:rsidR="00465E99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pedrosoi, Madurella mycetomatis, Paecilomyces lilacinus, Penicillium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beleértve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P.</w:t>
      </w:r>
      <w:r w:rsidR="00AB1492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marneffei, Phialophora richardsiae, Scopulariopsis brevicaulis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Trichosporon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beleértve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T.</w:t>
      </w:r>
      <w:r w:rsidR="00AB1492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beigelii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fertőzések is.</w:t>
      </w:r>
    </w:p>
    <w:p w14:paraId="2485F90F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5AB418C2" w14:textId="5F827212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B6358D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vitro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aktivitást tapasztaltak klinikai izolátumok ellen a következő esetekben: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Acremonium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Alternaria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Bipolaris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Cladophialophora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spp.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Histoplasma capsulatum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. A legtöbb törzset a 0,05</w:t>
      </w:r>
      <w:r w:rsidR="00B6358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2</w:t>
      </w:r>
      <w:r w:rsidR="00880D08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mikrogramm/ml közti vorikonazol</w:t>
      </w:r>
      <w:r w:rsidR="00B6358D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koncentráció gátolta.</w:t>
      </w:r>
    </w:p>
    <w:p w14:paraId="07082452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4A26C176" w14:textId="02D9E26C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3727A9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vitro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aktivitás mutatkozott a következő kórokozók ellen, bár klinikai jelentősége nem ismert: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Curvularia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spp.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és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Sporothrix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465E99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spp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0EBC57D7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4BD8B6CA" w14:textId="5E661EE6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Határértékek</w:t>
      </w:r>
    </w:p>
    <w:p w14:paraId="53E944F0" w14:textId="1A77E239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kezelés megkezdése előtt mintát kell venni gombatenyésztésre és egyéb releváns laboratóriumi vizsgálatokat (szerológiai, hisztopatológiai) is el kell végezni a kiváltó kórokozó izolálása és azonosítása céljából. A kezelést a tenyésztés és a laboratóriumi vizsgálatok eredményének ismertté válása előtt is el lehet kezdeni, </w:t>
      </w:r>
      <w:r w:rsidR="008D4B30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azonban</w:t>
      </w:r>
      <w:r w:rsidR="008D4B3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mihelyt ezek az eredmények hozzáférhetők, a fertőzés elleni kezelést ennek megfelelően módosítani kell.</w:t>
      </w:r>
    </w:p>
    <w:p w14:paraId="2F7371EE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706980F" w14:textId="13C6D78D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humán fertőzések kialakulásáért leggyakrabban felelős fajok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</w:t>
      </w:r>
      <w:r w:rsidR="00192D21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albicans,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</w:t>
      </w:r>
      <w:r w:rsidR="00192D21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parapsilosis,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</w:t>
      </w:r>
      <w:r w:rsidR="00880D08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tropicalis,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</w:t>
      </w:r>
      <w:r w:rsidR="00192D21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glabrata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</w:t>
      </w:r>
      <w:r w:rsidR="00192D21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krusei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 melyek mindegyiknél a vorikonazol minimális gátló koncentrációja (MIC</w:t>
      </w:r>
      <w:r w:rsidR="00192D2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értéke) általában kisebb mint 1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/l.</w:t>
      </w:r>
    </w:p>
    <w:p w14:paraId="7AC883FC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3044E5E" w14:textId="6B476D23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Ugyanakkor, a vorikonazol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Candida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fajokkal szembeni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C61031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vitro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aktivitása nem egységes. Specifikusan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</w:t>
      </w:r>
      <w:r w:rsidR="00C61031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glabrata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esetén, a vorikonazolnak a flukonazol-rezisztens izolátumoknál mért MIC</w:t>
      </w:r>
      <w:r w:rsidR="00C6103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értékei magasabbak voltak, mint a flukonazolra érzékeny izolátumoknál. Ezért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Candida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faj-szintű meghatározását mindenképpen meg kell próbálni. Amennyiben antifungális szerekre való érzékenységi vizsgálat elvégzése lehetséges, a mért MIC</w:t>
      </w:r>
      <w:r w:rsidR="00C6103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értékek interpretálása történhet az European</w:t>
      </w:r>
      <w:r w:rsidR="00AD076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Committee on Antimicrobial Susceptibility Testing (EUCAST) </w:t>
      </w:r>
      <w:r w:rsidR="00AD0767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á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ltal meghatározott határérték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softHyphen/>
        <w:t>kritériumok alapján.</w:t>
      </w:r>
    </w:p>
    <w:p w14:paraId="3A1EDA57" w14:textId="77777777" w:rsidR="00880D08" w:rsidRPr="00152BE4" w:rsidRDefault="00880D08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5EAF57C" w14:textId="5DDFDB32" w:rsidR="00FA4030" w:rsidRPr="00B657A9" w:rsidRDefault="00FA4030" w:rsidP="00152BE4">
      <w:pPr>
        <w:tabs>
          <w:tab w:val="clear" w:pos="567"/>
        </w:tabs>
        <w:suppressAutoHyphens/>
        <w:spacing w:line="240" w:lineRule="auto"/>
        <w:rPr>
          <w:rFonts w:eastAsia="Times New Roman"/>
          <w:snapToGrid/>
          <w:szCs w:val="22"/>
          <w:u w:val="single"/>
          <w:lang w:val="hu-HU" w:eastAsia="ar-SA"/>
        </w:rPr>
      </w:pPr>
      <w:r w:rsidRPr="00B657A9">
        <w:rPr>
          <w:rFonts w:eastAsia="Times New Roman"/>
          <w:snapToGrid/>
          <w:szCs w:val="22"/>
          <w:u w:val="single"/>
          <w:lang w:val="hu-HU" w:eastAsia="ar-SA"/>
        </w:rPr>
        <w:t xml:space="preserve">Érzékenységi </w:t>
      </w:r>
      <w:r w:rsidR="00B657A9">
        <w:rPr>
          <w:rFonts w:eastAsia="Times New Roman"/>
          <w:snapToGrid/>
          <w:szCs w:val="22"/>
          <w:u w:val="single"/>
          <w:lang w:val="hu-HU" w:eastAsia="ar-SA"/>
        </w:rPr>
        <w:t xml:space="preserve">vizsgálat </w:t>
      </w:r>
      <w:r w:rsidRPr="00B657A9">
        <w:rPr>
          <w:rFonts w:eastAsia="Times New Roman"/>
          <w:snapToGrid/>
          <w:szCs w:val="22"/>
          <w:u w:val="single"/>
          <w:lang w:val="hu-HU" w:eastAsia="ar-SA"/>
        </w:rPr>
        <w:t>határértéke</w:t>
      </w:r>
      <w:r w:rsidR="00B657A9">
        <w:rPr>
          <w:rFonts w:eastAsia="Times New Roman"/>
          <w:snapToGrid/>
          <w:szCs w:val="22"/>
          <w:u w:val="single"/>
          <w:lang w:val="hu-HU" w:eastAsia="ar-SA"/>
        </w:rPr>
        <w:t>i</w:t>
      </w:r>
    </w:p>
    <w:p w14:paraId="21D84C26" w14:textId="2B0835FD" w:rsidR="00FA4030" w:rsidRPr="00152BE4" w:rsidRDefault="008B7F7C" w:rsidP="00152BE4">
      <w:pPr>
        <w:tabs>
          <w:tab w:val="clear" w:pos="567"/>
        </w:tabs>
        <w:suppressAutoHyphens/>
        <w:spacing w:line="240" w:lineRule="auto"/>
        <w:rPr>
          <w:rFonts w:eastAsia="Times New Roman"/>
          <w:snapToGrid/>
          <w:szCs w:val="22"/>
          <w:lang w:val="hu-HU" w:eastAsia="ar-SA"/>
        </w:rPr>
      </w:pPr>
      <w:r w:rsidRPr="00B657A9">
        <w:rPr>
          <w:rFonts w:eastAsia="Times New Roman"/>
          <w:snapToGrid/>
          <w:szCs w:val="22"/>
          <w:lang w:val="hu-HU" w:eastAsia="ar-SA"/>
        </w:rPr>
        <w:t>A European Committee on Antimicrobial Susceptibility Testing (EUCAST) a vorikonazol vonatkozásában megállapította az érzékenységi vizsgálathoz a MIC (minimális gátló koncentráció) értelmezési kritériumait, amelyek felsorolása itt található</w:t>
      </w:r>
      <w:r w:rsidR="00FA4030" w:rsidRPr="00B657A9">
        <w:rPr>
          <w:rFonts w:eastAsia="Times New Roman"/>
          <w:snapToGrid/>
          <w:szCs w:val="22"/>
          <w:lang w:val="hu-HU" w:eastAsia="ar-SA"/>
        </w:rPr>
        <w:t xml:space="preserve">: </w:t>
      </w:r>
      <w:hyperlink w:history="1">
        <w:r w:rsidR="00FA4030" w:rsidRPr="00B657A9">
          <w:rPr>
            <w:rFonts w:eastAsia="Times New Roman"/>
            <w:snapToGrid/>
            <w:color w:val="0033CC"/>
            <w:szCs w:val="22"/>
            <w:u w:val="single"/>
            <w:lang w:val="hu-HU" w:eastAsia="ar-SA"/>
          </w:rPr>
          <w:t>https://www.ema.europa.eu/documents/other/minimum-inhibitory-concentration-mic-breakpoints_hu.xlsx</w:t>
        </w:r>
      </w:hyperlink>
      <w:r w:rsidR="00FA4030" w:rsidRPr="00B657A9">
        <w:rPr>
          <w:rFonts w:eastAsia="Times New Roman"/>
          <w:snapToGrid/>
          <w:szCs w:val="22"/>
          <w:lang w:val="hu-HU" w:eastAsia="ar-SA"/>
        </w:rPr>
        <w:t>.</w:t>
      </w:r>
    </w:p>
    <w:p w14:paraId="72100C2A" w14:textId="77777777" w:rsidR="00FA4030" w:rsidRPr="00152BE4" w:rsidRDefault="00FA4030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CCA461B" w14:textId="77777777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Klinikai tapasztalat</w:t>
      </w:r>
    </w:p>
    <w:p w14:paraId="36F0420A" w14:textId="77777777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sikeres kezelést ebben a fejezetben teljes vagy részleges válaszként határozzuk meg.</w:t>
      </w:r>
    </w:p>
    <w:p w14:paraId="2B8FD80F" w14:textId="77777777" w:rsidR="00EF39FF" w:rsidRPr="00152BE4" w:rsidRDefault="00EF39FF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</w:pPr>
    </w:p>
    <w:p w14:paraId="3A22575E" w14:textId="6161FB40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Aspergillus</w:t>
      </w: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fertőzések </w:t>
      </w:r>
      <w:r w:rsidR="00EF39FF"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–</w:t>
      </w: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hatásosság aspergillosisban szenvedő, rossz prognózisú betegeknél</w:t>
      </w:r>
    </w:p>
    <w:p w14:paraId="5CFCEE31" w14:textId="0178F7C0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vorikonazol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382D3F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vitro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fungicid hatással bír az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Aspergillus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25B2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spp.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ellen. Az akut invazív aspergillosis elsődleges kezelése során a vorikonazol hatásosságát és túlélési előnyét a hagyományos amfotericin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hez képest egy nyílt elrendezésű, randomizált, multicentrikus vizsgálatban bizonyították, amelyben 277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E96327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immunkomprimált</w:t>
      </w:r>
      <w:r w:rsidR="00E9632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beteget kezeltek 12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héten át. Az első 24</w:t>
      </w:r>
      <w:r w:rsidR="0000224A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órá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ban 12</w:t>
      </w:r>
      <w:r w:rsidR="0000224A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órá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nként intravénásan adott 6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/ttkg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os telítő dózist követően 12</w:t>
      </w:r>
      <w:r w:rsidR="0000224A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órá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nként 4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/ttkg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os fenntartó dózisban alkalmazták a vorikonazolt legalább 7</w:t>
      </w:r>
      <w:r w:rsidR="00AD4595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napon keresztül. Ezután lehetett átállni a 12</w:t>
      </w:r>
      <w:r w:rsidR="0000224A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órá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nként 200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82D3F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os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gyógyszerformával történő kezelésre. Az intravénás kezelés átlagos hossza 10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 volt (2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85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napos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tartományban). Az intravénás vorikonazol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kezelést követően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82D3F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alkalmazott terápia átlagos hossza 76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 volt (2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232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napos tartományban).</w:t>
      </w:r>
    </w:p>
    <w:p w14:paraId="07C80A98" w14:textId="77777777" w:rsidR="00EF39FF" w:rsidRPr="00152BE4" w:rsidRDefault="00EF39FF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E4AAF81" w14:textId="11E364B9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Kielégítő általános választ (a fertőzésnek tulajdonítható tünetek, a radiol</w:t>
      </w:r>
      <w:r w:rsidR="000C7C1E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ó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giai/bronchoscopos elváltozások teljes vagy részleges javulását) tapasztaltak a vorikonazollal kezelt betegek 53%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ánál, szemben az összehasonlító gyógyszerrel kezelt betegek 31%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ával. A vorikonazol 84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napos túlélési rátája statisztikailag szignifikánsan jobb volt, mint az összehasonlító gyógyszer esetében, valamint klinikailag és statisztikailag szignifikáns előny mutatkozott mind a túlélés, mind pedig a toxicitás miatti megszakításig eltelt idő szempontjából a vorikonazol javára.</w:t>
      </w:r>
    </w:p>
    <w:p w14:paraId="4ED18E5E" w14:textId="77777777" w:rsidR="000C7C1E" w:rsidRPr="00152BE4" w:rsidRDefault="000C7C1E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23BE2AC" w14:textId="4236D8AD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Ez a vizsgálat megerősítette egy korábbi prospektív vizsgálat eredményeit, amelyben pozitív eredmény mutatkozott rossz prognózisú betegeknél, beleértve a graft versus host betegséget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különösképpen az agyi infekciókat (amelyek rendszerint majdnem 100%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os mortalitással járnak).</w:t>
      </w:r>
    </w:p>
    <w:p w14:paraId="63167B66" w14:textId="77777777" w:rsidR="000C7C1E" w:rsidRPr="00152BE4" w:rsidRDefault="000C7C1E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E73AF3D" w14:textId="5AEAC39B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vizsgálatokban kezeltek agyi, sinus, tüdő és disszeminált aspergillosist csontvelő- és szervátültetetéses, rosszindulatú hematológiai betegségekben, daganatos betegségben és AIDS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ben szenvedő betegeket is.</w:t>
      </w:r>
    </w:p>
    <w:p w14:paraId="7ECB4175" w14:textId="77777777" w:rsidR="000C7C1E" w:rsidRPr="00152BE4" w:rsidRDefault="000C7C1E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71666F8" w14:textId="584F8C6E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Candidaemia nem neutropéniás betegekben</w:t>
      </w:r>
    </w:p>
    <w:p w14:paraId="0178E73A" w14:textId="1070D145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Egy nyílt elrendezésű, összehasonlító vizsgálat mutatta ki a vorikonazol és amfotericin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 követő flukonazol séma hatásosságát candidaemia elsődleges kezelésében. 370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nem neutropéniás</w:t>
      </w:r>
      <w:r w:rsidR="00325B2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igazoltan candidaemiás beteget (12</w:t>
      </w:r>
      <w:r w:rsidR="00141680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felettiek) vontak be a vizsgálatba, közülük 248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at vorikonazollal kezeltek. </w:t>
      </w:r>
      <w:r w:rsidR="000C7C1E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vorikonazol csoportból kilenc alanynak, az amfotericin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 követő flukonazol csoportból </w:t>
      </w:r>
      <w:r w:rsidR="00AD4595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öt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alanynak mikológiailag igazolt mély szöveti fertőzése is volt. A veseelégtelenségben szenvedő betegeket kizárták a vizsgálatból. A közepes kezelési időtartam mindkét karon 15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 volt. Az elsődleges elemzésben a gyógyszert nem ismerő Adatellenőrzési Bizottság (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Data Review Committee</w:t>
      </w:r>
      <w:r w:rsidR="00382D3F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 –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DRC) értékelte a sikeres választ, melyet a kezelés befejezése után (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End of Therapy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EOT) 12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héttel a fertőzés valamennyi klinikai jelének és tünetének megszűnésével/javulásával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Candida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vérből, illetve a mély szövetekből történő eradikációjával definiáltak. Azon betegeket, akiket a kezelés befejezése után 12</w:t>
      </w:r>
      <w:r w:rsidR="00AD4595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héttel nem értékeltek, sikertelen esetnek nyilvánították. Ebben az elemzésben mindkét karon a sikeres válaszok aránya 41% volt.</w:t>
      </w:r>
    </w:p>
    <w:p w14:paraId="1792730F" w14:textId="77777777" w:rsidR="000C7C1E" w:rsidRPr="00152BE4" w:rsidRDefault="000C7C1E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8B9B4AE" w14:textId="140193BD" w:rsidR="00D50FA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másodlagos elemzés alapján, mely a DRC által az utolsó értékelhető időpontban végzett felmérés eredményét használta fel (EOT, illetve azt követő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en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2, 6 vagy 12</w:t>
      </w:r>
      <w:r w:rsidR="00EF39F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héttel), a vorikonazol és az amfotericin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 követő flukonazol séma sikeres válaszának aránya 65%, illetve 71% volt.</w:t>
      </w:r>
    </w:p>
    <w:p w14:paraId="09FA2C1D" w14:textId="77777777" w:rsidR="00D50FA7" w:rsidRPr="00152BE4" w:rsidRDefault="00D50FA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64B5937" w14:textId="27552F09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vizsgálók által ezen időpontokban meghatározott sikeres kimenetel az alábbi táblázatban látható.</w:t>
      </w:r>
    </w:p>
    <w:p w14:paraId="528ABCCC" w14:textId="77777777" w:rsidR="00D50FA7" w:rsidRPr="00152BE4" w:rsidRDefault="00D50FA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18"/>
        <w:gridCol w:w="1987"/>
        <w:gridCol w:w="3418"/>
      </w:tblGrid>
      <w:tr w:rsidR="00D46837" w:rsidRPr="00152BE4" w14:paraId="2ACB5C09" w14:textId="77777777" w:rsidTr="00382D3F">
        <w:trPr>
          <w:cantSplit/>
          <w:trHeight w:hRule="exact" w:val="586"/>
          <w:tblHeader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AA4ED9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Időpont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9FC532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Vorikonazol</w:t>
            </w:r>
          </w:p>
          <w:p w14:paraId="675CCF9A" w14:textId="7492B9DE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(</w:t>
            </w:r>
            <w:r w:rsidR="00D50FA7"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n </w:t>
            </w: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=</w:t>
            </w:r>
            <w:r w:rsidR="00D50FA7"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248)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9528E0" w14:textId="228BCD51" w:rsidR="00D46837" w:rsidRPr="00152BE4" w:rsidRDefault="00D46837" w:rsidP="00152BE4">
            <w:pPr>
              <w:widowControl w:val="0"/>
              <w:tabs>
                <w:tab w:val="clear" w:pos="567"/>
                <w:tab w:val="left" w:pos="1637"/>
              </w:tabs>
              <w:spacing w:line="240" w:lineRule="auto"/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Amfotericin</w:t>
            </w:r>
            <w:r w:rsidR="00382D3F" w:rsidRPr="00152BE4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152BE4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B</w:t>
            </w:r>
            <w:r w:rsidR="00D50FA7" w:rsidRPr="00152BE4">
              <w:rPr>
                <w:b/>
                <w:i/>
                <w:iCs/>
                <w:szCs w:val="22"/>
                <w:lang w:val="hu-HU"/>
              </w:rPr>
              <w:t>→</w:t>
            </w:r>
            <w:r w:rsidRPr="00152BE4">
              <w:rPr>
                <w:rFonts w:eastAsia="Times New Roman"/>
                <w:b/>
                <w:bCs/>
                <w:i/>
                <w:iCs/>
                <w:snapToGrid/>
                <w:color w:val="000000"/>
                <w:szCs w:val="22"/>
                <w:lang w:val="hu-HU" w:eastAsia="hu-HU" w:bidi="hu-HU"/>
              </w:rPr>
              <w:t>flukonazol</w:t>
            </w:r>
          </w:p>
          <w:p w14:paraId="6B4E02B9" w14:textId="3B531065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(</w:t>
            </w:r>
            <w:r w:rsidR="00D50FA7"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n </w:t>
            </w: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=</w:t>
            </w:r>
            <w:r w:rsidR="00D50FA7"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122)</w:t>
            </w:r>
          </w:p>
        </w:tc>
      </w:tr>
      <w:tr w:rsidR="00D46837" w:rsidRPr="00D46837" w14:paraId="54C29B7F" w14:textId="77777777" w:rsidTr="00D5652F">
        <w:trPr>
          <w:trHeight w:hRule="exact" w:val="298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967D3D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EOT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64F814C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178 (72%)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202F48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88 (72%)</w:t>
            </w:r>
          </w:p>
        </w:tc>
      </w:tr>
      <w:tr w:rsidR="00D46837" w:rsidRPr="00D46837" w14:paraId="71B78D75" w14:textId="77777777" w:rsidTr="00D5652F">
        <w:trPr>
          <w:trHeight w:hRule="exact" w:val="269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D435C5" w14:textId="2D5CC99F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</w:t>
            </w:r>
            <w:r w:rsidR="00A521C6"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héttel a kezelés befejezése után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01FB038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125 (50%)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B80C2B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62 (51%)</w:t>
            </w:r>
          </w:p>
        </w:tc>
      </w:tr>
      <w:tr w:rsidR="00D46837" w:rsidRPr="00D46837" w14:paraId="07A6FD09" w14:textId="77777777" w:rsidTr="00D5652F">
        <w:trPr>
          <w:trHeight w:hRule="exact" w:val="283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BAB86B" w14:textId="7D891971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</w:t>
            </w:r>
            <w:r w:rsidR="00A521C6"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héttel a kezelés befejezése után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419E89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104 (42%)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6BDA6B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55 (45%)</w:t>
            </w:r>
          </w:p>
        </w:tc>
      </w:tr>
      <w:tr w:rsidR="00D46837" w:rsidRPr="00D46837" w14:paraId="6C4798AE" w14:textId="77777777" w:rsidTr="00D5652F">
        <w:trPr>
          <w:trHeight w:hRule="exact" w:val="312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4604A8" w14:textId="566A3946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</w:t>
            </w:r>
            <w:r w:rsidR="00A521C6"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héttel a kezelés befejezése után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2D7853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104 (42%)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DD316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51 (42%)</w:t>
            </w:r>
          </w:p>
        </w:tc>
      </w:tr>
    </w:tbl>
    <w:p w14:paraId="11B93311" w14:textId="77777777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Microsoft Sans Serif"/>
          <w:snapToGrid/>
          <w:color w:val="000000"/>
          <w:szCs w:val="22"/>
          <w:lang w:val="hu-HU" w:eastAsia="hu-HU" w:bidi="hu-HU"/>
        </w:rPr>
      </w:pPr>
    </w:p>
    <w:p w14:paraId="08E8BD5D" w14:textId="77777777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Súlyos, refrakter </w:t>
      </w:r>
      <w:r w:rsidRPr="00152BE4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Candida</w:t>
      </w: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fertőzések</w:t>
      </w:r>
    </w:p>
    <w:p w14:paraId="63B55660" w14:textId="0EC59B58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vizsgálat 55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súlyos, refrakter, szisztémás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Candida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fertőzésben (beleértve a candidaemiát, a disszeminált, vagy más invazív candidiasist) szenvedő beteget foglalt magában, akiknél a korábbi gombaellenes kezelés, főképpen flukonazollal, eredménytelennek bizonyult. A kezelésre adott válasz 24</w:t>
      </w:r>
      <w:r w:rsidR="009834C3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beteg esetében volt sikeres (15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teljes, 9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részleges válasz). A flukonazol-rezisztens nem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albicans 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fajok esetén a sikeres válaszok a következők voltak: 3/3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</w:t>
      </w:r>
      <w:r w:rsidR="00382D3F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krusei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(teljes válasz) és 6/8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C.</w:t>
      </w:r>
      <w:r w:rsidR="00382D3F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glabrata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(5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teljes, 1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részleges) fertőzés esetén. A klinikai eredményeket a csekélyszámú érzékenységi adat is megerősítette.</w:t>
      </w:r>
    </w:p>
    <w:p w14:paraId="03FAA2C6" w14:textId="77777777" w:rsidR="009D4154" w:rsidRPr="00152BE4" w:rsidRDefault="009D415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</w:pPr>
    </w:p>
    <w:p w14:paraId="3EBF868E" w14:textId="6E27B293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Scedosporium</w:t>
      </w: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és </w:t>
      </w:r>
      <w:r w:rsidRPr="00152BE4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Fusarium</w:t>
      </w: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fertőzések</w:t>
      </w:r>
    </w:p>
    <w:p w14:paraId="5499BBB8" w14:textId="77777777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 vorikonazol hatékonynak bizonyult a következő ritka kórokozó gombák ellen:</w:t>
      </w:r>
    </w:p>
    <w:p w14:paraId="49FB6818" w14:textId="77777777" w:rsidR="009D4154" w:rsidRPr="00152BE4" w:rsidRDefault="009D415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28C35C49" w14:textId="44A310FF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Scedosporium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fajok: 28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S.</w:t>
      </w:r>
      <w:r w:rsidR="00382D3F"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apiospermum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által fertőzött beteg közül 16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esetben (6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teljes, 10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részleges válasz) volt sikeres a vorikonazol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kezelés, 7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prolificans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fertőzöttből pedig 2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esetében (mindkettő részleges válasz). Továbbá 3</w:t>
      </w:r>
      <w:r w:rsidR="009834C3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beteg közül, akiknek a fertőzését egynél több organizmus okozta, beleértve </w:t>
      </w: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Scedosporium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fajokat, egy esetben tapasztaltak sikert.</w:t>
      </w:r>
    </w:p>
    <w:p w14:paraId="293A6862" w14:textId="77777777" w:rsidR="009D4154" w:rsidRPr="00152BE4" w:rsidRDefault="009D415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69B81936" w14:textId="54F9D5FB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Fusarium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fajok: 17</w:t>
      </w:r>
      <w:r w:rsidR="009834C3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betegből hetet (3</w:t>
      </w:r>
      <w:r w:rsidR="00382D3F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teljes, 4</w:t>
      </w:r>
      <w:r w:rsidR="003E38E8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részleges válasz) kezeltek sikeresen vorikonazollal. Ebből a 7</w:t>
      </w:r>
      <w:r w:rsidR="003E38E8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betegből háromnak szem, egynek sinus, háromnak pedig szisztémás fertőzése volt. További négy fusariosisban szenvedő betegnek volt számos más organizmus által okozott fertőzése is, közülük 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2</w:t>
      </w:r>
      <w:r w:rsidR="003E38E8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esetében volt sikeres a kezelés.</w:t>
      </w:r>
    </w:p>
    <w:p w14:paraId="1F7CF4B5" w14:textId="77777777" w:rsidR="009D4154" w:rsidRPr="00152BE4" w:rsidRDefault="009D415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13E3FA4" w14:textId="7371BA3E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Invazív gombás fertőzések (</w:t>
      </w:r>
      <w:r w:rsidR="003E38E8" w:rsidRPr="00B657A9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Invasive Fungal Infection</w:t>
      </w:r>
      <w:r w:rsidR="003E38E8"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– </w:t>
      </w: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IFI) elsődleges profilaxisa </w:t>
      </w:r>
      <w:r w:rsidR="003E38E8"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–</w:t>
      </w: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Hatásosság olyan HSCT</w:t>
      </w:r>
      <w:r w:rsidR="003E38E8"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recipienseknél, akiknél korábban nem állt fenn igazolt vagy valószínűsíthető IFI</w:t>
      </w:r>
    </w:p>
    <w:p w14:paraId="0DC22D84" w14:textId="77777777" w:rsidR="00BA50D2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Egy nyílt elrendezésű, összehasonlító, multicentrikus vizsgálatban elsődleges profilaxisként alkalmazott vorikonazolt és itrakonazolt hasonlítottak össze felnőtt és serdülőkorú, korábbi igazolt vagy valószínűsíthető IFI (invazív gombás fertőzés) nélküli, allogén HSCT</w:t>
      </w:r>
      <w:r w:rsidR="00BA50D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recipiensek</w:t>
      </w:r>
      <w:r w:rsidR="00BA50D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. Sikeres kimenetelnek az számított, ha a vizsgálati gyógyszerrel a profilaxist a HSCT</w:t>
      </w:r>
      <w:r w:rsidR="00BA50D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től számított 100</w:t>
      </w:r>
      <w:r w:rsidR="00FB28C1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napon keresztül lehetett folytatni (14</w:t>
      </w:r>
      <w:r w:rsidR="009834C3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napnál hosszabb megszakítás nélkül), valamint a HSCT</w:t>
      </w:r>
      <w:r w:rsidR="00BA50D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től számított 180</w:t>
      </w:r>
      <w:r w:rsidR="009834C3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napos túlélés igazolt vagy valószínűsíthető IFI nélkül. A módosított beválasztás szerinti (MITT) csoportban 465</w:t>
      </w:r>
      <w:r w:rsidR="00BA50D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allogén HSCT</w:t>
      </w:r>
      <w:r w:rsidR="00BA50D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recipiens volt, a betegek 45%</w:t>
      </w:r>
      <w:r w:rsidR="00BA50D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ánál állt fenn AML.</w:t>
      </w:r>
    </w:p>
    <w:p w14:paraId="6C1C4C85" w14:textId="1EA34C54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Az összes beteg 58%</w:t>
      </w:r>
      <w:r w:rsidR="00BA50D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ánál végeztek myeloablatív kondicionáló kezelést. A vizsgálati gyógyszerrel végzett profilaxist a HSCT után azonnal megkezdték: 224</w:t>
      </w:r>
      <w:r w:rsidR="009834C3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beteg vorikonazolt, 241</w:t>
      </w:r>
      <w:r w:rsidR="009834C3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beteg pedig itrakonazolt kapott. </w:t>
      </w:r>
      <w:r w:rsidR="00BA50D2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Az MITT csoportban a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vizsgálati gyógyszerrel végzett profilaxis időtartamának mediánértéke 96</w:t>
      </w:r>
      <w:r w:rsidR="009834C3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 volt a vorikonazol, és 68</w:t>
      </w:r>
      <w:r w:rsidR="002E0B1A"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nap az itrakonazol esetében.</w:t>
      </w:r>
    </w:p>
    <w:p w14:paraId="083939C0" w14:textId="77777777" w:rsidR="009D4154" w:rsidRPr="00152BE4" w:rsidRDefault="009D4154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4B07145" w14:textId="77777777" w:rsidR="00D46837" w:rsidRPr="00152BE4" w:rsidRDefault="00D46837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2BE4">
        <w:rPr>
          <w:rFonts w:eastAsia="Times New Roman"/>
          <w:snapToGrid/>
          <w:color w:val="000000"/>
          <w:szCs w:val="22"/>
          <w:lang w:val="hu-HU" w:eastAsia="hu-HU" w:bidi="hu-HU"/>
        </w:rPr>
        <w:t>Az alábbi táblázat bemutatja a sikerességi arányokat és egyéb másodlagos végpontokat:</w:t>
      </w:r>
    </w:p>
    <w:p w14:paraId="0109AF2B" w14:textId="77777777" w:rsidR="00BC37A0" w:rsidRPr="00152BE4" w:rsidRDefault="00BC37A0" w:rsidP="00152BE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Overlap w:val="never"/>
        <w:tblW w:w="90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1417"/>
        <w:gridCol w:w="1276"/>
        <w:gridCol w:w="2268"/>
        <w:gridCol w:w="992"/>
      </w:tblGrid>
      <w:tr w:rsidR="00D46837" w:rsidRPr="00D46837" w14:paraId="2D03F20C" w14:textId="77777777" w:rsidTr="00BC37A0">
        <w:trPr>
          <w:cantSplit/>
          <w:trHeight w:hRule="exact" w:val="1017"/>
          <w:tblHeader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</w:tcPr>
          <w:p w14:paraId="4FF62DB8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Vizsgálati végpont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14:paraId="3244DAE3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Vorikonazol</w:t>
            </w:r>
          </w:p>
          <w:p w14:paraId="168E17A6" w14:textId="19858BA1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N</w:t>
            </w:r>
            <w:r w:rsidR="00E65F3A"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=</w:t>
            </w:r>
            <w:r w:rsidR="00E65F3A"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224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14:paraId="642E0555" w14:textId="77777777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Itrakonazol</w:t>
            </w:r>
          </w:p>
          <w:p w14:paraId="548F7966" w14:textId="47C1E3DB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N</w:t>
            </w:r>
            <w:r w:rsidR="00E65F3A"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=</w:t>
            </w:r>
            <w:r w:rsidR="00E65F3A"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241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14:paraId="1F3130FF" w14:textId="6FE8E44E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arányok különbsége, valamint 95%</w:t>
            </w:r>
            <w:r w:rsidR="00B83D6F"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os konfidenciaintervallum (CI)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31728A" w14:textId="08203534" w:rsidR="00D46837" w:rsidRPr="00152BE4" w:rsidRDefault="00D46837" w:rsidP="00152BE4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P</w:t>
            </w:r>
            <w:r w:rsidR="00BA50D2"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152BE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érték</w:t>
            </w:r>
          </w:p>
        </w:tc>
      </w:tr>
      <w:tr w:rsidR="00D46837" w:rsidRPr="00D46837" w14:paraId="518B037A" w14:textId="77777777" w:rsidTr="00BA50D2">
        <w:trPr>
          <w:trHeight w:hRule="exact" w:val="26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698F01" w14:textId="11A2B585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Sikeres kimenetel a 180.</w:t>
            </w:r>
            <w:r w:rsidR="009D4154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napon*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9FC844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109 (48,7%)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D2CDAA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80 (33,2%)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28E16E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16,4% (7,7%; 25,1%)**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5CF760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0,0002**</w:t>
            </w:r>
          </w:p>
        </w:tc>
      </w:tr>
      <w:tr w:rsidR="00D46837" w:rsidRPr="00D46837" w14:paraId="7BBD2B41" w14:textId="77777777" w:rsidTr="00BA50D2">
        <w:trPr>
          <w:trHeight w:hRule="exact" w:val="26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1144D9" w14:textId="524B3BF9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Sikeres kimenetel a 100.</w:t>
            </w:r>
            <w:r w:rsidR="009D4154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napon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8B1763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121 (54,0%)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50D3A02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96 (39,8%)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77411C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15,4% (6,6%; 24,2%)**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09959B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0,0006**</w:t>
            </w:r>
          </w:p>
        </w:tc>
      </w:tr>
      <w:tr w:rsidR="00D46837" w:rsidRPr="00D46837" w14:paraId="77CB9340" w14:textId="77777777" w:rsidTr="00BC37A0">
        <w:trPr>
          <w:trHeight w:hRule="exact" w:val="612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31558D" w14:textId="1B127B7A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Legalább 100</w:t>
            </w:r>
            <w:r w:rsidR="009D4154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napig végzett profilaxis a vizsgálati gyógyszerrel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ABBC4B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120 (53,6%)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635A51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94 (39,0%)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8CC3CB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14,6% (5,6%; 23,5%)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403203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 w:firstLine="24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0,0015</w:t>
            </w:r>
          </w:p>
        </w:tc>
      </w:tr>
      <w:tr w:rsidR="00D46837" w:rsidRPr="00D46837" w14:paraId="5D9CBFDF" w14:textId="77777777" w:rsidTr="00BA50D2">
        <w:trPr>
          <w:trHeight w:hRule="exact" w:val="26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7DCE93F" w14:textId="39876B3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Túlélés a 180.</w:t>
            </w:r>
            <w:r w:rsidR="009D4154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napig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ECFE69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184 (82,1%)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E8EAE5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197 (81,7%)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882A7C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0,4% (-6,6%; 7,4%)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D2A1F9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 w:firstLine="24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0,9107</w:t>
            </w:r>
          </w:p>
        </w:tc>
      </w:tr>
      <w:tr w:rsidR="00D46837" w:rsidRPr="00D46837" w14:paraId="451F5154" w14:textId="77777777" w:rsidTr="00BA50D2">
        <w:trPr>
          <w:trHeight w:hRule="exact" w:val="51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79B5DC" w14:textId="0AB1C912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Igazolt vagy valószínűsíthető IFI alakult ki a 180.</w:t>
            </w:r>
            <w:r w:rsidR="009D4154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napig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42AFB0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 (1,3%)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5AA298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 (2,1%)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1C68C7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-0,7% (-3,1%; 1,6%)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EC5FAD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 w:firstLine="24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0,5390</w:t>
            </w:r>
          </w:p>
        </w:tc>
      </w:tr>
      <w:tr w:rsidR="00D46837" w:rsidRPr="00D46837" w14:paraId="6A77AA0E" w14:textId="77777777" w:rsidTr="00BA50D2">
        <w:trPr>
          <w:trHeight w:hRule="exact" w:val="51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7FE96B" w14:textId="5993E9CB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Igazolt vagy valószínűsíthető IFI alakult ki a 100.</w:t>
            </w:r>
            <w:r w:rsidR="009D4154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napig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2A88EA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 (0,9%)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D320B8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 (1,7%)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9B1706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-0,8% (-2,8%; 1,3%)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CF1579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 w:firstLine="24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0,4589</w:t>
            </w:r>
          </w:p>
        </w:tc>
      </w:tr>
      <w:tr w:rsidR="00D46837" w:rsidRPr="00D46837" w14:paraId="4E853D44" w14:textId="77777777" w:rsidTr="00BA50D2">
        <w:trPr>
          <w:trHeight w:hRule="exact" w:val="778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C3D8E5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Igazolt vagy valószínűsíthető IFI alakult ki a vizsgálati gyógyszer alkalmazása alatt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647BB1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EA1F79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 (1,2%)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0C64DA1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-1,2% (-2,6%; 0,2%)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D1040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 w:firstLine="24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0,0813</w:t>
            </w:r>
          </w:p>
        </w:tc>
      </w:tr>
    </w:tbl>
    <w:p w14:paraId="688C479F" w14:textId="77D24998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* A vizsgálat elsődleges végpontja</w:t>
      </w:r>
      <w:r w:rsidR="00E65F3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68A48A82" w14:textId="434B0F03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** Az arányok különbségét, a 95%</w:t>
      </w:r>
      <w:r w:rsidR="00BA39A0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 CI</w:t>
      </w:r>
      <w:r w:rsidR="00BA39A0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t és a p</w:t>
      </w:r>
      <w:r w:rsidR="00BA39A0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értékeket a randomizálásra vonatkozó korrekció után számították ki</w:t>
      </w:r>
      <w:r w:rsidR="00E65F3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BC341C5" w14:textId="77777777" w:rsidR="00D70A58" w:rsidRPr="00F958F9" w:rsidRDefault="00D70A5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B627EB6" w14:textId="7B775CA1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Az alábbi két táblázat az áttöréses IFI arányát a 180.</w:t>
      </w:r>
      <w:r w:rsidR="009C0E49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napig, valamint a 180.</w:t>
      </w:r>
      <w:r w:rsidR="009C0E49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napi sikeres kimenetelként definiált elsődleges vizsgálati végpontot mutatja meg</w:t>
      </w:r>
      <w:r w:rsidR="00E65F3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E65F3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sorrendben 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az AML</w:t>
      </w:r>
      <w:r w:rsidR="00E65F3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betegek</w:t>
      </w:r>
      <w:r w:rsidR="00E65F3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nél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myeloablatív kondicionáló </w:t>
      </w:r>
      <w:r w:rsidR="00E65F3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kezelésben részesülő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E65F3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betegeknél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:</w:t>
      </w:r>
    </w:p>
    <w:p w14:paraId="64424655" w14:textId="77777777" w:rsidR="00D70A58" w:rsidRPr="00F958F9" w:rsidRDefault="00D70A5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CA3CBA8" w14:textId="77777777" w:rsidR="00D46837" w:rsidRPr="00F958F9" w:rsidRDefault="00D46837" w:rsidP="00867B29">
      <w:pPr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AML</w:t>
      </w:r>
    </w:p>
    <w:p w14:paraId="234BAC08" w14:textId="77777777" w:rsidR="00D70A58" w:rsidRPr="00F958F9" w:rsidRDefault="00D70A58" w:rsidP="00867B29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64"/>
        <w:gridCol w:w="1560"/>
        <w:gridCol w:w="1416"/>
        <w:gridCol w:w="3557"/>
      </w:tblGrid>
      <w:tr w:rsidR="00D46837" w:rsidRPr="00F958F9" w14:paraId="558116F5" w14:textId="77777777" w:rsidTr="006A0222">
        <w:trPr>
          <w:cantSplit/>
          <w:trHeight w:hRule="exact" w:val="631"/>
          <w:tblHeader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</w:tcPr>
          <w:p w14:paraId="12C8C712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Vizsgálati végpontok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14:paraId="3B89CB9D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Vorikonazol</w:t>
            </w:r>
          </w:p>
          <w:p w14:paraId="30552A37" w14:textId="1B858D9E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(N</w:t>
            </w:r>
            <w:r w:rsidR="00E65F3A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=</w:t>
            </w:r>
            <w:r w:rsidR="00E65F3A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98)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</w:tcPr>
          <w:p w14:paraId="4E415433" w14:textId="6D969D05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Itrakonazol (N=</w:t>
            </w:r>
            <w:r w:rsidR="00E65F3A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109)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4808A9" w14:textId="565B1D28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arányok különbsége, valamint 95%</w:t>
            </w:r>
            <w:r w:rsidR="00E65F3A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os konfidenciaintervallum (CI)</w:t>
            </w:r>
          </w:p>
        </w:tc>
      </w:tr>
      <w:tr w:rsidR="00D46837" w:rsidRPr="00D46837" w14:paraId="7D6CB08C" w14:textId="77777777" w:rsidTr="00D70A58">
        <w:trPr>
          <w:trHeight w:hRule="exact" w:val="264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5A8D7E" w14:textId="2694FC8C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Áttöréses IFI </w:t>
            </w:r>
            <w:r w:rsidR="00392935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–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180.</w:t>
            </w:r>
            <w:r w:rsidR="00404718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nap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F30878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 (1,0%)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98BA6F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 (1,8%)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35222B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-0,8% (-4,0%; 2,4%) **</w:t>
            </w:r>
          </w:p>
        </w:tc>
      </w:tr>
      <w:tr w:rsidR="00D46837" w:rsidRPr="00D46837" w14:paraId="125F19E2" w14:textId="77777777" w:rsidTr="00D70A58">
        <w:trPr>
          <w:trHeight w:hRule="exact" w:val="274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DBDDE66" w14:textId="45DBE822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Sikeres kimenetel a 180.</w:t>
            </w:r>
            <w:r w:rsidR="00404718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napon*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809CC7E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55 (56,1%)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AF6C4A7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45 (41,3%)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E3346D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14,7% (1,7%; 27,7%)***</w:t>
            </w:r>
          </w:p>
        </w:tc>
      </w:tr>
    </w:tbl>
    <w:p w14:paraId="6570B63C" w14:textId="0144916A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* A vizsgálat elsődleges végpontja</w:t>
      </w:r>
      <w:r w:rsidR="006A022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300C1269" w14:textId="3E8B4BAE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** 5%</w:t>
      </w:r>
      <w:r w:rsidR="006A022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 küszöböt alkalmazva, a non-inferioritás bizonyított</w:t>
      </w:r>
      <w:r w:rsidR="006A022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5A2B0E39" w14:textId="3B756281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***</w:t>
      </w:r>
      <w:r w:rsidR="001E470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Az arányok különbségét, a 95%</w:t>
      </w:r>
      <w:r w:rsidR="00E65F3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 CI</w:t>
      </w:r>
      <w:r w:rsidR="00E65F3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t a randomizálásra vonatkozó korrekció után számították ki</w:t>
      </w:r>
      <w:r w:rsidR="006A022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0CD96DF" w14:textId="77777777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Microsoft Sans Serif"/>
          <w:snapToGrid/>
          <w:color w:val="000000"/>
          <w:szCs w:val="22"/>
          <w:lang w:val="hu-HU" w:eastAsia="hu-HU" w:bidi="hu-HU"/>
        </w:rPr>
      </w:pPr>
    </w:p>
    <w:p w14:paraId="2A21ADA6" w14:textId="77777777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Myeloablatív kondicionáló kezelés</w:t>
      </w:r>
    </w:p>
    <w:p w14:paraId="5C5FE266" w14:textId="77777777" w:rsidR="00D70A58" w:rsidRPr="00F958F9" w:rsidRDefault="00D70A5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64"/>
        <w:gridCol w:w="1560"/>
        <w:gridCol w:w="1416"/>
        <w:gridCol w:w="3557"/>
      </w:tblGrid>
      <w:tr w:rsidR="00D46837" w:rsidRPr="00F958F9" w14:paraId="6AD57A4D" w14:textId="77777777" w:rsidTr="006A0222">
        <w:trPr>
          <w:cantSplit/>
          <w:trHeight w:hRule="exact" w:val="773"/>
          <w:tblHeader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</w:tcPr>
          <w:p w14:paraId="690F7B77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Vizsgálati végpontok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</w:tcPr>
          <w:p w14:paraId="12006CFC" w14:textId="4E41658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Vorikonazol (N</w:t>
            </w:r>
            <w:r w:rsidR="00E65F3A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=</w:t>
            </w:r>
            <w:r w:rsidR="00E65F3A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125)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</w:tcPr>
          <w:p w14:paraId="3561B07A" w14:textId="5133B656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Itrakonazol (N</w:t>
            </w:r>
            <w:r w:rsidR="00E65F3A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=</w:t>
            </w:r>
            <w:r w:rsidR="00867B2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143)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BC033F" w14:textId="3BF56BC2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arányok különbsége, valamint 95%</w:t>
            </w:r>
            <w:r w:rsidR="00867B2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noBreakHyphen/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os konfidenciaintervallum (CI)</w:t>
            </w:r>
          </w:p>
        </w:tc>
      </w:tr>
      <w:tr w:rsidR="00D46837" w:rsidRPr="00D46837" w14:paraId="6C0AE715" w14:textId="77777777" w:rsidTr="00D70A58">
        <w:trPr>
          <w:trHeight w:hRule="exact" w:val="264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C1C3E7" w14:textId="68E31F89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Áttöréses IFI </w:t>
            </w:r>
            <w:r w:rsidR="00392935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–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180.</w:t>
            </w:r>
            <w:r w:rsidR="00404718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nap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852600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 (1,6%)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0F8081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 (2,1%)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C198AD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-0,5% (-3,7%; 2,7%) **</w:t>
            </w:r>
          </w:p>
        </w:tc>
      </w:tr>
      <w:tr w:rsidR="00D46837" w:rsidRPr="00D46837" w14:paraId="1DF16482" w14:textId="77777777" w:rsidTr="00D70A58">
        <w:trPr>
          <w:trHeight w:hRule="exact" w:val="274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500058" w14:textId="1864525C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Sikeres kimenetel a 180.</w:t>
            </w:r>
            <w:r w:rsidR="00404718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napon*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2A2995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70 (56,0%)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89E51D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53 (37,1%)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2754EA" w14:textId="77777777" w:rsidR="00D46837" w:rsidRPr="00F958F9" w:rsidRDefault="00D46837" w:rsidP="00F958F9">
            <w:pPr>
              <w:widowControl w:val="0"/>
              <w:tabs>
                <w:tab w:val="clear" w:pos="567"/>
              </w:tabs>
              <w:spacing w:line="240" w:lineRule="auto"/>
              <w:ind w:left="28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20,1% (8,5%; 31,7%)***</w:t>
            </w:r>
          </w:p>
        </w:tc>
      </w:tr>
    </w:tbl>
    <w:p w14:paraId="50A99E5A" w14:textId="0BEF409C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* A vizsgálat elsődleges végpontja</w:t>
      </w:r>
      <w:r w:rsidR="006A022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162CB558" w14:textId="748E4EAD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** 5%</w:t>
      </w:r>
      <w:r w:rsidR="006A022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 küszöböt alkalmazva, a non-inferioritás bizonyított</w:t>
      </w:r>
      <w:r w:rsidR="006A022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46654429" w14:textId="01FA7AC5" w:rsidR="00404718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*** Az arányok különbségét, a 95%</w:t>
      </w:r>
      <w:r w:rsidR="006A022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 CI</w:t>
      </w:r>
      <w:r w:rsidR="006A022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t a randomizálásra vonatkozó korrekció után számították ki</w:t>
      </w:r>
      <w:r w:rsidR="006A022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05ECF9D2" w14:textId="77777777" w:rsidR="00404718" w:rsidRPr="00F958F9" w:rsidRDefault="0040471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C35B1DB" w14:textId="2DDD6841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Invazív gombás fertőzések (IFI) másodlagos profilaxisa </w:t>
      </w:r>
      <w:r w:rsidR="000A782A"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–</w:t>
      </w: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 xml:space="preserve"> Hatásosság olyan HSCT</w:t>
      </w:r>
      <w:r w:rsidR="000A782A"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recipienseknél, akiknél korábban igazolt vagy valószínűsíthető IFI állt fenn</w:t>
      </w:r>
    </w:p>
    <w:p w14:paraId="42F503F0" w14:textId="6C9813E1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vorikonazolt másodlagos profilaxisként vizsgálták egy nyílt elrendezésű, nem összehasonlító, multicentrikus vizsgálatban, olyan felnőtt allogén HSCT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recipiensek körében, akiknél korábban igazolt vagy valószínűsíthető IFI állt fenn. Az elsődleges végpont az igazolt vagy valószínűsíthető IFI előfordulásának gyakorisága volt a HSCT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t követő egy</w:t>
      </w:r>
      <w:r w:rsidR="004047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alatt. Az MITT csoportban 40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olyan beteg volt, akiknél korábban fennállt IFI, közülük 31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aspergillosis, 5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candidiasis és 4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egyéb IFI eset volt. A</w:t>
      </w:r>
      <w:r w:rsidRPr="00D4683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MITT csoportban a vizsgálati gyógyszerrel végzett profilaxis időtartamának mediánértéke 95,5</w:t>
      </w:r>
      <w:r w:rsidR="004047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nap volt.</w:t>
      </w:r>
    </w:p>
    <w:p w14:paraId="545043D8" w14:textId="77777777" w:rsidR="00404718" w:rsidRPr="00F958F9" w:rsidRDefault="0040471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CA4DECF" w14:textId="47E6D84F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HSCT utáni első</w:t>
      </w:r>
      <w:r w:rsidR="004047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ben a betegek 7,5%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867B29">
        <w:rPr>
          <w:rFonts w:eastAsia="Times New Roman"/>
          <w:snapToGrid/>
          <w:color w:val="000000"/>
          <w:szCs w:val="22"/>
          <w:lang w:val="hu-HU" w:eastAsia="hu-HU" w:bidi="hu-HU"/>
        </w:rPr>
        <w:t>á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nál (3/40) alakult ki igazolt vagy valószínűsíthető IFI, ebből egy eset candidaemia, egy eset scedosporiosis (mindkét eset korábbi IFI relapszusa volt), egy eset pedig zygomycosis volt. A 180.</w:t>
      </w:r>
      <w:r w:rsidR="004047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napon a túlélési arány 80,0% (32/40) volt, 1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után pedig 70,0% (28/40).</w:t>
      </w:r>
    </w:p>
    <w:p w14:paraId="1175762D" w14:textId="77777777" w:rsidR="00404718" w:rsidRPr="00F958F9" w:rsidRDefault="0040471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6C04961F" w14:textId="494FB23C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 kezelés időtartama</w:t>
      </w:r>
    </w:p>
    <w:p w14:paraId="070004D2" w14:textId="7E587C82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klinikai vizsgálatok során 705</w:t>
      </w:r>
      <w:r w:rsidR="009C0E49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beteg részesült 12</w:t>
      </w:r>
      <w:r w:rsidR="004047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hétnél hosszabb vorikonazol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kezelésben, 164</w:t>
      </w:r>
      <w:r w:rsidR="009C0E49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beteg pedig 6</w:t>
      </w:r>
      <w:r w:rsidR="004047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hónapnál tovább kapott vorikonazolt.</w:t>
      </w:r>
    </w:p>
    <w:p w14:paraId="4B546395" w14:textId="77777777" w:rsidR="00404718" w:rsidRPr="00F958F9" w:rsidRDefault="0040471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26C5B2F3" w14:textId="62434FAC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Gyermekek és serdülők</w:t>
      </w:r>
    </w:p>
    <w:p w14:paraId="7B9895C5" w14:textId="5C8BF14A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Vorikonazollal kezeltek 53, 2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betöltött 18.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beteget két prospektív, nyílt elrendezésű, nem összehasonlító, multicentrikus klinikai vizsgálatban. Az egyik vizsgálatba 31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olyan beteget vontak be, akik lehetséges, igazolt vagy valószínűsíthető invazív aspergillosisban (IA) szenvedtek, közülük 14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betegnél állt fenn igazolt vagy valószínűsíthető IA, és őket belevették az MITT hatásossági elemzésekbe. A másik vizsgálatba 22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olyan beteget vontak be, akiknél invazív candidiasis állt fenn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–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beleértve a candidaemiát (ICC) és az oesophagealis candidiasist is (EC)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–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akiknél elsődleges vagy mentőterápiára volt szükség; közülük 17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beteget vettek bele az MITT hatásossági elemzésekbe. Az IA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betegeknél a globális válasz teljes aránya 6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hét után 64,3% (9/14) volt, a globális válasz aránya 40% volt (2/5) a 2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betöltött 12.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betegeknél, és 77,8% volt (7/9) a 12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betöltött 18.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betegeknél. ICC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betegeknél a globális válasz aránya a kezelés végén 85,7% volt (6/7), az EC</w:t>
      </w:r>
      <w:r w:rsidR="000A782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betegeknél pedig a globális válasz aránya a kezelés végén 70% volt (7/10). A teljes válaszarány (ICC és EC kombinálva) 88,9% volt (8/9) a 2</w:t>
      </w:r>
      <w:r w:rsidR="003C1C3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betöltött 12.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betegeknél, és 62,5% volt</w:t>
      </w:r>
      <w:r w:rsidR="003C1C3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(5/8) a 12</w:t>
      </w:r>
      <w:r w:rsidR="003C1C3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betöltött 18.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betegeknél.</w:t>
      </w:r>
    </w:p>
    <w:p w14:paraId="07F7EDA8" w14:textId="77777777" w:rsidR="00AE4E97" w:rsidRPr="00F958F9" w:rsidRDefault="00AE4E9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27B6AE57" w14:textId="637DEB14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A QTc</w:t>
      </w:r>
      <w:r w:rsidR="0015420F"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szakasz klinikai vizsgálatai</w:t>
      </w:r>
    </w:p>
    <w:p w14:paraId="264AF82E" w14:textId="362B80E6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placebokontrollos, randomizált, egyszeri dózisú keresztezett vizsgálat során egészséges önkénteseken vizsgálták a vorikonazol és ketokonazol három különféle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15420F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dózisainak QTc</w:t>
      </w:r>
      <w:r w:rsidR="0015420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szakaszra gyakorolt hatását. A </w:t>
      </w:r>
      <w:r w:rsidR="0015420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kiindulási értékhez képest a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placeb</w:t>
      </w:r>
      <w:r w:rsidR="0057321A">
        <w:rPr>
          <w:rFonts w:eastAsia="Times New Roman"/>
          <w:snapToGrid/>
          <w:color w:val="000000"/>
          <w:szCs w:val="22"/>
          <w:lang w:val="hu-HU" w:eastAsia="hu-HU" w:bidi="hu-HU"/>
        </w:rPr>
        <w:t>ó</w:t>
      </w:r>
      <w:r w:rsidR="0015420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ra korrigált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15420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átlagos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maximális </w:t>
      </w:r>
      <w:r w:rsidR="0015420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QTc</w:t>
      </w:r>
      <w:r w:rsidR="0015420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megnyúlás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800, 1200</w:t>
      </w:r>
      <w:r w:rsidR="0015420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1600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vorikonazol esetén 5,1, 4,8 és 8,2</w:t>
      </w:r>
      <w:r w:rsidR="00AE4E9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57321A">
        <w:rPr>
          <w:rFonts w:eastAsia="Times New Roman"/>
          <w:snapToGrid/>
          <w:color w:val="000000"/>
          <w:szCs w:val="22"/>
          <w:lang w:val="hu-HU" w:eastAsia="hu-HU" w:bidi="hu-HU"/>
        </w:rPr>
        <w:t>ezredmásodperc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 illetve 800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ketokonazol esetén 7,0</w:t>
      </w:r>
      <w:r w:rsidR="00AE4E9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57321A">
        <w:rPr>
          <w:rFonts w:eastAsia="Times New Roman"/>
          <w:snapToGrid/>
          <w:color w:val="000000"/>
          <w:szCs w:val="22"/>
          <w:lang w:val="hu-HU" w:eastAsia="hu-HU" w:bidi="hu-HU"/>
        </w:rPr>
        <w:t>ezredmásodperc</w:t>
      </w:r>
      <w:r w:rsidR="0057321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volt. A vizsgált csoportokban egyetlen beteg esetén sem növekedett a QTc</w:t>
      </w:r>
      <w:r w:rsidR="0015420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értéke </w:t>
      </w:r>
      <w:r w:rsidR="0012731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≥</w:t>
      </w:r>
      <w:r w:rsidR="0015420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60</w:t>
      </w:r>
      <w:r w:rsidR="00AE4E9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57321A" w:rsidRPr="00F958F9" w:rsidDel="0057321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7321A">
        <w:rPr>
          <w:rFonts w:eastAsia="Times New Roman"/>
          <w:snapToGrid/>
          <w:color w:val="000000"/>
          <w:szCs w:val="22"/>
          <w:lang w:val="hu-HU" w:eastAsia="hu-HU" w:bidi="hu-HU"/>
        </w:rPr>
        <w:t>ezredmásodperccel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</w:t>
      </w:r>
      <w:r w:rsidR="0015420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kiindulási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érték fölé. Egyetlen beteg sem haladta meg a potenciálisan klinikailag releváns 500</w:t>
      </w:r>
      <w:r w:rsidR="00AE4E9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="0057321A">
        <w:rPr>
          <w:rFonts w:eastAsia="Times New Roman"/>
          <w:snapToGrid/>
          <w:color w:val="000000"/>
          <w:szCs w:val="22"/>
          <w:lang w:val="hu-HU" w:eastAsia="hu-HU" w:bidi="hu-HU"/>
        </w:rPr>
        <w:t>ezredmásodperces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küszöböt.</w:t>
      </w:r>
    </w:p>
    <w:p w14:paraId="630F4382" w14:textId="77777777" w:rsidR="00F45C51" w:rsidRPr="00F958F9" w:rsidRDefault="00F45C51" w:rsidP="00F958F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B9DCCF5" w14:textId="77777777" w:rsidR="00F45C51" w:rsidRPr="00F958F9" w:rsidRDefault="00722712" w:rsidP="00F958F9">
      <w:pPr>
        <w:spacing w:line="240" w:lineRule="auto"/>
        <w:ind w:left="567" w:hanging="567"/>
        <w:rPr>
          <w:b/>
          <w:szCs w:val="22"/>
          <w:lang w:val="hu-HU"/>
        </w:rPr>
      </w:pPr>
      <w:r w:rsidRPr="00F958F9">
        <w:rPr>
          <w:b/>
          <w:szCs w:val="22"/>
          <w:lang w:val="hu-HU"/>
        </w:rPr>
        <w:t>5.2</w:t>
      </w:r>
      <w:r w:rsidRPr="00F958F9">
        <w:rPr>
          <w:b/>
          <w:szCs w:val="22"/>
          <w:lang w:val="hu-HU"/>
        </w:rPr>
        <w:tab/>
        <w:t>Farmakokinetikai tulajdonságok</w:t>
      </w:r>
    </w:p>
    <w:p w14:paraId="4FCCC113" w14:textId="77777777" w:rsidR="00F45C51" w:rsidRPr="00F958F9" w:rsidRDefault="00F45C51" w:rsidP="00F958F9">
      <w:pPr>
        <w:spacing w:line="240" w:lineRule="auto"/>
        <w:rPr>
          <w:szCs w:val="22"/>
          <w:lang w:val="hu-HU"/>
        </w:rPr>
      </w:pPr>
    </w:p>
    <w:p w14:paraId="3E619CE1" w14:textId="77777777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Általános farmakokinetikai jellemzők</w:t>
      </w:r>
    </w:p>
    <w:p w14:paraId="41CC4778" w14:textId="5D72668F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vorikonazol farmakokinetikáját egészséges személyek, különleges betegcsoportok és betegek esetében jellemezték. Aspergillosis veszélyének kitett betegeknél (főként nyirok</w:t>
      </w:r>
      <w:r w:rsidR="00FB28C1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-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vérképző szervek rosszindulatú daganatos betegségében szenvedők) 14</w:t>
      </w:r>
      <w:r w:rsidR="0072271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napon keresztül, naponta kétszer 200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 illetve 300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6B51D4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 során gyors és megbízható felszívódást, felhalmozódást és nem lineáris farmakokinetikát figyeltek meg, ami megegyezett az egészséges személyeknél tapasztaltakkal.</w:t>
      </w:r>
    </w:p>
    <w:p w14:paraId="46FA2BFE" w14:textId="77777777" w:rsidR="002D242E" w:rsidRPr="00F958F9" w:rsidRDefault="002D242E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4DE975E" w14:textId="65E412EE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vorikonazol farmakokinetikája 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metabolizmus telítődése miatt nem lineáris. A dózis növelésével az expozíció arányosnál nagyobb növekedését tapasztalták. Becslések szerint átlagosan a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F437FF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E565B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dózis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naponta kétszer 200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ról naponta kétszer 300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ra való emelése az expozíció 2,5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szeres emelkedésével jár (AUC</w:t>
      </w:r>
      <w:r w:rsidR="000B02CE" w:rsidRPr="00F958F9">
        <w:rPr>
          <w:szCs w:val="22"/>
          <w:vertAlign w:val="subscript"/>
          <w:lang w:val="hu-HU"/>
        </w:rPr>
        <w:t>τ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). A 200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</w:t>
      </w:r>
      <w:r w:rsidR="000B02C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(vagy 100 mg a 40 kg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nál kisebb testtömegű betegeknél)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F437FF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fenntartó dózis alkalmazása során elért vorikonazol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expozíció hasonló volt a 3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dózisú intravénás kezelés esetén elért expozícióhoz. A 300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</w:t>
      </w:r>
      <w:r w:rsidR="00FB28C1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(vagy 150 mg a 40 kg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  <w:t xml:space="preserve">nál kisebb testtömegű betegeknél)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F437FF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fenntartó dózis alkalmazása során elért vorikonazol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expozíció hasonló volt a 4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/ttkg intravénás kezelés esetén elért expozícióhoz. Az ajánlott intravénás vagy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F437FF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telítő dózis alkalmazásával az egyensúlyi állapothoz közeli plazmakoncentráció az alkalmazás első 24</w:t>
      </w:r>
      <w:r w:rsidR="0000224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órá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jában kialakul. A telítő dózis nélkül az alanyok többségénél a felhalmozódás naponta kétszeri dózis többszöri adása után következik be, és a plazma vorikonazol</w:t>
      </w:r>
      <w:r w:rsidR="00F437FF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koncentráció egyensúlyi állapota 6</w:t>
      </w:r>
      <w:r w:rsidR="0072271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nap alatt alakul ki.</w:t>
      </w:r>
    </w:p>
    <w:p w14:paraId="0A40A8B0" w14:textId="77777777" w:rsidR="002D242E" w:rsidRPr="00F958F9" w:rsidRDefault="002D242E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AF694B5" w14:textId="2A24C2C8" w:rsidR="002D242E" w:rsidRPr="00B657A9" w:rsidRDefault="002D242E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Az embereknél alkalmazott hidroxipropil-betadex hosszú távú biztonságossága 21 napra korlátozódik (250 mg/ttkg/nap).</w:t>
      </w:r>
    </w:p>
    <w:p w14:paraId="0F9CA2F3" w14:textId="77777777" w:rsidR="00CA3769" w:rsidRPr="00B657A9" w:rsidRDefault="00CA3769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8CDA555" w14:textId="5B011A9C" w:rsidR="00CA3769" w:rsidRPr="00F958F9" w:rsidRDefault="00CA3769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intravénás terápia hosszantartó </w:t>
      </w:r>
      <w:r w:rsidR="00FA7F6C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alkalmazásának 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biztonságossági kockáz</w:t>
      </w:r>
      <w:r w:rsidR="00FA7F6C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ata jelenleg nem ismert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, mivel a készítmény a referenciakészítménytől eltérő oldószert tartalmaz.</w:t>
      </w:r>
    </w:p>
    <w:p w14:paraId="05B92CCC" w14:textId="77777777" w:rsidR="002D242E" w:rsidRPr="00F958F9" w:rsidRDefault="002D242E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A61C3A4" w14:textId="06767A5B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Felszívódás</w:t>
      </w:r>
    </w:p>
    <w:p w14:paraId="4C482D3C" w14:textId="76A85BE5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vorikonazol a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261DDE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alkalmazást követően gyorsan és szinte teljesen felszívódik, és a maximális plazmakoncentrációt (C</w:t>
      </w:r>
      <w:r w:rsidRPr="00F958F9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) 1</w:t>
      </w:r>
      <w:r w:rsidR="00261DD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2</w:t>
      </w:r>
      <w:r w:rsidR="00261DD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ór</w:t>
      </w:r>
      <w:r w:rsidR="00261DD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ával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261DD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beadás után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éri el. A vorikonazol abszolút biohasznosulását 96%</w:t>
      </w:r>
      <w:r w:rsidR="00261DD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ra becsülik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261DDE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adagolás után. Amikor a vorikonazol többszöri dózisát magas zsírtartalmú ételek fogyasztása mellett alkalmazták, 34%</w:t>
      </w:r>
      <w:r w:rsidR="00261DD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kal, illetve 24%</w:t>
      </w:r>
      <w:r w:rsidR="00261DD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kal csökkent a C</w:t>
      </w:r>
      <w:r w:rsidRPr="00F958F9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r w:rsidR="00BC314E" w:rsidRPr="00F958F9">
        <w:rPr>
          <w:szCs w:val="22"/>
          <w:lang w:val="hu-HU"/>
        </w:rPr>
        <w:t>AUC</w:t>
      </w:r>
      <w:r w:rsidR="00BC314E" w:rsidRPr="00F958F9">
        <w:rPr>
          <w:szCs w:val="22"/>
          <w:vertAlign w:val="subscript"/>
          <w:lang w:val="hu-HU"/>
        </w:rPr>
        <w:t>τ</w:t>
      </w:r>
      <w:r w:rsidR="004619AA" w:rsidRPr="00F958F9">
        <w:rPr>
          <w:szCs w:val="22"/>
          <w:lang w:val="hu-HU"/>
        </w:rPr>
        <w:t>.</w:t>
      </w:r>
      <w:r w:rsidR="004619AA" w:rsidRPr="00F958F9">
        <w:rPr>
          <w:szCs w:val="22"/>
          <w:vertAlign w:val="subscript"/>
          <w:lang w:val="hu-HU"/>
        </w:rPr>
        <w:t xml:space="preserve"> </w:t>
      </w:r>
      <w:r w:rsidR="004619AA" w:rsidRPr="00F958F9">
        <w:rPr>
          <w:rFonts w:eastAsia="Times New Roman"/>
          <w:smallCaps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vorikonazol felszívódását a gyomor pH</w:t>
      </w:r>
      <w:r w:rsidR="00261DD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jának változása nem befolyásolja.</w:t>
      </w:r>
    </w:p>
    <w:p w14:paraId="3C2498AE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7FC26AD" w14:textId="7B425E32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Eloszlás</w:t>
      </w:r>
    </w:p>
    <w:p w14:paraId="2D1F5382" w14:textId="77777777" w:rsidR="00867B2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vorikonazol eloszlási térfogatát egyensúlyi állapotban 4,6</w:t>
      </w:r>
      <w:r w:rsidR="00B9179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l/ttkg</w:t>
      </w:r>
      <w:r w:rsidR="002D3ADD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ra becsülik, ami arra utal, hogy a szövetekbe való eloszlás jelentős. A vorikonazol kb. 58%</w:t>
      </w:r>
      <w:r w:rsidR="002D3ADD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kötődik a plazmafehérjékhez.</w:t>
      </w:r>
    </w:p>
    <w:p w14:paraId="3D7687E9" w14:textId="77777777" w:rsidR="00867B29" w:rsidRDefault="00867B29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8C71065" w14:textId="7B95668C" w:rsidR="00D46837" w:rsidRPr="00F958F9" w:rsidRDefault="00867B29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Méltányossági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programban részt vevő nyolc beteg cerebrospinalis folyadékmintáiban minden esetben mérhető vorikonazol</w:t>
      </w:r>
      <w:r w:rsidR="002D3ADD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koncentrációt találtak.</w:t>
      </w:r>
    </w:p>
    <w:p w14:paraId="658AA04F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7CCDBD2" w14:textId="723139FD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Biotranszformáció</w:t>
      </w:r>
    </w:p>
    <w:p w14:paraId="5919B4C5" w14:textId="168D3ADD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C60806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vitro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 kimutatták, hogy a vorikonazolt a máj citokróm</w:t>
      </w:r>
      <w:r w:rsidR="00C6080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P450 izoenzimek, a CYP2C19, CYP2C9 és CYP3A4 bontják le.</w:t>
      </w:r>
    </w:p>
    <w:p w14:paraId="133061C5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A38CD39" w14:textId="5D3FE28C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vorikonazol farmakokinetikájában nagy </w:t>
      </w:r>
      <w:r w:rsidR="00867B29">
        <w:rPr>
          <w:rFonts w:eastAsia="Times New Roman"/>
          <w:snapToGrid/>
          <w:color w:val="000000"/>
          <w:szCs w:val="22"/>
          <w:lang w:val="hu-HU" w:eastAsia="hu-HU" w:bidi="hu-HU"/>
        </w:rPr>
        <w:t>inter-individuális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különbségek vannak.</w:t>
      </w:r>
    </w:p>
    <w:p w14:paraId="63FEA67A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</w:p>
    <w:p w14:paraId="0025CD84" w14:textId="250F7FD7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In</w:t>
      </w:r>
      <w:r w:rsidR="00C60806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vivo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 azt mutatták, hogy a CYP2C19 szignifikánsan részt vesz a vorikonazol metabolizmusában. Ez az enzim genetikai polimorfizmust mutat. Például az ázsiai populációk 15</w:t>
      </w:r>
      <w:r w:rsidR="00C6080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20%</w:t>
      </w:r>
      <w:r w:rsidR="00C6080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várhatóan gyenge metabolizáló. A </w:t>
      </w:r>
      <w:r w:rsidR="00C6080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kaukázusiak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 feketék esetében a gyenge metabolizálás elterjedtsége 3</w:t>
      </w:r>
      <w:r w:rsidR="00C6080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5%. </w:t>
      </w:r>
      <w:r w:rsidR="00C6080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Kaukázusi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japán egészséges személyek</w:t>
      </w:r>
      <w:r w:rsidR="00C6080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körében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C6080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végzett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 azt mutatták, hogy a gyenge metabolizálóknál átlagosan négyszer nagyobb a vorikonazol expozíció (AUC</w:t>
      </w:r>
      <w:r w:rsidRPr="00F958F9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), mint homozigóta, jól metabolizáló társaiknál. Azokra az alanyokra, akik heterozigóta jól metabolizálók, átlagosan kétszer nagyobb vorikonazol</w:t>
      </w:r>
      <w:r w:rsidR="00C6080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expozíció jellemző, mint a homozigóta jól metabolizáló személyekre.</w:t>
      </w:r>
    </w:p>
    <w:p w14:paraId="77676774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549F135" w14:textId="39854BAB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vorikonazol elsődleges metabolitja az N</w:t>
      </w:r>
      <w:r w:rsidR="00C6080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oxid, amely a plazmában keringő radioizotóppal jelölt metabolitok 72%</w:t>
      </w:r>
      <w:r w:rsidR="007D446D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át adja. Ennek a metabolitnak minimális a gombaellenes hatása, és nem járul hozzá a vorikonazol összhatásosságához.</w:t>
      </w:r>
    </w:p>
    <w:p w14:paraId="656C576D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0B75732" w14:textId="54F8BCB5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Elimináció</w:t>
      </w:r>
    </w:p>
    <w:p w14:paraId="5498F254" w14:textId="306DD1A6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vorikonazol a májban történő metabolizmus útján eliminálódik, a dózis kevesebb mint 2%</w:t>
      </w:r>
      <w:r w:rsidR="007D446D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változatlan formában, a vizelettel ürül.</w:t>
      </w:r>
    </w:p>
    <w:p w14:paraId="5116DB32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31383BE" w14:textId="77777777" w:rsidR="008C432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Radioizotóppal jelölt vorikonazol-dózis adása után a radioaktivitás körülbelül 80%</w:t>
      </w:r>
      <w:r w:rsidR="007D446D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jelent meg a vizeletben többszörös intravénás alkalmazást követően, többszörös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7D446D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 után pedig 83%.</w:t>
      </w:r>
    </w:p>
    <w:p w14:paraId="0A956034" w14:textId="6B55510E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Az összes radioaktivitás túlnyomó része (&gt;</w:t>
      </w:r>
      <w:r w:rsidR="00312FE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94%) mind a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7D446D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os,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mind pedig az intravénás alkalmazást követően az első 96</w:t>
      </w:r>
      <w:r w:rsidR="0000224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órá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ban ürült ki.</w:t>
      </w:r>
    </w:p>
    <w:p w14:paraId="6641819C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F985CA5" w14:textId="3453C4CC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vorikonazol terminális felezési ideje a dózistól függ</w:t>
      </w:r>
      <w:r w:rsidR="00F412C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200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(per</w:t>
      </w:r>
      <w:r w:rsidR="00F412CE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os)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 esetében körülbelül 6</w:t>
      </w:r>
      <w:r w:rsidR="00312FE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óra. A nem lineáris farmakokinetika miatt a terminális felezési idő nem alkalmas a vorikonazol felhalmozódásának vagy eliminációjának előrejelzésére.</w:t>
      </w:r>
    </w:p>
    <w:p w14:paraId="4136D8B9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326F0CC" w14:textId="7A163687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Farmakokinetika különleges betegcsoportoknál</w:t>
      </w:r>
    </w:p>
    <w:p w14:paraId="12B15D37" w14:textId="77777777" w:rsidR="00F412CE" w:rsidRPr="00F958F9" w:rsidRDefault="00F412CE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7F08731" w14:textId="0CB18E6B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Nemek szerint</w:t>
      </w:r>
    </w:p>
    <w:p w14:paraId="617F4EC5" w14:textId="624E1583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Többszöri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F749A7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dózissal végzett vizsgálatban egészséges fiatal nők esetében a C</w:t>
      </w:r>
      <w:r w:rsidRPr="00F958F9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- és AUC</w:t>
      </w:r>
      <w:r w:rsidR="00E176B0" w:rsidRPr="00F958F9">
        <w:rPr>
          <w:szCs w:val="22"/>
          <w:vertAlign w:val="subscript"/>
          <w:lang w:val="hu-HU"/>
        </w:rPr>
        <w:t>τ</w:t>
      </w:r>
      <w:r w:rsidR="00F749A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értékek 83%</w:t>
      </w:r>
      <w:r w:rsidR="00F749A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kal, illetve 113%</w:t>
      </w:r>
      <w:r w:rsidR="00F749A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kal magasabbak voltak, mint egészséges fiatal (18</w:t>
      </w:r>
      <w:r w:rsidR="00F749A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es) férfiak esetében. Ugyanebben a vizsgálatban nem volt szignifikáns különbség a C</w:t>
      </w:r>
      <w:r w:rsidRPr="00F958F9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AUC</w:t>
      </w:r>
      <w:r w:rsidR="00E176B0" w:rsidRPr="00F958F9">
        <w:rPr>
          <w:szCs w:val="22"/>
          <w:vertAlign w:val="subscript"/>
          <w:lang w:val="hu-HU"/>
        </w:rPr>
        <w:t>τ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tekintetében az egészséges idős férfiak és egészséges idős (&gt;</w:t>
      </w:r>
      <w:r w:rsidR="00312FE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65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es) nők között.</w:t>
      </w:r>
    </w:p>
    <w:p w14:paraId="555CBD1A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BFDD207" w14:textId="4AE1E77D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klinikai program során a nem alapján dózismódosítás nem történt. A férfi és nő betegeknél tapasztalt biztonság</w:t>
      </w:r>
      <w:r w:rsidR="00005CEC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ossági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jellemzők és plazmakoncentrációk hasonló</w:t>
      </w:r>
      <w:r w:rsidR="00005CEC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 voltak. Nemek szerinti dózismódosításra tehát nincs szükség.</w:t>
      </w:r>
    </w:p>
    <w:p w14:paraId="7083E04A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36F370E" w14:textId="61CF808F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Idősek</w:t>
      </w:r>
    </w:p>
    <w:p w14:paraId="5C9FC5C3" w14:textId="50E012F1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Többszöri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385667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dózissal végzett vizsgálatban az egészséges idős (</w:t>
      </w:r>
      <w:r w:rsidR="0040095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≥</w:t>
      </w:r>
      <w:r w:rsidR="0038566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65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es) férfiaknál a C</w:t>
      </w:r>
      <w:r w:rsidRPr="00F958F9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r w:rsidRPr="00F958F9">
        <w:rPr>
          <w:rFonts w:eastAsia="Times New Roman"/>
          <w:smallCaps/>
          <w:snapToGrid/>
          <w:color w:val="000000"/>
          <w:szCs w:val="22"/>
          <w:lang w:val="hu-HU" w:eastAsia="hu-HU" w:bidi="hu-HU"/>
        </w:rPr>
        <w:t>AUC</w:t>
      </w:r>
      <w:r w:rsidRPr="00F958F9">
        <w:rPr>
          <w:rFonts w:eastAsia="Times New Roman"/>
          <w:smallCaps/>
          <w:snapToGrid/>
          <w:color w:val="000000"/>
          <w:szCs w:val="22"/>
          <w:vertAlign w:val="subscript"/>
          <w:lang w:val="hu-HU" w:eastAsia="hu-HU" w:bidi="hu-HU"/>
        </w:rPr>
        <w:t>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61%</w:t>
      </w:r>
      <w:r w:rsidR="0038566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kal, illetve 86%</w:t>
      </w:r>
      <w:r w:rsidR="0038566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kal magasabb volt, mint egészséges fiatal (18</w:t>
      </w:r>
      <w:r w:rsidR="0038566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es) férfiaknál. Nem volt szignifikáns különbség a C</w:t>
      </w:r>
      <w:r w:rsidRPr="00F958F9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max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AUC</w:t>
      </w:r>
      <w:r w:rsidRPr="00F958F9">
        <w:rPr>
          <w:rFonts w:eastAsia="Times New Roman"/>
          <w:snapToGrid/>
          <w:color w:val="000000"/>
          <w:szCs w:val="22"/>
          <w:vertAlign w:val="subscript"/>
          <w:lang w:val="hu-HU" w:eastAsia="hu-HU" w:bidi="hu-HU"/>
        </w:rPr>
        <w:t>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(tekintetében az egészséges idős (</w:t>
      </w:r>
      <w:r w:rsidR="0040095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≥</w:t>
      </w:r>
      <w:r w:rsidR="0038566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65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es) nők és egészséges fiatal (18</w:t>
      </w:r>
      <w:r w:rsidR="0038566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45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es) nők között.</w:t>
      </w:r>
    </w:p>
    <w:p w14:paraId="6495762E" w14:textId="77777777" w:rsidR="00E96517" w:rsidRPr="00F958F9" w:rsidRDefault="00E9651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872B416" w14:textId="30775A96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terápiás vizsgálatokban életkor alapján nem módosították a dózist. Összefüggést találtak a plazmakoncentráció és az életkor között. A vorikonazol biztonság</w:t>
      </w:r>
      <w:r w:rsidR="007B6BC9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ossági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profilja fiatal és idős betegek esetében hasonló volt, így az időseknél dózismódosításra nincs szükség (lásd 4.2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5573CECC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3739F8F" w14:textId="0E4057C5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Gyermekek és serdülők</w:t>
      </w:r>
    </w:p>
    <w:p w14:paraId="65BD1C9F" w14:textId="3FFA92B3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gyermekeknek és serdülőknek javasolt dózis 112, 2</w:t>
      </w:r>
      <w:r w:rsidR="001D4F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betöltött 12.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közötti, 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immun</w:t>
      </w:r>
      <w:r w:rsidR="009C648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komprimált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gyermekkel</w:t>
      </w:r>
      <w:r w:rsidR="001D4F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26, 12</w:t>
      </w:r>
      <w:r w:rsidR="001D4F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betöltött 17.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közötti </w:t>
      </w:r>
      <w:r w:rsidR="009C648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immunkomprimált</w:t>
      </w:r>
      <w:r w:rsidR="009C648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serdülőkorú beteggel végzett populációs farmakokinetikai analízis adatain alapszik. A naponta kétszer adott 3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/ttkg, 4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/ttkg, 6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/ttkg, 7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és 8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többszöri adagolású intravénás dózist, és a naponta kétszer adott 4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/ttkg, 6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és 200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többszöri adagolású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1D4F18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(por belsőleges szuszpenzióhoz gyógyszerforma alkalmazásával) dózist 3</w:t>
      </w:r>
      <w:r w:rsidR="001D4F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gyermekgyógyászati farmakokinetikai vizsgálatban értékelték. Egy serdülőkorúak</w:t>
      </w:r>
      <w:r w:rsidR="001D4F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bevonásával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végzett farmakokinetikai vizsgálatban értékelték az első napon kétszer adott intravénás 6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telítő dózist követően alkalmazott</w:t>
      </w:r>
      <w:r w:rsidR="001D4F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naponta kétszer 4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</w:t>
      </w:r>
      <w:r w:rsidR="001D4F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 intravénás dózist, valamint a naponta kétszer 300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1D4F1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os tabletta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1D4F18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dózist. Nagyobb egyének közti variabilitást figyeltek meg a gyermekgyógyászati betegeknél, mint a felnőtteknél.</w:t>
      </w:r>
    </w:p>
    <w:p w14:paraId="3546342A" w14:textId="77777777" w:rsidR="00EA7AA2" w:rsidRPr="00F958F9" w:rsidRDefault="00EA7AA2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2FFDA47" w14:textId="572F10FE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gyermekek és serdülők, valamint a felnőttek populációs farmakokinetikai adatainak összehasonlítása azt mutatta, hogy a várt teljes expozíció (</w:t>
      </w:r>
      <w:r w:rsidR="00EA7AA2" w:rsidRPr="00F958F9">
        <w:rPr>
          <w:szCs w:val="22"/>
          <w:lang w:val="hu-HU"/>
        </w:rPr>
        <w:t>AUC</w:t>
      </w:r>
      <w:r w:rsidR="00EA7AA2" w:rsidRPr="00F958F9">
        <w:rPr>
          <w:szCs w:val="22"/>
          <w:vertAlign w:val="subscript"/>
          <w:lang w:val="hu-HU"/>
        </w:rPr>
        <w:t>τ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) a gyermekeknek adott 9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intravénás telítő dózist követően összehasonlítható volt a 6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intravénás telítő dózist kapó felnőttekével. A várható teljes expozíció gyermekeknél naponta kétszer 4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intravénás fenntartó dózis alkalmazását követően összehasonlítható volt a naponta kétszer 3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intravénás fenntartó dózist kapó felnőttekével, illetve gyermekeknél naponta kétszer 8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intravénás dózis alkalmazását követően összehasonlítható volt a naponta kétszer 4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/ttkg intravénás dózist kapó felnőttekével. A várható teljes expozíció gyermekeknél naponta kétszer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651248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adott 9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(legfeljebb 350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) fenntartó dózis esetén összehasonlítható volt a naponta kétszer 200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651248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 xml:space="preserve">os </w:t>
      </w:r>
      <w:r w:rsidR="0065124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t kapó felnőttekével. Egy 8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/ttkg intravénás dózis körülbelül kétszer nagyobb vorikonazol</w:t>
      </w:r>
      <w:r w:rsidR="00E9651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expozíciót eredményez, mint egy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651248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9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/ttkg </w:t>
      </w:r>
      <w:r w:rsidR="0065124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dózis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27E97FED" w14:textId="77777777" w:rsidR="00DD2301" w:rsidRPr="00F958F9" w:rsidRDefault="00DD2301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C659974" w14:textId="06DB6A28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felnőttekénél magasabb gyermekgyógyászati intravénás fenntartó dózisok azt tükrözik, hogy a gyermekgyógyászati betegek eliminációs kapacitása </w:t>
      </w:r>
      <w:r w:rsidR="00B1568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magasabb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nagyobb májtömeg</w:t>
      </w:r>
      <w:r w:rsidR="00FB28C1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:</w:t>
      </w:r>
      <w:r w:rsidR="00FB28C1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testtömeg arány miatt. A</w:t>
      </w:r>
      <w:r w:rsidR="00FB28C1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FB28C1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B15687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="00FB28C1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biohasznosulás ugyanakkor korlátozott mértékű lehet olyan gyermekek esetében, akiknek felszívódási zavaruk</w:t>
      </w:r>
      <w:r w:rsidR="00B1568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a korukhoz képest alacsony testtömegük van. Ezekben az esetekben intravénás vorikonazol </w:t>
      </w:r>
      <w:r w:rsidR="00B1568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alkalmazása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javasolt.</w:t>
      </w:r>
    </w:p>
    <w:p w14:paraId="219760A8" w14:textId="77777777" w:rsidR="00DD2301" w:rsidRPr="00F958F9" w:rsidRDefault="00DD2301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0BCD1CD" w14:textId="76C137CF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legtöbb serdülőkorú betegnél a vorikonazol</w:t>
      </w:r>
      <w:r w:rsidR="00B1568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expozíció összehasonlítható volt az ugyanolyan adagolási sémát kapó felnőttekével. Ugyanakkor a felnőttekéhez képest alacsonyabb vorikonazol</w:t>
      </w:r>
      <w:r w:rsidR="00B1568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expozíciót figyeltek meg néhány kis testtömegű, fiatal serdülőnél. Valószínű, hogy ezek a személyek a vorikonazolt inkább a gyermekekhez, és nem a serdülőkhöz/felnőttekhez hasonlóan metabolizálják. A populációs farmakokinetikai adatok analízise alapján az 50</w:t>
      </w:r>
      <w:r w:rsidR="00AC3EB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ttkg</w:t>
      </w:r>
      <w:r w:rsidR="00B1568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nál kisebb testtömegű, 12</w:t>
      </w:r>
      <w:r w:rsidR="00B1568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14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es serdülőknek a gyermekeknek való </w:t>
      </w:r>
      <w:r w:rsidR="00B1568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dózist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kell kapniuk (lásd 4.2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5D329AFA" w14:textId="77777777" w:rsidR="00DD2301" w:rsidRPr="00F958F9" w:rsidRDefault="00DD2301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6C99D70" w14:textId="4763DD6E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Vesekárosodás</w:t>
      </w:r>
    </w:p>
    <w:p w14:paraId="4BA6D49C" w14:textId="04987273" w:rsidR="00D70AB4" w:rsidRPr="00F958F9" w:rsidRDefault="00D70AB4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Normál vesefunkciójú betegeknél a hidroxipropil-betadex – a </w:t>
      </w:r>
      <w:r w:rsidR="00DC1A6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intravénás gyógyszerformájában megtalálható egyik összetevő – farmakokinetikai profilja szerint rövid, 1</w:t>
      </w:r>
      <w:r w:rsidR="00DC1A6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2 órás felezési idővel rendelkezik, továbbá igazoltan nem halmozódik fel egymás utáni napokon történő alkalmazást követően. Egészséges vizsgálati alanyoknál, valamint enyhétől </w:t>
      </w:r>
      <w:r w:rsidR="00DC1A6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súlyos fokúig terjedő vesekárosodásban szenvedő betegeknél a hidroxipropil-betadex 8 g</w:t>
      </w:r>
      <w:r w:rsidR="00DC1A6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os dózisának </w:t>
      </w:r>
      <w:r w:rsidR="00C2412D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nagy része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(&gt;</w:t>
      </w:r>
      <w:r w:rsidR="00C2412D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85%</w:t>
      </w:r>
      <w:r w:rsidR="00DC1A6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a) a vizelettel ürül. Enyhe, közepes vagy súlyos fokú vesekárosodásban szenvedő betegeknél a felezési idő értéke a normálérték fölé emelkedett, mégpedig sorrendben körülbelül kétszeresen, négyszeresen vagy hatszorosan. Ezeknél a betegeknél az egymást követő infúziók eredményeként hidroxipropil-betadex halmozódhat fel addig, amíg be nem áll a dinamikus egyensúlyi állapot. A hidroxipropil-betadex hemodialízissel eltávolítható, clearance</w:t>
      </w:r>
      <w:r w:rsidR="00DC1A6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e 37,5</w:t>
      </w:r>
      <w:r w:rsidR="00DC1A6A" w:rsidRPr="00B657A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B657A9">
        <w:rPr>
          <w:szCs w:val="22"/>
          <w:lang w:val="hu-HU"/>
        </w:rPr>
        <w:t>±</w:t>
      </w:r>
      <w:r w:rsidR="00DC1A6A" w:rsidRPr="00B657A9">
        <w:rPr>
          <w:szCs w:val="22"/>
          <w:lang w:val="hu-HU"/>
        </w:rPr>
        <w:t> </w:t>
      </w:r>
      <w:r w:rsidRPr="00B657A9">
        <w:rPr>
          <w:szCs w:val="22"/>
          <w:lang w:val="hu-HU"/>
        </w:rPr>
        <w:t>24</w:t>
      </w:r>
      <w:r w:rsidR="00547207" w:rsidRPr="00B657A9">
        <w:rPr>
          <w:szCs w:val="22"/>
          <w:lang w:val="hu-HU"/>
        </w:rPr>
        <w:t> </w:t>
      </w:r>
      <w:r w:rsidRPr="00B657A9">
        <w:rPr>
          <w:szCs w:val="22"/>
          <w:lang w:val="hu-HU"/>
        </w:rPr>
        <w:t>ml/perc.</w:t>
      </w:r>
    </w:p>
    <w:p w14:paraId="65BC7C68" w14:textId="305D86AF" w:rsidR="00DD2301" w:rsidRPr="00F958F9" w:rsidRDefault="00DD2301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44CBA9B" w14:textId="797056BD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Májkárosodás</w:t>
      </w:r>
    </w:p>
    <w:p w14:paraId="7E9F9390" w14:textId="2C5AB08F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Egyszeri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07285A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dózist (200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) követően az AUC 233%</w:t>
      </w:r>
      <w:r w:rsidR="0007285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kal magasabb volt</w:t>
      </w:r>
      <w:r w:rsidR="0007285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az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enyhe és közepes </w:t>
      </w:r>
      <w:r w:rsidR="0007285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fokú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májcirrózisban (Child</w:t>
      </w:r>
      <w:r w:rsidR="0007285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Pugh</w:t>
      </w:r>
      <w:r w:rsidR="0007285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és</w:t>
      </w:r>
      <w:r w:rsidR="0007285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B) szenvedőknél, mint a normál májműködésű alanyok</w:t>
      </w:r>
      <w:r w:rsidR="0007285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nál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 A vorikonazol fehérjekötődését a májműködés károsodása nem befolyásolta.</w:t>
      </w:r>
    </w:p>
    <w:p w14:paraId="44C272CB" w14:textId="77777777" w:rsidR="00DD2301" w:rsidRPr="00F958F9" w:rsidRDefault="00DD2301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AECF18D" w14:textId="425FD8BA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 többszörös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per</w:t>
      </w:r>
      <w:r w:rsidR="001122FA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os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dózissal végzett vizsgálatban az AUC</w:t>
      </w:r>
      <w:r w:rsidR="00510AEF" w:rsidRPr="00F958F9">
        <w:rPr>
          <w:szCs w:val="22"/>
          <w:vertAlign w:val="subscript"/>
          <w:lang w:val="hu-HU"/>
        </w:rPr>
        <w:t>τ</w:t>
      </w:r>
      <w:r w:rsidRPr="00F958F9">
        <w:rPr>
          <w:rFonts w:ascii="Arial" w:eastAsia="Arial" w:hAnsi="Arial" w:cs="Arial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hasonló volt </w:t>
      </w:r>
      <w:r w:rsidR="001122F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naponta kétszer 100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fenntartó dózist kapó, közepes </w:t>
      </w:r>
      <w:r w:rsidR="001122F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fokú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májcirrózisban (Child</w:t>
      </w:r>
      <w:r w:rsidR="001122F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Pugh</w:t>
      </w:r>
      <w:r w:rsidR="001122F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B) szenvedőknél, mint a naponta kétszer 200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1122F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ot kapó normál májműködésű alanyok</w:t>
      </w:r>
      <w:r w:rsidR="001122F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nál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 Súlyos májcirrózisban (Child</w:t>
      </w:r>
      <w:r w:rsidR="001122F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Pugh</w:t>
      </w:r>
      <w:r w:rsidR="00DD2301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C) szenvedő</w:t>
      </w:r>
      <w:r w:rsidR="001122F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betege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ket illetően nincsenek farmakokinetikai adatok (lásd 4.2</w:t>
      </w:r>
      <w:r w:rsidR="001122F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4.4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).</w:t>
      </w:r>
    </w:p>
    <w:p w14:paraId="443A3BBB" w14:textId="77777777" w:rsidR="00F45C51" w:rsidRPr="00F958F9" w:rsidRDefault="00F45C51" w:rsidP="00F958F9">
      <w:pPr>
        <w:numPr>
          <w:ilvl w:val="12"/>
          <w:numId w:val="0"/>
        </w:numPr>
        <w:spacing w:line="240" w:lineRule="auto"/>
        <w:rPr>
          <w:iCs/>
          <w:szCs w:val="22"/>
          <w:lang w:val="hu-HU"/>
        </w:rPr>
      </w:pPr>
    </w:p>
    <w:p w14:paraId="09125898" w14:textId="77777777" w:rsidR="00F45C51" w:rsidRPr="00F958F9" w:rsidRDefault="00722712" w:rsidP="00F958F9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5.3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A preklinikai biztonságossági vizsgálatok eredményei</w:t>
      </w:r>
    </w:p>
    <w:p w14:paraId="1FDD79AA" w14:textId="77777777" w:rsidR="00F45C51" w:rsidRPr="00F958F9" w:rsidRDefault="00F45C51" w:rsidP="00F958F9">
      <w:pPr>
        <w:spacing w:line="240" w:lineRule="auto"/>
        <w:rPr>
          <w:szCs w:val="22"/>
          <w:lang w:val="hu-HU"/>
        </w:rPr>
      </w:pPr>
    </w:p>
    <w:p w14:paraId="719368D0" w14:textId="7C1D852C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vorikonazollal végzett ismételt dózisú toxicitási vizsgálatok a májat mutatták célszervnek. Hepatotoxicitás olyan plazmakoncentrációk mellett fordult elő, mint amilyen humán terápiás dózisok esetén tapasztalható, hasonlóan más gombaellenes szerekhez. Patkányoknál, egereknél és kutyáknál a vorikonazol minimális mellékvesekéreg-változásokat is előidézett. A hagyományos </w:t>
      </w:r>
      <w:r w:rsidR="00D01F09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farmakológiai biztonságossági, genotoxicitási, illetve karcinogenitási </w:t>
      </w:r>
      <w:r w:rsidR="00D01F09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vizsgálatok azt igazolták, hogy a készítmény alkalmazásakor humán vonatkozásban különleges kockázat nem várható.</w:t>
      </w:r>
    </w:p>
    <w:p w14:paraId="6F09B09D" w14:textId="77777777" w:rsidR="00EA7187" w:rsidRPr="00F958F9" w:rsidRDefault="00EA718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F28EAA0" w14:textId="3B7C4ADA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reprodukciós vizsgálatokban a vorikonazol humán terápiás dózisnak megfelelő szisztémás expozíció patkányoknál teratogén hatást mutatott, nyulaknál pedig embriotoxicitást okozott. Patkányok pre- és postnatalis fejlődési vizsgálatában a humán terápiás adagolásnál kisebb expozíció mellett a vorikonazol a vemhesség és a vajúdás elhúzódását eredményezte, dystoniát okozott következményes anyai mortalitással</w:t>
      </w:r>
      <w:r w:rsidR="00FC1203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csökkentette az utódok perinatalis túlélését. A szülésre kifejtett ezen hatásokat fajspecifikus mechanizmusok közvetíthetik, beleértve az ösztradiol</w:t>
      </w:r>
      <w:r w:rsidR="00FC1203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szint csökkenését, és megfelelnek más azol típusú gombaellenes szereknél tapasztaltaknak. A humán terápiás dózisok mellett elért expozícióhoz hasonló expozíciókban a vorikonazol adása sem a hím, sem a nőstény patkányoknál nem okozott termékenység károsodást.</w:t>
      </w:r>
    </w:p>
    <w:p w14:paraId="2AE582E6" w14:textId="77777777" w:rsidR="00FC1203" w:rsidRPr="00F958F9" w:rsidRDefault="00FC1203" w:rsidP="00F958F9">
      <w:pPr>
        <w:spacing w:line="240" w:lineRule="auto"/>
        <w:rPr>
          <w:szCs w:val="22"/>
          <w:lang w:val="hu-HU"/>
        </w:rPr>
      </w:pPr>
    </w:p>
    <w:p w14:paraId="1DFE192F" w14:textId="2B68042D" w:rsidR="00FC1203" w:rsidRPr="00F958F9" w:rsidRDefault="00FC1203" w:rsidP="00F958F9">
      <w:pPr>
        <w:spacing w:line="240" w:lineRule="auto"/>
        <w:rPr>
          <w:szCs w:val="22"/>
          <w:lang w:val="hu-HU"/>
        </w:rPr>
      </w:pPr>
      <w:r w:rsidRPr="00FC1203">
        <w:rPr>
          <w:szCs w:val="22"/>
          <w:lang w:val="hu-HU"/>
        </w:rPr>
        <w:t>A segédanyag</w:t>
      </w:r>
      <w:r w:rsidRPr="00F958F9">
        <w:rPr>
          <w:szCs w:val="22"/>
          <w:lang w:val="hu-HU"/>
        </w:rPr>
        <w:t>gal</w:t>
      </w:r>
      <w:r w:rsidRPr="00FC1203">
        <w:rPr>
          <w:szCs w:val="22"/>
          <w:lang w:val="hu-HU"/>
        </w:rPr>
        <w:t>, az SBECD</w:t>
      </w:r>
      <w:r w:rsidRPr="00F958F9">
        <w:rPr>
          <w:szCs w:val="22"/>
          <w:lang w:val="hu-HU"/>
        </w:rPr>
        <w:noBreakHyphen/>
        <w:t>vel kapcsolatos</w:t>
      </w:r>
      <w:r w:rsidRPr="00FC1203">
        <w:rPr>
          <w:szCs w:val="22"/>
          <w:lang w:val="hu-HU"/>
        </w:rPr>
        <w:t xml:space="preserve"> preklinikai </w:t>
      </w:r>
      <w:r w:rsidRPr="00F958F9">
        <w:rPr>
          <w:szCs w:val="22"/>
          <w:lang w:val="hu-HU"/>
        </w:rPr>
        <w:t>adatok</w:t>
      </w:r>
      <w:r w:rsidRPr="00FC1203">
        <w:rPr>
          <w:szCs w:val="22"/>
          <w:lang w:val="hu-HU"/>
        </w:rPr>
        <w:t xml:space="preserve"> a vizeletelválasztó szervrendszer hámjának</w:t>
      </w:r>
      <w:r w:rsidRPr="00F958F9">
        <w:rPr>
          <w:szCs w:val="22"/>
          <w:lang w:val="hu-HU"/>
        </w:rPr>
        <w:t xml:space="preserve"> </w:t>
      </w:r>
      <w:r w:rsidRPr="00FC1203">
        <w:rPr>
          <w:szCs w:val="22"/>
          <w:lang w:val="hu-HU"/>
        </w:rPr>
        <w:t>vacuolizációját</w:t>
      </w:r>
      <w:r w:rsidRPr="00F958F9">
        <w:rPr>
          <w:szCs w:val="22"/>
          <w:lang w:val="hu-HU"/>
        </w:rPr>
        <w:t>,</w:t>
      </w:r>
      <w:r w:rsidRPr="00FC1203">
        <w:rPr>
          <w:szCs w:val="22"/>
          <w:lang w:val="hu-HU"/>
        </w:rPr>
        <w:t xml:space="preserve"> valamint a máj és a tüdő macrophagjainak aktivizálódását mutatták az ismételt dózisú</w:t>
      </w:r>
      <w:r w:rsidRPr="00F958F9">
        <w:rPr>
          <w:szCs w:val="22"/>
          <w:lang w:val="hu-HU"/>
        </w:rPr>
        <w:t xml:space="preserve"> </w:t>
      </w:r>
      <w:r w:rsidRPr="00FC1203">
        <w:rPr>
          <w:szCs w:val="22"/>
          <w:lang w:val="hu-HU"/>
        </w:rPr>
        <w:t>toxicitási vizsgálatokban. Mivel a GPMT (tengerimalac maximizációs teszt) eredménye pozitív volt, a</w:t>
      </w:r>
      <w:r w:rsidRPr="00F958F9">
        <w:rPr>
          <w:szCs w:val="22"/>
          <w:lang w:val="hu-HU"/>
        </w:rPr>
        <w:t xml:space="preserve"> </w:t>
      </w:r>
      <w:r w:rsidRPr="00FC1203">
        <w:rPr>
          <w:szCs w:val="22"/>
          <w:lang w:val="hu-HU"/>
        </w:rPr>
        <w:t>gyógyszert rendelőknek figyelniük kell az intravénás készítménnyel kapcsolatos hiperszenzitivitás</w:t>
      </w:r>
      <w:r w:rsidRPr="00F958F9">
        <w:rPr>
          <w:szCs w:val="22"/>
          <w:lang w:val="hu-HU"/>
        </w:rPr>
        <w:t xml:space="preserve"> </w:t>
      </w:r>
      <w:r w:rsidRPr="00FC1203">
        <w:rPr>
          <w:szCs w:val="22"/>
          <w:lang w:val="hu-HU"/>
        </w:rPr>
        <w:t>lehetőségére. A standard genotoxicitási és reprodukciós vizsgálatok nem mutatták az SBECD</w:t>
      </w:r>
      <w:r w:rsidRPr="00F958F9">
        <w:rPr>
          <w:szCs w:val="22"/>
          <w:lang w:val="hu-HU"/>
        </w:rPr>
        <w:t xml:space="preserve"> </w:t>
      </w:r>
      <w:r w:rsidRPr="00FC1203">
        <w:rPr>
          <w:szCs w:val="22"/>
          <w:lang w:val="hu-HU"/>
        </w:rPr>
        <w:t>semmilyen különleges veszélyét emberben. Az SBECD</w:t>
      </w:r>
      <w:r w:rsidRPr="00F958F9">
        <w:rPr>
          <w:szCs w:val="22"/>
          <w:lang w:val="hu-HU"/>
        </w:rPr>
        <w:noBreakHyphen/>
      </w:r>
      <w:r w:rsidRPr="00FC1203">
        <w:rPr>
          <w:szCs w:val="22"/>
          <w:lang w:val="hu-HU"/>
        </w:rPr>
        <w:t>vel nem végeztek karcinogenitási</w:t>
      </w:r>
      <w:r w:rsidRPr="00F958F9">
        <w:rPr>
          <w:szCs w:val="22"/>
          <w:lang w:val="hu-HU"/>
        </w:rPr>
        <w:t xml:space="preserve"> </w:t>
      </w:r>
      <w:r w:rsidRPr="00FC1203">
        <w:rPr>
          <w:szCs w:val="22"/>
          <w:lang w:val="hu-HU"/>
        </w:rPr>
        <w:t>vizsgálatokat. Egy, az SBECD</w:t>
      </w:r>
      <w:r w:rsidRPr="00F958F9">
        <w:rPr>
          <w:szCs w:val="22"/>
          <w:lang w:val="hu-HU"/>
        </w:rPr>
        <w:noBreakHyphen/>
      </w:r>
      <w:r w:rsidRPr="00FC1203">
        <w:rPr>
          <w:szCs w:val="22"/>
          <w:lang w:val="hu-HU"/>
        </w:rPr>
        <w:t>ben lévő szennyezés, amelyet alkiláló mutagén vegyületnek találtak,</w:t>
      </w:r>
      <w:r w:rsidRPr="00F958F9">
        <w:rPr>
          <w:szCs w:val="22"/>
          <w:lang w:val="hu-HU"/>
        </w:rPr>
        <w:t xml:space="preserve"> </w:t>
      </w:r>
      <w:r w:rsidRPr="00FC1203">
        <w:rPr>
          <w:szCs w:val="22"/>
          <w:lang w:val="hu-HU"/>
        </w:rPr>
        <w:t>rágcsálókban karcinogénnek bizonyult. Ezt a szennyeződést emberben is potenciális</w:t>
      </w:r>
      <w:r w:rsidRPr="00F958F9">
        <w:rPr>
          <w:szCs w:val="22"/>
          <w:lang w:val="hu-HU"/>
        </w:rPr>
        <w:t>an</w:t>
      </w:r>
      <w:r w:rsidRPr="00FC1203">
        <w:rPr>
          <w:szCs w:val="22"/>
          <w:lang w:val="hu-HU"/>
        </w:rPr>
        <w:t xml:space="preserve"> karcinogén</w:t>
      </w:r>
      <w:r w:rsidRPr="00F958F9">
        <w:rPr>
          <w:szCs w:val="22"/>
          <w:lang w:val="hu-HU"/>
        </w:rPr>
        <w:t xml:space="preserve"> </w:t>
      </w:r>
      <w:r w:rsidRPr="00FC1203">
        <w:rPr>
          <w:szCs w:val="22"/>
          <w:lang w:val="hu-HU"/>
        </w:rPr>
        <w:t>anyagnak kell tekinteni. Ezen adatok fényében az intravénás gyógyszerformával történő kezelés ne</w:t>
      </w:r>
      <w:r w:rsidRPr="00F958F9">
        <w:rPr>
          <w:szCs w:val="22"/>
          <w:lang w:val="hu-HU"/>
        </w:rPr>
        <w:t>m tarthat tovább 6 hónapnál.</w:t>
      </w:r>
    </w:p>
    <w:p w14:paraId="26DF6714" w14:textId="77777777" w:rsidR="00FC1203" w:rsidRPr="00F958F9" w:rsidRDefault="00FC1203" w:rsidP="00F958F9">
      <w:pPr>
        <w:spacing w:line="240" w:lineRule="auto"/>
        <w:rPr>
          <w:szCs w:val="22"/>
          <w:lang w:val="hu-HU"/>
        </w:rPr>
      </w:pPr>
    </w:p>
    <w:p w14:paraId="0C04FAC1" w14:textId="77777777" w:rsidR="00F45C51" w:rsidRPr="00F958F9" w:rsidRDefault="00F45C51" w:rsidP="00F958F9">
      <w:pPr>
        <w:spacing w:line="240" w:lineRule="auto"/>
        <w:rPr>
          <w:szCs w:val="22"/>
          <w:lang w:val="hu-HU"/>
        </w:rPr>
      </w:pPr>
    </w:p>
    <w:p w14:paraId="36147184" w14:textId="77777777" w:rsidR="00F45C51" w:rsidRPr="00F958F9" w:rsidRDefault="00722712" w:rsidP="00F958F9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6.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GYÓGYSZERÉSZETI JELLEMZŐK</w:t>
      </w:r>
    </w:p>
    <w:p w14:paraId="49539FA8" w14:textId="77777777" w:rsidR="00F45C51" w:rsidRPr="00F958F9" w:rsidRDefault="00F45C51" w:rsidP="00F958F9">
      <w:pPr>
        <w:spacing w:line="240" w:lineRule="auto"/>
        <w:rPr>
          <w:szCs w:val="22"/>
          <w:lang w:val="hu-HU"/>
        </w:rPr>
      </w:pPr>
    </w:p>
    <w:p w14:paraId="2820CD8B" w14:textId="77777777" w:rsidR="00F45C51" w:rsidRPr="00F958F9" w:rsidRDefault="00722712" w:rsidP="00F958F9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6.1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0D7A1B5A" w14:textId="77777777" w:rsidR="00F45C51" w:rsidRPr="00F958F9" w:rsidRDefault="00F45C51" w:rsidP="00F958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454A746" w14:textId="3DFCD272" w:rsidR="00D46837" w:rsidRPr="00F958F9" w:rsidRDefault="00FC09F5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h</w:t>
      </w:r>
      <w:r w:rsidR="00FB3A55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idroxipropilbetadex</w:t>
      </w:r>
    </w:p>
    <w:p w14:paraId="7A9BE7C8" w14:textId="632324EF" w:rsidR="00D74295" w:rsidRPr="00F958F9" w:rsidRDefault="00FC09F5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nátrium-klorid</w:t>
      </w:r>
    </w:p>
    <w:p w14:paraId="5BC7D412" w14:textId="4F5C92BC" w:rsidR="00FC09F5" w:rsidRPr="00F958F9" w:rsidRDefault="00FC09F5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sósav (pH beá</w:t>
      </w:r>
      <w:r w:rsidR="00C4122B">
        <w:rPr>
          <w:rFonts w:eastAsia="Times New Roman"/>
          <w:snapToGrid/>
          <w:color w:val="000000"/>
          <w:szCs w:val="22"/>
          <w:lang w:val="hu-HU" w:eastAsia="hu-HU" w:bidi="hu-HU"/>
        </w:rPr>
        <w:t>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lításhoz)</w:t>
      </w:r>
    </w:p>
    <w:p w14:paraId="6C7B0FD6" w14:textId="77777777" w:rsidR="00F45C51" w:rsidRPr="00F958F9" w:rsidRDefault="00F45C51" w:rsidP="00F958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81B6ADF" w14:textId="77777777" w:rsidR="00F45C51" w:rsidRPr="00F958F9" w:rsidRDefault="00722712" w:rsidP="00F958F9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6.2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Inkompatibilitások</w:t>
      </w:r>
    </w:p>
    <w:p w14:paraId="5EDFB6AA" w14:textId="77777777" w:rsidR="00F45C51" w:rsidRPr="00F958F9" w:rsidRDefault="00F45C51" w:rsidP="00F958F9">
      <w:pPr>
        <w:spacing w:line="240" w:lineRule="auto"/>
        <w:rPr>
          <w:snapToGrid/>
          <w:szCs w:val="22"/>
          <w:lang w:val="hu-HU" w:eastAsia="en-US"/>
        </w:rPr>
      </w:pPr>
    </w:p>
    <w:p w14:paraId="185E7CC3" w14:textId="77777777" w:rsidR="00E80A33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zsákot ellenőrizni kell, hogy a</w:t>
      </w:r>
      <w:r w:rsidR="003F449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z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 teljesen </w:t>
      </w:r>
      <w:r w:rsidR="004250C5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beadásra került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-e.</w:t>
      </w:r>
    </w:p>
    <w:p w14:paraId="591A7D9C" w14:textId="2DB7EC27" w:rsidR="00D46837" w:rsidRPr="00F958F9" w:rsidRDefault="00E80A33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F958F9">
        <w:rPr>
          <w:szCs w:val="22"/>
          <w:lang w:val="hu-HU"/>
        </w:rPr>
        <w:t xml:space="preserve">Voriconazole SaneXcel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adható be közös szereléken vagy kanülön keresztül más intravénás készítménnyel együtt. </w:t>
      </w:r>
      <w:r w:rsidR="00FA7F6C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FA7F6C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teljes </w:t>
      </w:r>
      <w:r w:rsidR="00592DE3" w:rsidRPr="00F958F9">
        <w:rPr>
          <w:szCs w:val="22"/>
          <w:lang w:val="hu-HU"/>
        </w:rPr>
        <w:t>Voriconazole SaneXcel</w:t>
      </w:r>
      <w:r w:rsidR="003F4498" w:rsidRPr="00F958F9">
        <w:rPr>
          <w:szCs w:val="22"/>
          <w:lang w:val="hu-HU"/>
        </w:rPr>
        <w:t xml:space="preserve"> 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infúzió </w:t>
      </w:r>
      <w:r w:rsidR="00FA7F6C">
        <w:rPr>
          <w:rFonts w:eastAsia="Times New Roman"/>
          <w:snapToGrid/>
          <w:color w:val="000000"/>
          <w:szCs w:val="22"/>
          <w:lang w:val="hu-HU" w:eastAsia="hu-HU" w:bidi="hu-HU"/>
        </w:rPr>
        <w:t>beadását követően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 a szerelék más intravénás készítmények beadására használható.</w:t>
      </w:r>
    </w:p>
    <w:p w14:paraId="1CE732F3" w14:textId="77777777" w:rsidR="003F4498" w:rsidRPr="00F958F9" w:rsidRDefault="003F449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77B0280A" w14:textId="3C89E59F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Vérkészítmények és rövid idő alatt alkalmazott koncentrált elektrolitoldatok:</w:t>
      </w:r>
      <w:r w:rsidR="00EE320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vorikonazol</w:t>
      </w:r>
      <w:r w:rsidR="007E2FEA" w:rsidRPr="00F958F9">
        <w:rPr>
          <w:szCs w:val="22"/>
          <w:lang w:val="hu-HU"/>
        </w:rPr>
        <w:noBreakHyphen/>
        <w:t>kezelés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megkezdése előtt az elektrolitzavarokat, mint a hypokalaemiát, a hypomagnesaemiát és a hypocalcaemiát korrigálni kell (lásd 4.2 és 4.4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ok).</w:t>
      </w:r>
      <w:r w:rsidR="003F449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592DE3" w:rsidRPr="00F958F9">
        <w:rPr>
          <w:szCs w:val="22"/>
          <w:lang w:val="hu-HU"/>
        </w:rPr>
        <w:t>Voriconazole SaneXcel</w:t>
      </w:r>
      <w:r w:rsidR="003F4498" w:rsidRPr="00F958F9">
        <w:rPr>
          <w:szCs w:val="22"/>
          <w:lang w:val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alkalmazható egyszerre </w:t>
      </w:r>
      <w:r w:rsidR="007E2FE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semmilyen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vérkészítménnyel</w:t>
      </w:r>
      <w:r w:rsidR="007E2FE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E2FEA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illetve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semmilyen rövid idő alatt adott koncentrált elektrolitoldattal, még akkor sem, ha a két infúzió külön szerelékben fut.</w:t>
      </w:r>
    </w:p>
    <w:p w14:paraId="5DC657C8" w14:textId="77777777" w:rsidR="003F4498" w:rsidRPr="00F958F9" w:rsidRDefault="003F449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</w:pPr>
    </w:p>
    <w:p w14:paraId="07EC7839" w14:textId="27222B05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u w:val="single"/>
          <w:lang w:val="hu-HU" w:eastAsia="hu-HU" w:bidi="hu-HU"/>
        </w:rPr>
        <w:t>Teljes parenterális táplálás:</w:t>
      </w:r>
      <w:r w:rsidR="00EE320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teljes parenterális táplálás (</w:t>
      </w:r>
      <w:r w:rsidR="00EE3208"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total parenteral nutrition</w:t>
      </w:r>
      <w:r w:rsidR="00EE320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–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TPN) </w:t>
      </w:r>
      <w:r w:rsidR="004250C5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felfüggesztése </w:t>
      </w:r>
      <w:r w:rsidRPr="00F958F9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nem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szükséges </w:t>
      </w:r>
      <w:r w:rsidR="00592DE3" w:rsidRPr="00F958F9">
        <w:rPr>
          <w:szCs w:val="22"/>
          <w:lang w:val="hu-HU"/>
        </w:rPr>
        <w:t>Voriconazole SaneXcel</w:t>
      </w:r>
      <w:r w:rsidR="00EE3208" w:rsidRPr="00F958F9">
        <w:rPr>
          <w:szCs w:val="22"/>
          <w:lang w:val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kezelés mellett, de külön infúziós szereléken keresztül kell beadni. Ha a beadás egy több lumenű katéteren keresztül történik, a TPN beadásához a katéter másik portját szükséges használni.</w:t>
      </w:r>
      <w:r w:rsidR="00EE320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592DE3" w:rsidRPr="00F958F9">
        <w:rPr>
          <w:szCs w:val="22"/>
          <w:lang w:val="hu-HU"/>
        </w:rPr>
        <w:t>Voriconazole SaneXcel</w:t>
      </w:r>
      <w:r w:rsidR="00EE3208" w:rsidRPr="00F958F9">
        <w:rPr>
          <w:szCs w:val="22"/>
          <w:lang w:val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t nem szabad 4</w:t>
      </w:r>
      <w:r w:rsidR="00B015CF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2%</w:t>
      </w:r>
      <w:r w:rsidR="00EE320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 natrium-bikarbonát infúzióval</w:t>
      </w:r>
      <w:r w:rsidR="00EE320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hígítani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EE320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Más koncentrációkkal való komp</w:t>
      </w:r>
      <w:r w:rsidR="004250C5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tibilitás nem ismert.</w:t>
      </w:r>
    </w:p>
    <w:p w14:paraId="52535A62" w14:textId="77777777" w:rsidR="007B08C0" w:rsidRPr="00F958F9" w:rsidRDefault="007B08C0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5CCE3F9" w14:textId="47A2DDBD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Ez a gyógyszer kizárólag a 6.6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ban felsorolt gyógyszerekkel keverhető.</w:t>
      </w:r>
    </w:p>
    <w:p w14:paraId="3E91A4F9" w14:textId="77777777" w:rsidR="00077267" w:rsidRPr="00F958F9" w:rsidRDefault="00077267" w:rsidP="00F958F9">
      <w:pPr>
        <w:spacing w:line="240" w:lineRule="auto"/>
        <w:rPr>
          <w:szCs w:val="22"/>
          <w:lang w:val="hu-HU"/>
        </w:rPr>
      </w:pPr>
    </w:p>
    <w:p w14:paraId="326EDBF9" w14:textId="77777777" w:rsidR="00F45C51" w:rsidRPr="00F958F9" w:rsidRDefault="00722712" w:rsidP="00F958F9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6.3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Felhasználhatósági időtartam</w:t>
      </w:r>
    </w:p>
    <w:p w14:paraId="61F9BF24" w14:textId="77777777" w:rsidR="00F45C51" w:rsidRPr="00F958F9" w:rsidRDefault="00F45C51" w:rsidP="00F958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E6AC332" w14:textId="0CED4EF5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3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60B7340F" w14:textId="77777777" w:rsidR="003F4498" w:rsidRPr="00F958F9" w:rsidRDefault="003F449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33D633F" w14:textId="4611B849" w:rsidR="00AA36FB" w:rsidRPr="00F958F9" w:rsidRDefault="003F4498" w:rsidP="00F958F9">
      <w:pPr>
        <w:spacing w:line="240" w:lineRule="auto"/>
        <w:rPr>
          <w:szCs w:val="22"/>
          <w:lang w:val="hu-HU"/>
        </w:rPr>
      </w:pPr>
      <w:r w:rsidRPr="00F958F9">
        <w:rPr>
          <w:szCs w:val="22"/>
          <w:lang w:val="hu-HU"/>
        </w:rPr>
        <w:t xml:space="preserve">Az elkészített oldat kémiai és fizikai stabilitása </w:t>
      </w:r>
      <w:r w:rsidR="00EE3208" w:rsidRPr="00F958F9">
        <w:rPr>
          <w:szCs w:val="22"/>
          <w:lang w:val="hu-HU"/>
        </w:rPr>
        <w:t>25 °C</w:t>
      </w:r>
      <w:r w:rsidR="00EE3208" w:rsidRPr="00F958F9">
        <w:rPr>
          <w:szCs w:val="22"/>
          <w:lang w:val="hu-HU"/>
        </w:rPr>
        <w:noBreakHyphen/>
        <w:t xml:space="preserve">on és </w:t>
      </w:r>
      <w:r w:rsidRPr="00F958F9">
        <w:rPr>
          <w:szCs w:val="22"/>
          <w:lang w:val="hu-HU"/>
        </w:rPr>
        <w:t>2 °C</w:t>
      </w:r>
      <w:r w:rsidR="00EE3208" w:rsidRPr="00F958F9">
        <w:rPr>
          <w:szCs w:val="22"/>
          <w:lang w:val="hu-HU"/>
        </w:rPr>
        <w:noBreakHyphen/>
      </w:r>
      <w:r w:rsidRPr="00F958F9">
        <w:rPr>
          <w:szCs w:val="22"/>
          <w:lang w:val="hu-HU"/>
        </w:rPr>
        <w:t xml:space="preserve">8 °C között tárolva </w:t>
      </w:r>
      <w:r w:rsidR="00EE3208" w:rsidRPr="00F958F9">
        <w:rPr>
          <w:szCs w:val="22"/>
          <w:lang w:val="hu-HU"/>
        </w:rPr>
        <w:t>72</w:t>
      </w:r>
      <w:r w:rsidRPr="00F958F9">
        <w:rPr>
          <w:szCs w:val="22"/>
          <w:lang w:val="hu-HU"/>
        </w:rPr>
        <w:t> órá</w:t>
      </w:r>
      <w:r w:rsidR="003807A8" w:rsidRPr="00F958F9">
        <w:rPr>
          <w:szCs w:val="22"/>
          <w:lang w:val="hu-HU"/>
        </w:rPr>
        <w:t>n át</w:t>
      </w:r>
      <w:r w:rsidRPr="00F958F9">
        <w:rPr>
          <w:szCs w:val="22"/>
          <w:lang w:val="hu-HU"/>
        </w:rPr>
        <w:t xml:space="preserve"> igazolt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Mikrobiológiai szempontból</w:t>
      </w:r>
      <w:r w:rsidR="005335C3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D52396">
        <w:rPr>
          <w:rFonts w:eastAsia="Times New Roman"/>
          <w:snapToGrid/>
          <w:color w:val="000000"/>
          <w:szCs w:val="22"/>
          <w:lang w:val="hu-HU" w:eastAsia="hu-HU" w:bidi="hu-HU"/>
        </w:rPr>
        <w:t>elkészítés</w:t>
      </w:r>
      <w:r w:rsidR="00D5239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EE3208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után 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D52396">
        <w:rPr>
          <w:rFonts w:eastAsia="Times New Roman"/>
          <w:snapToGrid/>
          <w:color w:val="000000"/>
          <w:szCs w:val="22"/>
          <w:lang w:val="hu-HU" w:eastAsia="hu-HU" w:bidi="hu-HU"/>
        </w:rPr>
        <w:t>készítményt</w:t>
      </w:r>
      <w:r w:rsidR="00D5239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azonnal fel kell használni. </w:t>
      </w:r>
      <w:r w:rsidR="003D5642" w:rsidRPr="003D5642">
        <w:rPr>
          <w:rFonts w:eastAsia="Times New Roman"/>
          <w:snapToGrid/>
          <w:color w:val="000000"/>
          <w:szCs w:val="22"/>
          <w:lang w:val="hu-HU" w:eastAsia="hu-HU" w:bidi="hu-HU"/>
        </w:rPr>
        <w:t>Amennyiben nem használják fel azonnal, a felhasználásig a</w:t>
      </w:r>
      <w:r w:rsidR="00D5239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z eltartási </w:t>
      </w:r>
      <w:r w:rsidR="003D5642" w:rsidRPr="003D5642">
        <w:rPr>
          <w:rFonts w:eastAsia="Times New Roman"/>
          <w:snapToGrid/>
          <w:color w:val="000000"/>
          <w:szCs w:val="22"/>
          <w:lang w:val="hu-HU" w:eastAsia="hu-HU" w:bidi="hu-HU"/>
        </w:rPr>
        <w:t>idő és a tárolási körülmények a felhasználó felelőssége</w:t>
      </w:r>
      <w:bookmarkStart w:id="14" w:name="_Hlk169598226"/>
      <w:r w:rsidR="00D52396">
        <w:rPr>
          <w:rFonts w:eastAsia="Times New Roman"/>
          <w:snapToGrid/>
          <w:color w:val="000000"/>
          <w:szCs w:val="22"/>
          <w:lang w:val="hu-HU" w:eastAsia="hu-HU" w:bidi="hu-HU"/>
        </w:rPr>
        <w:t>, amely</w:t>
      </w:r>
      <w:r w:rsidR="00D52396">
        <w:rPr>
          <w:szCs w:val="22"/>
          <w:lang w:val="hu-HU"/>
        </w:rPr>
        <w:t xml:space="preserve"> általános esetben</w:t>
      </w:r>
      <w:r w:rsidR="006716EF" w:rsidRPr="00F958F9">
        <w:rPr>
          <w:szCs w:val="22"/>
          <w:lang w:val="hu-HU"/>
        </w:rPr>
        <w:t xml:space="preserve"> </w:t>
      </w:r>
      <w:r w:rsidR="00D52396" w:rsidRPr="006716EF">
        <w:rPr>
          <w:szCs w:val="22"/>
          <w:lang w:val="hu-HU"/>
        </w:rPr>
        <w:t>2</w:t>
      </w:r>
      <w:r w:rsidR="00D52396" w:rsidRPr="00F958F9">
        <w:rPr>
          <w:szCs w:val="22"/>
          <w:lang w:val="hu-HU"/>
        </w:rPr>
        <w:t> °</w:t>
      </w:r>
      <w:r w:rsidR="00D52396" w:rsidRPr="006716EF">
        <w:rPr>
          <w:szCs w:val="22"/>
          <w:lang w:val="hu-HU"/>
        </w:rPr>
        <w:t>C</w:t>
      </w:r>
      <w:r w:rsidR="00D52396" w:rsidRPr="00F958F9">
        <w:rPr>
          <w:szCs w:val="22"/>
          <w:lang w:val="hu-HU"/>
        </w:rPr>
        <w:noBreakHyphen/>
      </w:r>
      <w:r w:rsidR="00D52396" w:rsidRPr="006716EF">
        <w:rPr>
          <w:szCs w:val="22"/>
          <w:lang w:val="hu-HU"/>
        </w:rPr>
        <w:t>8</w:t>
      </w:r>
      <w:r w:rsidR="00D52396" w:rsidRPr="00F958F9">
        <w:rPr>
          <w:szCs w:val="22"/>
          <w:lang w:val="hu-HU"/>
        </w:rPr>
        <w:t> °</w:t>
      </w:r>
      <w:r w:rsidR="00D52396" w:rsidRPr="006716EF">
        <w:rPr>
          <w:szCs w:val="22"/>
          <w:lang w:val="hu-HU"/>
        </w:rPr>
        <w:t xml:space="preserve">C </w:t>
      </w:r>
      <w:r w:rsidR="00D52396">
        <w:rPr>
          <w:szCs w:val="22"/>
          <w:lang w:val="hu-HU"/>
        </w:rPr>
        <w:t>közötti hőmérsékleten tárolva</w:t>
      </w:r>
      <w:r w:rsidR="00D52396" w:rsidRPr="00D52396">
        <w:rPr>
          <w:szCs w:val="22"/>
          <w:lang w:val="hu-HU"/>
        </w:rPr>
        <w:t xml:space="preserve"> </w:t>
      </w:r>
      <w:r w:rsidR="00D52396" w:rsidRPr="006716EF">
        <w:rPr>
          <w:szCs w:val="22"/>
          <w:lang w:val="hu-HU"/>
        </w:rPr>
        <w:t xml:space="preserve">(hűtőszekrényben) </w:t>
      </w:r>
      <w:r w:rsidR="006716EF" w:rsidRPr="006716EF">
        <w:rPr>
          <w:szCs w:val="22"/>
          <w:lang w:val="hu-HU"/>
        </w:rPr>
        <w:t xml:space="preserve">nem </w:t>
      </w:r>
      <w:r w:rsidR="003D5642">
        <w:rPr>
          <w:szCs w:val="22"/>
          <w:lang w:val="hu-HU"/>
        </w:rPr>
        <w:t xml:space="preserve">haladhatja meg a </w:t>
      </w:r>
      <w:r w:rsidR="006716EF" w:rsidRPr="006716EF">
        <w:rPr>
          <w:szCs w:val="22"/>
          <w:lang w:val="hu-HU"/>
        </w:rPr>
        <w:t>24</w:t>
      </w:r>
      <w:r w:rsidR="006716EF" w:rsidRPr="00F958F9">
        <w:rPr>
          <w:szCs w:val="22"/>
          <w:lang w:val="hu-HU"/>
        </w:rPr>
        <w:t> </w:t>
      </w:r>
      <w:r w:rsidR="003D5642" w:rsidRPr="006716EF">
        <w:rPr>
          <w:szCs w:val="22"/>
          <w:lang w:val="hu-HU"/>
        </w:rPr>
        <w:t>órá</w:t>
      </w:r>
      <w:r w:rsidR="003D5642">
        <w:rPr>
          <w:szCs w:val="22"/>
          <w:lang w:val="hu-HU"/>
        </w:rPr>
        <w:t>t</w:t>
      </w:r>
      <w:r w:rsidR="006716EF" w:rsidRPr="006716EF">
        <w:rPr>
          <w:szCs w:val="22"/>
          <w:lang w:val="hu-HU"/>
        </w:rPr>
        <w:t xml:space="preserve">, </w:t>
      </w:r>
      <w:r w:rsidR="006716EF" w:rsidRPr="00F958F9">
        <w:rPr>
          <w:szCs w:val="22"/>
          <w:lang w:val="hu-HU"/>
        </w:rPr>
        <w:t>kivéve,</w:t>
      </w:r>
      <w:r w:rsidR="006716EF" w:rsidRPr="006716EF">
        <w:rPr>
          <w:szCs w:val="22"/>
          <w:lang w:val="hu-HU"/>
        </w:rPr>
        <w:t xml:space="preserve"> ha a</w:t>
      </w:r>
      <w:r w:rsidR="00D52396">
        <w:rPr>
          <w:szCs w:val="22"/>
          <w:lang w:val="hu-HU"/>
        </w:rPr>
        <w:t xml:space="preserve">z elkészítés </w:t>
      </w:r>
      <w:r w:rsidR="006716EF" w:rsidRPr="00F958F9">
        <w:rPr>
          <w:szCs w:val="22"/>
          <w:lang w:val="hu-HU"/>
        </w:rPr>
        <w:t xml:space="preserve">ellenőrzött és validált aszeptikus körülmények között </w:t>
      </w:r>
      <w:r w:rsidR="00D52396">
        <w:rPr>
          <w:szCs w:val="22"/>
          <w:lang w:val="hu-HU"/>
        </w:rPr>
        <w:t>történt</w:t>
      </w:r>
      <w:r w:rsidR="006716EF" w:rsidRPr="00F958F9">
        <w:rPr>
          <w:szCs w:val="22"/>
          <w:lang w:val="hu-HU"/>
        </w:rPr>
        <w:t>.</w:t>
      </w:r>
    </w:p>
    <w:bookmarkEnd w:id="14"/>
    <w:p w14:paraId="30BD3B20" w14:textId="77777777" w:rsidR="00AA36FB" w:rsidRPr="00F958F9" w:rsidRDefault="00AA36FB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27672CF" w14:textId="77777777" w:rsidR="00F45C51" w:rsidRPr="00F958F9" w:rsidRDefault="00722712" w:rsidP="00F958F9">
      <w:pPr>
        <w:keepNext/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6.4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51F407F" w14:textId="77777777" w:rsidR="00F45C51" w:rsidRPr="00F958F9" w:rsidRDefault="00F45C51" w:rsidP="00F958F9">
      <w:pPr>
        <w:spacing w:line="240" w:lineRule="auto"/>
        <w:rPr>
          <w:szCs w:val="22"/>
          <w:lang w:val="hu-HU"/>
        </w:rPr>
      </w:pPr>
    </w:p>
    <w:p w14:paraId="76778081" w14:textId="17276C6F" w:rsidR="003F4498" w:rsidRPr="00F958F9" w:rsidRDefault="00AA36FB" w:rsidP="00F958F9">
      <w:pPr>
        <w:widowControl w:val="0"/>
        <w:tabs>
          <w:tab w:val="clear" w:pos="567"/>
        </w:tabs>
        <w:spacing w:line="240" w:lineRule="auto"/>
        <w:rPr>
          <w:szCs w:val="22"/>
          <w:lang w:val="hu-HU"/>
        </w:rPr>
      </w:pPr>
      <w:r w:rsidRPr="00F958F9">
        <w:rPr>
          <w:szCs w:val="22"/>
          <w:lang w:val="hu-HU"/>
        </w:rPr>
        <w:t>Ez a gyógyszer nem igényel különleges tárolást.</w:t>
      </w:r>
    </w:p>
    <w:p w14:paraId="2FBA7972" w14:textId="77777777" w:rsidR="00773C47" w:rsidRPr="00F958F9" w:rsidRDefault="00773C4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5A12CEC" w14:textId="6C9A4C8C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gyógyszer feloldás utáni tárolására vonatkozó előírásokat lásd a 6.3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ban.</w:t>
      </w:r>
    </w:p>
    <w:p w14:paraId="57E20DCC" w14:textId="77777777" w:rsidR="00077267" w:rsidRPr="00F958F9" w:rsidRDefault="00077267" w:rsidP="00F958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6381FEE" w14:textId="65DD1CDD" w:rsidR="00F45C51" w:rsidRPr="00F958F9" w:rsidRDefault="00722712" w:rsidP="00F958F9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6.5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</w:r>
      <w:r w:rsidRPr="00CC5ECB">
        <w:rPr>
          <w:rFonts w:eastAsia="Times New Roman"/>
          <w:b/>
          <w:snapToGrid/>
          <w:szCs w:val="22"/>
          <w:lang w:val="hu-HU" w:eastAsia="en-US"/>
        </w:rPr>
        <w:t>Csomagolás típusa és kiszerelése</w:t>
      </w:r>
    </w:p>
    <w:p w14:paraId="022DB89E" w14:textId="77777777" w:rsidR="00F45C51" w:rsidRDefault="00F45C51" w:rsidP="00F958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1835274" w14:textId="29B2B77E" w:rsidR="00CC5ECB" w:rsidRDefault="00CC5ECB" w:rsidP="00F958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1 vagy 10 injekciós üveg dobozonként.</w:t>
      </w:r>
    </w:p>
    <w:p w14:paraId="70E07F05" w14:textId="77777777" w:rsidR="00CC5ECB" w:rsidRPr="00F958F9" w:rsidRDefault="00CC5ECB" w:rsidP="00F958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492A139" w14:textId="1D9F2CCF" w:rsidR="00D46837" w:rsidRPr="00F958F9" w:rsidRDefault="00CC5ECB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Átlátszó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, I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5335C3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es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típusú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, 25 ml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es 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injekciós üveg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szürke</w:t>
      </w:r>
      <w:r w:rsidR="005335C3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klórbutil 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gumidugóval, </w:t>
      </w:r>
      <w:r w:rsidR="00B52F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és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piros műanyag lepattintható </w:t>
      </w:r>
      <w:r w:rsidR="00D52396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védőlappal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ellátott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alumíniumkupakkal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0B51938A" w14:textId="77777777" w:rsidR="00077267" w:rsidRPr="00F958F9" w:rsidRDefault="00077267" w:rsidP="00F958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95C636" w14:textId="04AF5797" w:rsidR="00F45C51" w:rsidRPr="00F958F9" w:rsidRDefault="00722712" w:rsidP="00F958F9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6.6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33E1DE7C" w14:textId="77777777" w:rsidR="00F45C51" w:rsidRPr="00F958F9" w:rsidRDefault="00F45C51" w:rsidP="00F958F9">
      <w:pPr>
        <w:spacing w:line="240" w:lineRule="auto"/>
        <w:rPr>
          <w:snapToGrid/>
          <w:szCs w:val="22"/>
          <w:lang w:val="hu-HU" w:eastAsia="en-US"/>
        </w:rPr>
      </w:pPr>
    </w:p>
    <w:p w14:paraId="5B9863D5" w14:textId="77777777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Bármilyen fel nem használt gyógyszer, illetve hulladékanyag megsemmisítését a gyógyszerekre vonatkozó előírások szerint kell végrehajtani.</w:t>
      </w:r>
    </w:p>
    <w:p w14:paraId="006C372B" w14:textId="77777777" w:rsidR="003F4498" w:rsidRPr="00F958F9" w:rsidRDefault="003F4498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03AD865" w14:textId="79FEC125" w:rsidR="00D46837" w:rsidRPr="00F958F9" w:rsidRDefault="00D4683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A port először vagy 19</w:t>
      </w:r>
      <w:r w:rsidR="00490B5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injekcióhoz való vízzel</w:t>
      </w:r>
      <w:r w:rsidR="00D7389D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19</w:t>
      </w:r>
      <w:r w:rsidR="00490B5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9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/ml (0,9%</w:t>
      </w:r>
      <w:r w:rsidR="00D7389D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os) nátrium-klorid oldattal kell feloldani, amivel 20</w:t>
      </w:r>
      <w:r w:rsidR="00490B5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kivehető térfogatú, 10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/ml vorikonazolt tartalmazó tiszta koncentrátum nyerhető. Dobja ki a </w:t>
      </w:r>
      <w:r w:rsidR="00592DE3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Voriconazole SaneXcel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injekciós üveget, ha a vákuum nem szívja be az oldószert az injekciós üvegbe. Hagyományos (nem automata) 20</w:t>
      </w:r>
      <w:r w:rsidR="00490B5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="002823F0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es fecskendő használata javasolt, ami biztosítja a</w:t>
      </w:r>
      <w:r w:rsidR="002823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pont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 mennyiségű (19,0</w:t>
      </w:r>
      <w:r w:rsidR="00490B5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ml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) injekcióhoz való víz vagy 9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/ml (0,9%</w:t>
      </w:r>
      <w:r w:rsidR="002823F0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os) nátrium-klorid oldat adagolását. Ez a</w:t>
      </w:r>
      <w:r w:rsidR="001F5E04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készítmény </w:t>
      </w:r>
      <w:r w:rsidR="002823F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kizárólag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egyszeri használatra készült, a </w:t>
      </w:r>
      <w:r w:rsidR="00B657A9">
        <w:rPr>
          <w:rFonts w:eastAsia="Times New Roman"/>
          <w:snapToGrid/>
          <w:color w:val="000000"/>
          <w:szCs w:val="22"/>
          <w:lang w:val="hu-HU" w:eastAsia="hu-HU" w:bidi="hu-HU"/>
        </w:rPr>
        <w:t>fel nem használt</w:t>
      </w:r>
      <w:r w:rsidR="00B657A9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oldatot meg kell semmisíteni</w:t>
      </w:r>
      <w:r w:rsidR="00B657A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1A1216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B657A9">
        <w:rPr>
          <w:rFonts w:eastAsia="Times New Roman"/>
          <w:snapToGrid/>
          <w:color w:val="000000"/>
          <w:szCs w:val="22"/>
          <w:lang w:val="hu-HU" w:eastAsia="hu-HU" w:bidi="hu-HU"/>
        </w:rPr>
        <w:t>C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sak </w:t>
      </w:r>
      <w:r w:rsidR="001F5E04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tiszta, részecsk</w:t>
      </w:r>
      <w:r w:rsidR="00B657A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éktől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mentes oldatot szabad felhasználni.</w:t>
      </w:r>
    </w:p>
    <w:p w14:paraId="25B5DB3B" w14:textId="77777777" w:rsidR="001F5E04" w:rsidRPr="00F958F9" w:rsidRDefault="001F5E04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C8C5163" w14:textId="17D5667E" w:rsidR="00D46837" w:rsidRPr="00F958F9" w:rsidRDefault="00E96327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A b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eadáshoz az elkészített koncentrátum kívánt térfogatát az ajánlott kompatibilis infúzió</w:t>
      </w:r>
      <w:r w:rsidR="002823F0">
        <w:rPr>
          <w:rFonts w:eastAsia="Times New Roman"/>
          <w:snapToGrid/>
          <w:color w:val="000000"/>
          <w:szCs w:val="22"/>
          <w:lang w:val="hu-HU" w:eastAsia="hu-HU" w:bidi="hu-HU"/>
        </w:rPr>
        <w:t>s oldat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hoz (részleteket lásd az alábbi táblázatban) kell adni, hogy a vorikonazol végkoncentrációja 0,5</w:t>
      </w:r>
      <w:r w:rsidR="002823F0"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5</w:t>
      </w:r>
      <w:r w:rsidR="00141680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="00D46837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/ml legyen.</w:t>
      </w:r>
    </w:p>
    <w:p w14:paraId="1C85DE6E" w14:textId="77777777" w:rsidR="001F5E04" w:rsidRPr="00F958F9" w:rsidRDefault="001F5E04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27F30F6" w14:textId="44F73405" w:rsidR="00D46837" w:rsidRDefault="00D46837" w:rsidP="002823F0">
      <w:pPr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u w:val="single"/>
          <w:lang w:val="hu-HU" w:eastAsia="hu-HU" w:bidi="hu-HU"/>
        </w:rPr>
      </w:pPr>
      <w:r w:rsidRPr="00F958F9">
        <w:rPr>
          <w:rFonts w:eastAsia="Times New Roman"/>
          <w:b/>
          <w:bCs/>
          <w:snapToGrid/>
          <w:color w:val="000000"/>
          <w:szCs w:val="22"/>
          <w:u w:val="single"/>
          <w:lang w:val="hu-HU" w:eastAsia="hu-HU" w:bidi="hu-HU"/>
        </w:rPr>
        <w:t>A 10</w:t>
      </w:r>
      <w:r w:rsidR="00141680" w:rsidRPr="00F958F9">
        <w:rPr>
          <w:rFonts w:eastAsia="Times New Roman"/>
          <w:b/>
          <w:bCs/>
          <w:snapToGrid/>
          <w:color w:val="000000"/>
          <w:szCs w:val="22"/>
          <w:u w:val="single"/>
          <w:lang w:val="hu-HU" w:eastAsia="hu-HU" w:bidi="hu-HU"/>
        </w:rPr>
        <w:t> mg</w:t>
      </w:r>
      <w:r w:rsidRPr="00F958F9">
        <w:rPr>
          <w:rFonts w:eastAsia="Times New Roman"/>
          <w:b/>
          <w:bCs/>
          <w:snapToGrid/>
          <w:color w:val="000000"/>
          <w:szCs w:val="22"/>
          <w:u w:val="single"/>
          <w:lang w:val="hu-HU" w:eastAsia="hu-HU" w:bidi="hu-HU"/>
        </w:rPr>
        <w:t xml:space="preserve">/ml-es </w:t>
      </w:r>
      <w:r w:rsidR="00592DE3" w:rsidRPr="00F958F9">
        <w:rPr>
          <w:rFonts w:eastAsia="Times New Roman"/>
          <w:b/>
          <w:bCs/>
          <w:snapToGrid/>
          <w:color w:val="000000"/>
          <w:szCs w:val="22"/>
          <w:u w:val="single"/>
          <w:lang w:val="hu-HU" w:eastAsia="hu-HU" w:bidi="hu-HU"/>
        </w:rPr>
        <w:t>Voriconazole SaneXcel</w:t>
      </w:r>
      <w:r w:rsidRPr="00F958F9">
        <w:rPr>
          <w:rFonts w:eastAsia="Times New Roman"/>
          <w:b/>
          <w:bCs/>
          <w:snapToGrid/>
          <w:color w:val="000000"/>
          <w:szCs w:val="22"/>
          <w:u w:val="single"/>
          <w:lang w:val="hu-HU" w:eastAsia="hu-HU" w:bidi="hu-HU"/>
        </w:rPr>
        <w:t xml:space="preserve"> koncentrátum szükséges mennyisége:</w:t>
      </w:r>
    </w:p>
    <w:p w14:paraId="1D622519" w14:textId="77777777" w:rsidR="002823F0" w:rsidRPr="00F958F9" w:rsidRDefault="002823F0" w:rsidP="002823F0">
      <w:p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Overlap w:val="never"/>
        <w:tblW w:w="90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9"/>
        <w:gridCol w:w="1587"/>
        <w:gridCol w:w="1587"/>
        <w:gridCol w:w="1587"/>
        <w:gridCol w:w="1587"/>
        <w:gridCol w:w="1590"/>
      </w:tblGrid>
      <w:tr w:rsidR="00D46837" w:rsidRPr="004F62D8" w14:paraId="1812231E" w14:textId="77777777" w:rsidTr="00907E71">
        <w:trPr>
          <w:cantSplit/>
          <w:trHeight w:hRule="exact" w:val="538"/>
          <w:tblHeader/>
          <w:jc w:val="center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863466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bookmarkStart w:id="15" w:name="_Hlk199767347"/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Testtömeg (kg)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94D73C" w14:textId="50B31669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A </w:t>
            </w:r>
            <w:r w:rsidR="00592DE3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Voriconazole SaneXcel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koncentrátum (10</w:t>
            </w:r>
            <w:r w:rsidR="00141680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/ml) szükséges mennyisége a következő </w:t>
            </w:r>
            <w:r w:rsidR="00E565B7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dózis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ok elkészítéséhez:</w:t>
            </w:r>
          </w:p>
        </w:tc>
      </w:tr>
      <w:tr w:rsidR="00D46837" w:rsidRPr="004F62D8" w14:paraId="7490EB55" w14:textId="77777777" w:rsidTr="00907E71">
        <w:trPr>
          <w:cantSplit/>
          <w:trHeight w:hRule="exact" w:val="794"/>
          <w:tblHeader/>
          <w:jc w:val="center"/>
        </w:trPr>
        <w:tc>
          <w:tcPr>
            <w:tcW w:w="1129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AD9F55E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A6C4DA" w14:textId="5869C403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3</w:t>
            </w:r>
            <w:r w:rsidR="00141680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/ttkg dózis (injekciós üvegek száma)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AD7C2" w14:textId="24FABCE9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4</w:t>
            </w:r>
            <w:r w:rsidR="00141680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/ttkg dózis (injekciós üvegek száma)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93EAEB" w14:textId="7A1ECF0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6</w:t>
            </w:r>
            <w:r w:rsidR="00141680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/ttkg dózis (injekciós üvegek száma)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A8111D" w14:textId="181D87F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8</w:t>
            </w:r>
            <w:r w:rsidR="00141680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/ttkg dózis (injekciós üvegek száma)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A553E9" w14:textId="69918F4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9</w:t>
            </w:r>
            <w:r w:rsidR="00141680"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F958F9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/ttkg dózis (injekciós üvegek száma)</w:t>
            </w:r>
          </w:p>
        </w:tc>
      </w:tr>
      <w:tr w:rsidR="00D46837" w:rsidRPr="00D46837" w14:paraId="2D00401A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A105F9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6F2974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9614B1" w14:textId="39DA01B4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A4A410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36EAE2" w14:textId="003A13F0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DD9741" w14:textId="6DEF8C9A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</w:tr>
      <w:tr w:rsidR="00D46837" w:rsidRPr="00D46837" w14:paraId="45C7ACE0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A7F4B8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642E6E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5607E8" w14:textId="7248EB88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7A0FDE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BFA785" w14:textId="4D9872CE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8A5410" w14:textId="7DEF1B9F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13,5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</w:tr>
      <w:tr w:rsidR="00D46837" w:rsidRPr="00D46837" w14:paraId="427BB9C5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3FEDA9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8D2F87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6544A8" w14:textId="79174BED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07A91C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EF8D56" w14:textId="68D6DFD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16,0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0DE0F4" w14:textId="17956369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</w:tr>
      <w:tr w:rsidR="00D46837" w:rsidRPr="00D46837" w14:paraId="0F6C1CA6" w14:textId="77777777" w:rsidTr="00907E71">
        <w:trPr>
          <w:trHeight w:hRule="exact" w:val="27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929F33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F218D4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AF6ACA" w14:textId="57E4987A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A07ED5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2E74BE" w14:textId="44273CCC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415BD0" w14:textId="2B2F68BA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22,5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</w:tr>
      <w:tr w:rsidR="00D46837" w:rsidRPr="00D46837" w14:paraId="6B55F065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93B6DD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DB1CB7" w14:textId="7F9BA1A6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E98FEB" w14:textId="4A84F4C1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42F260" w14:textId="619F78C5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593C12" w14:textId="3039A1FE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62474C" w14:textId="138DF38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27,0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</w:tr>
      <w:tr w:rsidR="00D46837" w:rsidRPr="00D46837" w14:paraId="02D8CA6F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F43EF6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204F56" w14:textId="50ACF9CD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908CA1" w14:textId="46C41CA3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14,0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6FD608" w14:textId="3BBE5DC9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21,0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72A6B5" w14:textId="309D27E3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723144" w14:textId="3A9DC2DF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31,5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</w:tr>
      <w:tr w:rsidR="00D46837" w:rsidRPr="00D46837" w14:paraId="2BEE914A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DAB7CD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CA0525" w14:textId="1296609D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344CD6" w14:textId="18D63739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16,0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7472E6" w14:textId="4D15A058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A68D47F" w14:textId="2DCCBEFA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32,0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ACD831" w14:textId="51D63FC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</w:tr>
      <w:tr w:rsidR="00D46837" w:rsidRPr="00D46837" w14:paraId="42840B19" w14:textId="77777777" w:rsidTr="00907E71">
        <w:trPr>
          <w:trHeight w:hRule="exact" w:val="27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489447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6D642C" w14:textId="3CE367E3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13,5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A8D9E7" w14:textId="7ABB463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BC5EAB" w14:textId="05F07B6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27,0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888163" w14:textId="3398F56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0D8A6CD" w14:textId="759F37A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</w:tr>
      <w:tr w:rsidR="00D46837" w:rsidRPr="00D46837" w14:paraId="5B1D573D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AA850A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BEAAFF" w14:textId="0B1DDE29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15,0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B2D4BA" w14:textId="255A1FD3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97A01C" w14:textId="0FC2B936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9E64963" w14:textId="309D3160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9A0E24" w14:textId="4557111F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45,0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</w:tr>
      <w:tr w:rsidR="00D46837" w:rsidRPr="00D46837" w14:paraId="6C7F6E14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A8A909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4698AFF" w14:textId="6ED38E46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16,5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063279" w14:textId="12911D9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22,0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CB43FE" w14:textId="2645E89D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33,0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FC40D0" w14:textId="1E774F0F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44,0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4F47BA" w14:textId="1B5ED1B1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49,5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</w:tr>
      <w:tr w:rsidR="00D46837" w:rsidRPr="00D46837" w14:paraId="4623FD4E" w14:textId="77777777" w:rsidTr="00907E71">
        <w:trPr>
          <w:trHeight w:hRule="exact" w:val="27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FAEE85A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14C4E6" w14:textId="3A5FB248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D27D4D" w14:textId="3CA2372A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1DD354" w14:textId="304D0750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412DFC" w14:textId="277642E4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8DE8AD" w14:textId="7E021C51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54,0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</w:tr>
      <w:tr w:rsidR="00D46837" w:rsidRPr="00D46837" w14:paraId="47262341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B9659C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7C0E6D" w14:textId="0F5CB5C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19,5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(1)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425612" w14:textId="6C4EE1AE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26,0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ECCEBA" w14:textId="66B12C58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39,0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C37569" w14:textId="164368B5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52,0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7C0DB2" w14:textId="39269183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58,5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</w:tr>
      <w:tr w:rsidR="00D46837" w:rsidRPr="00D46837" w14:paraId="6062DA2E" w14:textId="77777777" w:rsidTr="00907E71">
        <w:trPr>
          <w:trHeight w:hRule="exact" w:val="27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235A4B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70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4BB560" w14:textId="4CAF5618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21,0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7A24AE" w14:textId="32E852D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DDE3FB" w14:textId="6B2A7131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42,0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7FD393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E47B81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D46837" w:rsidRPr="00D46837" w14:paraId="2A9629CA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58FA24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75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F811258" w14:textId="3E383502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22,5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A97697" w14:textId="471D93D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37304F" w14:textId="1B55FEE9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45,0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451C0B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1A790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D46837" w:rsidRPr="00D46837" w14:paraId="0F32DB90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CDE234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6BCB18" w14:textId="02BF60B9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85B2844" w14:textId="0823A83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32,0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249CA8" w14:textId="3368D9A0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9ABEB5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931252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D46837" w:rsidRPr="00D46837" w14:paraId="16027CAE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1DDBE3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894C42" w14:textId="1791E9C4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25,5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3F740A" w14:textId="48BC0AE0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34,0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538B68" w14:textId="448920C3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51,0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180492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74558A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D46837" w:rsidRPr="00D46837" w14:paraId="648D76A7" w14:textId="77777777" w:rsidTr="00907E71">
        <w:trPr>
          <w:trHeight w:hRule="exact" w:val="27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75E843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5C565D" w14:textId="26E971EA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27,0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6A09BA" w14:textId="4C9AD66B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03D32D" w14:textId="5E29B322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54,0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C93E70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6D2767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D46837" w:rsidRPr="00D46837" w14:paraId="5560B25C" w14:textId="77777777" w:rsidTr="00907E71">
        <w:trPr>
          <w:trHeight w:hRule="exact" w:val="269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0DD583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C4CB33" w14:textId="60219632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28,5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3B41761" w14:textId="27447A00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38,0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F1B263" w14:textId="3D4BA6A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57,0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556B1D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FB07A2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tr w:rsidR="00D46837" w:rsidRPr="00D46837" w14:paraId="639E6278" w14:textId="77777777" w:rsidTr="00907E71">
        <w:trPr>
          <w:trHeight w:hRule="exact" w:val="278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9A74B76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206D81E" w14:textId="69F3AFF5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B9DC040" w14:textId="05E70FAA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(2)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DE550C8" w14:textId="0B9315CF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60,0</w:t>
            </w:r>
            <w:r w:rsidR="00490B5E"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ml</w:t>
            </w:r>
            <w:r w:rsidRPr="00F958F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(3)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58FA7A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8DCA80" w14:textId="77777777" w:rsidR="00D46837" w:rsidRPr="00F958F9" w:rsidRDefault="00D46837" w:rsidP="00F958F9">
            <w:pPr>
              <w:keepNext/>
              <w:tabs>
                <w:tab w:val="clear" w:pos="567"/>
              </w:tabs>
              <w:spacing w:line="240" w:lineRule="auto"/>
              <w:rPr>
                <w:rFonts w:eastAsia="Microsoft Sans Serif"/>
                <w:snapToGrid/>
                <w:color w:val="000000"/>
                <w:szCs w:val="22"/>
                <w:lang w:val="hu-HU" w:eastAsia="hu-HU" w:bidi="hu-HU"/>
              </w:rPr>
            </w:pPr>
          </w:p>
        </w:tc>
      </w:tr>
      <w:bookmarkEnd w:id="15"/>
    </w:tbl>
    <w:p w14:paraId="4E348ADB" w14:textId="77777777" w:rsidR="00D46837" w:rsidRPr="00F958F9" w:rsidRDefault="00D46837" w:rsidP="00F958F9">
      <w:pPr>
        <w:spacing w:line="240" w:lineRule="auto"/>
        <w:rPr>
          <w:snapToGrid/>
          <w:szCs w:val="22"/>
          <w:lang w:val="hu-HU" w:eastAsia="hu-HU" w:bidi="hu-HU"/>
        </w:rPr>
      </w:pPr>
    </w:p>
    <w:p w14:paraId="65018902" w14:textId="0D73FA36" w:rsidR="002A7D1C" w:rsidRPr="00F958F9" w:rsidRDefault="002A7D1C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</w:t>
      </w:r>
      <w:r w:rsidR="00915C6E">
        <w:rPr>
          <w:rFonts w:eastAsia="Times New Roman"/>
          <w:snapToGrid/>
          <w:color w:val="000000"/>
          <w:szCs w:val="22"/>
          <w:lang w:val="hu-HU" w:eastAsia="hu-HU" w:bidi="hu-HU"/>
        </w:rPr>
        <w:t>elkészített</w:t>
      </w:r>
      <w:r w:rsidR="00915C6E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oldat </w:t>
      </w:r>
      <w:bookmarkStart w:id="16" w:name="_Hlk199768058"/>
      <w:r w:rsidR="00084CD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alábbiakkal </w:t>
      </w:r>
      <w:bookmarkEnd w:id="16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hígítható:</w:t>
      </w:r>
    </w:p>
    <w:p w14:paraId="0A16DD4C" w14:textId="77777777" w:rsidR="00796186" w:rsidRPr="00F958F9" w:rsidRDefault="00796186" w:rsidP="0079618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Nátrium-klorid 9 mg/ml (0,9%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os) oldatos infúzió</w:t>
      </w:r>
    </w:p>
    <w:p w14:paraId="2A3463C2" w14:textId="77777777" w:rsidR="00796186" w:rsidRPr="00F958F9" w:rsidRDefault="00796186" w:rsidP="0079618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Nátrium-laktát </w:t>
      </w:r>
      <w:bookmarkStart w:id="17" w:name="_Hlk199768356"/>
      <w:r>
        <w:rPr>
          <w:rFonts w:eastAsia="Times New Roman"/>
          <w:snapToGrid/>
          <w:color w:val="000000"/>
          <w:szCs w:val="22"/>
          <w:lang w:val="hu-HU" w:eastAsia="hu-HU" w:bidi="hu-HU"/>
        </w:rPr>
        <w:t>elegy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bookmarkEnd w:id="17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intravénás infúzió</w:t>
      </w:r>
    </w:p>
    <w:p w14:paraId="36E3D754" w14:textId="4EB9CDB8" w:rsidR="00796186" w:rsidRPr="00F958F9" w:rsidRDefault="00796186" w:rsidP="0079618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5% </w:t>
      </w:r>
      <w:r w:rsidR="003D5642"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="003D564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lükóz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Ringer-laktát intravénás infúzió</w:t>
      </w:r>
    </w:p>
    <w:p w14:paraId="5DC880CA" w14:textId="6AA2DF04" w:rsidR="00796186" w:rsidRPr="00F958F9" w:rsidRDefault="00796186" w:rsidP="0079618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5</w:t>
      </w:r>
      <w:r w:rsidR="003D5642" w:rsidRPr="003D564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% </w:t>
      </w:r>
      <w:r w:rsidR="003D5642"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="003D564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lükóz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0,45% nátrium-klorid intravénás infúzió</w:t>
      </w:r>
    </w:p>
    <w:p w14:paraId="7001A5F6" w14:textId="4BA73DD8" w:rsidR="00796186" w:rsidRPr="00F958F9" w:rsidRDefault="00796186" w:rsidP="0079618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5% </w:t>
      </w:r>
      <w:r w:rsidR="003D5642"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="003D564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lükóz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intravénás infúzió</w:t>
      </w:r>
    </w:p>
    <w:p w14:paraId="0A48D3BE" w14:textId="3CF3AE62" w:rsidR="00796186" w:rsidRPr="00F958F9" w:rsidRDefault="00796186" w:rsidP="0079618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5%</w:t>
      </w:r>
      <w:r w:rsidR="003D564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</w:t>
      </w:r>
      <w:r w:rsidR="003D564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lükóz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tartalmazó, 20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mEq kálium-klorid intravénás infúzió</w:t>
      </w:r>
    </w:p>
    <w:p w14:paraId="26EFDFCA" w14:textId="77777777" w:rsidR="00796186" w:rsidRPr="00F958F9" w:rsidRDefault="00796186" w:rsidP="0079618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0,45% nátrium-klorid intravénás infúzió</w:t>
      </w:r>
    </w:p>
    <w:p w14:paraId="5B6911F6" w14:textId="1EFEE692" w:rsidR="00796186" w:rsidRPr="00F958F9" w:rsidRDefault="00796186" w:rsidP="0079618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8" w:name="_Hlk199768531"/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5% </w:t>
      </w:r>
      <w:r w:rsidR="003D5642">
        <w:rPr>
          <w:rFonts w:eastAsia="Times New Roman"/>
          <w:snapToGrid/>
          <w:color w:val="000000"/>
          <w:szCs w:val="22"/>
          <w:lang w:val="hu-HU" w:eastAsia="hu-HU" w:bidi="hu-HU"/>
        </w:rPr>
        <w:t>g</w:t>
      </w:r>
      <w:r w:rsidR="003D5642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lükóz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és nátrium-klorid 9 mg/ml (0,9%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noBreakHyphen/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os) oldatos infúzió</w:t>
      </w:r>
      <w:bookmarkEnd w:id="18"/>
    </w:p>
    <w:p w14:paraId="0C03D568" w14:textId="77777777" w:rsidR="007A4CBF" w:rsidRPr="00F958F9" w:rsidRDefault="007A4CBF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E20262D" w14:textId="14267F3A" w:rsidR="002A7D1C" w:rsidRPr="00F958F9" w:rsidRDefault="002A7D1C" w:rsidP="00F958F9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9E60CC" w:rsidRPr="00525E3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vorikonazol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kompatibilitása a fent, illetve a </w:t>
      </w:r>
      <w:r w:rsidR="00084CDB">
        <w:rPr>
          <w:rFonts w:eastAsia="Times New Roman"/>
          <w:snapToGrid/>
          <w:color w:val="000000"/>
          <w:szCs w:val="22"/>
          <w:lang w:val="hu-HU" w:eastAsia="hu-HU" w:bidi="hu-HU"/>
        </w:rPr>
        <w:t>6.2 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pontban</w:t>
      </w:r>
      <w:r w:rsidRPr="00D4683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megjelöltektől eltérő oldószerekkel </w:t>
      </w:r>
      <w:r w:rsidR="00B440BB"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nem ismert</w:t>
      </w:r>
      <w:r w:rsidRPr="00F958F9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562C28AA" w14:textId="77777777" w:rsidR="00F45C51" w:rsidRPr="00F958F9" w:rsidRDefault="00F45C51" w:rsidP="00F958F9">
      <w:pPr>
        <w:spacing w:line="240" w:lineRule="auto"/>
        <w:rPr>
          <w:szCs w:val="22"/>
          <w:lang w:val="hu-HU"/>
        </w:rPr>
      </w:pPr>
    </w:p>
    <w:p w14:paraId="3AB6D363" w14:textId="77777777" w:rsidR="00CE44A4" w:rsidRPr="00F958F9" w:rsidRDefault="00CE44A4" w:rsidP="00F958F9">
      <w:pPr>
        <w:suppressAutoHyphens/>
        <w:spacing w:line="240" w:lineRule="auto"/>
        <w:rPr>
          <w:rFonts w:eastAsia="Times New Roman"/>
          <w:bCs/>
          <w:szCs w:val="22"/>
          <w:lang w:val="hu-HU"/>
        </w:rPr>
      </w:pPr>
      <w:r w:rsidRPr="00F958F9">
        <w:rPr>
          <w:rFonts w:eastAsia="Times New Roman"/>
          <w:b/>
          <w:szCs w:val="22"/>
          <w:lang w:val="hu-HU"/>
        </w:rPr>
        <w:t xml:space="preserve">Megjegyzés: </w:t>
      </w:r>
      <w:r w:rsidRPr="00F958F9">
        <w:rPr>
          <w:rFonts w:eastAsia="Times New Roman"/>
          <w:szCs w:val="22"/>
          <w:lang w:val="hu-HU"/>
        </w:rPr>
        <w:sym w:font="Wingdings" w:char="F058"/>
      </w:r>
      <w:r w:rsidRPr="00F958F9">
        <w:rPr>
          <w:rFonts w:eastAsia="Times New Roman"/>
          <w:szCs w:val="22"/>
          <w:lang w:val="hu-HU"/>
        </w:rPr>
        <w:sym w:font="Wingdings" w:char="F058"/>
      </w:r>
      <w:r w:rsidRPr="00F958F9">
        <w:rPr>
          <w:rFonts w:eastAsia="Times New Roman"/>
          <w:b/>
          <w:szCs w:val="22"/>
          <w:lang w:val="hu-HU"/>
        </w:rPr>
        <w:t xml:space="preserve"> </w:t>
      </w:r>
      <w:r w:rsidRPr="00F958F9">
        <w:rPr>
          <w:rFonts w:eastAsia="Times New Roman"/>
          <w:bCs/>
          <w:szCs w:val="22"/>
          <w:lang w:val="hu-HU"/>
        </w:rPr>
        <w:t>(két keresztes)</w:t>
      </w:r>
    </w:p>
    <w:p w14:paraId="12D83FBB" w14:textId="77777777" w:rsidR="00CE44A4" w:rsidRPr="00F958F9" w:rsidRDefault="00CE44A4" w:rsidP="00F958F9">
      <w:pPr>
        <w:suppressAutoHyphens/>
        <w:spacing w:line="240" w:lineRule="auto"/>
        <w:rPr>
          <w:rFonts w:eastAsia="Times New Roman"/>
          <w:b/>
          <w:bCs/>
          <w:szCs w:val="22"/>
          <w:lang w:val="hu-HU"/>
        </w:rPr>
      </w:pPr>
      <w:r w:rsidRPr="00F958F9">
        <w:rPr>
          <w:rFonts w:eastAsia="Times New Roman"/>
          <w:szCs w:val="22"/>
          <w:lang w:val="hu-HU"/>
        </w:rPr>
        <w:t xml:space="preserve">Osztályozás: </w:t>
      </w:r>
      <w:r w:rsidRPr="00F958F9">
        <w:rPr>
          <w:rFonts w:eastAsia="Times New Roman"/>
          <w:b/>
          <w:bCs/>
          <w:szCs w:val="22"/>
          <w:lang w:val="hu-HU"/>
        </w:rPr>
        <w:t>II/3 csoport</w:t>
      </w:r>
    </w:p>
    <w:p w14:paraId="0D119658" w14:textId="504B98E0" w:rsidR="00CE44A4" w:rsidRPr="00F958F9" w:rsidRDefault="00CE44A4" w:rsidP="00F958F9">
      <w:pPr>
        <w:suppressAutoHyphens/>
        <w:spacing w:line="240" w:lineRule="auto"/>
        <w:rPr>
          <w:rFonts w:eastAsia="Times New Roman"/>
          <w:szCs w:val="22"/>
          <w:lang w:val="hu-HU"/>
        </w:rPr>
      </w:pPr>
      <w:r w:rsidRPr="00F958F9">
        <w:rPr>
          <w:rFonts w:eastAsia="Times New Roman"/>
          <w:szCs w:val="22"/>
          <w:lang w:val="hu-HU"/>
        </w:rPr>
        <w:t>Korlátozott érvényű orvosi rendelvényhez kötött, az egészségügyről szóló 1997. évi CLIV. törvény 3. §</w:t>
      </w:r>
      <w:r w:rsidR="00FB6AFD">
        <w:rPr>
          <w:rFonts w:eastAsia="Times New Roman"/>
          <w:szCs w:val="22"/>
          <w:lang w:val="hu-HU"/>
        </w:rPr>
        <w:noBreakHyphen/>
      </w:r>
      <w:r w:rsidRPr="00F958F9">
        <w:rPr>
          <w:rFonts w:eastAsia="Times New Roman"/>
          <w:szCs w:val="22"/>
          <w:lang w:val="hu-HU"/>
        </w:rPr>
        <w:t>ának ga) pontja szerinti rendelőintézeti járóbeteg-szakellátást vagy fekvőbeteg-szakellátást nyújtó szolgáltatók által biztosított körülmények között alkalmazható gyógyszer (I).</w:t>
      </w:r>
    </w:p>
    <w:p w14:paraId="35C30140" w14:textId="77777777" w:rsidR="00CE44A4" w:rsidRPr="00F958F9" w:rsidRDefault="00CE44A4" w:rsidP="00F958F9">
      <w:pPr>
        <w:spacing w:line="240" w:lineRule="auto"/>
        <w:rPr>
          <w:szCs w:val="22"/>
          <w:lang w:val="hu-HU"/>
        </w:rPr>
      </w:pPr>
    </w:p>
    <w:p w14:paraId="7720D500" w14:textId="77777777" w:rsidR="00F45C51" w:rsidRPr="00F958F9" w:rsidRDefault="00F45C51" w:rsidP="00F958F9">
      <w:pPr>
        <w:spacing w:line="240" w:lineRule="auto"/>
        <w:rPr>
          <w:szCs w:val="22"/>
          <w:lang w:val="hu-HU"/>
        </w:rPr>
      </w:pPr>
    </w:p>
    <w:p w14:paraId="419859A3" w14:textId="77777777" w:rsidR="00F45C51" w:rsidRPr="00F958F9" w:rsidRDefault="00722712" w:rsidP="00F958F9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7.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JOGOSULTJA</w:t>
      </w:r>
    </w:p>
    <w:p w14:paraId="0CB386C7" w14:textId="77777777" w:rsidR="00F45C51" w:rsidRPr="00F958F9" w:rsidRDefault="00F45C51" w:rsidP="00F958F9">
      <w:pPr>
        <w:spacing w:line="240" w:lineRule="auto"/>
        <w:rPr>
          <w:szCs w:val="22"/>
          <w:lang w:val="hu-HU"/>
        </w:rPr>
      </w:pPr>
    </w:p>
    <w:p w14:paraId="5A85367F" w14:textId="77777777" w:rsidR="00B37602" w:rsidRPr="00B37602" w:rsidRDefault="00B37602" w:rsidP="00B37602">
      <w:pPr>
        <w:spacing w:line="240" w:lineRule="auto"/>
        <w:rPr>
          <w:szCs w:val="22"/>
          <w:lang w:val="hu-HU"/>
        </w:rPr>
      </w:pPr>
      <w:r w:rsidRPr="00B37602">
        <w:rPr>
          <w:szCs w:val="22"/>
          <w:lang w:val="hu-HU"/>
        </w:rPr>
        <w:t xml:space="preserve">J.J. Bishop Health a.s. </w:t>
      </w:r>
    </w:p>
    <w:p w14:paraId="43889E3F" w14:textId="77777777" w:rsidR="00B37602" w:rsidRPr="00B37602" w:rsidRDefault="00B37602" w:rsidP="00B37602">
      <w:pPr>
        <w:spacing w:line="240" w:lineRule="auto"/>
        <w:rPr>
          <w:szCs w:val="22"/>
          <w:lang w:val="hu-HU"/>
        </w:rPr>
      </w:pPr>
      <w:r w:rsidRPr="00B37602">
        <w:rPr>
          <w:szCs w:val="22"/>
          <w:lang w:val="hu-HU"/>
        </w:rPr>
        <w:t>Rybná 682/14</w:t>
      </w:r>
    </w:p>
    <w:p w14:paraId="6B2BB73E" w14:textId="3552AF00" w:rsidR="00B37602" w:rsidRPr="00B37602" w:rsidRDefault="00B37602" w:rsidP="00B37602">
      <w:pPr>
        <w:spacing w:line="240" w:lineRule="auto"/>
        <w:rPr>
          <w:szCs w:val="22"/>
          <w:lang w:val="hu-HU"/>
        </w:rPr>
      </w:pPr>
      <w:r w:rsidRPr="00B37602">
        <w:rPr>
          <w:szCs w:val="22"/>
          <w:lang w:val="hu-HU"/>
        </w:rPr>
        <w:t xml:space="preserve">Staré Město, 110 00 Prague </w:t>
      </w:r>
    </w:p>
    <w:p w14:paraId="3CC8D8D6" w14:textId="0721B5FF" w:rsidR="00F45C51" w:rsidRPr="00F958F9" w:rsidRDefault="00B37602" w:rsidP="00B37602">
      <w:pPr>
        <w:spacing w:line="240" w:lineRule="auto"/>
        <w:rPr>
          <w:szCs w:val="22"/>
          <w:lang w:val="hu-HU"/>
        </w:rPr>
      </w:pPr>
      <w:r w:rsidRPr="00B37602">
        <w:rPr>
          <w:szCs w:val="22"/>
          <w:lang w:val="hu-HU"/>
        </w:rPr>
        <w:t>Csehország</w:t>
      </w:r>
    </w:p>
    <w:p w14:paraId="1CEDE3D5" w14:textId="2FD9B740" w:rsidR="003A4F86" w:rsidRDefault="003A4F86" w:rsidP="00F958F9">
      <w:pPr>
        <w:spacing w:line="240" w:lineRule="auto"/>
        <w:rPr>
          <w:szCs w:val="22"/>
          <w:lang w:val="hu-HU"/>
        </w:rPr>
      </w:pPr>
    </w:p>
    <w:p w14:paraId="4E57D1CA" w14:textId="77777777" w:rsidR="00944195" w:rsidRPr="00F958F9" w:rsidRDefault="00944195" w:rsidP="00F958F9">
      <w:pPr>
        <w:spacing w:line="240" w:lineRule="auto"/>
        <w:rPr>
          <w:szCs w:val="22"/>
          <w:lang w:val="hu-HU"/>
        </w:rPr>
      </w:pPr>
    </w:p>
    <w:p w14:paraId="00335546" w14:textId="77777777" w:rsidR="00F45C51" w:rsidRPr="00F958F9" w:rsidRDefault="00722712" w:rsidP="00F958F9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8.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4C5B1580" w14:textId="77777777" w:rsidR="00F45C51" w:rsidRPr="00F958F9" w:rsidRDefault="00F45C51" w:rsidP="00F958F9">
      <w:pPr>
        <w:spacing w:line="240" w:lineRule="auto"/>
        <w:rPr>
          <w:szCs w:val="22"/>
          <w:lang w:val="hu-HU"/>
        </w:rPr>
      </w:pPr>
    </w:p>
    <w:p w14:paraId="2F43E1E8" w14:textId="39887347" w:rsidR="00EF7BDC" w:rsidRPr="00EF7BDC" w:rsidRDefault="00EF7BDC" w:rsidP="00EF7BDC">
      <w:pPr>
        <w:spacing w:line="240" w:lineRule="auto"/>
        <w:rPr>
          <w:szCs w:val="22"/>
          <w:lang w:val="hu-HU" w:eastAsia="hu-HU"/>
        </w:rPr>
      </w:pPr>
      <w:r w:rsidRPr="00EF7BDC">
        <w:rPr>
          <w:szCs w:val="22"/>
          <w:lang w:val="hu-HU" w:eastAsia="hu-HU"/>
        </w:rPr>
        <w:t>OGYI-T-24789/01</w:t>
      </w:r>
      <w:r>
        <w:rPr>
          <w:szCs w:val="22"/>
          <w:lang w:val="hu-HU" w:eastAsia="hu-HU"/>
        </w:rPr>
        <w:tab/>
      </w:r>
      <w:r w:rsidRPr="00EF7BDC">
        <w:rPr>
          <w:szCs w:val="22"/>
          <w:lang w:val="hu-HU" w:eastAsia="hu-HU"/>
        </w:rPr>
        <w:t>1</w:t>
      </w:r>
      <w:r>
        <w:rPr>
          <w:szCs w:val="22"/>
          <w:lang w:val="hu-HU" w:eastAsia="hu-HU"/>
        </w:rPr>
        <w:t>×</w:t>
      </w:r>
      <w:r>
        <w:rPr>
          <w:szCs w:val="22"/>
          <w:lang w:val="hu-HU" w:eastAsia="hu-HU"/>
        </w:rPr>
        <w:tab/>
      </w:r>
      <w:r w:rsidRPr="00EF7BDC">
        <w:rPr>
          <w:szCs w:val="22"/>
          <w:lang w:val="hu-HU" w:eastAsia="hu-HU"/>
        </w:rPr>
        <w:t>klórbutil gumidugóval lezárt, átlátszó, I-es típusú injekciós üvegben</w:t>
      </w:r>
      <w:bookmarkStart w:id="19" w:name="_GoBack"/>
      <w:bookmarkEnd w:id="19"/>
    </w:p>
    <w:p w14:paraId="16D9CD2C" w14:textId="5F0FBB9F" w:rsidR="00F45C51" w:rsidRDefault="00EF7BDC" w:rsidP="00EF7BDC">
      <w:pPr>
        <w:spacing w:line="240" w:lineRule="auto"/>
        <w:rPr>
          <w:szCs w:val="22"/>
          <w:lang w:val="hu-HU" w:eastAsia="hu-HU"/>
        </w:rPr>
      </w:pPr>
      <w:r w:rsidRPr="00EF7BDC">
        <w:rPr>
          <w:szCs w:val="22"/>
          <w:lang w:val="hu-HU" w:eastAsia="hu-HU"/>
        </w:rPr>
        <w:t>OGYI-T-24789/02</w:t>
      </w:r>
      <w:r>
        <w:rPr>
          <w:szCs w:val="22"/>
          <w:lang w:val="hu-HU" w:eastAsia="hu-HU"/>
        </w:rPr>
        <w:tab/>
      </w:r>
      <w:r w:rsidRPr="00EF7BDC">
        <w:rPr>
          <w:szCs w:val="22"/>
          <w:lang w:val="hu-HU" w:eastAsia="hu-HU"/>
        </w:rPr>
        <w:t>10</w:t>
      </w:r>
      <w:r>
        <w:rPr>
          <w:szCs w:val="22"/>
          <w:lang w:val="hu-HU" w:eastAsia="hu-HU"/>
        </w:rPr>
        <w:t>×</w:t>
      </w:r>
      <w:r>
        <w:rPr>
          <w:szCs w:val="22"/>
          <w:lang w:val="hu-HU" w:eastAsia="hu-HU"/>
        </w:rPr>
        <w:tab/>
      </w:r>
      <w:r w:rsidRPr="00EF7BDC">
        <w:rPr>
          <w:szCs w:val="22"/>
          <w:lang w:val="hu-HU" w:eastAsia="hu-HU"/>
        </w:rPr>
        <w:t>klórbutil gumidugóval lezárt, átlátszó, I-es típusú injekciós üvegben</w:t>
      </w:r>
    </w:p>
    <w:p w14:paraId="12C941C6" w14:textId="77777777" w:rsidR="00EF7BDC" w:rsidRPr="00F958F9" w:rsidRDefault="00EF7BDC" w:rsidP="00EF7BDC">
      <w:pPr>
        <w:spacing w:line="240" w:lineRule="auto"/>
        <w:rPr>
          <w:szCs w:val="22"/>
          <w:lang w:val="hu-HU"/>
        </w:rPr>
      </w:pPr>
    </w:p>
    <w:p w14:paraId="3CA0C609" w14:textId="77777777" w:rsidR="00CA6136" w:rsidRPr="00F958F9" w:rsidRDefault="00CA6136" w:rsidP="00F958F9">
      <w:pPr>
        <w:spacing w:line="240" w:lineRule="auto"/>
        <w:rPr>
          <w:szCs w:val="22"/>
          <w:lang w:val="hu-HU"/>
        </w:rPr>
      </w:pPr>
    </w:p>
    <w:p w14:paraId="7EDA11D2" w14:textId="77777777" w:rsidR="00F45C51" w:rsidRPr="00F958F9" w:rsidRDefault="00722712" w:rsidP="00F958F9">
      <w:pPr>
        <w:spacing w:line="240" w:lineRule="auto"/>
        <w:ind w:left="567" w:hanging="567"/>
        <w:rPr>
          <w:b/>
          <w:szCs w:val="22"/>
          <w:lang w:val="hu-HU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9.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A FORGALOMBA HOZATALI ENGEDÉLY ELSŐ KIADÁSÁNAK/ MEGÚJÍTÁSÁNAK</w:t>
      </w:r>
      <w:r w:rsidRPr="00F958F9">
        <w:rPr>
          <w:b/>
          <w:szCs w:val="22"/>
          <w:lang w:val="hu-HU"/>
        </w:rPr>
        <w:t xml:space="preserve"> DÁTUMA</w:t>
      </w:r>
    </w:p>
    <w:p w14:paraId="0EEA9B3B" w14:textId="77777777" w:rsidR="00F45C51" w:rsidRPr="00F958F9" w:rsidRDefault="00F45C51" w:rsidP="00F958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51D650" w14:textId="6FF56165" w:rsidR="0029347B" w:rsidRPr="00F958F9" w:rsidRDefault="00722712" w:rsidP="00F958F9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958F9">
        <w:rPr>
          <w:rFonts w:eastAsia="Times New Roman"/>
          <w:snapToGrid/>
          <w:szCs w:val="22"/>
          <w:lang w:val="hu-HU" w:eastAsia="en-US"/>
        </w:rPr>
        <w:t>A forgalomba hozatali engedély első kiadásának dátuma</w:t>
      </w:r>
      <w:r w:rsidR="00111AC4" w:rsidRPr="00F958F9">
        <w:rPr>
          <w:rFonts w:eastAsia="Times New Roman"/>
          <w:snapToGrid/>
          <w:szCs w:val="22"/>
          <w:lang w:val="hu-HU" w:eastAsia="en-US"/>
        </w:rPr>
        <w:t>:</w:t>
      </w:r>
      <w:r w:rsidR="00EF7BDC">
        <w:rPr>
          <w:rFonts w:eastAsia="Times New Roman"/>
          <w:snapToGrid/>
          <w:szCs w:val="22"/>
          <w:lang w:val="hu-HU" w:eastAsia="en-US"/>
        </w:rPr>
        <w:t xml:space="preserve"> 2026. szeptember 3.</w:t>
      </w:r>
    </w:p>
    <w:p w14:paraId="5C5B4247" w14:textId="77777777" w:rsidR="00F45C51" w:rsidRPr="00F958F9" w:rsidRDefault="00F45C51" w:rsidP="00F958F9">
      <w:pPr>
        <w:spacing w:line="240" w:lineRule="auto"/>
        <w:rPr>
          <w:snapToGrid/>
          <w:szCs w:val="22"/>
          <w:lang w:val="hu-HU" w:eastAsia="en-US"/>
        </w:rPr>
      </w:pPr>
    </w:p>
    <w:p w14:paraId="340A7875" w14:textId="77777777" w:rsidR="00CA6136" w:rsidRPr="00F958F9" w:rsidRDefault="00CA6136" w:rsidP="00F958F9">
      <w:pPr>
        <w:spacing w:line="240" w:lineRule="auto"/>
        <w:rPr>
          <w:snapToGrid/>
          <w:szCs w:val="22"/>
          <w:lang w:val="hu-HU" w:eastAsia="en-US"/>
        </w:rPr>
      </w:pPr>
    </w:p>
    <w:p w14:paraId="10BBF21B" w14:textId="77777777" w:rsidR="00F45C51" w:rsidRPr="00F958F9" w:rsidRDefault="00722712" w:rsidP="00F958F9">
      <w:pPr>
        <w:spacing w:line="240" w:lineRule="auto"/>
        <w:ind w:left="567" w:hanging="567"/>
        <w:rPr>
          <w:b/>
          <w:szCs w:val="22"/>
          <w:lang w:val="hu-HU"/>
        </w:rPr>
      </w:pPr>
      <w:r w:rsidRPr="00F958F9">
        <w:rPr>
          <w:rFonts w:eastAsia="Times New Roman"/>
          <w:b/>
          <w:snapToGrid/>
          <w:szCs w:val="22"/>
          <w:lang w:val="hu-HU" w:eastAsia="en-US"/>
        </w:rPr>
        <w:t>10.</w:t>
      </w:r>
      <w:r w:rsidRPr="00F958F9">
        <w:rPr>
          <w:rFonts w:eastAsia="Times New Roman"/>
          <w:b/>
          <w:snapToGrid/>
          <w:szCs w:val="22"/>
          <w:lang w:val="hu-HU" w:eastAsia="en-US"/>
        </w:rPr>
        <w:tab/>
        <w:t>A SZÖVEG ELLENŐRZÉSÉNEK DÁTUMA</w:t>
      </w:r>
    </w:p>
    <w:p w14:paraId="1543A1DF" w14:textId="77777777" w:rsidR="00F45C51" w:rsidRPr="00F958F9" w:rsidRDefault="00F45C51" w:rsidP="00F958F9">
      <w:pPr>
        <w:spacing w:line="240" w:lineRule="auto"/>
        <w:rPr>
          <w:szCs w:val="22"/>
          <w:lang w:val="hu-HU"/>
        </w:rPr>
      </w:pPr>
    </w:p>
    <w:p w14:paraId="482AB802" w14:textId="57B60CD7" w:rsidR="00CA6136" w:rsidRPr="00C24A24" w:rsidRDefault="00EF7BDC" w:rsidP="00F958F9">
      <w:pPr>
        <w:spacing w:line="240" w:lineRule="auto"/>
        <w:rPr>
          <w:bCs/>
          <w:snapToGrid/>
          <w:szCs w:val="22"/>
          <w:lang w:val="hu-HU" w:eastAsia="en-US"/>
        </w:rPr>
      </w:pPr>
      <w:r>
        <w:rPr>
          <w:bCs/>
          <w:snapToGrid/>
          <w:szCs w:val="22"/>
          <w:lang w:val="hu-HU" w:eastAsia="en-US"/>
        </w:rPr>
        <w:t>2026. szeptember 3.</w:t>
      </w:r>
    </w:p>
    <w:sectPr w:rsidR="00CA6136" w:rsidRPr="00C24A2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01BCC32" w16cid:durableId="401BCC3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109DA3" w14:textId="77777777" w:rsidR="00944195" w:rsidRDefault="00944195">
      <w:pPr>
        <w:spacing w:line="240" w:lineRule="auto"/>
      </w:pPr>
      <w:r>
        <w:separator/>
      </w:r>
    </w:p>
  </w:endnote>
  <w:endnote w:type="continuationSeparator" w:id="0">
    <w:p w14:paraId="58219F6E" w14:textId="77777777" w:rsidR="00944195" w:rsidRDefault="009441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QHKNX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ymbolMT">
    <w:altName w:val="Yu Gothic"/>
    <w:panose1 w:val="00000000000000000000"/>
    <w:charset w:val="80"/>
    <w:family w:val="auto"/>
    <w:notTrueType/>
    <w:pitch w:val="default"/>
    <w:sig w:usb0="00000001" w:usb1="09070000" w:usb2="00000010" w:usb3="00000000" w:csb0="000A0000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3BBE0" w14:textId="5771A19A" w:rsidR="00944195" w:rsidRPr="00F06234" w:rsidRDefault="00944195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  <w:p w14:paraId="7E973129" w14:textId="77777777" w:rsidR="00944195" w:rsidRDefault="009441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C2A9D" w14:textId="40472553" w:rsidR="00944195" w:rsidRPr="000D62EC" w:rsidRDefault="00944195">
    <w:pPr>
      <w:pStyle w:val="llb"/>
      <w:rPr>
        <w:rFonts w:ascii="Times New Roman" w:hAnsi="Times New Roman"/>
        <w:sz w:val="18"/>
        <w:szCs w:val="18"/>
      </w:rPr>
    </w:pPr>
    <w:r w:rsidRPr="000D62EC">
      <w:rPr>
        <w:rFonts w:ascii="Times New Roman" w:hAnsi="Times New Roman"/>
        <w:sz w:val="18"/>
        <w:szCs w:val="18"/>
      </w:rPr>
      <w:t>NNGYK/GYSZ/23069/2024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BDD22" w14:textId="77777777" w:rsidR="00944195" w:rsidRDefault="00944195">
      <w:pPr>
        <w:spacing w:line="240" w:lineRule="auto"/>
      </w:pPr>
      <w:r>
        <w:separator/>
      </w:r>
    </w:p>
  </w:footnote>
  <w:footnote w:type="continuationSeparator" w:id="0">
    <w:p w14:paraId="166DEA83" w14:textId="77777777" w:rsidR="00944195" w:rsidRDefault="009441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211678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BF3BA52" w14:textId="43F298AE" w:rsidR="00944195" w:rsidRPr="000D62EC" w:rsidRDefault="00944195" w:rsidP="000D62EC">
        <w:pPr>
          <w:pStyle w:val="lfej"/>
          <w:jc w:val="center"/>
          <w:rPr>
            <w:sz w:val="18"/>
            <w:szCs w:val="18"/>
          </w:rPr>
        </w:pPr>
        <w:r w:rsidRPr="000D62EC">
          <w:rPr>
            <w:sz w:val="18"/>
            <w:szCs w:val="18"/>
          </w:rPr>
          <w:fldChar w:fldCharType="begin"/>
        </w:r>
        <w:r w:rsidRPr="000D62EC">
          <w:rPr>
            <w:sz w:val="18"/>
            <w:szCs w:val="18"/>
          </w:rPr>
          <w:instrText>PAGE   \* MERGEFORMAT</w:instrText>
        </w:r>
        <w:r w:rsidRPr="000D62EC">
          <w:rPr>
            <w:sz w:val="18"/>
            <w:szCs w:val="18"/>
          </w:rPr>
          <w:fldChar w:fldCharType="separate"/>
        </w:r>
        <w:r w:rsidR="009C6E00" w:rsidRPr="009C6E00">
          <w:rPr>
            <w:noProof/>
            <w:sz w:val="18"/>
            <w:szCs w:val="18"/>
            <w:lang w:val="hu-HU"/>
          </w:rPr>
          <w:t>32</w:t>
        </w:r>
        <w:r w:rsidRPr="000D62E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2AAEC3E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D2A230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28940FF4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09A0ED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0E8F55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CE2292C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98E87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3E09AC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2CFC12C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504190"/>
    <w:multiLevelType w:val="hybridMultilevel"/>
    <w:tmpl w:val="3ED4BD44"/>
    <w:lvl w:ilvl="0" w:tplc="040E0001">
      <w:start w:val="1"/>
      <w:numFmt w:val="bullet"/>
      <w:lvlText w:val=""/>
      <w:lvlJc w:val="left"/>
      <w:pPr>
        <w:ind w:left="18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11" w15:restartNumberingAfterBreak="0">
    <w:nsid w:val="7FE30AE6"/>
    <w:multiLevelType w:val="multilevel"/>
    <w:tmpl w:val="9D207DF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1"/>
  </w:num>
  <w:num w:numId="3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224A"/>
    <w:rsid w:val="0000362A"/>
    <w:rsid w:val="00005701"/>
    <w:rsid w:val="00005CEC"/>
    <w:rsid w:val="00006494"/>
    <w:rsid w:val="00007528"/>
    <w:rsid w:val="0001164F"/>
    <w:rsid w:val="000121D6"/>
    <w:rsid w:val="000150D3"/>
    <w:rsid w:val="00015DD1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2EA"/>
    <w:rsid w:val="00043C27"/>
    <w:rsid w:val="00043F0F"/>
    <w:rsid w:val="00044042"/>
    <w:rsid w:val="00044F37"/>
    <w:rsid w:val="0004678E"/>
    <w:rsid w:val="00046DCE"/>
    <w:rsid w:val="000474D2"/>
    <w:rsid w:val="00047617"/>
    <w:rsid w:val="000479C5"/>
    <w:rsid w:val="00050429"/>
    <w:rsid w:val="00050DFD"/>
    <w:rsid w:val="0005372B"/>
    <w:rsid w:val="00053809"/>
    <w:rsid w:val="000538C2"/>
    <w:rsid w:val="00053914"/>
    <w:rsid w:val="00053EFA"/>
    <w:rsid w:val="000542F1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285A"/>
    <w:rsid w:val="00073E04"/>
    <w:rsid w:val="0007628D"/>
    <w:rsid w:val="00077267"/>
    <w:rsid w:val="0007752B"/>
    <w:rsid w:val="00080A35"/>
    <w:rsid w:val="00080AB8"/>
    <w:rsid w:val="00081DAB"/>
    <w:rsid w:val="0008235E"/>
    <w:rsid w:val="000828B8"/>
    <w:rsid w:val="00082A8E"/>
    <w:rsid w:val="00084CDB"/>
    <w:rsid w:val="000855CA"/>
    <w:rsid w:val="000928D6"/>
    <w:rsid w:val="0009351E"/>
    <w:rsid w:val="0009479A"/>
    <w:rsid w:val="00094B1A"/>
    <w:rsid w:val="00095E44"/>
    <w:rsid w:val="0009755A"/>
    <w:rsid w:val="000A1232"/>
    <w:rsid w:val="000A13ED"/>
    <w:rsid w:val="000A1AE2"/>
    <w:rsid w:val="000A1FD6"/>
    <w:rsid w:val="000A5165"/>
    <w:rsid w:val="000A782A"/>
    <w:rsid w:val="000B0097"/>
    <w:rsid w:val="000B02CE"/>
    <w:rsid w:val="000B101F"/>
    <w:rsid w:val="000B1F4B"/>
    <w:rsid w:val="000B2967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C1E"/>
    <w:rsid w:val="000C7F49"/>
    <w:rsid w:val="000D01C6"/>
    <w:rsid w:val="000D1AEE"/>
    <w:rsid w:val="000D1F4F"/>
    <w:rsid w:val="000D4D07"/>
    <w:rsid w:val="000D62EC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ACF"/>
    <w:rsid w:val="000F1BB2"/>
    <w:rsid w:val="000F3F94"/>
    <w:rsid w:val="000F4AA9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2FA"/>
    <w:rsid w:val="0011269A"/>
    <w:rsid w:val="00112EDA"/>
    <w:rsid w:val="00114174"/>
    <w:rsid w:val="00115D8B"/>
    <w:rsid w:val="00117C1D"/>
    <w:rsid w:val="00122AD8"/>
    <w:rsid w:val="00122D9F"/>
    <w:rsid w:val="00123688"/>
    <w:rsid w:val="00124CAB"/>
    <w:rsid w:val="00127316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1680"/>
    <w:rsid w:val="00143139"/>
    <w:rsid w:val="00143AD5"/>
    <w:rsid w:val="001445BE"/>
    <w:rsid w:val="001449DF"/>
    <w:rsid w:val="0014569B"/>
    <w:rsid w:val="00151BA4"/>
    <w:rsid w:val="00151E9D"/>
    <w:rsid w:val="00152BE4"/>
    <w:rsid w:val="00152F3B"/>
    <w:rsid w:val="0015420F"/>
    <w:rsid w:val="0015704C"/>
    <w:rsid w:val="00161E87"/>
    <w:rsid w:val="00162EDD"/>
    <w:rsid w:val="00163D6C"/>
    <w:rsid w:val="0016566C"/>
    <w:rsid w:val="0017205F"/>
    <w:rsid w:val="001720F4"/>
    <w:rsid w:val="0017265B"/>
    <w:rsid w:val="001727F0"/>
    <w:rsid w:val="00172B06"/>
    <w:rsid w:val="001752D8"/>
    <w:rsid w:val="00175931"/>
    <w:rsid w:val="00175A3E"/>
    <w:rsid w:val="00176B25"/>
    <w:rsid w:val="0018224D"/>
    <w:rsid w:val="0018238B"/>
    <w:rsid w:val="00183419"/>
    <w:rsid w:val="001834A4"/>
    <w:rsid w:val="0018394A"/>
    <w:rsid w:val="00186A9D"/>
    <w:rsid w:val="001874A6"/>
    <w:rsid w:val="0018765B"/>
    <w:rsid w:val="00190913"/>
    <w:rsid w:val="00192D21"/>
    <w:rsid w:val="00195F65"/>
    <w:rsid w:val="00196A16"/>
    <w:rsid w:val="001A07E2"/>
    <w:rsid w:val="001A1216"/>
    <w:rsid w:val="001A1EEE"/>
    <w:rsid w:val="001A2018"/>
    <w:rsid w:val="001A5A69"/>
    <w:rsid w:val="001A757B"/>
    <w:rsid w:val="001A7D1E"/>
    <w:rsid w:val="001B01C8"/>
    <w:rsid w:val="001B0DDB"/>
    <w:rsid w:val="001B13F6"/>
    <w:rsid w:val="001B1401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A65"/>
    <w:rsid w:val="001C4C82"/>
    <w:rsid w:val="001C5B30"/>
    <w:rsid w:val="001C6502"/>
    <w:rsid w:val="001C6E07"/>
    <w:rsid w:val="001D3C05"/>
    <w:rsid w:val="001D47C1"/>
    <w:rsid w:val="001D4F18"/>
    <w:rsid w:val="001D52E3"/>
    <w:rsid w:val="001D6A28"/>
    <w:rsid w:val="001D6AF4"/>
    <w:rsid w:val="001E0CC1"/>
    <w:rsid w:val="001E1CD5"/>
    <w:rsid w:val="001E3CC0"/>
    <w:rsid w:val="001E4326"/>
    <w:rsid w:val="001E4702"/>
    <w:rsid w:val="001E64BD"/>
    <w:rsid w:val="001E64D1"/>
    <w:rsid w:val="001E77C3"/>
    <w:rsid w:val="001E77F1"/>
    <w:rsid w:val="001F090B"/>
    <w:rsid w:val="001F180A"/>
    <w:rsid w:val="001F1A28"/>
    <w:rsid w:val="001F35E8"/>
    <w:rsid w:val="001F3734"/>
    <w:rsid w:val="001F38F9"/>
    <w:rsid w:val="001F4014"/>
    <w:rsid w:val="001F445E"/>
    <w:rsid w:val="001F5E04"/>
    <w:rsid w:val="001F7CD6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25B1"/>
    <w:rsid w:val="002160C2"/>
    <w:rsid w:val="00217D6E"/>
    <w:rsid w:val="00222BB9"/>
    <w:rsid w:val="002258D6"/>
    <w:rsid w:val="00226794"/>
    <w:rsid w:val="00226DFC"/>
    <w:rsid w:val="002274FB"/>
    <w:rsid w:val="002309D2"/>
    <w:rsid w:val="0023315B"/>
    <w:rsid w:val="002347FE"/>
    <w:rsid w:val="00235DA3"/>
    <w:rsid w:val="00235EDD"/>
    <w:rsid w:val="0024178D"/>
    <w:rsid w:val="002421D4"/>
    <w:rsid w:val="00245DCF"/>
    <w:rsid w:val="00245F73"/>
    <w:rsid w:val="00246C65"/>
    <w:rsid w:val="00250FF3"/>
    <w:rsid w:val="0025261B"/>
    <w:rsid w:val="00252FFB"/>
    <w:rsid w:val="002542A8"/>
    <w:rsid w:val="00260A11"/>
    <w:rsid w:val="00260EC2"/>
    <w:rsid w:val="0026169A"/>
    <w:rsid w:val="00261DDE"/>
    <w:rsid w:val="00262763"/>
    <w:rsid w:val="00264BEA"/>
    <w:rsid w:val="00271032"/>
    <w:rsid w:val="00273BD6"/>
    <w:rsid w:val="00273C1C"/>
    <w:rsid w:val="00273E3E"/>
    <w:rsid w:val="00274147"/>
    <w:rsid w:val="002749F0"/>
    <w:rsid w:val="00275189"/>
    <w:rsid w:val="002756DC"/>
    <w:rsid w:val="00276437"/>
    <w:rsid w:val="002768C8"/>
    <w:rsid w:val="00276AB0"/>
    <w:rsid w:val="00276E00"/>
    <w:rsid w:val="0028063F"/>
    <w:rsid w:val="00280740"/>
    <w:rsid w:val="002823F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5C70"/>
    <w:rsid w:val="00296C1F"/>
    <w:rsid w:val="002A0C34"/>
    <w:rsid w:val="002A1B59"/>
    <w:rsid w:val="002A41E6"/>
    <w:rsid w:val="002A5250"/>
    <w:rsid w:val="002A7C47"/>
    <w:rsid w:val="002A7D1C"/>
    <w:rsid w:val="002B0455"/>
    <w:rsid w:val="002B09DD"/>
    <w:rsid w:val="002B2BEE"/>
    <w:rsid w:val="002B2F76"/>
    <w:rsid w:val="002B35C5"/>
    <w:rsid w:val="002B3935"/>
    <w:rsid w:val="002B406A"/>
    <w:rsid w:val="002B41D4"/>
    <w:rsid w:val="002B4E8C"/>
    <w:rsid w:val="002B5138"/>
    <w:rsid w:val="002B543F"/>
    <w:rsid w:val="002B7D73"/>
    <w:rsid w:val="002C06E3"/>
    <w:rsid w:val="002C0801"/>
    <w:rsid w:val="002C1328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242E"/>
    <w:rsid w:val="002D3ADD"/>
    <w:rsid w:val="002D4705"/>
    <w:rsid w:val="002D5B65"/>
    <w:rsid w:val="002D6396"/>
    <w:rsid w:val="002D7E5E"/>
    <w:rsid w:val="002E040E"/>
    <w:rsid w:val="002E07AC"/>
    <w:rsid w:val="002E07EF"/>
    <w:rsid w:val="002E0B1A"/>
    <w:rsid w:val="002E0D06"/>
    <w:rsid w:val="002E4E94"/>
    <w:rsid w:val="002E57B7"/>
    <w:rsid w:val="002F1E85"/>
    <w:rsid w:val="002F1F28"/>
    <w:rsid w:val="002F2201"/>
    <w:rsid w:val="002F43CA"/>
    <w:rsid w:val="002F57AA"/>
    <w:rsid w:val="002F714C"/>
    <w:rsid w:val="002F77BF"/>
    <w:rsid w:val="003004A2"/>
    <w:rsid w:val="00302993"/>
    <w:rsid w:val="00303DD5"/>
    <w:rsid w:val="003046D6"/>
    <w:rsid w:val="00304CD9"/>
    <w:rsid w:val="003062F8"/>
    <w:rsid w:val="00310764"/>
    <w:rsid w:val="00310D54"/>
    <w:rsid w:val="00312FE0"/>
    <w:rsid w:val="0031664D"/>
    <w:rsid w:val="00320203"/>
    <w:rsid w:val="0032120D"/>
    <w:rsid w:val="00322002"/>
    <w:rsid w:val="00323890"/>
    <w:rsid w:val="00324129"/>
    <w:rsid w:val="003247B0"/>
    <w:rsid w:val="00325B2F"/>
    <w:rsid w:val="00325E81"/>
    <w:rsid w:val="003319BA"/>
    <w:rsid w:val="00332E57"/>
    <w:rsid w:val="0033486D"/>
    <w:rsid w:val="003367C4"/>
    <w:rsid w:val="00336D8E"/>
    <w:rsid w:val="003376B3"/>
    <w:rsid w:val="00341F90"/>
    <w:rsid w:val="00342AD6"/>
    <w:rsid w:val="00344EFC"/>
    <w:rsid w:val="00345EDE"/>
    <w:rsid w:val="00346F09"/>
    <w:rsid w:val="00347776"/>
    <w:rsid w:val="00351453"/>
    <w:rsid w:val="00351A91"/>
    <w:rsid w:val="003520C4"/>
    <w:rsid w:val="003533AE"/>
    <w:rsid w:val="00355E14"/>
    <w:rsid w:val="003563B1"/>
    <w:rsid w:val="003601D1"/>
    <w:rsid w:val="00361280"/>
    <w:rsid w:val="003615F1"/>
    <w:rsid w:val="00361A6E"/>
    <w:rsid w:val="00361C47"/>
    <w:rsid w:val="00362983"/>
    <w:rsid w:val="00363D7F"/>
    <w:rsid w:val="00367C66"/>
    <w:rsid w:val="00371571"/>
    <w:rsid w:val="0037233D"/>
    <w:rsid w:val="003727A9"/>
    <w:rsid w:val="003728DD"/>
    <w:rsid w:val="003736EF"/>
    <w:rsid w:val="003737E3"/>
    <w:rsid w:val="00374F4A"/>
    <w:rsid w:val="00375A50"/>
    <w:rsid w:val="003807A8"/>
    <w:rsid w:val="00380D80"/>
    <w:rsid w:val="00381E38"/>
    <w:rsid w:val="00382D3F"/>
    <w:rsid w:val="00382E32"/>
    <w:rsid w:val="00383EAC"/>
    <w:rsid w:val="00385667"/>
    <w:rsid w:val="00385A7E"/>
    <w:rsid w:val="00386C66"/>
    <w:rsid w:val="003906F8"/>
    <w:rsid w:val="00392935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4F86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B7AB9"/>
    <w:rsid w:val="003C1434"/>
    <w:rsid w:val="003C1C36"/>
    <w:rsid w:val="003C1CA5"/>
    <w:rsid w:val="003C1EC7"/>
    <w:rsid w:val="003C3BDE"/>
    <w:rsid w:val="003C64A0"/>
    <w:rsid w:val="003C7BA3"/>
    <w:rsid w:val="003D21C8"/>
    <w:rsid w:val="003D21F5"/>
    <w:rsid w:val="003D2303"/>
    <w:rsid w:val="003D4015"/>
    <w:rsid w:val="003D4E9C"/>
    <w:rsid w:val="003D5642"/>
    <w:rsid w:val="003E038E"/>
    <w:rsid w:val="003E0D78"/>
    <w:rsid w:val="003E3277"/>
    <w:rsid w:val="003E38E8"/>
    <w:rsid w:val="003E3A1D"/>
    <w:rsid w:val="003E6CA0"/>
    <w:rsid w:val="003E74F8"/>
    <w:rsid w:val="003F2FDE"/>
    <w:rsid w:val="003F3197"/>
    <w:rsid w:val="003F330B"/>
    <w:rsid w:val="003F4498"/>
    <w:rsid w:val="003F5756"/>
    <w:rsid w:val="003F6F7C"/>
    <w:rsid w:val="003F6FDF"/>
    <w:rsid w:val="003F7A96"/>
    <w:rsid w:val="00400531"/>
    <w:rsid w:val="00400950"/>
    <w:rsid w:val="004016F5"/>
    <w:rsid w:val="004045AA"/>
    <w:rsid w:val="00404718"/>
    <w:rsid w:val="00404A0D"/>
    <w:rsid w:val="00405229"/>
    <w:rsid w:val="00405CC9"/>
    <w:rsid w:val="00407469"/>
    <w:rsid w:val="00410E7D"/>
    <w:rsid w:val="004138DE"/>
    <w:rsid w:val="00413A7A"/>
    <w:rsid w:val="00414B2F"/>
    <w:rsid w:val="00415E58"/>
    <w:rsid w:val="00416231"/>
    <w:rsid w:val="00417225"/>
    <w:rsid w:val="004179C1"/>
    <w:rsid w:val="004208AB"/>
    <w:rsid w:val="004219EF"/>
    <w:rsid w:val="00423455"/>
    <w:rsid w:val="00423679"/>
    <w:rsid w:val="004250C1"/>
    <w:rsid w:val="004250C5"/>
    <w:rsid w:val="004255C5"/>
    <w:rsid w:val="00426CD9"/>
    <w:rsid w:val="00430FEB"/>
    <w:rsid w:val="0043104C"/>
    <w:rsid w:val="004310EE"/>
    <w:rsid w:val="00433677"/>
    <w:rsid w:val="00433DCE"/>
    <w:rsid w:val="004340D5"/>
    <w:rsid w:val="00434880"/>
    <w:rsid w:val="004359A0"/>
    <w:rsid w:val="00435EC1"/>
    <w:rsid w:val="0043600D"/>
    <w:rsid w:val="0043695A"/>
    <w:rsid w:val="00440177"/>
    <w:rsid w:val="004406C1"/>
    <w:rsid w:val="00442C1B"/>
    <w:rsid w:val="004460E9"/>
    <w:rsid w:val="00447B6F"/>
    <w:rsid w:val="00453C11"/>
    <w:rsid w:val="00454216"/>
    <w:rsid w:val="004557B0"/>
    <w:rsid w:val="00457946"/>
    <w:rsid w:val="00457BB9"/>
    <w:rsid w:val="00457D8B"/>
    <w:rsid w:val="0046019F"/>
    <w:rsid w:val="00460A17"/>
    <w:rsid w:val="004619AA"/>
    <w:rsid w:val="00461B50"/>
    <w:rsid w:val="00464B3D"/>
    <w:rsid w:val="00465E99"/>
    <w:rsid w:val="00470CB5"/>
    <w:rsid w:val="00471EAB"/>
    <w:rsid w:val="004723EE"/>
    <w:rsid w:val="0047451B"/>
    <w:rsid w:val="00475A92"/>
    <w:rsid w:val="00477BB9"/>
    <w:rsid w:val="00477FC7"/>
    <w:rsid w:val="00483886"/>
    <w:rsid w:val="00484793"/>
    <w:rsid w:val="00487366"/>
    <w:rsid w:val="004873E4"/>
    <w:rsid w:val="0049072C"/>
    <w:rsid w:val="00490B5E"/>
    <w:rsid w:val="00490FD1"/>
    <w:rsid w:val="0049122E"/>
    <w:rsid w:val="00491AD2"/>
    <w:rsid w:val="00492074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166"/>
    <w:rsid w:val="004B1CED"/>
    <w:rsid w:val="004B34A7"/>
    <w:rsid w:val="004B3B06"/>
    <w:rsid w:val="004B4643"/>
    <w:rsid w:val="004B4AD0"/>
    <w:rsid w:val="004B7F67"/>
    <w:rsid w:val="004C1994"/>
    <w:rsid w:val="004C5915"/>
    <w:rsid w:val="004D4080"/>
    <w:rsid w:val="004E05FD"/>
    <w:rsid w:val="004E09FF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2D8"/>
    <w:rsid w:val="004F6424"/>
    <w:rsid w:val="004F748C"/>
    <w:rsid w:val="005040CD"/>
    <w:rsid w:val="00505229"/>
    <w:rsid w:val="00505EDB"/>
    <w:rsid w:val="00506D18"/>
    <w:rsid w:val="00507300"/>
    <w:rsid w:val="00507F98"/>
    <w:rsid w:val="005108A3"/>
    <w:rsid w:val="0051091F"/>
    <w:rsid w:val="00510AEF"/>
    <w:rsid w:val="00510F6E"/>
    <w:rsid w:val="005118AE"/>
    <w:rsid w:val="005151DA"/>
    <w:rsid w:val="0051587A"/>
    <w:rsid w:val="005158FA"/>
    <w:rsid w:val="00515BD9"/>
    <w:rsid w:val="005165AB"/>
    <w:rsid w:val="005169AD"/>
    <w:rsid w:val="005208B9"/>
    <w:rsid w:val="005221F0"/>
    <w:rsid w:val="00522BFA"/>
    <w:rsid w:val="00524807"/>
    <w:rsid w:val="00525361"/>
    <w:rsid w:val="00525AC8"/>
    <w:rsid w:val="00525E33"/>
    <w:rsid w:val="00525FF9"/>
    <w:rsid w:val="00527A9F"/>
    <w:rsid w:val="00531D11"/>
    <w:rsid w:val="00532D3F"/>
    <w:rsid w:val="005335C3"/>
    <w:rsid w:val="0053383B"/>
    <w:rsid w:val="0053386D"/>
    <w:rsid w:val="005369E2"/>
    <w:rsid w:val="0053791F"/>
    <w:rsid w:val="00546B33"/>
    <w:rsid w:val="00547207"/>
    <w:rsid w:val="00547538"/>
    <w:rsid w:val="00552759"/>
    <w:rsid w:val="00553BFA"/>
    <w:rsid w:val="00553D8D"/>
    <w:rsid w:val="00554745"/>
    <w:rsid w:val="0055608E"/>
    <w:rsid w:val="00557755"/>
    <w:rsid w:val="00557C42"/>
    <w:rsid w:val="0056077E"/>
    <w:rsid w:val="00561E41"/>
    <w:rsid w:val="005629EE"/>
    <w:rsid w:val="005648FA"/>
    <w:rsid w:val="00564D50"/>
    <w:rsid w:val="005655B6"/>
    <w:rsid w:val="00567346"/>
    <w:rsid w:val="00570D76"/>
    <w:rsid w:val="00572075"/>
    <w:rsid w:val="0057321A"/>
    <w:rsid w:val="0057371B"/>
    <w:rsid w:val="005737B4"/>
    <w:rsid w:val="00574616"/>
    <w:rsid w:val="005756BC"/>
    <w:rsid w:val="00575EB8"/>
    <w:rsid w:val="00582A9B"/>
    <w:rsid w:val="005832AB"/>
    <w:rsid w:val="0058437C"/>
    <w:rsid w:val="0058606E"/>
    <w:rsid w:val="00587706"/>
    <w:rsid w:val="00591602"/>
    <w:rsid w:val="00592DE3"/>
    <w:rsid w:val="005935F4"/>
    <w:rsid w:val="005A346E"/>
    <w:rsid w:val="005A4D77"/>
    <w:rsid w:val="005A73CF"/>
    <w:rsid w:val="005B14D5"/>
    <w:rsid w:val="005B2C1B"/>
    <w:rsid w:val="005B409C"/>
    <w:rsid w:val="005B798B"/>
    <w:rsid w:val="005C1FAE"/>
    <w:rsid w:val="005C2162"/>
    <w:rsid w:val="005C39E8"/>
    <w:rsid w:val="005C5660"/>
    <w:rsid w:val="005C7731"/>
    <w:rsid w:val="005D4B68"/>
    <w:rsid w:val="005D58E7"/>
    <w:rsid w:val="005E01BF"/>
    <w:rsid w:val="005E11C1"/>
    <w:rsid w:val="005E2563"/>
    <w:rsid w:val="005E394C"/>
    <w:rsid w:val="005E42BF"/>
    <w:rsid w:val="005E4341"/>
    <w:rsid w:val="005E4E70"/>
    <w:rsid w:val="005E65BB"/>
    <w:rsid w:val="005F0DA0"/>
    <w:rsid w:val="005F41A0"/>
    <w:rsid w:val="005F4914"/>
    <w:rsid w:val="005F4E0C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2D72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51248"/>
    <w:rsid w:val="00651E07"/>
    <w:rsid w:val="00660727"/>
    <w:rsid w:val="00661140"/>
    <w:rsid w:val="0066158F"/>
    <w:rsid w:val="0066529A"/>
    <w:rsid w:val="00667893"/>
    <w:rsid w:val="00670FDC"/>
    <w:rsid w:val="006710DD"/>
    <w:rsid w:val="006714D3"/>
    <w:rsid w:val="006716EF"/>
    <w:rsid w:val="00673200"/>
    <w:rsid w:val="00674EDC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5FAB"/>
    <w:rsid w:val="00690127"/>
    <w:rsid w:val="00691BFF"/>
    <w:rsid w:val="00695227"/>
    <w:rsid w:val="006953C1"/>
    <w:rsid w:val="00696175"/>
    <w:rsid w:val="00696EB2"/>
    <w:rsid w:val="0069715A"/>
    <w:rsid w:val="006A0222"/>
    <w:rsid w:val="006A16E9"/>
    <w:rsid w:val="006A18FE"/>
    <w:rsid w:val="006A5450"/>
    <w:rsid w:val="006A7AE4"/>
    <w:rsid w:val="006B0199"/>
    <w:rsid w:val="006B0A32"/>
    <w:rsid w:val="006B0BD8"/>
    <w:rsid w:val="006B149A"/>
    <w:rsid w:val="006B22A3"/>
    <w:rsid w:val="006B285F"/>
    <w:rsid w:val="006B3279"/>
    <w:rsid w:val="006B51D4"/>
    <w:rsid w:val="006B7CDB"/>
    <w:rsid w:val="006C0251"/>
    <w:rsid w:val="006C2B9A"/>
    <w:rsid w:val="006C38EA"/>
    <w:rsid w:val="006C39BB"/>
    <w:rsid w:val="006C4502"/>
    <w:rsid w:val="006D159F"/>
    <w:rsid w:val="006D2F02"/>
    <w:rsid w:val="006D3DC6"/>
    <w:rsid w:val="006D563E"/>
    <w:rsid w:val="006D5E91"/>
    <w:rsid w:val="006D75DA"/>
    <w:rsid w:val="006E14E6"/>
    <w:rsid w:val="006E1AEE"/>
    <w:rsid w:val="006E1F6F"/>
    <w:rsid w:val="006E23AC"/>
    <w:rsid w:val="006E251F"/>
    <w:rsid w:val="006E3667"/>
    <w:rsid w:val="006E3B9C"/>
    <w:rsid w:val="006E42B7"/>
    <w:rsid w:val="006E51A2"/>
    <w:rsid w:val="006E5CD9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4BB9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712"/>
    <w:rsid w:val="00722F2C"/>
    <w:rsid w:val="007253A4"/>
    <w:rsid w:val="007254D1"/>
    <w:rsid w:val="00725B32"/>
    <w:rsid w:val="00725B3C"/>
    <w:rsid w:val="00725E27"/>
    <w:rsid w:val="007264B0"/>
    <w:rsid w:val="00727562"/>
    <w:rsid w:val="00733D54"/>
    <w:rsid w:val="00736A4F"/>
    <w:rsid w:val="00736E76"/>
    <w:rsid w:val="00736EBD"/>
    <w:rsid w:val="00737753"/>
    <w:rsid w:val="00740CE9"/>
    <w:rsid w:val="007428E3"/>
    <w:rsid w:val="00743511"/>
    <w:rsid w:val="0074394E"/>
    <w:rsid w:val="00744107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320"/>
    <w:rsid w:val="007615E5"/>
    <w:rsid w:val="00762A09"/>
    <w:rsid w:val="0076411D"/>
    <w:rsid w:val="00764E79"/>
    <w:rsid w:val="007650F8"/>
    <w:rsid w:val="007670F8"/>
    <w:rsid w:val="007671D4"/>
    <w:rsid w:val="00770A85"/>
    <w:rsid w:val="00772F2D"/>
    <w:rsid w:val="00773C47"/>
    <w:rsid w:val="00773DC9"/>
    <w:rsid w:val="00773F9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4D5B"/>
    <w:rsid w:val="00795CE1"/>
    <w:rsid w:val="00796186"/>
    <w:rsid w:val="007A06AC"/>
    <w:rsid w:val="007A0A4F"/>
    <w:rsid w:val="007A3A67"/>
    <w:rsid w:val="007A4CBF"/>
    <w:rsid w:val="007A7A19"/>
    <w:rsid w:val="007B08C0"/>
    <w:rsid w:val="007B1014"/>
    <w:rsid w:val="007B103F"/>
    <w:rsid w:val="007B1484"/>
    <w:rsid w:val="007B1A10"/>
    <w:rsid w:val="007B2C26"/>
    <w:rsid w:val="007B5BC7"/>
    <w:rsid w:val="007B6659"/>
    <w:rsid w:val="007B6BC9"/>
    <w:rsid w:val="007B6BF0"/>
    <w:rsid w:val="007B76AB"/>
    <w:rsid w:val="007B7DBD"/>
    <w:rsid w:val="007C2984"/>
    <w:rsid w:val="007C45D3"/>
    <w:rsid w:val="007C597B"/>
    <w:rsid w:val="007C61CB"/>
    <w:rsid w:val="007C760C"/>
    <w:rsid w:val="007D07DA"/>
    <w:rsid w:val="007D08FD"/>
    <w:rsid w:val="007D0AD2"/>
    <w:rsid w:val="007D0CC5"/>
    <w:rsid w:val="007D1584"/>
    <w:rsid w:val="007D2044"/>
    <w:rsid w:val="007D2D55"/>
    <w:rsid w:val="007D446D"/>
    <w:rsid w:val="007D4F33"/>
    <w:rsid w:val="007D65C7"/>
    <w:rsid w:val="007D74D2"/>
    <w:rsid w:val="007D79B5"/>
    <w:rsid w:val="007E00CC"/>
    <w:rsid w:val="007E09F0"/>
    <w:rsid w:val="007E2334"/>
    <w:rsid w:val="007E23CE"/>
    <w:rsid w:val="007E2CE7"/>
    <w:rsid w:val="007E2FEA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6EA9"/>
    <w:rsid w:val="0080724D"/>
    <w:rsid w:val="0081104C"/>
    <w:rsid w:val="00811D2A"/>
    <w:rsid w:val="00812D16"/>
    <w:rsid w:val="00813417"/>
    <w:rsid w:val="00813F6E"/>
    <w:rsid w:val="00817A54"/>
    <w:rsid w:val="00817A6B"/>
    <w:rsid w:val="00817C04"/>
    <w:rsid w:val="00821865"/>
    <w:rsid w:val="00822A44"/>
    <w:rsid w:val="00822A54"/>
    <w:rsid w:val="0082327D"/>
    <w:rsid w:val="0082433D"/>
    <w:rsid w:val="00825FFA"/>
    <w:rsid w:val="00826509"/>
    <w:rsid w:val="0082725A"/>
    <w:rsid w:val="00827A90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4CE4"/>
    <w:rsid w:val="008450A5"/>
    <w:rsid w:val="00845D8D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319A"/>
    <w:rsid w:val="008643FC"/>
    <w:rsid w:val="00864529"/>
    <w:rsid w:val="008649B9"/>
    <w:rsid w:val="0086784F"/>
    <w:rsid w:val="00867B29"/>
    <w:rsid w:val="00870394"/>
    <w:rsid w:val="0087073B"/>
    <w:rsid w:val="0087188A"/>
    <w:rsid w:val="008770D4"/>
    <w:rsid w:val="008770F3"/>
    <w:rsid w:val="0088000B"/>
    <w:rsid w:val="00880D08"/>
    <w:rsid w:val="0088127F"/>
    <w:rsid w:val="008815EF"/>
    <w:rsid w:val="00885273"/>
    <w:rsid w:val="00885F2C"/>
    <w:rsid w:val="00886386"/>
    <w:rsid w:val="0088701C"/>
    <w:rsid w:val="00887BA4"/>
    <w:rsid w:val="00890F60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95"/>
    <w:rsid w:val="008A20BE"/>
    <w:rsid w:val="008A2B4E"/>
    <w:rsid w:val="008A345A"/>
    <w:rsid w:val="008A3BF2"/>
    <w:rsid w:val="008A3DB9"/>
    <w:rsid w:val="008A53A7"/>
    <w:rsid w:val="008A6A5C"/>
    <w:rsid w:val="008A7316"/>
    <w:rsid w:val="008B24CB"/>
    <w:rsid w:val="008B500A"/>
    <w:rsid w:val="008B7F7C"/>
    <w:rsid w:val="008C1610"/>
    <w:rsid w:val="008C2F1E"/>
    <w:rsid w:val="008C30E5"/>
    <w:rsid w:val="008C3B5B"/>
    <w:rsid w:val="008C409F"/>
    <w:rsid w:val="008C4327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4B30"/>
    <w:rsid w:val="008D5B7E"/>
    <w:rsid w:val="008E04FE"/>
    <w:rsid w:val="008E69D8"/>
    <w:rsid w:val="008F2C49"/>
    <w:rsid w:val="008F4FB0"/>
    <w:rsid w:val="008F769E"/>
    <w:rsid w:val="008F7CFF"/>
    <w:rsid w:val="008F7ED1"/>
    <w:rsid w:val="00900266"/>
    <w:rsid w:val="00901C8D"/>
    <w:rsid w:val="00901F48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07E71"/>
    <w:rsid w:val="00910FBA"/>
    <w:rsid w:val="00911D39"/>
    <w:rsid w:val="00912B9F"/>
    <w:rsid w:val="009151EC"/>
    <w:rsid w:val="00915C6E"/>
    <w:rsid w:val="00915DC0"/>
    <w:rsid w:val="00917C0F"/>
    <w:rsid w:val="00917D2A"/>
    <w:rsid w:val="0092040E"/>
    <w:rsid w:val="00920C6C"/>
    <w:rsid w:val="00921986"/>
    <w:rsid w:val="009227D9"/>
    <w:rsid w:val="0092443D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4195"/>
    <w:rsid w:val="0094533A"/>
    <w:rsid w:val="00945631"/>
    <w:rsid w:val="009459BF"/>
    <w:rsid w:val="0094748B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6735D"/>
    <w:rsid w:val="00970C06"/>
    <w:rsid w:val="00974518"/>
    <w:rsid w:val="00975B88"/>
    <w:rsid w:val="00980FE0"/>
    <w:rsid w:val="009834C3"/>
    <w:rsid w:val="00983A15"/>
    <w:rsid w:val="00983D7E"/>
    <w:rsid w:val="00987910"/>
    <w:rsid w:val="009927BB"/>
    <w:rsid w:val="009928B7"/>
    <w:rsid w:val="0099321A"/>
    <w:rsid w:val="009960B7"/>
    <w:rsid w:val="009964A3"/>
    <w:rsid w:val="00997986"/>
    <w:rsid w:val="009A09F6"/>
    <w:rsid w:val="009A1B3A"/>
    <w:rsid w:val="009A324E"/>
    <w:rsid w:val="009A34E8"/>
    <w:rsid w:val="009A3D53"/>
    <w:rsid w:val="009B16DC"/>
    <w:rsid w:val="009B39D3"/>
    <w:rsid w:val="009B536C"/>
    <w:rsid w:val="009B6496"/>
    <w:rsid w:val="009B69D5"/>
    <w:rsid w:val="009C01DA"/>
    <w:rsid w:val="009C070E"/>
    <w:rsid w:val="009C0E49"/>
    <w:rsid w:val="009C20CC"/>
    <w:rsid w:val="009C3558"/>
    <w:rsid w:val="009C562E"/>
    <w:rsid w:val="009C648A"/>
    <w:rsid w:val="009C6E00"/>
    <w:rsid w:val="009C7531"/>
    <w:rsid w:val="009D076C"/>
    <w:rsid w:val="009D220C"/>
    <w:rsid w:val="009D221F"/>
    <w:rsid w:val="009D4154"/>
    <w:rsid w:val="009D53E0"/>
    <w:rsid w:val="009D56E1"/>
    <w:rsid w:val="009D5FB5"/>
    <w:rsid w:val="009D6518"/>
    <w:rsid w:val="009E09F0"/>
    <w:rsid w:val="009E19E8"/>
    <w:rsid w:val="009E377C"/>
    <w:rsid w:val="009E458A"/>
    <w:rsid w:val="009E5DFC"/>
    <w:rsid w:val="009E60CC"/>
    <w:rsid w:val="009F1789"/>
    <w:rsid w:val="009F36D2"/>
    <w:rsid w:val="009F4504"/>
    <w:rsid w:val="009F502C"/>
    <w:rsid w:val="009F526A"/>
    <w:rsid w:val="009F603B"/>
    <w:rsid w:val="009F6987"/>
    <w:rsid w:val="009F720F"/>
    <w:rsid w:val="00A00CFB"/>
    <w:rsid w:val="00A010E7"/>
    <w:rsid w:val="00A01A17"/>
    <w:rsid w:val="00A01A60"/>
    <w:rsid w:val="00A02C07"/>
    <w:rsid w:val="00A02E58"/>
    <w:rsid w:val="00A033CD"/>
    <w:rsid w:val="00A0391D"/>
    <w:rsid w:val="00A04F67"/>
    <w:rsid w:val="00A076F9"/>
    <w:rsid w:val="00A07997"/>
    <w:rsid w:val="00A07D3C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3969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21C6"/>
    <w:rsid w:val="00A53220"/>
    <w:rsid w:val="00A538E6"/>
    <w:rsid w:val="00A540C1"/>
    <w:rsid w:val="00A54C80"/>
    <w:rsid w:val="00A5501A"/>
    <w:rsid w:val="00A56800"/>
    <w:rsid w:val="00A56D7E"/>
    <w:rsid w:val="00A5717F"/>
    <w:rsid w:val="00A5729F"/>
    <w:rsid w:val="00A57404"/>
    <w:rsid w:val="00A575BD"/>
    <w:rsid w:val="00A57626"/>
    <w:rsid w:val="00A57AB2"/>
    <w:rsid w:val="00A60EEC"/>
    <w:rsid w:val="00A65BD9"/>
    <w:rsid w:val="00A65C1E"/>
    <w:rsid w:val="00A66718"/>
    <w:rsid w:val="00A70750"/>
    <w:rsid w:val="00A70B31"/>
    <w:rsid w:val="00A71382"/>
    <w:rsid w:val="00A72917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3680"/>
    <w:rsid w:val="00A9432C"/>
    <w:rsid w:val="00A9482B"/>
    <w:rsid w:val="00A95230"/>
    <w:rsid w:val="00A96FA8"/>
    <w:rsid w:val="00A9770A"/>
    <w:rsid w:val="00A97A85"/>
    <w:rsid w:val="00AA0DD3"/>
    <w:rsid w:val="00AA0DE8"/>
    <w:rsid w:val="00AA1C07"/>
    <w:rsid w:val="00AA3688"/>
    <w:rsid w:val="00AA36FB"/>
    <w:rsid w:val="00AA5887"/>
    <w:rsid w:val="00AA7213"/>
    <w:rsid w:val="00AA7DA9"/>
    <w:rsid w:val="00AB060E"/>
    <w:rsid w:val="00AB11E4"/>
    <w:rsid w:val="00AB1492"/>
    <w:rsid w:val="00AB19F8"/>
    <w:rsid w:val="00AB2A61"/>
    <w:rsid w:val="00AB3A12"/>
    <w:rsid w:val="00AB5A8D"/>
    <w:rsid w:val="00AB5C95"/>
    <w:rsid w:val="00AB5CA9"/>
    <w:rsid w:val="00AB5FA4"/>
    <w:rsid w:val="00AB6642"/>
    <w:rsid w:val="00AC010A"/>
    <w:rsid w:val="00AC2EFE"/>
    <w:rsid w:val="00AC3930"/>
    <w:rsid w:val="00AC3AB1"/>
    <w:rsid w:val="00AC3D3F"/>
    <w:rsid w:val="00AC3EB2"/>
    <w:rsid w:val="00AC41C1"/>
    <w:rsid w:val="00AC5693"/>
    <w:rsid w:val="00AC68C6"/>
    <w:rsid w:val="00AC75AA"/>
    <w:rsid w:val="00AC79C1"/>
    <w:rsid w:val="00AC7CA4"/>
    <w:rsid w:val="00AD0767"/>
    <w:rsid w:val="00AD08C5"/>
    <w:rsid w:val="00AD4595"/>
    <w:rsid w:val="00AD47AE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3001"/>
    <w:rsid w:val="00AE3941"/>
    <w:rsid w:val="00AE4113"/>
    <w:rsid w:val="00AE42BE"/>
    <w:rsid w:val="00AE4380"/>
    <w:rsid w:val="00AE4E97"/>
    <w:rsid w:val="00AE52C0"/>
    <w:rsid w:val="00AE5525"/>
    <w:rsid w:val="00AE6381"/>
    <w:rsid w:val="00AE656F"/>
    <w:rsid w:val="00AE743A"/>
    <w:rsid w:val="00AE7D78"/>
    <w:rsid w:val="00AF0902"/>
    <w:rsid w:val="00AF42AD"/>
    <w:rsid w:val="00AF438E"/>
    <w:rsid w:val="00AF45CA"/>
    <w:rsid w:val="00AF5CEE"/>
    <w:rsid w:val="00AF6715"/>
    <w:rsid w:val="00AF719C"/>
    <w:rsid w:val="00AF7506"/>
    <w:rsid w:val="00B007DD"/>
    <w:rsid w:val="00B0098A"/>
    <w:rsid w:val="00B01016"/>
    <w:rsid w:val="00B0146E"/>
    <w:rsid w:val="00B015CF"/>
    <w:rsid w:val="00B027CB"/>
    <w:rsid w:val="00B0352B"/>
    <w:rsid w:val="00B03A73"/>
    <w:rsid w:val="00B06321"/>
    <w:rsid w:val="00B074F8"/>
    <w:rsid w:val="00B145CD"/>
    <w:rsid w:val="00B15687"/>
    <w:rsid w:val="00B17A42"/>
    <w:rsid w:val="00B17FAB"/>
    <w:rsid w:val="00B204AA"/>
    <w:rsid w:val="00B2099F"/>
    <w:rsid w:val="00B22C5F"/>
    <w:rsid w:val="00B23571"/>
    <w:rsid w:val="00B23687"/>
    <w:rsid w:val="00B25710"/>
    <w:rsid w:val="00B26A50"/>
    <w:rsid w:val="00B2724E"/>
    <w:rsid w:val="00B27B03"/>
    <w:rsid w:val="00B301B0"/>
    <w:rsid w:val="00B30DCD"/>
    <w:rsid w:val="00B311B8"/>
    <w:rsid w:val="00B31B62"/>
    <w:rsid w:val="00B32B33"/>
    <w:rsid w:val="00B33711"/>
    <w:rsid w:val="00B33DC3"/>
    <w:rsid w:val="00B3482A"/>
    <w:rsid w:val="00B34889"/>
    <w:rsid w:val="00B353AC"/>
    <w:rsid w:val="00B3652E"/>
    <w:rsid w:val="00B37550"/>
    <w:rsid w:val="00B37602"/>
    <w:rsid w:val="00B402C6"/>
    <w:rsid w:val="00B40BFE"/>
    <w:rsid w:val="00B41DC1"/>
    <w:rsid w:val="00B43058"/>
    <w:rsid w:val="00B440BB"/>
    <w:rsid w:val="00B46EC7"/>
    <w:rsid w:val="00B50A91"/>
    <w:rsid w:val="00B515DA"/>
    <w:rsid w:val="00B52022"/>
    <w:rsid w:val="00B52187"/>
    <w:rsid w:val="00B52F64"/>
    <w:rsid w:val="00B54691"/>
    <w:rsid w:val="00B5744E"/>
    <w:rsid w:val="00B60CCD"/>
    <w:rsid w:val="00B6243E"/>
    <w:rsid w:val="00B62854"/>
    <w:rsid w:val="00B62AD8"/>
    <w:rsid w:val="00B62EF1"/>
    <w:rsid w:val="00B6358D"/>
    <w:rsid w:val="00B640CC"/>
    <w:rsid w:val="00B645B6"/>
    <w:rsid w:val="00B64DAE"/>
    <w:rsid w:val="00B657A9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2255"/>
    <w:rsid w:val="00B82E0C"/>
    <w:rsid w:val="00B83D6F"/>
    <w:rsid w:val="00B86608"/>
    <w:rsid w:val="00B87847"/>
    <w:rsid w:val="00B90477"/>
    <w:rsid w:val="00B91790"/>
    <w:rsid w:val="00B92AA5"/>
    <w:rsid w:val="00B94FD0"/>
    <w:rsid w:val="00B96744"/>
    <w:rsid w:val="00BA2FA8"/>
    <w:rsid w:val="00BA39A0"/>
    <w:rsid w:val="00BA50D2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14E"/>
    <w:rsid w:val="00BC3584"/>
    <w:rsid w:val="00BC37A0"/>
    <w:rsid w:val="00BC4673"/>
    <w:rsid w:val="00BD139E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0ACE"/>
    <w:rsid w:val="00BF236C"/>
    <w:rsid w:val="00BF2CD1"/>
    <w:rsid w:val="00BF40CF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054A7"/>
    <w:rsid w:val="00C06801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412D"/>
    <w:rsid w:val="00C24A24"/>
    <w:rsid w:val="00C25032"/>
    <w:rsid w:val="00C25A65"/>
    <w:rsid w:val="00C26C22"/>
    <w:rsid w:val="00C27B03"/>
    <w:rsid w:val="00C3089B"/>
    <w:rsid w:val="00C34B40"/>
    <w:rsid w:val="00C35836"/>
    <w:rsid w:val="00C366D6"/>
    <w:rsid w:val="00C370B6"/>
    <w:rsid w:val="00C4122B"/>
    <w:rsid w:val="00C41475"/>
    <w:rsid w:val="00C41CD3"/>
    <w:rsid w:val="00C41D29"/>
    <w:rsid w:val="00C42503"/>
    <w:rsid w:val="00C4307A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806"/>
    <w:rsid w:val="00C60B41"/>
    <w:rsid w:val="00C61031"/>
    <w:rsid w:val="00C6210E"/>
    <w:rsid w:val="00C62568"/>
    <w:rsid w:val="00C63E1D"/>
    <w:rsid w:val="00C64143"/>
    <w:rsid w:val="00C6434D"/>
    <w:rsid w:val="00C652E5"/>
    <w:rsid w:val="00C659F1"/>
    <w:rsid w:val="00C66261"/>
    <w:rsid w:val="00C67446"/>
    <w:rsid w:val="00C7356B"/>
    <w:rsid w:val="00C767DE"/>
    <w:rsid w:val="00C7697F"/>
    <w:rsid w:val="00C7755D"/>
    <w:rsid w:val="00C77663"/>
    <w:rsid w:val="00C80DDE"/>
    <w:rsid w:val="00C8136C"/>
    <w:rsid w:val="00C822F5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0D4"/>
    <w:rsid w:val="00C9524B"/>
    <w:rsid w:val="00C95D8D"/>
    <w:rsid w:val="00CA24F2"/>
    <w:rsid w:val="00CA2883"/>
    <w:rsid w:val="00CA2AEF"/>
    <w:rsid w:val="00CA32F6"/>
    <w:rsid w:val="00CA3769"/>
    <w:rsid w:val="00CA5C62"/>
    <w:rsid w:val="00CA6136"/>
    <w:rsid w:val="00CA6BCC"/>
    <w:rsid w:val="00CA71DA"/>
    <w:rsid w:val="00CB3B9E"/>
    <w:rsid w:val="00CB5032"/>
    <w:rsid w:val="00CB561B"/>
    <w:rsid w:val="00CB5C65"/>
    <w:rsid w:val="00CB62AC"/>
    <w:rsid w:val="00CB77EA"/>
    <w:rsid w:val="00CB7DF6"/>
    <w:rsid w:val="00CC1D1C"/>
    <w:rsid w:val="00CC303F"/>
    <w:rsid w:val="00CC3C96"/>
    <w:rsid w:val="00CC5ECB"/>
    <w:rsid w:val="00CD077C"/>
    <w:rsid w:val="00CD1ACE"/>
    <w:rsid w:val="00CD342A"/>
    <w:rsid w:val="00CD3940"/>
    <w:rsid w:val="00CD3B1F"/>
    <w:rsid w:val="00CD4E32"/>
    <w:rsid w:val="00CD516E"/>
    <w:rsid w:val="00CD7E60"/>
    <w:rsid w:val="00CE3AE5"/>
    <w:rsid w:val="00CE44A4"/>
    <w:rsid w:val="00CE5429"/>
    <w:rsid w:val="00CE6A0B"/>
    <w:rsid w:val="00CE77BF"/>
    <w:rsid w:val="00CF0950"/>
    <w:rsid w:val="00CF3B07"/>
    <w:rsid w:val="00CF4C13"/>
    <w:rsid w:val="00CF4DC9"/>
    <w:rsid w:val="00CF625A"/>
    <w:rsid w:val="00CF6384"/>
    <w:rsid w:val="00CF6708"/>
    <w:rsid w:val="00CF6902"/>
    <w:rsid w:val="00CF7924"/>
    <w:rsid w:val="00D013EA"/>
    <w:rsid w:val="00D0173C"/>
    <w:rsid w:val="00D01F09"/>
    <w:rsid w:val="00D06E88"/>
    <w:rsid w:val="00D07346"/>
    <w:rsid w:val="00D0750E"/>
    <w:rsid w:val="00D07AAF"/>
    <w:rsid w:val="00D11594"/>
    <w:rsid w:val="00D11F90"/>
    <w:rsid w:val="00D13527"/>
    <w:rsid w:val="00D14ABF"/>
    <w:rsid w:val="00D15E4E"/>
    <w:rsid w:val="00D161AC"/>
    <w:rsid w:val="00D174E6"/>
    <w:rsid w:val="00D17601"/>
    <w:rsid w:val="00D20D6E"/>
    <w:rsid w:val="00D21300"/>
    <w:rsid w:val="00D230DC"/>
    <w:rsid w:val="00D303E8"/>
    <w:rsid w:val="00D30B70"/>
    <w:rsid w:val="00D31BA6"/>
    <w:rsid w:val="00D31EB9"/>
    <w:rsid w:val="00D335E1"/>
    <w:rsid w:val="00D35FEA"/>
    <w:rsid w:val="00D366E4"/>
    <w:rsid w:val="00D423AC"/>
    <w:rsid w:val="00D44DC6"/>
    <w:rsid w:val="00D46837"/>
    <w:rsid w:val="00D50FA7"/>
    <w:rsid w:val="00D514E5"/>
    <w:rsid w:val="00D52396"/>
    <w:rsid w:val="00D539D5"/>
    <w:rsid w:val="00D544D5"/>
    <w:rsid w:val="00D5508E"/>
    <w:rsid w:val="00D5652F"/>
    <w:rsid w:val="00D602DE"/>
    <w:rsid w:val="00D6096A"/>
    <w:rsid w:val="00D60ABE"/>
    <w:rsid w:val="00D60CE5"/>
    <w:rsid w:val="00D61811"/>
    <w:rsid w:val="00D62055"/>
    <w:rsid w:val="00D63ED9"/>
    <w:rsid w:val="00D63F9F"/>
    <w:rsid w:val="00D646D3"/>
    <w:rsid w:val="00D66264"/>
    <w:rsid w:val="00D662F2"/>
    <w:rsid w:val="00D665F1"/>
    <w:rsid w:val="00D6711E"/>
    <w:rsid w:val="00D67EF6"/>
    <w:rsid w:val="00D70A58"/>
    <w:rsid w:val="00D70AB4"/>
    <w:rsid w:val="00D7389D"/>
    <w:rsid w:val="00D73B08"/>
    <w:rsid w:val="00D74295"/>
    <w:rsid w:val="00D74BE7"/>
    <w:rsid w:val="00D761E1"/>
    <w:rsid w:val="00D76ADD"/>
    <w:rsid w:val="00D80127"/>
    <w:rsid w:val="00D805D1"/>
    <w:rsid w:val="00D82A9D"/>
    <w:rsid w:val="00D82FD7"/>
    <w:rsid w:val="00D84FA6"/>
    <w:rsid w:val="00D85A79"/>
    <w:rsid w:val="00D85ECC"/>
    <w:rsid w:val="00D864C7"/>
    <w:rsid w:val="00D86552"/>
    <w:rsid w:val="00D86EB7"/>
    <w:rsid w:val="00D905D1"/>
    <w:rsid w:val="00D90A48"/>
    <w:rsid w:val="00D90F56"/>
    <w:rsid w:val="00D9126D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1CB2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2BE"/>
    <w:rsid w:val="00DC03EE"/>
    <w:rsid w:val="00DC1A6A"/>
    <w:rsid w:val="00DC1BA1"/>
    <w:rsid w:val="00DC36B8"/>
    <w:rsid w:val="00DC4CAB"/>
    <w:rsid w:val="00DC53F2"/>
    <w:rsid w:val="00DC6B01"/>
    <w:rsid w:val="00DC7797"/>
    <w:rsid w:val="00DD078A"/>
    <w:rsid w:val="00DD1737"/>
    <w:rsid w:val="00DD2301"/>
    <w:rsid w:val="00DD2F36"/>
    <w:rsid w:val="00DD34E1"/>
    <w:rsid w:val="00DD4B99"/>
    <w:rsid w:val="00DD7667"/>
    <w:rsid w:val="00DD777C"/>
    <w:rsid w:val="00DE0299"/>
    <w:rsid w:val="00DE0629"/>
    <w:rsid w:val="00DE0D75"/>
    <w:rsid w:val="00DE19EB"/>
    <w:rsid w:val="00DE1F6D"/>
    <w:rsid w:val="00DE2542"/>
    <w:rsid w:val="00DE5B0F"/>
    <w:rsid w:val="00DF2CB1"/>
    <w:rsid w:val="00DF33CF"/>
    <w:rsid w:val="00DF5C8E"/>
    <w:rsid w:val="00DF69F9"/>
    <w:rsid w:val="00DF7935"/>
    <w:rsid w:val="00E00330"/>
    <w:rsid w:val="00E02B50"/>
    <w:rsid w:val="00E03CC9"/>
    <w:rsid w:val="00E0432E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6B0"/>
    <w:rsid w:val="00E1787C"/>
    <w:rsid w:val="00E2249E"/>
    <w:rsid w:val="00E22B76"/>
    <w:rsid w:val="00E234F1"/>
    <w:rsid w:val="00E236F0"/>
    <w:rsid w:val="00E24762"/>
    <w:rsid w:val="00E25AF8"/>
    <w:rsid w:val="00E26411"/>
    <w:rsid w:val="00E26C55"/>
    <w:rsid w:val="00E26F6C"/>
    <w:rsid w:val="00E27EC3"/>
    <w:rsid w:val="00E320A0"/>
    <w:rsid w:val="00E326EA"/>
    <w:rsid w:val="00E32802"/>
    <w:rsid w:val="00E32F3A"/>
    <w:rsid w:val="00E34CA3"/>
    <w:rsid w:val="00E37DA6"/>
    <w:rsid w:val="00E37FE3"/>
    <w:rsid w:val="00E43AAA"/>
    <w:rsid w:val="00E44C62"/>
    <w:rsid w:val="00E54EF2"/>
    <w:rsid w:val="00E55FD9"/>
    <w:rsid w:val="00E565B7"/>
    <w:rsid w:val="00E60B84"/>
    <w:rsid w:val="00E60DC5"/>
    <w:rsid w:val="00E61A93"/>
    <w:rsid w:val="00E6231F"/>
    <w:rsid w:val="00E63559"/>
    <w:rsid w:val="00E65F3A"/>
    <w:rsid w:val="00E666B5"/>
    <w:rsid w:val="00E67180"/>
    <w:rsid w:val="00E676E2"/>
    <w:rsid w:val="00E702E5"/>
    <w:rsid w:val="00E709E5"/>
    <w:rsid w:val="00E745EA"/>
    <w:rsid w:val="00E74FA5"/>
    <w:rsid w:val="00E756A8"/>
    <w:rsid w:val="00E76032"/>
    <w:rsid w:val="00E768F2"/>
    <w:rsid w:val="00E77D9E"/>
    <w:rsid w:val="00E77E9E"/>
    <w:rsid w:val="00E80A33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2AAD"/>
    <w:rsid w:val="00E93F3F"/>
    <w:rsid w:val="00E952D2"/>
    <w:rsid w:val="00E96327"/>
    <w:rsid w:val="00E96517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A7187"/>
    <w:rsid w:val="00EA7AA2"/>
    <w:rsid w:val="00EB0433"/>
    <w:rsid w:val="00EB1B8B"/>
    <w:rsid w:val="00EB3C54"/>
    <w:rsid w:val="00EB4951"/>
    <w:rsid w:val="00EC098E"/>
    <w:rsid w:val="00EC0BCB"/>
    <w:rsid w:val="00EC0E71"/>
    <w:rsid w:val="00EC221F"/>
    <w:rsid w:val="00EC2375"/>
    <w:rsid w:val="00EC5CD9"/>
    <w:rsid w:val="00EC5D90"/>
    <w:rsid w:val="00EC60BC"/>
    <w:rsid w:val="00EC799E"/>
    <w:rsid w:val="00ED281F"/>
    <w:rsid w:val="00ED3F9F"/>
    <w:rsid w:val="00ED50F6"/>
    <w:rsid w:val="00ED613A"/>
    <w:rsid w:val="00ED6B1C"/>
    <w:rsid w:val="00ED6CFA"/>
    <w:rsid w:val="00ED6D53"/>
    <w:rsid w:val="00ED70C1"/>
    <w:rsid w:val="00EE0176"/>
    <w:rsid w:val="00EE1855"/>
    <w:rsid w:val="00EE26D2"/>
    <w:rsid w:val="00EE2B68"/>
    <w:rsid w:val="00EE3208"/>
    <w:rsid w:val="00EE3565"/>
    <w:rsid w:val="00EE626A"/>
    <w:rsid w:val="00EE6D70"/>
    <w:rsid w:val="00EF1386"/>
    <w:rsid w:val="00EF2491"/>
    <w:rsid w:val="00EF256B"/>
    <w:rsid w:val="00EF39FF"/>
    <w:rsid w:val="00EF5277"/>
    <w:rsid w:val="00EF52FB"/>
    <w:rsid w:val="00EF54CA"/>
    <w:rsid w:val="00EF5CAD"/>
    <w:rsid w:val="00EF611F"/>
    <w:rsid w:val="00EF6A7E"/>
    <w:rsid w:val="00EF71DF"/>
    <w:rsid w:val="00EF7BDC"/>
    <w:rsid w:val="00F06234"/>
    <w:rsid w:val="00F1030E"/>
    <w:rsid w:val="00F10925"/>
    <w:rsid w:val="00F11FF9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37CF"/>
    <w:rsid w:val="00F2491A"/>
    <w:rsid w:val="00F24C6C"/>
    <w:rsid w:val="00F24EF6"/>
    <w:rsid w:val="00F254E4"/>
    <w:rsid w:val="00F27AE8"/>
    <w:rsid w:val="00F33A82"/>
    <w:rsid w:val="00F35D19"/>
    <w:rsid w:val="00F37007"/>
    <w:rsid w:val="00F3760A"/>
    <w:rsid w:val="00F400E6"/>
    <w:rsid w:val="00F41269"/>
    <w:rsid w:val="00F412CE"/>
    <w:rsid w:val="00F41319"/>
    <w:rsid w:val="00F437FF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4A21"/>
    <w:rsid w:val="00F55335"/>
    <w:rsid w:val="00F57D1C"/>
    <w:rsid w:val="00F6086A"/>
    <w:rsid w:val="00F62824"/>
    <w:rsid w:val="00F62D7C"/>
    <w:rsid w:val="00F634C8"/>
    <w:rsid w:val="00F642AD"/>
    <w:rsid w:val="00F67155"/>
    <w:rsid w:val="00F7058F"/>
    <w:rsid w:val="00F70D21"/>
    <w:rsid w:val="00F70FEF"/>
    <w:rsid w:val="00F7365E"/>
    <w:rsid w:val="00F749A7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17FA"/>
    <w:rsid w:val="00F958F9"/>
    <w:rsid w:val="00F95DF1"/>
    <w:rsid w:val="00F961BB"/>
    <w:rsid w:val="00F966D2"/>
    <w:rsid w:val="00F97406"/>
    <w:rsid w:val="00FA072C"/>
    <w:rsid w:val="00FA4030"/>
    <w:rsid w:val="00FA7F6C"/>
    <w:rsid w:val="00FB11BE"/>
    <w:rsid w:val="00FB1357"/>
    <w:rsid w:val="00FB13FA"/>
    <w:rsid w:val="00FB1B56"/>
    <w:rsid w:val="00FB28C1"/>
    <w:rsid w:val="00FB3A55"/>
    <w:rsid w:val="00FB4C6F"/>
    <w:rsid w:val="00FB6181"/>
    <w:rsid w:val="00FB6AFD"/>
    <w:rsid w:val="00FC04FC"/>
    <w:rsid w:val="00FC09F5"/>
    <w:rsid w:val="00FC1203"/>
    <w:rsid w:val="00FC297B"/>
    <w:rsid w:val="00FC3ECD"/>
    <w:rsid w:val="00FC5E76"/>
    <w:rsid w:val="00FC69CF"/>
    <w:rsid w:val="00FC71AE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641"/>
    <w:rsid w:val="00FD7BF5"/>
    <w:rsid w:val="00FE0DC0"/>
    <w:rsid w:val="00FE0F8B"/>
    <w:rsid w:val="00FE185C"/>
    <w:rsid w:val="00FE26BD"/>
    <w:rsid w:val="00FE3C5F"/>
    <w:rsid w:val="00FE4705"/>
    <w:rsid w:val="00FE557C"/>
    <w:rsid w:val="00FE5EAB"/>
    <w:rsid w:val="00FE6D45"/>
    <w:rsid w:val="00FF0AEC"/>
    <w:rsid w:val="00FF3031"/>
    <w:rsid w:val="00FF47A7"/>
    <w:rsid w:val="00FF4C3A"/>
    <w:rsid w:val="00FF4CF4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D6AFB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uiPriority w:val="99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uiPriority w:val="99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A21BD8"/>
    <w:rPr>
      <w:sz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uiPriority w:val="99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uiPriority w:val="1"/>
    <w:qFormat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sid w:val="00E26411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rsid w:val="00E26411"/>
    <w:pPr>
      <w:widowControl w:val="0"/>
      <w:tabs>
        <w:tab w:val="clear" w:pos="567"/>
      </w:tabs>
      <w:spacing w:after="220" w:line="240" w:lineRule="auto"/>
    </w:pPr>
    <w:rPr>
      <w:rFonts w:eastAsia="Times New Roman"/>
      <w:snapToGrid/>
      <w:szCs w:val="22"/>
      <w:lang w:eastAsia="en-GB"/>
    </w:rPr>
  </w:style>
  <w:style w:type="paragraph" w:styleId="Listaszerbekezds">
    <w:name w:val="List Paragraph"/>
    <w:basedOn w:val="Norml"/>
    <w:uiPriority w:val="1"/>
    <w:qFormat/>
    <w:rsid w:val="00E26411"/>
    <w:pPr>
      <w:ind w:left="720"/>
      <w:contextualSpacing/>
    </w:pPr>
  </w:style>
  <w:style w:type="paragraph" w:styleId="Vltozat">
    <w:name w:val="Revision"/>
    <w:hidden/>
    <w:uiPriority w:val="99"/>
    <w:semiHidden/>
    <w:rsid w:val="00D46837"/>
    <w:rPr>
      <w:snapToGrid w:val="0"/>
      <w:sz w:val="22"/>
      <w:lang w:eastAsia="zh-CN"/>
    </w:rPr>
  </w:style>
  <w:style w:type="numbering" w:customStyle="1" w:styleId="Nemlista1">
    <w:name w:val="Nem lista1"/>
    <w:next w:val="Nemlista"/>
    <w:uiPriority w:val="99"/>
    <w:semiHidden/>
    <w:unhideWhenUsed/>
    <w:rsid w:val="00423455"/>
  </w:style>
  <w:style w:type="table" w:customStyle="1" w:styleId="TableNormal1">
    <w:name w:val="Table Normal1"/>
    <w:uiPriority w:val="2"/>
    <w:semiHidden/>
    <w:unhideWhenUsed/>
    <w:qFormat/>
    <w:rsid w:val="00423455"/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sor11">
    <w:name w:val="Címsor 11"/>
    <w:basedOn w:val="Norml"/>
    <w:uiPriority w:val="1"/>
    <w:qFormat/>
    <w:rsid w:val="00423455"/>
    <w:pPr>
      <w:tabs>
        <w:tab w:val="clear" w:pos="567"/>
      </w:tabs>
      <w:spacing w:line="240" w:lineRule="auto"/>
      <w:ind w:left="118"/>
      <w:outlineLvl w:val="1"/>
    </w:pPr>
    <w:rPr>
      <w:rFonts w:eastAsia="Times New Roman"/>
      <w:snapToGrid/>
      <w:sz w:val="24"/>
      <w:szCs w:val="24"/>
      <w:lang w:val="en-US" w:eastAsia="en-US"/>
    </w:rPr>
  </w:style>
  <w:style w:type="paragraph" w:customStyle="1" w:styleId="Cmsor21">
    <w:name w:val="Címsor 21"/>
    <w:basedOn w:val="Norml"/>
    <w:uiPriority w:val="1"/>
    <w:qFormat/>
    <w:rsid w:val="00423455"/>
    <w:pPr>
      <w:tabs>
        <w:tab w:val="clear" w:pos="567"/>
      </w:tabs>
      <w:spacing w:line="240" w:lineRule="auto"/>
      <w:ind w:left="684"/>
      <w:outlineLvl w:val="2"/>
    </w:pPr>
    <w:rPr>
      <w:rFonts w:eastAsia="Times New Roman"/>
      <w:b/>
      <w:bCs/>
      <w:snapToGrid/>
      <w:szCs w:val="22"/>
      <w:lang w:val="en-US" w:eastAsia="en-US"/>
    </w:rPr>
  </w:style>
  <w:style w:type="paragraph" w:customStyle="1" w:styleId="TableParagraph">
    <w:name w:val="Table Paragraph"/>
    <w:basedOn w:val="Norml"/>
    <w:uiPriority w:val="1"/>
    <w:qFormat/>
    <w:rsid w:val="00423455"/>
    <w:pPr>
      <w:tabs>
        <w:tab w:val="clear" w:pos="567"/>
      </w:tabs>
      <w:spacing w:line="240" w:lineRule="auto"/>
    </w:pPr>
    <w:rPr>
      <w:rFonts w:ascii="Calibri" w:eastAsia="Calibri" w:hAnsi="Calibri"/>
      <w:snapToGrid/>
      <w:szCs w:val="22"/>
      <w:lang w:val="en-US" w:eastAsia="en-US"/>
    </w:rPr>
  </w:style>
  <w:style w:type="character" w:customStyle="1" w:styleId="lfejChar">
    <w:name w:val="Élőfej Char"/>
    <w:basedOn w:val="Bekezdsalapbettpusa"/>
    <w:link w:val="lfej"/>
    <w:uiPriority w:val="99"/>
    <w:rsid w:val="00423455"/>
    <w:rPr>
      <w:snapToGrid w:val="0"/>
      <w:sz w:val="22"/>
      <w:lang w:eastAsia="zh-CN"/>
    </w:rPr>
  </w:style>
  <w:style w:type="table" w:customStyle="1" w:styleId="2">
    <w:name w:val="Πλέγμα πίνακα2"/>
    <w:basedOn w:val="Normltblzat"/>
    <w:next w:val="TableNormal1"/>
    <w:uiPriority w:val="59"/>
    <w:rsid w:val="00423455"/>
    <w:rPr>
      <w:rFonts w:ascii="Calibri" w:eastAsia="Times New Roman" w:hAnsi="Calibri"/>
      <w:lang w:val="el-GR"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23455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nl-NL" w:eastAsia="el-GR"/>
    </w:rPr>
  </w:style>
  <w:style w:type="table" w:styleId="Rcsostblzat">
    <w:name w:val="Table Grid"/>
    <w:basedOn w:val="Normltblzat"/>
    <w:uiPriority w:val="59"/>
    <w:rsid w:val="00423455"/>
    <w:rPr>
      <w:rFonts w:ascii="Calibri" w:eastAsia="Calibri" w:hAnsi="Calibri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basedOn w:val="Norml"/>
    <w:uiPriority w:val="1"/>
    <w:qFormat/>
    <w:rsid w:val="00423455"/>
    <w:pPr>
      <w:tabs>
        <w:tab w:val="clear" w:pos="567"/>
      </w:tabs>
      <w:spacing w:line="240" w:lineRule="auto"/>
    </w:pPr>
    <w:rPr>
      <w:rFonts w:eastAsia="Calibri"/>
      <w:snapToGrid/>
      <w:szCs w:val="22"/>
      <w:lang w:val="hu-HU" w:eastAsia="en-US"/>
    </w:rPr>
  </w:style>
  <w:style w:type="character" w:customStyle="1" w:styleId="JegyzetszvegChar">
    <w:name w:val="Jegyzetszöveg Char"/>
    <w:link w:val="Jegyzetszveg"/>
    <w:uiPriority w:val="99"/>
    <w:rsid w:val="00423455"/>
    <w:rPr>
      <w:snapToGrid w:val="0"/>
      <w:lang w:eastAsia="zh-CN"/>
    </w:rPr>
  </w:style>
  <w:style w:type="character" w:customStyle="1" w:styleId="MegjegyzstrgyaChar">
    <w:name w:val="Megjegyzés tárgya Char"/>
    <w:link w:val="Megjegyzstrgya"/>
    <w:uiPriority w:val="99"/>
    <w:semiHidden/>
    <w:rsid w:val="00423455"/>
    <w:rPr>
      <w:b/>
      <w:bCs/>
      <w:snapToGrid w:val="0"/>
      <w:lang w:eastAsia="zh-CN"/>
    </w:rPr>
  </w:style>
  <w:style w:type="paragraph" w:customStyle="1" w:styleId="CM68">
    <w:name w:val="CM68"/>
    <w:basedOn w:val="Default"/>
    <w:next w:val="Default"/>
    <w:uiPriority w:val="99"/>
    <w:rsid w:val="00423455"/>
    <w:pPr>
      <w:widowControl w:val="0"/>
    </w:pPr>
    <w:rPr>
      <w:rFonts w:ascii="MQHKNX+TimesNewRoman" w:hAnsi="MQHKNX+TimesNewRoman"/>
      <w:color w:val="auto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11946</Words>
  <Characters>85533</Characters>
  <Application>Microsoft Office Word</Application>
  <DocSecurity>0</DocSecurity>
  <Lines>712</Lines>
  <Paragraphs>194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97285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4</cp:revision>
  <dcterms:created xsi:type="dcterms:W3CDTF">2026-09-03T07:56:00Z</dcterms:created>
  <dcterms:modified xsi:type="dcterms:W3CDTF">2026-09-03T11:22:00Z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