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05842A" w14:textId="77777777" w:rsidR="00EB654C" w:rsidRDefault="00C651E7">
      <w:pPr>
        <w:pStyle w:val="Cmsor1"/>
        <w:tabs>
          <w:tab w:val="left" w:pos="567"/>
        </w:tabs>
        <w:spacing w:before="0" w:after="0"/>
        <w:ind w:left="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</w:rPr>
        <w:t>1.</w:t>
      </w:r>
      <w:r>
        <w:rPr>
          <w:rFonts w:ascii="Times New Roman" w:hAnsi="Times New Roman"/>
          <w:sz w:val="22"/>
        </w:rPr>
        <w:tab/>
        <w:t>A GYÓGYSZER NEVE</w:t>
      </w:r>
    </w:p>
    <w:p w14:paraId="32ABEB51" w14:textId="77777777" w:rsidR="00EB654C" w:rsidRDefault="00EB654C">
      <w:pPr>
        <w:tabs>
          <w:tab w:val="left" w:pos="850"/>
        </w:tabs>
        <w:ind w:right="-284"/>
        <w:rPr>
          <w:sz w:val="22"/>
          <w:szCs w:val="22"/>
          <w:lang w:val="en-GB"/>
        </w:rPr>
      </w:pPr>
    </w:p>
    <w:p w14:paraId="086F54C7" w14:textId="3F4A381E" w:rsidR="00EB654C" w:rsidRDefault="00C651E7">
      <w:pPr>
        <w:ind w:right="-284"/>
        <w:rPr>
          <w:sz w:val="22"/>
          <w:szCs w:val="22"/>
        </w:rPr>
      </w:pP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100 mg por </w:t>
      </w:r>
      <w:proofErr w:type="spellStart"/>
      <w:r>
        <w:rPr>
          <w:sz w:val="22"/>
        </w:rPr>
        <w:t>oldatos</w:t>
      </w:r>
      <w:proofErr w:type="spellEnd"/>
      <w:r>
        <w:rPr>
          <w:sz w:val="22"/>
        </w:rPr>
        <w:t xml:space="preserve"> injekcióhoz/infúzióhoz</w:t>
      </w:r>
    </w:p>
    <w:p w14:paraId="3213FB4F" w14:textId="1D57B696" w:rsidR="00EB654C" w:rsidRDefault="00C651E7">
      <w:pPr>
        <w:ind w:right="-284"/>
        <w:rPr>
          <w:sz w:val="22"/>
          <w:szCs w:val="22"/>
        </w:rPr>
      </w:pP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200 mg por </w:t>
      </w:r>
      <w:proofErr w:type="spellStart"/>
      <w:r>
        <w:rPr>
          <w:sz w:val="22"/>
        </w:rPr>
        <w:t>oldatos</w:t>
      </w:r>
      <w:proofErr w:type="spellEnd"/>
      <w:r>
        <w:rPr>
          <w:sz w:val="22"/>
        </w:rPr>
        <w:t xml:space="preserve"> injekcióhoz/infúzióhoz</w:t>
      </w:r>
    </w:p>
    <w:p w14:paraId="439CD533" w14:textId="49044A3F" w:rsidR="00EB654C" w:rsidRDefault="00C651E7">
      <w:pPr>
        <w:ind w:right="-284"/>
        <w:rPr>
          <w:sz w:val="22"/>
          <w:szCs w:val="22"/>
        </w:rPr>
      </w:pP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500 mg por </w:t>
      </w:r>
      <w:proofErr w:type="spellStart"/>
      <w:r>
        <w:rPr>
          <w:sz w:val="22"/>
        </w:rPr>
        <w:t>oldatos</w:t>
      </w:r>
      <w:proofErr w:type="spellEnd"/>
      <w:r>
        <w:rPr>
          <w:sz w:val="22"/>
        </w:rPr>
        <w:t xml:space="preserve"> infúzióhoz</w:t>
      </w:r>
    </w:p>
    <w:p w14:paraId="72ABD4A6" w14:textId="44A11DBD" w:rsidR="00EB654C" w:rsidRDefault="00C651E7">
      <w:pPr>
        <w:ind w:right="-284"/>
        <w:rPr>
          <w:sz w:val="22"/>
          <w:szCs w:val="22"/>
        </w:rPr>
      </w:pP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1000 mg por </w:t>
      </w:r>
      <w:proofErr w:type="spellStart"/>
      <w:r>
        <w:rPr>
          <w:sz w:val="22"/>
        </w:rPr>
        <w:t>oldatos</w:t>
      </w:r>
      <w:proofErr w:type="spellEnd"/>
      <w:r>
        <w:rPr>
          <w:sz w:val="22"/>
        </w:rPr>
        <w:t xml:space="preserve"> infúzióhoz</w:t>
      </w:r>
    </w:p>
    <w:p w14:paraId="4509DD50" w14:textId="77777777" w:rsidR="00EB654C" w:rsidRDefault="00EB654C">
      <w:pPr>
        <w:ind w:right="-284"/>
        <w:rPr>
          <w:sz w:val="22"/>
          <w:szCs w:val="22"/>
        </w:rPr>
      </w:pPr>
    </w:p>
    <w:p w14:paraId="267C2D64" w14:textId="77777777" w:rsidR="00EB654C" w:rsidRDefault="00EB654C">
      <w:pPr>
        <w:ind w:right="-284"/>
        <w:rPr>
          <w:sz w:val="22"/>
          <w:szCs w:val="22"/>
        </w:rPr>
      </w:pPr>
    </w:p>
    <w:p w14:paraId="04E61B51" w14:textId="77777777" w:rsidR="00EB654C" w:rsidRDefault="00C651E7">
      <w:pPr>
        <w:pStyle w:val="Cmsor1"/>
        <w:spacing w:before="0" w:after="0"/>
        <w:ind w:left="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</w:rPr>
        <w:t>2.</w:t>
      </w:r>
      <w:r>
        <w:rPr>
          <w:rFonts w:ascii="Times New Roman" w:hAnsi="Times New Roman"/>
          <w:sz w:val="22"/>
        </w:rPr>
        <w:tab/>
        <w:t>MINŐSÉGI ÉS MENNYISÉGI ÖSSZETÉTEL</w:t>
      </w:r>
    </w:p>
    <w:p w14:paraId="0AB29891" w14:textId="77777777" w:rsidR="00EB654C" w:rsidRDefault="00EB654C">
      <w:pPr>
        <w:tabs>
          <w:tab w:val="left" w:pos="850"/>
        </w:tabs>
        <w:ind w:right="-284"/>
        <w:rPr>
          <w:b/>
          <w:sz w:val="22"/>
          <w:szCs w:val="22"/>
        </w:rPr>
      </w:pPr>
    </w:p>
    <w:p w14:paraId="0093B79D" w14:textId="73FEC71B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proofErr w:type="spellStart"/>
      <w:r w:rsidRPr="001564F4">
        <w:rPr>
          <w:i/>
          <w:iCs/>
          <w:sz w:val="22"/>
          <w:u w:val="single"/>
        </w:rPr>
        <w:t>Dacarbazine</w:t>
      </w:r>
      <w:proofErr w:type="spellEnd"/>
      <w:r w:rsidRPr="001564F4">
        <w:rPr>
          <w:i/>
          <w:iCs/>
          <w:sz w:val="22"/>
          <w:u w:val="single"/>
        </w:rPr>
        <w:t> </w:t>
      </w:r>
      <w:proofErr w:type="spellStart"/>
      <w:r w:rsidRPr="001564F4">
        <w:rPr>
          <w:i/>
          <w:iCs/>
          <w:sz w:val="22"/>
          <w:u w:val="single"/>
        </w:rPr>
        <w:t>medac</w:t>
      </w:r>
      <w:proofErr w:type="spellEnd"/>
      <w:r w:rsidRPr="001564F4">
        <w:rPr>
          <w:i/>
          <w:iCs/>
          <w:sz w:val="22"/>
          <w:u w:val="single"/>
        </w:rPr>
        <w:t xml:space="preserve"> 100 mg</w:t>
      </w:r>
      <w:r w:rsidR="00257F74">
        <w:rPr>
          <w:sz w:val="22"/>
        </w:rPr>
        <w:t>:</w:t>
      </w:r>
      <w:r>
        <w:rPr>
          <w:sz w:val="22"/>
        </w:rPr>
        <w:t xml:space="preserve"> 100 mg </w:t>
      </w:r>
      <w:proofErr w:type="spellStart"/>
      <w:r>
        <w:rPr>
          <w:sz w:val="22"/>
        </w:rPr>
        <w:t>dakarbazint</w:t>
      </w:r>
      <w:proofErr w:type="spellEnd"/>
      <w:r>
        <w:rPr>
          <w:sz w:val="22"/>
        </w:rPr>
        <w:t xml:space="preserve"> tartalmaz egyadagos injekciós üvegenként (</w:t>
      </w:r>
      <w:r>
        <w:rPr>
          <w:i/>
          <w:iCs/>
          <w:sz w:val="22"/>
        </w:rPr>
        <w:t>in situ</w:t>
      </w:r>
      <w:r>
        <w:rPr>
          <w:sz w:val="22"/>
        </w:rPr>
        <w:t xml:space="preserve"> képződött </w:t>
      </w:r>
      <w:proofErr w:type="spellStart"/>
      <w:r>
        <w:rPr>
          <w:sz w:val="22"/>
        </w:rPr>
        <w:t>dakarbazin-citrát</w:t>
      </w:r>
      <w:proofErr w:type="spellEnd"/>
      <w:r>
        <w:rPr>
          <w:sz w:val="22"/>
        </w:rPr>
        <w:t xml:space="preserve"> formájában).</w:t>
      </w:r>
    </w:p>
    <w:p w14:paraId="639C2D05" w14:textId="77777777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100 mg a feloldást követően 10 mg </w:t>
      </w:r>
      <w:proofErr w:type="spellStart"/>
      <w:r>
        <w:rPr>
          <w:sz w:val="22"/>
        </w:rPr>
        <w:t>dakarbazint</w:t>
      </w:r>
      <w:proofErr w:type="spellEnd"/>
      <w:r>
        <w:rPr>
          <w:sz w:val="22"/>
        </w:rPr>
        <w:t xml:space="preserve"> tartalmaz milliliterenként (lásd 6.6 pont).</w:t>
      </w:r>
    </w:p>
    <w:p w14:paraId="7977FD11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0B3476BB" w14:textId="102942C9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proofErr w:type="spellStart"/>
      <w:r w:rsidRPr="001564F4">
        <w:rPr>
          <w:i/>
          <w:iCs/>
          <w:sz w:val="22"/>
          <w:u w:val="single"/>
        </w:rPr>
        <w:t>Dacarbazine</w:t>
      </w:r>
      <w:proofErr w:type="spellEnd"/>
      <w:r w:rsidRPr="001564F4">
        <w:rPr>
          <w:i/>
          <w:iCs/>
          <w:sz w:val="22"/>
          <w:u w:val="single"/>
        </w:rPr>
        <w:t> </w:t>
      </w:r>
      <w:proofErr w:type="spellStart"/>
      <w:r w:rsidRPr="001564F4">
        <w:rPr>
          <w:i/>
          <w:iCs/>
          <w:sz w:val="22"/>
          <w:u w:val="single"/>
        </w:rPr>
        <w:t>medac</w:t>
      </w:r>
      <w:proofErr w:type="spellEnd"/>
      <w:r w:rsidRPr="001564F4">
        <w:rPr>
          <w:i/>
          <w:iCs/>
          <w:sz w:val="22"/>
          <w:u w:val="single"/>
        </w:rPr>
        <w:t xml:space="preserve"> 200 mg</w:t>
      </w:r>
      <w:r w:rsidR="00257F74">
        <w:rPr>
          <w:sz w:val="22"/>
        </w:rPr>
        <w:t>:</w:t>
      </w:r>
      <w:r>
        <w:rPr>
          <w:sz w:val="22"/>
        </w:rPr>
        <w:t xml:space="preserve"> 200 mg </w:t>
      </w:r>
      <w:proofErr w:type="spellStart"/>
      <w:r>
        <w:rPr>
          <w:sz w:val="22"/>
        </w:rPr>
        <w:t>dakarbazint</w:t>
      </w:r>
      <w:proofErr w:type="spellEnd"/>
      <w:r>
        <w:rPr>
          <w:sz w:val="22"/>
        </w:rPr>
        <w:t xml:space="preserve"> tartalmaz egyadagos injekciós üvegenként (</w:t>
      </w:r>
      <w:r>
        <w:rPr>
          <w:i/>
          <w:iCs/>
          <w:sz w:val="22"/>
        </w:rPr>
        <w:t>in situ</w:t>
      </w:r>
      <w:r>
        <w:rPr>
          <w:sz w:val="22"/>
        </w:rPr>
        <w:t xml:space="preserve"> képződött </w:t>
      </w:r>
      <w:proofErr w:type="spellStart"/>
      <w:r>
        <w:rPr>
          <w:sz w:val="22"/>
        </w:rPr>
        <w:t>dakarbazin-citrát</w:t>
      </w:r>
      <w:proofErr w:type="spellEnd"/>
      <w:r>
        <w:rPr>
          <w:sz w:val="22"/>
        </w:rPr>
        <w:t xml:space="preserve"> formájában). 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200 mg a feloldást követően 10 mg </w:t>
      </w:r>
      <w:proofErr w:type="spellStart"/>
      <w:r>
        <w:rPr>
          <w:sz w:val="22"/>
        </w:rPr>
        <w:t>dakarbazint</w:t>
      </w:r>
      <w:proofErr w:type="spellEnd"/>
      <w:r>
        <w:rPr>
          <w:sz w:val="22"/>
        </w:rPr>
        <w:t xml:space="preserve"> tartalmaz milliliterenként (lásd 6.6 pont).</w:t>
      </w:r>
    </w:p>
    <w:p w14:paraId="76BB99A7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7E7E5C08" w14:textId="19F3C2C2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proofErr w:type="spellStart"/>
      <w:r w:rsidRPr="001564F4">
        <w:rPr>
          <w:i/>
          <w:iCs/>
          <w:sz w:val="22"/>
          <w:u w:val="single"/>
        </w:rPr>
        <w:t>Dacarbazine</w:t>
      </w:r>
      <w:proofErr w:type="spellEnd"/>
      <w:r w:rsidRPr="001564F4">
        <w:rPr>
          <w:i/>
          <w:iCs/>
          <w:sz w:val="22"/>
          <w:u w:val="single"/>
        </w:rPr>
        <w:t> </w:t>
      </w:r>
      <w:proofErr w:type="spellStart"/>
      <w:r w:rsidRPr="001564F4">
        <w:rPr>
          <w:i/>
          <w:iCs/>
          <w:sz w:val="22"/>
          <w:u w:val="single"/>
        </w:rPr>
        <w:t>medac</w:t>
      </w:r>
      <w:proofErr w:type="spellEnd"/>
      <w:r w:rsidRPr="001564F4">
        <w:rPr>
          <w:i/>
          <w:iCs/>
          <w:sz w:val="22"/>
          <w:u w:val="single"/>
        </w:rPr>
        <w:t xml:space="preserve"> 500 mg</w:t>
      </w:r>
      <w:r w:rsidR="00257F74">
        <w:rPr>
          <w:sz w:val="22"/>
        </w:rPr>
        <w:t>:</w:t>
      </w:r>
      <w:r>
        <w:rPr>
          <w:sz w:val="22"/>
        </w:rPr>
        <w:t xml:space="preserve"> 500 mg </w:t>
      </w:r>
      <w:proofErr w:type="spellStart"/>
      <w:r>
        <w:rPr>
          <w:sz w:val="22"/>
        </w:rPr>
        <w:t>dakarbazint</w:t>
      </w:r>
      <w:proofErr w:type="spellEnd"/>
      <w:r>
        <w:rPr>
          <w:sz w:val="22"/>
        </w:rPr>
        <w:t xml:space="preserve"> tartalmaz egyadagos injekciós üvegenként (</w:t>
      </w:r>
      <w:r>
        <w:rPr>
          <w:i/>
          <w:iCs/>
          <w:sz w:val="22"/>
        </w:rPr>
        <w:t>in situ</w:t>
      </w:r>
      <w:r>
        <w:rPr>
          <w:sz w:val="22"/>
        </w:rPr>
        <w:t xml:space="preserve"> képződött </w:t>
      </w:r>
      <w:proofErr w:type="spellStart"/>
      <w:r>
        <w:rPr>
          <w:sz w:val="22"/>
        </w:rPr>
        <w:t>dakarbazin-citrát</w:t>
      </w:r>
      <w:proofErr w:type="spellEnd"/>
      <w:r>
        <w:rPr>
          <w:sz w:val="22"/>
        </w:rPr>
        <w:t xml:space="preserve"> formájában). 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500 mg a feloldást és végső hígítást követően 1,4–2,0 mg </w:t>
      </w:r>
      <w:proofErr w:type="spellStart"/>
      <w:r>
        <w:rPr>
          <w:sz w:val="22"/>
        </w:rPr>
        <w:t>dakarbazint</w:t>
      </w:r>
      <w:proofErr w:type="spellEnd"/>
      <w:r>
        <w:rPr>
          <w:sz w:val="22"/>
        </w:rPr>
        <w:t xml:space="preserve"> tartalmaz milliliterenként (lásd 6.6 pont).</w:t>
      </w:r>
    </w:p>
    <w:p w14:paraId="509D9EBC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49DF67A4" w14:textId="3783469F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proofErr w:type="spellStart"/>
      <w:r w:rsidRPr="001564F4">
        <w:rPr>
          <w:i/>
          <w:iCs/>
          <w:sz w:val="22"/>
          <w:u w:val="single"/>
        </w:rPr>
        <w:t>Dacarbazine</w:t>
      </w:r>
      <w:proofErr w:type="spellEnd"/>
      <w:r w:rsidRPr="001564F4">
        <w:rPr>
          <w:i/>
          <w:iCs/>
          <w:sz w:val="22"/>
          <w:u w:val="single"/>
        </w:rPr>
        <w:t> </w:t>
      </w:r>
      <w:proofErr w:type="spellStart"/>
      <w:r w:rsidRPr="001564F4">
        <w:rPr>
          <w:i/>
          <w:iCs/>
          <w:sz w:val="22"/>
          <w:u w:val="single"/>
        </w:rPr>
        <w:t>medac</w:t>
      </w:r>
      <w:proofErr w:type="spellEnd"/>
      <w:r w:rsidRPr="001564F4">
        <w:rPr>
          <w:i/>
          <w:iCs/>
          <w:sz w:val="22"/>
          <w:u w:val="single"/>
        </w:rPr>
        <w:t xml:space="preserve"> 1000 mg</w:t>
      </w:r>
      <w:r w:rsidR="00257F74">
        <w:rPr>
          <w:sz w:val="22"/>
        </w:rPr>
        <w:t>:</w:t>
      </w:r>
      <w:r>
        <w:rPr>
          <w:sz w:val="22"/>
        </w:rPr>
        <w:t xml:space="preserve"> 1000 mg </w:t>
      </w:r>
      <w:proofErr w:type="spellStart"/>
      <w:r>
        <w:rPr>
          <w:sz w:val="22"/>
        </w:rPr>
        <w:t>dakarbazint</w:t>
      </w:r>
      <w:proofErr w:type="spellEnd"/>
      <w:r>
        <w:rPr>
          <w:sz w:val="22"/>
        </w:rPr>
        <w:t xml:space="preserve"> tartalmaz egyadagos injekciós üvegenként (</w:t>
      </w:r>
      <w:r>
        <w:rPr>
          <w:i/>
          <w:iCs/>
          <w:sz w:val="22"/>
        </w:rPr>
        <w:t>in situ</w:t>
      </w:r>
      <w:r>
        <w:rPr>
          <w:sz w:val="22"/>
        </w:rPr>
        <w:t xml:space="preserve"> képződött </w:t>
      </w:r>
      <w:proofErr w:type="spellStart"/>
      <w:r>
        <w:rPr>
          <w:sz w:val="22"/>
        </w:rPr>
        <w:t>dakarbazin-citrát</w:t>
      </w:r>
      <w:proofErr w:type="spellEnd"/>
      <w:r>
        <w:rPr>
          <w:sz w:val="22"/>
        </w:rPr>
        <w:t xml:space="preserve"> formájában). 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1000 mg a feloldást és végső hígítást követően 2,8–4,0 mg </w:t>
      </w:r>
      <w:proofErr w:type="spellStart"/>
      <w:r>
        <w:rPr>
          <w:sz w:val="22"/>
        </w:rPr>
        <w:t>dakarbazint</w:t>
      </w:r>
      <w:proofErr w:type="spellEnd"/>
      <w:r>
        <w:rPr>
          <w:sz w:val="22"/>
        </w:rPr>
        <w:t xml:space="preserve"> tartalmaz milliliterenként (lásd 6.6 pont).</w:t>
      </w:r>
    </w:p>
    <w:p w14:paraId="1A97D426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4DB279EA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>A segédanyagok teljes listáját lásd a 6.1 pontban.</w:t>
      </w:r>
    </w:p>
    <w:p w14:paraId="52FBE41E" w14:textId="77777777" w:rsidR="00EB654C" w:rsidRDefault="00EB654C">
      <w:pPr>
        <w:ind w:right="-284"/>
        <w:rPr>
          <w:sz w:val="22"/>
          <w:szCs w:val="22"/>
        </w:rPr>
      </w:pPr>
    </w:p>
    <w:p w14:paraId="246B3222" w14:textId="77777777" w:rsidR="00EB654C" w:rsidRDefault="00EB654C">
      <w:pPr>
        <w:ind w:right="-284"/>
        <w:rPr>
          <w:sz w:val="22"/>
          <w:szCs w:val="22"/>
        </w:rPr>
      </w:pPr>
    </w:p>
    <w:p w14:paraId="3F6F1705" w14:textId="77777777" w:rsidR="00EB654C" w:rsidRDefault="00C651E7">
      <w:pPr>
        <w:pStyle w:val="Cmsor1"/>
        <w:spacing w:before="0" w:after="0"/>
        <w:ind w:left="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</w:rPr>
        <w:t>3.</w:t>
      </w:r>
      <w:r>
        <w:rPr>
          <w:rFonts w:ascii="Times New Roman" w:hAnsi="Times New Roman"/>
          <w:sz w:val="22"/>
        </w:rPr>
        <w:tab/>
        <w:t>GYÓGYSZERFORMA</w:t>
      </w:r>
    </w:p>
    <w:p w14:paraId="23D2FE66" w14:textId="77777777" w:rsidR="00EB654C" w:rsidRDefault="00EB654C">
      <w:pPr>
        <w:ind w:right="-284"/>
        <w:rPr>
          <w:sz w:val="22"/>
          <w:szCs w:val="22"/>
        </w:rPr>
      </w:pPr>
    </w:p>
    <w:p w14:paraId="707651E3" w14:textId="77777777" w:rsidR="00EB654C" w:rsidRDefault="00C651E7">
      <w:pPr>
        <w:ind w:right="-284"/>
        <w:rPr>
          <w:sz w:val="22"/>
          <w:szCs w:val="22"/>
        </w:rPr>
      </w:pP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100 mg (200 mg): Por </w:t>
      </w:r>
      <w:proofErr w:type="spellStart"/>
      <w:r>
        <w:rPr>
          <w:sz w:val="22"/>
        </w:rPr>
        <w:t>oldatos</w:t>
      </w:r>
      <w:proofErr w:type="spellEnd"/>
      <w:r>
        <w:rPr>
          <w:sz w:val="22"/>
        </w:rPr>
        <w:t xml:space="preserve"> injekcióhoz/infúzióhoz.</w:t>
      </w:r>
    </w:p>
    <w:p w14:paraId="06307292" w14:textId="77777777" w:rsidR="00EB654C" w:rsidRDefault="00C651E7">
      <w:pPr>
        <w:ind w:right="-284"/>
        <w:rPr>
          <w:sz w:val="22"/>
          <w:szCs w:val="22"/>
        </w:rPr>
      </w:pP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500 mg (1000 mg): Por </w:t>
      </w:r>
      <w:proofErr w:type="spellStart"/>
      <w:r>
        <w:rPr>
          <w:sz w:val="22"/>
        </w:rPr>
        <w:t>oldatos</w:t>
      </w:r>
      <w:proofErr w:type="spellEnd"/>
      <w:r>
        <w:rPr>
          <w:sz w:val="22"/>
        </w:rPr>
        <w:t xml:space="preserve"> infúzióhoz.</w:t>
      </w:r>
    </w:p>
    <w:p w14:paraId="7D9D324C" w14:textId="77777777" w:rsidR="00257F74" w:rsidRDefault="00257F74">
      <w:pPr>
        <w:ind w:right="-284"/>
        <w:rPr>
          <w:sz w:val="22"/>
        </w:rPr>
      </w:pPr>
    </w:p>
    <w:p w14:paraId="0BA7FD52" w14:textId="3F821CF1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egy fehér vagy halványsárga por.</w:t>
      </w:r>
    </w:p>
    <w:p w14:paraId="46ADE1B2" w14:textId="77777777" w:rsidR="00EB654C" w:rsidRDefault="00EB654C">
      <w:pPr>
        <w:ind w:right="-284"/>
        <w:rPr>
          <w:sz w:val="22"/>
          <w:szCs w:val="22"/>
        </w:rPr>
      </w:pPr>
    </w:p>
    <w:p w14:paraId="17B83844" w14:textId="77777777" w:rsidR="00EB654C" w:rsidRDefault="00EB654C">
      <w:pPr>
        <w:ind w:right="-284"/>
        <w:rPr>
          <w:sz w:val="22"/>
          <w:szCs w:val="22"/>
        </w:rPr>
      </w:pPr>
    </w:p>
    <w:p w14:paraId="115350F0" w14:textId="77777777" w:rsidR="00EB654C" w:rsidRDefault="00C651E7">
      <w:pPr>
        <w:pStyle w:val="Cmsor1"/>
        <w:spacing w:before="0" w:after="0"/>
        <w:ind w:left="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</w:rPr>
        <w:t>4.</w:t>
      </w:r>
      <w:r>
        <w:rPr>
          <w:rFonts w:ascii="Times New Roman" w:hAnsi="Times New Roman"/>
          <w:sz w:val="22"/>
        </w:rPr>
        <w:tab/>
        <w:t>KLINIKAI JELLEMZŐK</w:t>
      </w:r>
    </w:p>
    <w:p w14:paraId="4454BE8F" w14:textId="77777777" w:rsidR="00EB654C" w:rsidRDefault="00EB654C">
      <w:pPr>
        <w:rPr>
          <w:sz w:val="22"/>
          <w:szCs w:val="22"/>
        </w:rPr>
      </w:pPr>
    </w:p>
    <w:p w14:paraId="021F56B5" w14:textId="77777777" w:rsidR="00EB654C" w:rsidRDefault="00C651E7">
      <w:pPr>
        <w:pStyle w:val="Cmsor2"/>
        <w:spacing w:before="0" w:after="0"/>
        <w:ind w:left="0" w:right="-284" w:firstLine="0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</w:rPr>
        <w:t>4.1</w:t>
      </w:r>
      <w:r>
        <w:rPr>
          <w:rFonts w:ascii="Times New Roman" w:hAnsi="Times New Roman"/>
          <w:i w:val="0"/>
          <w:sz w:val="22"/>
        </w:rPr>
        <w:tab/>
        <w:t>Terápiás javallatok</w:t>
      </w:r>
    </w:p>
    <w:p w14:paraId="074E20AB" w14:textId="77777777" w:rsidR="00EB654C" w:rsidRDefault="00EB654C">
      <w:pPr>
        <w:ind w:right="-284"/>
        <w:rPr>
          <w:b/>
          <w:sz w:val="22"/>
          <w:szCs w:val="22"/>
        </w:rPr>
      </w:pPr>
    </w:p>
    <w:p w14:paraId="5B47FB77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  <w:vertAlign w:val="superscript"/>
        </w:rPr>
        <w:t xml:space="preserve"> </w:t>
      </w:r>
      <w:r>
        <w:rPr>
          <w:sz w:val="22"/>
        </w:rPr>
        <w:t xml:space="preserve">áttétes rosszindulatú </w:t>
      </w:r>
      <w:proofErr w:type="spellStart"/>
      <w:r>
        <w:rPr>
          <w:sz w:val="22"/>
        </w:rPr>
        <w:t>melanomában</w:t>
      </w:r>
      <w:proofErr w:type="spellEnd"/>
      <w:r>
        <w:rPr>
          <w:sz w:val="22"/>
        </w:rPr>
        <w:t xml:space="preserve"> szenvedő betegek kezelésére javallott.</w:t>
      </w:r>
    </w:p>
    <w:p w14:paraId="7386EFAA" w14:textId="77777777" w:rsidR="00EB654C" w:rsidRDefault="00EB654C">
      <w:pPr>
        <w:ind w:right="-284"/>
        <w:rPr>
          <w:sz w:val="22"/>
          <w:szCs w:val="22"/>
        </w:rPr>
      </w:pPr>
    </w:p>
    <w:p w14:paraId="1AA54FCF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 xml:space="preserve">Kombinált kemoterápia részeként 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további javallatai a következők:</w:t>
      </w:r>
    </w:p>
    <w:p w14:paraId="52F38633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>-</w:t>
      </w:r>
      <w:r>
        <w:rPr>
          <w:sz w:val="22"/>
        </w:rPr>
        <w:tab/>
        <w:t xml:space="preserve">előrehaladott </w:t>
      </w:r>
      <w:proofErr w:type="spellStart"/>
      <w:r>
        <w:rPr>
          <w:sz w:val="22"/>
        </w:rPr>
        <w:t>Hodgkin</w:t>
      </w:r>
      <w:proofErr w:type="spellEnd"/>
      <w:r>
        <w:rPr>
          <w:sz w:val="22"/>
        </w:rPr>
        <w:noBreakHyphen/>
        <w:t>kór,</w:t>
      </w:r>
    </w:p>
    <w:p w14:paraId="63702FBC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>-</w:t>
      </w:r>
      <w:r>
        <w:rPr>
          <w:sz w:val="22"/>
        </w:rPr>
        <w:tab/>
        <w:t xml:space="preserve">előrehaladott felnőttkori </w:t>
      </w:r>
      <w:proofErr w:type="spellStart"/>
      <w:r>
        <w:rPr>
          <w:sz w:val="22"/>
        </w:rPr>
        <w:t>lágyrészsarcomák</w:t>
      </w:r>
      <w:proofErr w:type="spellEnd"/>
      <w:r>
        <w:rPr>
          <w:sz w:val="22"/>
        </w:rPr>
        <w:t xml:space="preserve"> (kivéve </w:t>
      </w:r>
      <w:proofErr w:type="spellStart"/>
      <w:r>
        <w:rPr>
          <w:sz w:val="22"/>
        </w:rPr>
        <w:t>mesothelioma</w:t>
      </w:r>
      <w:proofErr w:type="spellEnd"/>
      <w:r>
        <w:rPr>
          <w:sz w:val="22"/>
        </w:rPr>
        <w:t>, Kaposi</w:t>
      </w:r>
      <w:r>
        <w:rPr>
          <w:sz w:val="22"/>
        </w:rPr>
        <w:noBreakHyphen/>
      </w:r>
      <w:proofErr w:type="spellStart"/>
      <w:r>
        <w:rPr>
          <w:sz w:val="22"/>
        </w:rPr>
        <w:t>sarcoma</w:t>
      </w:r>
      <w:proofErr w:type="spellEnd"/>
      <w:r>
        <w:rPr>
          <w:sz w:val="22"/>
        </w:rPr>
        <w:t>).</w:t>
      </w:r>
    </w:p>
    <w:p w14:paraId="61E43E00" w14:textId="77777777" w:rsidR="00EB654C" w:rsidRDefault="00EB654C">
      <w:pPr>
        <w:ind w:right="-284"/>
        <w:rPr>
          <w:sz w:val="22"/>
          <w:szCs w:val="22"/>
        </w:rPr>
      </w:pPr>
    </w:p>
    <w:p w14:paraId="0C2B65C3" w14:textId="77777777" w:rsidR="00EB654C" w:rsidRDefault="00C651E7">
      <w:pPr>
        <w:pStyle w:val="Cmsor2"/>
        <w:spacing w:before="0" w:after="0"/>
        <w:ind w:left="0" w:right="-284" w:firstLine="0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</w:rPr>
        <w:t>4.2</w:t>
      </w:r>
      <w:r>
        <w:rPr>
          <w:rFonts w:ascii="Times New Roman" w:hAnsi="Times New Roman"/>
          <w:i w:val="0"/>
          <w:sz w:val="22"/>
        </w:rPr>
        <w:tab/>
        <w:t>Adagolás és alkalmazás</w:t>
      </w:r>
    </w:p>
    <w:p w14:paraId="77EBA28F" w14:textId="77777777" w:rsidR="00EB654C" w:rsidRDefault="00EB654C" w:rsidP="00E148C8">
      <w:pPr>
        <w:keepNext/>
        <w:keepLines/>
        <w:tabs>
          <w:tab w:val="left" w:pos="850"/>
        </w:tabs>
        <w:ind w:right="-285"/>
        <w:rPr>
          <w:sz w:val="22"/>
          <w:szCs w:val="22"/>
        </w:rPr>
      </w:pPr>
    </w:p>
    <w:p w14:paraId="25C8350C" w14:textId="77777777" w:rsidR="00EB654C" w:rsidRDefault="00C651E7" w:rsidP="00E148C8">
      <w:pPr>
        <w:keepNext/>
        <w:keepLines/>
        <w:rPr>
          <w:sz w:val="22"/>
          <w:szCs w:val="22"/>
          <w:u w:val="single"/>
        </w:rPr>
      </w:pPr>
      <w:r>
        <w:rPr>
          <w:sz w:val="22"/>
          <w:u w:val="single"/>
        </w:rPr>
        <w:t>Adagolás</w:t>
      </w:r>
    </w:p>
    <w:p w14:paraId="0CA7D2D2" w14:textId="239FB7B9" w:rsidR="00EB654C" w:rsidRDefault="00C651E7" w:rsidP="00E148C8">
      <w:pPr>
        <w:keepNext/>
        <w:keepLines/>
        <w:tabs>
          <w:tab w:val="left" w:pos="850"/>
        </w:tabs>
        <w:ind w:right="-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</w:t>
      </w:r>
      <w:r w:rsidR="00F86386">
        <w:rPr>
          <w:sz w:val="22"/>
        </w:rPr>
        <w:t>nal</w:t>
      </w:r>
      <w:proofErr w:type="spellEnd"/>
      <w:r w:rsidR="00F86386">
        <w:rPr>
          <w:sz w:val="22"/>
        </w:rPr>
        <w:t xml:space="preserve"> való kezelést</w:t>
      </w:r>
      <w:r>
        <w:rPr>
          <w:sz w:val="22"/>
        </w:rPr>
        <w:t xml:space="preserve"> kizárólag az onkológiában és a hematológiában járatos orvosok </w:t>
      </w:r>
      <w:r w:rsidR="00F86386">
        <w:rPr>
          <w:sz w:val="22"/>
        </w:rPr>
        <w:t>végezhetik</w:t>
      </w:r>
      <w:r>
        <w:rPr>
          <w:sz w:val="22"/>
        </w:rPr>
        <w:t>.</w:t>
      </w:r>
    </w:p>
    <w:p w14:paraId="1D4F8461" w14:textId="77777777" w:rsidR="00EB654C" w:rsidRDefault="00EB654C">
      <w:pPr>
        <w:rPr>
          <w:sz w:val="22"/>
          <w:szCs w:val="22"/>
          <w:u w:val="single"/>
          <w:lang w:eastAsia="en-US"/>
        </w:rPr>
      </w:pPr>
    </w:p>
    <w:p w14:paraId="0E9638A9" w14:textId="77777777" w:rsidR="00EB654C" w:rsidRDefault="00C651E7">
      <w:pPr>
        <w:ind w:right="-285"/>
        <w:rPr>
          <w:sz w:val="22"/>
          <w:szCs w:val="22"/>
        </w:rPr>
      </w:pPr>
      <w:r>
        <w:rPr>
          <w:sz w:val="22"/>
        </w:rPr>
        <w:t>Az alábbi adagolási protokollok alkalmazhatók. További részletekért lásd az aktuális tudományos szakirodalmat.</w:t>
      </w:r>
    </w:p>
    <w:p w14:paraId="34086072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4068BFF8" w14:textId="77777777" w:rsidR="00EB654C" w:rsidRDefault="00C651E7">
      <w:pPr>
        <w:tabs>
          <w:tab w:val="left" w:pos="850"/>
        </w:tabs>
        <w:ind w:right="-284"/>
        <w:rPr>
          <w:i/>
          <w:sz w:val="22"/>
          <w:szCs w:val="22"/>
        </w:rPr>
      </w:pPr>
      <w:r>
        <w:rPr>
          <w:i/>
          <w:sz w:val="22"/>
        </w:rPr>
        <w:t xml:space="preserve">Rosszindulatú </w:t>
      </w:r>
      <w:proofErr w:type="spellStart"/>
      <w:r>
        <w:rPr>
          <w:i/>
          <w:sz w:val="22"/>
        </w:rPr>
        <w:t>melanoma</w:t>
      </w:r>
      <w:proofErr w:type="spellEnd"/>
    </w:p>
    <w:p w14:paraId="0D995CAC" w14:textId="4157FD6A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önmagában adott szerként a testfelületre számítva napi 200–250 mg/m² dózisban, intravénás (iv.) injekcióban, 3 hetente 5 napig alkalmazható. Az intravénás </w:t>
      </w:r>
      <w:proofErr w:type="spellStart"/>
      <w:r>
        <w:rPr>
          <w:sz w:val="22"/>
        </w:rPr>
        <w:t>bolusinjekció</w:t>
      </w:r>
      <w:proofErr w:type="spellEnd"/>
      <w:r>
        <w:rPr>
          <w:sz w:val="22"/>
        </w:rPr>
        <w:t xml:space="preserve"> alternatívájaként 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rövid idejű infúzióként (15–30 perc alatt) is beadható. Lehetséges továbbá intravénás infúzióként a testfelületre számítva 850–1000 mg/m² dózist beadni az 1. napon, majd 3 hetente egyszer.</w:t>
      </w:r>
    </w:p>
    <w:p w14:paraId="4F84E237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37E72682" w14:textId="77777777" w:rsidR="00EB654C" w:rsidRDefault="00C651E7">
      <w:pPr>
        <w:pStyle w:val="Cmsor5"/>
        <w:ind w:left="0"/>
        <w:jc w:val="left"/>
        <w:rPr>
          <w:rFonts w:ascii="Times New Roman" w:hAnsi="Times New Roman"/>
          <w:i/>
          <w:color w:val="auto"/>
          <w:sz w:val="22"/>
          <w:szCs w:val="22"/>
          <w:u w:val="none"/>
        </w:rPr>
      </w:pPr>
      <w:proofErr w:type="spellStart"/>
      <w:r>
        <w:rPr>
          <w:rFonts w:ascii="Times New Roman" w:hAnsi="Times New Roman"/>
          <w:i/>
          <w:color w:val="auto"/>
          <w:sz w:val="22"/>
          <w:u w:val="none"/>
        </w:rPr>
        <w:t>Hodgkin</w:t>
      </w:r>
      <w:proofErr w:type="spellEnd"/>
      <w:r>
        <w:rPr>
          <w:rFonts w:ascii="Times New Roman" w:hAnsi="Times New Roman"/>
          <w:i/>
          <w:color w:val="auto"/>
          <w:sz w:val="22"/>
          <w:u w:val="none"/>
        </w:rPr>
        <w:t>-kór</w:t>
      </w:r>
    </w:p>
    <w:p w14:paraId="39BD0A7D" w14:textId="77777777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a testfelületre számítva napi 375 mg/m² dózisban, intravénásan, 15 naponta adandó, </w:t>
      </w:r>
      <w:proofErr w:type="spellStart"/>
      <w:r>
        <w:rPr>
          <w:sz w:val="22"/>
        </w:rPr>
        <w:t>doxorubicinnel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bleomicinnel</w:t>
      </w:r>
      <w:proofErr w:type="spellEnd"/>
      <w:r>
        <w:rPr>
          <w:sz w:val="22"/>
        </w:rPr>
        <w:t xml:space="preserve"> és </w:t>
      </w:r>
      <w:proofErr w:type="spellStart"/>
      <w:r>
        <w:rPr>
          <w:sz w:val="22"/>
        </w:rPr>
        <w:t>vinblasztinnal</w:t>
      </w:r>
      <w:proofErr w:type="spellEnd"/>
      <w:r>
        <w:rPr>
          <w:sz w:val="22"/>
        </w:rPr>
        <w:t xml:space="preserve"> kombinációban (ABVD protokoll).</w:t>
      </w:r>
    </w:p>
    <w:p w14:paraId="24483F45" w14:textId="77777777" w:rsidR="00EB654C" w:rsidRDefault="00EB654C">
      <w:pPr>
        <w:tabs>
          <w:tab w:val="left" w:pos="850"/>
        </w:tabs>
        <w:ind w:right="-284"/>
        <w:rPr>
          <w:sz w:val="22"/>
          <w:szCs w:val="22"/>
          <w:u w:val="single"/>
        </w:rPr>
      </w:pPr>
    </w:p>
    <w:p w14:paraId="02AFF617" w14:textId="77777777" w:rsidR="00EB654C" w:rsidRDefault="00C651E7">
      <w:pPr>
        <w:tabs>
          <w:tab w:val="left" w:pos="850"/>
        </w:tabs>
        <w:ind w:right="-284"/>
        <w:rPr>
          <w:i/>
          <w:sz w:val="22"/>
          <w:szCs w:val="22"/>
        </w:rPr>
      </w:pPr>
      <w:r>
        <w:rPr>
          <w:i/>
          <w:sz w:val="22"/>
        </w:rPr>
        <w:t xml:space="preserve">Felnőttkori </w:t>
      </w:r>
      <w:proofErr w:type="spellStart"/>
      <w:r>
        <w:rPr>
          <w:i/>
          <w:sz w:val="22"/>
        </w:rPr>
        <w:t>lágyrészsarcoma</w:t>
      </w:r>
      <w:proofErr w:type="spellEnd"/>
    </w:p>
    <w:p w14:paraId="3380706D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 xml:space="preserve">Felnőttkori </w:t>
      </w:r>
      <w:proofErr w:type="spellStart"/>
      <w:r>
        <w:rPr>
          <w:sz w:val="22"/>
        </w:rPr>
        <w:t>lágyrészsarcoma</w:t>
      </w:r>
      <w:proofErr w:type="spellEnd"/>
      <w:r>
        <w:rPr>
          <w:sz w:val="22"/>
        </w:rPr>
        <w:t xml:space="preserve"> esetén 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a testfelületre számítva napi 250 mg/m² dózisban, intravénásan, 3 hetente adandó (az 1–5. napon), </w:t>
      </w:r>
      <w:proofErr w:type="spellStart"/>
      <w:r>
        <w:rPr>
          <w:sz w:val="22"/>
        </w:rPr>
        <w:t>doxorubicinnel</w:t>
      </w:r>
      <w:proofErr w:type="spellEnd"/>
      <w:r>
        <w:rPr>
          <w:sz w:val="22"/>
        </w:rPr>
        <w:t xml:space="preserve"> kombinációban (ADIC protokoll).</w:t>
      </w:r>
    </w:p>
    <w:p w14:paraId="6165D58C" w14:textId="77777777" w:rsidR="00EB654C" w:rsidRDefault="00EB654C">
      <w:pPr>
        <w:ind w:right="-284"/>
        <w:rPr>
          <w:sz w:val="22"/>
          <w:szCs w:val="22"/>
        </w:rPr>
      </w:pPr>
    </w:p>
    <w:p w14:paraId="1ABE4570" w14:textId="3DDAD4D4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-kezelés alatt a vérképet, továbbá a máj- és vesefunkciót rendszeresen </w:t>
      </w:r>
      <w:proofErr w:type="spellStart"/>
      <w:r>
        <w:rPr>
          <w:sz w:val="22"/>
        </w:rPr>
        <w:t>monitorozni</w:t>
      </w:r>
      <w:proofErr w:type="spellEnd"/>
      <w:r>
        <w:rPr>
          <w:sz w:val="22"/>
        </w:rPr>
        <w:t xml:space="preserve"> kell. Mivel gyakran előfordulnak súlyos emésztőrendszeri reakciók, hányáscsillapító és támogató intézkedések alkalmazása javasolt. Mivel súlyos emésztőrendszeri és </w:t>
      </w:r>
      <w:proofErr w:type="spellStart"/>
      <w:r>
        <w:rPr>
          <w:sz w:val="22"/>
        </w:rPr>
        <w:t>haematológiai</w:t>
      </w:r>
      <w:proofErr w:type="spellEnd"/>
      <w:r>
        <w:rPr>
          <w:sz w:val="22"/>
        </w:rPr>
        <w:t xml:space="preserve"> zavarok fordulhatnak elő, minden </w:t>
      </w:r>
      <w:r w:rsidR="00891E41">
        <w:rPr>
          <w:sz w:val="22"/>
        </w:rPr>
        <w:t xml:space="preserve">egyes </w:t>
      </w:r>
      <w:proofErr w:type="spellStart"/>
      <w:r>
        <w:rPr>
          <w:sz w:val="22"/>
        </w:rPr>
        <w:t>dakarbazinnal</w:t>
      </w:r>
      <w:proofErr w:type="spellEnd"/>
      <w:r>
        <w:rPr>
          <w:sz w:val="22"/>
        </w:rPr>
        <w:t xml:space="preserve"> végzett kezelés</w:t>
      </w:r>
      <w:r w:rsidR="00174C05">
        <w:rPr>
          <w:sz w:val="22"/>
        </w:rPr>
        <w:t>i ciklus</w:t>
      </w:r>
      <w:r>
        <w:rPr>
          <w:sz w:val="22"/>
        </w:rPr>
        <w:t xml:space="preserve"> előtt rendkívül gondos előny-kockázat elemzést kell végezni.</w:t>
      </w:r>
    </w:p>
    <w:p w14:paraId="107A8A8B" w14:textId="77777777" w:rsidR="00EB654C" w:rsidRDefault="00EB654C">
      <w:pPr>
        <w:ind w:right="-284"/>
        <w:rPr>
          <w:sz w:val="22"/>
          <w:szCs w:val="22"/>
        </w:rPr>
      </w:pPr>
    </w:p>
    <w:p w14:paraId="4821BA75" w14:textId="77777777" w:rsidR="00EB654C" w:rsidRDefault="00C651E7">
      <w:pPr>
        <w:ind w:right="-284"/>
        <w:rPr>
          <w:i/>
          <w:sz w:val="22"/>
          <w:szCs w:val="22"/>
        </w:rPr>
      </w:pPr>
      <w:r w:rsidRPr="00362505">
        <w:rPr>
          <w:i/>
          <w:sz w:val="22"/>
        </w:rPr>
        <w:t>A kezelés időtartama</w:t>
      </w:r>
    </w:p>
    <w:p w14:paraId="50FAEAAD" w14:textId="76149189" w:rsidR="00EB654C" w:rsidRDefault="00C651E7">
      <w:pPr>
        <w:ind w:right="-285"/>
        <w:rPr>
          <w:sz w:val="22"/>
          <w:szCs w:val="22"/>
        </w:rPr>
      </w:pPr>
      <w:r>
        <w:rPr>
          <w:sz w:val="22"/>
        </w:rPr>
        <w:t xml:space="preserve">A kezelőorvosnak egyénenként kell döntenie a kezelés időtartamáról, tekintetbe véve az alapbetegség típusát és stádiumát, az alkalmazott kombinációs terápiát, valamint 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által kiváltott terápiás választ és nemkívánatos hatásokat. Előrehaladott </w:t>
      </w:r>
      <w:proofErr w:type="spellStart"/>
      <w:r>
        <w:rPr>
          <w:sz w:val="22"/>
        </w:rPr>
        <w:t>Hodgkin</w:t>
      </w:r>
      <w:proofErr w:type="spellEnd"/>
      <w:r>
        <w:rPr>
          <w:sz w:val="22"/>
        </w:rPr>
        <w:t xml:space="preserve">-kór esetén a szokásos ajánlás 6 ciklus alkalmazása az ABVD protokollból. Áttétes rosszindulatú </w:t>
      </w:r>
      <w:proofErr w:type="spellStart"/>
      <w:r>
        <w:rPr>
          <w:sz w:val="22"/>
        </w:rPr>
        <w:t>melanoma</w:t>
      </w:r>
      <w:proofErr w:type="spellEnd"/>
      <w:r>
        <w:rPr>
          <w:sz w:val="22"/>
        </w:rPr>
        <w:t xml:space="preserve"> és előrehaladott lágyrész</w:t>
      </w:r>
      <w:r w:rsidR="00362505">
        <w:rPr>
          <w:sz w:val="22"/>
        </w:rPr>
        <w:t>-</w:t>
      </w:r>
      <w:proofErr w:type="spellStart"/>
      <w:r>
        <w:rPr>
          <w:sz w:val="22"/>
        </w:rPr>
        <w:t>sarcoma</w:t>
      </w:r>
      <w:proofErr w:type="spellEnd"/>
      <w:r>
        <w:rPr>
          <w:sz w:val="22"/>
        </w:rPr>
        <w:t xml:space="preserve"> esetén a kezelés időtartama az egyéni hatásosságtól és toleranciától függ.</w:t>
      </w:r>
    </w:p>
    <w:p w14:paraId="4509D653" w14:textId="77777777" w:rsidR="00EB654C" w:rsidRDefault="00EB654C">
      <w:pPr>
        <w:ind w:right="-285"/>
        <w:rPr>
          <w:sz w:val="22"/>
          <w:szCs w:val="22"/>
        </w:rPr>
      </w:pPr>
    </w:p>
    <w:p w14:paraId="25700213" w14:textId="77777777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r>
        <w:rPr>
          <w:i/>
          <w:sz w:val="22"/>
        </w:rPr>
        <w:t>Vese- és/vagy májkárosodás</w:t>
      </w:r>
    </w:p>
    <w:p w14:paraId="550C5729" w14:textId="77777777" w:rsidR="00EB654C" w:rsidRDefault="00C651E7">
      <w:pPr>
        <w:ind w:right="-285"/>
        <w:rPr>
          <w:sz w:val="22"/>
          <w:szCs w:val="22"/>
        </w:rPr>
      </w:pPr>
      <w:r>
        <w:rPr>
          <w:sz w:val="22"/>
        </w:rPr>
        <w:t xml:space="preserve">Ha enyhe vagy mérsékelt vese- vagy májkárosodás áll fenn önmagában, általában nem szükséges a dózis csökkentése. Kombinált vese- és májkárosodással élő betegek esetében 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eliminációja meghosszabbodik. Jelenleg azonban nem lehet a dózis csökkentésére vonatkozóan jóváhagyott ajánlást adni.</w:t>
      </w:r>
    </w:p>
    <w:p w14:paraId="5578ABF1" w14:textId="77777777" w:rsidR="00EB654C" w:rsidRDefault="00EB654C">
      <w:pPr>
        <w:rPr>
          <w:i/>
          <w:sz w:val="22"/>
          <w:szCs w:val="22"/>
        </w:rPr>
      </w:pPr>
    </w:p>
    <w:p w14:paraId="1169138C" w14:textId="77777777" w:rsidR="00EB654C" w:rsidRDefault="00C651E7">
      <w:pPr>
        <w:rPr>
          <w:sz w:val="22"/>
          <w:szCs w:val="22"/>
        </w:rPr>
      </w:pPr>
      <w:r>
        <w:rPr>
          <w:i/>
          <w:sz w:val="22"/>
        </w:rPr>
        <w:t>Idősek</w:t>
      </w:r>
    </w:p>
    <w:p w14:paraId="071F90EB" w14:textId="77777777" w:rsidR="00EB654C" w:rsidRDefault="00C651E7">
      <w:pPr>
        <w:ind w:right="-285"/>
        <w:rPr>
          <w:sz w:val="22"/>
          <w:szCs w:val="22"/>
        </w:rPr>
      </w:pPr>
      <w:r>
        <w:rPr>
          <w:sz w:val="22"/>
        </w:rPr>
        <w:t>Mivel idősek esetén csak korlátozott tapasztalat áll rendelkezésre, az időseknél történő alkalmazásra vonatkozóan nincsenek speciális utasítások.</w:t>
      </w:r>
    </w:p>
    <w:p w14:paraId="61073D8B" w14:textId="77777777" w:rsidR="00EB654C" w:rsidRDefault="00EB654C">
      <w:pPr>
        <w:ind w:right="-285"/>
        <w:rPr>
          <w:sz w:val="22"/>
          <w:szCs w:val="22"/>
        </w:rPr>
      </w:pPr>
    </w:p>
    <w:p w14:paraId="6DD0E3D8" w14:textId="77777777" w:rsidR="00EB654C" w:rsidRDefault="00C651E7">
      <w:pPr>
        <w:pStyle w:val="Szvegblokk"/>
        <w:tabs>
          <w:tab w:val="clear" w:pos="-4297"/>
          <w:tab w:val="clear" w:pos="-2713"/>
          <w:tab w:val="clear" w:pos="1355"/>
          <w:tab w:val="clear" w:pos="2183"/>
        </w:tabs>
        <w:ind w:left="0"/>
        <w:jc w:val="left"/>
        <w:rPr>
          <w:rFonts w:ascii="Times New Roman" w:hAnsi="Times New Roman"/>
          <w:i/>
          <w:spacing w:val="0"/>
          <w:sz w:val="22"/>
          <w:szCs w:val="22"/>
        </w:rPr>
      </w:pPr>
      <w:r>
        <w:rPr>
          <w:rFonts w:ascii="Times New Roman" w:hAnsi="Times New Roman"/>
          <w:i/>
          <w:sz w:val="22"/>
        </w:rPr>
        <w:t>Gyermekek és serdülők</w:t>
      </w:r>
    </w:p>
    <w:p w14:paraId="01C1DA52" w14:textId="67A190BD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biztonságosságát és hatásosságát &lt;15 éves gyermekek és serdülők esetében nem igazolták. Nem tehetők különleges javaslatok 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gyermekeknél és serdülőknél történő alkalmazására vonatkozóan, amíg további adatok nem válnak elérhetővé.</w:t>
      </w:r>
    </w:p>
    <w:p w14:paraId="04E13138" w14:textId="77777777" w:rsidR="00EB654C" w:rsidRDefault="00EB654C">
      <w:pPr>
        <w:ind w:right="-284"/>
        <w:rPr>
          <w:sz w:val="22"/>
          <w:szCs w:val="22"/>
        </w:rPr>
      </w:pPr>
    </w:p>
    <w:p w14:paraId="4E29D204" w14:textId="77777777" w:rsidR="00EB654C" w:rsidRDefault="00C651E7">
      <w:pPr>
        <w:rPr>
          <w:sz w:val="22"/>
          <w:szCs w:val="22"/>
          <w:u w:val="single"/>
        </w:rPr>
      </w:pPr>
      <w:r>
        <w:rPr>
          <w:sz w:val="22"/>
          <w:u w:val="single"/>
        </w:rPr>
        <w:t>Az alkalmazás módja</w:t>
      </w:r>
    </w:p>
    <w:p w14:paraId="356AB56B" w14:textId="77777777" w:rsidR="00EB654C" w:rsidRDefault="00C651E7">
      <w:pPr>
        <w:tabs>
          <w:tab w:val="left" w:pos="0"/>
        </w:tabs>
        <w:ind w:right="-284"/>
        <w:rPr>
          <w:sz w:val="22"/>
          <w:szCs w:val="22"/>
        </w:rPr>
      </w:pPr>
      <w:r>
        <w:rPr>
          <w:i/>
          <w:sz w:val="22"/>
        </w:rPr>
        <w:t>Óvintézkedések a gyógyszer kezelése vagy beadása előtt</w:t>
      </w:r>
    </w:p>
    <w:p w14:paraId="59BE897C" w14:textId="77777777" w:rsidR="00EB654C" w:rsidRDefault="00C651E7">
      <w:pPr>
        <w:pStyle w:val="Szvegblokk"/>
        <w:ind w:left="0"/>
        <w:jc w:val="left"/>
        <w:rPr>
          <w:rFonts w:ascii="Times New Roman" w:hAnsi="Times New Roman"/>
          <w:spacing w:val="0"/>
          <w:sz w:val="22"/>
          <w:szCs w:val="22"/>
        </w:rPr>
      </w:pPr>
      <w:r>
        <w:rPr>
          <w:rFonts w:ascii="Times New Roman" w:hAnsi="Times New Roman"/>
          <w:sz w:val="22"/>
        </w:rPr>
        <w:t xml:space="preserve">A </w:t>
      </w:r>
      <w:proofErr w:type="spellStart"/>
      <w:r>
        <w:rPr>
          <w:rFonts w:ascii="Times New Roman" w:hAnsi="Times New Roman"/>
          <w:sz w:val="22"/>
        </w:rPr>
        <w:t>dakarbazin</w:t>
      </w:r>
      <w:proofErr w:type="spellEnd"/>
      <w:r>
        <w:rPr>
          <w:rFonts w:ascii="Times New Roman" w:hAnsi="Times New Roman"/>
          <w:sz w:val="22"/>
        </w:rPr>
        <w:t xml:space="preserve"> érzékeny a fényexpozícióra. Minden elkészített oldatot megfelelően védeni kell a fénytől, a beadás ideje alatt is (fényálló infúziós szerelék). Óvatosan kell végezni az injekció/infúzió beadását, hogy elkerülhető legyen a szövetekbe történő </w:t>
      </w:r>
      <w:proofErr w:type="spellStart"/>
      <w:r>
        <w:rPr>
          <w:rFonts w:ascii="Times New Roman" w:hAnsi="Times New Roman"/>
          <w:sz w:val="22"/>
        </w:rPr>
        <w:t>extravasatio</w:t>
      </w:r>
      <w:proofErr w:type="spellEnd"/>
      <w:r>
        <w:rPr>
          <w:rFonts w:ascii="Times New Roman" w:hAnsi="Times New Roman"/>
          <w:sz w:val="22"/>
        </w:rPr>
        <w:t xml:space="preserve">, mivel ez helyi fájdalmat és szövetkárosodást okoz. Ha </w:t>
      </w:r>
      <w:proofErr w:type="spellStart"/>
      <w:r>
        <w:rPr>
          <w:rFonts w:ascii="Times New Roman" w:hAnsi="Times New Roman"/>
          <w:sz w:val="22"/>
        </w:rPr>
        <w:t>extravasatio</w:t>
      </w:r>
      <w:proofErr w:type="spellEnd"/>
      <w:r>
        <w:rPr>
          <w:rFonts w:ascii="Times New Roman" w:hAnsi="Times New Roman"/>
          <w:sz w:val="22"/>
        </w:rPr>
        <w:t xml:space="preserve"> történik, az injekció/infúzió beadását azonnal fel kell függeszteni és a dózis fennmaradt részét egy másik vénába kell beadni.</w:t>
      </w:r>
    </w:p>
    <w:p w14:paraId="7DAD3C0D" w14:textId="77777777" w:rsidR="00EB654C" w:rsidRDefault="00C651E7">
      <w:pPr>
        <w:pStyle w:val="Szvegblokk"/>
        <w:ind w:left="0"/>
        <w:jc w:val="left"/>
        <w:rPr>
          <w:rFonts w:ascii="Times New Roman" w:hAnsi="Times New Roman"/>
          <w:spacing w:val="0"/>
          <w:sz w:val="22"/>
          <w:szCs w:val="22"/>
        </w:rPr>
      </w:pPr>
      <w:r>
        <w:rPr>
          <w:rFonts w:ascii="Times New Roman" w:hAnsi="Times New Roman"/>
          <w:sz w:val="22"/>
        </w:rPr>
        <w:t xml:space="preserve">Javasolt a </w:t>
      </w:r>
      <w:proofErr w:type="spellStart"/>
      <w:r>
        <w:rPr>
          <w:rFonts w:ascii="Times New Roman" w:hAnsi="Times New Roman"/>
          <w:sz w:val="22"/>
        </w:rPr>
        <w:t>dakarbazin</w:t>
      </w:r>
      <w:proofErr w:type="spellEnd"/>
      <w:r>
        <w:rPr>
          <w:rFonts w:ascii="Times New Roman" w:hAnsi="Times New Roman"/>
          <w:sz w:val="22"/>
        </w:rPr>
        <w:t xml:space="preserve"> beadása előtt kerülni az étkezést, hogy a hányinger és hányás ne legyen súlyos. A váladékokat és a </w:t>
      </w:r>
      <w:proofErr w:type="gramStart"/>
      <w:r>
        <w:rPr>
          <w:rFonts w:ascii="Times New Roman" w:hAnsi="Times New Roman"/>
          <w:sz w:val="22"/>
        </w:rPr>
        <w:t>hányadékot</w:t>
      </w:r>
      <w:proofErr w:type="gramEnd"/>
      <w:r>
        <w:rPr>
          <w:rFonts w:ascii="Times New Roman" w:hAnsi="Times New Roman"/>
          <w:sz w:val="22"/>
        </w:rPr>
        <w:t xml:space="preserve"> óvatosan kell kezelni.</w:t>
      </w:r>
    </w:p>
    <w:p w14:paraId="79E5AF09" w14:textId="77777777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r>
        <w:rPr>
          <w:sz w:val="22"/>
        </w:rPr>
        <w:t>A gyógyszer alkalmazás előtti feloldására vonatkozó utasításokat lásd a 6.6 pontban.</w:t>
      </w:r>
    </w:p>
    <w:p w14:paraId="7B78F742" w14:textId="77777777" w:rsidR="00EB654C" w:rsidRDefault="00EB654C">
      <w:pPr>
        <w:rPr>
          <w:b/>
          <w:sz w:val="22"/>
          <w:szCs w:val="22"/>
          <w:lang w:eastAsia="en-US"/>
        </w:rPr>
      </w:pPr>
    </w:p>
    <w:p w14:paraId="6AB29D14" w14:textId="77777777" w:rsidR="00EB654C" w:rsidRDefault="00C651E7">
      <w:pPr>
        <w:ind w:right="-284"/>
        <w:rPr>
          <w:i/>
          <w:sz w:val="22"/>
          <w:szCs w:val="22"/>
        </w:rPr>
      </w:pPr>
      <w:r>
        <w:rPr>
          <w:i/>
          <w:sz w:val="22"/>
        </w:rPr>
        <w:t>A beadás sebessége</w:t>
      </w:r>
    </w:p>
    <w:p w14:paraId="6140FD14" w14:textId="77777777" w:rsidR="00EB654C" w:rsidRDefault="00C651E7">
      <w:pPr>
        <w:tabs>
          <w:tab w:val="left" w:pos="-4297"/>
          <w:tab w:val="left" w:pos="-2713"/>
          <w:tab w:val="left" w:pos="1355"/>
          <w:tab w:val="left" w:pos="1701"/>
          <w:tab w:val="left" w:pos="2183"/>
        </w:tabs>
        <w:ind w:right="-285"/>
        <w:rPr>
          <w:sz w:val="22"/>
          <w:szCs w:val="22"/>
        </w:rPr>
      </w:pPr>
      <w:r>
        <w:rPr>
          <w:sz w:val="22"/>
        </w:rPr>
        <w:t>A 200 mg/m²-nél kisebb dózisok beadhatók lassú intravénás injekcióként. Nagyobb (200 és 850 mg/m² közötti) dózisokat intravénás infúzióként kell beadni 15–30 perc alatt.</w:t>
      </w:r>
    </w:p>
    <w:p w14:paraId="1539C8ED" w14:textId="77777777" w:rsidR="00EB654C" w:rsidRDefault="00EB654C">
      <w:pPr>
        <w:tabs>
          <w:tab w:val="left" w:pos="-4297"/>
          <w:tab w:val="left" w:pos="-2713"/>
          <w:tab w:val="left" w:pos="1355"/>
          <w:tab w:val="left" w:pos="1701"/>
          <w:tab w:val="left" w:pos="2183"/>
        </w:tabs>
        <w:ind w:right="-285"/>
        <w:rPr>
          <w:sz w:val="22"/>
          <w:szCs w:val="22"/>
        </w:rPr>
      </w:pPr>
    </w:p>
    <w:p w14:paraId="64DDEBB6" w14:textId="77777777" w:rsidR="00EB654C" w:rsidRDefault="00C651E7">
      <w:pPr>
        <w:tabs>
          <w:tab w:val="left" w:pos="-4297"/>
          <w:tab w:val="left" w:pos="-2713"/>
          <w:tab w:val="left" w:pos="1355"/>
          <w:tab w:val="left" w:pos="1701"/>
          <w:tab w:val="left" w:pos="2183"/>
        </w:tabs>
        <w:ind w:right="-285"/>
        <w:rPr>
          <w:sz w:val="22"/>
          <w:szCs w:val="22"/>
        </w:rPr>
      </w:pPr>
      <w:r>
        <w:rPr>
          <w:sz w:val="22"/>
        </w:rPr>
        <w:t>Javasolt először a véna átjárhatóságának ellenőrzése 5–10 ml 0,9%</w:t>
      </w:r>
      <w:r>
        <w:rPr>
          <w:sz w:val="22"/>
        </w:rPr>
        <w:noBreakHyphen/>
      </w:r>
      <w:proofErr w:type="spellStart"/>
      <w:r>
        <w:rPr>
          <w:sz w:val="22"/>
        </w:rPr>
        <w:t>os</w:t>
      </w:r>
      <w:proofErr w:type="spellEnd"/>
      <w:r>
        <w:rPr>
          <w:sz w:val="22"/>
        </w:rPr>
        <w:t xml:space="preserve"> nátrium-kloridos vagy 5%</w:t>
      </w:r>
      <w:r>
        <w:rPr>
          <w:sz w:val="22"/>
        </w:rPr>
        <w:noBreakHyphen/>
      </w:r>
      <w:proofErr w:type="spellStart"/>
      <w:r>
        <w:rPr>
          <w:sz w:val="22"/>
        </w:rPr>
        <w:t>os</w:t>
      </w:r>
      <w:proofErr w:type="spellEnd"/>
      <w:r>
        <w:rPr>
          <w:sz w:val="22"/>
        </w:rPr>
        <w:t xml:space="preserve"> glükózos infúziós oldattal. Az infúziót követően ugyanezen </w:t>
      </w:r>
      <w:proofErr w:type="spellStart"/>
      <w:r>
        <w:rPr>
          <w:sz w:val="22"/>
        </w:rPr>
        <w:t>oldatokat</w:t>
      </w:r>
      <w:proofErr w:type="spellEnd"/>
      <w:r>
        <w:rPr>
          <w:sz w:val="22"/>
        </w:rPr>
        <w:t xml:space="preserve"> kell használni a maradék gyógyszer infúziós csőből történő kiöblítésére is.</w:t>
      </w:r>
    </w:p>
    <w:p w14:paraId="30A88720" w14:textId="77777777" w:rsidR="00EB654C" w:rsidRDefault="00EB654C">
      <w:pPr>
        <w:ind w:right="-284"/>
        <w:rPr>
          <w:sz w:val="22"/>
          <w:szCs w:val="22"/>
        </w:rPr>
      </w:pPr>
    </w:p>
    <w:p w14:paraId="4C54A094" w14:textId="2F9554D2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>Injekcióhoz való vízzel történő elkészítés után, és 0,9%</w:t>
      </w:r>
      <w:r>
        <w:rPr>
          <w:sz w:val="22"/>
        </w:rPr>
        <w:noBreakHyphen/>
      </w:r>
      <w:proofErr w:type="spellStart"/>
      <w:r>
        <w:rPr>
          <w:sz w:val="22"/>
        </w:rPr>
        <w:t>os</w:t>
      </w:r>
      <w:proofErr w:type="spellEnd"/>
      <w:r>
        <w:rPr>
          <w:sz w:val="22"/>
        </w:rPr>
        <w:t xml:space="preserve"> nátrium-kloridos vagy 5%</w:t>
      </w:r>
      <w:r>
        <w:rPr>
          <w:sz w:val="22"/>
        </w:rPr>
        <w:noBreakHyphen/>
      </w:r>
      <w:proofErr w:type="spellStart"/>
      <w:r>
        <w:rPr>
          <w:sz w:val="22"/>
        </w:rPr>
        <w:t>os</w:t>
      </w:r>
      <w:proofErr w:type="spellEnd"/>
      <w:r>
        <w:rPr>
          <w:sz w:val="22"/>
        </w:rPr>
        <w:t xml:space="preserve"> glükózos infúziós oldattal való további hígítás nélkül a 100 mg</w:t>
      </w:r>
      <w:r>
        <w:rPr>
          <w:sz w:val="22"/>
        </w:rPr>
        <w:noBreakHyphen/>
      </w:r>
      <w:proofErr w:type="spellStart"/>
      <w:r>
        <w:rPr>
          <w:sz w:val="22"/>
        </w:rPr>
        <w:t>os</w:t>
      </w:r>
      <w:proofErr w:type="spellEnd"/>
      <w:r>
        <w:rPr>
          <w:sz w:val="22"/>
        </w:rPr>
        <w:t xml:space="preserve"> és 200 mg</w:t>
      </w:r>
      <w:r>
        <w:rPr>
          <w:sz w:val="22"/>
        </w:rPr>
        <w:noBreakHyphen/>
      </w:r>
      <w:proofErr w:type="spellStart"/>
      <w:r>
        <w:rPr>
          <w:sz w:val="22"/>
        </w:rPr>
        <w:t>os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noBreakHyphen/>
        <w:t xml:space="preserve">készítmény </w:t>
      </w:r>
      <w:proofErr w:type="spellStart"/>
      <w:r>
        <w:rPr>
          <w:sz w:val="22"/>
        </w:rPr>
        <w:t>hipoozmoláris</w:t>
      </w:r>
      <w:proofErr w:type="spellEnd"/>
      <w:r>
        <w:rPr>
          <w:sz w:val="22"/>
        </w:rPr>
        <w:t xml:space="preserve"> (kb. 100 </w:t>
      </w:r>
      <w:proofErr w:type="spellStart"/>
      <w:r>
        <w:rPr>
          <w:sz w:val="22"/>
        </w:rPr>
        <w:t>mOsmol</w:t>
      </w:r>
      <w:proofErr w:type="spellEnd"/>
      <w:r>
        <w:rPr>
          <w:sz w:val="22"/>
        </w:rPr>
        <w:t>/</w:t>
      </w:r>
      <w:proofErr w:type="spellStart"/>
      <w:r>
        <w:rPr>
          <w:sz w:val="22"/>
        </w:rPr>
        <w:t>ttkg</w:t>
      </w:r>
      <w:proofErr w:type="spellEnd"/>
      <w:r>
        <w:rPr>
          <w:sz w:val="22"/>
        </w:rPr>
        <w:t>), ezért azt lassú intravénás injekcióként kell beadni, p</w:t>
      </w:r>
      <w:r w:rsidR="006210C7">
        <w:rPr>
          <w:sz w:val="22"/>
        </w:rPr>
        <w:t>éldául</w:t>
      </w:r>
      <w:r>
        <w:rPr>
          <w:sz w:val="22"/>
        </w:rPr>
        <w:t> 1 perc alatt, és nem gyors iv. </w:t>
      </w:r>
      <w:proofErr w:type="spellStart"/>
      <w:r>
        <w:rPr>
          <w:sz w:val="22"/>
        </w:rPr>
        <w:t>bolusinjekcióként</w:t>
      </w:r>
      <w:proofErr w:type="spellEnd"/>
      <w:r>
        <w:rPr>
          <w:sz w:val="22"/>
        </w:rPr>
        <w:t xml:space="preserve"> néhány másodperc alatt.</w:t>
      </w:r>
    </w:p>
    <w:p w14:paraId="65A13251" w14:textId="77777777" w:rsidR="00EB654C" w:rsidRDefault="00EB654C">
      <w:pPr>
        <w:autoSpaceDE w:val="0"/>
        <w:autoSpaceDN w:val="0"/>
        <w:adjustRightInd w:val="0"/>
        <w:rPr>
          <w:sz w:val="22"/>
          <w:szCs w:val="22"/>
        </w:rPr>
      </w:pPr>
    </w:p>
    <w:p w14:paraId="7414447C" w14:textId="77777777" w:rsidR="00EB654C" w:rsidRDefault="00C651E7">
      <w:pPr>
        <w:pStyle w:val="Cmsor2"/>
        <w:spacing w:before="0" w:after="0"/>
        <w:ind w:left="0" w:right="-284" w:firstLine="0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</w:rPr>
        <w:t>4.3</w:t>
      </w:r>
      <w:r>
        <w:rPr>
          <w:rFonts w:ascii="Times New Roman" w:hAnsi="Times New Roman"/>
          <w:i w:val="0"/>
          <w:sz w:val="22"/>
        </w:rPr>
        <w:tab/>
        <w:t>Ellenjavallatok</w:t>
      </w:r>
    </w:p>
    <w:p w14:paraId="48943AF0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79A5E69F" w14:textId="77777777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ellenjavallt az alábbi esetekben:</w:t>
      </w:r>
    </w:p>
    <w:p w14:paraId="6C8D4F01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041CD347" w14:textId="77777777" w:rsidR="00EB654C" w:rsidRDefault="00C651E7">
      <w:pPr>
        <w:tabs>
          <w:tab w:val="left" w:pos="567"/>
        </w:tabs>
        <w:ind w:left="567" w:right="-284" w:hanging="567"/>
        <w:rPr>
          <w:sz w:val="22"/>
          <w:szCs w:val="22"/>
        </w:rPr>
      </w:pPr>
      <w:r>
        <w:rPr>
          <w:sz w:val="22"/>
        </w:rPr>
        <w:t>-</w:t>
      </w:r>
      <w:r>
        <w:rPr>
          <w:sz w:val="22"/>
        </w:rPr>
        <w:tab/>
        <w:t>a készítmény hatóanyagával vagy a 6.1 pontban felsorolt bármely segédanyagával szembeni túlérzékenység,</w:t>
      </w:r>
    </w:p>
    <w:p w14:paraId="60E1EC49" w14:textId="77777777" w:rsidR="00EB654C" w:rsidRDefault="00C651E7">
      <w:pPr>
        <w:tabs>
          <w:tab w:val="left" w:pos="567"/>
        </w:tabs>
        <w:ind w:right="-284"/>
        <w:rPr>
          <w:sz w:val="22"/>
          <w:szCs w:val="22"/>
        </w:rPr>
      </w:pPr>
      <w:r>
        <w:rPr>
          <w:sz w:val="22"/>
        </w:rPr>
        <w:t>-</w:t>
      </w:r>
      <w:r>
        <w:rPr>
          <w:sz w:val="22"/>
        </w:rPr>
        <w:tab/>
        <w:t>terhesség vagy szoptatás (lásd 4.6 pont),</w:t>
      </w:r>
    </w:p>
    <w:p w14:paraId="56328DC7" w14:textId="77777777" w:rsidR="00EB654C" w:rsidRDefault="00C651E7">
      <w:pPr>
        <w:tabs>
          <w:tab w:val="left" w:pos="567"/>
        </w:tabs>
        <w:ind w:right="-284"/>
        <w:rPr>
          <w:sz w:val="22"/>
          <w:szCs w:val="22"/>
        </w:rPr>
      </w:pPr>
      <w:r>
        <w:rPr>
          <w:sz w:val="22"/>
        </w:rPr>
        <w:t>-</w:t>
      </w:r>
      <w:r>
        <w:rPr>
          <w:sz w:val="22"/>
        </w:rPr>
        <w:tab/>
      </w:r>
      <w:proofErr w:type="spellStart"/>
      <w:r>
        <w:rPr>
          <w:sz w:val="22"/>
        </w:rPr>
        <w:t>leukopenia</w:t>
      </w:r>
      <w:proofErr w:type="spellEnd"/>
      <w:r>
        <w:rPr>
          <w:sz w:val="22"/>
        </w:rPr>
        <w:t xml:space="preserve"> és/vagy </w:t>
      </w:r>
      <w:proofErr w:type="spellStart"/>
      <w:r>
        <w:rPr>
          <w:sz w:val="22"/>
        </w:rPr>
        <w:t>thrombocytopenia</w:t>
      </w:r>
      <w:proofErr w:type="spellEnd"/>
      <w:r>
        <w:rPr>
          <w:sz w:val="22"/>
        </w:rPr>
        <w:t>,</w:t>
      </w:r>
    </w:p>
    <w:p w14:paraId="6C75DC4A" w14:textId="77777777" w:rsidR="00EB654C" w:rsidRDefault="00C651E7">
      <w:pPr>
        <w:tabs>
          <w:tab w:val="left" w:pos="567"/>
        </w:tabs>
        <w:ind w:right="-284"/>
        <w:rPr>
          <w:sz w:val="22"/>
          <w:szCs w:val="22"/>
        </w:rPr>
      </w:pPr>
      <w:r>
        <w:rPr>
          <w:sz w:val="22"/>
        </w:rPr>
        <w:t>-</w:t>
      </w:r>
      <w:r>
        <w:rPr>
          <w:sz w:val="22"/>
        </w:rPr>
        <w:tab/>
        <w:t>súlyos máj- vagy vesebetegség,</w:t>
      </w:r>
    </w:p>
    <w:p w14:paraId="0090EA4A" w14:textId="77777777" w:rsidR="00EB654C" w:rsidRDefault="00C651E7">
      <w:pPr>
        <w:tabs>
          <w:tab w:val="left" w:pos="567"/>
        </w:tabs>
        <w:ind w:right="-284"/>
        <w:rPr>
          <w:sz w:val="22"/>
          <w:szCs w:val="22"/>
        </w:rPr>
      </w:pPr>
      <w:r>
        <w:rPr>
          <w:sz w:val="22"/>
        </w:rPr>
        <w:t>-</w:t>
      </w:r>
      <w:r>
        <w:rPr>
          <w:sz w:val="22"/>
        </w:rPr>
        <w:tab/>
        <w:t xml:space="preserve">sárgaláz elleni vakcinával vagy </w:t>
      </w:r>
      <w:proofErr w:type="spellStart"/>
      <w:r>
        <w:rPr>
          <w:sz w:val="22"/>
        </w:rPr>
        <w:t>fotemusztinnal</w:t>
      </w:r>
      <w:proofErr w:type="spellEnd"/>
      <w:r>
        <w:rPr>
          <w:sz w:val="22"/>
        </w:rPr>
        <w:t xml:space="preserve"> történő együttes alkalmazás (lásd 4.5 pont).</w:t>
      </w:r>
    </w:p>
    <w:p w14:paraId="5278BF78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7D564D56" w14:textId="77777777" w:rsidR="00EB654C" w:rsidRDefault="00C651E7">
      <w:pPr>
        <w:pStyle w:val="Cmsor2"/>
        <w:spacing w:before="0" w:after="0"/>
        <w:ind w:left="0" w:right="-284" w:firstLine="0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</w:rPr>
        <w:t>4.4</w:t>
      </w:r>
      <w:r>
        <w:rPr>
          <w:rFonts w:ascii="Times New Roman" w:hAnsi="Times New Roman"/>
          <w:i w:val="0"/>
          <w:sz w:val="22"/>
        </w:rPr>
        <w:tab/>
        <w:t>Különleges figyelmeztetések és az alkalmazással kapcsolatos óvintézkedések</w:t>
      </w:r>
    </w:p>
    <w:p w14:paraId="72E1D360" w14:textId="77777777" w:rsidR="00EB654C" w:rsidRDefault="00EB654C">
      <w:pPr>
        <w:ind w:right="-284"/>
        <w:rPr>
          <w:sz w:val="22"/>
          <w:szCs w:val="22"/>
        </w:rPr>
      </w:pPr>
    </w:p>
    <w:p w14:paraId="5C7702E2" w14:textId="30BA4C82" w:rsidR="00EB654C" w:rsidRDefault="00C651E7">
      <w:pPr>
        <w:ind w:right="-285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beadása feltétlenül onkológus szakorvos felügyelete mellett javasolt</w:t>
      </w:r>
      <w:r w:rsidR="007A699B">
        <w:rPr>
          <w:sz w:val="22"/>
        </w:rPr>
        <w:t>,</w:t>
      </w:r>
      <w:r>
        <w:rPr>
          <w:sz w:val="22"/>
        </w:rPr>
        <w:t xml:space="preserve"> olyan létesítményben, ahol rendelkezésre állnak az eszközök a klinikai, biokémiai és hematológiai hatások rendszeres terápia alatti és utáni ellenőrzéséhez.</w:t>
      </w:r>
    </w:p>
    <w:p w14:paraId="5CB67F6D" w14:textId="77777777" w:rsidR="00EB654C" w:rsidRDefault="00EB654C">
      <w:pPr>
        <w:ind w:right="-284"/>
        <w:rPr>
          <w:sz w:val="22"/>
          <w:szCs w:val="22"/>
        </w:rPr>
      </w:pPr>
    </w:p>
    <w:p w14:paraId="604364F1" w14:textId="55ABC0E2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 xml:space="preserve">Ha a máj- vagy a </w:t>
      </w:r>
      <w:r w:rsidR="00D9548C">
        <w:rPr>
          <w:sz w:val="22"/>
        </w:rPr>
        <w:t>vesekárosodás</w:t>
      </w:r>
      <w:r>
        <w:rPr>
          <w:sz w:val="22"/>
        </w:rPr>
        <w:t xml:space="preserve"> tünetei vagy túlérzékenységi reakció tünetei figyelhetők meg, a terápiát azonnal meg kell szakítani. Ha </w:t>
      </w:r>
      <w:proofErr w:type="spellStart"/>
      <w:r>
        <w:rPr>
          <w:sz w:val="22"/>
        </w:rPr>
        <w:t>venoocclusiv</w:t>
      </w:r>
      <w:proofErr w:type="spellEnd"/>
      <w:r>
        <w:rPr>
          <w:sz w:val="22"/>
        </w:rPr>
        <w:t xml:space="preserve"> májbetegség lép fel, a további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>-terápia ellenjavallt.</w:t>
      </w:r>
    </w:p>
    <w:p w14:paraId="1484646B" w14:textId="77777777" w:rsidR="00EB654C" w:rsidRDefault="00EB654C">
      <w:pPr>
        <w:ind w:right="-284"/>
        <w:rPr>
          <w:sz w:val="22"/>
          <w:szCs w:val="22"/>
        </w:rPr>
      </w:pPr>
    </w:p>
    <w:p w14:paraId="360D21CE" w14:textId="07E272DB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 xml:space="preserve">Megjegyzés: A felelős kezelőorvosnak tudatában kell lennie a terápia alatt az </w:t>
      </w:r>
      <w:proofErr w:type="spellStart"/>
      <w:r>
        <w:rPr>
          <w:sz w:val="22"/>
        </w:rPr>
        <w:t>intrahepaticus</w:t>
      </w:r>
      <w:proofErr w:type="spellEnd"/>
      <w:r>
        <w:rPr>
          <w:sz w:val="22"/>
        </w:rPr>
        <w:t xml:space="preserve"> vénák elzáródása miatti </w:t>
      </w:r>
      <w:proofErr w:type="spellStart"/>
      <w:r>
        <w:rPr>
          <w:sz w:val="22"/>
        </w:rPr>
        <w:t>májnecrosisból</w:t>
      </w:r>
      <w:proofErr w:type="spellEnd"/>
      <w:r>
        <w:rPr>
          <w:sz w:val="22"/>
        </w:rPr>
        <w:t xml:space="preserve"> eredő, ritkán megfigyelt, súlyos szövődményeknek. Emiatt különösen fontos rendszeresen ellenőrizni a máj méretét, működését és a vérsejtszámokat (különösen az </w:t>
      </w:r>
      <w:proofErr w:type="spellStart"/>
      <w:r>
        <w:rPr>
          <w:sz w:val="22"/>
        </w:rPr>
        <w:t>eosinophilek</w:t>
      </w:r>
      <w:r w:rsidR="00711409">
        <w:rPr>
          <w:sz w:val="22"/>
        </w:rPr>
        <w:t>é</w:t>
      </w:r>
      <w:r>
        <w:rPr>
          <w:sz w:val="22"/>
        </w:rPr>
        <w:t>t</w:t>
      </w:r>
      <w:proofErr w:type="spellEnd"/>
      <w:r>
        <w:rPr>
          <w:sz w:val="22"/>
        </w:rPr>
        <w:t xml:space="preserve">). Feltételezett </w:t>
      </w:r>
      <w:proofErr w:type="spellStart"/>
      <w:r>
        <w:rPr>
          <w:sz w:val="22"/>
        </w:rPr>
        <w:t>venoocclusiv</w:t>
      </w:r>
      <w:proofErr w:type="spellEnd"/>
      <w:r>
        <w:rPr>
          <w:sz w:val="22"/>
        </w:rPr>
        <w:t xml:space="preserve"> megbetegedés egyedi eseteiben a </w:t>
      </w:r>
      <w:proofErr w:type="spellStart"/>
      <w:r>
        <w:rPr>
          <w:sz w:val="22"/>
        </w:rPr>
        <w:t>fibrinolitikus</w:t>
      </w:r>
      <w:proofErr w:type="spellEnd"/>
      <w:r>
        <w:rPr>
          <w:sz w:val="22"/>
        </w:rPr>
        <w:t xml:space="preserve"> szerekkel (p</w:t>
      </w:r>
      <w:r w:rsidR="00711409">
        <w:rPr>
          <w:sz w:val="22"/>
        </w:rPr>
        <w:t>éldául</w:t>
      </w:r>
      <w:r>
        <w:rPr>
          <w:sz w:val="22"/>
        </w:rPr>
        <w:t> </w:t>
      </w:r>
      <w:proofErr w:type="spellStart"/>
      <w:r>
        <w:rPr>
          <w:sz w:val="22"/>
        </w:rPr>
        <w:t>heparinnal</w:t>
      </w:r>
      <w:proofErr w:type="spellEnd"/>
      <w:r>
        <w:rPr>
          <w:sz w:val="22"/>
        </w:rPr>
        <w:t xml:space="preserve"> vagy szöveti </w:t>
      </w:r>
      <w:proofErr w:type="spellStart"/>
      <w:r>
        <w:rPr>
          <w:sz w:val="22"/>
        </w:rPr>
        <w:t>plazminogénaktivátorral</w:t>
      </w:r>
      <w:proofErr w:type="spellEnd"/>
      <w:r>
        <w:rPr>
          <w:sz w:val="22"/>
        </w:rPr>
        <w:t xml:space="preserve">) együtt vagy azok nélkül adott nagy dózisú </w:t>
      </w:r>
      <w:proofErr w:type="spellStart"/>
      <w:r>
        <w:rPr>
          <w:sz w:val="22"/>
        </w:rPr>
        <w:t>kortikoszteroiddal</w:t>
      </w:r>
      <w:proofErr w:type="spellEnd"/>
      <w:r>
        <w:rPr>
          <w:sz w:val="22"/>
        </w:rPr>
        <w:t xml:space="preserve"> (p</w:t>
      </w:r>
      <w:r w:rsidR="00711409">
        <w:rPr>
          <w:sz w:val="22"/>
        </w:rPr>
        <w:t>éldául</w:t>
      </w:r>
      <w:r>
        <w:rPr>
          <w:sz w:val="22"/>
        </w:rPr>
        <w:t> napi 300 mg hidrokortizon) végzett kezelés sikeresnek bizonyult (lásd 4.8 pont).</w:t>
      </w:r>
    </w:p>
    <w:p w14:paraId="30D6B9DF" w14:textId="77777777" w:rsidR="00EB654C" w:rsidRDefault="00EB654C">
      <w:pPr>
        <w:ind w:right="-284"/>
        <w:rPr>
          <w:sz w:val="22"/>
          <w:szCs w:val="22"/>
        </w:rPr>
      </w:pPr>
    </w:p>
    <w:p w14:paraId="38A57847" w14:textId="155CFEFF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 xml:space="preserve">A hosszú távú terápia kumulatív csontvelő-toxicitást okozhat. Az esetleges csontvelő-depresszió a vörösvértestek és fehérvérsejtek, illetve a </w:t>
      </w:r>
      <w:proofErr w:type="spellStart"/>
      <w:r>
        <w:rPr>
          <w:sz w:val="22"/>
        </w:rPr>
        <w:t>thrombocyták</w:t>
      </w:r>
      <w:proofErr w:type="spellEnd"/>
      <w:r>
        <w:rPr>
          <w:sz w:val="22"/>
        </w:rPr>
        <w:t xml:space="preserve"> gondos </w:t>
      </w:r>
      <w:proofErr w:type="spellStart"/>
      <w:r>
        <w:rPr>
          <w:sz w:val="22"/>
        </w:rPr>
        <w:t>monitorozását</w:t>
      </w:r>
      <w:proofErr w:type="spellEnd"/>
      <w:r>
        <w:rPr>
          <w:sz w:val="22"/>
        </w:rPr>
        <w:t xml:space="preserve"> teszi szükségessé. A </w:t>
      </w:r>
      <w:proofErr w:type="spellStart"/>
      <w:r w:rsidR="00711409">
        <w:rPr>
          <w:sz w:val="22"/>
        </w:rPr>
        <w:t>hemopoetikus</w:t>
      </w:r>
      <w:proofErr w:type="spellEnd"/>
      <w:r w:rsidR="00711409">
        <w:rPr>
          <w:sz w:val="22"/>
        </w:rPr>
        <w:t xml:space="preserve"> </w:t>
      </w:r>
      <w:r>
        <w:rPr>
          <w:sz w:val="22"/>
        </w:rPr>
        <w:t>toxicitás a terápia ideiglenes felfüggesztését vagy leállítását teheti szükségessé.</w:t>
      </w:r>
    </w:p>
    <w:p w14:paraId="3F041495" w14:textId="77777777" w:rsidR="00EB654C" w:rsidRDefault="00EB654C">
      <w:pPr>
        <w:ind w:right="-284"/>
        <w:rPr>
          <w:sz w:val="22"/>
          <w:szCs w:val="22"/>
        </w:rPr>
      </w:pPr>
    </w:p>
    <w:p w14:paraId="1A967B56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 xml:space="preserve">A gyógyszer iv. beadása alatti </w:t>
      </w:r>
      <w:proofErr w:type="spellStart"/>
      <w:r>
        <w:rPr>
          <w:sz w:val="22"/>
        </w:rPr>
        <w:t>extravasatio</w:t>
      </w:r>
      <w:proofErr w:type="spellEnd"/>
      <w:r>
        <w:rPr>
          <w:sz w:val="22"/>
        </w:rPr>
        <w:t xml:space="preserve"> szövetkárosodást és erős fájdalmat okozhat.</w:t>
      </w:r>
    </w:p>
    <w:p w14:paraId="1A06589A" w14:textId="77777777" w:rsidR="00EB654C" w:rsidRDefault="00EB654C">
      <w:pPr>
        <w:ind w:right="-284"/>
        <w:rPr>
          <w:sz w:val="22"/>
          <w:szCs w:val="22"/>
        </w:rPr>
      </w:pPr>
    </w:p>
    <w:p w14:paraId="0081D4EE" w14:textId="77777777" w:rsidR="00EB654C" w:rsidRDefault="00C651E7">
      <w:pPr>
        <w:tabs>
          <w:tab w:val="left" w:pos="2552"/>
        </w:tabs>
        <w:ind w:right="-285"/>
        <w:rPr>
          <w:sz w:val="22"/>
          <w:szCs w:val="22"/>
        </w:rPr>
      </w:pPr>
      <w:proofErr w:type="spellStart"/>
      <w:r>
        <w:rPr>
          <w:sz w:val="22"/>
        </w:rPr>
        <w:t>Fenitoin</w:t>
      </w:r>
      <w:proofErr w:type="spellEnd"/>
      <w:r>
        <w:rPr>
          <w:sz w:val="22"/>
        </w:rPr>
        <w:t xml:space="preserve"> egyidejű alkalmazását kerülni kell, mivel fennáll a görcsrohamok kialakulásának kockázata a </w:t>
      </w:r>
      <w:proofErr w:type="spellStart"/>
      <w:r>
        <w:rPr>
          <w:sz w:val="22"/>
        </w:rPr>
        <w:t>fenitoin</w:t>
      </w:r>
      <w:proofErr w:type="spellEnd"/>
      <w:r>
        <w:rPr>
          <w:sz w:val="22"/>
        </w:rPr>
        <w:t xml:space="preserve"> emésztőrendszeri felszívódásának csökkenése miatt (lásd 4.5 pont).</w:t>
      </w:r>
    </w:p>
    <w:p w14:paraId="0FD25ECB" w14:textId="77777777" w:rsidR="00EB654C" w:rsidRDefault="00EB654C">
      <w:pPr>
        <w:ind w:right="-284"/>
        <w:rPr>
          <w:sz w:val="22"/>
          <w:szCs w:val="22"/>
        </w:rPr>
      </w:pPr>
    </w:p>
    <w:p w14:paraId="148B4B4C" w14:textId="7D92FAA6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 xml:space="preserve">Emellett 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mérsékelten </w:t>
      </w:r>
      <w:proofErr w:type="spellStart"/>
      <w:r>
        <w:rPr>
          <w:sz w:val="22"/>
        </w:rPr>
        <w:t>immunszuppresszív</w:t>
      </w:r>
      <w:proofErr w:type="spellEnd"/>
      <w:r>
        <w:rPr>
          <w:sz w:val="22"/>
        </w:rPr>
        <w:t xml:space="preserve"> szer. Élő (vagy élő, </w:t>
      </w:r>
      <w:proofErr w:type="spellStart"/>
      <w:r>
        <w:rPr>
          <w:sz w:val="22"/>
        </w:rPr>
        <w:t>attenuált</w:t>
      </w:r>
      <w:proofErr w:type="spellEnd"/>
      <w:r>
        <w:rPr>
          <w:sz w:val="22"/>
        </w:rPr>
        <w:t>) vakcinák beadása kemoterápiás szerek (p</w:t>
      </w:r>
      <w:r w:rsidR="00CE27C0">
        <w:rPr>
          <w:sz w:val="22"/>
        </w:rPr>
        <w:t>éldául</w:t>
      </w:r>
      <w:r>
        <w:rPr>
          <w:sz w:val="22"/>
        </w:rPr>
        <w:t> 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) miatt immunkomprimált betegeknek súlyos és halálos kimenetelű fertőzéseket okozhat. </w:t>
      </w:r>
      <w:proofErr w:type="spellStart"/>
      <w:r>
        <w:rPr>
          <w:sz w:val="22"/>
        </w:rPr>
        <w:t>Dakarbazint</w:t>
      </w:r>
      <w:proofErr w:type="spellEnd"/>
      <w:r>
        <w:rPr>
          <w:sz w:val="22"/>
        </w:rPr>
        <w:t xml:space="preserve"> kapó betegeket tilos élő vakcinával beoltani. </w:t>
      </w:r>
      <w:proofErr w:type="spellStart"/>
      <w:r>
        <w:rPr>
          <w:sz w:val="22"/>
        </w:rPr>
        <w:t>Inaktivált</w:t>
      </w:r>
      <w:proofErr w:type="spellEnd"/>
      <w:r>
        <w:rPr>
          <w:sz w:val="22"/>
        </w:rPr>
        <w:t xml:space="preserve"> vakcinák alkalmazhatók, amennyiben rendelkezésre állnak.</w:t>
      </w:r>
    </w:p>
    <w:p w14:paraId="3ED44E68" w14:textId="77777777" w:rsidR="00EB654C" w:rsidRDefault="00EB654C">
      <w:pPr>
        <w:ind w:right="-284"/>
        <w:rPr>
          <w:sz w:val="22"/>
          <w:szCs w:val="22"/>
        </w:rPr>
      </w:pPr>
    </w:p>
    <w:p w14:paraId="71D0B8EB" w14:textId="20F18CB6" w:rsidR="00EB654C" w:rsidRDefault="00C651E7">
      <w:pPr>
        <w:ind w:right="-284"/>
        <w:rPr>
          <w:sz w:val="22"/>
        </w:rPr>
      </w:pPr>
      <w:r>
        <w:rPr>
          <w:sz w:val="22"/>
        </w:rPr>
        <w:t xml:space="preserve">Kemoterápia alatt kerülni kell a </w:t>
      </w:r>
      <w:proofErr w:type="spellStart"/>
      <w:r>
        <w:rPr>
          <w:sz w:val="22"/>
        </w:rPr>
        <w:t>hepatotoxikus</w:t>
      </w:r>
      <w:proofErr w:type="spellEnd"/>
      <w:r>
        <w:rPr>
          <w:sz w:val="22"/>
        </w:rPr>
        <w:t xml:space="preserve"> gyógyszerek alkalmazását és az alkoholfogyasztást.</w:t>
      </w:r>
    </w:p>
    <w:p w14:paraId="6DAFE7DF" w14:textId="77777777" w:rsidR="00634235" w:rsidRDefault="00634235">
      <w:pPr>
        <w:ind w:right="-284"/>
        <w:rPr>
          <w:sz w:val="22"/>
          <w:szCs w:val="22"/>
        </w:rPr>
      </w:pPr>
    </w:p>
    <w:p w14:paraId="6F52FC50" w14:textId="0AA6A9F8" w:rsidR="00EB654C" w:rsidRDefault="00C651E7" w:rsidP="001564F4">
      <w:pPr>
        <w:keepNext/>
        <w:ind w:right="-284"/>
        <w:rPr>
          <w:sz w:val="22"/>
          <w:szCs w:val="22"/>
          <w:u w:val="single"/>
        </w:rPr>
      </w:pPr>
      <w:r>
        <w:rPr>
          <w:sz w:val="22"/>
          <w:u w:val="single"/>
        </w:rPr>
        <w:t>Fogamzóképes nők/fogamzásgátlás férfiaknál és nőknél</w:t>
      </w:r>
    </w:p>
    <w:p w14:paraId="5DA68D76" w14:textId="77777777" w:rsidR="00EB654C" w:rsidRDefault="00C651E7" w:rsidP="001564F4">
      <w:pPr>
        <w:keepNext/>
        <w:ind w:right="-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genotoxikus</w:t>
      </w:r>
      <w:proofErr w:type="spellEnd"/>
      <w:r>
        <w:rPr>
          <w:sz w:val="22"/>
        </w:rPr>
        <w:t xml:space="preserve"> potenciálja miatt (lásd 5.3 pont) a fogamzóképes nőknek hatékony fogamzásgátló módszereket kell alkalmazniuk 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noBreakHyphen/>
        <w:t>kezelés alatt és annak befejezését követően még 6 hónapig.</w:t>
      </w:r>
    </w:p>
    <w:p w14:paraId="598DC035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 xml:space="preserve">A férfiaknak hatékony fogamzásgátló módszereket kell alkalmazniuk és nem szabad gyermeket nemzeniük 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noBreakHyphen/>
        <w:t>kezelés alatt és annak befejezését követően 3 hónapig. A terhességet fontolgató betegeknek genetikai tanácsadást kell kapniuk a fogamzásgátlás alkalmazása utáni időszakra (lásd 4.6 pont).</w:t>
      </w:r>
    </w:p>
    <w:p w14:paraId="2E139104" w14:textId="77777777" w:rsidR="00EB654C" w:rsidRDefault="00EB654C">
      <w:pPr>
        <w:ind w:right="-284"/>
        <w:rPr>
          <w:sz w:val="22"/>
          <w:szCs w:val="22"/>
        </w:rPr>
      </w:pPr>
    </w:p>
    <w:p w14:paraId="3FAEFF2D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  <w:u w:val="single"/>
        </w:rPr>
        <w:t>Gyermekek és serdülők</w:t>
      </w:r>
    </w:p>
    <w:p w14:paraId="37802815" w14:textId="77777777" w:rsidR="00EB654C" w:rsidRDefault="00C651E7">
      <w:pPr>
        <w:pStyle w:val="Cmsor4"/>
        <w:ind w:left="0"/>
        <w:jc w:val="left"/>
        <w:rPr>
          <w:rFonts w:ascii="Times New Roman" w:hAnsi="Times New Roman"/>
          <w:sz w:val="22"/>
          <w:szCs w:val="22"/>
          <w:u w:val="none"/>
        </w:rPr>
      </w:pPr>
      <w:r>
        <w:rPr>
          <w:rFonts w:ascii="Times New Roman" w:hAnsi="Times New Roman"/>
          <w:sz w:val="22"/>
          <w:u w:val="none"/>
        </w:rPr>
        <w:t xml:space="preserve">A </w:t>
      </w:r>
      <w:proofErr w:type="spellStart"/>
      <w:r>
        <w:rPr>
          <w:rFonts w:ascii="Times New Roman" w:hAnsi="Times New Roman"/>
          <w:sz w:val="22"/>
          <w:u w:val="none"/>
        </w:rPr>
        <w:t>dakarbazin</w:t>
      </w:r>
      <w:proofErr w:type="spellEnd"/>
      <w:r>
        <w:rPr>
          <w:rFonts w:ascii="Times New Roman" w:hAnsi="Times New Roman"/>
          <w:sz w:val="22"/>
          <w:u w:val="none"/>
        </w:rPr>
        <w:t xml:space="preserve"> alkalmazása gyermekek és serdülők esetén nem ajánlott addig, amíg nem állnak rendelkezésre további adatok.</w:t>
      </w:r>
    </w:p>
    <w:p w14:paraId="4A8E7316" w14:textId="77777777" w:rsidR="00EB654C" w:rsidRDefault="00EB654C">
      <w:pPr>
        <w:ind w:right="-284"/>
        <w:rPr>
          <w:sz w:val="22"/>
          <w:szCs w:val="22"/>
        </w:rPr>
      </w:pPr>
    </w:p>
    <w:p w14:paraId="55E1FB71" w14:textId="77777777" w:rsidR="00EB654C" w:rsidRDefault="00C651E7">
      <w:pPr>
        <w:rPr>
          <w:sz w:val="22"/>
          <w:szCs w:val="22"/>
        </w:rPr>
      </w:pPr>
      <w:r>
        <w:rPr>
          <w:sz w:val="22"/>
        </w:rPr>
        <w:t>A kezelésre vonatkozó óvintézkedéseket lásd a 6.6 pontban.</w:t>
      </w:r>
    </w:p>
    <w:p w14:paraId="5977FFD5" w14:textId="77777777" w:rsidR="00EB654C" w:rsidRDefault="00EB654C">
      <w:pPr>
        <w:ind w:right="-284"/>
        <w:rPr>
          <w:sz w:val="22"/>
          <w:szCs w:val="22"/>
        </w:rPr>
      </w:pPr>
    </w:p>
    <w:p w14:paraId="6B9E69CA" w14:textId="77777777" w:rsidR="00EB654C" w:rsidRDefault="00C651E7">
      <w:pPr>
        <w:pStyle w:val="Cmsor2"/>
        <w:spacing w:before="0" w:after="0"/>
        <w:ind w:left="0" w:right="-284" w:firstLine="0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</w:rPr>
        <w:t>4.5</w:t>
      </w:r>
      <w:r>
        <w:rPr>
          <w:rFonts w:ascii="Times New Roman" w:hAnsi="Times New Roman"/>
          <w:i w:val="0"/>
          <w:sz w:val="22"/>
        </w:rPr>
        <w:tab/>
        <w:t>Gyógyszerkölcsönhatások és egyéb interakciók</w:t>
      </w:r>
    </w:p>
    <w:p w14:paraId="374D5B4D" w14:textId="77777777" w:rsidR="00EB654C" w:rsidRDefault="00EB654C">
      <w:pPr>
        <w:ind w:right="-284"/>
        <w:rPr>
          <w:sz w:val="22"/>
          <w:szCs w:val="22"/>
        </w:rPr>
      </w:pPr>
    </w:p>
    <w:p w14:paraId="2DB4689F" w14:textId="36D345B8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 xml:space="preserve">Más korábbi vagy egyidejű olyan kezelési módok alkalmazása esetén, amelyek nem kívánt hatást gyakorolnak a csontvelőre (különösen </w:t>
      </w:r>
      <w:proofErr w:type="spellStart"/>
      <w:r>
        <w:rPr>
          <w:sz w:val="22"/>
        </w:rPr>
        <w:t>citosztatikus</w:t>
      </w:r>
      <w:proofErr w:type="spellEnd"/>
      <w:r>
        <w:rPr>
          <w:sz w:val="22"/>
        </w:rPr>
        <w:t xml:space="preserve"> szerek, besugárzás), előfordulhatnak </w:t>
      </w:r>
      <w:proofErr w:type="spellStart"/>
      <w:r>
        <w:rPr>
          <w:sz w:val="22"/>
        </w:rPr>
        <w:t>m</w:t>
      </w:r>
      <w:r w:rsidR="009F6045">
        <w:rPr>
          <w:sz w:val="22"/>
        </w:rPr>
        <w:t>i</w:t>
      </w:r>
      <w:r>
        <w:rPr>
          <w:sz w:val="22"/>
        </w:rPr>
        <w:t>elotoxikus</w:t>
      </w:r>
      <w:proofErr w:type="spellEnd"/>
      <w:r>
        <w:rPr>
          <w:sz w:val="22"/>
        </w:rPr>
        <w:t xml:space="preserve"> kölcsönhatások.</w:t>
      </w:r>
    </w:p>
    <w:p w14:paraId="7D1E78D2" w14:textId="77777777" w:rsidR="00EB654C" w:rsidRDefault="00EB654C">
      <w:pPr>
        <w:ind w:right="-284"/>
        <w:rPr>
          <w:sz w:val="22"/>
          <w:szCs w:val="22"/>
        </w:rPr>
      </w:pPr>
    </w:p>
    <w:p w14:paraId="150E010F" w14:textId="77777777" w:rsidR="00EB654C" w:rsidRDefault="00C651E7">
      <w:pPr>
        <w:ind w:right="-284"/>
        <w:rPr>
          <w:sz w:val="22"/>
          <w:szCs w:val="22"/>
        </w:rPr>
      </w:pPr>
      <w:proofErr w:type="spellStart"/>
      <w:r>
        <w:rPr>
          <w:sz w:val="22"/>
        </w:rPr>
        <w:t>Fenotipikus</w:t>
      </w:r>
      <w:proofErr w:type="spellEnd"/>
      <w:r>
        <w:rPr>
          <w:sz w:val="22"/>
        </w:rPr>
        <w:t xml:space="preserve"> anyagcsere meglétére irányuló vizsgálatokat nem végeztek, azonban megállapították, hogy az alapvegyület daganatellenes aktivitással rendelkező </w:t>
      </w:r>
      <w:proofErr w:type="spellStart"/>
      <w:r>
        <w:rPr>
          <w:sz w:val="22"/>
        </w:rPr>
        <w:t>metabolitokká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hidroxilálódik</w:t>
      </w:r>
      <w:proofErr w:type="spellEnd"/>
      <w:r>
        <w:rPr>
          <w:sz w:val="22"/>
        </w:rPr>
        <w:t>.</w:t>
      </w:r>
    </w:p>
    <w:p w14:paraId="554B5E29" w14:textId="77777777" w:rsidR="00EB654C" w:rsidRDefault="00C651E7">
      <w:pPr>
        <w:pStyle w:val="Szvegtrzsbehzssal"/>
        <w:ind w:left="0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</w:rPr>
        <w:t xml:space="preserve">A </w:t>
      </w:r>
      <w:proofErr w:type="spellStart"/>
      <w:r>
        <w:rPr>
          <w:rFonts w:ascii="Times New Roman" w:hAnsi="Times New Roman"/>
          <w:color w:val="auto"/>
          <w:sz w:val="22"/>
        </w:rPr>
        <w:t>dakarbazint</w:t>
      </w:r>
      <w:proofErr w:type="spellEnd"/>
      <w:r>
        <w:rPr>
          <w:rFonts w:ascii="Times New Roman" w:hAnsi="Times New Roman"/>
          <w:color w:val="auto"/>
          <w:sz w:val="22"/>
        </w:rPr>
        <w:t xml:space="preserve"> a </w:t>
      </w:r>
      <w:proofErr w:type="spellStart"/>
      <w:r>
        <w:rPr>
          <w:rFonts w:ascii="Times New Roman" w:hAnsi="Times New Roman"/>
          <w:color w:val="auto"/>
          <w:sz w:val="22"/>
        </w:rPr>
        <w:t>citokróm</w:t>
      </w:r>
      <w:proofErr w:type="spellEnd"/>
      <w:r>
        <w:rPr>
          <w:rFonts w:ascii="Times New Roman" w:hAnsi="Times New Roman"/>
          <w:color w:val="auto"/>
          <w:sz w:val="22"/>
        </w:rPr>
        <w:t xml:space="preserve"> P450 enzimek (CYP1A1, CYP1A2 és CYP2E1) </w:t>
      </w:r>
      <w:proofErr w:type="spellStart"/>
      <w:r>
        <w:rPr>
          <w:rFonts w:ascii="Times New Roman" w:hAnsi="Times New Roman"/>
          <w:color w:val="auto"/>
          <w:sz w:val="22"/>
        </w:rPr>
        <w:t>metabolizálják</w:t>
      </w:r>
      <w:proofErr w:type="spellEnd"/>
      <w:r>
        <w:rPr>
          <w:rFonts w:ascii="Times New Roman" w:hAnsi="Times New Roman"/>
          <w:color w:val="auto"/>
          <w:sz w:val="22"/>
        </w:rPr>
        <w:t xml:space="preserve">. Ezt figyelembe kell venni, ha más olyan gyógyszereket alkalmaznak egyidejűleg, amelyeket </w:t>
      </w:r>
      <w:proofErr w:type="spellStart"/>
      <w:r>
        <w:rPr>
          <w:rFonts w:ascii="Times New Roman" w:hAnsi="Times New Roman"/>
          <w:color w:val="auto"/>
          <w:sz w:val="22"/>
        </w:rPr>
        <w:t>ugyanezek</w:t>
      </w:r>
      <w:proofErr w:type="spellEnd"/>
      <w:r>
        <w:rPr>
          <w:rFonts w:ascii="Times New Roman" w:hAnsi="Times New Roman"/>
          <w:color w:val="auto"/>
          <w:sz w:val="22"/>
        </w:rPr>
        <w:t xml:space="preserve"> a májenzimek </w:t>
      </w:r>
      <w:proofErr w:type="spellStart"/>
      <w:r>
        <w:rPr>
          <w:rFonts w:ascii="Times New Roman" w:hAnsi="Times New Roman"/>
          <w:color w:val="auto"/>
          <w:sz w:val="22"/>
        </w:rPr>
        <w:t>metabolizálják</w:t>
      </w:r>
      <w:proofErr w:type="spellEnd"/>
      <w:r>
        <w:rPr>
          <w:rFonts w:ascii="Times New Roman" w:hAnsi="Times New Roman"/>
          <w:color w:val="auto"/>
          <w:sz w:val="22"/>
        </w:rPr>
        <w:t>.</w:t>
      </w:r>
    </w:p>
    <w:p w14:paraId="47683033" w14:textId="77777777" w:rsidR="00EB654C" w:rsidRDefault="00EB654C">
      <w:pPr>
        <w:pStyle w:val="Szvegtrzsbehzssal"/>
        <w:ind w:left="0"/>
        <w:rPr>
          <w:rFonts w:ascii="Times New Roman" w:hAnsi="Times New Roman"/>
          <w:color w:val="auto"/>
          <w:sz w:val="22"/>
          <w:szCs w:val="22"/>
        </w:rPr>
      </w:pPr>
    </w:p>
    <w:p w14:paraId="030DDE30" w14:textId="77777777" w:rsidR="00EB654C" w:rsidRDefault="00C651E7">
      <w:pPr>
        <w:tabs>
          <w:tab w:val="left" w:pos="2552"/>
        </w:tabs>
        <w:ind w:right="-285"/>
        <w:rPr>
          <w:sz w:val="22"/>
          <w:szCs w:val="22"/>
        </w:rPr>
      </w:pPr>
      <w:proofErr w:type="spellStart"/>
      <w:r>
        <w:rPr>
          <w:sz w:val="22"/>
        </w:rPr>
        <w:t>Fotoszenzitizáció</w:t>
      </w:r>
      <w:proofErr w:type="spellEnd"/>
      <w:r>
        <w:rPr>
          <w:sz w:val="22"/>
        </w:rPr>
        <w:t xml:space="preserve"> miatt 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fokozhatja a </w:t>
      </w:r>
      <w:proofErr w:type="spellStart"/>
      <w:r>
        <w:rPr>
          <w:sz w:val="22"/>
        </w:rPr>
        <w:t>metoxi-pszoralén</w:t>
      </w:r>
      <w:proofErr w:type="spellEnd"/>
      <w:r>
        <w:rPr>
          <w:sz w:val="22"/>
        </w:rPr>
        <w:t xml:space="preserve"> hatásait.</w:t>
      </w:r>
    </w:p>
    <w:p w14:paraId="461179C1" w14:textId="77777777" w:rsidR="00EB654C" w:rsidRDefault="00EB654C">
      <w:pPr>
        <w:tabs>
          <w:tab w:val="left" w:pos="2552"/>
        </w:tabs>
        <w:ind w:right="-285"/>
        <w:rPr>
          <w:sz w:val="22"/>
          <w:szCs w:val="22"/>
        </w:rPr>
      </w:pPr>
    </w:p>
    <w:p w14:paraId="2778C24D" w14:textId="77777777" w:rsidR="00EB654C" w:rsidRDefault="00C651E7">
      <w:pPr>
        <w:tabs>
          <w:tab w:val="left" w:pos="2552"/>
        </w:tabs>
        <w:ind w:right="-285"/>
        <w:rPr>
          <w:sz w:val="22"/>
          <w:szCs w:val="22"/>
        </w:rPr>
      </w:pPr>
      <w:r>
        <w:rPr>
          <w:sz w:val="22"/>
        </w:rPr>
        <w:t>Sárgaláz elleni vakcina egyidejű alkalmazása ellenjavallt, mivel fennáll a halálos kimenetelű szisztémás megbetegedés kockázata (lásd 4.3 pont).</w:t>
      </w:r>
    </w:p>
    <w:p w14:paraId="5EC2BEA4" w14:textId="77777777" w:rsidR="00EB654C" w:rsidRDefault="00EB654C">
      <w:pPr>
        <w:tabs>
          <w:tab w:val="left" w:pos="2552"/>
        </w:tabs>
        <w:ind w:right="-285"/>
        <w:rPr>
          <w:sz w:val="22"/>
          <w:szCs w:val="22"/>
        </w:rPr>
      </w:pPr>
    </w:p>
    <w:p w14:paraId="70187C08" w14:textId="77777777" w:rsidR="00EB654C" w:rsidRDefault="00C651E7">
      <w:pPr>
        <w:tabs>
          <w:tab w:val="left" w:pos="2552"/>
        </w:tabs>
        <w:ind w:right="-285"/>
        <w:rPr>
          <w:sz w:val="22"/>
          <w:szCs w:val="22"/>
        </w:rPr>
      </w:pPr>
      <w:r>
        <w:rPr>
          <w:sz w:val="22"/>
        </w:rPr>
        <w:t xml:space="preserve">Élő, </w:t>
      </w:r>
      <w:proofErr w:type="spellStart"/>
      <w:r>
        <w:rPr>
          <w:sz w:val="22"/>
        </w:rPr>
        <w:t>attenuált</w:t>
      </w:r>
      <w:proofErr w:type="spellEnd"/>
      <w:r>
        <w:rPr>
          <w:sz w:val="22"/>
        </w:rPr>
        <w:t xml:space="preserve"> vakcinák egyidejű alkalmazását kerülni kell, mivel fennáll a szisztémás, potenciálisan halálos kimenetelű megbetegedés kockázata. A kockázat magasabb olyan betegeknél, akik már </w:t>
      </w:r>
      <w:proofErr w:type="spellStart"/>
      <w:r>
        <w:rPr>
          <w:sz w:val="22"/>
        </w:rPr>
        <w:t>immunszuppresszáltak</w:t>
      </w:r>
      <w:proofErr w:type="spellEnd"/>
      <w:r>
        <w:rPr>
          <w:sz w:val="22"/>
        </w:rPr>
        <w:t xml:space="preserve"> az alapbetegségük miatt. Ajánlott </w:t>
      </w:r>
      <w:proofErr w:type="spellStart"/>
      <w:r>
        <w:rPr>
          <w:sz w:val="22"/>
        </w:rPr>
        <w:t>inaktivált</w:t>
      </w:r>
      <w:proofErr w:type="spellEnd"/>
      <w:r>
        <w:rPr>
          <w:sz w:val="22"/>
        </w:rPr>
        <w:t xml:space="preserve"> vakcina használata, ha az rendelkezésre áll (</w:t>
      </w:r>
      <w:proofErr w:type="spellStart"/>
      <w:r>
        <w:rPr>
          <w:sz w:val="22"/>
        </w:rPr>
        <w:t>poliomyelitis</w:t>
      </w:r>
      <w:proofErr w:type="spellEnd"/>
      <w:r>
        <w:rPr>
          <w:sz w:val="22"/>
        </w:rPr>
        <w:t>) (lásd még 4.4 pont).</w:t>
      </w:r>
    </w:p>
    <w:p w14:paraId="765B32AB" w14:textId="77777777" w:rsidR="00EB654C" w:rsidRDefault="00EB654C">
      <w:pPr>
        <w:tabs>
          <w:tab w:val="left" w:pos="2552"/>
        </w:tabs>
        <w:ind w:right="-285"/>
        <w:rPr>
          <w:sz w:val="22"/>
          <w:szCs w:val="22"/>
        </w:rPr>
      </w:pPr>
    </w:p>
    <w:p w14:paraId="23B3BC64" w14:textId="62266747" w:rsidR="00EB654C" w:rsidRDefault="00C651E7">
      <w:pPr>
        <w:tabs>
          <w:tab w:val="left" w:pos="2552"/>
        </w:tabs>
        <w:ind w:right="-285"/>
        <w:rPr>
          <w:sz w:val="22"/>
          <w:szCs w:val="22"/>
        </w:rPr>
      </w:pPr>
      <w:r>
        <w:rPr>
          <w:sz w:val="22"/>
        </w:rPr>
        <w:t xml:space="preserve">Mivel daganatos megbetegedések esetén a </w:t>
      </w:r>
      <w:proofErr w:type="spellStart"/>
      <w:r>
        <w:rPr>
          <w:sz w:val="22"/>
        </w:rPr>
        <w:t>thrombosis</w:t>
      </w:r>
      <w:proofErr w:type="spellEnd"/>
      <w:r>
        <w:rPr>
          <w:sz w:val="22"/>
        </w:rPr>
        <w:t xml:space="preserve"> kockázata megnő, gyakori az </w:t>
      </w:r>
      <w:proofErr w:type="spellStart"/>
      <w:r>
        <w:rPr>
          <w:sz w:val="22"/>
        </w:rPr>
        <w:t>antikoagulánsok</w:t>
      </w:r>
      <w:proofErr w:type="spellEnd"/>
      <w:r>
        <w:rPr>
          <w:sz w:val="22"/>
        </w:rPr>
        <w:t xml:space="preserve"> egyidejű alkalmazása. A betegségek során a koagulációs képesség nagyfokú </w:t>
      </w:r>
      <w:proofErr w:type="spellStart"/>
      <w:r>
        <w:rPr>
          <w:sz w:val="22"/>
        </w:rPr>
        <w:t>intraindividuális</w:t>
      </w:r>
      <w:proofErr w:type="spellEnd"/>
      <w:r>
        <w:rPr>
          <w:sz w:val="22"/>
        </w:rPr>
        <w:t xml:space="preserve"> variabilitása, illetve az </w:t>
      </w:r>
      <w:proofErr w:type="spellStart"/>
      <w:r>
        <w:rPr>
          <w:sz w:val="22"/>
        </w:rPr>
        <w:t>oralis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antikoagulánsok</w:t>
      </w:r>
      <w:proofErr w:type="spellEnd"/>
      <w:r>
        <w:rPr>
          <w:sz w:val="22"/>
        </w:rPr>
        <w:t xml:space="preserve"> és daganatellenes kemoterápia közötti esetleges kölcsönhatás szükségessé teszi az INR ellenőrzési gyakoriságának növelését, ha a beteg </w:t>
      </w:r>
      <w:r w:rsidR="009F6045" w:rsidRPr="001564F4">
        <w:rPr>
          <w:i/>
          <w:iCs/>
          <w:sz w:val="22"/>
        </w:rPr>
        <w:t xml:space="preserve">per </w:t>
      </w:r>
      <w:proofErr w:type="spellStart"/>
      <w:r w:rsidR="009F6045" w:rsidRPr="001564F4">
        <w:rPr>
          <w:i/>
          <w:iCs/>
          <w:sz w:val="22"/>
        </w:rPr>
        <w:t>os</w:t>
      </w:r>
      <w:proofErr w:type="spellEnd"/>
      <w:r w:rsidR="009F6045">
        <w:rPr>
          <w:sz w:val="22"/>
        </w:rPr>
        <w:t xml:space="preserve"> </w:t>
      </w:r>
      <w:proofErr w:type="spellStart"/>
      <w:r>
        <w:rPr>
          <w:sz w:val="22"/>
        </w:rPr>
        <w:t>antikoagulánsokkal</w:t>
      </w:r>
      <w:proofErr w:type="spellEnd"/>
      <w:r>
        <w:rPr>
          <w:sz w:val="22"/>
        </w:rPr>
        <w:t xml:space="preserve"> történő kezelése mellett döntenek.</w:t>
      </w:r>
    </w:p>
    <w:p w14:paraId="414EFBF4" w14:textId="77777777" w:rsidR="00EB654C" w:rsidRDefault="00EB654C">
      <w:pPr>
        <w:tabs>
          <w:tab w:val="left" w:pos="2552"/>
        </w:tabs>
        <w:ind w:right="-285"/>
        <w:rPr>
          <w:sz w:val="22"/>
          <w:szCs w:val="22"/>
        </w:rPr>
      </w:pPr>
    </w:p>
    <w:p w14:paraId="0E249F41" w14:textId="1246AB3F" w:rsidR="00EB654C" w:rsidRDefault="00C651E7">
      <w:pPr>
        <w:tabs>
          <w:tab w:val="left" w:pos="2552"/>
        </w:tabs>
        <w:ind w:right="-285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fenitoin</w:t>
      </w:r>
      <w:proofErr w:type="spellEnd"/>
      <w:r>
        <w:rPr>
          <w:sz w:val="22"/>
        </w:rPr>
        <w:t xml:space="preserve"> egyidejű alkalmazásakor fennállhat a görcsrohamok kialakulásának kockázata</w:t>
      </w:r>
      <w:r w:rsidR="00B25DD9">
        <w:rPr>
          <w:sz w:val="22"/>
        </w:rPr>
        <w:t>,</w:t>
      </w:r>
      <w:r>
        <w:rPr>
          <w:sz w:val="22"/>
        </w:rPr>
        <w:t xml:space="preserve"> a </w:t>
      </w:r>
      <w:proofErr w:type="spellStart"/>
      <w:r>
        <w:rPr>
          <w:sz w:val="22"/>
        </w:rPr>
        <w:t>fenitoin</w:t>
      </w:r>
      <w:proofErr w:type="spellEnd"/>
      <w:r>
        <w:rPr>
          <w:sz w:val="22"/>
        </w:rPr>
        <w:t xml:space="preserve"> emésztőrendszeri felszívódásának csökkenése miatt (lásd 4.4 pont).</w:t>
      </w:r>
    </w:p>
    <w:p w14:paraId="2DFE2B66" w14:textId="77777777" w:rsidR="00EB654C" w:rsidRDefault="00EB654C">
      <w:pPr>
        <w:tabs>
          <w:tab w:val="left" w:pos="2552"/>
        </w:tabs>
        <w:ind w:right="-285"/>
        <w:rPr>
          <w:sz w:val="22"/>
          <w:szCs w:val="22"/>
        </w:rPr>
      </w:pPr>
    </w:p>
    <w:p w14:paraId="0AD3B708" w14:textId="352AC0F8" w:rsidR="00EB654C" w:rsidRDefault="00C651E7">
      <w:pPr>
        <w:tabs>
          <w:tab w:val="left" w:pos="2552"/>
        </w:tabs>
        <w:ind w:right="-285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ciklosporin</w:t>
      </w:r>
      <w:proofErr w:type="spellEnd"/>
      <w:r>
        <w:rPr>
          <w:sz w:val="22"/>
        </w:rPr>
        <w:t xml:space="preserve"> (és egyes</w:t>
      </w:r>
      <w:r w:rsidR="002B7867">
        <w:rPr>
          <w:sz w:val="22"/>
        </w:rPr>
        <w:t xml:space="preserve"> </w:t>
      </w:r>
      <w:r>
        <w:rPr>
          <w:sz w:val="22"/>
        </w:rPr>
        <w:t xml:space="preserve">esetekben a </w:t>
      </w:r>
      <w:proofErr w:type="spellStart"/>
      <w:r>
        <w:rPr>
          <w:sz w:val="22"/>
        </w:rPr>
        <w:t>takrolimusz</w:t>
      </w:r>
      <w:proofErr w:type="spellEnd"/>
      <w:r>
        <w:rPr>
          <w:sz w:val="22"/>
        </w:rPr>
        <w:t xml:space="preserve">) egyidejű alkalmazását alaposan meg kell fontolni, mivel </w:t>
      </w:r>
      <w:proofErr w:type="gramStart"/>
      <w:r>
        <w:rPr>
          <w:sz w:val="22"/>
        </w:rPr>
        <w:t>ezen</w:t>
      </w:r>
      <w:proofErr w:type="gramEnd"/>
      <w:r>
        <w:rPr>
          <w:sz w:val="22"/>
        </w:rPr>
        <w:t xml:space="preserve"> szerek használata túlzott </w:t>
      </w:r>
      <w:proofErr w:type="spellStart"/>
      <w:r>
        <w:rPr>
          <w:sz w:val="22"/>
        </w:rPr>
        <w:t>immunszuppressziót</w:t>
      </w:r>
      <w:proofErr w:type="spellEnd"/>
      <w:r>
        <w:rPr>
          <w:sz w:val="22"/>
        </w:rPr>
        <w:t xml:space="preserve"> és </w:t>
      </w:r>
      <w:proofErr w:type="spellStart"/>
      <w:r w:rsidR="00B25DD9">
        <w:rPr>
          <w:sz w:val="22"/>
        </w:rPr>
        <w:t>limfoproliferációt</w:t>
      </w:r>
      <w:proofErr w:type="spellEnd"/>
      <w:r w:rsidR="00B25DD9">
        <w:rPr>
          <w:sz w:val="22"/>
        </w:rPr>
        <w:t xml:space="preserve"> </w:t>
      </w:r>
      <w:r>
        <w:rPr>
          <w:sz w:val="22"/>
        </w:rPr>
        <w:t>okozhat.</w:t>
      </w:r>
    </w:p>
    <w:p w14:paraId="7721729D" w14:textId="77777777" w:rsidR="00EB654C" w:rsidRDefault="00EB654C">
      <w:pPr>
        <w:tabs>
          <w:tab w:val="left" w:pos="2552"/>
        </w:tabs>
        <w:ind w:right="-285"/>
        <w:rPr>
          <w:sz w:val="22"/>
          <w:szCs w:val="22"/>
        </w:rPr>
      </w:pPr>
    </w:p>
    <w:p w14:paraId="5936E087" w14:textId="39C2750E" w:rsidR="00EB654C" w:rsidRDefault="00C651E7">
      <w:pPr>
        <w:tabs>
          <w:tab w:val="left" w:pos="2552"/>
        </w:tabs>
        <w:ind w:right="-285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fotemusztin</w:t>
      </w:r>
      <w:proofErr w:type="spellEnd"/>
      <w:r>
        <w:rPr>
          <w:sz w:val="22"/>
        </w:rPr>
        <w:t xml:space="preserve"> egyidejű alkalmazása akut tüdőtoxicitást (felnőttkori légzési </w:t>
      </w:r>
      <w:proofErr w:type="spellStart"/>
      <w:r>
        <w:rPr>
          <w:sz w:val="22"/>
        </w:rPr>
        <w:t>distressz</w:t>
      </w:r>
      <w:proofErr w:type="spellEnd"/>
      <w:r>
        <w:rPr>
          <w:sz w:val="22"/>
        </w:rPr>
        <w:t xml:space="preserve"> szindróma) okozhat. A </w:t>
      </w:r>
      <w:proofErr w:type="spellStart"/>
      <w:r>
        <w:rPr>
          <w:sz w:val="22"/>
        </w:rPr>
        <w:t>fotemusztin</w:t>
      </w:r>
      <w:proofErr w:type="spellEnd"/>
      <w:r>
        <w:rPr>
          <w:sz w:val="22"/>
        </w:rPr>
        <w:t xml:space="preserve"> és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együttes alkalmazása tilos. 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a </w:t>
      </w:r>
      <w:proofErr w:type="spellStart"/>
      <w:r>
        <w:rPr>
          <w:sz w:val="22"/>
        </w:rPr>
        <w:t>fotemusztin</w:t>
      </w:r>
      <w:proofErr w:type="spellEnd"/>
      <w:r>
        <w:rPr>
          <w:sz w:val="22"/>
        </w:rPr>
        <w:t xml:space="preserve"> alkalmazása után csak több</w:t>
      </w:r>
      <w:r w:rsidR="00B25DD9">
        <w:rPr>
          <w:sz w:val="22"/>
        </w:rPr>
        <w:t>,</w:t>
      </w:r>
      <w:r>
        <w:rPr>
          <w:sz w:val="22"/>
        </w:rPr>
        <w:t xml:space="preserve"> mint egy hét elteltével alkalmazható.</w:t>
      </w:r>
    </w:p>
    <w:p w14:paraId="29507FAC" w14:textId="77777777" w:rsidR="00EB654C" w:rsidRDefault="00EB654C" w:rsidP="001564F4">
      <w:pPr>
        <w:keepNext/>
        <w:tabs>
          <w:tab w:val="left" w:pos="2552"/>
        </w:tabs>
        <w:ind w:right="-285"/>
        <w:rPr>
          <w:sz w:val="22"/>
          <w:szCs w:val="22"/>
        </w:rPr>
      </w:pPr>
    </w:p>
    <w:p w14:paraId="103EC127" w14:textId="77777777" w:rsidR="00EB654C" w:rsidRDefault="00C651E7" w:rsidP="00B25DD9">
      <w:pPr>
        <w:pStyle w:val="Cmsor2"/>
        <w:spacing w:before="0" w:after="0"/>
        <w:ind w:left="0" w:right="-284" w:firstLine="0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</w:rPr>
        <w:t>4.6</w:t>
      </w:r>
      <w:r>
        <w:rPr>
          <w:rFonts w:ascii="Times New Roman" w:hAnsi="Times New Roman"/>
          <w:i w:val="0"/>
          <w:sz w:val="22"/>
        </w:rPr>
        <w:tab/>
        <w:t>Termékenység, terhesség és szoptatás</w:t>
      </w:r>
    </w:p>
    <w:p w14:paraId="5284BC93" w14:textId="77777777" w:rsidR="00EB654C" w:rsidRDefault="00EB654C" w:rsidP="001564F4">
      <w:pPr>
        <w:keepNext/>
        <w:ind w:right="-284"/>
        <w:rPr>
          <w:sz w:val="22"/>
          <w:szCs w:val="22"/>
          <w:u w:val="single"/>
        </w:rPr>
      </w:pPr>
    </w:p>
    <w:p w14:paraId="49433136" w14:textId="77777777" w:rsidR="00EB654C" w:rsidRDefault="00C651E7" w:rsidP="001564F4">
      <w:pPr>
        <w:keepNext/>
        <w:tabs>
          <w:tab w:val="left" w:pos="0"/>
          <w:tab w:val="left" w:pos="1418"/>
        </w:tabs>
        <w:ind w:right="-285"/>
        <w:rPr>
          <w:sz w:val="22"/>
          <w:szCs w:val="22"/>
        </w:rPr>
      </w:pPr>
      <w:r>
        <w:rPr>
          <w:sz w:val="22"/>
          <w:u w:val="single"/>
        </w:rPr>
        <w:t>Terhesség</w:t>
      </w:r>
    </w:p>
    <w:p w14:paraId="31C3CE58" w14:textId="77777777" w:rsidR="00EB654C" w:rsidRDefault="00C651E7" w:rsidP="001564F4">
      <w:pPr>
        <w:keepNext/>
        <w:tabs>
          <w:tab w:val="left" w:pos="0"/>
          <w:tab w:val="left" w:pos="1418"/>
        </w:tabs>
        <w:ind w:right="-285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dakarbazinról</w:t>
      </w:r>
      <w:proofErr w:type="spellEnd"/>
      <w:r>
        <w:rPr>
          <w:sz w:val="22"/>
        </w:rPr>
        <w:t xml:space="preserve"> kimutatták, hogy állatokban mutagén, </w:t>
      </w:r>
      <w:proofErr w:type="spellStart"/>
      <w:r>
        <w:rPr>
          <w:sz w:val="22"/>
        </w:rPr>
        <w:t>teratogén</w:t>
      </w:r>
      <w:proofErr w:type="spellEnd"/>
      <w:r>
        <w:rPr>
          <w:sz w:val="22"/>
        </w:rPr>
        <w:t xml:space="preserve"> és karcinogén hatású. Feltételezhető, hogy a </w:t>
      </w:r>
      <w:proofErr w:type="spellStart"/>
      <w:r>
        <w:rPr>
          <w:sz w:val="22"/>
        </w:rPr>
        <w:t>teratogén</w:t>
      </w:r>
      <w:proofErr w:type="spellEnd"/>
      <w:r>
        <w:rPr>
          <w:sz w:val="22"/>
        </w:rPr>
        <w:t xml:space="preserve"> hatások fokozott kockázata emberben is fennáll. Ezért 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ellenjavallt a terhesség alatt (lásd 4.3 pont).</w:t>
      </w:r>
    </w:p>
    <w:p w14:paraId="3FCFC4C2" w14:textId="77777777" w:rsidR="00EB654C" w:rsidRDefault="00EB654C">
      <w:pPr>
        <w:tabs>
          <w:tab w:val="left" w:pos="0"/>
          <w:tab w:val="left" w:pos="1418"/>
        </w:tabs>
        <w:ind w:right="-285"/>
        <w:rPr>
          <w:sz w:val="22"/>
          <w:szCs w:val="22"/>
        </w:rPr>
      </w:pPr>
    </w:p>
    <w:p w14:paraId="20BC288F" w14:textId="4439BB8A" w:rsidR="00EB654C" w:rsidRDefault="00C651E7">
      <w:pPr>
        <w:tabs>
          <w:tab w:val="left" w:pos="0"/>
          <w:tab w:val="left" w:pos="1418"/>
        </w:tabs>
        <w:ind w:right="-285"/>
        <w:rPr>
          <w:sz w:val="22"/>
          <w:szCs w:val="22"/>
          <w:u w:val="single"/>
        </w:rPr>
      </w:pPr>
      <w:r>
        <w:rPr>
          <w:sz w:val="22"/>
          <w:u w:val="single"/>
        </w:rPr>
        <w:t>Fogamzóképes nők/fogamzásgátlás férfiaknál és nőknél</w:t>
      </w:r>
    </w:p>
    <w:p w14:paraId="6D6CC6DF" w14:textId="77777777" w:rsidR="00EB654C" w:rsidRDefault="00C651E7">
      <w:pPr>
        <w:tabs>
          <w:tab w:val="left" w:pos="0"/>
          <w:tab w:val="left" w:pos="1418"/>
        </w:tabs>
        <w:ind w:right="-285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genotoxikus</w:t>
      </w:r>
      <w:proofErr w:type="spellEnd"/>
      <w:r>
        <w:rPr>
          <w:sz w:val="22"/>
        </w:rPr>
        <w:t xml:space="preserve"> potenciálja miatt (lásd 5.3 pont) a fogamzóképes nőknek hatékony fogamzásgátló módszereket kell alkalmazniuk 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noBreakHyphen/>
        <w:t xml:space="preserve">kezelés alatt és annak befejezését követően még 6 hónapig. A férfiaknak hatékony fogamzásgátló módszereket kell alkalmazniuk és nem szabad gyermeket nemzeniük 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noBreakHyphen/>
        <w:t>kezelés alatt és annak befejezését követően 3 hónapig.</w:t>
      </w:r>
    </w:p>
    <w:p w14:paraId="01163973" w14:textId="77777777" w:rsidR="00EB654C" w:rsidRDefault="00EB654C">
      <w:pPr>
        <w:tabs>
          <w:tab w:val="left" w:pos="0"/>
          <w:tab w:val="left" w:pos="1418"/>
        </w:tabs>
        <w:ind w:right="-285"/>
        <w:rPr>
          <w:sz w:val="22"/>
          <w:szCs w:val="22"/>
        </w:rPr>
      </w:pPr>
    </w:p>
    <w:p w14:paraId="4CA69B90" w14:textId="77777777" w:rsidR="00EB654C" w:rsidRDefault="00C651E7">
      <w:pPr>
        <w:tabs>
          <w:tab w:val="left" w:pos="0"/>
          <w:tab w:val="left" w:pos="1418"/>
        </w:tabs>
        <w:ind w:right="-285"/>
        <w:rPr>
          <w:noProof/>
          <w:sz w:val="22"/>
          <w:szCs w:val="22"/>
          <w:u w:val="single"/>
        </w:rPr>
      </w:pPr>
      <w:r>
        <w:rPr>
          <w:sz w:val="22"/>
          <w:u w:val="single"/>
        </w:rPr>
        <w:t>Szoptatás</w:t>
      </w:r>
    </w:p>
    <w:p w14:paraId="2EAAB24A" w14:textId="77777777" w:rsidR="00EB654C" w:rsidRDefault="00C651E7">
      <w:pPr>
        <w:tabs>
          <w:tab w:val="left" w:pos="0"/>
          <w:tab w:val="left" w:pos="1418"/>
        </w:tabs>
        <w:ind w:right="-285"/>
        <w:rPr>
          <w:rFonts w:eastAsia="SimSun"/>
          <w:color w:val="000000"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</w:t>
      </w:r>
      <w:r>
        <w:rPr>
          <w:color w:val="000000"/>
          <w:sz w:val="22"/>
        </w:rPr>
        <w:t xml:space="preserve">alkalmazása ellenjavallt a szoptatás időszakában (lásd 4.3 pont). Nem ismert, hogy a </w:t>
      </w:r>
      <w:proofErr w:type="spellStart"/>
      <w:r>
        <w:rPr>
          <w:color w:val="000000"/>
          <w:sz w:val="22"/>
        </w:rPr>
        <w:t>dakarbazin</w:t>
      </w:r>
      <w:proofErr w:type="spellEnd"/>
      <w:r>
        <w:rPr>
          <w:color w:val="000000"/>
          <w:sz w:val="22"/>
        </w:rPr>
        <w:t xml:space="preserve">/a </w:t>
      </w:r>
      <w:proofErr w:type="spellStart"/>
      <w:r>
        <w:rPr>
          <w:color w:val="000000"/>
          <w:sz w:val="22"/>
        </w:rPr>
        <w:t>dakarbazin</w:t>
      </w:r>
      <w:proofErr w:type="spellEnd"/>
      <w:r>
        <w:rPr>
          <w:color w:val="000000"/>
          <w:sz w:val="22"/>
        </w:rPr>
        <w:t xml:space="preserve"> </w:t>
      </w:r>
      <w:proofErr w:type="spellStart"/>
      <w:r>
        <w:rPr>
          <w:color w:val="000000"/>
          <w:sz w:val="22"/>
        </w:rPr>
        <w:t>metabolitjai</w:t>
      </w:r>
      <w:proofErr w:type="spellEnd"/>
      <w:r>
        <w:rPr>
          <w:color w:val="000000"/>
          <w:sz w:val="22"/>
        </w:rPr>
        <w:t xml:space="preserve"> </w:t>
      </w:r>
      <w:proofErr w:type="spellStart"/>
      <w:r>
        <w:rPr>
          <w:color w:val="000000"/>
          <w:sz w:val="22"/>
        </w:rPr>
        <w:t>kiválasztódik</w:t>
      </w:r>
      <w:proofErr w:type="spellEnd"/>
      <w:r>
        <w:rPr>
          <w:color w:val="000000"/>
          <w:sz w:val="22"/>
        </w:rPr>
        <w:t>/kiválasztódnak-e a humán anyatejbe.</w:t>
      </w:r>
    </w:p>
    <w:p w14:paraId="6586910E" w14:textId="77777777" w:rsidR="00EB654C" w:rsidRDefault="00EB654C">
      <w:pPr>
        <w:tabs>
          <w:tab w:val="left" w:pos="0"/>
          <w:tab w:val="left" w:pos="1418"/>
        </w:tabs>
        <w:ind w:right="-285"/>
        <w:rPr>
          <w:rFonts w:eastAsia="SimSun"/>
          <w:color w:val="000000"/>
          <w:sz w:val="22"/>
          <w:szCs w:val="22"/>
          <w:lang w:eastAsia="zh-CN"/>
        </w:rPr>
      </w:pPr>
    </w:p>
    <w:p w14:paraId="7677AD8F" w14:textId="77777777" w:rsidR="00EB654C" w:rsidRDefault="00C651E7">
      <w:pPr>
        <w:tabs>
          <w:tab w:val="left" w:pos="0"/>
          <w:tab w:val="left" w:pos="1418"/>
        </w:tabs>
        <w:ind w:right="-285"/>
        <w:jc w:val="both"/>
        <w:rPr>
          <w:sz w:val="22"/>
          <w:szCs w:val="22"/>
          <w:u w:val="single"/>
        </w:rPr>
      </w:pPr>
      <w:r>
        <w:rPr>
          <w:sz w:val="22"/>
          <w:u w:val="single"/>
        </w:rPr>
        <w:t>Termékenység</w:t>
      </w:r>
    </w:p>
    <w:p w14:paraId="684A413B" w14:textId="75DC87FA" w:rsidR="00EB654C" w:rsidRDefault="00C651E7">
      <w:pPr>
        <w:tabs>
          <w:tab w:val="left" w:pos="0"/>
          <w:tab w:val="left" w:pos="1418"/>
        </w:tabs>
        <w:ind w:right="-285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genotoxikus</w:t>
      </w:r>
      <w:proofErr w:type="spellEnd"/>
      <w:r>
        <w:rPr>
          <w:sz w:val="22"/>
        </w:rPr>
        <w:t xml:space="preserve"> potenciálja miatt a betegeknek a termékenységük megőrzés</w:t>
      </w:r>
      <w:r w:rsidR="00B25DD9">
        <w:rPr>
          <w:sz w:val="22"/>
        </w:rPr>
        <w:t>ének</w:t>
      </w:r>
      <w:r>
        <w:rPr>
          <w:sz w:val="22"/>
        </w:rPr>
        <w:t xml:space="preserve"> lehetőségeivel kapcsolatos tanácsadáson kell részt venniük, mielőtt megkezdik 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noBreakHyphen/>
        <w:t xml:space="preserve">kezelést. 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noBreakHyphen/>
        <w:t>kezelés után a terhességet tervező betegeknek genetikai tanácsadáson kell részt venniük.</w:t>
      </w:r>
    </w:p>
    <w:p w14:paraId="03B55F10" w14:textId="77777777" w:rsidR="00EB654C" w:rsidRDefault="00EB654C">
      <w:pPr>
        <w:tabs>
          <w:tab w:val="left" w:pos="0"/>
          <w:tab w:val="left" w:pos="1418"/>
        </w:tabs>
        <w:ind w:right="-285"/>
        <w:rPr>
          <w:rFonts w:eastAsia="SimSun"/>
          <w:color w:val="000000"/>
          <w:sz w:val="22"/>
          <w:szCs w:val="22"/>
          <w:lang w:eastAsia="zh-CN"/>
        </w:rPr>
      </w:pPr>
    </w:p>
    <w:p w14:paraId="600C8822" w14:textId="77777777" w:rsidR="00EB654C" w:rsidRDefault="00C651E7">
      <w:pPr>
        <w:pStyle w:val="Cmsor2"/>
        <w:spacing w:before="0" w:after="0"/>
        <w:ind w:left="0" w:right="-284" w:firstLine="0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</w:rPr>
        <w:t>4.7</w:t>
      </w:r>
      <w:r>
        <w:rPr>
          <w:rFonts w:ascii="Times New Roman" w:hAnsi="Times New Roman"/>
          <w:i w:val="0"/>
          <w:sz w:val="22"/>
        </w:rPr>
        <w:tab/>
        <w:t>A készítmény hatásai a gépjárművezetéshez és a gépek kezeléséhez szükséges képességekre</w:t>
      </w:r>
    </w:p>
    <w:p w14:paraId="5BCF5758" w14:textId="77777777" w:rsidR="00EB654C" w:rsidRDefault="00EB654C">
      <w:pPr>
        <w:tabs>
          <w:tab w:val="left" w:pos="850"/>
        </w:tabs>
        <w:ind w:right="-284"/>
        <w:rPr>
          <w:b/>
          <w:sz w:val="22"/>
          <w:szCs w:val="22"/>
        </w:rPr>
      </w:pPr>
    </w:p>
    <w:p w14:paraId="3C56A063" w14:textId="77777777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kismértékben befolyásolja a gépjárművezetéshez és a gépek kezeléséhez szükséges képességeket, mivel központi idegrendszeri mellékhatásai vannak, illetve hányingert és hányást okoz.</w:t>
      </w:r>
    </w:p>
    <w:p w14:paraId="6253D280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44BF5EDA" w14:textId="77777777" w:rsidR="00EB654C" w:rsidRDefault="00C651E7">
      <w:pPr>
        <w:pStyle w:val="Cmsor2"/>
        <w:spacing w:before="0" w:after="0"/>
        <w:ind w:left="0" w:right="-284" w:firstLine="0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</w:rPr>
        <w:t>4.8</w:t>
      </w:r>
      <w:r>
        <w:rPr>
          <w:rFonts w:ascii="Times New Roman" w:hAnsi="Times New Roman"/>
          <w:i w:val="0"/>
          <w:sz w:val="22"/>
        </w:rPr>
        <w:tab/>
        <w:t>Nemkívánatos hatások, mellékhatások</w:t>
      </w:r>
    </w:p>
    <w:p w14:paraId="7CA6AFAD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21AE81ED" w14:textId="77777777" w:rsidR="00EB654C" w:rsidRDefault="00C651E7">
      <w:pPr>
        <w:tabs>
          <w:tab w:val="left" w:pos="850"/>
        </w:tabs>
        <w:ind w:right="-284"/>
        <w:rPr>
          <w:sz w:val="22"/>
          <w:szCs w:val="22"/>
          <w:u w:val="single"/>
        </w:rPr>
      </w:pPr>
      <w:r>
        <w:rPr>
          <w:sz w:val="22"/>
          <w:u w:val="single"/>
        </w:rPr>
        <w:t>Gyakoriságok</w:t>
      </w:r>
    </w:p>
    <w:p w14:paraId="3EBB2129" w14:textId="77777777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r>
        <w:rPr>
          <w:sz w:val="22"/>
        </w:rPr>
        <w:t>Nagyon gyakori (</w:t>
      </w:r>
      <w:r>
        <w:sym w:font="Symbol" w:char="F0B3"/>
      </w:r>
      <w:r>
        <w:rPr>
          <w:sz w:val="22"/>
        </w:rPr>
        <w:t> 1/10)</w:t>
      </w:r>
    </w:p>
    <w:p w14:paraId="2BF40759" w14:textId="285982C6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r>
        <w:rPr>
          <w:sz w:val="22"/>
        </w:rPr>
        <w:t>Gyakori (</w:t>
      </w:r>
      <w:r>
        <w:sym w:font="Symbol" w:char="F0B3"/>
      </w:r>
      <w:r>
        <w:rPr>
          <w:sz w:val="22"/>
        </w:rPr>
        <w:t> 1/100 – &lt;1/10)</w:t>
      </w:r>
    </w:p>
    <w:p w14:paraId="4BCAB8EC" w14:textId="0CFAB0A3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r>
        <w:rPr>
          <w:sz w:val="22"/>
        </w:rPr>
        <w:t>Nem gyakori (</w:t>
      </w:r>
      <w:r>
        <w:sym w:font="Symbol" w:char="F0B3"/>
      </w:r>
      <w:r>
        <w:rPr>
          <w:sz w:val="22"/>
        </w:rPr>
        <w:t> 1/1000 – &lt;1/100)</w:t>
      </w:r>
    </w:p>
    <w:p w14:paraId="3B251C89" w14:textId="0857145E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r>
        <w:rPr>
          <w:sz w:val="22"/>
        </w:rPr>
        <w:t>Ritka (</w:t>
      </w:r>
      <w:r>
        <w:sym w:font="Symbol" w:char="F0B3"/>
      </w:r>
      <w:r>
        <w:rPr>
          <w:sz w:val="22"/>
        </w:rPr>
        <w:t> 1/10 000 – &lt;1/1000)</w:t>
      </w:r>
    </w:p>
    <w:p w14:paraId="19C495B4" w14:textId="0FB501A4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r>
        <w:rPr>
          <w:sz w:val="22"/>
        </w:rPr>
        <w:t>Nagyon ritka (&lt;1/10 000)</w:t>
      </w:r>
    </w:p>
    <w:p w14:paraId="25AFDD61" w14:textId="77777777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r>
        <w:rPr>
          <w:sz w:val="22"/>
        </w:rPr>
        <w:t>Nem ismert (a rendelkezésre álló adatokból nem állapítható meg)</w:t>
      </w:r>
    </w:p>
    <w:p w14:paraId="66CC948C" w14:textId="2E0C997E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r>
        <w:rPr>
          <w:sz w:val="22"/>
        </w:rPr>
        <w:t>A leggyakrabban jelentett mellékhatások az emésztőrendszeri betegségek és tünetek (anorexia, hányinger és hányás), illetve a vérképzőszervi és nyirokrendszeri betegségek és tünetek (p</w:t>
      </w:r>
      <w:r w:rsidR="007B3DD9">
        <w:rPr>
          <w:sz w:val="22"/>
        </w:rPr>
        <w:t>éldául</w:t>
      </w:r>
      <w:r>
        <w:rPr>
          <w:sz w:val="22"/>
        </w:rPr>
        <w:t> </w:t>
      </w:r>
      <w:proofErr w:type="spellStart"/>
      <w:r>
        <w:rPr>
          <w:sz w:val="22"/>
        </w:rPr>
        <w:t>anaemia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leukopenia</w:t>
      </w:r>
      <w:proofErr w:type="spellEnd"/>
      <w:r>
        <w:rPr>
          <w:sz w:val="22"/>
        </w:rPr>
        <w:t xml:space="preserve"> és </w:t>
      </w:r>
      <w:proofErr w:type="spellStart"/>
      <w:r>
        <w:rPr>
          <w:sz w:val="22"/>
        </w:rPr>
        <w:t>thrombocytopenia</w:t>
      </w:r>
      <w:proofErr w:type="spellEnd"/>
      <w:r>
        <w:rPr>
          <w:sz w:val="22"/>
        </w:rPr>
        <w:t>). Az utóbbiak dózisfüggők, késleltetettek és gyakran csak 3–4 hét elteltével érik el a mélypontot.</w:t>
      </w:r>
    </w:p>
    <w:p w14:paraId="516BB58C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6"/>
        <w:gridCol w:w="4747"/>
      </w:tblGrid>
      <w:tr w:rsidR="00EB654C" w14:paraId="135FE2FA" w14:textId="77777777">
        <w:tc>
          <w:tcPr>
            <w:tcW w:w="3826" w:type="dxa"/>
          </w:tcPr>
          <w:p w14:paraId="2C208AE9" w14:textId="77777777" w:rsidR="00EB654C" w:rsidRDefault="00C651E7">
            <w:pPr>
              <w:pStyle w:val="Syreaspc"/>
              <w:rPr>
                <w:sz w:val="22"/>
                <w:szCs w:val="22"/>
              </w:rPr>
            </w:pPr>
            <w:r>
              <w:rPr>
                <w:sz w:val="22"/>
              </w:rPr>
              <w:t>Fertőző betegségek és parazitafertőzések</w:t>
            </w:r>
          </w:p>
        </w:tc>
        <w:tc>
          <w:tcPr>
            <w:tcW w:w="4747" w:type="dxa"/>
          </w:tcPr>
          <w:p w14:paraId="777DD852" w14:textId="77777777" w:rsidR="00EB654C" w:rsidRDefault="00C651E7">
            <w:pPr>
              <w:pStyle w:val="Syreaspc"/>
              <w:ind w:left="215" w:hanging="215"/>
              <w:rPr>
                <w:sz w:val="22"/>
                <w:szCs w:val="22"/>
              </w:rPr>
            </w:pPr>
            <w:r>
              <w:rPr>
                <w:sz w:val="22"/>
                <w:u w:val="single"/>
              </w:rPr>
              <w:t>Nem gyakori</w:t>
            </w:r>
          </w:p>
          <w:p w14:paraId="31E0AD2A" w14:textId="77777777" w:rsidR="00EB654C" w:rsidRDefault="00C651E7">
            <w:pPr>
              <w:pStyle w:val="Syreaspc"/>
              <w:ind w:left="215" w:hanging="215"/>
              <w:rPr>
                <w:sz w:val="22"/>
                <w:szCs w:val="22"/>
              </w:rPr>
            </w:pPr>
            <w:r>
              <w:rPr>
                <w:sz w:val="22"/>
              </w:rPr>
              <w:t>Fertőzések</w:t>
            </w:r>
          </w:p>
        </w:tc>
      </w:tr>
      <w:tr w:rsidR="00EB654C" w14:paraId="591E4488" w14:textId="77777777">
        <w:tc>
          <w:tcPr>
            <w:tcW w:w="3826" w:type="dxa"/>
          </w:tcPr>
          <w:p w14:paraId="60934591" w14:textId="77777777" w:rsidR="00EB654C" w:rsidRDefault="00C651E7">
            <w:pPr>
              <w:pStyle w:val="Syreaspc"/>
              <w:rPr>
                <w:sz w:val="22"/>
                <w:szCs w:val="22"/>
              </w:rPr>
            </w:pPr>
            <w:r>
              <w:rPr>
                <w:sz w:val="22"/>
              </w:rPr>
              <w:t>Vérképzőszervi és nyirokrendszeri betegségek és tünetek</w:t>
            </w:r>
          </w:p>
        </w:tc>
        <w:tc>
          <w:tcPr>
            <w:tcW w:w="4747" w:type="dxa"/>
          </w:tcPr>
          <w:p w14:paraId="0CE0C716" w14:textId="77777777" w:rsidR="00EB654C" w:rsidRDefault="00C651E7">
            <w:pPr>
              <w:pStyle w:val="Syreaspc"/>
              <w:rPr>
                <w:sz w:val="22"/>
                <w:szCs w:val="22"/>
              </w:rPr>
            </w:pPr>
            <w:r>
              <w:rPr>
                <w:sz w:val="22"/>
                <w:u w:val="single"/>
              </w:rPr>
              <w:t>Gyakori</w:t>
            </w:r>
            <w:r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Anaemia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leukopenia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thrombocytopenia</w:t>
            </w:r>
            <w:proofErr w:type="spellEnd"/>
          </w:p>
          <w:p w14:paraId="264250B0" w14:textId="77777777" w:rsidR="00EB654C" w:rsidRDefault="00C651E7">
            <w:pPr>
              <w:pStyle w:val="Syreaspc"/>
              <w:rPr>
                <w:sz w:val="22"/>
                <w:szCs w:val="22"/>
              </w:rPr>
            </w:pPr>
            <w:r>
              <w:rPr>
                <w:sz w:val="22"/>
                <w:u w:val="single"/>
              </w:rPr>
              <w:t>Ritka</w:t>
            </w:r>
            <w:r>
              <w:rPr>
                <w:sz w:val="22"/>
                <w:u w:val="single"/>
              </w:rPr>
              <w:br/>
            </w:r>
            <w:proofErr w:type="spellStart"/>
            <w:r>
              <w:rPr>
                <w:sz w:val="22"/>
              </w:rPr>
              <w:t>Pancytopenia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agranulocytosis</w:t>
            </w:r>
            <w:proofErr w:type="spellEnd"/>
          </w:p>
        </w:tc>
      </w:tr>
      <w:tr w:rsidR="00EB654C" w14:paraId="798F365D" w14:textId="77777777">
        <w:tc>
          <w:tcPr>
            <w:tcW w:w="3826" w:type="dxa"/>
          </w:tcPr>
          <w:p w14:paraId="7937F204" w14:textId="77777777" w:rsidR="00EB654C" w:rsidRDefault="00C651E7">
            <w:pPr>
              <w:pStyle w:val="Syreaspc"/>
              <w:rPr>
                <w:sz w:val="22"/>
                <w:szCs w:val="22"/>
              </w:rPr>
            </w:pPr>
            <w:r>
              <w:rPr>
                <w:sz w:val="22"/>
              </w:rPr>
              <w:t>Immunrendszeri betegségek és tünetek</w:t>
            </w:r>
          </w:p>
        </w:tc>
        <w:tc>
          <w:tcPr>
            <w:tcW w:w="4747" w:type="dxa"/>
          </w:tcPr>
          <w:p w14:paraId="724C70C5" w14:textId="346930FE" w:rsidR="00EB654C" w:rsidRDefault="00C651E7">
            <w:pPr>
              <w:pStyle w:val="Syreaspc"/>
              <w:rPr>
                <w:sz w:val="22"/>
                <w:szCs w:val="22"/>
                <w:u w:val="single"/>
              </w:rPr>
            </w:pPr>
            <w:r>
              <w:rPr>
                <w:sz w:val="22"/>
                <w:u w:val="single"/>
              </w:rPr>
              <w:t>Ritka</w:t>
            </w:r>
            <w:r>
              <w:rPr>
                <w:sz w:val="22"/>
              </w:rPr>
              <w:br/>
            </w:r>
            <w:proofErr w:type="spellStart"/>
            <w:r w:rsidR="007B3DD9">
              <w:rPr>
                <w:sz w:val="22"/>
              </w:rPr>
              <w:t>Anafilaktikus</w:t>
            </w:r>
            <w:proofErr w:type="spellEnd"/>
            <w:r w:rsidR="007B3DD9">
              <w:rPr>
                <w:sz w:val="22"/>
              </w:rPr>
              <w:t xml:space="preserve"> </w:t>
            </w:r>
            <w:r>
              <w:rPr>
                <w:sz w:val="22"/>
              </w:rPr>
              <w:t>reakciók</w:t>
            </w:r>
          </w:p>
        </w:tc>
      </w:tr>
      <w:tr w:rsidR="00EB654C" w14:paraId="2E05FBD5" w14:textId="77777777">
        <w:tc>
          <w:tcPr>
            <w:tcW w:w="3826" w:type="dxa"/>
          </w:tcPr>
          <w:p w14:paraId="06259748" w14:textId="77777777" w:rsidR="00EB654C" w:rsidRDefault="00C651E7">
            <w:pPr>
              <w:pStyle w:val="Syreaspc"/>
              <w:rPr>
                <w:sz w:val="22"/>
                <w:szCs w:val="22"/>
              </w:rPr>
            </w:pPr>
            <w:r>
              <w:rPr>
                <w:sz w:val="22"/>
              </w:rPr>
              <w:t>Idegrendszeri betegségek és tünetek</w:t>
            </w:r>
          </w:p>
        </w:tc>
        <w:tc>
          <w:tcPr>
            <w:tcW w:w="4747" w:type="dxa"/>
          </w:tcPr>
          <w:p w14:paraId="6B29649E" w14:textId="77777777" w:rsidR="00EB654C" w:rsidRDefault="00C651E7">
            <w:pPr>
              <w:pStyle w:val="Syreaspc"/>
              <w:rPr>
                <w:sz w:val="22"/>
                <w:szCs w:val="22"/>
              </w:rPr>
            </w:pPr>
            <w:r>
              <w:rPr>
                <w:sz w:val="22"/>
                <w:u w:val="single"/>
              </w:rPr>
              <w:t>Ritka</w:t>
            </w:r>
            <w:r>
              <w:rPr>
                <w:sz w:val="22"/>
                <w:u w:val="single"/>
              </w:rPr>
              <w:br/>
            </w:r>
            <w:r>
              <w:rPr>
                <w:sz w:val="22"/>
              </w:rPr>
              <w:t xml:space="preserve">Fejfájás, látászavarok, zavarodottság, </w:t>
            </w:r>
            <w:proofErr w:type="spellStart"/>
            <w:r>
              <w:rPr>
                <w:sz w:val="22"/>
              </w:rPr>
              <w:t>lethargia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convulsiók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arcparaesthesia</w:t>
            </w:r>
            <w:proofErr w:type="spellEnd"/>
          </w:p>
        </w:tc>
      </w:tr>
      <w:tr w:rsidR="00EB654C" w14:paraId="561247C6" w14:textId="77777777">
        <w:tc>
          <w:tcPr>
            <w:tcW w:w="3826" w:type="dxa"/>
          </w:tcPr>
          <w:p w14:paraId="369AECBA" w14:textId="77777777" w:rsidR="00EB654C" w:rsidRDefault="00C651E7">
            <w:pPr>
              <w:pStyle w:val="Syreaspc"/>
              <w:rPr>
                <w:sz w:val="22"/>
                <w:szCs w:val="22"/>
              </w:rPr>
            </w:pPr>
            <w:r>
              <w:rPr>
                <w:sz w:val="22"/>
              </w:rPr>
              <w:t>Érbetegségek és tünetek</w:t>
            </w:r>
          </w:p>
        </w:tc>
        <w:tc>
          <w:tcPr>
            <w:tcW w:w="4747" w:type="dxa"/>
          </w:tcPr>
          <w:p w14:paraId="707866F2" w14:textId="77777777" w:rsidR="00EB654C" w:rsidRDefault="00C651E7">
            <w:pPr>
              <w:pStyle w:val="Syreaspc"/>
              <w:rPr>
                <w:sz w:val="22"/>
                <w:szCs w:val="22"/>
                <w:u w:val="single"/>
              </w:rPr>
            </w:pPr>
            <w:r>
              <w:rPr>
                <w:sz w:val="22"/>
                <w:u w:val="single"/>
              </w:rPr>
              <w:t>Ritka</w:t>
            </w:r>
            <w:r>
              <w:rPr>
                <w:sz w:val="22"/>
                <w:u w:val="single"/>
              </w:rPr>
              <w:br/>
            </w:r>
            <w:r>
              <w:rPr>
                <w:sz w:val="22"/>
              </w:rPr>
              <w:t>Arcpír</w:t>
            </w:r>
          </w:p>
        </w:tc>
      </w:tr>
      <w:tr w:rsidR="00EB654C" w14:paraId="6E84C90E" w14:textId="77777777">
        <w:tc>
          <w:tcPr>
            <w:tcW w:w="3826" w:type="dxa"/>
          </w:tcPr>
          <w:p w14:paraId="16586C7F" w14:textId="77777777" w:rsidR="00EB654C" w:rsidRDefault="00C651E7">
            <w:pPr>
              <w:pStyle w:val="Syreaspc"/>
              <w:rPr>
                <w:sz w:val="22"/>
                <w:szCs w:val="22"/>
              </w:rPr>
            </w:pPr>
            <w:r>
              <w:rPr>
                <w:sz w:val="22"/>
              </w:rPr>
              <w:t>Emésztőrendszeri betegségek és tünetek</w:t>
            </w:r>
          </w:p>
          <w:p w14:paraId="5946F763" w14:textId="77777777" w:rsidR="00EB654C" w:rsidRDefault="00EB654C">
            <w:pPr>
              <w:pStyle w:val="Syreaspc"/>
              <w:rPr>
                <w:sz w:val="22"/>
                <w:szCs w:val="22"/>
                <w:lang w:val="en-GB"/>
              </w:rPr>
            </w:pPr>
          </w:p>
        </w:tc>
        <w:tc>
          <w:tcPr>
            <w:tcW w:w="4747" w:type="dxa"/>
          </w:tcPr>
          <w:p w14:paraId="128D7419" w14:textId="77777777" w:rsidR="00EB654C" w:rsidRDefault="00C651E7">
            <w:pPr>
              <w:pStyle w:val="Syreaspc"/>
              <w:rPr>
                <w:sz w:val="22"/>
                <w:szCs w:val="22"/>
              </w:rPr>
            </w:pPr>
            <w:r>
              <w:rPr>
                <w:sz w:val="22"/>
                <w:u w:val="single"/>
              </w:rPr>
              <w:t>Gyakori</w:t>
            </w:r>
            <w:r>
              <w:rPr>
                <w:sz w:val="22"/>
                <w:u w:val="single"/>
              </w:rPr>
              <w:br/>
            </w:r>
            <w:r>
              <w:rPr>
                <w:sz w:val="22"/>
              </w:rPr>
              <w:t>Anorexia, hányinger, hányás</w:t>
            </w:r>
          </w:p>
          <w:p w14:paraId="57ABA278" w14:textId="77777777" w:rsidR="00EB654C" w:rsidRDefault="00C651E7">
            <w:pPr>
              <w:pStyle w:val="Syreaspc"/>
              <w:rPr>
                <w:sz w:val="22"/>
                <w:szCs w:val="22"/>
              </w:rPr>
            </w:pPr>
            <w:r>
              <w:rPr>
                <w:sz w:val="22"/>
                <w:u w:val="single"/>
              </w:rPr>
              <w:t>Ritka</w:t>
            </w:r>
            <w:r>
              <w:rPr>
                <w:sz w:val="22"/>
                <w:u w:val="single"/>
              </w:rPr>
              <w:br/>
            </w:r>
            <w:r>
              <w:rPr>
                <w:sz w:val="22"/>
              </w:rPr>
              <w:t>Hasmenés</w:t>
            </w:r>
          </w:p>
        </w:tc>
      </w:tr>
      <w:tr w:rsidR="00EB654C" w14:paraId="257FC977" w14:textId="77777777">
        <w:tc>
          <w:tcPr>
            <w:tcW w:w="3826" w:type="dxa"/>
          </w:tcPr>
          <w:p w14:paraId="77221AC3" w14:textId="77777777" w:rsidR="00EB654C" w:rsidRDefault="00C651E7">
            <w:pPr>
              <w:pStyle w:val="Syreaspc"/>
              <w:rPr>
                <w:sz w:val="22"/>
                <w:szCs w:val="22"/>
              </w:rPr>
            </w:pPr>
            <w:r>
              <w:rPr>
                <w:sz w:val="22"/>
              </w:rPr>
              <w:t>Máj- és epebetegségek, illetve tünetek</w:t>
            </w:r>
          </w:p>
          <w:p w14:paraId="7269B4A1" w14:textId="77777777" w:rsidR="00EB654C" w:rsidRDefault="00EB654C">
            <w:pPr>
              <w:pStyle w:val="Syreaspc"/>
              <w:rPr>
                <w:sz w:val="22"/>
                <w:szCs w:val="22"/>
                <w:lang w:val="en-GB"/>
              </w:rPr>
            </w:pPr>
          </w:p>
        </w:tc>
        <w:tc>
          <w:tcPr>
            <w:tcW w:w="4747" w:type="dxa"/>
          </w:tcPr>
          <w:p w14:paraId="5C438630" w14:textId="77777777" w:rsidR="00EB654C" w:rsidRDefault="00C651E7">
            <w:pPr>
              <w:pStyle w:val="Cmsor6"/>
              <w:ind w:left="0" w:firstLine="0"/>
              <w:rPr>
                <w:rFonts w:ascii="Times New Roman" w:hAnsi="Times New Roman"/>
                <w:color w:val="auto"/>
                <w:sz w:val="22"/>
                <w:szCs w:val="22"/>
                <w:u w:val="single"/>
              </w:rPr>
            </w:pPr>
            <w:r>
              <w:rPr>
                <w:rFonts w:ascii="Times New Roman" w:hAnsi="Times New Roman"/>
                <w:color w:val="auto"/>
                <w:sz w:val="22"/>
                <w:u w:val="single"/>
              </w:rPr>
              <w:t>Ritka</w:t>
            </w:r>
            <w:r>
              <w:rPr>
                <w:rFonts w:ascii="Times New Roman" w:hAnsi="Times New Roman"/>
                <w:color w:val="auto"/>
                <w:sz w:val="22"/>
                <w:u w:val="single"/>
              </w:rPr>
              <w:br/>
            </w:r>
            <w:proofErr w:type="spellStart"/>
            <w:r>
              <w:rPr>
                <w:rFonts w:ascii="Times New Roman" w:hAnsi="Times New Roman"/>
                <w:color w:val="auto"/>
                <w:sz w:val="22"/>
              </w:rPr>
              <w:t>Venoocclusiv</w:t>
            </w:r>
            <w:proofErr w:type="spellEnd"/>
            <w:r>
              <w:rPr>
                <w:rFonts w:ascii="Times New Roman" w:hAnsi="Times New Roman"/>
                <w:color w:val="auto"/>
                <w:sz w:val="22"/>
              </w:rPr>
              <w:t xml:space="preserve"> betegség (VOD) miatti </w:t>
            </w:r>
            <w:proofErr w:type="spellStart"/>
            <w:r>
              <w:rPr>
                <w:rFonts w:ascii="Times New Roman" w:hAnsi="Times New Roman"/>
                <w:color w:val="auto"/>
                <w:sz w:val="22"/>
              </w:rPr>
              <w:t>májnecrosis</w:t>
            </w:r>
            <w:proofErr w:type="spellEnd"/>
            <w:r>
              <w:rPr>
                <w:rFonts w:ascii="Times New Roman" w:hAnsi="Times New Roman"/>
                <w:color w:val="auto"/>
                <w:sz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2"/>
              </w:rPr>
              <w:t>Budd</w:t>
            </w:r>
            <w:proofErr w:type="spellEnd"/>
            <w:r>
              <w:rPr>
                <w:rFonts w:ascii="Times New Roman" w:hAnsi="Times New Roman"/>
                <w:color w:val="auto"/>
                <w:sz w:val="22"/>
              </w:rPr>
              <w:t>–</w:t>
            </w:r>
            <w:proofErr w:type="spellStart"/>
            <w:r>
              <w:rPr>
                <w:rFonts w:ascii="Times New Roman" w:hAnsi="Times New Roman"/>
                <w:color w:val="auto"/>
                <w:sz w:val="22"/>
              </w:rPr>
              <w:t>Chiari</w:t>
            </w:r>
            <w:proofErr w:type="spellEnd"/>
            <w:r>
              <w:rPr>
                <w:rFonts w:ascii="Times New Roman" w:hAnsi="Times New Roman"/>
                <w:color w:val="auto"/>
                <w:sz w:val="22"/>
              </w:rPr>
              <w:t>-szindróma (lehetséges halálos kimenetellel)</w:t>
            </w:r>
          </w:p>
        </w:tc>
      </w:tr>
      <w:tr w:rsidR="00EB654C" w14:paraId="2C53FDC9" w14:textId="77777777">
        <w:tc>
          <w:tcPr>
            <w:tcW w:w="3826" w:type="dxa"/>
          </w:tcPr>
          <w:p w14:paraId="32608E88" w14:textId="77777777" w:rsidR="00EB654C" w:rsidRDefault="00C651E7">
            <w:pPr>
              <w:pStyle w:val="Syreaspc"/>
              <w:rPr>
                <w:sz w:val="22"/>
                <w:szCs w:val="22"/>
              </w:rPr>
            </w:pPr>
            <w:r>
              <w:rPr>
                <w:sz w:val="22"/>
              </w:rPr>
              <w:t>Vese- és húgyúti betegségek és tünetek</w:t>
            </w:r>
          </w:p>
        </w:tc>
        <w:tc>
          <w:tcPr>
            <w:tcW w:w="4747" w:type="dxa"/>
          </w:tcPr>
          <w:p w14:paraId="3D48C901" w14:textId="77777777" w:rsidR="00EB654C" w:rsidRDefault="00C651E7">
            <w:pPr>
              <w:pStyle w:val="Syreaspc"/>
              <w:rPr>
                <w:sz w:val="22"/>
                <w:szCs w:val="22"/>
                <w:u w:val="single"/>
              </w:rPr>
            </w:pPr>
            <w:r>
              <w:rPr>
                <w:sz w:val="22"/>
                <w:u w:val="single"/>
              </w:rPr>
              <w:t>Ritka</w:t>
            </w:r>
            <w:r>
              <w:rPr>
                <w:sz w:val="22"/>
                <w:u w:val="single"/>
              </w:rPr>
              <w:br/>
            </w:r>
            <w:r>
              <w:rPr>
                <w:sz w:val="22"/>
              </w:rPr>
              <w:t>Károsodott vesefunkció</w:t>
            </w:r>
          </w:p>
        </w:tc>
      </w:tr>
      <w:tr w:rsidR="00EB654C" w14:paraId="2F5130B2" w14:textId="77777777">
        <w:tc>
          <w:tcPr>
            <w:tcW w:w="3826" w:type="dxa"/>
          </w:tcPr>
          <w:p w14:paraId="2D3BDA5E" w14:textId="77777777" w:rsidR="00EB654C" w:rsidRDefault="00C651E7">
            <w:pPr>
              <w:pStyle w:val="Syreaspc"/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</w:rPr>
              <w:t>A bőr és a bőr alatti szövet betegségei és tünetei</w:t>
            </w:r>
          </w:p>
        </w:tc>
        <w:tc>
          <w:tcPr>
            <w:tcW w:w="4747" w:type="dxa"/>
          </w:tcPr>
          <w:p w14:paraId="6C351386" w14:textId="77777777" w:rsidR="00EB654C" w:rsidRDefault="00C651E7">
            <w:pPr>
              <w:pStyle w:val="Syreaspc"/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u w:val="single"/>
              </w:rPr>
              <w:t>Nem gyakori</w:t>
            </w:r>
            <w:r>
              <w:rPr>
                <w:sz w:val="22"/>
                <w:u w:val="single"/>
              </w:rPr>
              <w:br/>
            </w:r>
            <w:proofErr w:type="spellStart"/>
            <w:r>
              <w:rPr>
                <w:sz w:val="22"/>
              </w:rPr>
              <w:t>Alopecia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hyperpigmentatio</w:t>
            </w:r>
            <w:proofErr w:type="spellEnd"/>
            <w:r>
              <w:rPr>
                <w:sz w:val="22"/>
              </w:rPr>
              <w:t xml:space="preserve">, fényérzékenység </w:t>
            </w:r>
          </w:p>
          <w:p w14:paraId="4B3AF18B" w14:textId="77777777" w:rsidR="00EB654C" w:rsidRDefault="00C651E7">
            <w:pPr>
              <w:pStyle w:val="Syreaspc"/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u w:val="single"/>
              </w:rPr>
              <w:t>Ritka</w:t>
            </w:r>
            <w:r>
              <w:rPr>
                <w:sz w:val="22"/>
                <w:u w:val="single"/>
              </w:rPr>
              <w:br/>
            </w:r>
            <w:proofErr w:type="spellStart"/>
            <w:r>
              <w:rPr>
                <w:sz w:val="22"/>
              </w:rPr>
              <w:t>Erythema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maculopapularis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exanthema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urticaria</w:t>
            </w:r>
            <w:proofErr w:type="spellEnd"/>
          </w:p>
        </w:tc>
      </w:tr>
      <w:tr w:rsidR="00EB654C" w14:paraId="690DE382" w14:textId="77777777">
        <w:tc>
          <w:tcPr>
            <w:tcW w:w="3826" w:type="dxa"/>
          </w:tcPr>
          <w:p w14:paraId="58C5F647" w14:textId="77777777" w:rsidR="00EB654C" w:rsidRDefault="00C651E7">
            <w:pPr>
              <w:pStyle w:val="Syreaspc"/>
              <w:rPr>
                <w:sz w:val="22"/>
                <w:szCs w:val="22"/>
              </w:rPr>
            </w:pPr>
            <w:r>
              <w:rPr>
                <w:sz w:val="22"/>
              </w:rPr>
              <w:t>Általános tünetek, az alkalmazás helyén fellépő reakciók</w:t>
            </w:r>
          </w:p>
        </w:tc>
        <w:tc>
          <w:tcPr>
            <w:tcW w:w="4747" w:type="dxa"/>
          </w:tcPr>
          <w:p w14:paraId="3D85E4EC" w14:textId="77777777" w:rsidR="00EB654C" w:rsidRDefault="00C651E7">
            <w:pPr>
              <w:pStyle w:val="Syreaspc"/>
              <w:rPr>
                <w:sz w:val="22"/>
                <w:szCs w:val="22"/>
              </w:rPr>
            </w:pPr>
            <w:r>
              <w:rPr>
                <w:sz w:val="22"/>
                <w:u w:val="single"/>
              </w:rPr>
              <w:t>Nem gyakori</w:t>
            </w:r>
            <w:r>
              <w:rPr>
                <w:sz w:val="22"/>
              </w:rPr>
              <w:br/>
              <w:t xml:space="preserve">Influenzaszerű tünetek </w:t>
            </w:r>
          </w:p>
          <w:p w14:paraId="54AC177C" w14:textId="77777777" w:rsidR="00EB654C" w:rsidRDefault="00C651E7">
            <w:pPr>
              <w:pStyle w:val="Syreaspc"/>
              <w:rPr>
                <w:sz w:val="22"/>
                <w:szCs w:val="22"/>
                <w:u w:val="single"/>
              </w:rPr>
            </w:pPr>
            <w:r>
              <w:rPr>
                <w:sz w:val="22"/>
                <w:u w:val="single"/>
              </w:rPr>
              <w:t>Ritka</w:t>
            </w:r>
            <w:r>
              <w:rPr>
                <w:sz w:val="22"/>
                <w:u w:val="single"/>
              </w:rPr>
              <w:br/>
            </w:r>
            <w:r>
              <w:rPr>
                <w:sz w:val="22"/>
              </w:rPr>
              <w:t>Irritáció az alkalmazás helyén</w:t>
            </w:r>
          </w:p>
        </w:tc>
      </w:tr>
      <w:tr w:rsidR="00EB654C" w14:paraId="1B37AA62" w14:textId="77777777">
        <w:tc>
          <w:tcPr>
            <w:tcW w:w="3826" w:type="dxa"/>
          </w:tcPr>
          <w:p w14:paraId="54DDEEE8" w14:textId="77777777" w:rsidR="00EB654C" w:rsidRDefault="00C651E7">
            <w:pPr>
              <w:pStyle w:val="Syreaspc"/>
              <w:rPr>
                <w:sz w:val="22"/>
                <w:szCs w:val="22"/>
              </w:rPr>
            </w:pPr>
            <w:r>
              <w:rPr>
                <w:sz w:val="22"/>
              </w:rPr>
              <w:t>Laboratóriumi és egyéb vizsgálatok eredményei</w:t>
            </w:r>
          </w:p>
        </w:tc>
        <w:tc>
          <w:tcPr>
            <w:tcW w:w="4747" w:type="dxa"/>
          </w:tcPr>
          <w:p w14:paraId="61231DB6" w14:textId="77777777" w:rsidR="00EB654C" w:rsidRDefault="00C651E7">
            <w:pPr>
              <w:pStyle w:val="Syreaspc"/>
              <w:rPr>
                <w:sz w:val="22"/>
                <w:szCs w:val="22"/>
              </w:rPr>
            </w:pPr>
            <w:r>
              <w:rPr>
                <w:sz w:val="22"/>
                <w:u w:val="single"/>
              </w:rPr>
              <w:t>Ritka</w:t>
            </w:r>
            <w:r>
              <w:rPr>
                <w:sz w:val="22"/>
                <w:u w:val="single"/>
              </w:rPr>
              <w:br/>
            </w:r>
            <w:r>
              <w:rPr>
                <w:sz w:val="22"/>
              </w:rPr>
              <w:t xml:space="preserve">Májenzimszint-emelkedés (pl. alkalikus </w:t>
            </w:r>
            <w:proofErr w:type="spellStart"/>
            <w:r>
              <w:rPr>
                <w:sz w:val="22"/>
              </w:rPr>
              <w:t>foszfatáz</w:t>
            </w:r>
            <w:proofErr w:type="spellEnd"/>
            <w:r>
              <w:rPr>
                <w:sz w:val="22"/>
              </w:rPr>
              <w:t>, GOT, GPT), laktát-</w:t>
            </w:r>
            <w:proofErr w:type="spellStart"/>
            <w:r>
              <w:rPr>
                <w:sz w:val="22"/>
              </w:rPr>
              <w:t>dehidrogenáz</w:t>
            </w:r>
            <w:proofErr w:type="spellEnd"/>
            <w:r>
              <w:rPr>
                <w:sz w:val="22"/>
              </w:rPr>
              <w:t xml:space="preserve"> (LDH) szintjének emelkedése a vérben, </w:t>
            </w:r>
            <w:proofErr w:type="spellStart"/>
            <w:r>
              <w:rPr>
                <w:sz w:val="22"/>
              </w:rPr>
              <w:t>kreatininszint</w:t>
            </w:r>
            <w:proofErr w:type="spellEnd"/>
            <w:r>
              <w:rPr>
                <w:sz w:val="22"/>
              </w:rPr>
              <w:t xml:space="preserve"> emelkedése a vérben, </w:t>
            </w:r>
            <w:proofErr w:type="spellStart"/>
            <w:r>
              <w:rPr>
                <w:sz w:val="22"/>
              </w:rPr>
              <w:t>ureaszint</w:t>
            </w:r>
            <w:proofErr w:type="spellEnd"/>
            <w:r>
              <w:rPr>
                <w:sz w:val="22"/>
              </w:rPr>
              <w:t xml:space="preserve"> emelkedése a vérben</w:t>
            </w:r>
          </w:p>
        </w:tc>
      </w:tr>
    </w:tbl>
    <w:p w14:paraId="41902E38" w14:textId="77777777" w:rsidR="00EB654C" w:rsidRDefault="00EB654C">
      <w:pPr>
        <w:ind w:right="-284"/>
        <w:rPr>
          <w:sz w:val="22"/>
          <w:szCs w:val="22"/>
          <w:u w:val="single"/>
        </w:rPr>
      </w:pPr>
    </w:p>
    <w:p w14:paraId="5349F229" w14:textId="77777777" w:rsidR="00EB654C" w:rsidRDefault="00C651E7">
      <w:pPr>
        <w:ind w:right="-284"/>
        <w:rPr>
          <w:sz w:val="22"/>
          <w:szCs w:val="22"/>
          <w:u w:val="single"/>
        </w:rPr>
      </w:pPr>
      <w:r w:rsidRPr="00183579">
        <w:rPr>
          <w:sz w:val="22"/>
          <w:u w:val="single"/>
        </w:rPr>
        <w:t>Kiválasztott mellékhatások leírása</w:t>
      </w:r>
    </w:p>
    <w:p w14:paraId="56DBE43D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>A vérsejtszámban gyakran megfigyelt változások (</w:t>
      </w:r>
      <w:proofErr w:type="spellStart"/>
      <w:r>
        <w:rPr>
          <w:sz w:val="22"/>
        </w:rPr>
        <w:t>anaemia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leukopenia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thrombocytopenia</w:t>
      </w:r>
      <w:proofErr w:type="spellEnd"/>
      <w:r>
        <w:rPr>
          <w:sz w:val="22"/>
        </w:rPr>
        <w:t>) dózisfüggők, késleltetve jelentkeznek, és gyakran csak 3–4 hét elteltével érik el a mélypontot.</w:t>
      </w:r>
    </w:p>
    <w:p w14:paraId="4CCFCDBA" w14:textId="77777777" w:rsidR="00EB654C" w:rsidRDefault="00EB654C">
      <w:pPr>
        <w:ind w:right="-284"/>
        <w:rPr>
          <w:sz w:val="22"/>
          <w:szCs w:val="22"/>
        </w:rPr>
      </w:pPr>
    </w:p>
    <w:p w14:paraId="5B14430B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 xml:space="preserve">Alkalmanként kimerültséggel, hidegrázással, lázzal és izomfájdalommal társuló influenzaszerű tünetek figyelhetők meg 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beadása alatt, vagy sokszor csak napokkal azt követően. Ezek a tünetek a következő infúziónál újból jelentkezhetnek.</w:t>
      </w:r>
    </w:p>
    <w:p w14:paraId="335CDB1B" w14:textId="77777777" w:rsidR="00EB654C" w:rsidRDefault="00EB654C">
      <w:pPr>
        <w:ind w:right="-284"/>
        <w:rPr>
          <w:sz w:val="22"/>
          <w:szCs w:val="22"/>
        </w:rPr>
      </w:pPr>
    </w:p>
    <w:p w14:paraId="0C4E7A0C" w14:textId="2B193349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 xml:space="preserve">Ritkán az </w:t>
      </w:r>
      <w:proofErr w:type="spellStart"/>
      <w:r>
        <w:rPr>
          <w:sz w:val="22"/>
        </w:rPr>
        <w:t>intrahepaticus</w:t>
      </w:r>
      <w:proofErr w:type="spellEnd"/>
      <w:r>
        <w:rPr>
          <w:sz w:val="22"/>
        </w:rPr>
        <w:t xml:space="preserve"> vénák elzáródása miatti </w:t>
      </w:r>
      <w:proofErr w:type="spellStart"/>
      <w:r>
        <w:rPr>
          <w:sz w:val="22"/>
        </w:rPr>
        <w:t>májnecrosis</w:t>
      </w:r>
      <w:proofErr w:type="spellEnd"/>
      <w:r>
        <w:rPr>
          <w:sz w:val="22"/>
        </w:rPr>
        <w:t xml:space="preserve"> (</w:t>
      </w:r>
      <w:proofErr w:type="spellStart"/>
      <w:r>
        <w:rPr>
          <w:sz w:val="22"/>
        </w:rPr>
        <w:t>venoocclusiv</w:t>
      </w:r>
      <w:proofErr w:type="spellEnd"/>
      <w:r>
        <w:rPr>
          <w:sz w:val="22"/>
        </w:rPr>
        <w:t xml:space="preserve"> májbetegség, </w:t>
      </w:r>
      <w:proofErr w:type="spellStart"/>
      <w:r>
        <w:rPr>
          <w:sz w:val="22"/>
        </w:rPr>
        <w:t>Budd</w:t>
      </w:r>
      <w:proofErr w:type="spellEnd"/>
      <w:r>
        <w:rPr>
          <w:sz w:val="22"/>
        </w:rPr>
        <w:t>–</w:t>
      </w:r>
      <w:proofErr w:type="spellStart"/>
      <w:r>
        <w:rPr>
          <w:sz w:val="22"/>
        </w:rPr>
        <w:t>Chiari</w:t>
      </w:r>
      <w:proofErr w:type="spellEnd"/>
      <w:r>
        <w:rPr>
          <w:sz w:val="22"/>
        </w:rPr>
        <w:t xml:space="preserve">-szindróma) is megfigyelhető volt 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beadása után, mind </w:t>
      </w:r>
      <w:proofErr w:type="spellStart"/>
      <w:r>
        <w:rPr>
          <w:sz w:val="22"/>
        </w:rPr>
        <w:t>monoterápiás</w:t>
      </w:r>
      <w:proofErr w:type="spellEnd"/>
      <w:r>
        <w:rPr>
          <w:sz w:val="22"/>
        </w:rPr>
        <w:t xml:space="preserve">, mind kombinált kemoterápiás kezelési módok esetén. A szindróma általában a terápia második ciklusa alatt lépett fel. A tünetek közé tartoztak a láz, </w:t>
      </w:r>
      <w:proofErr w:type="spellStart"/>
      <w:r>
        <w:rPr>
          <w:sz w:val="22"/>
        </w:rPr>
        <w:t>eosinophilia</w:t>
      </w:r>
      <w:proofErr w:type="spellEnd"/>
      <w:r>
        <w:rPr>
          <w:sz w:val="22"/>
        </w:rPr>
        <w:t xml:space="preserve">, hasi fájdalom, májmegnagyobbodás, sárgaság és sokk, amelyek gyorsan rosszabbodtak néhány óra vagy nap leforgása alatt. Mivel halálos kimenetelről is beszámoltak, különösen fontos rendszeresen ellenőrizni a máj méretét, működését és a vérsejtszámokat (különösen az </w:t>
      </w:r>
      <w:proofErr w:type="spellStart"/>
      <w:r>
        <w:rPr>
          <w:sz w:val="22"/>
        </w:rPr>
        <w:t>eosinophileket</w:t>
      </w:r>
      <w:proofErr w:type="spellEnd"/>
      <w:r>
        <w:rPr>
          <w:sz w:val="22"/>
        </w:rPr>
        <w:t xml:space="preserve">). Feltételezett </w:t>
      </w:r>
      <w:proofErr w:type="spellStart"/>
      <w:r>
        <w:rPr>
          <w:sz w:val="22"/>
        </w:rPr>
        <w:t>venoocclusiv</w:t>
      </w:r>
      <w:proofErr w:type="spellEnd"/>
      <w:r>
        <w:rPr>
          <w:sz w:val="22"/>
        </w:rPr>
        <w:t xml:space="preserve"> megbetegedés egyedi eseteiben a </w:t>
      </w:r>
      <w:proofErr w:type="spellStart"/>
      <w:r>
        <w:rPr>
          <w:sz w:val="22"/>
        </w:rPr>
        <w:t>fibrinolitikus</w:t>
      </w:r>
      <w:proofErr w:type="spellEnd"/>
      <w:r>
        <w:rPr>
          <w:sz w:val="22"/>
        </w:rPr>
        <w:t xml:space="preserve"> szerekkel (p</w:t>
      </w:r>
      <w:r w:rsidR="00183579">
        <w:rPr>
          <w:sz w:val="22"/>
        </w:rPr>
        <w:t>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heparinnal</w:t>
      </w:r>
      <w:proofErr w:type="spellEnd"/>
      <w:r>
        <w:rPr>
          <w:sz w:val="22"/>
        </w:rPr>
        <w:t xml:space="preserve"> vagy szöveti </w:t>
      </w:r>
      <w:proofErr w:type="spellStart"/>
      <w:r>
        <w:rPr>
          <w:sz w:val="22"/>
        </w:rPr>
        <w:t>plazminogénaktivátorral</w:t>
      </w:r>
      <w:proofErr w:type="spellEnd"/>
      <w:r>
        <w:rPr>
          <w:sz w:val="22"/>
        </w:rPr>
        <w:t xml:space="preserve">) együtt vagy azok nélkül adott nagy dózisú </w:t>
      </w:r>
      <w:proofErr w:type="spellStart"/>
      <w:r>
        <w:rPr>
          <w:sz w:val="22"/>
        </w:rPr>
        <w:t>kortikoszteroiddal</w:t>
      </w:r>
      <w:proofErr w:type="spellEnd"/>
      <w:r>
        <w:rPr>
          <w:sz w:val="22"/>
        </w:rPr>
        <w:t xml:space="preserve"> (p</w:t>
      </w:r>
      <w:r w:rsidR="00183579">
        <w:rPr>
          <w:sz w:val="22"/>
        </w:rPr>
        <w:t>éldául</w:t>
      </w:r>
      <w:r>
        <w:rPr>
          <w:sz w:val="22"/>
        </w:rPr>
        <w:t xml:space="preserve"> napi 300 mg hidrokortizon) végzett kezelés sikeresnek bizonyult (lásd 4.2 és 4.4 pont).</w:t>
      </w:r>
    </w:p>
    <w:p w14:paraId="39ACCCAA" w14:textId="77777777" w:rsidR="00EB654C" w:rsidRDefault="00EB654C">
      <w:pPr>
        <w:ind w:right="-284"/>
        <w:rPr>
          <w:sz w:val="22"/>
          <w:szCs w:val="22"/>
        </w:rPr>
      </w:pPr>
    </w:p>
    <w:p w14:paraId="35347957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 xml:space="preserve">Az alkalmazás helyén fellépő reakciókról és néhány szisztémás mellékhatásról feltételezett, hogy azok </w:t>
      </w:r>
      <w:proofErr w:type="spellStart"/>
      <w:r>
        <w:rPr>
          <w:sz w:val="22"/>
        </w:rPr>
        <w:t>fotodegradációs</w:t>
      </w:r>
      <w:proofErr w:type="spellEnd"/>
      <w:r>
        <w:rPr>
          <w:sz w:val="22"/>
        </w:rPr>
        <w:t xml:space="preserve"> melléktermékek kialakulásának eredményei.</w:t>
      </w:r>
    </w:p>
    <w:p w14:paraId="391FC171" w14:textId="77777777" w:rsidR="00EB654C" w:rsidRDefault="00EB654C">
      <w:pPr>
        <w:ind w:right="-284"/>
        <w:rPr>
          <w:sz w:val="22"/>
          <w:szCs w:val="22"/>
        </w:rPr>
      </w:pPr>
    </w:p>
    <w:p w14:paraId="124CE6CB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>A kizárólag vizelettel kiválasztott anyagok vérszintjének megnövekedésével járó vesekárosodás ritka.</w:t>
      </w:r>
    </w:p>
    <w:p w14:paraId="2B3EABF3" w14:textId="77777777" w:rsidR="00EB654C" w:rsidRDefault="00EB654C">
      <w:pPr>
        <w:ind w:right="-284"/>
        <w:rPr>
          <w:sz w:val="22"/>
          <w:szCs w:val="22"/>
        </w:rPr>
      </w:pPr>
    </w:p>
    <w:p w14:paraId="1E575794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 xml:space="preserve">Röviddel a beadás után előfordulhat az arc </w:t>
      </w:r>
      <w:proofErr w:type="spellStart"/>
      <w:r>
        <w:rPr>
          <w:sz w:val="22"/>
        </w:rPr>
        <w:t>paraesthesiája</w:t>
      </w:r>
      <w:proofErr w:type="spellEnd"/>
      <w:r>
        <w:rPr>
          <w:sz w:val="22"/>
        </w:rPr>
        <w:t xml:space="preserve"> és az arc kipirulása.</w:t>
      </w:r>
    </w:p>
    <w:p w14:paraId="17C79B7D" w14:textId="77777777" w:rsidR="00EB654C" w:rsidRDefault="00EB654C">
      <w:pPr>
        <w:ind w:right="-284"/>
        <w:rPr>
          <w:sz w:val="22"/>
          <w:szCs w:val="22"/>
        </w:rPr>
      </w:pPr>
    </w:p>
    <w:p w14:paraId="5FA4D244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 xml:space="preserve">Ritkán megfigyeltek allergiás reakciókat a bőrön </w:t>
      </w:r>
      <w:proofErr w:type="spellStart"/>
      <w:r>
        <w:rPr>
          <w:sz w:val="22"/>
        </w:rPr>
        <w:t>erythema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maculopapularis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exanthema</w:t>
      </w:r>
      <w:proofErr w:type="spellEnd"/>
      <w:r>
        <w:rPr>
          <w:sz w:val="22"/>
        </w:rPr>
        <w:t xml:space="preserve"> vagy </w:t>
      </w:r>
      <w:proofErr w:type="spellStart"/>
      <w:r>
        <w:rPr>
          <w:sz w:val="22"/>
        </w:rPr>
        <w:t>urticaria</w:t>
      </w:r>
      <w:proofErr w:type="spellEnd"/>
      <w:r>
        <w:rPr>
          <w:sz w:val="22"/>
        </w:rPr>
        <w:t xml:space="preserve"> formájában. </w:t>
      </w:r>
    </w:p>
    <w:p w14:paraId="51235BF6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 xml:space="preserve">A véletlen </w:t>
      </w:r>
      <w:proofErr w:type="spellStart"/>
      <w:r>
        <w:rPr>
          <w:sz w:val="22"/>
        </w:rPr>
        <w:t>extravasalis</w:t>
      </w:r>
      <w:proofErr w:type="spellEnd"/>
      <w:r>
        <w:rPr>
          <w:sz w:val="22"/>
        </w:rPr>
        <w:t xml:space="preserve"> alkalmazás várhatóan helyi fájdalmat és </w:t>
      </w:r>
      <w:proofErr w:type="spellStart"/>
      <w:r>
        <w:rPr>
          <w:sz w:val="22"/>
        </w:rPr>
        <w:t>necrosist</w:t>
      </w:r>
      <w:proofErr w:type="spellEnd"/>
      <w:r>
        <w:rPr>
          <w:sz w:val="22"/>
        </w:rPr>
        <w:t xml:space="preserve"> okoz.</w:t>
      </w:r>
    </w:p>
    <w:p w14:paraId="548BBD5D" w14:textId="77777777" w:rsidR="00EB654C" w:rsidRDefault="00EB654C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</w:p>
    <w:p w14:paraId="0FEC8031" w14:textId="77777777" w:rsidR="00EB654C" w:rsidRDefault="00C651E7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  <w:u w:val="single"/>
        </w:rPr>
      </w:pPr>
      <w:r>
        <w:rPr>
          <w:sz w:val="22"/>
          <w:u w:val="single"/>
        </w:rPr>
        <w:t>Feltételezett mellékhatások bejelentése</w:t>
      </w:r>
    </w:p>
    <w:p w14:paraId="7EFE7E63" w14:textId="00D1411A" w:rsidR="00EB654C" w:rsidRPr="00A14357" w:rsidRDefault="00C651E7">
      <w:pPr>
        <w:ind w:right="-284"/>
        <w:rPr>
          <w:sz w:val="22"/>
          <w:szCs w:val="22"/>
        </w:rPr>
      </w:pPr>
      <w:r w:rsidRPr="00634235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7" w:history="1">
        <w:r w:rsidRPr="00A14357">
          <w:rPr>
            <w:color w:val="0000FF"/>
            <w:sz w:val="22"/>
            <w:szCs w:val="22"/>
            <w:highlight w:val="lightGray"/>
            <w:u w:val="single"/>
          </w:rPr>
          <w:t>V. függelékben</w:t>
        </w:r>
      </w:hyperlink>
      <w:r w:rsidRPr="00A14357">
        <w:rPr>
          <w:sz w:val="22"/>
          <w:szCs w:val="22"/>
          <w:highlight w:val="lightGray"/>
        </w:rPr>
        <w:t xml:space="preserve"> található elérhetőségek valamelyikén keresztül</w:t>
      </w:r>
      <w:r w:rsidRPr="00A14357">
        <w:rPr>
          <w:sz w:val="22"/>
          <w:szCs w:val="22"/>
        </w:rPr>
        <w:t>.</w:t>
      </w:r>
    </w:p>
    <w:p w14:paraId="04438AB6" w14:textId="77777777" w:rsidR="00EB654C" w:rsidRDefault="00EB654C">
      <w:pPr>
        <w:ind w:right="-284"/>
        <w:rPr>
          <w:sz w:val="22"/>
          <w:szCs w:val="22"/>
        </w:rPr>
      </w:pPr>
    </w:p>
    <w:p w14:paraId="2E2D2D94" w14:textId="77777777" w:rsidR="00EB654C" w:rsidRDefault="00C651E7">
      <w:pPr>
        <w:pStyle w:val="Cmsor2"/>
        <w:spacing w:before="0" w:after="0"/>
        <w:ind w:left="0" w:right="-284" w:firstLine="0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</w:rPr>
        <w:t>4.9</w:t>
      </w:r>
      <w:r>
        <w:rPr>
          <w:rFonts w:ascii="Times New Roman" w:hAnsi="Times New Roman"/>
          <w:i w:val="0"/>
          <w:sz w:val="22"/>
        </w:rPr>
        <w:tab/>
        <w:t>Túladagolás</w:t>
      </w:r>
    </w:p>
    <w:p w14:paraId="163A48DB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5509B4FA" w14:textId="093297D7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r>
        <w:rPr>
          <w:sz w:val="22"/>
        </w:rPr>
        <w:t>Túladagolás esetén elsődlegesen súlyos csontvelő-depresszió, és végül csontvelő-</w:t>
      </w:r>
      <w:proofErr w:type="spellStart"/>
      <w:r>
        <w:rPr>
          <w:sz w:val="22"/>
        </w:rPr>
        <w:t>aplasia</w:t>
      </w:r>
      <w:proofErr w:type="spellEnd"/>
      <w:r>
        <w:rPr>
          <w:sz w:val="22"/>
        </w:rPr>
        <w:t xml:space="preserve"> várható szövődményként, ezek legfeljebb </w:t>
      </w:r>
      <w:r w:rsidR="00746CB7">
        <w:rPr>
          <w:sz w:val="22"/>
        </w:rPr>
        <w:t>kéthetes</w:t>
      </w:r>
      <w:r>
        <w:rPr>
          <w:sz w:val="22"/>
        </w:rPr>
        <w:t xml:space="preserve"> késéssel jelentkezhetnek. A </w:t>
      </w:r>
      <w:proofErr w:type="spellStart"/>
      <w:r>
        <w:rPr>
          <w:sz w:val="22"/>
        </w:rPr>
        <w:t>leukocyta</w:t>
      </w:r>
      <w:proofErr w:type="spellEnd"/>
      <w:r>
        <w:rPr>
          <w:sz w:val="22"/>
        </w:rPr>
        <w:t xml:space="preserve">- és </w:t>
      </w:r>
      <w:proofErr w:type="spellStart"/>
      <w:r>
        <w:rPr>
          <w:sz w:val="22"/>
        </w:rPr>
        <w:t>thrombocytaszámok</w:t>
      </w:r>
      <w:proofErr w:type="spellEnd"/>
      <w:r>
        <w:rPr>
          <w:sz w:val="22"/>
        </w:rPr>
        <w:t xml:space="preserve"> mélypontjának eléréséig 4 hét is eltelhet. Ezért még akkor is szükséges hosszú távú, gondos hematológiai </w:t>
      </w:r>
      <w:proofErr w:type="spellStart"/>
      <w:r>
        <w:rPr>
          <w:sz w:val="22"/>
        </w:rPr>
        <w:t>monitorozást</w:t>
      </w:r>
      <w:proofErr w:type="spellEnd"/>
      <w:r>
        <w:rPr>
          <w:sz w:val="22"/>
        </w:rPr>
        <w:t xml:space="preserve"> végezni, ha a túladagolást csak gyanítják.</w:t>
      </w:r>
    </w:p>
    <w:p w14:paraId="7070B63B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2F0BE65A" w14:textId="77777777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túladagolásnak nincs ismert </w:t>
      </w:r>
      <w:proofErr w:type="spellStart"/>
      <w:r>
        <w:rPr>
          <w:sz w:val="22"/>
        </w:rPr>
        <w:t>antidotuma</w:t>
      </w:r>
      <w:proofErr w:type="spellEnd"/>
      <w:r>
        <w:rPr>
          <w:sz w:val="22"/>
        </w:rPr>
        <w:t>. Ezért különleges intézkedéseket kell tenni a gyógyszer túladagolásának elkerülésére.</w:t>
      </w:r>
    </w:p>
    <w:p w14:paraId="7690DA57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2E153F08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001FE077" w14:textId="77777777" w:rsidR="00EB654C" w:rsidRDefault="00C651E7">
      <w:pPr>
        <w:pStyle w:val="Cmsor1"/>
        <w:spacing w:before="0" w:after="0"/>
        <w:ind w:left="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</w:rPr>
        <w:t>5.</w:t>
      </w:r>
      <w:r>
        <w:rPr>
          <w:rFonts w:ascii="Times New Roman" w:hAnsi="Times New Roman"/>
          <w:sz w:val="22"/>
        </w:rPr>
        <w:tab/>
        <w:t>FARMAKOLÓGIAI TULAJDONSÁGOK</w:t>
      </w:r>
    </w:p>
    <w:p w14:paraId="61F2DE70" w14:textId="77777777" w:rsidR="00EB654C" w:rsidRDefault="00EB654C">
      <w:pPr>
        <w:rPr>
          <w:sz w:val="22"/>
          <w:szCs w:val="22"/>
        </w:rPr>
      </w:pPr>
    </w:p>
    <w:p w14:paraId="3D4C6B25" w14:textId="77777777" w:rsidR="00EB654C" w:rsidRDefault="00C651E7">
      <w:pPr>
        <w:pStyle w:val="Cmsor2"/>
        <w:spacing w:before="0" w:after="0"/>
        <w:ind w:left="0" w:right="-284" w:firstLine="0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</w:rPr>
        <w:t>5.1</w:t>
      </w:r>
      <w:r>
        <w:rPr>
          <w:rFonts w:ascii="Times New Roman" w:hAnsi="Times New Roman"/>
          <w:i w:val="0"/>
          <w:sz w:val="22"/>
        </w:rPr>
        <w:tab/>
      </w:r>
      <w:proofErr w:type="spellStart"/>
      <w:r>
        <w:rPr>
          <w:rFonts w:ascii="Times New Roman" w:hAnsi="Times New Roman"/>
          <w:i w:val="0"/>
          <w:sz w:val="22"/>
        </w:rPr>
        <w:t>Farmakodinámiás</w:t>
      </w:r>
      <w:proofErr w:type="spellEnd"/>
      <w:r>
        <w:rPr>
          <w:rFonts w:ascii="Times New Roman" w:hAnsi="Times New Roman"/>
          <w:i w:val="0"/>
          <w:sz w:val="22"/>
        </w:rPr>
        <w:t xml:space="preserve"> tulajdonságok</w:t>
      </w:r>
    </w:p>
    <w:p w14:paraId="37B7475A" w14:textId="77777777" w:rsidR="00EB654C" w:rsidRDefault="00EB654C">
      <w:pPr>
        <w:rPr>
          <w:sz w:val="22"/>
          <w:szCs w:val="22"/>
        </w:rPr>
      </w:pPr>
    </w:p>
    <w:p w14:paraId="0D392A87" w14:textId="77777777" w:rsidR="00EB654C" w:rsidRDefault="00C651E7">
      <w:pPr>
        <w:rPr>
          <w:sz w:val="22"/>
          <w:szCs w:val="22"/>
        </w:rPr>
      </w:pPr>
      <w:proofErr w:type="spellStart"/>
      <w:r>
        <w:rPr>
          <w:sz w:val="22"/>
        </w:rPr>
        <w:t>Farmakoterápiás</w:t>
      </w:r>
      <w:proofErr w:type="spellEnd"/>
      <w:r>
        <w:rPr>
          <w:sz w:val="22"/>
        </w:rPr>
        <w:t xml:space="preserve"> csoport: </w:t>
      </w:r>
      <w:proofErr w:type="spellStart"/>
      <w:r>
        <w:rPr>
          <w:sz w:val="22"/>
        </w:rPr>
        <w:t>Alkilezőszerek</w:t>
      </w:r>
      <w:proofErr w:type="spellEnd"/>
      <w:r>
        <w:rPr>
          <w:sz w:val="22"/>
        </w:rPr>
        <w:t>, ATC kód: L01AX04</w:t>
      </w:r>
    </w:p>
    <w:p w14:paraId="652146EC" w14:textId="77777777" w:rsidR="00EB654C" w:rsidRDefault="00EB654C">
      <w:pPr>
        <w:rPr>
          <w:i/>
          <w:sz w:val="22"/>
          <w:szCs w:val="22"/>
        </w:rPr>
      </w:pPr>
    </w:p>
    <w:p w14:paraId="48AAA952" w14:textId="77777777" w:rsidR="00EB654C" w:rsidRDefault="00C651E7">
      <w:pPr>
        <w:rPr>
          <w:sz w:val="22"/>
          <w:szCs w:val="22"/>
          <w:u w:val="single"/>
        </w:rPr>
      </w:pPr>
      <w:r>
        <w:rPr>
          <w:sz w:val="22"/>
          <w:u w:val="single"/>
        </w:rPr>
        <w:t>Hatásmechanizmus</w:t>
      </w:r>
    </w:p>
    <w:p w14:paraId="562E839B" w14:textId="77777777" w:rsidR="00EB654C" w:rsidRDefault="00C651E7">
      <w:pPr>
        <w:suppressAutoHyphens/>
        <w:ind w:right="-284"/>
        <w:rPr>
          <w:strike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egy </w:t>
      </w:r>
      <w:proofErr w:type="spellStart"/>
      <w:r>
        <w:rPr>
          <w:sz w:val="22"/>
        </w:rPr>
        <w:t>citosztatikus</w:t>
      </w:r>
      <w:proofErr w:type="spellEnd"/>
      <w:r>
        <w:rPr>
          <w:sz w:val="22"/>
        </w:rPr>
        <w:t xml:space="preserve"> szer. A daganatellenes hatás a sejtnövekedés gátlásának tulajdonítható; ez független a sejtciklustól, és a DNS-szintézis gátlása miatt lép fel. </w:t>
      </w:r>
      <w:proofErr w:type="spellStart"/>
      <w:r>
        <w:rPr>
          <w:sz w:val="22"/>
        </w:rPr>
        <w:t>Alkilező</w:t>
      </w:r>
      <w:proofErr w:type="spellEnd"/>
      <w:r>
        <w:rPr>
          <w:sz w:val="22"/>
        </w:rPr>
        <w:t xml:space="preserve"> hatást is kimutattak, és 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hatással lehet más </w:t>
      </w:r>
      <w:proofErr w:type="spellStart"/>
      <w:r>
        <w:rPr>
          <w:sz w:val="22"/>
        </w:rPr>
        <w:t>citosztatikus</w:t>
      </w:r>
      <w:proofErr w:type="spellEnd"/>
      <w:r>
        <w:rPr>
          <w:sz w:val="22"/>
        </w:rPr>
        <w:t xml:space="preserve"> mechanizmusokra is.</w:t>
      </w:r>
    </w:p>
    <w:p w14:paraId="517BC2D3" w14:textId="77777777" w:rsidR="00EB654C" w:rsidRDefault="00EB654C">
      <w:pPr>
        <w:suppressAutoHyphens/>
        <w:ind w:right="-426"/>
        <w:rPr>
          <w:sz w:val="22"/>
          <w:szCs w:val="22"/>
        </w:rPr>
      </w:pPr>
    </w:p>
    <w:p w14:paraId="13EDF99D" w14:textId="5FD7DBD1" w:rsidR="00EB654C" w:rsidRDefault="00C651E7">
      <w:pPr>
        <w:suppressAutoHyphens/>
        <w:ind w:right="-426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maga </w:t>
      </w:r>
      <w:r w:rsidR="00905DF2">
        <w:rPr>
          <w:sz w:val="22"/>
        </w:rPr>
        <w:t xml:space="preserve">még nem mutat </w:t>
      </w:r>
      <w:r>
        <w:rPr>
          <w:sz w:val="22"/>
        </w:rPr>
        <w:t xml:space="preserve">daganatellenes </w:t>
      </w:r>
      <w:r w:rsidR="00905DF2">
        <w:rPr>
          <w:sz w:val="22"/>
        </w:rPr>
        <w:t>hatást</w:t>
      </w:r>
      <w:r>
        <w:rPr>
          <w:sz w:val="22"/>
        </w:rPr>
        <w:t xml:space="preserve">. </w:t>
      </w:r>
      <w:proofErr w:type="spellStart"/>
      <w:r>
        <w:rPr>
          <w:sz w:val="22"/>
        </w:rPr>
        <w:t>Mikroszomális</w:t>
      </w:r>
      <w:proofErr w:type="spellEnd"/>
      <w:r>
        <w:rPr>
          <w:sz w:val="22"/>
        </w:rPr>
        <w:t xml:space="preserve"> N</w:t>
      </w:r>
      <w:r>
        <w:rPr>
          <w:sz w:val="22"/>
        </w:rPr>
        <w:noBreakHyphen/>
      </w:r>
      <w:proofErr w:type="spellStart"/>
      <w:r>
        <w:rPr>
          <w:sz w:val="22"/>
        </w:rPr>
        <w:t>demetiláció</w:t>
      </w:r>
      <w:proofErr w:type="spellEnd"/>
      <w:r>
        <w:rPr>
          <w:sz w:val="22"/>
        </w:rPr>
        <w:t xml:space="preserve"> révén azonban gyorsan 5</w:t>
      </w:r>
      <w:r>
        <w:rPr>
          <w:sz w:val="22"/>
        </w:rPr>
        <w:noBreakHyphen/>
        <w:t>aminoimidazol</w:t>
      </w:r>
      <w:r>
        <w:rPr>
          <w:sz w:val="22"/>
        </w:rPr>
        <w:noBreakHyphen/>
        <w:t>4</w:t>
      </w:r>
      <w:r>
        <w:rPr>
          <w:sz w:val="22"/>
        </w:rPr>
        <w:noBreakHyphen/>
        <w:t>karboxamiddá és egy metil</w:t>
      </w:r>
      <w:r w:rsidR="00905DF2">
        <w:rPr>
          <w:sz w:val="22"/>
        </w:rPr>
        <w:t>-</w:t>
      </w:r>
      <w:r>
        <w:rPr>
          <w:sz w:val="22"/>
        </w:rPr>
        <w:t xml:space="preserve">kationná alakul, ez felel a gyógyszer </w:t>
      </w:r>
      <w:proofErr w:type="spellStart"/>
      <w:r>
        <w:rPr>
          <w:sz w:val="22"/>
        </w:rPr>
        <w:t>alkilező</w:t>
      </w:r>
      <w:proofErr w:type="spellEnd"/>
      <w:r>
        <w:rPr>
          <w:sz w:val="22"/>
        </w:rPr>
        <w:t xml:space="preserve"> hatásáért.</w:t>
      </w:r>
    </w:p>
    <w:p w14:paraId="2B8DB129" w14:textId="77777777" w:rsidR="00EB654C" w:rsidRDefault="00EB654C">
      <w:pPr>
        <w:suppressAutoHyphens/>
        <w:ind w:right="-426"/>
        <w:rPr>
          <w:sz w:val="22"/>
          <w:szCs w:val="22"/>
        </w:rPr>
      </w:pPr>
    </w:p>
    <w:p w14:paraId="75D2436A" w14:textId="77777777" w:rsidR="00EB654C" w:rsidRDefault="00C651E7">
      <w:pPr>
        <w:pStyle w:val="Cmsor2"/>
        <w:tabs>
          <w:tab w:val="left" w:pos="567"/>
        </w:tabs>
        <w:spacing w:before="0" w:after="0"/>
        <w:ind w:left="0" w:right="-284" w:firstLine="0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</w:rPr>
        <w:t>5.2</w:t>
      </w:r>
      <w:r>
        <w:rPr>
          <w:rFonts w:ascii="Times New Roman" w:hAnsi="Times New Roman"/>
          <w:i w:val="0"/>
          <w:sz w:val="22"/>
        </w:rPr>
        <w:tab/>
      </w:r>
      <w:proofErr w:type="spellStart"/>
      <w:r>
        <w:rPr>
          <w:rFonts w:ascii="Times New Roman" w:hAnsi="Times New Roman"/>
          <w:i w:val="0"/>
          <w:sz w:val="22"/>
        </w:rPr>
        <w:t>Farmakokinetikai</w:t>
      </w:r>
      <w:proofErr w:type="spellEnd"/>
      <w:r>
        <w:rPr>
          <w:rFonts w:ascii="Times New Roman" w:hAnsi="Times New Roman"/>
          <w:i w:val="0"/>
          <w:sz w:val="22"/>
        </w:rPr>
        <w:t xml:space="preserve"> tulajdonságok</w:t>
      </w:r>
    </w:p>
    <w:p w14:paraId="1E712B54" w14:textId="77777777" w:rsidR="00EB654C" w:rsidRDefault="00EB654C">
      <w:pPr>
        <w:rPr>
          <w:sz w:val="22"/>
          <w:szCs w:val="22"/>
        </w:rPr>
      </w:pPr>
    </w:p>
    <w:p w14:paraId="7697E5B1" w14:textId="77777777" w:rsidR="00EB654C" w:rsidRDefault="00C651E7">
      <w:pPr>
        <w:tabs>
          <w:tab w:val="left" w:pos="1701"/>
        </w:tabs>
        <w:ind w:right="-426"/>
        <w:rPr>
          <w:sz w:val="22"/>
          <w:szCs w:val="22"/>
        </w:rPr>
      </w:pPr>
      <w:r>
        <w:rPr>
          <w:sz w:val="22"/>
          <w:u w:val="single"/>
        </w:rPr>
        <w:t>Eloszlás</w:t>
      </w:r>
    </w:p>
    <w:p w14:paraId="3C53AFA3" w14:textId="77777777" w:rsidR="00EB654C" w:rsidRDefault="00C651E7">
      <w:pPr>
        <w:tabs>
          <w:tab w:val="left" w:pos="1701"/>
        </w:tabs>
        <w:ind w:right="-426"/>
        <w:rPr>
          <w:sz w:val="22"/>
          <w:szCs w:val="22"/>
        </w:rPr>
      </w:pPr>
      <w:r>
        <w:rPr>
          <w:sz w:val="22"/>
        </w:rPr>
        <w:t xml:space="preserve">Intravénás beadás után 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gyorsan eloszlik a szövetekben. A plazmafehérje-kötés 5%</w:t>
      </w:r>
      <w:r>
        <w:rPr>
          <w:sz w:val="22"/>
        </w:rPr>
        <w:noBreakHyphen/>
      </w:r>
      <w:proofErr w:type="spellStart"/>
      <w:r>
        <w:rPr>
          <w:sz w:val="22"/>
        </w:rPr>
        <w:t>os</w:t>
      </w:r>
      <w:proofErr w:type="spellEnd"/>
      <w:r>
        <w:rPr>
          <w:sz w:val="22"/>
        </w:rPr>
        <w:t xml:space="preserve">. 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plazmakinetikája kétfázisú. A kezdeti (eloszlási) felezési idő csak 20 perc, a terminális felezési idő 0,5–3,5 óra.</w:t>
      </w:r>
    </w:p>
    <w:p w14:paraId="7185CF43" w14:textId="77777777" w:rsidR="00EB654C" w:rsidRDefault="00EB654C">
      <w:pPr>
        <w:tabs>
          <w:tab w:val="left" w:pos="1701"/>
        </w:tabs>
        <w:ind w:right="-426"/>
        <w:rPr>
          <w:sz w:val="22"/>
          <w:szCs w:val="22"/>
        </w:rPr>
      </w:pPr>
    </w:p>
    <w:p w14:paraId="356D2F62" w14:textId="77777777" w:rsidR="00EB654C" w:rsidRDefault="00C651E7">
      <w:pPr>
        <w:tabs>
          <w:tab w:val="left" w:pos="1701"/>
        </w:tabs>
        <w:ind w:right="-426"/>
        <w:rPr>
          <w:sz w:val="22"/>
          <w:szCs w:val="22"/>
        </w:rPr>
      </w:pPr>
      <w:proofErr w:type="spellStart"/>
      <w:r>
        <w:rPr>
          <w:sz w:val="22"/>
          <w:u w:val="single"/>
        </w:rPr>
        <w:t>Biotranszformáció</w:t>
      </w:r>
      <w:proofErr w:type="spellEnd"/>
    </w:p>
    <w:p w14:paraId="38BF87C3" w14:textId="129B4178" w:rsidR="00EB654C" w:rsidRDefault="00C651E7">
      <w:pPr>
        <w:pStyle w:val="Szvegtrzsbehzssal"/>
        <w:ind w:left="0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</w:rPr>
        <w:t xml:space="preserve">A </w:t>
      </w:r>
      <w:proofErr w:type="spellStart"/>
      <w:r>
        <w:rPr>
          <w:rFonts w:ascii="Times New Roman" w:hAnsi="Times New Roman"/>
          <w:color w:val="auto"/>
          <w:sz w:val="22"/>
        </w:rPr>
        <w:t>dakarbazin</w:t>
      </w:r>
      <w:proofErr w:type="spellEnd"/>
      <w:r>
        <w:rPr>
          <w:rFonts w:ascii="Times New Roman" w:hAnsi="Times New Roman"/>
          <w:color w:val="auto"/>
          <w:sz w:val="22"/>
        </w:rPr>
        <w:t xml:space="preserve"> nem aktív addig, amíg a májban nem </w:t>
      </w:r>
      <w:proofErr w:type="spellStart"/>
      <w:r>
        <w:rPr>
          <w:rFonts w:ascii="Times New Roman" w:hAnsi="Times New Roman"/>
          <w:color w:val="auto"/>
          <w:sz w:val="22"/>
        </w:rPr>
        <w:t>metabolizálja</w:t>
      </w:r>
      <w:proofErr w:type="spellEnd"/>
      <w:r>
        <w:rPr>
          <w:rFonts w:ascii="Times New Roman" w:hAnsi="Times New Roman"/>
          <w:color w:val="auto"/>
          <w:sz w:val="22"/>
        </w:rPr>
        <w:t xml:space="preserve"> a </w:t>
      </w:r>
      <w:proofErr w:type="spellStart"/>
      <w:r>
        <w:rPr>
          <w:rFonts w:ascii="Times New Roman" w:hAnsi="Times New Roman"/>
          <w:color w:val="auto"/>
          <w:sz w:val="22"/>
        </w:rPr>
        <w:t>citokróm</w:t>
      </w:r>
      <w:proofErr w:type="spellEnd"/>
      <w:r>
        <w:rPr>
          <w:rFonts w:ascii="Times New Roman" w:hAnsi="Times New Roman"/>
          <w:color w:val="auto"/>
          <w:sz w:val="22"/>
        </w:rPr>
        <w:t> P450 reaktív N</w:t>
      </w:r>
      <w:r>
        <w:rPr>
          <w:rFonts w:ascii="Times New Roman" w:hAnsi="Times New Roman"/>
          <w:color w:val="auto"/>
          <w:sz w:val="22"/>
        </w:rPr>
        <w:noBreakHyphen/>
      </w:r>
      <w:proofErr w:type="spellStart"/>
      <w:r>
        <w:rPr>
          <w:rFonts w:ascii="Times New Roman" w:hAnsi="Times New Roman"/>
          <w:color w:val="auto"/>
          <w:sz w:val="22"/>
        </w:rPr>
        <w:t>demetilált</w:t>
      </w:r>
      <w:proofErr w:type="spellEnd"/>
      <w:r>
        <w:rPr>
          <w:rFonts w:ascii="Times New Roman" w:hAnsi="Times New Roman"/>
          <w:color w:val="auto"/>
          <w:sz w:val="22"/>
        </w:rPr>
        <w:t xml:space="preserve"> HMMTIC és MTIC anyagokká. Ezt a CYP1A1, CYP1A2 és CYP2E1 katalizálja. Az MTIC tovább</w:t>
      </w:r>
      <w:r w:rsidR="009C220A">
        <w:rPr>
          <w:rFonts w:ascii="Times New Roman" w:hAnsi="Times New Roman"/>
          <w:color w:val="auto"/>
          <w:sz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</w:rPr>
        <w:t>metabolizálódik</w:t>
      </w:r>
      <w:proofErr w:type="spellEnd"/>
      <w:r>
        <w:rPr>
          <w:rFonts w:ascii="Times New Roman" w:hAnsi="Times New Roman"/>
          <w:color w:val="auto"/>
          <w:sz w:val="22"/>
        </w:rPr>
        <w:t xml:space="preserve"> 5</w:t>
      </w:r>
      <w:r>
        <w:rPr>
          <w:rFonts w:ascii="Times New Roman" w:hAnsi="Times New Roman"/>
          <w:color w:val="auto"/>
          <w:sz w:val="22"/>
        </w:rPr>
        <w:noBreakHyphen/>
        <w:t>aminoimidazol</w:t>
      </w:r>
      <w:r>
        <w:rPr>
          <w:rFonts w:ascii="Times New Roman" w:hAnsi="Times New Roman"/>
          <w:color w:val="auto"/>
          <w:sz w:val="22"/>
        </w:rPr>
        <w:noBreakHyphen/>
        <w:t>4</w:t>
      </w:r>
      <w:r>
        <w:rPr>
          <w:rFonts w:ascii="Times New Roman" w:hAnsi="Times New Roman"/>
          <w:color w:val="auto"/>
          <w:sz w:val="22"/>
        </w:rPr>
        <w:noBreakHyphen/>
        <w:t>karboxamiddá (AIC).</w:t>
      </w:r>
    </w:p>
    <w:p w14:paraId="26C8106B" w14:textId="77777777" w:rsidR="00EB654C" w:rsidRDefault="00EB654C">
      <w:pPr>
        <w:tabs>
          <w:tab w:val="left" w:pos="1701"/>
        </w:tabs>
        <w:ind w:right="-426"/>
        <w:rPr>
          <w:sz w:val="22"/>
          <w:szCs w:val="22"/>
        </w:rPr>
      </w:pPr>
    </w:p>
    <w:p w14:paraId="642AA4C6" w14:textId="77777777" w:rsidR="00EB654C" w:rsidRDefault="00C651E7">
      <w:pPr>
        <w:tabs>
          <w:tab w:val="left" w:pos="1701"/>
        </w:tabs>
        <w:ind w:right="-426"/>
        <w:rPr>
          <w:sz w:val="22"/>
          <w:szCs w:val="22"/>
          <w:u w:val="single"/>
        </w:rPr>
      </w:pPr>
      <w:r>
        <w:rPr>
          <w:sz w:val="22"/>
          <w:u w:val="single"/>
        </w:rPr>
        <w:t>Elimináció</w:t>
      </w:r>
    </w:p>
    <w:p w14:paraId="530019D8" w14:textId="77777777" w:rsidR="00EB654C" w:rsidRDefault="00C651E7">
      <w:pPr>
        <w:tabs>
          <w:tab w:val="left" w:pos="1701"/>
        </w:tabs>
        <w:ind w:right="-426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főleg a májban </w:t>
      </w:r>
      <w:proofErr w:type="spellStart"/>
      <w:r>
        <w:rPr>
          <w:sz w:val="22"/>
        </w:rPr>
        <w:t>metabolizálódik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hidroxiláció</w:t>
      </w:r>
      <w:proofErr w:type="spellEnd"/>
      <w:r>
        <w:rPr>
          <w:sz w:val="22"/>
        </w:rPr>
        <w:t xml:space="preserve"> és </w:t>
      </w:r>
      <w:proofErr w:type="spellStart"/>
      <w:r>
        <w:rPr>
          <w:sz w:val="22"/>
        </w:rPr>
        <w:t>demetiláció</w:t>
      </w:r>
      <w:proofErr w:type="spellEnd"/>
      <w:r>
        <w:rPr>
          <w:sz w:val="22"/>
        </w:rPr>
        <w:t xml:space="preserve"> révén; körülbelül 20–50%</w:t>
      </w:r>
      <w:r>
        <w:rPr>
          <w:sz w:val="22"/>
        </w:rPr>
        <w:noBreakHyphen/>
        <w:t xml:space="preserve">a változatlan formában ürül a veséken keresztül, </w:t>
      </w:r>
      <w:proofErr w:type="spellStart"/>
      <w:r>
        <w:rPr>
          <w:sz w:val="22"/>
        </w:rPr>
        <w:t>tubularis</w:t>
      </w:r>
      <w:proofErr w:type="spellEnd"/>
      <w:r>
        <w:rPr>
          <w:sz w:val="22"/>
        </w:rPr>
        <w:t xml:space="preserve"> szekréció révén.</w:t>
      </w:r>
    </w:p>
    <w:p w14:paraId="45EC4C1C" w14:textId="77777777" w:rsidR="00EB654C" w:rsidRDefault="00EB654C">
      <w:pPr>
        <w:tabs>
          <w:tab w:val="left" w:pos="1701"/>
        </w:tabs>
        <w:ind w:right="-426"/>
        <w:rPr>
          <w:sz w:val="22"/>
          <w:szCs w:val="22"/>
        </w:rPr>
      </w:pPr>
    </w:p>
    <w:p w14:paraId="1530A371" w14:textId="77777777" w:rsidR="00EB654C" w:rsidRDefault="00C651E7">
      <w:pPr>
        <w:pStyle w:val="Cmsor2"/>
        <w:spacing w:before="0" w:after="0"/>
        <w:ind w:left="0" w:right="-284" w:firstLine="0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</w:rPr>
        <w:t>5.3</w:t>
      </w:r>
      <w:r>
        <w:rPr>
          <w:rFonts w:ascii="Times New Roman" w:hAnsi="Times New Roman"/>
          <w:i w:val="0"/>
          <w:sz w:val="22"/>
        </w:rPr>
        <w:tab/>
        <w:t xml:space="preserve">A </w:t>
      </w:r>
      <w:proofErr w:type="spellStart"/>
      <w:r>
        <w:rPr>
          <w:rFonts w:ascii="Times New Roman" w:hAnsi="Times New Roman"/>
          <w:i w:val="0"/>
          <w:sz w:val="22"/>
        </w:rPr>
        <w:t>preklinikai</w:t>
      </w:r>
      <w:proofErr w:type="spellEnd"/>
      <w:r>
        <w:rPr>
          <w:rFonts w:ascii="Times New Roman" w:hAnsi="Times New Roman"/>
          <w:i w:val="0"/>
          <w:sz w:val="22"/>
        </w:rPr>
        <w:t xml:space="preserve"> biztonságossági vizsgálatok eredményei</w:t>
      </w:r>
    </w:p>
    <w:p w14:paraId="05FAF4A8" w14:textId="77777777" w:rsidR="00EB654C" w:rsidRDefault="00EB654C">
      <w:pPr>
        <w:rPr>
          <w:sz w:val="22"/>
          <w:szCs w:val="22"/>
        </w:rPr>
      </w:pPr>
    </w:p>
    <w:p w14:paraId="078872E7" w14:textId="77777777" w:rsidR="00EB654C" w:rsidRDefault="00C651E7">
      <w:pPr>
        <w:tabs>
          <w:tab w:val="left" w:pos="1560"/>
        </w:tabs>
        <w:ind w:right="-426"/>
        <w:rPr>
          <w:sz w:val="22"/>
          <w:szCs w:val="22"/>
        </w:rPr>
      </w:pPr>
      <w:proofErr w:type="spellStart"/>
      <w:r>
        <w:rPr>
          <w:sz w:val="22"/>
        </w:rPr>
        <w:t>Farmakodinámiás</w:t>
      </w:r>
      <w:proofErr w:type="spellEnd"/>
      <w:r>
        <w:rPr>
          <w:sz w:val="22"/>
        </w:rPr>
        <w:t xml:space="preserve"> tulajdonságai miatt 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mutagén, karcinogén és </w:t>
      </w:r>
      <w:proofErr w:type="spellStart"/>
      <w:r>
        <w:rPr>
          <w:sz w:val="22"/>
        </w:rPr>
        <w:t>teratogén</w:t>
      </w:r>
      <w:proofErr w:type="spellEnd"/>
      <w:r>
        <w:rPr>
          <w:sz w:val="22"/>
        </w:rPr>
        <w:t xml:space="preserve"> hatásokat mutat, amelyek kimutathatók a kísérleti tesztrendszerekben.</w:t>
      </w:r>
    </w:p>
    <w:p w14:paraId="18ACBF4B" w14:textId="77777777" w:rsidR="00EB654C" w:rsidRDefault="00EB654C">
      <w:pPr>
        <w:tabs>
          <w:tab w:val="left" w:pos="1418"/>
        </w:tabs>
        <w:ind w:right="-426"/>
        <w:rPr>
          <w:sz w:val="22"/>
          <w:szCs w:val="22"/>
        </w:rPr>
      </w:pPr>
    </w:p>
    <w:p w14:paraId="36335CA4" w14:textId="77777777" w:rsidR="00EB654C" w:rsidRDefault="00EB654C">
      <w:pPr>
        <w:tabs>
          <w:tab w:val="left" w:pos="1418"/>
        </w:tabs>
        <w:ind w:right="-426"/>
        <w:rPr>
          <w:sz w:val="22"/>
          <w:szCs w:val="22"/>
        </w:rPr>
      </w:pPr>
    </w:p>
    <w:p w14:paraId="6B75C27D" w14:textId="77777777" w:rsidR="00EB654C" w:rsidRDefault="00C651E7">
      <w:pPr>
        <w:pStyle w:val="Cmsor1"/>
        <w:spacing w:before="0" w:after="0"/>
        <w:ind w:left="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</w:rPr>
        <w:t>6.</w:t>
      </w:r>
      <w:r>
        <w:rPr>
          <w:rFonts w:ascii="Times New Roman" w:hAnsi="Times New Roman"/>
          <w:sz w:val="22"/>
        </w:rPr>
        <w:tab/>
        <w:t>GYÓGYSZERÉSZETI JELLEMZŐK</w:t>
      </w:r>
    </w:p>
    <w:p w14:paraId="1FB3171E" w14:textId="77777777" w:rsidR="00EB654C" w:rsidRDefault="00EB654C">
      <w:pPr>
        <w:rPr>
          <w:sz w:val="22"/>
          <w:szCs w:val="22"/>
        </w:rPr>
      </w:pPr>
    </w:p>
    <w:p w14:paraId="348AAE58" w14:textId="77777777" w:rsidR="00EB654C" w:rsidRDefault="00C651E7">
      <w:pPr>
        <w:pStyle w:val="Cmsor2"/>
        <w:spacing w:before="0" w:after="0"/>
        <w:ind w:left="0" w:right="-284" w:firstLine="0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</w:rPr>
        <w:t>6.1</w:t>
      </w:r>
      <w:r>
        <w:rPr>
          <w:rFonts w:ascii="Times New Roman" w:hAnsi="Times New Roman"/>
          <w:i w:val="0"/>
          <w:sz w:val="22"/>
        </w:rPr>
        <w:tab/>
        <w:t>Segédanyagok felsorolása</w:t>
      </w:r>
    </w:p>
    <w:p w14:paraId="474F34A5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44A36D24" w14:textId="77777777" w:rsidR="00EB654C" w:rsidRDefault="00C651E7">
      <w:pPr>
        <w:ind w:right="-426"/>
        <w:rPr>
          <w:sz w:val="22"/>
          <w:szCs w:val="22"/>
        </w:rPr>
      </w:pPr>
      <w:r>
        <w:rPr>
          <w:sz w:val="22"/>
        </w:rPr>
        <w:t>Vízmentes citromsav és mannit.</w:t>
      </w:r>
    </w:p>
    <w:p w14:paraId="4C9ED7B1" w14:textId="77777777" w:rsidR="00EB654C" w:rsidRDefault="00EB654C">
      <w:pPr>
        <w:ind w:right="-426"/>
        <w:rPr>
          <w:sz w:val="22"/>
          <w:szCs w:val="22"/>
        </w:rPr>
      </w:pPr>
    </w:p>
    <w:p w14:paraId="04C5846F" w14:textId="77777777" w:rsidR="00EB654C" w:rsidRDefault="00C651E7">
      <w:pPr>
        <w:pStyle w:val="Cmsor2"/>
        <w:spacing w:before="0" w:after="0"/>
        <w:ind w:left="0" w:right="-284" w:firstLine="0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</w:rPr>
        <w:t>6.2</w:t>
      </w:r>
      <w:r>
        <w:rPr>
          <w:rFonts w:ascii="Times New Roman" w:hAnsi="Times New Roman"/>
          <w:i w:val="0"/>
          <w:sz w:val="22"/>
        </w:rPr>
        <w:tab/>
        <w:t>Inkompatibilitások</w:t>
      </w:r>
    </w:p>
    <w:p w14:paraId="287655B7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5EC31A95" w14:textId="77777777" w:rsidR="00EB654C" w:rsidRDefault="00C651E7">
      <w:pPr>
        <w:tabs>
          <w:tab w:val="left" w:pos="850"/>
        </w:tabs>
        <w:ind w:right="-426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-oldat kémiailag inkompatibilis a </w:t>
      </w:r>
      <w:proofErr w:type="spellStart"/>
      <w:r>
        <w:rPr>
          <w:sz w:val="22"/>
        </w:rPr>
        <w:t>heparinnal</w:t>
      </w:r>
      <w:proofErr w:type="spellEnd"/>
      <w:r>
        <w:rPr>
          <w:sz w:val="22"/>
        </w:rPr>
        <w:t>, hidrokortizonnal, L</w:t>
      </w:r>
      <w:r>
        <w:rPr>
          <w:sz w:val="22"/>
        </w:rPr>
        <w:noBreakHyphen/>
        <w:t>ciszteinnel és nátrium-hidrogén-karbonáttal.</w:t>
      </w:r>
    </w:p>
    <w:p w14:paraId="7DDF9C71" w14:textId="77777777" w:rsidR="00EB654C" w:rsidRDefault="00EB654C">
      <w:pPr>
        <w:tabs>
          <w:tab w:val="left" w:pos="850"/>
        </w:tabs>
        <w:ind w:right="-426"/>
        <w:rPr>
          <w:sz w:val="22"/>
          <w:szCs w:val="22"/>
        </w:rPr>
      </w:pPr>
    </w:p>
    <w:p w14:paraId="0681A4D9" w14:textId="77777777" w:rsidR="00EB654C" w:rsidRDefault="00C651E7">
      <w:pPr>
        <w:pStyle w:val="Cmsor2"/>
        <w:spacing w:before="0" w:after="0"/>
        <w:ind w:left="0" w:right="-284" w:firstLine="0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</w:rPr>
        <w:t>6.3</w:t>
      </w:r>
      <w:r>
        <w:rPr>
          <w:rFonts w:ascii="Times New Roman" w:hAnsi="Times New Roman"/>
          <w:i w:val="0"/>
          <w:sz w:val="22"/>
        </w:rPr>
        <w:tab/>
        <w:t>Felhasználhatósági időtartam</w:t>
      </w:r>
    </w:p>
    <w:p w14:paraId="369DCDCF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5EED41C8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>3 év.</w:t>
      </w:r>
    </w:p>
    <w:p w14:paraId="4F018FB7" w14:textId="77777777" w:rsidR="00EB654C" w:rsidRDefault="00EB654C">
      <w:pPr>
        <w:ind w:right="-284"/>
        <w:rPr>
          <w:sz w:val="22"/>
          <w:szCs w:val="22"/>
        </w:rPr>
      </w:pPr>
    </w:p>
    <w:p w14:paraId="09F33534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  <w:u w:val="single"/>
        </w:rPr>
        <w:t xml:space="preserve">Az elkészített </w:t>
      </w:r>
      <w:proofErr w:type="spellStart"/>
      <w:r>
        <w:rPr>
          <w:sz w:val="22"/>
          <w:u w:val="single"/>
        </w:rPr>
        <w:t>Dacarbazine</w:t>
      </w:r>
      <w:proofErr w:type="spellEnd"/>
      <w:r>
        <w:rPr>
          <w:sz w:val="22"/>
          <w:u w:val="single"/>
        </w:rPr>
        <w:t> </w:t>
      </w:r>
      <w:proofErr w:type="spellStart"/>
      <w:r>
        <w:rPr>
          <w:sz w:val="22"/>
          <w:u w:val="single"/>
        </w:rPr>
        <w:t>medac</w:t>
      </w:r>
      <w:proofErr w:type="spellEnd"/>
      <w:r>
        <w:rPr>
          <w:sz w:val="22"/>
          <w:u w:val="single"/>
        </w:rPr>
        <w:t xml:space="preserve"> 100 mg (200 mg, 500 mg, 1000 mg) oldat eltarthatósága:</w:t>
      </w:r>
    </w:p>
    <w:p w14:paraId="5492F14D" w14:textId="77777777" w:rsidR="0080287B" w:rsidRPr="001564F4" w:rsidRDefault="0080287B" w:rsidP="0080287B">
      <w:pPr>
        <w:widowControl w:val="0"/>
        <w:jc w:val="both"/>
        <w:rPr>
          <w:sz w:val="22"/>
        </w:rPr>
      </w:pPr>
      <w:bookmarkStart w:id="0" w:name="_Hlk96891067"/>
      <w:r w:rsidRPr="001564F4">
        <w:rPr>
          <w:sz w:val="22"/>
        </w:rPr>
        <w:t>Az elkészített oldat kémiai és fizikai stabilitása 2-8°C között fénytől védve 48 órán át bizonyított</w:t>
      </w:r>
      <w:bookmarkEnd w:id="0"/>
      <w:r w:rsidRPr="001564F4">
        <w:rPr>
          <w:sz w:val="22"/>
        </w:rPr>
        <w:t>. Mikrobiológiai szempontból az elkészített oldatot azonnal fel kell használni.</w:t>
      </w:r>
    </w:p>
    <w:p w14:paraId="243FF4B6" w14:textId="77777777" w:rsidR="0080287B" w:rsidRPr="001564F4" w:rsidRDefault="0080287B" w:rsidP="0080287B">
      <w:pPr>
        <w:widowControl w:val="0"/>
        <w:jc w:val="both"/>
        <w:rPr>
          <w:sz w:val="22"/>
        </w:rPr>
      </w:pPr>
      <w:r w:rsidRPr="001564F4">
        <w:rPr>
          <w:sz w:val="22"/>
        </w:rPr>
        <w:t xml:space="preserve">Amennyiben nem használják fel azonnal, a felhasználásig az eltartási idő és a tárolási körülmények a felhasználó felelőssége, amely általános esetben 2-8ºC közötti hőmérsékleten tárolva nem haladhatja meg a 24 órát, kivéve, ha a hígítás ellenőrzött és </w:t>
      </w:r>
      <w:proofErr w:type="spellStart"/>
      <w:r w:rsidRPr="001564F4">
        <w:rPr>
          <w:sz w:val="22"/>
        </w:rPr>
        <w:t>validált</w:t>
      </w:r>
      <w:proofErr w:type="spellEnd"/>
      <w:r w:rsidRPr="001564F4">
        <w:rPr>
          <w:sz w:val="22"/>
        </w:rPr>
        <w:t xml:space="preserve"> aszeptikus körülmények között történt.</w:t>
      </w:r>
    </w:p>
    <w:p w14:paraId="642B5845" w14:textId="77777777" w:rsidR="00EB654C" w:rsidRDefault="00EB654C">
      <w:pPr>
        <w:ind w:right="-284"/>
        <w:rPr>
          <w:sz w:val="22"/>
          <w:szCs w:val="22"/>
        </w:rPr>
      </w:pPr>
    </w:p>
    <w:p w14:paraId="6DE62F0C" w14:textId="77777777" w:rsidR="00EB654C" w:rsidRDefault="00C651E7">
      <w:pPr>
        <w:ind w:right="-284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Az elkészített és </w:t>
      </w:r>
      <w:proofErr w:type="spellStart"/>
      <w:r>
        <w:rPr>
          <w:sz w:val="22"/>
          <w:u w:val="single"/>
        </w:rPr>
        <w:t>továbbhígított</w:t>
      </w:r>
      <w:proofErr w:type="spellEnd"/>
      <w:r>
        <w:rPr>
          <w:sz w:val="22"/>
          <w:u w:val="single"/>
        </w:rPr>
        <w:t xml:space="preserve"> </w:t>
      </w:r>
      <w:proofErr w:type="spellStart"/>
      <w:r>
        <w:rPr>
          <w:sz w:val="22"/>
          <w:u w:val="single"/>
        </w:rPr>
        <w:t>Dacarbazine</w:t>
      </w:r>
      <w:proofErr w:type="spellEnd"/>
      <w:r>
        <w:rPr>
          <w:sz w:val="22"/>
          <w:u w:val="single"/>
        </w:rPr>
        <w:t> </w:t>
      </w:r>
      <w:proofErr w:type="spellStart"/>
      <w:r>
        <w:rPr>
          <w:sz w:val="22"/>
          <w:u w:val="single"/>
        </w:rPr>
        <w:t>medac</w:t>
      </w:r>
      <w:proofErr w:type="spellEnd"/>
      <w:r>
        <w:rPr>
          <w:sz w:val="22"/>
          <w:u w:val="single"/>
        </w:rPr>
        <w:t xml:space="preserve"> 100 mg (200 mg, 500 mg, 1000 mg) oldat eltarthatósága:</w:t>
      </w:r>
    </w:p>
    <w:p w14:paraId="7DC547F7" w14:textId="77777777" w:rsidR="0080287B" w:rsidRPr="001564F4" w:rsidRDefault="0080287B" w:rsidP="0080287B">
      <w:pPr>
        <w:keepNext/>
        <w:jc w:val="both"/>
        <w:rPr>
          <w:sz w:val="22"/>
        </w:rPr>
      </w:pPr>
      <w:r w:rsidRPr="001564F4">
        <w:rPr>
          <w:sz w:val="22"/>
        </w:rPr>
        <w:t>Az injekciós üvegben vagy polietilén tartályban hígított oldat kémiai és fizikai stabilitása 2-8°C között fénytől védve 24 órán át bizonyított. Az elkészített oldat hígítását azonnal el kell végezni, amint a készítmény teljesen feloldódott. Mikrobiológiai szempontból az elkészített és tovább hígított oldatot azonnal fel kell használni.</w:t>
      </w:r>
    </w:p>
    <w:p w14:paraId="1466D082" w14:textId="77777777" w:rsidR="0080287B" w:rsidRPr="001564F4" w:rsidRDefault="0080287B" w:rsidP="0080287B">
      <w:pPr>
        <w:keepNext/>
        <w:jc w:val="both"/>
        <w:rPr>
          <w:sz w:val="22"/>
        </w:rPr>
      </w:pPr>
    </w:p>
    <w:p w14:paraId="714AF8C1" w14:textId="77777777" w:rsidR="00EB654C" w:rsidRDefault="00C651E7">
      <w:pPr>
        <w:pStyle w:val="Cmsor2"/>
        <w:spacing w:before="0" w:after="0"/>
        <w:ind w:left="0" w:right="-284" w:firstLine="0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</w:rPr>
        <w:t>6.4</w:t>
      </w:r>
      <w:r>
        <w:rPr>
          <w:rFonts w:ascii="Times New Roman" w:hAnsi="Times New Roman"/>
          <w:i w:val="0"/>
          <w:sz w:val="22"/>
        </w:rPr>
        <w:tab/>
        <w:t>Különleges tárolási előírások</w:t>
      </w:r>
    </w:p>
    <w:p w14:paraId="64360882" w14:textId="77777777" w:rsidR="00EB654C" w:rsidRDefault="00EB654C">
      <w:pPr>
        <w:tabs>
          <w:tab w:val="left" w:pos="850"/>
        </w:tabs>
        <w:ind w:right="-284"/>
        <w:rPr>
          <w:b/>
          <w:sz w:val="22"/>
          <w:szCs w:val="22"/>
        </w:rPr>
      </w:pPr>
    </w:p>
    <w:p w14:paraId="07F161EF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>Legfeljebb 25 °C-</w:t>
      </w:r>
      <w:proofErr w:type="spellStart"/>
      <w:r>
        <w:rPr>
          <w:sz w:val="22"/>
        </w:rPr>
        <w:t>on</w:t>
      </w:r>
      <w:proofErr w:type="spellEnd"/>
      <w:r>
        <w:rPr>
          <w:sz w:val="22"/>
        </w:rPr>
        <w:t xml:space="preserve"> tárolandó.</w:t>
      </w:r>
    </w:p>
    <w:p w14:paraId="5246C738" w14:textId="77777777" w:rsidR="00EB654C" w:rsidRDefault="00C651E7">
      <w:pPr>
        <w:ind w:right="-284"/>
        <w:rPr>
          <w:sz w:val="22"/>
          <w:szCs w:val="22"/>
        </w:rPr>
      </w:pPr>
      <w:r>
        <w:rPr>
          <w:sz w:val="22"/>
        </w:rPr>
        <w:t>A fénytől való védelem érdekében az injekciós üveget tartsa a dobozában. A gyógyszer feloldás utáni tárolására vonatkozó előírásokat lásd a 6.3 pontban.</w:t>
      </w:r>
    </w:p>
    <w:p w14:paraId="00558E6F" w14:textId="77777777" w:rsidR="00EB654C" w:rsidRDefault="00EB654C">
      <w:pPr>
        <w:ind w:right="-284"/>
        <w:rPr>
          <w:sz w:val="22"/>
          <w:szCs w:val="22"/>
        </w:rPr>
      </w:pPr>
    </w:p>
    <w:p w14:paraId="6D45D8B1" w14:textId="77777777" w:rsidR="00EB654C" w:rsidRDefault="00C651E7">
      <w:pPr>
        <w:pStyle w:val="Cmsor2"/>
        <w:spacing w:before="0" w:after="0"/>
        <w:ind w:left="0" w:right="-284" w:firstLine="0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</w:rPr>
        <w:t>6.5</w:t>
      </w:r>
      <w:r>
        <w:rPr>
          <w:rFonts w:ascii="Times New Roman" w:hAnsi="Times New Roman"/>
          <w:i w:val="0"/>
          <w:sz w:val="22"/>
        </w:rPr>
        <w:tab/>
        <w:t>Csomagolás típusa és kiszerelése</w:t>
      </w:r>
    </w:p>
    <w:p w14:paraId="2B96EA20" w14:textId="77777777" w:rsidR="00EB654C" w:rsidRDefault="00EB654C">
      <w:pPr>
        <w:tabs>
          <w:tab w:val="left" w:pos="850"/>
        </w:tabs>
        <w:ind w:right="-284"/>
        <w:rPr>
          <w:b/>
          <w:sz w:val="22"/>
          <w:szCs w:val="22"/>
        </w:rPr>
      </w:pPr>
    </w:p>
    <w:p w14:paraId="57A09E2C" w14:textId="7C2F8FFB" w:rsidR="00EB654C" w:rsidRDefault="00C651E7">
      <w:pPr>
        <w:ind w:right="-426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 w:rsidRPr="001564F4">
        <w:rPr>
          <w:i/>
          <w:iCs/>
          <w:sz w:val="22"/>
          <w:u w:val="single"/>
        </w:rPr>
        <w:t>Dacarbazine</w:t>
      </w:r>
      <w:proofErr w:type="spellEnd"/>
      <w:r w:rsidRPr="001564F4">
        <w:rPr>
          <w:i/>
          <w:iCs/>
          <w:sz w:val="22"/>
          <w:u w:val="single"/>
        </w:rPr>
        <w:t> </w:t>
      </w:r>
      <w:proofErr w:type="spellStart"/>
      <w:r w:rsidRPr="001564F4">
        <w:rPr>
          <w:i/>
          <w:iCs/>
          <w:sz w:val="22"/>
          <w:u w:val="single"/>
        </w:rPr>
        <w:t>medac</w:t>
      </w:r>
      <w:proofErr w:type="spellEnd"/>
      <w:r w:rsidRPr="001564F4">
        <w:rPr>
          <w:i/>
          <w:iCs/>
          <w:sz w:val="22"/>
          <w:u w:val="single"/>
        </w:rPr>
        <w:t xml:space="preserve"> 100 mg (200 mg)</w:t>
      </w:r>
      <w:r>
        <w:rPr>
          <w:sz w:val="22"/>
        </w:rPr>
        <w:t xml:space="preserve"> </w:t>
      </w:r>
      <w:proofErr w:type="spellStart"/>
      <w:r>
        <w:rPr>
          <w:sz w:val="22"/>
        </w:rPr>
        <w:t>oldatos</w:t>
      </w:r>
      <w:proofErr w:type="spellEnd"/>
      <w:r>
        <w:rPr>
          <w:sz w:val="22"/>
        </w:rPr>
        <w:t xml:space="preserve"> injekcióhoz/infúzióhoz való steril porként kerül forgalomba </w:t>
      </w:r>
      <w:r w:rsidR="00E80EC0">
        <w:rPr>
          <w:sz w:val="22"/>
        </w:rPr>
        <w:t>(</w:t>
      </w:r>
      <w:proofErr w:type="spellStart"/>
      <w:r w:rsidR="00E80EC0">
        <w:rPr>
          <w:sz w:val="22"/>
        </w:rPr>
        <w:t>Ph</w:t>
      </w:r>
      <w:proofErr w:type="gramStart"/>
      <w:r w:rsidR="00E80EC0">
        <w:rPr>
          <w:sz w:val="22"/>
        </w:rPr>
        <w:t>.Eur</w:t>
      </w:r>
      <w:proofErr w:type="spellEnd"/>
      <w:proofErr w:type="gramEnd"/>
      <w:r w:rsidR="00E80EC0">
        <w:rPr>
          <w:sz w:val="22"/>
        </w:rPr>
        <w:t xml:space="preserve">. szerinti I. típusú) </w:t>
      </w:r>
      <w:r>
        <w:rPr>
          <w:sz w:val="22"/>
        </w:rPr>
        <w:t>egyadagos</w:t>
      </w:r>
      <w:r w:rsidR="00E80EC0">
        <w:rPr>
          <w:sz w:val="22"/>
        </w:rPr>
        <w:t>, barna</w:t>
      </w:r>
      <w:r>
        <w:rPr>
          <w:sz w:val="22"/>
        </w:rPr>
        <w:t xml:space="preserve"> injekciós üvegben</w:t>
      </w:r>
      <w:r w:rsidR="00E80EC0">
        <w:rPr>
          <w:sz w:val="22"/>
        </w:rPr>
        <w:t>,</w:t>
      </w:r>
      <w:r>
        <w:rPr>
          <w:sz w:val="22"/>
        </w:rPr>
        <w:t xml:space="preserve"> </w:t>
      </w:r>
      <w:proofErr w:type="spellStart"/>
      <w:r>
        <w:rPr>
          <w:sz w:val="22"/>
        </w:rPr>
        <w:t>butilgumidugóval</w:t>
      </w:r>
      <w:proofErr w:type="spellEnd"/>
      <w:r>
        <w:rPr>
          <w:sz w:val="22"/>
        </w:rPr>
        <w:t xml:space="preserve"> </w:t>
      </w:r>
      <w:r w:rsidR="00E80EC0">
        <w:rPr>
          <w:sz w:val="22"/>
        </w:rPr>
        <w:t>lezárva</w:t>
      </w:r>
      <w:r>
        <w:rPr>
          <w:sz w:val="22"/>
        </w:rPr>
        <w:t xml:space="preserve">. 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100 mg (200 mg) dobozonként 10 injekciós üveget tartalmaz.</w:t>
      </w:r>
    </w:p>
    <w:p w14:paraId="47E0E1F0" w14:textId="77777777" w:rsidR="00EB654C" w:rsidRDefault="00EB654C">
      <w:pPr>
        <w:tabs>
          <w:tab w:val="left" w:pos="850"/>
        </w:tabs>
        <w:ind w:right="-284"/>
        <w:rPr>
          <w:b/>
          <w:sz w:val="22"/>
          <w:szCs w:val="22"/>
        </w:rPr>
      </w:pPr>
    </w:p>
    <w:p w14:paraId="194899DE" w14:textId="693E8974" w:rsidR="00EB654C" w:rsidRDefault="00C651E7">
      <w:pPr>
        <w:ind w:right="-426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 w:rsidRPr="001564F4">
        <w:rPr>
          <w:i/>
          <w:iCs/>
          <w:sz w:val="22"/>
          <w:u w:val="single"/>
        </w:rPr>
        <w:t>Dacarbazine</w:t>
      </w:r>
      <w:proofErr w:type="spellEnd"/>
      <w:r w:rsidRPr="001564F4">
        <w:rPr>
          <w:i/>
          <w:iCs/>
          <w:sz w:val="22"/>
          <w:u w:val="single"/>
        </w:rPr>
        <w:t> </w:t>
      </w:r>
      <w:proofErr w:type="spellStart"/>
      <w:r w:rsidRPr="001564F4">
        <w:rPr>
          <w:i/>
          <w:iCs/>
          <w:sz w:val="22"/>
          <w:u w:val="single"/>
        </w:rPr>
        <w:t>medac</w:t>
      </w:r>
      <w:proofErr w:type="spellEnd"/>
      <w:r w:rsidRPr="001564F4">
        <w:rPr>
          <w:i/>
          <w:iCs/>
          <w:sz w:val="22"/>
          <w:u w:val="single"/>
        </w:rPr>
        <w:t xml:space="preserve"> 500 mg (1000 mg)</w:t>
      </w:r>
      <w:r>
        <w:rPr>
          <w:sz w:val="22"/>
        </w:rPr>
        <w:t xml:space="preserve"> </w:t>
      </w:r>
      <w:proofErr w:type="spellStart"/>
      <w:r>
        <w:rPr>
          <w:sz w:val="22"/>
        </w:rPr>
        <w:t>oldatos</w:t>
      </w:r>
      <w:proofErr w:type="spellEnd"/>
      <w:r>
        <w:rPr>
          <w:sz w:val="22"/>
        </w:rPr>
        <w:t xml:space="preserve"> infúzióhoz való steril porként kerül forgalomba </w:t>
      </w:r>
      <w:r w:rsidR="00E80EC0">
        <w:rPr>
          <w:sz w:val="22"/>
        </w:rPr>
        <w:t>(</w:t>
      </w:r>
      <w:proofErr w:type="spellStart"/>
      <w:r w:rsidR="00E80EC0">
        <w:rPr>
          <w:sz w:val="22"/>
        </w:rPr>
        <w:t>Ph</w:t>
      </w:r>
      <w:proofErr w:type="gramStart"/>
      <w:r w:rsidR="00E80EC0">
        <w:rPr>
          <w:sz w:val="22"/>
        </w:rPr>
        <w:t>.Eur</w:t>
      </w:r>
      <w:proofErr w:type="spellEnd"/>
      <w:proofErr w:type="gramEnd"/>
      <w:r w:rsidR="00E80EC0">
        <w:rPr>
          <w:sz w:val="22"/>
        </w:rPr>
        <w:t>. szerinti I. típusú),</w:t>
      </w:r>
      <w:r w:rsidR="00283C35">
        <w:rPr>
          <w:sz w:val="22"/>
        </w:rPr>
        <w:t xml:space="preserve"> </w:t>
      </w:r>
      <w:r>
        <w:rPr>
          <w:sz w:val="22"/>
        </w:rPr>
        <w:t>egyadagos</w:t>
      </w:r>
      <w:r w:rsidR="00E80EC0">
        <w:rPr>
          <w:sz w:val="22"/>
        </w:rPr>
        <w:t>, barna</w:t>
      </w:r>
      <w:r>
        <w:rPr>
          <w:sz w:val="22"/>
        </w:rPr>
        <w:t xml:space="preserve"> injekciós üvegben, </w:t>
      </w:r>
      <w:proofErr w:type="spellStart"/>
      <w:r>
        <w:rPr>
          <w:sz w:val="22"/>
        </w:rPr>
        <w:t>butilgumidugóval</w:t>
      </w:r>
      <w:proofErr w:type="spellEnd"/>
      <w:r>
        <w:rPr>
          <w:sz w:val="22"/>
        </w:rPr>
        <w:t xml:space="preserve"> lezárva. 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500 mg (1000 mg) dobozonként egy injekciós üveget tartalmaz.</w:t>
      </w:r>
    </w:p>
    <w:p w14:paraId="11439FC9" w14:textId="77777777" w:rsidR="00EB654C" w:rsidRDefault="00EB654C">
      <w:pPr>
        <w:ind w:right="-426"/>
        <w:rPr>
          <w:sz w:val="22"/>
          <w:szCs w:val="22"/>
        </w:rPr>
      </w:pPr>
    </w:p>
    <w:p w14:paraId="6A559618" w14:textId="77777777" w:rsidR="00EB654C" w:rsidRDefault="00C651E7">
      <w:pPr>
        <w:ind w:right="-426"/>
        <w:rPr>
          <w:sz w:val="22"/>
          <w:szCs w:val="22"/>
        </w:rPr>
      </w:pPr>
      <w:r>
        <w:rPr>
          <w:sz w:val="22"/>
        </w:rPr>
        <w:t>Nem feltétlenül mindegyik kiszerelés kerül kereskedelmi forgalomba.</w:t>
      </w:r>
    </w:p>
    <w:p w14:paraId="706BF9C5" w14:textId="77777777" w:rsidR="00EB654C" w:rsidRDefault="00EB654C">
      <w:pPr>
        <w:ind w:right="-426"/>
        <w:rPr>
          <w:sz w:val="22"/>
          <w:szCs w:val="22"/>
        </w:rPr>
      </w:pPr>
    </w:p>
    <w:p w14:paraId="7959FFB6" w14:textId="77777777" w:rsidR="00EB654C" w:rsidRDefault="00C651E7" w:rsidP="00E148C8">
      <w:pPr>
        <w:pStyle w:val="Cmsor2"/>
        <w:keepLines/>
        <w:spacing w:before="0" w:after="0"/>
        <w:ind w:left="0" w:right="-284" w:firstLine="0"/>
        <w:rPr>
          <w:rFonts w:ascii="Times New Roman" w:hAnsi="Times New Roman"/>
          <w:i w:val="0"/>
          <w:sz w:val="22"/>
          <w:szCs w:val="22"/>
        </w:rPr>
      </w:pPr>
      <w:r>
        <w:rPr>
          <w:rFonts w:ascii="Times New Roman" w:hAnsi="Times New Roman"/>
          <w:i w:val="0"/>
          <w:sz w:val="22"/>
        </w:rPr>
        <w:t>6.6</w:t>
      </w:r>
      <w:r>
        <w:rPr>
          <w:rFonts w:ascii="Times New Roman" w:hAnsi="Times New Roman"/>
          <w:i w:val="0"/>
          <w:sz w:val="22"/>
        </w:rPr>
        <w:tab/>
        <w:t>A megsemmisítésre vonatkozó különleges óvintézkedések és egyéb, a készítmény kezelésével kapcsolatos információk</w:t>
      </w:r>
    </w:p>
    <w:p w14:paraId="0CB3E0C8" w14:textId="77777777" w:rsidR="00EB654C" w:rsidRDefault="00EB654C" w:rsidP="00E148C8">
      <w:pPr>
        <w:keepNext/>
        <w:keepLines/>
        <w:tabs>
          <w:tab w:val="left" w:pos="850"/>
        </w:tabs>
        <w:ind w:right="-284"/>
        <w:rPr>
          <w:sz w:val="22"/>
          <w:szCs w:val="22"/>
        </w:rPr>
      </w:pPr>
    </w:p>
    <w:p w14:paraId="6BC30F47" w14:textId="77777777" w:rsidR="00EB654C" w:rsidRDefault="00C651E7" w:rsidP="00E148C8">
      <w:pPr>
        <w:keepNext/>
        <w:keepLines/>
        <w:tabs>
          <w:tab w:val="left" w:pos="850"/>
        </w:tabs>
        <w:ind w:right="-284"/>
        <w:rPr>
          <w:sz w:val="22"/>
          <w:szCs w:val="22"/>
          <w:u w:val="single"/>
        </w:rPr>
      </w:pPr>
      <w:r>
        <w:rPr>
          <w:sz w:val="22"/>
          <w:u w:val="single"/>
        </w:rPr>
        <w:t>A biztonságos kezelésre vonatkozó ajánlások</w:t>
      </w:r>
    </w:p>
    <w:p w14:paraId="352E0098" w14:textId="77777777" w:rsidR="00EB654C" w:rsidRDefault="00C651E7" w:rsidP="00E148C8">
      <w:pPr>
        <w:keepNext/>
        <w:keepLines/>
        <w:tabs>
          <w:tab w:val="left" w:pos="850"/>
        </w:tabs>
        <w:ind w:right="-426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egy daganatellenes szer. A munka megkezdése előtt át kell tekinteni a </w:t>
      </w:r>
      <w:proofErr w:type="spellStart"/>
      <w:r>
        <w:rPr>
          <w:sz w:val="22"/>
        </w:rPr>
        <w:t>citotoxikus</w:t>
      </w:r>
      <w:proofErr w:type="spellEnd"/>
      <w:r>
        <w:rPr>
          <w:sz w:val="22"/>
        </w:rPr>
        <w:t xml:space="preserve"> szerekre vonatkozó helyi irányelveket.</w:t>
      </w:r>
    </w:p>
    <w:p w14:paraId="40D98CFA" w14:textId="39D79CB5" w:rsidR="00EB654C" w:rsidRDefault="00C651E7" w:rsidP="00E148C8">
      <w:pPr>
        <w:keepNext/>
        <w:keepLines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dakarbazint</w:t>
      </w:r>
      <w:proofErr w:type="spellEnd"/>
      <w:r>
        <w:rPr>
          <w:sz w:val="22"/>
        </w:rPr>
        <w:t xml:space="preserve"> csak erre képzett személyzet nyithatja fel, és mint minden </w:t>
      </w:r>
      <w:proofErr w:type="spellStart"/>
      <w:r>
        <w:rPr>
          <w:sz w:val="22"/>
        </w:rPr>
        <w:t>citotoxikus</w:t>
      </w:r>
      <w:proofErr w:type="spellEnd"/>
      <w:r>
        <w:rPr>
          <w:sz w:val="22"/>
        </w:rPr>
        <w:t xml:space="preserve"> szer esetén, óvintézkedéseket kell tenni a személyzet expozíciójának megelőzésére. </w:t>
      </w:r>
      <w:r w:rsidR="00283C35">
        <w:rPr>
          <w:sz w:val="22"/>
        </w:rPr>
        <w:t xml:space="preserve">Terhes nőknek a </w:t>
      </w:r>
      <w:proofErr w:type="spellStart"/>
      <w:r w:rsidR="00283C35">
        <w:rPr>
          <w:sz w:val="22"/>
        </w:rPr>
        <w:t>c</w:t>
      </w:r>
      <w:r>
        <w:rPr>
          <w:sz w:val="22"/>
        </w:rPr>
        <w:t>itotoxikus</w:t>
      </w:r>
      <w:proofErr w:type="spellEnd"/>
      <w:r>
        <w:rPr>
          <w:sz w:val="22"/>
        </w:rPr>
        <w:t xml:space="preserve"> gyógyszerek</w:t>
      </w:r>
      <w:r w:rsidR="00F72CC9">
        <w:rPr>
          <w:sz w:val="22"/>
        </w:rPr>
        <w:t>kel való munkát</w:t>
      </w:r>
      <w:r>
        <w:rPr>
          <w:sz w:val="22"/>
        </w:rPr>
        <w:t xml:space="preserve"> általánosságban kerül</w:t>
      </w:r>
      <w:r w:rsidR="00283C35">
        <w:rPr>
          <w:sz w:val="22"/>
        </w:rPr>
        <w:t>ni kell</w:t>
      </w:r>
      <w:r>
        <w:rPr>
          <w:sz w:val="22"/>
        </w:rPr>
        <w:t xml:space="preserve">. A beadásra szolgáló oldatok elkészítését kijelölt kezelési területen kell végezni egy mosható tálcán vagy egyszer használatos, műanyag hátlapú abszorbens papíron. </w:t>
      </w:r>
    </w:p>
    <w:p w14:paraId="750230C7" w14:textId="77777777" w:rsidR="00EB654C" w:rsidRDefault="00C651E7">
      <w:pPr>
        <w:rPr>
          <w:sz w:val="22"/>
          <w:szCs w:val="22"/>
        </w:rPr>
      </w:pPr>
      <w:r>
        <w:rPr>
          <w:sz w:val="22"/>
        </w:rPr>
        <w:t>Megfelelő szemvédőt, egyszer használatos kesztyűt, arcmaszkot és egyszer használatos köpenyt kell viselni. A fecskendőket és az infúziós szerelékeket gondosan kell összeszerelni a szivárgás elkerülése érdekében (</w:t>
      </w:r>
      <w:proofErr w:type="spellStart"/>
      <w:r>
        <w:rPr>
          <w:sz w:val="22"/>
        </w:rPr>
        <w:t>Luer-záras</w:t>
      </w:r>
      <w:proofErr w:type="spellEnd"/>
      <w:r>
        <w:rPr>
          <w:sz w:val="22"/>
        </w:rPr>
        <w:t xml:space="preserve"> csatlakozók használata javasolt).</w:t>
      </w:r>
    </w:p>
    <w:p w14:paraId="701639F3" w14:textId="77777777" w:rsidR="00EB654C" w:rsidRDefault="00EB654C">
      <w:pPr>
        <w:rPr>
          <w:sz w:val="22"/>
          <w:szCs w:val="22"/>
        </w:rPr>
      </w:pPr>
    </w:p>
    <w:p w14:paraId="1FBA22A1" w14:textId="77777777" w:rsidR="00EB654C" w:rsidRDefault="00C651E7">
      <w:pPr>
        <w:rPr>
          <w:i/>
          <w:sz w:val="22"/>
          <w:szCs w:val="22"/>
        </w:rPr>
      </w:pPr>
      <w:r>
        <w:rPr>
          <w:sz w:val="22"/>
        </w:rPr>
        <w:t>A munka befejezése után minden érintett felületet alaposan meg kell tisztítani, illetve kezet és arcot kell mosni.</w:t>
      </w:r>
    </w:p>
    <w:p w14:paraId="42CF3E00" w14:textId="77777777" w:rsidR="00EB654C" w:rsidRDefault="00EB654C">
      <w:pPr>
        <w:rPr>
          <w:i/>
          <w:sz w:val="22"/>
          <w:szCs w:val="22"/>
        </w:rPr>
      </w:pPr>
    </w:p>
    <w:p w14:paraId="238A52BB" w14:textId="77777777" w:rsidR="00EB654C" w:rsidRDefault="00C651E7">
      <w:pPr>
        <w:tabs>
          <w:tab w:val="left" w:pos="850"/>
        </w:tabs>
        <w:ind w:right="-426"/>
        <w:rPr>
          <w:sz w:val="22"/>
          <w:szCs w:val="22"/>
        </w:rPr>
      </w:pPr>
      <w:r>
        <w:rPr>
          <w:sz w:val="22"/>
        </w:rPr>
        <w:t xml:space="preserve">Az anyag kiömlése esetén a kezelőnek kesztyűt, arcmaszkot, szemvédőt és egyszer használatos köpenyt kell felvennie, majd fel kell törölnie a kiömlött anyagot az ebből a célból a munkaterületre bekészített abszorbens anyaggal. A területet ezután meg kell tisztítani és minden szennyezett anyagot </w:t>
      </w:r>
      <w:proofErr w:type="spellStart"/>
      <w:r>
        <w:rPr>
          <w:sz w:val="22"/>
        </w:rPr>
        <w:t>citotoxikus</w:t>
      </w:r>
      <w:proofErr w:type="spellEnd"/>
      <w:r>
        <w:rPr>
          <w:sz w:val="22"/>
        </w:rPr>
        <w:t xml:space="preserve"> kiömlésekhez használatos tasakba vagy edénybe kell helyezni, vagy lezárt tartályban kell tárolni hulladékégetés céljából.</w:t>
      </w:r>
    </w:p>
    <w:p w14:paraId="0C94836A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388224D1" w14:textId="77777777" w:rsidR="00EB654C" w:rsidRDefault="00C651E7">
      <w:pPr>
        <w:tabs>
          <w:tab w:val="left" w:pos="850"/>
        </w:tabs>
        <w:ind w:right="-284"/>
        <w:rPr>
          <w:sz w:val="22"/>
          <w:szCs w:val="22"/>
          <w:u w:val="single"/>
        </w:rPr>
      </w:pPr>
      <w:r>
        <w:rPr>
          <w:sz w:val="22"/>
          <w:u w:val="single"/>
        </w:rPr>
        <w:t>Előkészületek az intravénás beadáshoz</w:t>
      </w:r>
    </w:p>
    <w:p w14:paraId="73CB3F50" w14:textId="77777777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>-oldatok elkészítése közvetlenül alkalmazás előtt történik.</w:t>
      </w:r>
    </w:p>
    <w:p w14:paraId="5748D4A6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2012D66C" w14:textId="0CDA94DC" w:rsidR="00EB654C" w:rsidRDefault="00C651E7">
      <w:pPr>
        <w:ind w:right="-427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dakarbazin</w:t>
      </w:r>
      <w:proofErr w:type="spellEnd"/>
      <w:r>
        <w:rPr>
          <w:sz w:val="22"/>
        </w:rPr>
        <w:t xml:space="preserve"> érzékeny a fényexpozícióra. Beadás alatt az infúziós tartályt és a beadásra szolgáló szereléket óvni kell a fénytől</w:t>
      </w:r>
      <w:r w:rsidR="00D34D5F">
        <w:rPr>
          <w:sz w:val="22"/>
        </w:rPr>
        <w:t>,</w:t>
      </w:r>
      <w:r>
        <w:rPr>
          <w:sz w:val="22"/>
        </w:rPr>
        <w:t xml:space="preserve"> p</w:t>
      </w:r>
      <w:r w:rsidR="00283C35">
        <w:rPr>
          <w:sz w:val="22"/>
        </w:rPr>
        <w:t>éldául</w:t>
      </w:r>
      <w:r>
        <w:rPr>
          <w:sz w:val="22"/>
        </w:rPr>
        <w:t xml:space="preserve"> fényálló PVC infúziós szerelékek használatával. A normál infúziós szerelékeket </w:t>
      </w:r>
      <w:r w:rsidRPr="00250194">
        <w:rPr>
          <w:sz w:val="22"/>
        </w:rPr>
        <w:t>p</w:t>
      </w:r>
      <w:r w:rsidR="00D34D5F" w:rsidRPr="00250194">
        <w:rPr>
          <w:sz w:val="22"/>
        </w:rPr>
        <w:t>éldául</w:t>
      </w:r>
      <w:r w:rsidRPr="00250194">
        <w:rPr>
          <w:sz w:val="22"/>
        </w:rPr>
        <w:t xml:space="preserve"> UV-álló fóliába kell csomagolni.</w:t>
      </w:r>
    </w:p>
    <w:p w14:paraId="0DB8B937" w14:textId="77777777" w:rsidR="00EB654C" w:rsidRDefault="00EB654C">
      <w:pPr>
        <w:tabs>
          <w:tab w:val="left" w:pos="1843"/>
          <w:tab w:val="left" w:pos="2127"/>
        </w:tabs>
        <w:ind w:right="-284"/>
        <w:rPr>
          <w:sz w:val="22"/>
          <w:szCs w:val="22"/>
        </w:rPr>
      </w:pPr>
    </w:p>
    <w:p w14:paraId="02A62D81" w14:textId="77777777" w:rsidR="00EB654C" w:rsidRDefault="00C651E7">
      <w:pPr>
        <w:tabs>
          <w:tab w:val="left" w:pos="850"/>
        </w:tabs>
        <w:ind w:right="-426"/>
        <w:rPr>
          <w:sz w:val="22"/>
          <w:szCs w:val="22"/>
        </w:rPr>
      </w:pPr>
      <w:proofErr w:type="gramStart"/>
      <w:r>
        <w:rPr>
          <w:sz w:val="22"/>
        </w:rPr>
        <w:t>a</w:t>
      </w:r>
      <w:proofErr w:type="gramEnd"/>
      <w:r>
        <w:rPr>
          <w:sz w:val="22"/>
        </w:rPr>
        <w:t xml:space="preserve">) 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100 mg előkészítése:</w:t>
      </w:r>
    </w:p>
    <w:p w14:paraId="3C2C5C05" w14:textId="77777777" w:rsidR="00EB654C" w:rsidRDefault="00C651E7">
      <w:pPr>
        <w:tabs>
          <w:tab w:val="left" w:pos="850"/>
        </w:tabs>
        <w:ind w:right="-426"/>
        <w:rPr>
          <w:sz w:val="22"/>
          <w:szCs w:val="22"/>
        </w:rPr>
      </w:pPr>
      <w:r>
        <w:rPr>
          <w:sz w:val="22"/>
        </w:rPr>
        <w:t xml:space="preserve">Aszeptikus körülmények között 10 ml injekcióhoz való vizet kell az injekciós üvegbe juttatni és azt oldódásig kell rázni. Ez a frissen elkészített oldat 10 mg/ml </w:t>
      </w:r>
      <w:proofErr w:type="spellStart"/>
      <w:r>
        <w:rPr>
          <w:sz w:val="22"/>
        </w:rPr>
        <w:t>dakarbazint</w:t>
      </w:r>
      <w:proofErr w:type="spellEnd"/>
      <w:r>
        <w:rPr>
          <w:sz w:val="22"/>
        </w:rPr>
        <w:t xml:space="preserve"> tartalmaz (az oldat sűrűsége: </w:t>
      </w:r>
      <w:r>
        <w:rPr>
          <w:sz w:val="22"/>
        </w:rPr>
        <w:sym w:font="Symbol" w:char="F072"/>
      </w:r>
      <w:r>
        <w:rPr>
          <w:sz w:val="22"/>
        </w:rPr>
        <w:t> = 1,007 g/ml), és lassú injekcióként adható be.</w:t>
      </w:r>
    </w:p>
    <w:p w14:paraId="0CD30177" w14:textId="77777777" w:rsidR="00EB654C" w:rsidRDefault="00EB654C">
      <w:pPr>
        <w:tabs>
          <w:tab w:val="left" w:pos="850"/>
        </w:tabs>
        <w:ind w:right="-426"/>
        <w:rPr>
          <w:sz w:val="22"/>
          <w:szCs w:val="22"/>
        </w:rPr>
      </w:pPr>
    </w:p>
    <w:p w14:paraId="15EBEDF4" w14:textId="77777777" w:rsidR="00EB654C" w:rsidRDefault="00C651E7">
      <w:pPr>
        <w:tabs>
          <w:tab w:val="left" w:pos="850"/>
        </w:tabs>
        <w:ind w:right="-426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100 mg iv. infúzióban való beadáshoz való előkészítéséhez a frissen elkészített oldatot tovább kell hígítani 200–300 ml 0,9%</w:t>
      </w:r>
      <w:r>
        <w:rPr>
          <w:sz w:val="22"/>
        </w:rPr>
        <w:noBreakHyphen/>
      </w:r>
      <w:proofErr w:type="spellStart"/>
      <w:r>
        <w:rPr>
          <w:sz w:val="22"/>
        </w:rPr>
        <w:t>os</w:t>
      </w:r>
      <w:proofErr w:type="spellEnd"/>
      <w:r>
        <w:rPr>
          <w:sz w:val="22"/>
        </w:rPr>
        <w:t xml:space="preserve"> nátrium-kloridos vagy 5%</w:t>
      </w:r>
      <w:r>
        <w:rPr>
          <w:sz w:val="22"/>
        </w:rPr>
        <w:noBreakHyphen/>
      </w:r>
      <w:proofErr w:type="spellStart"/>
      <w:r>
        <w:rPr>
          <w:sz w:val="22"/>
        </w:rPr>
        <w:t>os</w:t>
      </w:r>
      <w:proofErr w:type="spellEnd"/>
      <w:r>
        <w:rPr>
          <w:sz w:val="22"/>
        </w:rPr>
        <w:t xml:space="preserve"> glükózos infúziós oldattal. Ezt az oldatot rövid idejű infúzióként, 15–30 perc alatt kell beadni.</w:t>
      </w:r>
    </w:p>
    <w:p w14:paraId="17145434" w14:textId="77777777" w:rsidR="00EB654C" w:rsidRDefault="00EB654C">
      <w:pPr>
        <w:tabs>
          <w:tab w:val="left" w:pos="850"/>
        </w:tabs>
        <w:ind w:right="-426"/>
        <w:rPr>
          <w:sz w:val="22"/>
          <w:szCs w:val="22"/>
        </w:rPr>
      </w:pPr>
    </w:p>
    <w:p w14:paraId="01EF08F7" w14:textId="77777777" w:rsidR="00EB654C" w:rsidRDefault="00C651E7">
      <w:pPr>
        <w:tabs>
          <w:tab w:val="left" w:pos="850"/>
        </w:tabs>
        <w:ind w:right="-426"/>
        <w:rPr>
          <w:sz w:val="22"/>
          <w:szCs w:val="22"/>
        </w:rPr>
      </w:pPr>
      <w:r>
        <w:rPr>
          <w:sz w:val="22"/>
        </w:rPr>
        <w:t xml:space="preserve">b) 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200 mg előkészítése:</w:t>
      </w:r>
    </w:p>
    <w:p w14:paraId="4A379670" w14:textId="77777777" w:rsidR="00EB654C" w:rsidRDefault="00C651E7">
      <w:pPr>
        <w:tabs>
          <w:tab w:val="left" w:pos="850"/>
        </w:tabs>
        <w:ind w:right="-426"/>
        <w:rPr>
          <w:sz w:val="22"/>
          <w:szCs w:val="22"/>
        </w:rPr>
      </w:pPr>
      <w:r>
        <w:rPr>
          <w:sz w:val="22"/>
        </w:rPr>
        <w:t xml:space="preserve">Aszeptikus körülmények között 20 ml injekcióhoz való vizet kell az injekciós üvegbe juttatni és azt oldódásig kell rázni. Ez a frissen elkészített oldat 10 mg/ml </w:t>
      </w:r>
      <w:proofErr w:type="spellStart"/>
      <w:r>
        <w:rPr>
          <w:sz w:val="22"/>
        </w:rPr>
        <w:t>dakarbazint</w:t>
      </w:r>
      <w:proofErr w:type="spellEnd"/>
      <w:r>
        <w:rPr>
          <w:sz w:val="22"/>
        </w:rPr>
        <w:t xml:space="preserve"> tartalmaz (az oldat sűrűsége: </w:t>
      </w:r>
      <w:r>
        <w:rPr>
          <w:sz w:val="22"/>
        </w:rPr>
        <w:sym w:font="Symbol" w:char="F072"/>
      </w:r>
      <w:r>
        <w:rPr>
          <w:sz w:val="22"/>
        </w:rPr>
        <w:t> = 1,007 g/ml), és lassú injekcióként adható be.</w:t>
      </w:r>
    </w:p>
    <w:p w14:paraId="5193350F" w14:textId="77777777" w:rsidR="00EB654C" w:rsidRDefault="00EB654C">
      <w:pPr>
        <w:tabs>
          <w:tab w:val="left" w:pos="850"/>
        </w:tabs>
        <w:ind w:right="-426"/>
        <w:rPr>
          <w:sz w:val="22"/>
          <w:szCs w:val="22"/>
        </w:rPr>
      </w:pPr>
    </w:p>
    <w:p w14:paraId="17676049" w14:textId="77777777" w:rsidR="00EB654C" w:rsidRDefault="00C651E7">
      <w:pPr>
        <w:tabs>
          <w:tab w:val="left" w:pos="850"/>
        </w:tabs>
        <w:ind w:right="-426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200 mg iv. infúzióban való beadáshoz való előkészítéséhez a frissen elkészített oldatot tovább kell hígítani 200–300 ml 0,9%</w:t>
      </w:r>
      <w:r>
        <w:rPr>
          <w:sz w:val="22"/>
        </w:rPr>
        <w:noBreakHyphen/>
      </w:r>
      <w:proofErr w:type="spellStart"/>
      <w:r>
        <w:rPr>
          <w:sz w:val="22"/>
        </w:rPr>
        <w:t>os</w:t>
      </w:r>
      <w:proofErr w:type="spellEnd"/>
      <w:r>
        <w:rPr>
          <w:sz w:val="22"/>
        </w:rPr>
        <w:t xml:space="preserve"> nátrium-kloridos vagy 5%</w:t>
      </w:r>
      <w:r>
        <w:rPr>
          <w:sz w:val="22"/>
        </w:rPr>
        <w:noBreakHyphen/>
      </w:r>
      <w:proofErr w:type="spellStart"/>
      <w:r>
        <w:rPr>
          <w:sz w:val="22"/>
        </w:rPr>
        <w:t>os</w:t>
      </w:r>
      <w:proofErr w:type="spellEnd"/>
      <w:r>
        <w:rPr>
          <w:sz w:val="22"/>
        </w:rPr>
        <w:t xml:space="preserve"> glükózos infúziós oldattal. Ezt az oldatot rövid idejű infúzióként, 15–30 perc alatt kell beadni.</w:t>
      </w:r>
    </w:p>
    <w:p w14:paraId="73E59035" w14:textId="77777777" w:rsidR="00EB654C" w:rsidRDefault="00EB654C">
      <w:pPr>
        <w:tabs>
          <w:tab w:val="left" w:pos="850"/>
        </w:tabs>
        <w:ind w:right="-426"/>
        <w:rPr>
          <w:sz w:val="22"/>
          <w:szCs w:val="22"/>
        </w:rPr>
      </w:pPr>
    </w:p>
    <w:p w14:paraId="48DA2A3A" w14:textId="77777777" w:rsidR="00EB654C" w:rsidRDefault="00C651E7">
      <w:pPr>
        <w:tabs>
          <w:tab w:val="left" w:pos="850"/>
        </w:tabs>
        <w:ind w:right="-426"/>
        <w:rPr>
          <w:sz w:val="22"/>
          <w:szCs w:val="22"/>
        </w:rPr>
      </w:pPr>
      <w:r>
        <w:rPr>
          <w:sz w:val="22"/>
        </w:rPr>
        <w:t xml:space="preserve">c) 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500 mg előkészítése:</w:t>
      </w:r>
    </w:p>
    <w:p w14:paraId="7492DF57" w14:textId="77777777" w:rsidR="00EB654C" w:rsidRDefault="00C651E7">
      <w:pPr>
        <w:tabs>
          <w:tab w:val="left" w:pos="850"/>
        </w:tabs>
        <w:ind w:right="-426"/>
        <w:rPr>
          <w:sz w:val="22"/>
          <w:szCs w:val="22"/>
        </w:rPr>
      </w:pPr>
      <w:r>
        <w:rPr>
          <w:sz w:val="22"/>
        </w:rPr>
        <w:t xml:space="preserve">Aszeptikus körülmények között 50 ml injekcióhoz való vizet kell az injekciós üvegbe juttatni és azt oldódásig kell rázni. A kapott oldat 10 mg/ml </w:t>
      </w:r>
      <w:proofErr w:type="spellStart"/>
      <w:r>
        <w:rPr>
          <w:sz w:val="22"/>
        </w:rPr>
        <w:t>dakarbazint</w:t>
      </w:r>
      <w:proofErr w:type="spellEnd"/>
      <w:r>
        <w:rPr>
          <w:sz w:val="22"/>
        </w:rPr>
        <w:t xml:space="preserve"> tartalmaz (az oldat sűrűsége: </w:t>
      </w:r>
      <w:r>
        <w:rPr>
          <w:sz w:val="22"/>
        </w:rPr>
        <w:sym w:font="Symbol" w:char="F072"/>
      </w:r>
      <w:r>
        <w:rPr>
          <w:sz w:val="22"/>
        </w:rPr>
        <w:t> = 1,007 g/ml), és azt tovább kell hígítani 200–300 ml 0,9%</w:t>
      </w:r>
      <w:r>
        <w:rPr>
          <w:sz w:val="22"/>
        </w:rPr>
        <w:noBreakHyphen/>
      </w:r>
      <w:proofErr w:type="spellStart"/>
      <w:r>
        <w:rPr>
          <w:sz w:val="22"/>
        </w:rPr>
        <w:t>os</w:t>
      </w:r>
      <w:proofErr w:type="spellEnd"/>
      <w:r>
        <w:rPr>
          <w:sz w:val="22"/>
        </w:rPr>
        <w:t xml:space="preserve"> nátrium-kloridos vagy 5%</w:t>
      </w:r>
      <w:r>
        <w:rPr>
          <w:sz w:val="22"/>
        </w:rPr>
        <w:noBreakHyphen/>
      </w:r>
      <w:proofErr w:type="spellStart"/>
      <w:r>
        <w:rPr>
          <w:sz w:val="22"/>
        </w:rPr>
        <w:t>os</w:t>
      </w:r>
      <w:proofErr w:type="spellEnd"/>
      <w:r>
        <w:rPr>
          <w:sz w:val="22"/>
        </w:rPr>
        <w:t xml:space="preserve"> glükózos infúziós oldattal. A kapott infúziós oldat 1,4–2,0 mg/ml </w:t>
      </w:r>
      <w:proofErr w:type="spellStart"/>
      <w:r>
        <w:rPr>
          <w:sz w:val="22"/>
        </w:rPr>
        <w:t>dakarbazint</w:t>
      </w:r>
      <w:proofErr w:type="spellEnd"/>
      <w:r>
        <w:rPr>
          <w:sz w:val="22"/>
        </w:rPr>
        <w:t xml:space="preserve"> tartalmaz, készen áll az iv. infúzió beadására, és 20</w:t>
      </w:r>
      <w:r>
        <w:rPr>
          <w:sz w:val="22"/>
        </w:rPr>
        <w:noBreakHyphen/>
        <w:t>30 perc alatt kell beadni.</w:t>
      </w:r>
    </w:p>
    <w:p w14:paraId="418EF881" w14:textId="77777777" w:rsidR="00EB654C" w:rsidRDefault="00EB654C">
      <w:pPr>
        <w:tabs>
          <w:tab w:val="left" w:pos="2127"/>
        </w:tabs>
        <w:ind w:right="-284"/>
        <w:rPr>
          <w:sz w:val="22"/>
          <w:szCs w:val="22"/>
        </w:rPr>
      </w:pPr>
    </w:p>
    <w:p w14:paraId="24E035EC" w14:textId="77777777" w:rsidR="00EB654C" w:rsidRDefault="00C651E7">
      <w:pPr>
        <w:tabs>
          <w:tab w:val="left" w:pos="850"/>
        </w:tabs>
        <w:ind w:right="-426"/>
        <w:rPr>
          <w:sz w:val="22"/>
          <w:szCs w:val="22"/>
        </w:rPr>
      </w:pPr>
      <w:r>
        <w:rPr>
          <w:sz w:val="22"/>
        </w:rPr>
        <w:t xml:space="preserve">d) 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1000 mg előkészítése:</w:t>
      </w:r>
    </w:p>
    <w:p w14:paraId="48815608" w14:textId="77777777" w:rsidR="00EB654C" w:rsidRDefault="00C651E7">
      <w:pPr>
        <w:tabs>
          <w:tab w:val="left" w:pos="850"/>
        </w:tabs>
        <w:ind w:right="-426"/>
        <w:rPr>
          <w:sz w:val="22"/>
          <w:szCs w:val="22"/>
        </w:rPr>
      </w:pPr>
      <w:r>
        <w:rPr>
          <w:sz w:val="22"/>
        </w:rPr>
        <w:t xml:space="preserve">Aszeptikus körülmények között 50 ml injekcióhoz való vizet kell az injekciós üvegbe juttatni és azt oldódásig kell rázni. A kapott oldat 20 mg/ml </w:t>
      </w:r>
      <w:proofErr w:type="spellStart"/>
      <w:r>
        <w:rPr>
          <w:sz w:val="22"/>
        </w:rPr>
        <w:t>dakarbazint</w:t>
      </w:r>
      <w:proofErr w:type="spellEnd"/>
      <w:r>
        <w:rPr>
          <w:sz w:val="22"/>
        </w:rPr>
        <w:t xml:space="preserve"> tartalmaz (az oldat sűrűsége: </w:t>
      </w:r>
      <w:r>
        <w:rPr>
          <w:sz w:val="22"/>
        </w:rPr>
        <w:sym w:font="Symbol" w:char="F072"/>
      </w:r>
      <w:r>
        <w:rPr>
          <w:sz w:val="22"/>
        </w:rPr>
        <w:t> = 1,015 g/ml), és azt tovább kell hígítani 200–300 ml 0,9%</w:t>
      </w:r>
      <w:r>
        <w:rPr>
          <w:sz w:val="22"/>
        </w:rPr>
        <w:noBreakHyphen/>
      </w:r>
      <w:proofErr w:type="spellStart"/>
      <w:r>
        <w:rPr>
          <w:sz w:val="22"/>
        </w:rPr>
        <w:t>os</w:t>
      </w:r>
      <w:proofErr w:type="spellEnd"/>
      <w:r>
        <w:rPr>
          <w:sz w:val="22"/>
        </w:rPr>
        <w:t xml:space="preserve"> nátrium-kloridos vagy 5%</w:t>
      </w:r>
      <w:r>
        <w:rPr>
          <w:sz w:val="22"/>
        </w:rPr>
        <w:noBreakHyphen/>
      </w:r>
      <w:proofErr w:type="spellStart"/>
      <w:r>
        <w:rPr>
          <w:sz w:val="22"/>
        </w:rPr>
        <w:t>os</w:t>
      </w:r>
      <w:proofErr w:type="spellEnd"/>
      <w:r>
        <w:rPr>
          <w:sz w:val="22"/>
        </w:rPr>
        <w:t xml:space="preserve"> glükózos infúziós oldattal. A kapott infúziós oldat 2,8–4,0 mg/ml </w:t>
      </w:r>
      <w:proofErr w:type="spellStart"/>
      <w:r>
        <w:rPr>
          <w:sz w:val="22"/>
        </w:rPr>
        <w:t>dakarbazint</w:t>
      </w:r>
      <w:proofErr w:type="spellEnd"/>
      <w:r>
        <w:rPr>
          <w:sz w:val="22"/>
        </w:rPr>
        <w:t xml:space="preserve"> tartalmaz, készen áll az iv. infúzió beadására, és 20</w:t>
      </w:r>
      <w:r>
        <w:rPr>
          <w:sz w:val="22"/>
        </w:rPr>
        <w:noBreakHyphen/>
        <w:t>30 perc alatt kell beadni.</w:t>
      </w:r>
    </w:p>
    <w:p w14:paraId="24CE4CB2" w14:textId="77777777" w:rsidR="00EB654C" w:rsidRDefault="00EB654C">
      <w:pPr>
        <w:tabs>
          <w:tab w:val="left" w:pos="2127"/>
        </w:tabs>
        <w:ind w:right="-284"/>
        <w:rPr>
          <w:sz w:val="22"/>
          <w:szCs w:val="22"/>
        </w:rPr>
      </w:pPr>
    </w:p>
    <w:p w14:paraId="19610FB3" w14:textId="77777777" w:rsidR="00EB654C" w:rsidRDefault="00C651E7">
      <w:pPr>
        <w:pStyle w:val="Syreaspc"/>
        <w:rPr>
          <w:b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Dacarbazine</w:t>
      </w:r>
      <w:proofErr w:type="spellEnd"/>
      <w:r>
        <w:rPr>
          <w:sz w:val="22"/>
        </w:rPr>
        <w:t> </w:t>
      </w: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100 mg (200 mg, 500 mg, 1000 mg)</w:t>
      </w:r>
      <w:r>
        <w:rPr>
          <w:b/>
          <w:sz w:val="22"/>
        </w:rPr>
        <w:t xml:space="preserve"> </w:t>
      </w:r>
      <w:r>
        <w:rPr>
          <w:sz w:val="22"/>
        </w:rPr>
        <w:t>csak egyszeri felhasználásra szolgál.</w:t>
      </w:r>
    </w:p>
    <w:p w14:paraId="3BA400FF" w14:textId="77777777" w:rsidR="00EB654C" w:rsidRDefault="00C651E7">
      <w:pPr>
        <w:rPr>
          <w:sz w:val="22"/>
          <w:szCs w:val="22"/>
        </w:rPr>
      </w:pPr>
      <w:r>
        <w:rPr>
          <w:sz w:val="22"/>
        </w:rPr>
        <w:t xml:space="preserve">A hígított </w:t>
      </w:r>
      <w:proofErr w:type="spellStart"/>
      <w:r>
        <w:rPr>
          <w:sz w:val="22"/>
        </w:rPr>
        <w:t>oldatos</w:t>
      </w:r>
      <w:proofErr w:type="spellEnd"/>
      <w:r>
        <w:rPr>
          <w:sz w:val="22"/>
        </w:rPr>
        <w:t xml:space="preserve"> infúziót szabad szemmel meg kell vizsgálni, és csak a gyakorlatilag részecskéktől mentes, áttetsző oldatok használhatók fel. Nem használható fel az oldat, ha részecskék vannak benne.</w:t>
      </w:r>
    </w:p>
    <w:p w14:paraId="1DC70E9B" w14:textId="77777777" w:rsidR="00EB654C" w:rsidRDefault="00EB654C">
      <w:pPr>
        <w:tabs>
          <w:tab w:val="left" w:pos="851"/>
        </w:tabs>
        <w:ind w:right="-426"/>
        <w:rPr>
          <w:sz w:val="22"/>
          <w:szCs w:val="22"/>
        </w:rPr>
      </w:pPr>
    </w:p>
    <w:p w14:paraId="78880D39" w14:textId="77777777" w:rsidR="00EB654C" w:rsidRDefault="00C651E7">
      <w:pPr>
        <w:tabs>
          <w:tab w:val="left" w:pos="851"/>
        </w:tabs>
        <w:ind w:right="-426"/>
        <w:rPr>
          <w:sz w:val="22"/>
          <w:szCs w:val="22"/>
        </w:rPr>
      </w:pPr>
      <w:r>
        <w:rPr>
          <w:sz w:val="22"/>
        </w:rPr>
        <w:t>Bármilyen fel nem használt gyógyszer, illetve hulladékanyag megsemmisítését a gyógyszerekre vonatkozó előírások szerint kell végrehajtani. Ugyanez vonatkozik azon oldatokra is, amelyek vizuális megjelenése megváltozott</w:t>
      </w:r>
      <w:bookmarkStart w:id="1" w:name="os_autosavelastposition1811435"/>
      <w:bookmarkEnd w:id="1"/>
      <w:r>
        <w:rPr>
          <w:sz w:val="22"/>
        </w:rPr>
        <w:t>.</w:t>
      </w:r>
    </w:p>
    <w:p w14:paraId="16703766" w14:textId="1FB69A4C" w:rsidR="00EB654C" w:rsidRDefault="00EB654C">
      <w:pPr>
        <w:tabs>
          <w:tab w:val="left" w:pos="851"/>
        </w:tabs>
        <w:ind w:right="-426"/>
        <w:rPr>
          <w:sz w:val="22"/>
          <w:szCs w:val="22"/>
        </w:rPr>
      </w:pPr>
    </w:p>
    <w:p w14:paraId="26929165" w14:textId="77777777" w:rsidR="00791EC8" w:rsidRPr="00212065" w:rsidRDefault="00791EC8" w:rsidP="00791EC8">
      <w:pPr>
        <w:suppressAutoHyphens/>
        <w:rPr>
          <w:sz w:val="22"/>
          <w:szCs w:val="22"/>
        </w:rPr>
      </w:pPr>
      <w:r w:rsidRPr="00212065">
        <w:rPr>
          <w:b/>
          <w:sz w:val="22"/>
          <w:szCs w:val="22"/>
        </w:rPr>
        <w:t xml:space="preserve">Megjegyzés: </w:t>
      </w:r>
      <w:r w:rsidRPr="00212065">
        <w:rPr>
          <w:sz w:val="22"/>
          <w:szCs w:val="22"/>
        </w:rPr>
        <w:sym w:font="Wingdings" w:char="F058"/>
      </w:r>
      <w:r w:rsidRPr="00212065">
        <w:rPr>
          <w:sz w:val="22"/>
          <w:szCs w:val="22"/>
        </w:rPr>
        <w:sym w:font="Wingdings" w:char="F058"/>
      </w:r>
      <w:r w:rsidRPr="00212065">
        <w:rPr>
          <w:sz w:val="22"/>
          <w:szCs w:val="22"/>
        </w:rPr>
        <w:t xml:space="preserve"> (két keresztes)</w:t>
      </w:r>
    </w:p>
    <w:p w14:paraId="5FE0857D" w14:textId="77777777" w:rsidR="00791EC8" w:rsidRPr="00212065" w:rsidRDefault="00791EC8" w:rsidP="00791EC8">
      <w:pPr>
        <w:rPr>
          <w:b/>
          <w:sz w:val="22"/>
          <w:szCs w:val="22"/>
        </w:rPr>
      </w:pPr>
      <w:r w:rsidRPr="00212065">
        <w:rPr>
          <w:b/>
          <w:sz w:val="22"/>
          <w:szCs w:val="22"/>
        </w:rPr>
        <w:t>Osztályozás: II./3 csoport</w:t>
      </w:r>
    </w:p>
    <w:p w14:paraId="436DF649" w14:textId="77777777" w:rsidR="00791EC8" w:rsidRPr="00212065" w:rsidRDefault="00791EC8" w:rsidP="00791EC8">
      <w:pPr>
        <w:rPr>
          <w:sz w:val="22"/>
          <w:szCs w:val="22"/>
        </w:rPr>
      </w:pPr>
      <w:r w:rsidRPr="00212065">
        <w:rPr>
          <w:sz w:val="22"/>
          <w:szCs w:val="22"/>
        </w:rPr>
        <w:t>Korlátozott érvényű orvosi rendelvényhez kötött, az egészségügyről szóló 1997. évi CLIV. törvény 3. §-</w:t>
      </w:r>
      <w:proofErr w:type="spellStart"/>
      <w:r w:rsidRPr="00212065">
        <w:rPr>
          <w:sz w:val="22"/>
          <w:szCs w:val="22"/>
        </w:rPr>
        <w:t>ának</w:t>
      </w:r>
      <w:proofErr w:type="spellEnd"/>
      <w:r w:rsidRPr="00212065">
        <w:rPr>
          <w:sz w:val="22"/>
          <w:szCs w:val="22"/>
        </w:rPr>
        <w:t xml:space="preserve"> </w:t>
      </w:r>
      <w:proofErr w:type="spellStart"/>
      <w:r w:rsidRPr="00212065">
        <w:rPr>
          <w:sz w:val="22"/>
          <w:szCs w:val="22"/>
        </w:rPr>
        <w:t>ga</w:t>
      </w:r>
      <w:proofErr w:type="spellEnd"/>
      <w:r w:rsidRPr="00212065">
        <w:rPr>
          <w:sz w:val="22"/>
          <w:szCs w:val="22"/>
        </w:rPr>
        <w:t>) pontja szerinti rendelőintézeti járóbeteg-szakellátást vagy fekvőbeteg-szakellátást nyújtó szolgáltatók által biztosított körülmények között alkalmazható gyógyszer</w:t>
      </w:r>
      <w:r w:rsidRPr="00212065">
        <w:rPr>
          <w:bCs/>
          <w:sz w:val="22"/>
          <w:szCs w:val="22"/>
        </w:rPr>
        <w:t xml:space="preserve"> (I).</w:t>
      </w:r>
    </w:p>
    <w:p w14:paraId="3B4A25A2" w14:textId="77777777" w:rsidR="00791EC8" w:rsidRDefault="00791EC8">
      <w:pPr>
        <w:tabs>
          <w:tab w:val="left" w:pos="851"/>
        </w:tabs>
        <w:ind w:right="-426"/>
        <w:rPr>
          <w:sz w:val="22"/>
          <w:szCs w:val="22"/>
        </w:rPr>
      </w:pPr>
    </w:p>
    <w:p w14:paraId="6A0A08E9" w14:textId="77777777" w:rsidR="00EB654C" w:rsidRDefault="00EB654C">
      <w:pPr>
        <w:tabs>
          <w:tab w:val="left" w:pos="850"/>
          <w:tab w:val="left" w:pos="2268"/>
        </w:tabs>
        <w:ind w:right="-284"/>
        <w:rPr>
          <w:sz w:val="22"/>
          <w:szCs w:val="22"/>
        </w:rPr>
      </w:pPr>
      <w:bookmarkStart w:id="2" w:name="_GoBack"/>
      <w:bookmarkEnd w:id="2"/>
    </w:p>
    <w:p w14:paraId="1E04D014" w14:textId="77777777" w:rsidR="00EB654C" w:rsidRDefault="00C651E7">
      <w:pPr>
        <w:pStyle w:val="Cmsor1"/>
        <w:spacing w:before="0" w:after="0"/>
        <w:ind w:left="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</w:rPr>
        <w:t>7.</w:t>
      </w:r>
      <w:r>
        <w:rPr>
          <w:rFonts w:ascii="Times New Roman" w:hAnsi="Times New Roman"/>
          <w:sz w:val="22"/>
        </w:rPr>
        <w:tab/>
        <w:t>A FORGALOMBA HOZATALI ENGEDÉLY JOGOSULTJA</w:t>
      </w:r>
    </w:p>
    <w:p w14:paraId="39AF454A" w14:textId="77777777" w:rsidR="00EB654C" w:rsidRDefault="00EB654C">
      <w:pPr>
        <w:rPr>
          <w:noProof/>
          <w:sz w:val="22"/>
          <w:szCs w:val="22"/>
        </w:rPr>
      </w:pPr>
    </w:p>
    <w:p w14:paraId="1402004D" w14:textId="0F19D031" w:rsidR="00EB654C" w:rsidRDefault="00C651E7">
      <w:pPr>
        <w:rPr>
          <w:noProof/>
          <w:sz w:val="22"/>
          <w:szCs w:val="22"/>
        </w:rPr>
      </w:pPr>
      <w:proofErr w:type="spellStart"/>
      <w:r>
        <w:rPr>
          <w:sz w:val="22"/>
        </w:rPr>
        <w:t>medac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Gesellschaft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für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klinische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Spezialpräparate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mbH</w:t>
      </w:r>
      <w:proofErr w:type="spellEnd"/>
    </w:p>
    <w:p w14:paraId="2BD24A56" w14:textId="77777777" w:rsidR="00EB654C" w:rsidRDefault="00C651E7">
      <w:pPr>
        <w:rPr>
          <w:noProof/>
          <w:sz w:val="22"/>
          <w:szCs w:val="22"/>
        </w:rPr>
      </w:pPr>
      <w:proofErr w:type="spellStart"/>
      <w:r>
        <w:rPr>
          <w:sz w:val="22"/>
        </w:rPr>
        <w:t>Theaterstr</w:t>
      </w:r>
      <w:proofErr w:type="spellEnd"/>
      <w:r>
        <w:rPr>
          <w:sz w:val="22"/>
        </w:rPr>
        <w:t>. 6</w:t>
      </w:r>
    </w:p>
    <w:p w14:paraId="3D7AA035" w14:textId="77777777" w:rsidR="00EB654C" w:rsidRDefault="00C651E7">
      <w:pPr>
        <w:tabs>
          <w:tab w:val="left" w:pos="850"/>
        </w:tabs>
        <w:ind w:right="-284"/>
        <w:rPr>
          <w:noProof/>
          <w:sz w:val="22"/>
          <w:szCs w:val="22"/>
        </w:rPr>
      </w:pPr>
      <w:r>
        <w:rPr>
          <w:sz w:val="22"/>
        </w:rPr>
        <w:t>22880 </w:t>
      </w:r>
      <w:proofErr w:type="spellStart"/>
      <w:r>
        <w:rPr>
          <w:sz w:val="22"/>
        </w:rPr>
        <w:t>Wedel</w:t>
      </w:r>
      <w:proofErr w:type="spellEnd"/>
    </w:p>
    <w:p w14:paraId="2460D85D" w14:textId="77777777" w:rsidR="00EB654C" w:rsidRDefault="00C651E7">
      <w:pPr>
        <w:tabs>
          <w:tab w:val="left" w:pos="850"/>
        </w:tabs>
        <w:ind w:right="-284"/>
        <w:rPr>
          <w:sz w:val="22"/>
          <w:szCs w:val="22"/>
        </w:rPr>
      </w:pPr>
      <w:r>
        <w:rPr>
          <w:sz w:val="22"/>
        </w:rPr>
        <w:t>Németország</w:t>
      </w:r>
    </w:p>
    <w:p w14:paraId="325929B9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21A2720E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6FFE4060" w14:textId="77777777" w:rsidR="00EB654C" w:rsidRDefault="00C651E7">
      <w:pPr>
        <w:pStyle w:val="Cmsor1"/>
        <w:spacing w:before="0" w:after="0"/>
        <w:ind w:left="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</w:rPr>
        <w:t>8.</w:t>
      </w:r>
      <w:r>
        <w:rPr>
          <w:rFonts w:ascii="Times New Roman" w:hAnsi="Times New Roman"/>
          <w:sz w:val="22"/>
        </w:rPr>
        <w:tab/>
        <w:t xml:space="preserve">A FORGALOMBA HOZATALI ENGEDÉLY </w:t>
      </w:r>
      <w:proofErr w:type="gramStart"/>
      <w:r>
        <w:rPr>
          <w:rFonts w:ascii="Times New Roman" w:hAnsi="Times New Roman"/>
          <w:sz w:val="22"/>
        </w:rPr>
        <w:t>SZÁMA(</w:t>
      </w:r>
      <w:proofErr w:type="gramEnd"/>
      <w:r>
        <w:rPr>
          <w:rFonts w:ascii="Times New Roman" w:hAnsi="Times New Roman"/>
          <w:sz w:val="22"/>
        </w:rPr>
        <w:t>I)</w:t>
      </w:r>
    </w:p>
    <w:p w14:paraId="07F8930C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4E0940B5" w14:textId="25901C0C" w:rsidR="005F2C31" w:rsidRPr="005F2C31" w:rsidRDefault="005F2C31" w:rsidP="005F2C31">
      <w:pPr>
        <w:tabs>
          <w:tab w:val="left" w:pos="850"/>
        </w:tabs>
        <w:ind w:right="-284"/>
        <w:rPr>
          <w:sz w:val="22"/>
          <w:u w:val="single"/>
        </w:rPr>
      </w:pPr>
      <w:proofErr w:type="spellStart"/>
      <w:r w:rsidRPr="005F2C31">
        <w:rPr>
          <w:sz w:val="22"/>
          <w:u w:val="single"/>
        </w:rPr>
        <w:t>Dacarbazine</w:t>
      </w:r>
      <w:proofErr w:type="spellEnd"/>
      <w:r w:rsidRPr="005F2C31">
        <w:rPr>
          <w:sz w:val="22"/>
          <w:u w:val="single"/>
        </w:rPr>
        <w:t xml:space="preserve"> </w:t>
      </w:r>
      <w:proofErr w:type="spellStart"/>
      <w:r w:rsidRPr="005F2C31">
        <w:rPr>
          <w:sz w:val="22"/>
          <w:u w:val="single"/>
        </w:rPr>
        <w:t>medac</w:t>
      </w:r>
      <w:proofErr w:type="spellEnd"/>
      <w:r w:rsidRPr="005F2C31">
        <w:rPr>
          <w:sz w:val="22"/>
          <w:u w:val="single"/>
        </w:rPr>
        <w:t xml:space="preserve"> 100 mg por </w:t>
      </w:r>
      <w:proofErr w:type="spellStart"/>
      <w:r w:rsidRPr="005F2C31">
        <w:rPr>
          <w:sz w:val="22"/>
          <w:u w:val="single"/>
        </w:rPr>
        <w:t>oldatos</w:t>
      </w:r>
      <w:proofErr w:type="spellEnd"/>
      <w:r w:rsidRPr="005F2C31">
        <w:rPr>
          <w:sz w:val="22"/>
          <w:u w:val="single"/>
        </w:rPr>
        <w:t xml:space="preserve"> injekcióhoz/infúzióhoz</w:t>
      </w:r>
    </w:p>
    <w:p w14:paraId="3F8180A5" w14:textId="77777777" w:rsidR="005F2C31" w:rsidRDefault="005F2C31" w:rsidP="005F2C31">
      <w:pPr>
        <w:tabs>
          <w:tab w:val="left" w:pos="850"/>
        </w:tabs>
        <w:ind w:right="-284"/>
        <w:rPr>
          <w:sz w:val="22"/>
        </w:rPr>
      </w:pPr>
      <w:r>
        <w:rPr>
          <w:sz w:val="22"/>
        </w:rPr>
        <w:t>OGYI-T-24367/01</w:t>
      </w:r>
      <w:r>
        <w:rPr>
          <w:sz w:val="22"/>
        </w:rPr>
        <w:tab/>
        <w:t>10×</w:t>
      </w:r>
      <w:r>
        <w:rPr>
          <w:sz w:val="22"/>
        </w:rPr>
        <w:tab/>
        <w:t>e</w:t>
      </w:r>
      <w:r w:rsidRPr="005F2C31">
        <w:rPr>
          <w:sz w:val="22"/>
        </w:rPr>
        <w:t>gyadagos injekciós üvegben</w:t>
      </w:r>
    </w:p>
    <w:p w14:paraId="66310312" w14:textId="77777777" w:rsidR="005F2C31" w:rsidRDefault="005F2C31" w:rsidP="005F2C31">
      <w:pPr>
        <w:tabs>
          <w:tab w:val="left" w:pos="850"/>
        </w:tabs>
        <w:ind w:right="-284"/>
        <w:rPr>
          <w:sz w:val="22"/>
        </w:rPr>
      </w:pPr>
    </w:p>
    <w:p w14:paraId="0E0B3B0A" w14:textId="5FE4AA33" w:rsidR="005F2C31" w:rsidRPr="005F2C31" w:rsidRDefault="005F2C31" w:rsidP="005F2C31">
      <w:pPr>
        <w:tabs>
          <w:tab w:val="left" w:pos="850"/>
        </w:tabs>
        <w:ind w:right="-284"/>
        <w:rPr>
          <w:sz w:val="22"/>
          <w:u w:val="single"/>
        </w:rPr>
      </w:pPr>
      <w:proofErr w:type="spellStart"/>
      <w:r w:rsidRPr="005F2C31">
        <w:rPr>
          <w:sz w:val="22"/>
          <w:u w:val="single"/>
        </w:rPr>
        <w:t>Dacarbazine</w:t>
      </w:r>
      <w:proofErr w:type="spellEnd"/>
      <w:r w:rsidRPr="005F2C31">
        <w:rPr>
          <w:sz w:val="22"/>
          <w:u w:val="single"/>
        </w:rPr>
        <w:t xml:space="preserve"> </w:t>
      </w:r>
      <w:proofErr w:type="spellStart"/>
      <w:r w:rsidRPr="005F2C31">
        <w:rPr>
          <w:sz w:val="22"/>
          <w:u w:val="single"/>
        </w:rPr>
        <w:t>medac</w:t>
      </w:r>
      <w:proofErr w:type="spellEnd"/>
      <w:r w:rsidRPr="005F2C31">
        <w:rPr>
          <w:sz w:val="22"/>
          <w:u w:val="single"/>
        </w:rPr>
        <w:t xml:space="preserve"> 200 mg por </w:t>
      </w:r>
      <w:proofErr w:type="spellStart"/>
      <w:r w:rsidRPr="005F2C31">
        <w:rPr>
          <w:sz w:val="22"/>
          <w:u w:val="single"/>
        </w:rPr>
        <w:t>oldatos</w:t>
      </w:r>
      <w:proofErr w:type="spellEnd"/>
      <w:r w:rsidRPr="005F2C31">
        <w:rPr>
          <w:sz w:val="22"/>
          <w:u w:val="single"/>
        </w:rPr>
        <w:t xml:space="preserve"> injekcióhoz/infúzióhoz</w:t>
      </w:r>
    </w:p>
    <w:p w14:paraId="6F535A06" w14:textId="77777777" w:rsidR="005F2C31" w:rsidRDefault="005F2C31" w:rsidP="005F2C31">
      <w:pPr>
        <w:tabs>
          <w:tab w:val="left" w:pos="850"/>
        </w:tabs>
        <w:ind w:right="-284"/>
        <w:rPr>
          <w:sz w:val="22"/>
        </w:rPr>
      </w:pPr>
      <w:r w:rsidRPr="005F2C31">
        <w:rPr>
          <w:sz w:val="22"/>
        </w:rPr>
        <w:t>OGYI-T-24367/02</w:t>
      </w:r>
      <w:r>
        <w:rPr>
          <w:sz w:val="22"/>
        </w:rPr>
        <w:tab/>
        <w:t>10×</w:t>
      </w:r>
      <w:r>
        <w:rPr>
          <w:sz w:val="22"/>
        </w:rPr>
        <w:tab/>
        <w:t>e</w:t>
      </w:r>
      <w:r w:rsidRPr="005F2C31">
        <w:rPr>
          <w:sz w:val="22"/>
        </w:rPr>
        <w:t>gyadagos injekciós üvegben</w:t>
      </w:r>
    </w:p>
    <w:p w14:paraId="2F249C8C" w14:textId="2EAE49D6" w:rsidR="005F2C31" w:rsidRPr="005F2C31" w:rsidRDefault="005F2C31" w:rsidP="005F2C31">
      <w:pPr>
        <w:tabs>
          <w:tab w:val="left" w:pos="850"/>
        </w:tabs>
        <w:ind w:right="-284"/>
        <w:rPr>
          <w:sz w:val="22"/>
        </w:rPr>
      </w:pPr>
    </w:p>
    <w:p w14:paraId="5E9D3D79" w14:textId="62624FE0" w:rsidR="005F2C31" w:rsidRPr="005F2C31" w:rsidRDefault="005F2C31" w:rsidP="005F2C31">
      <w:pPr>
        <w:tabs>
          <w:tab w:val="left" w:pos="850"/>
        </w:tabs>
        <w:ind w:right="-284"/>
        <w:rPr>
          <w:sz w:val="22"/>
          <w:u w:val="single"/>
        </w:rPr>
      </w:pPr>
      <w:proofErr w:type="spellStart"/>
      <w:r w:rsidRPr="005F2C31">
        <w:rPr>
          <w:sz w:val="22"/>
          <w:u w:val="single"/>
        </w:rPr>
        <w:t>Dacarbazine</w:t>
      </w:r>
      <w:proofErr w:type="spellEnd"/>
      <w:r w:rsidRPr="005F2C31">
        <w:rPr>
          <w:sz w:val="22"/>
          <w:u w:val="single"/>
        </w:rPr>
        <w:t xml:space="preserve"> </w:t>
      </w:r>
      <w:proofErr w:type="spellStart"/>
      <w:r w:rsidRPr="005F2C31">
        <w:rPr>
          <w:sz w:val="22"/>
          <w:u w:val="single"/>
        </w:rPr>
        <w:t>medac</w:t>
      </w:r>
      <w:proofErr w:type="spellEnd"/>
      <w:r w:rsidRPr="005F2C31">
        <w:rPr>
          <w:sz w:val="22"/>
          <w:u w:val="single"/>
        </w:rPr>
        <w:t xml:space="preserve"> 500 mg por </w:t>
      </w:r>
      <w:proofErr w:type="spellStart"/>
      <w:r w:rsidRPr="005F2C31">
        <w:rPr>
          <w:sz w:val="22"/>
          <w:u w:val="single"/>
        </w:rPr>
        <w:t>oldatos</w:t>
      </w:r>
      <w:proofErr w:type="spellEnd"/>
      <w:r w:rsidRPr="005F2C31">
        <w:rPr>
          <w:sz w:val="22"/>
          <w:u w:val="single"/>
        </w:rPr>
        <w:t xml:space="preserve"> infúzióhoz</w:t>
      </w:r>
    </w:p>
    <w:p w14:paraId="74A1CFF2" w14:textId="77777777" w:rsidR="005F2C31" w:rsidRDefault="005F2C31" w:rsidP="005F2C31">
      <w:pPr>
        <w:tabs>
          <w:tab w:val="left" w:pos="850"/>
        </w:tabs>
        <w:ind w:right="-284"/>
        <w:rPr>
          <w:sz w:val="22"/>
        </w:rPr>
      </w:pPr>
      <w:r w:rsidRPr="005F2C31">
        <w:rPr>
          <w:sz w:val="22"/>
        </w:rPr>
        <w:t>OGYI-T-24367/03</w:t>
      </w:r>
      <w:r>
        <w:rPr>
          <w:sz w:val="22"/>
        </w:rPr>
        <w:tab/>
        <w:t>1×</w:t>
      </w:r>
      <w:r>
        <w:rPr>
          <w:sz w:val="22"/>
        </w:rPr>
        <w:tab/>
        <w:t>e</w:t>
      </w:r>
      <w:r w:rsidRPr="005F2C31">
        <w:rPr>
          <w:sz w:val="22"/>
        </w:rPr>
        <w:t>gyadagos injekciós üvegben</w:t>
      </w:r>
    </w:p>
    <w:p w14:paraId="652C2DB9" w14:textId="514C3BE0" w:rsidR="005F2C31" w:rsidRDefault="005F2C31" w:rsidP="005F2C31">
      <w:pPr>
        <w:tabs>
          <w:tab w:val="left" w:pos="850"/>
        </w:tabs>
        <w:ind w:right="-284"/>
        <w:rPr>
          <w:sz w:val="22"/>
        </w:rPr>
      </w:pPr>
    </w:p>
    <w:p w14:paraId="455DD21D" w14:textId="709F2D0C" w:rsidR="005F2C31" w:rsidRPr="005F2C31" w:rsidRDefault="005F2C31" w:rsidP="005F2C31">
      <w:pPr>
        <w:tabs>
          <w:tab w:val="left" w:pos="850"/>
        </w:tabs>
        <w:ind w:right="-284"/>
        <w:rPr>
          <w:sz w:val="22"/>
          <w:u w:val="single"/>
        </w:rPr>
      </w:pPr>
      <w:proofErr w:type="spellStart"/>
      <w:r w:rsidRPr="005F2C31">
        <w:rPr>
          <w:sz w:val="22"/>
          <w:u w:val="single"/>
        </w:rPr>
        <w:t>Dacarbazine</w:t>
      </w:r>
      <w:proofErr w:type="spellEnd"/>
      <w:r w:rsidRPr="005F2C31">
        <w:rPr>
          <w:sz w:val="22"/>
          <w:u w:val="single"/>
        </w:rPr>
        <w:t xml:space="preserve"> </w:t>
      </w:r>
      <w:proofErr w:type="spellStart"/>
      <w:r w:rsidRPr="005F2C31">
        <w:rPr>
          <w:sz w:val="22"/>
          <w:u w:val="single"/>
        </w:rPr>
        <w:t>medac</w:t>
      </w:r>
      <w:proofErr w:type="spellEnd"/>
      <w:r w:rsidRPr="005F2C31">
        <w:rPr>
          <w:sz w:val="22"/>
          <w:u w:val="single"/>
        </w:rPr>
        <w:t xml:space="preserve"> 1000 mg por </w:t>
      </w:r>
      <w:proofErr w:type="spellStart"/>
      <w:r w:rsidRPr="005F2C31">
        <w:rPr>
          <w:sz w:val="22"/>
          <w:u w:val="single"/>
        </w:rPr>
        <w:t>oldatos</w:t>
      </w:r>
      <w:proofErr w:type="spellEnd"/>
      <w:r w:rsidRPr="005F2C31">
        <w:rPr>
          <w:sz w:val="22"/>
          <w:u w:val="single"/>
        </w:rPr>
        <w:t xml:space="preserve"> infúzióhoz</w:t>
      </w:r>
    </w:p>
    <w:p w14:paraId="0984B6D9" w14:textId="1FFED307" w:rsidR="00EB654C" w:rsidRDefault="005F2C31" w:rsidP="005F2C31">
      <w:pPr>
        <w:tabs>
          <w:tab w:val="left" w:pos="850"/>
        </w:tabs>
        <w:ind w:right="-284"/>
        <w:rPr>
          <w:i/>
          <w:sz w:val="22"/>
          <w:szCs w:val="22"/>
        </w:rPr>
      </w:pPr>
      <w:r w:rsidRPr="005F2C31">
        <w:rPr>
          <w:sz w:val="22"/>
        </w:rPr>
        <w:t>OGYI-T-24367/04</w:t>
      </w:r>
      <w:r>
        <w:rPr>
          <w:sz w:val="22"/>
        </w:rPr>
        <w:tab/>
        <w:t>1×</w:t>
      </w:r>
      <w:r>
        <w:rPr>
          <w:sz w:val="22"/>
        </w:rPr>
        <w:tab/>
        <w:t>e</w:t>
      </w:r>
      <w:r w:rsidRPr="005F2C31">
        <w:rPr>
          <w:sz w:val="22"/>
        </w:rPr>
        <w:t>gyadagos injekciós üvegben</w:t>
      </w:r>
    </w:p>
    <w:p w14:paraId="4367697D" w14:textId="2490C769" w:rsidR="00EB654C" w:rsidRDefault="00EB654C">
      <w:pPr>
        <w:tabs>
          <w:tab w:val="left" w:pos="850"/>
        </w:tabs>
        <w:ind w:right="-284"/>
        <w:rPr>
          <w:i/>
          <w:sz w:val="22"/>
          <w:szCs w:val="22"/>
        </w:rPr>
      </w:pPr>
    </w:p>
    <w:p w14:paraId="613ED2D2" w14:textId="77777777" w:rsidR="005F2C31" w:rsidRDefault="005F2C31">
      <w:pPr>
        <w:tabs>
          <w:tab w:val="left" w:pos="850"/>
        </w:tabs>
        <w:ind w:right="-284"/>
        <w:rPr>
          <w:i/>
          <w:sz w:val="22"/>
          <w:szCs w:val="22"/>
        </w:rPr>
      </w:pPr>
    </w:p>
    <w:p w14:paraId="7146C543" w14:textId="77777777" w:rsidR="00EB654C" w:rsidRDefault="00C651E7">
      <w:pPr>
        <w:pStyle w:val="Cmsor1"/>
        <w:spacing w:before="0" w:after="0"/>
        <w:ind w:left="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</w:rPr>
        <w:t>9.</w:t>
      </w:r>
      <w:r>
        <w:rPr>
          <w:rFonts w:ascii="Times New Roman" w:hAnsi="Times New Roman"/>
          <w:sz w:val="22"/>
        </w:rPr>
        <w:tab/>
        <w:t>A FORGALOMBA HOZATALI ENGEDÉLY ELSŐ KIADÁSÁNAK/ MEGÚJÍTÁSÁNAK DÁTUMA</w:t>
      </w:r>
    </w:p>
    <w:p w14:paraId="430A87E9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35A5CC87" w14:textId="44BDCCED" w:rsidR="00EB654C" w:rsidRDefault="0086434E">
      <w:pPr>
        <w:tabs>
          <w:tab w:val="left" w:pos="850"/>
        </w:tabs>
        <w:ind w:right="-284"/>
        <w:rPr>
          <w:sz w:val="22"/>
          <w:szCs w:val="22"/>
        </w:rPr>
      </w:pPr>
      <w:r w:rsidRPr="001564F4">
        <w:rPr>
          <w:noProof/>
          <w:sz w:val="22"/>
          <w:szCs w:val="22"/>
          <w:lang w:eastAsia="en-US"/>
        </w:rPr>
        <w:t xml:space="preserve">A forgalomba hozatali engedély első kiadásának dátuma: </w:t>
      </w:r>
      <w:r w:rsidR="005F2C31">
        <w:rPr>
          <w:noProof/>
          <w:sz w:val="22"/>
          <w:szCs w:val="22"/>
          <w:lang w:eastAsia="en-US"/>
        </w:rPr>
        <w:t>2024. április 15.</w:t>
      </w:r>
    </w:p>
    <w:p w14:paraId="34A43215" w14:textId="77777777" w:rsidR="00EB654C" w:rsidRDefault="00EB654C">
      <w:pPr>
        <w:tabs>
          <w:tab w:val="left" w:pos="850"/>
        </w:tabs>
        <w:ind w:right="-284"/>
        <w:rPr>
          <w:sz w:val="22"/>
          <w:szCs w:val="22"/>
        </w:rPr>
      </w:pPr>
    </w:p>
    <w:p w14:paraId="676C3F9A" w14:textId="77777777" w:rsidR="00002B21" w:rsidRDefault="00002B21">
      <w:pPr>
        <w:tabs>
          <w:tab w:val="left" w:pos="850"/>
        </w:tabs>
        <w:ind w:right="-284"/>
        <w:rPr>
          <w:sz w:val="22"/>
          <w:szCs w:val="22"/>
        </w:rPr>
      </w:pPr>
    </w:p>
    <w:p w14:paraId="1A221DB5" w14:textId="77777777" w:rsidR="00EB654C" w:rsidRDefault="00C651E7">
      <w:pPr>
        <w:pStyle w:val="Cmsor1"/>
        <w:spacing w:before="0" w:after="0"/>
        <w:ind w:left="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</w:rPr>
        <w:t>10.</w:t>
      </w:r>
      <w:r>
        <w:rPr>
          <w:rFonts w:ascii="Times New Roman" w:hAnsi="Times New Roman"/>
          <w:sz w:val="22"/>
        </w:rPr>
        <w:tab/>
        <w:t>A SZÖVEG ELLENŐRZÉSÉNEK DÁTUMA</w:t>
      </w:r>
    </w:p>
    <w:p w14:paraId="29DA6692" w14:textId="77777777" w:rsidR="00EB654C" w:rsidRDefault="00EB654C">
      <w:pPr>
        <w:tabs>
          <w:tab w:val="left" w:pos="850"/>
        </w:tabs>
        <w:ind w:right="-284"/>
        <w:rPr>
          <w:b/>
          <w:sz w:val="22"/>
          <w:szCs w:val="22"/>
        </w:rPr>
      </w:pPr>
    </w:p>
    <w:p w14:paraId="3A9DC342" w14:textId="54437007" w:rsidR="00EB654C" w:rsidRDefault="005F2C31" w:rsidP="005F2C31">
      <w:pPr>
        <w:ind w:right="-284"/>
        <w:rPr>
          <w:sz w:val="22"/>
          <w:szCs w:val="22"/>
        </w:rPr>
      </w:pPr>
      <w:r>
        <w:rPr>
          <w:noProof/>
          <w:sz w:val="22"/>
          <w:szCs w:val="22"/>
          <w:lang w:eastAsia="en-US"/>
        </w:rPr>
        <w:t>2024. április 15.</w:t>
      </w:r>
    </w:p>
    <w:sectPr w:rsidR="00EB654C" w:rsidSect="008A18E7">
      <w:footerReference w:type="default" r:id="rId8"/>
      <w:footerReference w:type="first" r:id="rId9"/>
      <w:pgSz w:w="11907" w:h="16840" w:code="9"/>
      <w:pgMar w:top="1134" w:right="1418" w:bottom="1134" w:left="1418" w:header="737" w:footer="737" w:gutter="0"/>
      <w:cols w:space="708"/>
      <w:noEndnote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9C36BB6" w16cex:dateUtc="2024-04-12T06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394978D" w16cid:durableId="29C36BB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ADC9E" w14:textId="77777777" w:rsidR="00B844BD" w:rsidRDefault="00B844BD">
      <w:r>
        <w:separator/>
      </w:r>
    </w:p>
  </w:endnote>
  <w:endnote w:type="continuationSeparator" w:id="0">
    <w:p w14:paraId="1C83DFF4" w14:textId="77777777" w:rsidR="00B844BD" w:rsidRDefault="00B84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D8FD06" w14:textId="3FD909EF" w:rsidR="00EB654C" w:rsidRDefault="00EB654C" w:rsidP="003421DA">
    <w:pPr>
      <w:pStyle w:val="llb"/>
      <w:rPr>
        <w:rFonts w:ascii="Times New Roman" w:hAnsi="Times New Roman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037EC8" w14:textId="23E5D59A" w:rsidR="00C77A61" w:rsidRPr="001564F4" w:rsidRDefault="00C77A61">
    <w:pPr>
      <w:pStyle w:val="llb"/>
      <w:rPr>
        <w:rFonts w:ascii="Times New Roman" w:hAnsi="Times New Roman"/>
        <w:sz w:val="18"/>
        <w:szCs w:val="18"/>
      </w:rPr>
    </w:pPr>
    <w:r w:rsidRPr="001564F4">
      <w:rPr>
        <w:rFonts w:ascii="Times New Roman" w:hAnsi="Times New Roman"/>
        <w:sz w:val="18"/>
        <w:szCs w:val="18"/>
      </w:rPr>
      <w:t>NNGYK/GYSZ/7157/2024</w:t>
    </w:r>
  </w:p>
  <w:p w14:paraId="43403F31" w14:textId="28DD805D" w:rsidR="00C77A61" w:rsidRPr="001564F4" w:rsidRDefault="00C77A61">
    <w:pPr>
      <w:pStyle w:val="llb"/>
      <w:rPr>
        <w:rFonts w:ascii="Times New Roman" w:hAnsi="Times New Roman"/>
        <w:sz w:val="18"/>
        <w:szCs w:val="18"/>
      </w:rPr>
    </w:pPr>
    <w:r w:rsidRPr="001564F4">
      <w:rPr>
        <w:rFonts w:ascii="Times New Roman" w:hAnsi="Times New Roman"/>
        <w:sz w:val="18"/>
        <w:szCs w:val="18"/>
      </w:rPr>
      <w:t>NNGYK/GYSZ/7158/2024</w:t>
    </w:r>
  </w:p>
  <w:p w14:paraId="15B59F36" w14:textId="5F33DB6E" w:rsidR="00C77A61" w:rsidRPr="001564F4" w:rsidRDefault="00C77A61">
    <w:pPr>
      <w:pStyle w:val="llb"/>
      <w:rPr>
        <w:rFonts w:ascii="Times New Roman" w:hAnsi="Times New Roman"/>
        <w:sz w:val="18"/>
        <w:szCs w:val="18"/>
      </w:rPr>
    </w:pPr>
    <w:r w:rsidRPr="001564F4">
      <w:rPr>
        <w:rFonts w:ascii="Times New Roman" w:hAnsi="Times New Roman"/>
        <w:sz w:val="18"/>
        <w:szCs w:val="18"/>
      </w:rPr>
      <w:t>NNGYK/GYSZ/9243/2024</w:t>
    </w:r>
  </w:p>
  <w:p w14:paraId="6376005F" w14:textId="063FDFEE" w:rsidR="00C77A61" w:rsidRPr="001564F4" w:rsidRDefault="00C77A61">
    <w:pPr>
      <w:pStyle w:val="llb"/>
      <w:rPr>
        <w:rFonts w:ascii="Times New Roman" w:hAnsi="Times New Roman"/>
        <w:sz w:val="18"/>
        <w:szCs w:val="18"/>
      </w:rPr>
    </w:pPr>
    <w:r w:rsidRPr="001564F4">
      <w:rPr>
        <w:rFonts w:ascii="Times New Roman" w:hAnsi="Times New Roman"/>
        <w:sz w:val="18"/>
        <w:szCs w:val="18"/>
      </w:rPr>
      <w:t>NNGYK/GYSZ/9244/2024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F05B04" w14:textId="77777777" w:rsidR="00B844BD" w:rsidRDefault="00B844BD">
      <w:r>
        <w:separator/>
      </w:r>
    </w:p>
  </w:footnote>
  <w:footnote w:type="continuationSeparator" w:id="0">
    <w:p w14:paraId="50EDB4B0" w14:textId="77777777" w:rsidR="00B844BD" w:rsidRDefault="00B844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s_autosavelastposition1811435" w:val="28801"/>
    <w:docVar w:name="os_autosavelastposition3739594" w:val="13132"/>
  </w:docVars>
  <w:rsids>
    <w:rsidRoot w:val="00EB654C"/>
    <w:rsid w:val="00002B21"/>
    <w:rsid w:val="000472A6"/>
    <w:rsid w:val="000B2AD8"/>
    <w:rsid w:val="000E39C5"/>
    <w:rsid w:val="001564F4"/>
    <w:rsid w:val="00174C05"/>
    <w:rsid w:val="00183579"/>
    <w:rsid w:val="001E07FB"/>
    <w:rsid w:val="002264ED"/>
    <w:rsid w:val="00250194"/>
    <w:rsid w:val="00257F74"/>
    <w:rsid w:val="00283C35"/>
    <w:rsid w:val="00286C31"/>
    <w:rsid w:val="002B6B7D"/>
    <w:rsid w:val="002B7867"/>
    <w:rsid w:val="002D5F51"/>
    <w:rsid w:val="00315977"/>
    <w:rsid w:val="003421DA"/>
    <w:rsid w:val="00362505"/>
    <w:rsid w:val="00384028"/>
    <w:rsid w:val="003D6C8F"/>
    <w:rsid w:val="00485507"/>
    <w:rsid w:val="00496FF2"/>
    <w:rsid w:val="00545436"/>
    <w:rsid w:val="005D4B96"/>
    <w:rsid w:val="005E565F"/>
    <w:rsid w:val="005F2C31"/>
    <w:rsid w:val="006210C7"/>
    <w:rsid w:val="00634235"/>
    <w:rsid w:val="00641F44"/>
    <w:rsid w:val="00665D77"/>
    <w:rsid w:val="00711409"/>
    <w:rsid w:val="0072693E"/>
    <w:rsid w:val="00746CB7"/>
    <w:rsid w:val="00791EC8"/>
    <w:rsid w:val="007A699B"/>
    <w:rsid w:val="007B3DD9"/>
    <w:rsid w:val="007E1D06"/>
    <w:rsid w:val="007F1803"/>
    <w:rsid w:val="0080287B"/>
    <w:rsid w:val="008110D3"/>
    <w:rsid w:val="0086434E"/>
    <w:rsid w:val="00875E45"/>
    <w:rsid w:val="00891E41"/>
    <w:rsid w:val="008A18E7"/>
    <w:rsid w:val="008E5B28"/>
    <w:rsid w:val="00905DF2"/>
    <w:rsid w:val="009C220A"/>
    <w:rsid w:val="009F6045"/>
    <w:rsid w:val="00A14357"/>
    <w:rsid w:val="00B25DD9"/>
    <w:rsid w:val="00B844BD"/>
    <w:rsid w:val="00C57792"/>
    <w:rsid w:val="00C651E7"/>
    <w:rsid w:val="00C779C0"/>
    <w:rsid w:val="00C77A61"/>
    <w:rsid w:val="00CC42B9"/>
    <w:rsid w:val="00CD6DDC"/>
    <w:rsid w:val="00CE27C0"/>
    <w:rsid w:val="00D34D5F"/>
    <w:rsid w:val="00D9548C"/>
    <w:rsid w:val="00E148C8"/>
    <w:rsid w:val="00E80EC0"/>
    <w:rsid w:val="00EB654C"/>
    <w:rsid w:val="00ED5A34"/>
    <w:rsid w:val="00F62DFE"/>
    <w:rsid w:val="00F72CC9"/>
    <w:rsid w:val="00F86386"/>
    <w:rsid w:val="00FE0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1873DE"/>
  <w14:defaultImageDpi w14:val="96"/>
  <w15:docId w15:val="{FF6CC292-765A-497F-A024-EB00A2A75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0" w:line="240" w:lineRule="auto"/>
    </w:pPr>
    <w:rPr>
      <w:sz w:val="24"/>
      <w:szCs w:val="20"/>
    </w:rPr>
  </w:style>
  <w:style w:type="paragraph" w:styleId="Cmsor1">
    <w:name w:val="heading 1"/>
    <w:basedOn w:val="Norml"/>
    <w:next w:val="Norml"/>
    <w:link w:val="Cmsor1Char"/>
    <w:uiPriority w:val="99"/>
    <w:qFormat/>
    <w:pPr>
      <w:keepNext/>
      <w:spacing w:before="240" w:after="60"/>
      <w:ind w:left="708" w:hanging="708"/>
      <w:outlineLvl w:val="0"/>
    </w:pPr>
    <w:rPr>
      <w:rFonts w:ascii="Arial" w:hAnsi="Arial"/>
      <w:b/>
      <w:kern w:val="28"/>
      <w:sz w:val="28"/>
    </w:rPr>
  </w:style>
  <w:style w:type="paragraph" w:styleId="Cmsor2">
    <w:name w:val="heading 2"/>
    <w:basedOn w:val="Norml"/>
    <w:next w:val="Norml"/>
    <w:link w:val="Cmsor2Char"/>
    <w:uiPriority w:val="99"/>
    <w:qFormat/>
    <w:pPr>
      <w:keepNext/>
      <w:spacing w:before="240" w:after="60"/>
      <w:ind w:left="1416" w:hanging="708"/>
      <w:outlineLvl w:val="1"/>
    </w:pPr>
    <w:rPr>
      <w:rFonts w:ascii="Arial" w:hAnsi="Arial"/>
      <w:b/>
      <w:i/>
    </w:rPr>
  </w:style>
  <w:style w:type="paragraph" w:styleId="Cmsor3">
    <w:name w:val="heading 3"/>
    <w:basedOn w:val="Norml"/>
    <w:next w:val="Norml"/>
    <w:link w:val="Cmsor3Char"/>
    <w:uiPriority w:val="99"/>
    <w:qFormat/>
    <w:pPr>
      <w:keepNext/>
      <w:ind w:left="709" w:right="-285"/>
      <w:jc w:val="both"/>
      <w:outlineLvl w:val="2"/>
    </w:pPr>
    <w:rPr>
      <w:rFonts w:ascii="Arial" w:hAnsi="Arial"/>
      <w:sz w:val="20"/>
    </w:rPr>
  </w:style>
  <w:style w:type="paragraph" w:styleId="Cmsor4">
    <w:name w:val="heading 4"/>
    <w:basedOn w:val="Norml"/>
    <w:next w:val="Norml"/>
    <w:link w:val="Cmsor4Char"/>
    <w:uiPriority w:val="99"/>
    <w:qFormat/>
    <w:pPr>
      <w:keepNext/>
      <w:ind w:left="709" w:right="-285"/>
      <w:jc w:val="both"/>
      <w:outlineLvl w:val="3"/>
    </w:pPr>
    <w:rPr>
      <w:rFonts w:ascii="Arial" w:hAnsi="Arial"/>
      <w:sz w:val="20"/>
      <w:u w:val="single"/>
    </w:rPr>
  </w:style>
  <w:style w:type="paragraph" w:styleId="Cmsor5">
    <w:name w:val="heading 5"/>
    <w:basedOn w:val="Norml"/>
    <w:next w:val="Norml"/>
    <w:link w:val="Cmsor5Char"/>
    <w:uiPriority w:val="99"/>
    <w:qFormat/>
    <w:pPr>
      <w:keepNext/>
      <w:tabs>
        <w:tab w:val="left" w:pos="850"/>
      </w:tabs>
      <w:ind w:left="709" w:right="-284"/>
      <w:jc w:val="both"/>
      <w:outlineLvl w:val="4"/>
    </w:pPr>
    <w:rPr>
      <w:rFonts w:ascii="Arial" w:hAnsi="Arial"/>
      <w:color w:val="000000"/>
      <w:sz w:val="20"/>
      <w:u w:val="single"/>
    </w:rPr>
  </w:style>
  <w:style w:type="paragraph" w:styleId="Cmsor6">
    <w:name w:val="heading 6"/>
    <w:basedOn w:val="Norml"/>
    <w:next w:val="Norml"/>
    <w:link w:val="Cmsor6Char"/>
    <w:uiPriority w:val="99"/>
    <w:qFormat/>
    <w:pPr>
      <w:keepNext/>
      <w:tabs>
        <w:tab w:val="left" w:pos="850"/>
      </w:tabs>
      <w:ind w:left="709" w:right="-284" w:hanging="709"/>
      <w:outlineLvl w:val="5"/>
    </w:pPr>
    <w:rPr>
      <w:rFonts w:ascii="Arial" w:hAnsi="Arial"/>
      <w:color w:val="000000"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Cmsor4Char">
    <w:name w:val="Címsor 4 Char"/>
    <w:basedOn w:val="Bekezdsalapbettpusa"/>
    <w:link w:val="Cmsor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Cmsor5Char">
    <w:name w:val="Címsor 5 Char"/>
    <w:basedOn w:val="Bekezdsalapbettpusa"/>
    <w:link w:val="Cmsor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Cmsor6Char">
    <w:name w:val="Címsor 6 Char"/>
    <w:basedOn w:val="Bekezdsalapbettpusa"/>
    <w:link w:val="Cmsor6"/>
    <w:uiPriority w:val="9"/>
    <w:locked/>
    <w:rPr>
      <w:rFonts w:asciiTheme="minorHAnsi" w:eastAsiaTheme="minorEastAsia" w:hAnsiTheme="minorHAnsi" w:cs="Times New Roman"/>
      <w:b/>
      <w:bCs/>
    </w:rPr>
  </w:style>
  <w:style w:type="paragraph" w:styleId="Szvegblokk">
    <w:name w:val="Block Text"/>
    <w:basedOn w:val="Norml"/>
    <w:uiPriority w:val="99"/>
    <w:pPr>
      <w:tabs>
        <w:tab w:val="left" w:pos="-4297"/>
        <w:tab w:val="left" w:pos="-2713"/>
        <w:tab w:val="left" w:pos="1355"/>
        <w:tab w:val="left" w:pos="2183"/>
      </w:tabs>
      <w:ind w:left="709" w:right="-285"/>
      <w:jc w:val="both"/>
    </w:pPr>
    <w:rPr>
      <w:rFonts w:ascii="Arial" w:hAnsi="Arial"/>
      <w:spacing w:val="-2"/>
      <w:sz w:val="20"/>
    </w:rPr>
  </w:style>
  <w:style w:type="character" w:styleId="Oldalszm">
    <w:name w:val="page number"/>
    <w:basedOn w:val="Bekezdsalapbettpusa"/>
    <w:uiPriority w:val="99"/>
    <w:rPr>
      <w:rFonts w:cs="Times New Roman"/>
      <w:sz w:val="20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  <w:rPr>
      <w:rFonts w:ascii="Arial" w:hAnsi="Arial"/>
    </w:rPr>
  </w:style>
  <w:style w:type="character" w:customStyle="1" w:styleId="llbChar">
    <w:name w:val="Élőláb Char"/>
    <w:basedOn w:val="Bekezdsalapbettpusa"/>
    <w:link w:val="llb"/>
    <w:uiPriority w:val="99"/>
    <w:semiHidden/>
    <w:locked/>
    <w:rPr>
      <w:rFonts w:cs="Times New Roman"/>
      <w:sz w:val="20"/>
      <w:szCs w:val="20"/>
    </w:rPr>
  </w:style>
  <w:style w:type="character" w:customStyle="1" w:styleId="lfejChar">
    <w:name w:val="Élőfej Char"/>
    <w:basedOn w:val="Bekezdsalapbettpusa"/>
    <w:link w:val="lfej"/>
    <w:uiPriority w:val="99"/>
    <w:semiHidden/>
    <w:locked/>
    <w:rPr>
      <w:rFonts w:cs="Times New Roman"/>
      <w:sz w:val="20"/>
      <w:szCs w:val="20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character" w:customStyle="1" w:styleId="KopfzeileZchn1">
    <w:name w:val="Kopfzeile Zchn1"/>
    <w:basedOn w:val="Bekezdsalapbettpusa"/>
    <w:uiPriority w:val="99"/>
    <w:semiHidden/>
    <w:rPr>
      <w:sz w:val="24"/>
      <w:szCs w:val="20"/>
    </w:rPr>
  </w:style>
  <w:style w:type="character" w:customStyle="1" w:styleId="KopfzeileZchn114">
    <w:name w:val="Kopfzeile Zchn114"/>
    <w:basedOn w:val="Bekezdsalapbettpusa"/>
    <w:uiPriority w:val="99"/>
    <w:semiHidden/>
    <w:rPr>
      <w:rFonts w:cs="Times New Roman"/>
      <w:sz w:val="20"/>
      <w:szCs w:val="20"/>
    </w:rPr>
  </w:style>
  <w:style w:type="character" w:customStyle="1" w:styleId="KopfzeileZchn113">
    <w:name w:val="Kopfzeile Zchn113"/>
    <w:basedOn w:val="Bekezdsalapbettpusa"/>
    <w:uiPriority w:val="99"/>
    <w:semiHidden/>
    <w:rPr>
      <w:rFonts w:cs="Times New Roman"/>
      <w:sz w:val="20"/>
      <w:szCs w:val="20"/>
    </w:rPr>
  </w:style>
  <w:style w:type="character" w:customStyle="1" w:styleId="KopfzeileZchn112">
    <w:name w:val="Kopfzeile Zchn112"/>
    <w:basedOn w:val="Bekezdsalapbettpusa"/>
    <w:uiPriority w:val="99"/>
    <w:semiHidden/>
    <w:rPr>
      <w:rFonts w:cs="Times New Roman"/>
      <w:sz w:val="20"/>
      <w:szCs w:val="20"/>
    </w:rPr>
  </w:style>
  <w:style w:type="character" w:customStyle="1" w:styleId="KopfzeileZchn111">
    <w:name w:val="Kopfzeile Zchn111"/>
    <w:basedOn w:val="Bekezdsalapbettpusa"/>
    <w:uiPriority w:val="99"/>
    <w:semiHidden/>
    <w:rPr>
      <w:rFonts w:cs="Times New Roman"/>
      <w:sz w:val="20"/>
      <w:szCs w:val="20"/>
    </w:rPr>
  </w:style>
  <w:style w:type="character" w:customStyle="1" w:styleId="KopfzeileZchn110">
    <w:name w:val="Kopfzeile Zchn110"/>
    <w:basedOn w:val="Bekezdsalapbettpusa"/>
    <w:uiPriority w:val="99"/>
    <w:semiHidden/>
    <w:rPr>
      <w:rFonts w:cs="Times New Roman"/>
      <w:sz w:val="20"/>
      <w:szCs w:val="20"/>
    </w:rPr>
  </w:style>
  <w:style w:type="character" w:customStyle="1" w:styleId="KopfzeileZchn19">
    <w:name w:val="Kopfzeile Zchn19"/>
    <w:basedOn w:val="Bekezdsalapbettpusa"/>
    <w:uiPriority w:val="99"/>
    <w:semiHidden/>
    <w:rPr>
      <w:rFonts w:cs="Times New Roman"/>
      <w:sz w:val="20"/>
      <w:szCs w:val="20"/>
    </w:rPr>
  </w:style>
  <w:style w:type="character" w:customStyle="1" w:styleId="KopfzeileZchn18">
    <w:name w:val="Kopfzeile Zchn18"/>
    <w:basedOn w:val="Bekezdsalapbettpusa"/>
    <w:uiPriority w:val="99"/>
    <w:semiHidden/>
    <w:rPr>
      <w:rFonts w:cs="Times New Roman"/>
      <w:sz w:val="20"/>
      <w:szCs w:val="20"/>
    </w:rPr>
  </w:style>
  <w:style w:type="character" w:customStyle="1" w:styleId="KopfzeileZchn17">
    <w:name w:val="Kopfzeile Zchn17"/>
    <w:basedOn w:val="Bekezdsalapbettpusa"/>
    <w:uiPriority w:val="99"/>
    <w:semiHidden/>
    <w:rPr>
      <w:rFonts w:cs="Times New Roman"/>
      <w:sz w:val="20"/>
      <w:szCs w:val="20"/>
    </w:rPr>
  </w:style>
  <w:style w:type="character" w:customStyle="1" w:styleId="KopfzeileZchn16">
    <w:name w:val="Kopfzeile Zchn16"/>
    <w:basedOn w:val="Bekezdsalapbettpusa"/>
    <w:uiPriority w:val="99"/>
    <w:semiHidden/>
    <w:rPr>
      <w:rFonts w:cs="Times New Roman"/>
      <w:sz w:val="20"/>
      <w:szCs w:val="20"/>
    </w:rPr>
  </w:style>
  <w:style w:type="character" w:customStyle="1" w:styleId="KopfzeileZchn15">
    <w:name w:val="Kopfzeile Zchn15"/>
    <w:basedOn w:val="Bekezdsalapbettpusa"/>
    <w:uiPriority w:val="99"/>
    <w:semiHidden/>
    <w:rPr>
      <w:rFonts w:cs="Times New Roman"/>
      <w:sz w:val="20"/>
      <w:szCs w:val="20"/>
    </w:rPr>
  </w:style>
  <w:style w:type="character" w:customStyle="1" w:styleId="KopfzeileZchn14">
    <w:name w:val="Kopfzeile Zchn14"/>
    <w:basedOn w:val="Bekezdsalapbettpusa"/>
    <w:uiPriority w:val="99"/>
    <w:semiHidden/>
    <w:rPr>
      <w:rFonts w:cs="Times New Roman"/>
      <w:sz w:val="20"/>
      <w:szCs w:val="20"/>
    </w:rPr>
  </w:style>
  <w:style w:type="character" w:customStyle="1" w:styleId="KopfzeileZchn13">
    <w:name w:val="Kopfzeile Zchn13"/>
    <w:basedOn w:val="Bekezdsalapbettpusa"/>
    <w:uiPriority w:val="99"/>
    <w:semiHidden/>
    <w:rPr>
      <w:rFonts w:cs="Times New Roman"/>
      <w:sz w:val="20"/>
      <w:szCs w:val="20"/>
    </w:rPr>
  </w:style>
  <w:style w:type="character" w:customStyle="1" w:styleId="KopfzeileZchn12">
    <w:name w:val="Kopfzeile Zchn12"/>
    <w:basedOn w:val="Bekezdsalapbettpusa"/>
    <w:uiPriority w:val="99"/>
    <w:semiHidden/>
    <w:rPr>
      <w:rFonts w:cs="Times New Roman"/>
      <w:sz w:val="20"/>
      <w:szCs w:val="20"/>
    </w:rPr>
  </w:style>
  <w:style w:type="character" w:customStyle="1" w:styleId="KopfzeileZchn11">
    <w:name w:val="Kopfzeile Zchn11"/>
    <w:basedOn w:val="Bekezdsalapbettpusa"/>
    <w:uiPriority w:val="99"/>
    <w:semiHidden/>
    <w:rPr>
      <w:rFonts w:cs="Times New Roman"/>
      <w:sz w:val="20"/>
      <w:szCs w:val="20"/>
    </w:rPr>
  </w:style>
  <w:style w:type="character" w:styleId="Jegyzethivatkozs">
    <w:name w:val="annotation reference"/>
    <w:basedOn w:val="Bekezdsalapbettpusa"/>
    <w:uiPriority w:val="99"/>
    <w:semiHidden/>
    <w:rPr>
      <w:rFonts w:cs="Times New Roman"/>
      <w:sz w:val="16"/>
    </w:rPr>
  </w:style>
  <w:style w:type="paragraph" w:styleId="Dokumentumtrkp">
    <w:name w:val="Document Map"/>
    <w:basedOn w:val="Norml"/>
    <w:link w:val="DokumentumtrkpChar"/>
    <w:uiPriority w:val="99"/>
    <w:semiHidden/>
    <w:pPr>
      <w:shd w:val="clear" w:color="auto" w:fill="000080"/>
    </w:pPr>
    <w:rPr>
      <w:rFonts w:ascii="Tahoma" w:hAnsi="Tahoma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locked/>
    <w:rPr>
      <w:rFonts w:ascii="Tahoma" w:hAnsi="Tahoma" w:cs="Tahoma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Pr>
      <w:rFonts w:cs="Times New Roman"/>
      <w:sz w:val="20"/>
      <w:szCs w:val="20"/>
    </w:rPr>
  </w:style>
  <w:style w:type="paragraph" w:customStyle="1" w:styleId="Syreaspc">
    <w:name w:val="Syrea spc"/>
    <w:basedOn w:val="Norml"/>
    <w:uiPriority w:val="99"/>
    <w:rPr>
      <w:kern w:val="28"/>
    </w:rPr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Pr>
      <w:rFonts w:cs="Times New Roman"/>
      <w:b/>
      <w:bCs/>
      <w:sz w:val="20"/>
      <w:szCs w:val="20"/>
    </w:rPr>
  </w:style>
  <w:style w:type="paragraph" w:styleId="Szvegtrzsbehzssal">
    <w:name w:val="Body Text Indent"/>
    <w:basedOn w:val="Norml"/>
    <w:link w:val="SzvegtrzsbehzssalChar"/>
    <w:uiPriority w:val="99"/>
    <w:pPr>
      <w:ind w:left="709"/>
    </w:pPr>
    <w:rPr>
      <w:rFonts w:ascii="Microsoft Sans Serif" w:hAnsi="Microsoft Sans Serif"/>
      <w:color w:val="000000"/>
      <w:sz w:val="20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locked/>
    <w:rPr>
      <w:rFonts w:cs="Times New Roman"/>
      <w:sz w:val="20"/>
      <w:szCs w:val="20"/>
    </w:rPr>
  </w:style>
  <w:style w:type="paragraph" w:styleId="Vltozat">
    <w:name w:val="Revision"/>
    <w:hidden/>
    <w:uiPriority w:val="99"/>
    <w:semiHidden/>
    <w:pPr>
      <w:spacing w:after="0" w:line="240" w:lineRule="auto"/>
    </w:pPr>
    <w:rPr>
      <w:sz w:val="24"/>
      <w:szCs w:val="20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customStyle="1" w:styleId="ZchnZchn">
    <w:name w:val="Zchn Zchn"/>
    <w:basedOn w:val="Norml"/>
    <w:rsid w:val="0080287B"/>
    <w:pPr>
      <w:spacing w:after="160" w:line="240" w:lineRule="exact"/>
    </w:pPr>
    <w:rPr>
      <w:rFonts w:ascii="Verdana" w:hAnsi="Verdana" w:cs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1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1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AAFA3-9078-4F20-A45A-2290661B9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3389</Words>
  <Characters>24187</Characters>
  <Application>Microsoft Office Word</Application>
  <DocSecurity>0</DocSecurity>
  <Lines>201</Lines>
  <Paragraphs>55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mt-g</Company>
  <LinksUpToDate>false</LinksUpToDate>
  <CharactersWithSpaces>27521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mt-g</dc:creator>
  <cp:lastModifiedBy>HU_OGYI_56.1</cp:lastModifiedBy>
  <cp:revision>2</cp:revision>
  <cp:lastPrinted>2015-09-09T09:30:00Z</cp:lastPrinted>
  <dcterms:created xsi:type="dcterms:W3CDTF">2024-04-16T06:58:00Z</dcterms:created>
  <dcterms:modified xsi:type="dcterms:W3CDTF">2024-04-16T06:58:00Z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S_LastOpenTime">
    <vt:lpwstr>1/9/2023 1:56:44 PM</vt:lpwstr>
  </property>
  <property fmtid="{D5CDD505-2E9C-101B-9397-08002B2CF9AE}" pid="3" name="OS_LastOpenUser">
    <vt:lpwstr>MENDEK</vt:lpwstr>
  </property>
  <property fmtid="{D5CDD505-2E9C-101B-9397-08002B2CF9AE}" pid="4" name="OS_LastSave">
    <vt:lpwstr>9/3/2019 10:31:43 AM</vt:lpwstr>
  </property>
  <property fmtid="{D5CDD505-2E9C-101B-9397-08002B2CF9AE}" pid="5" name="OS_LastSaveUser">
    <vt:lpwstr>BREDEMS</vt:lpwstr>
  </property>
  <property fmtid="{D5CDD505-2E9C-101B-9397-08002B2CF9AE}" pid="6" name="OS_LastDocumentSaved">
    <vt:bool>false</vt:bool>
  </property>
  <property fmtid="{D5CDD505-2E9C-101B-9397-08002B2CF9AE}" pid="7" name="MustSave">
    <vt:bool>false</vt:bool>
  </property>
</Properties>
</file>