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32F92" w14:textId="77777777" w:rsidR="00EA370D" w:rsidRPr="009D34EE" w:rsidRDefault="00EA2AF3" w:rsidP="00A07798">
      <w:pPr>
        <w:pStyle w:val="Cmsor1"/>
        <w:rPr>
          <w:szCs w:val="22"/>
        </w:rPr>
      </w:pPr>
      <w:bookmarkStart w:id="0" w:name="1._Name_of_the_Medicinal_Product"/>
      <w:bookmarkEnd w:id="0"/>
      <w:r w:rsidRPr="009D34EE">
        <w:rPr>
          <w:szCs w:val="22"/>
          <w:lang w:val="hu-HU" w:bidi="hu-HU"/>
        </w:rPr>
        <w:t>A GYÓGYSZER NEVE</w:t>
      </w:r>
    </w:p>
    <w:p w14:paraId="0B626A56" w14:textId="64025B37" w:rsidR="00DC57E8" w:rsidRPr="009D34EE" w:rsidRDefault="004552DB" w:rsidP="00A07798">
      <w:pPr>
        <w:pStyle w:val="Szvegtrzs"/>
        <w:rPr>
          <w:i w:val="0"/>
          <w:iCs/>
          <w:color w:val="auto"/>
          <w:szCs w:val="22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</w:t>
      </w:r>
    </w:p>
    <w:p w14:paraId="5D05610A" w14:textId="77777777" w:rsidR="00EA370D" w:rsidRPr="009D34EE" w:rsidRDefault="00EA2AF3" w:rsidP="00A07798">
      <w:pPr>
        <w:pStyle w:val="Cmsor1"/>
        <w:rPr>
          <w:szCs w:val="22"/>
        </w:rPr>
      </w:pPr>
      <w:bookmarkStart w:id="1" w:name="2._Qualitative_and_Quantitative_Composit"/>
      <w:bookmarkEnd w:id="1"/>
      <w:r w:rsidRPr="009D34EE">
        <w:rPr>
          <w:szCs w:val="22"/>
          <w:lang w:val="hu-HU" w:bidi="hu-HU"/>
        </w:rPr>
        <w:t>MINŐSÉGI ÉS MENNYISÉGI ÖSSZETÉTEL</w:t>
      </w:r>
    </w:p>
    <w:p w14:paraId="4577AB96" w14:textId="3C2B7274" w:rsidR="009B6DBD" w:rsidRPr="009D34EE" w:rsidRDefault="009F50E4" w:rsidP="00DC57E8">
      <w:pPr>
        <w:pStyle w:val="Szvegtrzs"/>
        <w:tabs>
          <w:tab w:val="left" w:pos="3644"/>
        </w:tabs>
        <w:rPr>
          <w:i w:val="0"/>
          <w:iCs/>
          <w:color w:val="auto"/>
          <w:szCs w:val="22"/>
          <w:lang w:val="en-US"/>
        </w:rPr>
      </w:pPr>
      <w:r>
        <w:rPr>
          <w:i w:val="0"/>
          <w:color w:val="auto"/>
          <w:szCs w:val="22"/>
          <w:lang w:val="hu-HU" w:bidi="hu-HU"/>
        </w:rPr>
        <w:t xml:space="preserve">A </w:t>
      </w:r>
      <w:proofErr w:type="spellStart"/>
      <w:r w:rsidR="00E84E4E"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="00E84E4E" w:rsidRPr="009D34EE">
        <w:rPr>
          <w:b/>
          <w:i w:val="0"/>
          <w:color w:val="auto"/>
          <w:szCs w:val="22"/>
          <w:lang w:val="hu-HU" w:bidi="hu-HU"/>
        </w:rPr>
        <w:t xml:space="preserve"> </w:t>
      </w:r>
      <w:r w:rsidR="00E84E4E" w:rsidRPr="009D34EE">
        <w:rPr>
          <w:i w:val="0"/>
          <w:color w:val="auto"/>
          <w:szCs w:val="22"/>
          <w:lang w:val="hu-HU" w:bidi="hu-HU"/>
        </w:rPr>
        <w:t>200 mg/ml emulziós infúzió</w:t>
      </w:r>
      <w:r>
        <w:rPr>
          <w:i w:val="0"/>
          <w:color w:val="auto"/>
          <w:szCs w:val="22"/>
          <w:lang w:val="hu-HU" w:bidi="hu-HU"/>
        </w:rPr>
        <w:t xml:space="preserve"> a következőket tartalmazza</w:t>
      </w:r>
      <w:r w:rsidR="00E84E4E" w:rsidRPr="009D34EE">
        <w:rPr>
          <w:i w:val="0"/>
          <w:color w:val="auto"/>
          <w:szCs w:val="22"/>
          <w:lang w:val="hu-HU" w:bidi="hu-HU"/>
        </w:rPr>
        <w:t>:</w:t>
      </w:r>
    </w:p>
    <w:tbl>
      <w:tblPr>
        <w:tblStyle w:val="Rcsostblzat"/>
        <w:tblW w:w="370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6"/>
        <w:gridCol w:w="2345"/>
      </w:tblGrid>
      <w:tr w:rsidR="007D17EF" w:rsidRPr="009D34EE" w14:paraId="06CBA476" w14:textId="66EE7429" w:rsidTr="009A3F59">
        <w:trPr>
          <w:trHeight w:val="287"/>
        </w:trPr>
        <w:tc>
          <w:tcPr>
            <w:tcW w:w="3258" w:type="pct"/>
          </w:tcPr>
          <w:p w14:paraId="0ABFF169" w14:textId="77777777" w:rsidR="007D17EF" w:rsidRPr="00BD7253" w:rsidRDefault="007D17EF" w:rsidP="002B47C1">
            <w:pPr>
              <w:tabs>
                <w:tab w:val="clear" w:pos="567"/>
              </w:tabs>
              <w:spacing w:line="240" w:lineRule="auto"/>
              <w:rPr>
                <w:noProof/>
                <w:sz w:val="22"/>
                <w:szCs w:val="22"/>
              </w:rPr>
            </w:pPr>
            <w:bookmarkStart w:id="2" w:name="_Hlk190871671"/>
          </w:p>
        </w:tc>
        <w:tc>
          <w:tcPr>
            <w:tcW w:w="1742" w:type="pct"/>
          </w:tcPr>
          <w:p w14:paraId="16DD7936" w14:textId="68339D71" w:rsidR="007D17EF" w:rsidRPr="008449D7" w:rsidRDefault="007D17EF" w:rsidP="00D70FB2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 w:val="22"/>
                <w:szCs w:val="22"/>
              </w:rPr>
            </w:pPr>
            <w:r w:rsidRPr="00C84F6C">
              <w:rPr>
                <w:noProof/>
                <w:szCs w:val="22"/>
                <w:lang w:val="hu-HU" w:bidi="hu-HU"/>
              </w:rPr>
              <w:t xml:space="preserve">Tartalom </w:t>
            </w:r>
            <w:r w:rsidRPr="00C06855">
              <w:rPr>
                <w:noProof/>
                <w:sz w:val="22"/>
                <w:szCs w:val="22"/>
                <w:lang w:val="hu-HU" w:bidi="hu-HU"/>
              </w:rPr>
              <w:t>1000</w:t>
            </w:r>
            <w:r w:rsidRPr="00C84F6C">
              <w:rPr>
                <w:noProof/>
                <w:szCs w:val="22"/>
                <w:lang w:val="hu-HU" w:bidi="hu-HU"/>
              </w:rPr>
              <w:t> ml-ben</w:t>
            </w:r>
          </w:p>
        </w:tc>
      </w:tr>
      <w:tr w:rsidR="007D17EF" w:rsidRPr="009D34EE" w14:paraId="2F9F54BC" w14:textId="3752ECF6" w:rsidTr="009A3F59">
        <w:trPr>
          <w:trHeight w:val="287"/>
        </w:trPr>
        <w:tc>
          <w:tcPr>
            <w:tcW w:w="3258" w:type="pct"/>
          </w:tcPr>
          <w:p w14:paraId="768540E9" w14:textId="69D291E6" w:rsidR="007D17EF" w:rsidRPr="00CA3D0F" w:rsidRDefault="007D17EF" w:rsidP="002B47C1">
            <w:pPr>
              <w:tabs>
                <w:tab w:val="clear" w:pos="567"/>
              </w:tabs>
              <w:spacing w:line="240" w:lineRule="auto"/>
              <w:rPr>
                <w:noProof/>
                <w:sz w:val="22"/>
                <w:szCs w:val="22"/>
              </w:rPr>
            </w:pPr>
            <w:r w:rsidRPr="00EE14B6">
              <w:rPr>
                <w:noProof/>
                <w:sz w:val="22"/>
                <w:szCs w:val="22"/>
                <w:lang w:val="hu-HU" w:bidi="hu-HU"/>
              </w:rPr>
              <w:t>Finomított szójaolaj</w:t>
            </w:r>
          </w:p>
        </w:tc>
        <w:tc>
          <w:tcPr>
            <w:tcW w:w="1742" w:type="pct"/>
          </w:tcPr>
          <w:p w14:paraId="71181BC9" w14:textId="148AFCC3" w:rsidR="007D17EF" w:rsidRPr="009D34EE" w:rsidRDefault="007D17EF" w:rsidP="008449D7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60 g</w:t>
            </w:r>
          </w:p>
        </w:tc>
      </w:tr>
      <w:tr w:rsidR="007D17EF" w:rsidRPr="009D34EE" w14:paraId="0F197BB0" w14:textId="16A32C97" w:rsidTr="009A3F59">
        <w:trPr>
          <w:trHeight w:val="287"/>
        </w:trPr>
        <w:tc>
          <w:tcPr>
            <w:tcW w:w="3258" w:type="pct"/>
          </w:tcPr>
          <w:p w14:paraId="0E8289FD" w14:textId="77777777" w:rsidR="007D17EF" w:rsidRPr="00CA3D0F" w:rsidRDefault="007D17EF" w:rsidP="002B47C1">
            <w:pPr>
              <w:tabs>
                <w:tab w:val="clear" w:pos="567"/>
              </w:tabs>
              <w:spacing w:line="240" w:lineRule="auto"/>
              <w:rPr>
                <w:noProof/>
                <w:sz w:val="22"/>
                <w:szCs w:val="22"/>
              </w:rPr>
            </w:pPr>
            <w:r w:rsidRPr="002C373B">
              <w:rPr>
                <w:noProof/>
                <w:sz w:val="22"/>
                <w:szCs w:val="22"/>
                <w:lang w:val="hu-HU" w:bidi="hu-HU"/>
              </w:rPr>
              <w:t>Közepes lánchosszúságú trigliceridek</w:t>
            </w:r>
          </w:p>
        </w:tc>
        <w:tc>
          <w:tcPr>
            <w:tcW w:w="1742" w:type="pct"/>
          </w:tcPr>
          <w:p w14:paraId="40F472A5" w14:textId="435ECA0F" w:rsidR="007D17EF" w:rsidRPr="009D34EE" w:rsidRDefault="007D17EF" w:rsidP="008449D7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60 g</w:t>
            </w:r>
          </w:p>
        </w:tc>
      </w:tr>
      <w:tr w:rsidR="007D17EF" w:rsidRPr="009D34EE" w14:paraId="63B67CB3" w14:textId="45B8ED4B" w:rsidTr="009A3F59">
        <w:trPr>
          <w:trHeight w:val="287"/>
        </w:trPr>
        <w:tc>
          <w:tcPr>
            <w:tcW w:w="3258" w:type="pct"/>
          </w:tcPr>
          <w:p w14:paraId="5FAAC555" w14:textId="77777777" w:rsidR="007D17EF" w:rsidRPr="009D34EE" w:rsidRDefault="007D17EF" w:rsidP="002B47C1">
            <w:pPr>
              <w:tabs>
                <w:tab w:val="clear" w:pos="567"/>
              </w:tabs>
              <w:spacing w:line="240" w:lineRule="auto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Finomított olívaolaj</w:t>
            </w:r>
          </w:p>
        </w:tc>
        <w:tc>
          <w:tcPr>
            <w:tcW w:w="1742" w:type="pct"/>
          </w:tcPr>
          <w:p w14:paraId="35614923" w14:textId="287C2CEA" w:rsidR="007D17EF" w:rsidRPr="009D34EE" w:rsidRDefault="007D17EF" w:rsidP="008449D7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50 g</w:t>
            </w:r>
          </w:p>
        </w:tc>
      </w:tr>
      <w:tr w:rsidR="007D17EF" w:rsidRPr="009D34EE" w14:paraId="392505C6" w14:textId="1FBE7E26" w:rsidTr="009A3F59">
        <w:trPr>
          <w:trHeight w:val="287"/>
        </w:trPr>
        <w:tc>
          <w:tcPr>
            <w:tcW w:w="3258" w:type="pct"/>
          </w:tcPr>
          <w:p w14:paraId="6ADADA5B" w14:textId="77777777" w:rsidR="007D17EF" w:rsidRPr="009D34EE" w:rsidRDefault="007D17EF" w:rsidP="002B47C1">
            <w:pPr>
              <w:tabs>
                <w:tab w:val="clear" w:pos="567"/>
              </w:tabs>
              <w:spacing w:line="240" w:lineRule="auto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omega-3-zsírsavakban gazdag halolaj</w:t>
            </w:r>
          </w:p>
        </w:tc>
        <w:tc>
          <w:tcPr>
            <w:tcW w:w="1742" w:type="pct"/>
          </w:tcPr>
          <w:p w14:paraId="68F7D482" w14:textId="624972C8" w:rsidR="007D17EF" w:rsidRPr="009D34EE" w:rsidRDefault="007D17EF" w:rsidP="008449D7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30 g</w:t>
            </w:r>
          </w:p>
        </w:tc>
      </w:tr>
      <w:tr w:rsidR="007D17EF" w:rsidRPr="009D34EE" w14:paraId="26921E95" w14:textId="3DEAF45D" w:rsidTr="009A3F59">
        <w:trPr>
          <w:trHeight w:val="287"/>
        </w:trPr>
        <w:tc>
          <w:tcPr>
            <w:tcW w:w="3258" w:type="pct"/>
          </w:tcPr>
          <w:p w14:paraId="5C5B45E9" w14:textId="77777777" w:rsidR="007D17EF" w:rsidRPr="009D34EE" w:rsidRDefault="007D17EF" w:rsidP="002B47C1">
            <w:pPr>
              <w:tabs>
                <w:tab w:val="clear" w:pos="567"/>
              </w:tabs>
              <w:spacing w:line="240" w:lineRule="auto"/>
              <w:rPr>
                <w:noProof/>
                <w:sz w:val="22"/>
                <w:szCs w:val="22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 xml:space="preserve">Energia: </w:t>
            </w:r>
          </w:p>
        </w:tc>
        <w:tc>
          <w:tcPr>
            <w:tcW w:w="1742" w:type="pct"/>
          </w:tcPr>
          <w:p w14:paraId="3495D256" w14:textId="6D169756" w:rsidR="007D17EF" w:rsidRPr="009D34EE" w:rsidRDefault="007D17EF" w:rsidP="008449D7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 w:val="22"/>
                <w:szCs w:val="22"/>
                <w:lang w:val="en-US"/>
              </w:rPr>
            </w:pPr>
            <w:r w:rsidRPr="009D34EE">
              <w:rPr>
                <w:noProof/>
                <w:sz w:val="22"/>
                <w:szCs w:val="22"/>
                <w:lang w:val="hu-HU" w:bidi="hu-HU"/>
              </w:rPr>
              <w:t>2000 kcal</w:t>
            </w:r>
          </w:p>
        </w:tc>
      </w:tr>
      <w:bookmarkEnd w:id="2"/>
    </w:tbl>
    <w:p w14:paraId="05A24201" w14:textId="77777777" w:rsidR="009B6DBD" w:rsidRPr="009D34EE" w:rsidRDefault="009B6DBD" w:rsidP="00DC57E8">
      <w:pPr>
        <w:pStyle w:val="Szvegtrzs"/>
        <w:tabs>
          <w:tab w:val="left" w:pos="3644"/>
        </w:tabs>
        <w:rPr>
          <w:i w:val="0"/>
          <w:iCs/>
          <w:color w:val="auto"/>
          <w:szCs w:val="22"/>
        </w:rPr>
      </w:pPr>
    </w:p>
    <w:p w14:paraId="7F49CF62" w14:textId="77777777" w:rsidR="00EA370D" w:rsidRPr="009D34EE" w:rsidRDefault="00EA370D" w:rsidP="00DC57E8">
      <w:pPr>
        <w:pStyle w:val="Szvegtrzs"/>
        <w:rPr>
          <w:i w:val="0"/>
          <w:iCs/>
          <w:color w:val="auto"/>
          <w:szCs w:val="22"/>
        </w:rPr>
      </w:pPr>
    </w:p>
    <w:p w14:paraId="4DA5EE44" w14:textId="34251C15" w:rsidR="00EA370D" w:rsidRPr="009D34EE" w:rsidRDefault="00EA2AF3" w:rsidP="00DC57E8">
      <w:pPr>
        <w:pStyle w:val="Szvegtrzs"/>
        <w:rPr>
          <w:i w:val="0"/>
          <w:iCs/>
          <w:color w:val="auto"/>
          <w:szCs w:val="22"/>
          <w:u w:val="single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Ismert hatású segédanyagok:</w:t>
      </w:r>
    </w:p>
    <w:p w14:paraId="063D0E21" w14:textId="4E340284" w:rsidR="002810CC" w:rsidRPr="009D34EE" w:rsidRDefault="00447849" w:rsidP="002810CC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1000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ml 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b/>
          <w:i w:val="0"/>
          <w:color w:val="auto"/>
          <w:szCs w:val="22"/>
          <w:lang w:val="hu-HU" w:bidi="hu-HU"/>
        </w:rPr>
        <w:t xml:space="preserve"> </w:t>
      </w:r>
      <w:r w:rsidRPr="009D34EE">
        <w:rPr>
          <w:i w:val="0"/>
          <w:color w:val="auto"/>
          <w:szCs w:val="22"/>
          <w:lang w:val="hu-HU" w:bidi="hu-HU"/>
        </w:rPr>
        <w:t>200 mg/ml emulziós infúzió 2,2 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mmol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(vagy 50,2 mg) nátriumot tartalmaz.</w:t>
      </w:r>
    </w:p>
    <w:p w14:paraId="7BD28450" w14:textId="77777777" w:rsidR="002810CC" w:rsidRPr="009D34EE" w:rsidRDefault="002810CC" w:rsidP="002810CC">
      <w:pPr>
        <w:pStyle w:val="Szvegtrzs"/>
        <w:ind w:right="74"/>
        <w:rPr>
          <w:i w:val="0"/>
          <w:iCs/>
          <w:color w:val="auto"/>
          <w:szCs w:val="22"/>
        </w:rPr>
      </w:pPr>
    </w:p>
    <w:p w14:paraId="682DD713" w14:textId="5C065831" w:rsidR="00DC57E8" w:rsidRPr="009D34EE" w:rsidRDefault="00EA2AF3" w:rsidP="00A07798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 segédanyagok teljes listáját lásd a 6.1 pontban.</w:t>
      </w:r>
    </w:p>
    <w:p w14:paraId="6B4CFFE3" w14:textId="77777777" w:rsidR="00EA370D" w:rsidRPr="009D34EE" w:rsidRDefault="00EA2AF3" w:rsidP="00A07798">
      <w:pPr>
        <w:pStyle w:val="Cmsor1"/>
        <w:rPr>
          <w:szCs w:val="22"/>
        </w:rPr>
      </w:pPr>
      <w:bookmarkStart w:id="3" w:name="3._Pharmaceutical_Form"/>
      <w:bookmarkEnd w:id="3"/>
      <w:r w:rsidRPr="009D34EE">
        <w:rPr>
          <w:szCs w:val="22"/>
          <w:lang w:val="hu-HU" w:bidi="hu-HU"/>
        </w:rPr>
        <w:t>GYÓGYSZERFORMA</w:t>
      </w:r>
    </w:p>
    <w:p w14:paraId="040188CD" w14:textId="77777777" w:rsidR="00EA370D" w:rsidRPr="009D34EE" w:rsidRDefault="00EA2AF3" w:rsidP="00DC57E8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Emulziós infúzió.</w:t>
      </w:r>
    </w:p>
    <w:p w14:paraId="30A65545" w14:textId="57275570" w:rsidR="004609A8" w:rsidRDefault="00EA2AF3" w:rsidP="007002E3">
      <w:pPr>
        <w:pStyle w:val="Szvegtrzs"/>
        <w:rPr>
          <w:i w:val="0"/>
          <w:iCs/>
          <w:color w:val="auto"/>
          <w:szCs w:val="22"/>
          <w:lang w:val="el-GR"/>
        </w:rPr>
      </w:pPr>
      <w:bookmarkStart w:id="4" w:name="_Hlk157785762"/>
      <w:r w:rsidRPr="009D34EE">
        <w:rPr>
          <w:i w:val="0"/>
          <w:color w:val="auto"/>
          <w:szCs w:val="22"/>
          <w:lang w:val="hu-HU" w:bidi="hu-HU"/>
        </w:rPr>
        <w:t>Fehér színű homogén emulzió</w:t>
      </w:r>
      <w:bookmarkEnd w:id="4"/>
      <w:r w:rsidRPr="009D34EE">
        <w:rPr>
          <w:i w:val="0"/>
          <w:color w:val="auto"/>
          <w:szCs w:val="22"/>
          <w:lang w:val="hu-HU" w:bidi="hu-HU"/>
        </w:rPr>
        <w:t>.</w:t>
      </w:r>
    </w:p>
    <w:p w14:paraId="324E042D" w14:textId="77777777" w:rsidR="00955EB2" w:rsidRDefault="00955EB2" w:rsidP="007002E3">
      <w:pPr>
        <w:pStyle w:val="Szvegtrzs"/>
        <w:rPr>
          <w:i w:val="0"/>
          <w:iCs/>
          <w:color w:val="auto"/>
          <w:szCs w:val="22"/>
          <w:lang w:val="el-GR"/>
        </w:rPr>
      </w:pPr>
    </w:p>
    <w:p w14:paraId="7830FE6E" w14:textId="3C515340" w:rsidR="00955EB2" w:rsidRPr="009D34EE" w:rsidRDefault="00955EB2" w:rsidP="00955EB2">
      <w:pPr>
        <w:pStyle w:val="Szvegtrzs"/>
        <w:tabs>
          <w:tab w:val="left" w:pos="3644"/>
        </w:tabs>
        <w:rPr>
          <w:i w:val="0"/>
          <w:iCs/>
          <w:color w:val="auto"/>
          <w:szCs w:val="22"/>
        </w:rPr>
      </w:pPr>
      <w:proofErr w:type="gramStart"/>
      <w:r w:rsidRPr="009D34EE">
        <w:rPr>
          <w:i w:val="0"/>
          <w:color w:val="auto"/>
          <w:szCs w:val="22"/>
          <w:lang w:val="hu-HU" w:bidi="hu-HU"/>
        </w:rPr>
        <w:t>pH-érték</w:t>
      </w:r>
      <w:proofErr w:type="gramEnd"/>
      <w:r w:rsidRPr="009D34EE">
        <w:rPr>
          <w:i w:val="0"/>
          <w:color w:val="auto"/>
          <w:szCs w:val="22"/>
          <w:lang w:val="hu-HU" w:bidi="hu-HU"/>
        </w:rPr>
        <w:t>: 6,5</w:t>
      </w:r>
      <w:r w:rsidR="009F50E4">
        <w:rPr>
          <w:i w:val="0"/>
          <w:color w:val="auto"/>
          <w:szCs w:val="22"/>
          <w:lang w:val="hu-HU" w:bidi="hu-HU"/>
        </w:rPr>
        <w:t>‒</w:t>
      </w:r>
      <w:r w:rsidRPr="009D34EE">
        <w:rPr>
          <w:i w:val="0"/>
          <w:color w:val="auto"/>
          <w:szCs w:val="22"/>
          <w:lang w:val="hu-HU" w:bidi="hu-HU"/>
        </w:rPr>
        <w:t>9,0</w:t>
      </w:r>
    </w:p>
    <w:p w14:paraId="0A9DAB3D" w14:textId="1A9456BA" w:rsidR="00955EB2" w:rsidRPr="009D34EE" w:rsidRDefault="00955EB2" w:rsidP="00955EB2">
      <w:pPr>
        <w:pStyle w:val="Szvegtrzs"/>
        <w:tabs>
          <w:tab w:val="left" w:pos="3644"/>
        </w:tabs>
        <w:rPr>
          <w:i w:val="0"/>
          <w:iCs/>
          <w:color w:val="auto"/>
          <w:szCs w:val="22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t>Ozmolalitás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>: 360–480</w:t>
      </w:r>
      <w:r w:rsidR="009F50E4">
        <w:rPr>
          <w:i w:val="0"/>
          <w:color w:val="auto"/>
          <w:szCs w:val="22"/>
          <w:lang w:val="hu-HU" w:bidi="hu-HU"/>
        </w:rPr>
        <w:t> 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mOsm</w:t>
      </w:r>
      <w:proofErr w:type="spellEnd"/>
      <w:r w:rsidRPr="009D34EE">
        <w:rPr>
          <w:i w:val="0"/>
          <w:color w:val="auto"/>
          <w:szCs w:val="22"/>
          <w:lang w:val="hu-HU" w:bidi="hu-HU"/>
        </w:rPr>
        <w:t>/</w:t>
      </w:r>
      <w:r w:rsidR="009F50E4">
        <w:rPr>
          <w:i w:val="0"/>
          <w:color w:val="auto"/>
          <w:szCs w:val="22"/>
          <w:lang w:val="hu-HU" w:bidi="hu-HU"/>
        </w:rPr>
        <w:t>k</w:t>
      </w:r>
      <w:r w:rsidRPr="009D34EE">
        <w:rPr>
          <w:i w:val="0"/>
          <w:color w:val="auto"/>
          <w:szCs w:val="22"/>
          <w:lang w:val="hu-HU" w:bidi="hu-HU"/>
        </w:rPr>
        <w:t>g</w:t>
      </w:r>
    </w:p>
    <w:p w14:paraId="02D2352C" w14:textId="77777777" w:rsidR="00955EB2" w:rsidRPr="008449D7" w:rsidRDefault="00955EB2" w:rsidP="007002E3">
      <w:pPr>
        <w:pStyle w:val="Szvegtrzs"/>
        <w:rPr>
          <w:i w:val="0"/>
          <w:iCs/>
          <w:color w:val="auto"/>
          <w:szCs w:val="22"/>
          <w:lang w:val="el-GR"/>
        </w:rPr>
      </w:pPr>
    </w:p>
    <w:p w14:paraId="3B75B27B" w14:textId="4F21489E" w:rsidR="00EA370D" w:rsidRPr="009D34EE" w:rsidRDefault="00EA2AF3" w:rsidP="00E5215E">
      <w:pPr>
        <w:pStyle w:val="Cmsor1"/>
        <w:rPr>
          <w:szCs w:val="22"/>
        </w:rPr>
      </w:pPr>
      <w:bookmarkStart w:id="5" w:name="4._Clinical_Particulars"/>
      <w:bookmarkEnd w:id="5"/>
      <w:r w:rsidRPr="009D34EE">
        <w:rPr>
          <w:szCs w:val="22"/>
          <w:lang w:val="hu-HU" w:bidi="hu-HU"/>
        </w:rPr>
        <w:t>KLINIKAI JELLEMZŐK</w:t>
      </w:r>
    </w:p>
    <w:p w14:paraId="2D4CEC3B" w14:textId="77777777" w:rsidR="00EA370D" w:rsidRPr="009D34EE" w:rsidRDefault="00EA2AF3" w:rsidP="00E5215E">
      <w:pPr>
        <w:pStyle w:val="Cmsor2"/>
        <w:rPr>
          <w:szCs w:val="22"/>
        </w:rPr>
      </w:pPr>
      <w:bookmarkStart w:id="6" w:name="4.1_Therapeutic_indications"/>
      <w:bookmarkEnd w:id="6"/>
      <w:r w:rsidRPr="009D34EE">
        <w:rPr>
          <w:szCs w:val="22"/>
          <w:lang w:val="hu-HU" w:bidi="hu-HU"/>
        </w:rPr>
        <w:t>Terápiás javallatok</w:t>
      </w:r>
    </w:p>
    <w:p w14:paraId="172B2746" w14:textId="15C744FF" w:rsidR="00EA370D" w:rsidRPr="009D34EE" w:rsidRDefault="00EA2AF3" w:rsidP="00E5215E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Betegek energiával, esszenciális zsírsavakkal és omega-3-zsírsavakkal történő ellátására javallott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 részeként, amikor a </w:t>
      </w:r>
      <w:r w:rsidRPr="002C373B">
        <w:rPr>
          <w:color w:val="auto"/>
          <w:szCs w:val="22"/>
          <w:lang w:val="hu-HU" w:bidi="hu-HU"/>
        </w:rPr>
        <w:t xml:space="preserve">per </w:t>
      </w:r>
      <w:proofErr w:type="spellStart"/>
      <w:r w:rsidRPr="002C373B">
        <w:rPr>
          <w:color w:val="auto"/>
          <w:szCs w:val="22"/>
          <w:lang w:val="hu-HU" w:bidi="hu-HU"/>
        </w:rPr>
        <w:t>os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vagy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 lehetetlen, elégtelen vagy ellenjavallt.</w:t>
      </w:r>
    </w:p>
    <w:p w14:paraId="6D8E5742" w14:textId="77777777" w:rsidR="00EA370D" w:rsidRPr="009D34EE" w:rsidRDefault="00EA2AF3" w:rsidP="00E5215E">
      <w:pPr>
        <w:pStyle w:val="Cmsor2"/>
        <w:rPr>
          <w:szCs w:val="22"/>
        </w:rPr>
      </w:pPr>
      <w:bookmarkStart w:id="7" w:name="4.2_Posology_and_method_of_administratio"/>
      <w:bookmarkEnd w:id="7"/>
      <w:r w:rsidRPr="009D34EE">
        <w:rPr>
          <w:szCs w:val="22"/>
          <w:lang w:val="hu-HU" w:bidi="hu-HU"/>
        </w:rPr>
        <w:t>Adagolás és alkalmazás</w:t>
      </w:r>
    </w:p>
    <w:p w14:paraId="08B66CFA" w14:textId="77777777" w:rsidR="00EA370D" w:rsidRPr="009D34EE" w:rsidRDefault="00EA2AF3" w:rsidP="004609A8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Adagolás</w:t>
      </w:r>
    </w:p>
    <w:p w14:paraId="597F58CF" w14:textId="77777777" w:rsidR="00EA370D" w:rsidRPr="009D34EE" w:rsidRDefault="00EA370D">
      <w:pPr>
        <w:pStyle w:val="Szvegtrzs"/>
        <w:spacing w:before="1"/>
        <w:rPr>
          <w:i w:val="0"/>
          <w:iCs/>
          <w:color w:val="auto"/>
          <w:szCs w:val="22"/>
        </w:rPr>
      </w:pPr>
    </w:p>
    <w:p w14:paraId="057EDA90" w14:textId="14BB6A4E" w:rsidR="00EA370D" w:rsidRPr="009D34EE" w:rsidRDefault="00EA2AF3" w:rsidP="0021471E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Az adagolást és az infúzió beadásának sebességét a beteg zsírfelhasználási sebessége határozza meg, lásd 4.4 pont.</w:t>
      </w:r>
    </w:p>
    <w:p w14:paraId="6E938639" w14:textId="77777777" w:rsidR="00EA370D" w:rsidRPr="009D34EE" w:rsidRDefault="00EA370D">
      <w:pPr>
        <w:pStyle w:val="Szvegtrzs"/>
        <w:rPr>
          <w:color w:val="auto"/>
          <w:szCs w:val="22"/>
        </w:rPr>
      </w:pPr>
    </w:p>
    <w:p w14:paraId="2C913697" w14:textId="77777777" w:rsidR="00EA370D" w:rsidRPr="009D34EE" w:rsidRDefault="00EA2AF3">
      <w:pPr>
        <w:pStyle w:val="Szvegtrzs"/>
        <w:rPr>
          <w:color w:val="auto"/>
          <w:szCs w:val="22"/>
        </w:rPr>
      </w:pPr>
      <w:r w:rsidRPr="009D34EE">
        <w:rPr>
          <w:color w:val="auto"/>
          <w:szCs w:val="22"/>
          <w:u w:val="single"/>
          <w:lang w:val="hu-HU" w:bidi="hu-HU"/>
        </w:rPr>
        <w:t>Felnőttek</w:t>
      </w:r>
    </w:p>
    <w:p w14:paraId="59E7F853" w14:textId="0DEF045E" w:rsidR="00EA370D" w:rsidRPr="009D34EE" w:rsidRDefault="00EA2AF3" w:rsidP="0021471E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 standard dózis 1,0–2,0</w:t>
      </w:r>
      <w:r w:rsidR="001A7188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/nap, ami 5–10</w:t>
      </w:r>
      <w:r w:rsidR="001A7188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ml/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 mennyiségnek felel meg.</w:t>
      </w:r>
    </w:p>
    <w:p w14:paraId="332E6E35" w14:textId="27DD7224" w:rsidR="00EA370D" w:rsidRPr="009D34EE" w:rsidRDefault="00EA2AF3" w:rsidP="0021471E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Az infúzió javallott sebessége 0,125</w:t>
      </w:r>
      <w:r w:rsidR="001A7188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/óra, ami megfelel 0,63</w:t>
      </w:r>
      <w:r w:rsidR="001A7188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ml/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/óra </w:t>
      </w:r>
      <w:proofErr w:type="spellStart"/>
      <w:r w:rsidR="004552DB" w:rsidRPr="009D34EE">
        <w:rPr>
          <w:i w:val="0"/>
          <w:color w:val="auto"/>
          <w:spacing w:val="-3"/>
          <w:szCs w:val="22"/>
          <w:lang w:val="hu-HU" w:bidi="hu-HU"/>
        </w:rPr>
        <w:t>Ziremilon</w:t>
      </w:r>
      <w:proofErr w:type="spellEnd"/>
      <w:r w:rsidR="004552DB" w:rsidRPr="009D34EE">
        <w:rPr>
          <w:i w:val="0"/>
          <w:color w:val="auto"/>
          <w:spacing w:val="-3"/>
          <w:szCs w:val="22"/>
          <w:lang w:val="hu-HU" w:bidi="hu-HU"/>
        </w:rPr>
        <w:t xml:space="preserve"> 200 mg/ml emulziós infúzió</w:t>
      </w:r>
      <w:r w:rsidRPr="009D34EE">
        <w:rPr>
          <w:i w:val="0"/>
          <w:color w:val="auto"/>
          <w:szCs w:val="22"/>
          <w:lang w:val="hu-HU" w:bidi="hu-HU"/>
        </w:rPr>
        <w:t xml:space="preserve"> mennyiségnek, és nem haladhatja meg a 0,15</w:t>
      </w:r>
      <w:r w:rsidR="001A7188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/órát, ami 0,75</w:t>
      </w:r>
      <w:r w:rsidR="001A7188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ml 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/óra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b/>
          <w:i w:val="0"/>
          <w:color w:val="auto"/>
          <w:szCs w:val="22"/>
          <w:lang w:val="hu-HU" w:bidi="hu-HU"/>
        </w:rPr>
        <w:t xml:space="preserve"> </w:t>
      </w:r>
      <w:r w:rsidRPr="009D34EE">
        <w:rPr>
          <w:i w:val="0"/>
          <w:color w:val="auto"/>
          <w:szCs w:val="22"/>
          <w:lang w:val="hu-HU" w:bidi="hu-HU"/>
        </w:rPr>
        <w:t>200 mg/ml emulziós infúzió mennyiségnek felel meg.</w:t>
      </w:r>
    </w:p>
    <w:p w14:paraId="1746A9DE" w14:textId="77777777" w:rsidR="00EA370D" w:rsidRPr="009D34EE" w:rsidRDefault="00EA370D">
      <w:pPr>
        <w:pStyle w:val="Szvegtrzs"/>
        <w:rPr>
          <w:szCs w:val="22"/>
        </w:rPr>
      </w:pPr>
    </w:p>
    <w:p w14:paraId="0CEF6F7C" w14:textId="77777777" w:rsidR="00EA370D" w:rsidRPr="009D34EE" w:rsidRDefault="00EA2AF3" w:rsidP="00BD7253">
      <w:pPr>
        <w:keepNext/>
        <w:keepLines/>
        <w:rPr>
          <w:i/>
          <w:szCs w:val="22"/>
        </w:rPr>
      </w:pPr>
      <w:r w:rsidRPr="009D34EE">
        <w:rPr>
          <w:i/>
          <w:szCs w:val="22"/>
          <w:lang w:val="hu-HU" w:bidi="hu-HU"/>
        </w:rPr>
        <w:lastRenderedPageBreak/>
        <w:t>Gyermekek és serdülők</w:t>
      </w:r>
    </w:p>
    <w:p w14:paraId="5894A69C" w14:textId="77777777" w:rsidR="00EA370D" w:rsidRPr="009D34EE" w:rsidRDefault="00EA370D" w:rsidP="00BD7253">
      <w:pPr>
        <w:pStyle w:val="Szvegtrzs"/>
        <w:keepNext/>
        <w:keepLines/>
        <w:rPr>
          <w:iCs/>
          <w:szCs w:val="22"/>
        </w:rPr>
      </w:pPr>
    </w:p>
    <w:p w14:paraId="59C8A236" w14:textId="77777777" w:rsidR="00EA370D" w:rsidRPr="009D34EE" w:rsidRDefault="00EA2AF3" w:rsidP="00BD7253">
      <w:pPr>
        <w:pStyle w:val="Szvegtrzs"/>
        <w:keepNext/>
        <w:keepLines/>
        <w:rPr>
          <w:color w:val="auto"/>
          <w:szCs w:val="22"/>
        </w:rPr>
      </w:pPr>
      <w:r w:rsidRPr="009D34EE">
        <w:rPr>
          <w:color w:val="auto"/>
          <w:szCs w:val="22"/>
          <w:u w:val="single"/>
          <w:lang w:val="hu-HU" w:bidi="hu-HU"/>
        </w:rPr>
        <w:t>Újszülöttek és csecsemők</w:t>
      </w:r>
    </w:p>
    <w:p w14:paraId="0103CEE8" w14:textId="05CBC29A" w:rsidR="00EA370D" w:rsidRPr="009D34EE" w:rsidRDefault="00EA2AF3" w:rsidP="00BD7253">
      <w:pPr>
        <w:pStyle w:val="Szvegtrzs"/>
        <w:keepNext/>
        <w:keepLines/>
        <w:rPr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 kezdeti dózis 0,5</w:t>
      </w:r>
      <w:r w:rsidR="008D0804" w:rsidRPr="009D34EE">
        <w:rPr>
          <w:i w:val="0"/>
          <w:color w:val="auto"/>
          <w:szCs w:val="22"/>
          <w:lang w:val="hu-HU" w:bidi="hu-HU"/>
        </w:rPr>
        <w:noBreakHyphen/>
      </w:r>
      <w:r w:rsidRPr="009D34EE">
        <w:rPr>
          <w:i w:val="0"/>
          <w:color w:val="auto"/>
          <w:szCs w:val="22"/>
          <w:lang w:val="hu-HU" w:bidi="hu-HU"/>
        </w:rPr>
        <w:t>1,0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/nap, melyet 0,5</w:t>
      </w:r>
      <w:r w:rsidR="008D0804" w:rsidRPr="009D34EE">
        <w:rPr>
          <w:i w:val="0"/>
          <w:color w:val="auto"/>
          <w:szCs w:val="22"/>
          <w:lang w:val="hu-HU" w:bidi="hu-HU"/>
        </w:rPr>
        <w:noBreakHyphen/>
      </w:r>
      <w:r w:rsidRPr="009D34EE">
        <w:rPr>
          <w:i w:val="0"/>
          <w:color w:val="auto"/>
          <w:szCs w:val="22"/>
          <w:lang w:val="hu-HU" w:bidi="hu-HU"/>
        </w:rPr>
        <w:t>1,0</w:t>
      </w:r>
      <w:r w:rsidR="00F27BE9"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 mennyiségekkel 3,0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ig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lehet emelni</w:t>
      </w:r>
      <w:r w:rsidRPr="009D34EE">
        <w:rPr>
          <w:szCs w:val="22"/>
          <w:lang w:val="hu-HU" w:bidi="hu-HU"/>
        </w:rPr>
        <w:t>.</w:t>
      </w:r>
    </w:p>
    <w:p w14:paraId="54F6B3B5" w14:textId="7EB0AB5A" w:rsidR="00EA370D" w:rsidRPr="009D34EE" w:rsidRDefault="00EA2AF3" w:rsidP="00A83D2E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Javasolt, hogy a napi dózis ne haladja meg a 3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 értéket, ami 15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ml/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/nap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b/>
          <w:i w:val="0"/>
          <w:color w:val="auto"/>
          <w:szCs w:val="22"/>
          <w:lang w:val="hu-HU" w:bidi="hu-HU"/>
        </w:rPr>
        <w:t xml:space="preserve"> </w:t>
      </w:r>
      <w:r w:rsidRPr="009D34EE">
        <w:rPr>
          <w:i w:val="0"/>
          <w:color w:val="auto"/>
          <w:szCs w:val="22"/>
          <w:lang w:val="hu-HU" w:bidi="hu-HU"/>
        </w:rPr>
        <w:t>200 mg/ml emulziós infúzió mennyiségnek felel meg.</w:t>
      </w:r>
    </w:p>
    <w:p w14:paraId="175911B8" w14:textId="77777777" w:rsidR="00EA370D" w:rsidRPr="009D34EE" w:rsidRDefault="00EA370D" w:rsidP="00062171">
      <w:pPr>
        <w:pStyle w:val="Szvegtrzs"/>
        <w:ind w:right="74"/>
        <w:rPr>
          <w:i w:val="0"/>
          <w:iCs/>
          <w:color w:val="auto"/>
          <w:szCs w:val="22"/>
        </w:rPr>
      </w:pPr>
    </w:p>
    <w:p w14:paraId="4F096B4D" w14:textId="5AAAA231" w:rsidR="00EA370D" w:rsidRPr="009D34EE" w:rsidRDefault="00EA2AF3" w:rsidP="00062171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Az infúzió sebessége ne lépje túl a 0,125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/óra értéket.</w:t>
      </w:r>
    </w:p>
    <w:p w14:paraId="3766504D" w14:textId="5F1D0D70" w:rsidR="00EA370D" w:rsidRPr="009D34EE" w:rsidRDefault="00EA2AF3" w:rsidP="00062171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Éretlen és alacsony </w:t>
      </w:r>
      <w:r w:rsidR="00986B9F">
        <w:rPr>
          <w:i w:val="0"/>
          <w:color w:val="auto"/>
          <w:szCs w:val="22"/>
          <w:lang w:val="hu-HU" w:bidi="hu-HU"/>
        </w:rPr>
        <w:t xml:space="preserve">testtömeggel </w:t>
      </w:r>
      <w:r w:rsidRPr="009D34EE">
        <w:rPr>
          <w:i w:val="0"/>
          <w:color w:val="auto"/>
          <w:szCs w:val="22"/>
          <w:lang w:val="hu-HU" w:bidi="hu-HU"/>
        </w:rPr>
        <w:t xml:space="preserve">született újszülötteknél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b/>
          <w:i w:val="0"/>
          <w:color w:val="auto"/>
          <w:szCs w:val="22"/>
          <w:lang w:val="hu-HU" w:bidi="hu-HU"/>
        </w:rPr>
        <w:t xml:space="preserve"> </w:t>
      </w:r>
      <w:r w:rsidRPr="009D34EE">
        <w:rPr>
          <w:i w:val="0"/>
          <w:color w:val="auto"/>
          <w:szCs w:val="22"/>
          <w:lang w:val="hu-HU" w:bidi="hu-HU"/>
        </w:rPr>
        <w:t>200 mg/ml emulziós infúziót 24 órán keresztül, folyamatos infúzió formájában kell adni.</w:t>
      </w:r>
    </w:p>
    <w:p w14:paraId="6B235FF4" w14:textId="77777777" w:rsidR="00EA370D" w:rsidRPr="009D34EE" w:rsidRDefault="00EA370D">
      <w:pPr>
        <w:pStyle w:val="Szvegtrzs"/>
        <w:rPr>
          <w:i w:val="0"/>
          <w:iCs/>
          <w:color w:val="auto"/>
          <w:szCs w:val="22"/>
        </w:rPr>
      </w:pPr>
    </w:p>
    <w:p w14:paraId="47250681" w14:textId="77777777" w:rsidR="00EA370D" w:rsidRPr="009D34EE" w:rsidRDefault="00EA2AF3" w:rsidP="004609A8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Gyermekek</w:t>
      </w:r>
    </w:p>
    <w:p w14:paraId="72776E3C" w14:textId="2F30B204" w:rsidR="00EA370D" w:rsidRPr="009D34EE" w:rsidRDefault="00EA2AF3" w:rsidP="00062171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Javasolt, hogy a napi dózis ne haladja meg a 3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/nap értéket, ami 15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ml/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/nap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b/>
          <w:i w:val="0"/>
          <w:color w:val="auto"/>
          <w:szCs w:val="22"/>
          <w:lang w:val="hu-HU" w:bidi="hu-HU"/>
        </w:rPr>
        <w:t xml:space="preserve"> </w:t>
      </w:r>
      <w:r w:rsidRPr="009D34EE">
        <w:rPr>
          <w:i w:val="0"/>
          <w:color w:val="auto"/>
          <w:szCs w:val="22"/>
          <w:lang w:val="hu-HU" w:bidi="hu-HU"/>
        </w:rPr>
        <w:t>200 mg/ml emulziós infúzió mennyiségnek felel meg.</w:t>
      </w:r>
    </w:p>
    <w:p w14:paraId="6ACCD8CC" w14:textId="77777777" w:rsidR="00EA370D" w:rsidRPr="009D34EE" w:rsidRDefault="00EA370D" w:rsidP="004609A8">
      <w:pPr>
        <w:pStyle w:val="Szvegtrzs"/>
        <w:rPr>
          <w:i w:val="0"/>
          <w:iCs/>
          <w:color w:val="auto"/>
          <w:szCs w:val="22"/>
        </w:rPr>
      </w:pPr>
    </w:p>
    <w:p w14:paraId="1D4C59E7" w14:textId="7A2A1ABE" w:rsidR="0065449E" w:rsidRPr="002C373B" w:rsidRDefault="00EA2AF3" w:rsidP="0065449E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A napi dózist fokozatosan kell emelni az alkalmazás első hetében. Az infúzió sebessége ne lépje túl a 0,15</w:t>
      </w:r>
      <w:r w:rsidR="00F27BE9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>g zsír/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ttkg</w:t>
      </w:r>
      <w:proofErr w:type="spellEnd"/>
      <w:r w:rsidRPr="009D34EE">
        <w:rPr>
          <w:i w:val="0"/>
          <w:color w:val="auto"/>
          <w:szCs w:val="22"/>
          <w:lang w:val="hu-HU" w:bidi="hu-HU"/>
        </w:rPr>
        <w:t>/óra értéket.</w:t>
      </w:r>
    </w:p>
    <w:p w14:paraId="7DFDBCC4" w14:textId="77777777" w:rsidR="00062171" w:rsidRPr="002C373B" w:rsidRDefault="00062171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</w:p>
    <w:p w14:paraId="2F0BFAA4" w14:textId="77777777" w:rsidR="00EA370D" w:rsidRPr="002C373B" w:rsidRDefault="00EA2AF3" w:rsidP="004609A8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Az alkalmazás módja</w:t>
      </w:r>
    </w:p>
    <w:p w14:paraId="799B25DD" w14:textId="77777777" w:rsidR="00EA370D" w:rsidRPr="002C373B" w:rsidRDefault="00EA2AF3" w:rsidP="004609A8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Intravénás infúzió perifériás vagy centrális vénába.</w:t>
      </w:r>
    </w:p>
    <w:p w14:paraId="72954A3E" w14:textId="5BD8483E" w:rsidR="00EA370D" w:rsidRPr="002C373B" w:rsidRDefault="00EA2AF3" w:rsidP="00E5215E">
      <w:pPr>
        <w:pStyle w:val="Szvegtrzs"/>
        <w:tabs>
          <w:tab w:val="left" w:pos="9356"/>
        </w:tabs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Újszülötteknél és két évesnél fiatalabb gyermekeknél történő alkalmazás esetén az oldat (a zsákban és a szerelékben) fénytől védve tartandó, egészen a készítmény beadásának végéig (lásd 4.4, 6.3 és 6.6 pont).</w:t>
      </w:r>
    </w:p>
    <w:p w14:paraId="644E1B6A" w14:textId="77777777" w:rsidR="00EA370D" w:rsidRPr="009D34EE" w:rsidRDefault="00EA2AF3" w:rsidP="00E5215E">
      <w:pPr>
        <w:pStyle w:val="Cmsor2"/>
        <w:rPr>
          <w:szCs w:val="22"/>
        </w:rPr>
      </w:pPr>
      <w:bookmarkStart w:id="8" w:name="4.3_Contraindications"/>
      <w:bookmarkEnd w:id="8"/>
      <w:r w:rsidRPr="009D34EE">
        <w:rPr>
          <w:szCs w:val="22"/>
          <w:lang w:val="hu-HU" w:bidi="hu-HU"/>
        </w:rPr>
        <w:t>Ellenjavallatok</w:t>
      </w:r>
    </w:p>
    <w:p w14:paraId="237EAB1E" w14:textId="77777777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Hal-, tojás-, szója- vagy földimogyoró-proteinekkel, vagy a készítmény bármely hatóanyagával vagy a 6.1 pontban felsorolt bármely segédanyagával szembeni túlérzékenység.</w:t>
      </w:r>
    </w:p>
    <w:p w14:paraId="4D77702B" w14:textId="5C4AD7F5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Súlyos hyperlipidemia.</w:t>
      </w:r>
    </w:p>
    <w:p w14:paraId="7A170C64" w14:textId="77777777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Súlyos májelégtelenség.</w:t>
      </w:r>
    </w:p>
    <w:p w14:paraId="6143524F" w14:textId="77777777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Súlyos véralvadási zavarok.</w:t>
      </w:r>
    </w:p>
    <w:p w14:paraId="6EB995CF" w14:textId="77777777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Súlyos veseelégtelenség hemofiltráció vagy dialízis elérhetetlensége esetén.</w:t>
      </w:r>
    </w:p>
    <w:p w14:paraId="60B522BA" w14:textId="77777777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Akut sokk.</w:t>
      </w:r>
    </w:p>
    <w:p w14:paraId="20023594" w14:textId="77777777" w:rsidR="00EA370D" w:rsidRPr="009D34EE" w:rsidRDefault="00EA2AF3" w:rsidP="00E5215E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Az infúziós terápia általános ellenjavallatai esetén: akut tüdőödéma, hyperhidratio, dekompenzált szívelégtelenség.</w:t>
      </w:r>
    </w:p>
    <w:p w14:paraId="758DED74" w14:textId="145C7871" w:rsidR="00EA370D" w:rsidRPr="009D34EE" w:rsidRDefault="00EA2AF3" w:rsidP="00072A47">
      <w:pPr>
        <w:pStyle w:val="ListHyphen"/>
        <w:rPr>
          <w:szCs w:val="22"/>
        </w:rPr>
      </w:pPr>
      <w:r w:rsidRPr="009D34EE">
        <w:rPr>
          <w:szCs w:val="22"/>
          <w:lang w:val="hu-HU" w:bidi="hu-HU"/>
        </w:rPr>
        <w:t>Instabil állapotok (pl. súlyos poszttraumás állapotok, nem kompenzált diabetes mellitus, akut myocardialis infarctus, stroke, embólia, metabolikus acidózis, súlyos sepsis és hypotoniás dehydratio).</w:t>
      </w:r>
    </w:p>
    <w:p w14:paraId="60DB811C" w14:textId="77777777" w:rsidR="00EA370D" w:rsidRPr="009D34EE" w:rsidRDefault="00EA2AF3" w:rsidP="00072A47">
      <w:pPr>
        <w:pStyle w:val="Cmsor2"/>
        <w:rPr>
          <w:szCs w:val="22"/>
        </w:rPr>
      </w:pPr>
      <w:bookmarkStart w:id="9" w:name="4.4_Special_warnings_and_precautions_for"/>
      <w:bookmarkEnd w:id="9"/>
      <w:r w:rsidRPr="009D34EE">
        <w:rPr>
          <w:szCs w:val="22"/>
          <w:lang w:val="hu-HU" w:bidi="hu-HU"/>
        </w:rPr>
        <w:t>Különleges figyelmeztetések és az alkalmazással kapcsolatos óvintézkedések</w:t>
      </w:r>
    </w:p>
    <w:p w14:paraId="66FDB58D" w14:textId="5890BF2B" w:rsidR="000740B9" w:rsidRDefault="00EA2AF3" w:rsidP="00062171">
      <w:pPr>
        <w:pStyle w:val="Szvegtrzs"/>
        <w:ind w:right="74"/>
        <w:rPr>
          <w:i w:val="0"/>
          <w:color w:val="auto"/>
          <w:szCs w:val="22"/>
          <w:lang w:val="hu-HU" w:bidi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zsírfelhasználási képesség egyénileg változó, ezért azt a klinikai gyakorlatnak megfelelően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monitorozni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kell. Ezt általában a trigliceridszintek ellenőrzésével végzik. A készítmény csak kellő körültekintéssel adható olyan betegeknek, akiknél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hyperlipidaemia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jelentős veszélye áll fenn (pl. magas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adagokkal kezelt betegek, súlyos szepszis és a különösen kis </w:t>
      </w:r>
      <w:r w:rsidR="00C76242">
        <w:rPr>
          <w:i w:val="0"/>
          <w:color w:val="auto"/>
          <w:szCs w:val="22"/>
          <w:lang w:val="hu-HU" w:bidi="hu-HU"/>
        </w:rPr>
        <w:t xml:space="preserve">testtömeggel </w:t>
      </w:r>
      <w:r w:rsidRPr="009D34EE">
        <w:rPr>
          <w:i w:val="0"/>
          <w:color w:val="auto"/>
          <w:szCs w:val="22"/>
          <w:lang w:val="hu-HU" w:bidi="hu-HU"/>
        </w:rPr>
        <w:t>született újszülöttek). Az infúzió alatt a szérum triglicerid-koncentráció általában nem haladhatja meg a 3</w:t>
      </w:r>
      <w:r w:rsidR="00C76242">
        <w:rPr>
          <w:i w:val="0"/>
          <w:color w:val="auto"/>
          <w:szCs w:val="22"/>
          <w:lang w:val="hu-HU" w:bidi="hu-HU"/>
        </w:rPr>
        <w:t> 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mmol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/l szintet. A dózis csökkentésére vagy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emulzió adásának megszüntetésére lehet szükség, ha a szérum vagy a plazma triglicerid koncentráció az infúzió adása alatt vagy után meghaladja a 3</w:t>
      </w:r>
      <w:r w:rsidR="00C76242">
        <w:rPr>
          <w:i w:val="0"/>
          <w:color w:val="auto"/>
          <w:szCs w:val="22"/>
          <w:lang w:val="hu-HU" w:bidi="hu-HU"/>
        </w:rPr>
        <w:t> 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mmol</w:t>
      </w:r>
      <w:proofErr w:type="spellEnd"/>
      <w:r w:rsidRPr="009D34EE">
        <w:rPr>
          <w:i w:val="0"/>
          <w:color w:val="auto"/>
          <w:szCs w:val="22"/>
          <w:lang w:val="hu-HU" w:bidi="hu-HU"/>
        </w:rPr>
        <w:t>/l szintet.</w:t>
      </w:r>
    </w:p>
    <w:p w14:paraId="6BC3EFBD" w14:textId="77777777" w:rsidR="000740B9" w:rsidRDefault="000740B9" w:rsidP="00062171">
      <w:pPr>
        <w:pStyle w:val="Szvegtrzs"/>
        <w:ind w:right="74"/>
        <w:rPr>
          <w:i w:val="0"/>
          <w:color w:val="auto"/>
          <w:szCs w:val="22"/>
          <w:lang w:val="hu-HU" w:bidi="hu-HU"/>
        </w:rPr>
      </w:pPr>
    </w:p>
    <w:p w14:paraId="5FF506AE" w14:textId="641B91F3" w:rsidR="00EA370D" w:rsidRPr="002C373B" w:rsidRDefault="00EA2AF3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A túladagolás zsír-túltelítődési szindrómához vezethet, lásd 4.8 pont.</w:t>
      </w:r>
    </w:p>
    <w:p w14:paraId="560E368C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7A4F83EE" w14:textId="3A41449F" w:rsidR="00EA370D" w:rsidRPr="009D34EE" w:rsidRDefault="00EA2AF3" w:rsidP="00062171">
      <w:pPr>
        <w:pStyle w:val="Szvegtrzs"/>
        <w:ind w:right="74"/>
        <w:rPr>
          <w:i w:val="0"/>
          <w:iCs/>
          <w:color w:val="auto"/>
          <w:szCs w:val="22"/>
        </w:rPr>
      </w:pPr>
      <w:r w:rsidRPr="00F27BE9">
        <w:rPr>
          <w:i w:val="0"/>
          <w:color w:val="auto"/>
          <w:szCs w:val="22"/>
          <w:lang w:val="hu-HU" w:bidi="hu-HU"/>
        </w:rPr>
        <w:t xml:space="preserve">Ez a gyógyszer </w:t>
      </w:r>
      <w:proofErr w:type="spellStart"/>
      <w:r w:rsidRPr="00F27BE9">
        <w:rPr>
          <w:i w:val="0"/>
          <w:color w:val="auto"/>
          <w:szCs w:val="22"/>
          <w:lang w:val="hu-HU" w:bidi="hu-HU"/>
        </w:rPr>
        <w:t>szójaolajat</w:t>
      </w:r>
      <w:proofErr w:type="spellEnd"/>
      <w:r w:rsidRPr="00F27BE9">
        <w:rPr>
          <w:i w:val="0"/>
          <w:color w:val="auto"/>
          <w:szCs w:val="22"/>
          <w:lang w:val="hu-HU" w:bidi="hu-HU"/>
        </w:rPr>
        <w:t xml:space="preserve">, </w:t>
      </w:r>
      <w:proofErr w:type="spellStart"/>
      <w:r w:rsidRPr="00F27BE9">
        <w:rPr>
          <w:i w:val="0"/>
          <w:color w:val="auto"/>
          <w:szCs w:val="22"/>
          <w:lang w:val="hu-HU" w:bidi="hu-HU"/>
        </w:rPr>
        <w:t>halolajat</w:t>
      </w:r>
      <w:proofErr w:type="spellEnd"/>
      <w:r w:rsidRPr="00F27BE9">
        <w:rPr>
          <w:i w:val="0"/>
          <w:color w:val="auto"/>
          <w:szCs w:val="22"/>
          <w:lang w:val="hu-HU" w:bidi="hu-HU"/>
        </w:rPr>
        <w:t xml:space="preserve"> és tojás-</w:t>
      </w:r>
      <w:proofErr w:type="spellStart"/>
      <w:r w:rsidRPr="00F27BE9">
        <w:rPr>
          <w:i w:val="0"/>
          <w:color w:val="auto"/>
          <w:szCs w:val="22"/>
          <w:lang w:val="hu-HU" w:bidi="hu-HU"/>
        </w:rPr>
        <w:t>foszfolipideket</w:t>
      </w:r>
      <w:proofErr w:type="spellEnd"/>
      <w:r w:rsidRPr="00F27BE9">
        <w:rPr>
          <w:i w:val="0"/>
          <w:color w:val="auto"/>
          <w:szCs w:val="22"/>
          <w:lang w:val="hu-HU" w:bidi="hu-HU"/>
        </w:rPr>
        <w:t xml:space="preserve"> tartalmaz, melyek ritkán allergiás reakciókat válthatnak ki. A szója és a földimogyoró között allergiás keresztreakciót figyeltek meg.</w:t>
      </w:r>
    </w:p>
    <w:p w14:paraId="578530F4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2BB3E545" w14:textId="619341BA" w:rsidR="00EA370D" w:rsidRPr="009D34EE" w:rsidRDefault="00E92FCE" w:rsidP="00062171">
      <w:pPr>
        <w:pStyle w:val="Szvegtrzs"/>
        <w:ind w:right="74"/>
        <w:jc w:val="both"/>
        <w:rPr>
          <w:i w:val="0"/>
          <w:iCs/>
          <w:color w:val="auto"/>
          <w:szCs w:val="22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lastRenderedPageBreak/>
        <w:t>Lipidemulzió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kizárólag kellő körültekintéssel adható zsíranyagcsere-zavarral járó állapotokban, ami előfordulhat veseelégtelenségben, valamint diabetes mellitusban,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pancreatitisben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májfunkció zavarban,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hypothyreosisban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sepsisben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szenvedő betegeknél.</w:t>
      </w:r>
    </w:p>
    <w:p w14:paraId="2F6F5FBC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5EB876B4" w14:textId="77777777" w:rsidR="00EA370D" w:rsidRPr="009D34EE" w:rsidRDefault="00EA2AF3" w:rsidP="00B2604A">
      <w:pPr>
        <w:pStyle w:val="Szvegtrzs"/>
        <w:jc w:val="both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Diabetes mellitusban és veseelégtelenségben szenvedő betegek vonatkozásában korlátozott mennyiségű klinikai adat áll rendelkezésre.</w:t>
      </w:r>
    </w:p>
    <w:p w14:paraId="6451D795" w14:textId="77777777" w:rsidR="000740B9" w:rsidRPr="009D34EE" w:rsidRDefault="000740B9" w:rsidP="00B2604A">
      <w:pPr>
        <w:pStyle w:val="Szvegtrzs"/>
        <w:rPr>
          <w:i w:val="0"/>
          <w:iCs/>
          <w:color w:val="auto"/>
          <w:szCs w:val="22"/>
        </w:rPr>
      </w:pPr>
    </w:p>
    <w:p w14:paraId="537D8870" w14:textId="07F70230" w:rsidR="00062171" w:rsidRPr="002C373B" w:rsidRDefault="00EA2AF3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közepes szénláncú zsírsavak önmagukban történő adása metabolikus acidózishoz vezethet. Ezt a kockázatot nagymértékben kiküszöböli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</w:t>
      </w:r>
      <w:r w:rsidR="005622EF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 xml:space="preserve">mg/ml emulziós infúzióban lévő hosszú szénláncú zsírsavak egyidejű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infundálása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. Szénhidrátok egyidejű alkalmazása tovább fogja csökkenteni ezt a kockázatot. </w:t>
      </w:r>
    </w:p>
    <w:p w14:paraId="537A64A6" w14:textId="2A1B93AD" w:rsidR="00EA370D" w:rsidRPr="002C373B" w:rsidRDefault="00EA2AF3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Ezért szénhidrát infúzió vagy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szénhidráttartalmú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aminosav oldat egyidejű adása javasolt. Az intravénás táplálás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monitorozásához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általában tartozó laboratóriumi értékeket rendszeresen ellenőrizni kell. Ezek magukban foglalják a vércukorszinteket, májfunkciós értékeket, sav</w:t>
      </w:r>
      <w:r w:rsidR="00AE0072">
        <w:rPr>
          <w:i w:val="0"/>
          <w:color w:val="auto"/>
          <w:szCs w:val="22"/>
          <w:lang w:val="hu-HU" w:bidi="hu-HU"/>
        </w:rPr>
        <w:t>-</w:t>
      </w:r>
      <w:r w:rsidRPr="009D34EE">
        <w:rPr>
          <w:i w:val="0"/>
          <w:color w:val="auto"/>
          <w:szCs w:val="22"/>
          <w:lang w:val="hu-HU" w:bidi="hu-HU"/>
        </w:rPr>
        <w:t>bázis metabolizmust, folyadékegyensúlyt, teljes vérképet és elektrolitokat.</w:t>
      </w:r>
    </w:p>
    <w:p w14:paraId="1974132B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15100A74" w14:textId="77777777" w:rsidR="00EA370D" w:rsidRPr="002C373B" w:rsidRDefault="00EA2AF3" w:rsidP="00062171">
      <w:pPr>
        <w:pStyle w:val="Szvegtrzs"/>
        <w:tabs>
          <w:tab w:val="left" w:pos="8931"/>
        </w:tabs>
        <w:ind w:right="74"/>
        <w:rPr>
          <w:i w:val="0"/>
          <w:iCs/>
          <w:color w:val="auto"/>
          <w:szCs w:val="22"/>
          <w:lang w:val="hu-HU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t>Anaphylaxiás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reakcióra utaló bármely jel vagy tünet (mint láz, hidegrázás, bőrkiütés vagy nehézlégzés) esetén az infúzió adását azonnal meg kell szakítani.</w:t>
      </w:r>
    </w:p>
    <w:p w14:paraId="236DAF9A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41F667E9" w14:textId="4F6213B8" w:rsidR="00EA370D" w:rsidRPr="002C373B" w:rsidRDefault="00E92FCE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t>Lipidemulzió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kizárólag kellő körültekintéssel adható újszülötteknek és éretlen újszülötteknek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hyperbilirubinaemia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pulmonalis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hypertensio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esetén. Újszülöttek, különösen éretlen újszülöttek, hosszú távú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táplálása során a vérlemezkeszámot, a májfunkciós értékeket és a szérum trigliceridszinteket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monitorozni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kell.</w:t>
      </w:r>
    </w:p>
    <w:p w14:paraId="24FD1BA1" w14:textId="631CA447" w:rsidR="00EA370D" w:rsidRPr="002C373B" w:rsidRDefault="00EA2AF3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fényexpozíció az intravénás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tápszerek esetében, különösen a nyomelemek és/vagy vitaminok hozzáadását követően, peroxidok és egyéb bomlástermékek kialakulását okozhatja. Újszülötteknél és két évesnél fiatalabb gyermekeknél történő alkalmazás esetén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lipidoldat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 környezeti fénytől védve tartandó, egészen a készítmény beadásának végéig (lásd 4.2, 6.3 és 6.6 pont).</w:t>
      </w:r>
    </w:p>
    <w:p w14:paraId="1D19BBFE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7F4DC434" w14:textId="77777777" w:rsidR="00EA370D" w:rsidRPr="009D34EE" w:rsidRDefault="00EA2AF3" w:rsidP="00B2604A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A magas plazma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lipidszintek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befolyásolhatják néhány laboratóriumi teszt pontosságát, pl. a hemoglobinét.</w:t>
      </w:r>
    </w:p>
    <w:p w14:paraId="656D0349" w14:textId="77777777" w:rsidR="00EA370D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00BB56D9" w14:textId="23FAA45F" w:rsidR="0007033E" w:rsidRPr="0007033E" w:rsidRDefault="0007033E" w:rsidP="0007033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ourier New"/>
          <w:color w:val="000000"/>
          <w:szCs w:val="22"/>
          <w:lang w:val="en-US" w:bidi="en-US"/>
        </w:rPr>
      </w:pPr>
      <w:r>
        <w:rPr>
          <w:rFonts w:eastAsia="Courier New"/>
          <w:b/>
          <w:color w:val="000000"/>
          <w:szCs w:val="22"/>
          <w:lang w:val="hu-HU" w:bidi="hu-HU"/>
        </w:rPr>
        <w:t>100, 250 ml-s zsákok</w:t>
      </w:r>
      <w:r>
        <w:rPr>
          <w:rFonts w:eastAsia="Courier New"/>
          <w:color w:val="000000"/>
          <w:szCs w:val="22"/>
          <w:lang w:val="hu-HU" w:bidi="hu-HU"/>
        </w:rPr>
        <w:t xml:space="preserve">: </w:t>
      </w:r>
    </w:p>
    <w:p w14:paraId="2DFF7E2D" w14:textId="77B6FF55" w:rsidR="0007033E" w:rsidRPr="0007033E" w:rsidRDefault="0007033E" w:rsidP="0007033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ourier New"/>
          <w:color w:val="000000"/>
          <w:szCs w:val="22"/>
          <w:lang w:val="en-US" w:bidi="en-US"/>
        </w:rPr>
      </w:pPr>
      <w:r w:rsidRPr="0007033E">
        <w:rPr>
          <w:rFonts w:eastAsia="Courier New"/>
          <w:color w:val="000000"/>
          <w:szCs w:val="22"/>
          <w:lang w:val="hu-HU" w:bidi="hu-HU"/>
        </w:rPr>
        <w:t xml:space="preserve">Ez a gyógyszer </w:t>
      </w:r>
      <w:proofErr w:type="gramStart"/>
      <w:r w:rsidRPr="0007033E">
        <w:rPr>
          <w:rFonts w:eastAsia="Courier New"/>
          <w:color w:val="000000"/>
          <w:szCs w:val="22"/>
          <w:lang w:val="hu-HU" w:bidi="hu-HU"/>
        </w:rPr>
        <w:t>kevesebb</w:t>
      </w:r>
      <w:proofErr w:type="gramEnd"/>
      <w:r w:rsidRPr="0007033E">
        <w:rPr>
          <w:rFonts w:eastAsia="Courier New"/>
          <w:color w:val="000000"/>
          <w:szCs w:val="22"/>
          <w:lang w:val="hu-HU" w:bidi="hu-HU"/>
        </w:rPr>
        <w:t xml:space="preserve"> mint 23 mg nátriumot tartalmaz infúziós zsákonként, azaz gyakorlatilag „nátriummentes”.</w:t>
      </w:r>
    </w:p>
    <w:p w14:paraId="3D9858CB" w14:textId="77777777" w:rsidR="0007033E" w:rsidRPr="0007033E" w:rsidRDefault="0007033E" w:rsidP="0007033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ourier New"/>
          <w:color w:val="000000"/>
          <w:szCs w:val="22"/>
          <w:lang w:val="en-US" w:bidi="en-US"/>
        </w:rPr>
      </w:pPr>
    </w:p>
    <w:p w14:paraId="6C43F1A2" w14:textId="4F210324" w:rsidR="0007033E" w:rsidRPr="00BD7253" w:rsidRDefault="0007033E" w:rsidP="00BD725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Verdana"/>
          <w:i/>
          <w:color w:val="000000"/>
          <w:szCs w:val="22"/>
          <w:lang w:val="en-US" w:bidi="en-US"/>
        </w:rPr>
      </w:pPr>
      <w:r>
        <w:rPr>
          <w:rFonts w:eastAsia="Verdana"/>
          <w:b/>
          <w:color w:val="000000"/>
          <w:szCs w:val="22"/>
          <w:lang w:val="hu-HU" w:bidi="hu-HU"/>
        </w:rPr>
        <w:t>500 ml-es zsák:</w:t>
      </w:r>
      <w:r>
        <w:rPr>
          <w:rFonts w:eastAsia="Verdana"/>
          <w:color w:val="000000"/>
          <w:szCs w:val="22"/>
          <w:lang w:val="hu-HU" w:bidi="hu-HU"/>
        </w:rPr>
        <w:t xml:space="preserve"> </w:t>
      </w:r>
    </w:p>
    <w:p w14:paraId="30A5EDA9" w14:textId="4F2B0900" w:rsidR="00FB2BEE" w:rsidRPr="009D34EE" w:rsidRDefault="009736CF" w:rsidP="009736CF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Ez a gyógyszer zsákonként 25,1 mg nátriumot tartalmaz, amely a WHO</w:t>
      </w:r>
      <w:r w:rsidR="00AE0072">
        <w:rPr>
          <w:i w:val="0"/>
          <w:color w:val="auto"/>
          <w:szCs w:val="22"/>
          <w:lang w:val="hu-HU" w:bidi="hu-HU"/>
        </w:rPr>
        <w:t xml:space="preserve"> </w:t>
      </w:r>
      <w:r w:rsidRPr="009D34EE">
        <w:rPr>
          <w:i w:val="0"/>
          <w:color w:val="auto"/>
          <w:szCs w:val="22"/>
          <w:lang w:val="hu-HU" w:bidi="hu-HU"/>
        </w:rPr>
        <w:t>által javasolt maximális napi 2</w:t>
      </w:r>
      <w:r w:rsidR="00AE0072">
        <w:rPr>
          <w:i w:val="0"/>
          <w:color w:val="auto"/>
          <w:szCs w:val="22"/>
          <w:lang w:val="hu-HU" w:bidi="hu-HU"/>
        </w:rPr>
        <w:t> </w:t>
      </w:r>
      <w:r w:rsidRPr="009D34EE">
        <w:rPr>
          <w:i w:val="0"/>
          <w:color w:val="auto"/>
          <w:szCs w:val="22"/>
          <w:lang w:val="hu-HU" w:bidi="hu-HU"/>
        </w:rPr>
        <w:t xml:space="preserve">g nátriumbevitel 1,3%-a. </w:t>
      </w:r>
    </w:p>
    <w:p w14:paraId="3FAD92BC" w14:textId="77777777" w:rsidR="00535EF1" w:rsidRDefault="00535EF1" w:rsidP="00B2604A">
      <w:pPr>
        <w:pStyle w:val="Szvegtrzs"/>
        <w:rPr>
          <w:i w:val="0"/>
          <w:iCs/>
          <w:color w:val="auto"/>
          <w:szCs w:val="22"/>
        </w:rPr>
      </w:pPr>
    </w:p>
    <w:p w14:paraId="1705F0E5" w14:textId="77777777" w:rsidR="00535EF1" w:rsidRDefault="00535EF1" w:rsidP="00535EF1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Egyéb gyógyszerek vagy hatóanyagok hozzáadását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lipidemulzióhoz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általában kerülni kell, hacsak nem ismert azok kompatibilitása (lásd 6.2 és 6.6 pont).</w:t>
      </w:r>
    </w:p>
    <w:p w14:paraId="5B0F9877" w14:textId="73A0BB59" w:rsidR="00EA370D" w:rsidRPr="009D34EE" w:rsidRDefault="00EA370D" w:rsidP="009A3F59">
      <w:pPr>
        <w:pStyle w:val="Szvegtrzs"/>
        <w:ind w:right="74"/>
        <w:rPr>
          <w:i w:val="0"/>
          <w:iCs/>
          <w:color w:val="auto"/>
          <w:szCs w:val="22"/>
        </w:rPr>
      </w:pPr>
    </w:p>
    <w:p w14:paraId="25E9385B" w14:textId="77777777" w:rsidR="00EA370D" w:rsidRPr="009D34EE" w:rsidRDefault="00EA2AF3" w:rsidP="00072A47">
      <w:pPr>
        <w:pStyle w:val="Cmsor2"/>
        <w:rPr>
          <w:szCs w:val="22"/>
        </w:rPr>
      </w:pPr>
      <w:bookmarkStart w:id="10" w:name="4.5_Interaction_with_other_medicinal_pro"/>
      <w:bookmarkEnd w:id="10"/>
      <w:r w:rsidRPr="009D34EE">
        <w:rPr>
          <w:szCs w:val="22"/>
          <w:lang w:val="hu-HU" w:bidi="hu-HU"/>
        </w:rPr>
        <w:t>Gyógyszerkölcsönhatások és egyéb interakciók</w:t>
      </w:r>
    </w:p>
    <w:p w14:paraId="7F23CB9A" w14:textId="410527D5" w:rsidR="00EA370D" w:rsidRPr="009D34EE" w:rsidRDefault="00EA2AF3" w:rsidP="00062171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A klinikai dózisokban adott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heparin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átmenetileg megnöveli a keringésbe jutott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lipoprotein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lipáz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mennyiségét. Ez kezdetben fokozott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lipolysist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okozhat a plazmában, amit a triglicerid</w:t>
      </w:r>
      <w:r w:rsidR="00AE0072">
        <w:rPr>
          <w:i w:val="0"/>
          <w:color w:val="auto"/>
          <w:szCs w:val="22"/>
          <w:lang w:val="hu-HU" w:bidi="hu-HU"/>
        </w:rPr>
        <w:t>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clearance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átmeneti csökkenése követ.</w:t>
      </w:r>
    </w:p>
    <w:p w14:paraId="1B46DD44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78D4FAB0" w14:textId="11092191" w:rsidR="00EA370D" w:rsidRPr="002C373B" w:rsidRDefault="00EA2AF3" w:rsidP="00072A47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A szójaolaj eredendően tartalmaz K</w:t>
      </w:r>
      <w:r w:rsidRPr="009D34EE">
        <w:rPr>
          <w:i w:val="0"/>
          <w:color w:val="auto"/>
          <w:szCs w:val="22"/>
          <w:vertAlign w:val="subscript"/>
          <w:lang w:val="hu-HU" w:bidi="hu-HU"/>
        </w:rPr>
        <w:t>1</w:t>
      </w:r>
      <w:r w:rsidRPr="009D34EE">
        <w:rPr>
          <w:i w:val="0"/>
          <w:color w:val="auto"/>
          <w:szCs w:val="22"/>
          <w:lang w:val="hu-HU" w:bidi="hu-HU"/>
        </w:rPr>
        <w:t xml:space="preserve"> vitamint.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infúzióban a koncentrációja azonban olyan alacsony, hogy nem valószínű, hogy jelentősen befolyásolja az alvadási folyamatot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kumarinszármazékokkal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kezelt betegek</w:t>
      </w:r>
      <w:r w:rsidR="00AE0072">
        <w:rPr>
          <w:i w:val="0"/>
          <w:color w:val="auto"/>
          <w:szCs w:val="22"/>
          <w:lang w:val="hu-HU" w:bidi="hu-HU"/>
        </w:rPr>
        <w:t>nél</w:t>
      </w:r>
      <w:r w:rsidRPr="009D34EE">
        <w:rPr>
          <w:i w:val="0"/>
          <w:color w:val="auto"/>
          <w:szCs w:val="22"/>
          <w:lang w:val="hu-HU" w:bidi="hu-HU"/>
        </w:rPr>
        <w:t>.</w:t>
      </w:r>
    </w:p>
    <w:p w14:paraId="1DA22A80" w14:textId="77777777" w:rsidR="00EA370D" w:rsidRPr="009D34EE" w:rsidRDefault="00EA2AF3" w:rsidP="00072A47">
      <w:pPr>
        <w:pStyle w:val="Cmsor2"/>
        <w:rPr>
          <w:szCs w:val="22"/>
        </w:rPr>
      </w:pPr>
      <w:bookmarkStart w:id="11" w:name="4.6_Fertility,_pregnancy_and_lactation"/>
      <w:bookmarkEnd w:id="11"/>
      <w:r w:rsidRPr="009D34EE">
        <w:rPr>
          <w:szCs w:val="22"/>
          <w:lang w:val="hu-HU" w:bidi="hu-HU"/>
        </w:rPr>
        <w:t>Termékenység, terhesség és szoptatás</w:t>
      </w:r>
    </w:p>
    <w:p w14:paraId="06032E2B" w14:textId="19F98C4A" w:rsidR="00EA370D" w:rsidRPr="002C373B" w:rsidRDefault="00AE0072" w:rsidP="00072A47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>
        <w:rPr>
          <w:i w:val="0"/>
          <w:color w:val="auto"/>
          <w:szCs w:val="22"/>
          <w:lang w:val="hu-HU" w:bidi="hu-HU"/>
        </w:rPr>
        <w:t xml:space="preserve">A </w:t>
      </w:r>
      <w:proofErr w:type="spellStart"/>
      <w:r>
        <w:rPr>
          <w:i w:val="0"/>
          <w:color w:val="auto"/>
          <w:szCs w:val="22"/>
          <w:lang w:val="hu-HU" w:bidi="hu-HU"/>
        </w:rPr>
        <w:t>Ziremilon</w:t>
      </w:r>
      <w:proofErr w:type="spellEnd"/>
      <w:r>
        <w:rPr>
          <w:i w:val="0"/>
          <w:color w:val="auto"/>
          <w:szCs w:val="22"/>
          <w:lang w:val="hu-HU" w:bidi="hu-HU"/>
        </w:rPr>
        <w:t xml:space="preserve"> 200 </w:t>
      </w:r>
      <w:r w:rsidRPr="00AE0072">
        <w:rPr>
          <w:i w:val="0"/>
          <w:color w:val="auto"/>
          <w:szCs w:val="22"/>
          <w:lang w:val="hu-HU" w:bidi="hu-HU"/>
        </w:rPr>
        <w:t xml:space="preserve">mg/ml emulziós infúzió </w:t>
      </w:r>
      <w:r>
        <w:rPr>
          <w:i w:val="0"/>
          <w:color w:val="auto"/>
          <w:szCs w:val="22"/>
          <w:lang w:val="hu-HU" w:bidi="hu-HU"/>
        </w:rPr>
        <w:t>t</w:t>
      </w:r>
      <w:r w:rsidR="00EA2AF3" w:rsidRPr="009D34EE">
        <w:rPr>
          <w:i w:val="0"/>
          <w:color w:val="auto"/>
          <w:szCs w:val="22"/>
          <w:lang w:val="hu-HU" w:bidi="hu-HU"/>
        </w:rPr>
        <w:t>erhes nők</w:t>
      </w:r>
      <w:r>
        <w:rPr>
          <w:i w:val="0"/>
          <w:color w:val="auto"/>
          <w:szCs w:val="22"/>
          <w:lang w:val="hu-HU" w:bidi="hu-HU"/>
        </w:rPr>
        <w:t>nél</w:t>
      </w:r>
      <w:r w:rsidR="00EA2AF3" w:rsidRPr="009D34EE">
        <w:rPr>
          <w:i w:val="0"/>
          <w:color w:val="auto"/>
          <w:szCs w:val="22"/>
          <w:lang w:val="hu-HU" w:bidi="hu-HU"/>
        </w:rPr>
        <w:t xml:space="preserve"> vagy szoptató anyák</w:t>
      </w:r>
      <w:r>
        <w:rPr>
          <w:i w:val="0"/>
          <w:color w:val="auto"/>
          <w:szCs w:val="22"/>
          <w:lang w:val="hu-HU" w:bidi="hu-HU"/>
        </w:rPr>
        <w:t xml:space="preserve">nál </w:t>
      </w:r>
      <w:r w:rsidR="00EA2AF3" w:rsidRPr="009D34EE">
        <w:rPr>
          <w:i w:val="0"/>
          <w:color w:val="auto"/>
          <w:szCs w:val="22"/>
          <w:lang w:val="hu-HU" w:bidi="hu-HU"/>
        </w:rPr>
        <w:t>történő alkalmazás</w:t>
      </w:r>
      <w:r>
        <w:rPr>
          <w:i w:val="0"/>
          <w:color w:val="auto"/>
          <w:szCs w:val="22"/>
          <w:lang w:val="hu-HU" w:bidi="hu-HU"/>
        </w:rPr>
        <w:t>á</w:t>
      </w:r>
      <w:r w:rsidR="00EA2AF3" w:rsidRPr="009D34EE">
        <w:rPr>
          <w:i w:val="0"/>
          <w:color w:val="auto"/>
          <w:szCs w:val="22"/>
          <w:lang w:val="hu-HU" w:bidi="hu-HU"/>
        </w:rPr>
        <w:t>ra nincs adat</w:t>
      </w:r>
      <w:r>
        <w:rPr>
          <w:i w:val="0"/>
          <w:color w:val="auto"/>
          <w:szCs w:val="22"/>
          <w:lang w:val="hu-HU" w:bidi="hu-HU"/>
        </w:rPr>
        <w:t>.</w:t>
      </w:r>
      <w:r w:rsidR="00EA2AF3" w:rsidRPr="009D34EE">
        <w:rPr>
          <w:i w:val="0"/>
          <w:color w:val="auto"/>
          <w:szCs w:val="22"/>
          <w:lang w:val="hu-HU" w:bidi="hu-HU"/>
        </w:rPr>
        <w:t xml:space="preserve"> Állatok</w:t>
      </w:r>
      <w:r w:rsidR="004F325F">
        <w:rPr>
          <w:i w:val="0"/>
          <w:color w:val="auto"/>
          <w:szCs w:val="22"/>
          <w:lang w:val="hu-HU" w:bidi="hu-HU"/>
        </w:rPr>
        <w:t>kal</w:t>
      </w:r>
      <w:r w:rsidR="00EA2AF3" w:rsidRPr="009D34EE">
        <w:rPr>
          <w:i w:val="0"/>
          <w:color w:val="auto"/>
          <w:szCs w:val="22"/>
          <w:lang w:val="hu-HU" w:bidi="hu-HU"/>
        </w:rPr>
        <w:t xml:space="preserve"> nem végeztek reproduktív toxicitási vizsgálatokat. A </w:t>
      </w:r>
      <w:proofErr w:type="spellStart"/>
      <w:r w:rsidR="00EA2AF3"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="00EA2AF3" w:rsidRPr="009D34EE">
        <w:rPr>
          <w:i w:val="0"/>
          <w:color w:val="auto"/>
          <w:szCs w:val="22"/>
          <w:lang w:val="hu-HU" w:bidi="hu-HU"/>
        </w:rPr>
        <w:t xml:space="preserve"> táplálás szükségessé válhat terhesség vagy szoptatás alatt. </w:t>
      </w:r>
      <w:proofErr w:type="spellStart"/>
      <w:r w:rsidR="00EA2AF3" w:rsidRPr="009D34EE">
        <w:rPr>
          <w:i w:val="0"/>
          <w:color w:val="auto"/>
          <w:szCs w:val="22"/>
          <w:lang w:val="hu-HU" w:bidi="hu-HU"/>
        </w:rPr>
        <w:t>Lipidemulzió</w:t>
      </w:r>
      <w:proofErr w:type="spellEnd"/>
      <w:r w:rsidR="00EA2AF3" w:rsidRPr="009D34EE">
        <w:rPr>
          <w:i w:val="0"/>
          <w:color w:val="auto"/>
          <w:szCs w:val="22"/>
          <w:lang w:val="hu-HU" w:bidi="hu-HU"/>
        </w:rPr>
        <w:t xml:space="preserve"> terhes vagy szoptató nőknek csak gondos mérlegelés után adható.</w:t>
      </w:r>
    </w:p>
    <w:p w14:paraId="430ECB83" w14:textId="77777777" w:rsidR="00EA370D" w:rsidRPr="002C373B" w:rsidRDefault="00EA2AF3" w:rsidP="00072A47">
      <w:pPr>
        <w:pStyle w:val="Cmsor2"/>
        <w:rPr>
          <w:szCs w:val="22"/>
          <w:lang w:val="hu-HU"/>
        </w:rPr>
      </w:pPr>
      <w:bookmarkStart w:id="12" w:name="4.7_Effects_on_ability_to_drive_and_use_"/>
      <w:bookmarkEnd w:id="12"/>
      <w:r w:rsidRPr="009D34EE">
        <w:rPr>
          <w:szCs w:val="22"/>
          <w:lang w:val="hu-HU" w:bidi="hu-HU"/>
        </w:rPr>
        <w:t>A készítmény hatásai a gépjárművezetéshez és a gépek kezeléséhez szükséges képességekre</w:t>
      </w:r>
    </w:p>
    <w:p w14:paraId="4FB0FF3F" w14:textId="108D4BAE" w:rsidR="00EA370D" w:rsidRPr="009D34EE" w:rsidRDefault="00EA2AF3" w:rsidP="00072A47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Nem releváns.</w:t>
      </w:r>
    </w:p>
    <w:p w14:paraId="543CE0E9" w14:textId="77777777" w:rsidR="00EA370D" w:rsidRPr="009D34EE" w:rsidRDefault="00EA2AF3" w:rsidP="009333D9">
      <w:pPr>
        <w:pStyle w:val="Cmsor2"/>
        <w:keepLines/>
        <w:rPr>
          <w:szCs w:val="22"/>
        </w:rPr>
      </w:pPr>
      <w:bookmarkStart w:id="13" w:name="4.8_Undesirable_effects"/>
      <w:bookmarkEnd w:id="13"/>
      <w:r w:rsidRPr="009D34EE">
        <w:rPr>
          <w:szCs w:val="22"/>
          <w:lang w:val="hu-HU" w:bidi="hu-HU"/>
        </w:rPr>
        <w:t>Nemkívánatos hatások, mellékhatások</w:t>
      </w:r>
    </w:p>
    <w:p w14:paraId="3E8D405B" w14:textId="77777777" w:rsidR="00EA370D" w:rsidRPr="009D34EE" w:rsidRDefault="00EA2AF3" w:rsidP="009333D9">
      <w:pPr>
        <w:pStyle w:val="Szvegtrzs"/>
        <w:keepNext/>
        <w:keepLines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Zsíremulziók alkalmazása során észlelt mellékhatások:</w:t>
      </w:r>
    </w:p>
    <w:p w14:paraId="0E0E0ABD" w14:textId="77777777" w:rsidR="0068294D" w:rsidRPr="009D34EE" w:rsidRDefault="0068294D" w:rsidP="009333D9">
      <w:pPr>
        <w:pStyle w:val="Szvegtrzs"/>
        <w:keepNext/>
        <w:keepLines/>
        <w:rPr>
          <w:i w:val="0"/>
          <w:iCs/>
          <w:color w:val="auto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2"/>
        <w:gridCol w:w="1813"/>
        <w:gridCol w:w="1813"/>
        <w:gridCol w:w="1813"/>
        <w:gridCol w:w="1813"/>
      </w:tblGrid>
      <w:tr w:rsidR="0068294D" w:rsidRPr="009D34EE" w14:paraId="29745B57" w14:textId="77777777" w:rsidTr="0068294D">
        <w:trPr>
          <w:trHeight w:val="505"/>
          <w:tblHeader/>
        </w:trPr>
        <w:tc>
          <w:tcPr>
            <w:tcW w:w="1000" w:type="pct"/>
          </w:tcPr>
          <w:p w14:paraId="28F1BA6D" w14:textId="77777777" w:rsidR="0068294D" w:rsidRPr="009D34EE" w:rsidRDefault="0068294D" w:rsidP="009333D9">
            <w:pPr>
              <w:pStyle w:val="TableParagraph"/>
              <w:keepNext/>
              <w:keepLines/>
              <w:spacing w:line="250" w:lineRule="atLeast"/>
              <w:ind w:left="70"/>
              <w:rPr>
                <w:i/>
                <w:iCs/>
                <w:szCs w:val="22"/>
              </w:rPr>
            </w:pPr>
          </w:p>
        </w:tc>
        <w:tc>
          <w:tcPr>
            <w:tcW w:w="1000" w:type="pct"/>
          </w:tcPr>
          <w:p w14:paraId="3C1E358F" w14:textId="77777777" w:rsidR="0068294D" w:rsidRPr="009D34EE" w:rsidRDefault="0068294D" w:rsidP="009333D9">
            <w:pPr>
              <w:pStyle w:val="TableParagraph"/>
              <w:keepNext/>
              <w:keepLines/>
              <w:ind w:left="103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 xml:space="preserve">Gyakori </w:t>
            </w:r>
          </w:p>
          <w:p w14:paraId="5C89C076" w14:textId="1587A4DD" w:rsidR="0068294D" w:rsidRPr="009D34EE" w:rsidRDefault="0068294D" w:rsidP="009333D9">
            <w:pPr>
              <w:pStyle w:val="TableParagraph"/>
              <w:keepNext/>
              <w:keepLines/>
              <w:ind w:left="103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 xml:space="preserve">(≥1/100 </w:t>
            </w:r>
            <w:r w:rsidR="004F325F">
              <w:rPr>
                <w:i/>
                <w:szCs w:val="22"/>
                <w:lang w:val="hu-HU" w:bidi="hu-HU"/>
              </w:rPr>
              <w:t>‒</w:t>
            </w:r>
            <w:r w:rsidRPr="009D34EE">
              <w:rPr>
                <w:i/>
                <w:szCs w:val="22"/>
                <w:lang w:val="hu-HU" w:bidi="hu-HU"/>
              </w:rPr>
              <w:t xml:space="preserve"> &lt;1/10)</w:t>
            </w:r>
          </w:p>
        </w:tc>
        <w:tc>
          <w:tcPr>
            <w:tcW w:w="1000" w:type="pct"/>
          </w:tcPr>
          <w:p w14:paraId="74686149" w14:textId="77777777" w:rsidR="0068294D" w:rsidRPr="009D34EE" w:rsidRDefault="0068294D" w:rsidP="009333D9">
            <w:pPr>
              <w:pStyle w:val="TableParagraph"/>
              <w:keepNext/>
              <w:keepLines/>
              <w:ind w:left="57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Nem gyakori</w:t>
            </w:r>
          </w:p>
          <w:p w14:paraId="63692CD2" w14:textId="0FCC6BAF" w:rsidR="0068294D" w:rsidRPr="009D34EE" w:rsidRDefault="0068294D" w:rsidP="009333D9">
            <w:pPr>
              <w:pStyle w:val="TableParagraph"/>
              <w:keepNext/>
              <w:keepLines/>
              <w:ind w:left="57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 xml:space="preserve">(≥1/1000 </w:t>
            </w:r>
            <w:r w:rsidR="004F325F">
              <w:rPr>
                <w:i/>
                <w:szCs w:val="22"/>
                <w:lang w:val="hu-HU" w:bidi="hu-HU"/>
              </w:rPr>
              <w:t>‒</w:t>
            </w:r>
          </w:p>
          <w:p w14:paraId="2BA9590B" w14:textId="54E96581" w:rsidR="0068294D" w:rsidRPr="009D34EE" w:rsidRDefault="0068294D" w:rsidP="009333D9">
            <w:pPr>
              <w:pStyle w:val="TableParagraph"/>
              <w:keepNext/>
              <w:keepLines/>
              <w:ind w:left="57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&lt;1/100)</w:t>
            </w:r>
          </w:p>
        </w:tc>
        <w:tc>
          <w:tcPr>
            <w:tcW w:w="1000" w:type="pct"/>
          </w:tcPr>
          <w:p w14:paraId="28189C1C" w14:textId="77777777" w:rsidR="0068294D" w:rsidRPr="009D34EE" w:rsidRDefault="0068294D" w:rsidP="009333D9">
            <w:pPr>
              <w:pStyle w:val="TableParagraph"/>
              <w:keepNext/>
              <w:keepLines/>
              <w:ind w:left="150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Ritka</w:t>
            </w:r>
          </w:p>
          <w:p w14:paraId="5329A9EC" w14:textId="304BD14C" w:rsidR="0068294D" w:rsidRPr="009D34EE" w:rsidRDefault="0068294D" w:rsidP="009333D9">
            <w:pPr>
              <w:pStyle w:val="TableParagraph"/>
              <w:keepNext/>
              <w:keepLines/>
              <w:ind w:left="150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 xml:space="preserve">(≥1/10 000 </w:t>
            </w:r>
            <w:r w:rsidR="004F325F">
              <w:rPr>
                <w:i/>
                <w:szCs w:val="22"/>
                <w:lang w:val="hu-HU" w:bidi="hu-HU"/>
              </w:rPr>
              <w:t>‒</w:t>
            </w:r>
          </w:p>
          <w:p w14:paraId="1AC9BD3C" w14:textId="0068B514" w:rsidR="0068294D" w:rsidRPr="009D34EE" w:rsidRDefault="0068294D" w:rsidP="009333D9">
            <w:pPr>
              <w:pStyle w:val="TableParagraph"/>
              <w:keepNext/>
              <w:keepLines/>
              <w:ind w:left="150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&lt;1/1000)</w:t>
            </w:r>
          </w:p>
        </w:tc>
        <w:tc>
          <w:tcPr>
            <w:tcW w:w="1000" w:type="pct"/>
          </w:tcPr>
          <w:p w14:paraId="3D2C7EBB" w14:textId="77777777" w:rsidR="0068294D" w:rsidRPr="009D34EE" w:rsidRDefault="0068294D" w:rsidP="009333D9">
            <w:pPr>
              <w:pStyle w:val="TableParagraph"/>
              <w:keepNext/>
              <w:keepLines/>
              <w:ind w:left="110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Nagyon ritka</w:t>
            </w:r>
          </w:p>
          <w:p w14:paraId="486D7027" w14:textId="6F06A9D1" w:rsidR="0068294D" w:rsidRPr="009D34EE" w:rsidRDefault="0068294D" w:rsidP="009333D9">
            <w:pPr>
              <w:pStyle w:val="TableParagraph"/>
              <w:keepNext/>
              <w:keepLines/>
              <w:ind w:left="110"/>
              <w:rPr>
                <w:i/>
                <w:iCs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(&lt;1/10 000)</w:t>
            </w:r>
          </w:p>
        </w:tc>
      </w:tr>
      <w:tr w:rsidR="00072A47" w:rsidRPr="009D34EE" w14:paraId="11A78F11" w14:textId="77777777" w:rsidTr="0068294D">
        <w:trPr>
          <w:trHeight w:val="505"/>
        </w:trPr>
        <w:tc>
          <w:tcPr>
            <w:tcW w:w="1000" w:type="pct"/>
          </w:tcPr>
          <w:p w14:paraId="69877A69" w14:textId="4543BC95" w:rsidR="00072A47" w:rsidRPr="009D34EE" w:rsidRDefault="00072A47" w:rsidP="009333D9">
            <w:pPr>
              <w:pStyle w:val="TableParagraph"/>
              <w:keepNext/>
              <w:keepLines/>
              <w:spacing w:line="250" w:lineRule="atLeas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Érbetegségek és tünetek</w:t>
            </w:r>
          </w:p>
        </w:tc>
        <w:tc>
          <w:tcPr>
            <w:tcW w:w="1000" w:type="pct"/>
          </w:tcPr>
          <w:p w14:paraId="0D700A3B" w14:textId="77777777" w:rsidR="00072A47" w:rsidRPr="009D34EE" w:rsidRDefault="00072A47" w:rsidP="009333D9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</w:tcPr>
          <w:p w14:paraId="1E45251F" w14:textId="77777777" w:rsidR="00072A47" w:rsidRPr="009D34EE" w:rsidRDefault="00072A47" w:rsidP="009333D9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</w:tcPr>
          <w:p w14:paraId="5DADC5C4" w14:textId="52A66C68" w:rsidR="00072A47" w:rsidRPr="009D34EE" w:rsidRDefault="00072A47" w:rsidP="009333D9">
            <w:pPr>
              <w:pStyle w:val="TableParagraph"/>
              <w:keepNext/>
              <w:keepLines/>
              <w:ind w:left="150"/>
              <w:rPr>
                <w:szCs w:val="22"/>
              </w:rPr>
            </w:pPr>
            <w:proofErr w:type="spellStart"/>
            <w:r w:rsidRPr="009D34EE">
              <w:rPr>
                <w:szCs w:val="22"/>
                <w:lang w:val="hu-HU" w:bidi="hu-HU"/>
              </w:rPr>
              <w:t>Hypotensio</w:t>
            </w:r>
            <w:proofErr w:type="spellEnd"/>
            <w:r w:rsidRPr="009D34EE">
              <w:rPr>
                <w:szCs w:val="22"/>
                <w:lang w:val="hu-HU" w:bidi="hu-HU"/>
              </w:rPr>
              <w:t xml:space="preserve">, </w:t>
            </w:r>
            <w:proofErr w:type="spellStart"/>
            <w:r w:rsidRPr="009D34EE">
              <w:rPr>
                <w:szCs w:val="22"/>
                <w:lang w:val="hu-HU" w:bidi="hu-HU"/>
              </w:rPr>
              <w:t>hypertensio</w:t>
            </w:r>
            <w:proofErr w:type="spellEnd"/>
          </w:p>
        </w:tc>
        <w:tc>
          <w:tcPr>
            <w:tcW w:w="1000" w:type="pct"/>
          </w:tcPr>
          <w:p w14:paraId="6E88D02F" w14:textId="77777777" w:rsidR="00072A47" w:rsidRPr="009D34EE" w:rsidRDefault="00072A47" w:rsidP="009333D9">
            <w:pPr>
              <w:pStyle w:val="TableParagraph"/>
              <w:keepNext/>
              <w:keepLines/>
              <w:ind w:left="110"/>
              <w:rPr>
                <w:szCs w:val="22"/>
              </w:rPr>
            </w:pPr>
          </w:p>
        </w:tc>
      </w:tr>
      <w:tr w:rsidR="00072A47" w:rsidRPr="009D34EE" w14:paraId="3D1CF144" w14:textId="77777777" w:rsidTr="0068294D">
        <w:trPr>
          <w:trHeight w:val="505"/>
        </w:trPr>
        <w:tc>
          <w:tcPr>
            <w:tcW w:w="1000" w:type="pct"/>
          </w:tcPr>
          <w:p w14:paraId="11885AAD" w14:textId="43C9BDAC" w:rsidR="00072A47" w:rsidRPr="009D34EE" w:rsidRDefault="00072A47" w:rsidP="0068294D">
            <w:pPr>
              <w:pStyle w:val="TableParagraph"/>
              <w:spacing w:line="250" w:lineRule="atLeas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 xml:space="preserve">Légzőrendszeri, mellkasi és </w:t>
            </w:r>
            <w:proofErr w:type="spellStart"/>
            <w:r w:rsidRPr="009D34EE">
              <w:rPr>
                <w:i/>
                <w:szCs w:val="22"/>
                <w:lang w:val="hu-HU" w:bidi="hu-HU"/>
              </w:rPr>
              <w:t>mediastinalis</w:t>
            </w:r>
            <w:proofErr w:type="spellEnd"/>
            <w:r w:rsidRPr="009D34EE">
              <w:rPr>
                <w:i/>
                <w:szCs w:val="22"/>
                <w:lang w:val="hu-HU" w:bidi="hu-HU"/>
              </w:rPr>
              <w:t xml:space="preserve"> betegségek és tünetek</w:t>
            </w:r>
          </w:p>
        </w:tc>
        <w:tc>
          <w:tcPr>
            <w:tcW w:w="1000" w:type="pct"/>
          </w:tcPr>
          <w:p w14:paraId="370B4AC2" w14:textId="77777777" w:rsidR="00072A47" w:rsidRPr="009D34EE" w:rsidRDefault="00072A47" w:rsidP="0068294D">
            <w:pPr>
              <w:pStyle w:val="TableParagraph"/>
              <w:ind w:left="103"/>
              <w:rPr>
                <w:szCs w:val="22"/>
              </w:rPr>
            </w:pPr>
          </w:p>
        </w:tc>
        <w:tc>
          <w:tcPr>
            <w:tcW w:w="1000" w:type="pct"/>
          </w:tcPr>
          <w:p w14:paraId="473FB8E3" w14:textId="77777777" w:rsidR="00072A47" w:rsidRPr="009D34EE" w:rsidRDefault="00072A47" w:rsidP="0068294D">
            <w:pPr>
              <w:pStyle w:val="TableParagraph"/>
              <w:ind w:left="57"/>
              <w:rPr>
                <w:szCs w:val="22"/>
              </w:rPr>
            </w:pPr>
          </w:p>
        </w:tc>
        <w:tc>
          <w:tcPr>
            <w:tcW w:w="1000" w:type="pct"/>
          </w:tcPr>
          <w:p w14:paraId="72A4B015" w14:textId="02D58A63" w:rsidR="00072A47" w:rsidRPr="009D34EE" w:rsidRDefault="00072A47" w:rsidP="0068294D">
            <w:pPr>
              <w:pStyle w:val="TableParagraph"/>
              <w:ind w:left="150"/>
              <w:rPr>
                <w:szCs w:val="22"/>
              </w:rPr>
            </w:pPr>
            <w:proofErr w:type="spellStart"/>
            <w:r w:rsidRPr="009D34EE">
              <w:rPr>
                <w:szCs w:val="22"/>
                <w:lang w:val="hu-HU" w:bidi="hu-HU"/>
              </w:rPr>
              <w:t>Dyspnoe</w:t>
            </w:r>
            <w:proofErr w:type="spellEnd"/>
          </w:p>
        </w:tc>
        <w:tc>
          <w:tcPr>
            <w:tcW w:w="1000" w:type="pct"/>
          </w:tcPr>
          <w:p w14:paraId="33040ABE" w14:textId="77777777" w:rsidR="00072A47" w:rsidRPr="009D34EE" w:rsidRDefault="00072A47" w:rsidP="0068294D">
            <w:pPr>
              <w:pStyle w:val="TableParagraph"/>
              <w:ind w:left="110"/>
              <w:rPr>
                <w:szCs w:val="22"/>
              </w:rPr>
            </w:pPr>
          </w:p>
        </w:tc>
      </w:tr>
      <w:tr w:rsidR="00072A47" w:rsidRPr="009D34EE" w14:paraId="258B7505" w14:textId="77777777" w:rsidTr="0068294D">
        <w:trPr>
          <w:trHeight w:val="505"/>
        </w:trPr>
        <w:tc>
          <w:tcPr>
            <w:tcW w:w="1000" w:type="pct"/>
          </w:tcPr>
          <w:p w14:paraId="73841C50" w14:textId="77777777" w:rsidR="00072A47" w:rsidRPr="009D34EE" w:rsidRDefault="00072A47" w:rsidP="0068294D">
            <w:pPr>
              <w:pStyle w:val="TableParagraph"/>
              <w:spacing w:line="250" w:lineRule="atLeas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Emésztőrendszeri betegségek és tünetek</w:t>
            </w:r>
          </w:p>
        </w:tc>
        <w:tc>
          <w:tcPr>
            <w:tcW w:w="1000" w:type="pct"/>
          </w:tcPr>
          <w:p w14:paraId="2E3F1F9A" w14:textId="77777777" w:rsidR="00072A47" w:rsidRPr="009D34EE" w:rsidRDefault="00072A47" w:rsidP="0068294D">
            <w:pPr>
              <w:pStyle w:val="TableParagraph"/>
              <w:ind w:left="103"/>
              <w:rPr>
                <w:szCs w:val="22"/>
              </w:rPr>
            </w:pPr>
          </w:p>
        </w:tc>
        <w:tc>
          <w:tcPr>
            <w:tcW w:w="1000" w:type="pct"/>
          </w:tcPr>
          <w:p w14:paraId="46AC1835" w14:textId="77777777" w:rsidR="00072A47" w:rsidRPr="009D34EE" w:rsidRDefault="00072A47" w:rsidP="0068294D">
            <w:pPr>
              <w:pStyle w:val="TableParagraph"/>
              <w:spacing w:line="250" w:lineRule="atLeast"/>
              <w:ind w:left="57" w:right="239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Étvágytalanság, hányinger, hányás</w:t>
            </w:r>
          </w:p>
        </w:tc>
        <w:tc>
          <w:tcPr>
            <w:tcW w:w="1000" w:type="pct"/>
          </w:tcPr>
          <w:p w14:paraId="53298B1C" w14:textId="77777777" w:rsidR="00072A47" w:rsidRPr="009D34EE" w:rsidRDefault="00072A47" w:rsidP="0068294D">
            <w:pPr>
              <w:pStyle w:val="TableParagraph"/>
              <w:ind w:left="150"/>
              <w:rPr>
                <w:szCs w:val="22"/>
              </w:rPr>
            </w:pPr>
          </w:p>
        </w:tc>
        <w:tc>
          <w:tcPr>
            <w:tcW w:w="1000" w:type="pct"/>
          </w:tcPr>
          <w:p w14:paraId="7BCA938D" w14:textId="77777777" w:rsidR="00072A47" w:rsidRPr="009D34EE" w:rsidRDefault="00072A47" w:rsidP="0068294D">
            <w:pPr>
              <w:pStyle w:val="TableParagraph"/>
              <w:ind w:left="110"/>
              <w:rPr>
                <w:szCs w:val="22"/>
              </w:rPr>
            </w:pPr>
          </w:p>
        </w:tc>
      </w:tr>
      <w:tr w:rsidR="00072A47" w:rsidRPr="009D34EE" w14:paraId="7287234A" w14:textId="77777777" w:rsidTr="0068294D">
        <w:trPr>
          <w:trHeight w:val="758"/>
        </w:trPr>
        <w:tc>
          <w:tcPr>
            <w:tcW w:w="1000" w:type="pct"/>
          </w:tcPr>
          <w:p w14:paraId="721510C3" w14:textId="77777777" w:rsidR="00072A47" w:rsidRPr="009D34EE" w:rsidRDefault="00072A47" w:rsidP="0068294D">
            <w:pPr>
              <w:pStyle w:val="TableParagraph"/>
              <w:spacing w:line="250" w:lineRule="atLeas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A nemi szervekkel és az emlőkkel kapcsolatos betegségek és tünetek</w:t>
            </w:r>
          </w:p>
        </w:tc>
        <w:tc>
          <w:tcPr>
            <w:tcW w:w="1000" w:type="pct"/>
          </w:tcPr>
          <w:p w14:paraId="2D3101C7" w14:textId="77777777" w:rsidR="00072A47" w:rsidRPr="009D34EE" w:rsidRDefault="00072A47" w:rsidP="0068294D">
            <w:pPr>
              <w:pStyle w:val="TableParagraph"/>
              <w:ind w:left="103"/>
              <w:rPr>
                <w:szCs w:val="22"/>
              </w:rPr>
            </w:pPr>
          </w:p>
        </w:tc>
        <w:tc>
          <w:tcPr>
            <w:tcW w:w="1000" w:type="pct"/>
          </w:tcPr>
          <w:p w14:paraId="4C1DE95D" w14:textId="77777777" w:rsidR="00072A47" w:rsidRPr="009D34EE" w:rsidRDefault="00072A47" w:rsidP="0068294D">
            <w:pPr>
              <w:pStyle w:val="TableParagraph"/>
              <w:ind w:left="57"/>
              <w:rPr>
                <w:szCs w:val="22"/>
              </w:rPr>
            </w:pPr>
          </w:p>
        </w:tc>
        <w:tc>
          <w:tcPr>
            <w:tcW w:w="1000" w:type="pct"/>
          </w:tcPr>
          <w:p w14:paraId="328E65DC" w14:textId="77777777" w:rsidR="00072A47" w:rsidRPr="009D34EE" w:rsidRDefault="00072A47" w:rsidP="0068294D">
            <w:pPr>
              <w:pStyle w:val="TableParagraph"/>
              <w:ind w:left="150"/>
              <w:rPr>
                <w:szCs w:val="22"/>
              </w:rPr>
            </w:pPr>
          </w:p>
        </w:tc>
        <w:tc>
          <w:tcPr>
            <w:tcW w:w="1000" w:type="pct"/>
          </w:tcPr>
          <w:p w14:paraId="1BE670EE" w14:textId="77777777" w:rsidR="00072A47" w:rsidRPr="009D34EE" w:rsidRDefault="00072A47" w:rsidP="0068294D">
            <w:pPr>
              <w:pStyle w:val="TableParagraph"/>
              <w:ind w:left="110"/>
              <w:rPr>
                <w:szCs w:val="22"/>
              </w:rPr>
            </w:pPr>
            <w:proofErr w:type="spellStart"/>
            <w:r w:rsidRPr="009D34EE">
              <w:rPr>
                <w:szCs w:val="22"/>
                <w:lang w:val="hu-HU" w:bidi="hu-HU"/>
              </w:rPr>
              <w:t>Priapismus</w:t>
            </w:r>
            <w:proofErr w:type="spellEnd"/>
          </w:p>
        </w:tc>
      </w:tr>
      <w:tr w:rsidR="00072A47" w:rsidRPr="009D34EE" w14:paraId="20C40805" w14:textId="77777777" w:rsidTr="0068294D">
        <w:trPr>
          <w:trHeight w:val="252"/>
        </w:trPr>
        <w:tc>
          <w:tcPr>
            <w:tcW w:w="1000" w:type="pct"/>
            <w:tcBorders>
              <w:bottom w:val="nil"/>
            </w:tcBorders>
          </w:tcPr>
          <w:p w14:paraId="4561BD00" w14:textId="77777777" w:rsidR="00072A47" w:rsidRPr="009D34EE" w:rsidRDefault="00072A47" w:rsidP="0068294D">
            <w:pPr>
              <w:pStyle w:val="TableParagraph"/>
              <w:keepNext/>
              <w:keepLines/>
              <w:spacing w:line="233" w:lineRule="exac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Általános tünetek,</w:t>
            </w:r>
          </w:p>
        </w:tc>
        <w:tc>
          <w:tcPr>
            <w:tcW w:w="1000" w:type="pct"/>
            <w:tcBorders>
              <w:bottom w:val="nil"/>
            </w:tcBorders>
          </w:tcPr>
          <w:p w14:paraId="519C9139" w14:textId="77777777" w:rsidR="00072A47" w:rsidRPr="009D34EE" w:rsidRDefault="00072A47" w:rsidP="0068294D">
            <w:pPr>
              <w:pStyle w:val="TableParagraph"/>
              <w:keepNext/>
              <w:keepLines/>
              <w:spacing w:line="233" w:lineRule="exact"/>
              <w:ind w:left="103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A testhőmérséklet</w:t>
            </w:r>
          </w:p>
        </w:tc>
        <w:tc>
          <w:tcPr>
            <w:tcW w:w="1000" w:type="pct"/>
            <w:tcBorders>
              <w:bottom w:val="nil"/>
            </w:tcBorders>
          </w:tcPr>
          <w:p w14:paraId="7E7C2AF1" w14:textId="77777777" w:rsidR="00072A47" w:rsidRPr="009D34EE" w:rsidRDefault="00072A47" w:rsidP="0068294D">
            <w:pPr>
              <w:pStyle w:val="TableParagraph"/>
              <w:keepNext/>
              <w:keepLines/>
              <w:spacing w:line="233" w:lineRule="exact"/>
              <w:ind w:left="57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Hidegrázás</w:t>
            </w:r>
          </w:p>
        </w:tc>
        <w:tc>
          <w:tcPr>
            <w:tcW w:w="1000" w:type="pct"/>
            <w:tcBorders>
              <w:bottom w:val="nil"/>
            </w:tcBorders>
          </w:tcPr>
          <w:p w14:paraId="7C886DB0" w14:textId="77777777" w:rsidR="00072A47" w:rsidRPr="009D34EE" w:rsidRDefault="00072A47" w:rsidP="0068294D">
            <w:pPr>
              <w:pStyle w:val="TableParagraph"/>
              <w:keepNext/>
              <w:keepLines/>
              <w:spacing w:line="23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Túlérzékenységi</w:t>
            </w:r>
          </w:p>
        </w:tc>
        <w:tc>
          <w:tcPr>
            <w:tcW w:w="1000" w:type="pct"/>
            <w:vMerge w:val="restart"/>
          </w:tcPr>
          <w:p w14:paraId="18E4E8CF" w14:textId="77777777" w:rsidR="00072A47" w:rsidRPr="009D34EE" w:rsidRDefault="00072A47" w:rsidP="0068294D">
            <w:pPr>
              <w:pStyle w:val="TableParagraph"/>
              <w:ind w:left="110"/>
              <w:rPr>
                <w:szCs w:val="22"/>
              </w:rPr>
            </w:pPr>
          </w:p>
        </w:tc>
      </w:tr>
      <w:tr w:rsidR="00072A47" w:rsidRPr="009D34EE" w14:paraId="73563846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1B7471D9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az alkalmazás helyén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5D4056FD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03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enyhe emelkedése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08561ADB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6A50E918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reakciók (pl.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3D0B3DFF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4AD64535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4DB9D110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70"/>
              <w:rPr>
                <w:i/>
                <w:szCs w:val="22"/>
              </w:rPr>
            </w:pPr>
            <w:r w:rsidRPr="009D34EE">
              <w:rPr>
                <w:i/>
                <w:szCs w:val="22"/>
                <w:lang w:val="hu-HU" w:bidi="hu-HU"/>
              </w:rPr>
              <w:t>fellépő reakciók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6C96218F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5692677B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998AF54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proofErr w:type="spellStart"/>
            <w:r w:rsidRPr="009D34EE">
              <w:rPr>
                <w:szCs w:val="22"/>
                <w:lang w:val="hu-HU" w:bidi="hu-HU"/>
              </w:rPr>
              <w:t>anafilaxiás</w:t>
            </w:r>
            <w:proofErr w:type="spellEnd"/>
            <w:r w:rsidRPr="009D34EE">
              <w:rPr>
                <w:szCs w:val="22"/>
                <w:lang w:val="hu-HU" w:bidi="hu-HU"/>
              </w:rPr>
              <w:t xml:space="preserve"> vagy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018AF499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42379884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1929E1DE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76CAB7E5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59FDB983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75C2B106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proofErr w:type="spellStart"/>
            <w:r w:rsidRPr="009D34EE">
              <w:rPr>
                <w:szCs w:val="22"/>
                <w:lang w:val="hu-HU" w:bidi="hu-HU"/>
              </w:rPr>
              <w:t>anaphylactoid</w:t>
            </w:r>
            <w:proofErr w:type="spellEnd"/>
          </w:p>
        </w:tc>
        <w:tc>
          <w:tcPr>
            <w:tcW w:w="1000" w:type="pct"/>
            <w:vMerge/>
            <w:tcBorders>
              <w:top w:val="nil"/>
            </w:tcBorders>
          </w:tcPr>
          <w:p w14:paraId="490E3C99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23AA182B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69E2DF1C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3F96293C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7EB8CA7E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123D52F7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reakciók, bőrkiütés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55A485B3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537AC024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4F6DF1ED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7E6F5CD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0270981C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34882D75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proofErr w:type="spellStart"/>
            <w:r w:rsidRPr="009D34EE">
              <w:rPr>
                <w:szCs w:val="22"/>
                <w:lang w:val="hu-HU" w:bidi="hu-HU"/>
              </w:rPr>
              <w:t>urticaria</w:t>
            </w:r>
            <w:proofErr w:type="spellEnd"/>
            <w:r w:rsidRPr="009D34EE">
              <w:rPr>
                <w:szCs w:val="22"/>
                <w:lang w:val="hu-HU" w:bidi="hu-HU"/>
              </w:rPr>
              <w:t>,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6744BFB0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67D350BB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272A12ED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1424CC84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62C6A331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796F7453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kivörösödés, fejfájás),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43CE9913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592F9356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30CD062D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472C9EF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02B9AAA6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27D44719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meleg- vagy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15B844AE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203FF640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11343910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1B7DE718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81733BF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3D2910C9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hidegségérzés,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6B75C629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302DC009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50D6C9B2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5B048056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56BC58CE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12A7B074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 xml:space="preserve">sápadtság, </w:t>
            </w:r>
            <w:proofErr w:type="spellStart"/>
            <w:r w:rsidRPr="009D34EE">
              <w:rPr>
                <w:szCs w:val="22"/>
                <w:lang w:val="hu-HU" w:bidi="hu-HU"/>
              </w:rPr>
              <w:t>cyanosis</w:t>
            </w:r>
            <w:proofErr w:type="spellEnd"/>
            <w:r w:rsidRPr="009D34EE">
              <w:rPr>
                <w:szCs w:val="22"/>
                <w:lang w:val="hu-HU" w:bidi="hu-HU"/>
              </w:rPr>
              <w:t>,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46290EE8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3CA6E7A6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662CE65E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638EA0D4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71BCC871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726298AD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nyaki fájdalom,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4B8807FA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625CE476" w14:textId="77777777" w:rsidTr="0068294D">
        <w:trPr>
          <w:trHeight w:val="242"/>
        </w:trPr>
        <w:tc>
          <w:tcPr>
            <w:tcW w:w="1000" w:type="pct"/>
            <w:tcBorders>
              <w:top w:val="nil"/>
              <w:bottom w:val="nil"/>
            </w:tcBorders>
          </w:tcPr>
          <w:p w14:paraId="6A119F5F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11BF812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6908AE57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0D153DB7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hátfájdalom, csontfájdalom,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02ED3D7F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  <w:tr w:rsidR="00072A47" w:rsidRPr="009D34EE" w14:paraId="0D351B72" w14:textId="77777777" w:rsidTr="0068294D">
        <w:trPr>
          <w:trHeight w:val="243"/>
        </w:trPr>
        <w:tc>
          <w:tcPr>
            <w:tcW w:w="1000" w:type="pct"/>
            <w:tcBorders>
              <w:top w:val="nil"/>
            </w:tcBorders>
          </w:tcPr>
          <w:p w14:paraId="20B56CF8" w14:textId="77777777" w:rsidR="00072A47" w:rsidRPr="009D34EE" w:rsidRDefault="00072A47" w:rsidP="0068294D">
            <w:pPr>
              <w:pStyle w:val="TableParagraph"/>
              <w:keepNext/>
              <w:keepLines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</w:tcBorders>
          </w:tcPr>
          <w:p w14:paraId="6B22385D" w14:textId="77777777" w:rsidR="00072A47" w:rsidRPr="009D34EE" w:rsidRDefault="00072A47" w:rsidP="0068294D">
            <w:pPr>
              <w:pStyle w:val="TableParagraph"/>
              <w:keepNext/>
              <w:keepLines/>
              <w:ind w:left="103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</w:tcBorders>
          </w:tcPr>
          <w:p w14:paraId="1AD93290" w14:textId="77777777" w:rsidR="00072A47" w:rsidRPr="009D34EE" w:rsidRDefault="00072A47" w:rsidP="0068294D">
            <w:pPr>
              <w:pStyle w:val="TableParagraph"/>
              <w:keepNext/>
              <w:keepLines/>
              <w:ind w:left="57"/>
              <w:rPr>
                <w:szCs w:val="22"/>
              </w:rPr>
            </w:pPr>
          </w:p>
        </w:tc>
        <w:tc>
          <w:tcPr>
            <w:tcW w:w="1000" w:type="pct"/>
            <w:tcBorders>
              <w:top w:val="nil"/>
            </w:tcBorders>
          </w:tcPr>
          <w:p w14:paraId="19756BA6" w14:textId="77777777" w:rsidR="00072A47" w:rsidRPr="009D34EE" w:rsidRDefault="00072A47" w:rsidP="0068294D">
            <w:pPr>
              <w:pStyle w:val="TableParagraph"/>
              <w:keepNext/>
              <w:keepLines/>
              <w:spacing w:line="223" w:lineRule="exact"/>
              <w:ind w:left="150"/>
              <w:rPr>
                <w:szCs w:val="22"/>
              </w:rPr>
            </w:pPr>
            <w:r w:rsidRPr="009D34EE">
              <w:rPr>
                <w:szCs w:val="22"/>
                <w:lang w:val="hu-HU" w:bidi="hu-HU"/>
              </w:rPr>
              <w:t>mellkasi és ágyéki fájdalom</w:t>
            </w:r>
          </w:p>
        </w:tc>
        <w:tc>
          <w:tcPr>
            <w:tcW w:w="1000" w:type="pct"/>
            <w:vMerge/>
            <w:tcBorders>
              <w:top w:val="nil"/>
            </w:tcBorders>
          </w:tcPr>
          <w:p w14:paraId="48AF6EA9" w14:textId="77777777" w:rsidR="00072A47" w:rsidRPr="009D34EE" w:rsidRDefault="00072A47" w:rsidP="0068294D">
            <w:pPr>
              <w:ind w:left="110"/>
              <w:rPr>
                <w:szCs w:val="22"/>
              </w:rPr>
            </w:pPr>
          </w:p>
        </w:tc>
      </w:tr>
    </w:tbl>
    <w:p w14:paraId="496A93EB" w14:textId="77777777" w:rsidR="00EA370D" w:rsidRPr="009D34EE" w:rsidRDefault="00EA370D" w:rsidP="00B2604A">
      <w:pPr>
        <w:pStyle w:val="Szvegtrzs"/>
        <w:rPr>
          <w:szCs w:val="22"/>
        </w:rPr>
      </w:pPr>
    </w:p>
    <w:p w14:paraId="18B97E5B" w14:textId="5CF1506D" w:rsidR="00EA370D" w:rsidRPr="009D34EE" w:rsidRDefault="00EA2AF3" w:rsidP="00062171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Amennyiben ezek a mellékhatások fellépnek, vagy az infúzió folyamán a trigliceridszint 3</w:t>
      </w:r>
      <w:r w:rsidR="004F325F">
        <w:rPr>
          <w:i w:val="0"/>
          <w:color w:val="auto"/>
          <w:szCs w:val="22"/>
          <w:lang w:val="hu-HU" w:bidi="hu-HU"/>
        </w:rPr>
        <w:t> 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mmol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/l fölé emelkedik, akkor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 adását azonnal le kell állítani, vagy ha feltétlenül szükséges, alacsonyabb adag</w:t>
      </w:r>
      <w:r w:rsidR="00AE0072">
        <w:rPr>
          <w:i w:val="0"/>
          <w:color w:val="auto"/>
          <w:szCs w:val="22"/>
          <w:lang w:val="hu-HU" w:bidi="hu-HU"/>
        </w:rPr>
        <w:t>gal</w:t>
      </w:r>
      <w:r w:rsidRPr="009D34EE">
        <w:rPr>
          <w:i w:val="0"/>
          <w:color w:val="auto"/>
          <w:szCs w:val="22"/>
          <w:lang w:val="hu-HU" w:bidi="hu-HU"/>
        </w:rPr>
        <w:t xml:space="preserve"> kell folytatni.</w:t>
      </w:r>
    </w:p>
    <w:p w14:paraId="1F3136B0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3E0BB84F" w14:textId="68F295A4" w:rsidR="00EA370D" w:rsidRPr="002C373B" w:rsidRDefault="004552DB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infúziót mindig aminosavakat és glükózt tartalmazó teljes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 részeként kell alkalmazni. Az émelygés, hányás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hyperglykaemia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táplálást indokoló állapotok tünetei, de olykor összefüggésbe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hozhatóak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táplálással is.</w:t>
      </w:r>
    </w:p>
    <w:p w14:paraId="62AA7548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4062290B" w14:textId="77777777" w:rsidR="00EA370D" w:rsidRPr="002C373B" w:rsidRDefault="00EA2AF3" w:rsidP="00062171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Javasolt a triglicerid- és vércukorszintek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monitorozása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 magas értékek elkerülése céljából, mivel azok károsak lehetnek.</w:t>
      </w:r>
    </w:p>
    <w:p w14:paraId="10CD5554" w14:textId="77777777" w:rsidR="00EA370D" w:rsidRPr="002C373B" w:rsidRDefault="00EA370D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304F3230" w14:textId="77777777" w:rsidR="00EA370D" w:rsidRPr="002C373B" w:rsidRDefault="00EA2AF3" w:rsidP="00B2604A">
      <w:pPr>
        <w:pStyle w:val="Szvegtrzs"/>
        <w:rPr>
          <w:i w:val="0"/>
          <w:iCs/>
          <w:color w:val="auto"/>
          <w:szCs w:val="22"/>
          <w:lang w:val="hu-HU"/>
        </w:rPr>
      </w:pPr>
      <w:proofErr w:type="spellStart"/>
      <w:r w:rsidRPr="009D34EE">
        <w:rPr>
          <w:i w:val="0"/>
          <w:color w:val="auto"/>
          <w:szCs w:val="22"/>
          <w:u w:val="single"/>
          <w:lang w:val="hu-HU" w:bidi="hu-HU"/>
        </w:rPr>
        <w:t>Zsírtúltelítődési</w:t>
      </w:r>
      <w:proofErr w:type="spellEnd"/>
      <w:r w:rsidRPr="009D34EE">
        <w:rPr>
          <w:i w:val="0"/>
          <w:color w:val="auto"/>
          <w:szCs w:val="22"/>
          <w:u w:val="single"/>
          <w:lang w:val="hu-HU" w:bidi="hu-HU"/>
        </w:rPr>
        <w:t xml:space="preserve"> szindróma</w:t>
      </w:r>
    </w:p>
    <w:p w14:paraId="69451787" w14:textId="072DB47F" w:rsidR="00EA370D" w:rsidRPr="009D34EE" w:rsidRDefault="00EA2AF3" w:rsidP="002810CC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 csökkent triglicerid eliminációs képesség „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zsírtúltelítődési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szindróma” kialakulásához vezethet, amit túladagolás is okozhat. A metabolikus túlterhelés lehetséges jeleit figyelni kell. Az ok lehet genetikai (egyénenként változó metabolizmus), vagy a zsírmetabolizmust érintő jelenleg fennálló, vagy korábbi betegség. Ez a tünetcsoport ugyancsak jelentkezhet súlyos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hypertrigliceridaemia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során, még a javallott infúziós ráta mellett is, ha a beteg klinikai állapotában hirtelen változás következik be, mint például a</w:t>
      </w:r>
      <w:r w:rsidR="00AE0072">
        <w:rPr>
          <w:i w:val="0"/>
          <w:color w:val="auto"/>
          <w:szCs w:val="22"/>
          <w:lang w:val="hu-HU" w:bidi="hu-HU"/>
        </w:rPr>
        <w:t xml:space="preserve"> vesekárosodás</w:t>
      </w:r>
      <w:r w:rsidRPr="009D34EE">
        <w:rPr>
          <w:i w:val="0"/>
          <w:color w:val="auto"/>
          <w:szCs w:val="22"/>
          <w:lang w:val="hu-HU" w:bidi="hu-HU"/>
        </w:rPr>
        <w:t xml:space="preserve"> vagy fertőzés.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zsírtúltelítődési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szindróma jellemzői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hyperlipaemia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láz, zsírinfiltráció,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hepatomegalia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icterusszal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vagy anélkül,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splenomegalia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anaemia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leukopaenia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thrombocytopaenia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véralvadási zavarok,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haemolysis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reticulocytosis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kóros májfunkciós értékek és kóma. Ezek a tünetek rendszerint reverzibilisek, ha a zsíremulzió adását </w:t>
      </w:r>
      <w:r w:rsidR="00AE0072">
        <w:rPr>
          <w:i w:val="0"/>
          <w:color w:val="auto"/>
          <w:szCs w:val="22"/>
          <w:lang w:val="hu-HU" w:bidi="hu-HU"/>
        </w:rPr>
        <w:t>m</w:t>
      </w:r>
      <w:r w:rsidRPr="009D34EE">
        <w:rPr>
          <w:i w:val="0"/>
          <w:color w:val="auto"/>
          <w:szCs w:val="22"/>
          <w:lang w:val="hu-HU" w:bidi="hu-HU"/>
        </w:rPr>
        <w:t>e</w:t>
      </w:r>
      <w:r w:rsidR="00AE0072">
        <w:rPr>
          <w:i w:val="0"/>
          <w:color w:val="auto"/>
          <w:szCs w:val="22"/>
          <w:lang w:val="hu-HU" w:bidi="hu-HU"/>
        </w:rPr>
        <w:t>g</w:t>
      </w:r>
      <w:r w:rsidRPr="009D34EE">
        <w:rPr>
          <w:i w:val="0"/>
          <w:color w:val="auto"/>
          <w:szCs w:val="22"/>
          <w:lang w:val="hu-HU" w:bidi="hu-HU"/>
        </w:rPr>
        <w:t>szüntetik.</w:t>
      </w:r>
    </w:p>
    <w:p w14:paraId="1AA489CF" w14:textId="0A513BA4" w:rsidR="00EA370D" w:rsidRPr="009D34EE" w:rsidRDefault="00EA2AF3" w:rsidP="002810CC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Amennyiben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zsírtúltelítődési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szindróma lép fel,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 adását le kell állítani.</w:t>
      </w:r>
    </w:p>
    <w:p w14:paraId="35479607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16535D7E" w14:textId="77777777" w:rsidR="00EA370D" w:rsidRPr="009D34EE" w:rsidRDefault="00EA2AF3" w:rsidP="00B2604A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Feltételezett mellékhatások bejelentése</w:t>
      </w:r>
    </w:p>
    <w:p w14:paraId="76C01B09" w14:textId="77777777" w:rsidR="00BB5BB2" w:rsidRPr="00BB5BB2" w:rsidRDefault="00EA2AF3" w:rsidP="00BB5BB2">
      <w:pPr>
        <w:ind w:right="-2"/>
        <w:rPr>
          <w:szCs w:val="22"/>
          <w:lang w:val="hu-HU" w:eastAsia="ar-SA"/>
        </w:rPr>
      </w:pPr>
      <w:r w:rsidRPr="009D34EE">
        <w:rPr>
          <w:szCs w:val="22"/>
          <w:lang w:val="hu-HU"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</w:t>
      </w:r>
      <w:r w:rsidR="00E84E4E" w:rsidRPr="00BD7253">
        <w:rPr>
          <w:szCs w:val="22"/>
          <w:highlight w:val="lightGray"/>
          <w:lang w:val="hu-HU" w:bidi="hu-HU"/>
        </w:rPr>
        <w:t xml:space="preserve">hatóság részére az </w:t>
      </w:r>
      <w:hyperlink r:id="rId7" w:history="1">
        <w:r w:rsidR="00BB5BB2" w:rsidRPr="00BB5BB2">
          <w:rPr>
            <w:color w:val="0000FF"/>
            <w:szCs w:val="22"/>
            <w:highlight w:val="lightGray"/>
            <w:u w:val="single"/>
            <w:lang w:val="hu-HU" w:eastAsia="ar-SA"/>
          </w:rPr>
          <w:t>V. függelékben</w:t>
        </w:r>
      </w:hyperlink>
      <w:r w:rsidR="00BB5BB2" w:rsidRPr="002C373B">
        <w:rPr>
          <w:highlight w:val="lightGray"/>
          <w:lang w:val="hu-HU" w:eastAsia="ar-SA"/>
        </w:rPr>
        <w:t xml:space="preserve"> található elérhetőségeken keresztül.</w:t>
      </w:r>
    </w:p>
    <w:p w14:paraId="1736612D" w14:textId="6ECCE698" w:rsidR="00EA370D" w:rsidRPr="002C373B" w:rsidRDefault="00EA370D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</w:p>
    <w:p w14:paraId="1C3AA9E1" w14:textId="08F6169B" w:rsidR="00EA370D" w:rsidRPr="002C373B" w:rsidRDefault="00EA370D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</w:p>
    <w:p w14:paraId="5E23D056" w14:textId="77777777" w:rsidR="00EA370D" w:rsidRPr="009D34EE" w:rsidRDefault="00EA2AF3" w:rsidP="002F638D">
      <w:pPr>
        <w:pStyle w:val="Cmsor2"/>
        <w:rPr>
          <w:szCs w:val="22"/>
        </w:rPr>
      </w:pPr>
      <w:bookmarkStart w:id="14" w:name="4.9_Overdose"/>
      <w:bookmarkEnd w:id="14"/>
      <w:r w:rsidRPr="009D34EE">
        <w:rPr>
          <w:szCs w:val="22"/>
          <w:lang w:val="hu-HU" w:bidi="hu-HU"/>
        </w:rPr>
        <w:t>Túladagolás</w:t>
      </w:r>
    </w:p>
    <w:p w14:paraId="346BD470" w14:textId="357E1197" w:rsidR="00EA370D" w:rsidRPr="002C373B" w:rsidRDefault="00EA2AF3" w:rsidP="007002E3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t>Zsírtúltelítődési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szindrómához vezető túladagolás előfordulhat az infúzió túl gyors adagolása következtében, vagy a java</w:t>
      </w:r>
      <w:r w:rsidR="00AE0072">
        <w:rPr>
          <w:i w:val="0"/>
          <w:color w:val="auto"/>
          <w:szCs w:val="22"/>
          <w:lang w:val="hu-HU" w:bidi="hu-HU"/>
        </w:rPr>
        <w:t>solt</w:t>
      </w:r>
      <w:r w:rsidRPr="009D34EE">
        <w:rPr>
          <w:i w:val="0"/>
          <w:color w:val="auto"/>
          <w:szCs w:val="22"/>
          <w:lang w:val="hu-HU" w:bidi="hu-HU"/>
        </w:rPr>
        <w:t xml:space="preserve"> infúziós sebesség melletti krónikus alkalmazás esetén, ha a beteg klinikai állapotában változás áll be (pl. vese</w:t>
      </w:r>
      <w:r w:rsidR="00AE0072">
        <w:rPr>
          <w:i w:val="0"/>
          <w:color w:val="auto"/>
          <w:szCs w:val="22"/>
          <w:lang w:val="hu-HU" w:bidi="hu-HU"/>
        </w:rPr>
        <w:t xml:space="preserve">károsodás </w:t>
      </w:r>
      <w:r w:rsidRPr="009D34EE">
        <w:rPr>
          <w:i w:val="0"/>
          <w:color w:val="auto"/>
          <w:szCs w:val="22"/>
          <w:lang w:val="hu-HU" w:bidi="hu-HU"/>
        </w:rPr>
        <w:t xml:space="preserve">vagy fertőzés). A túladagolás mellékhatásokhoz vezethet (lásd 4.8 pont). Ilyen esetekben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lipidinfúzó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alkalmazását le kell állítani, vagy ha feltétlenül szükséges, alacsonyabb adag</w:t>
      </w:r>
      <w:r w:rsidR="00AE0072">
        <w:rPr>
          <w:i w:val="0"/>
          <w:color w:val="auto"/>
          <w:szCs w:val="22"/>
          <w:lang w:val="hu-HU" w:bidi="hu-HU"/>
        </w:rPr>
        <w:t>gal</w:t>
      </w:r>
      <w:r w:rsidRPr="009D34EE">
        <w:rPr>
          <w:i w:val="0"/>
          <w:color w:val="auto"/>
          <w:szCs w:val="22"/>
          <w:lang w:val="hu-HU" w:bidi="hu-HU"/>
        </w:rPr>
        <w:t xml:space="preserve"> kell folytatni.</w:t>
      </w:r>
    </w:p>
    <w:p w14:paraId="3D05C824" w14:textId="5413CFDA" w:rsidR="00EA370D" w:rsidRPr="009D34EE" w:rsidRDefault="00EA2AF3" w:rsidP="007E0DCF">
      <w:pPr>
        <w:pStyle w:val="Cmsor1"/>
        <w:rPr>
          <w:szCs w:val="22"/>
        </w:rPr>
      </w:pPr>
      <w:bookmarkStart w:id="15" w:name="5._Pharmacological_Properties"/>
      <w:bookmarkEnd w:id="15"/>
      <w:r w:rsidRPr="009D34EE">
        <w:rPr>
          <w:szCs w:val="22"/>
          <w:lang w:val="hu-HU" w:bidi="hu-HU"/>
        </w:rPr>
        <w:t>FARMAKOLÓGIAI TULAJDONSÁGOK</w:t>
      </w:r>
    </w:p>
    <w:p w14:paraId="21DBD649" w14:textId="77777777" w:rsidR="00EA370D" w:rsidRPr="009D34EE" w:rsidRDefault="00EA2AF3" w:rsidP="007E0DCF">
      <w:pPr>
        <w:pStyle w:val="Cmsor2"/>
        <w:rPr>
          <w:szCs w:val="22"/>
        </w:rPr>
      </w:pPr>
      <w:bookmarkStart w:id="16" w:name="5.1_Pharmacodynamic_properties"/>
      <w:bookmarkEnd w:id="16"/>
      <w:proofErr w:type="spellStart"/>
      <w:r w:rsidRPr="009D34EE">
        <w:rPr>
          <w:szCs w:val="22"/>
          <w:lang w:val="hu-HU" w:bidi="hu-HU"/>
        </w:rPr>
        <w:t>Farmakodinámiás</w:t>
      </w:r>
      <w:proofErr w:type="spellEnd"/>
      <w:r w:rsidRPr="009D34EE">
        <w:rPr>
          <w:szCs w:val="22"/>
          <w:lang w:val="hu-HU" w:bidi="hu-HU"/>
        </w:rPr>
        <w:t xml:space="preserve"> tulajdonságok</w:t>
      </w:r>
    </w:p>
    <w:p w14:paraId="648D45E9" w14:textId="080AB395" w:rsidR="002810CC" w:rsidRPr="009D34EE" w:rsidRDefault="00EA2AF3" w:rsidP="002810CC">
      <w:pPr>
        <w:pStyle w:val="Szvegtrzs"/>
        <w:ind w:right="74"/>
        <w:rPr>
          <w:i w:val="0"/>
          <w:iCs/>
          <w:color w:val="auto"/>
          <w:szCs w:val="22"/>
        </w:rPr>
      </w:pPr>
      <w:proofErr w:type="spellStart"/>
      <w:r w:rsidRPr="009D34EE">
        <w:rPr>
          <w:i w:val="0"/>
          <w:color w:val="auto"/>
          <w:szCs w:val="22"/>
          <w:lang w:val="hu-HU" w:bidi="hu-HU"/>
        </w:rPr>
        <w:t>Farmakoterápiás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csoport: Vérpótlók és perfúziós oldatok, oldatok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tápláláshoz </w:t>
      </w:r>
    </w:p>
    <w:p w14:paraId="09B873C2" w14:textId="65074FCD" w:rsidR="00EA370D" w:rsidRPr="009D34EE" w:rsidRDefault="00EA2AF3" w:rsidP="002810CC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ATC kód: B05BA02</w:t>
      </w:r>
    </w:p>
    <w:p w14:paraId="043D86AA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4763C92D" w14:textId="02A01C51" w:rsidR="00EA370D" w:rsidRPr="002C373B" w:rsidRDefault="00EA2AF3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zsíremulzió az endogén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chylomicronokhoz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hasonló részecskemérettel és biológiai tulajdonságokkal rendelkezik.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</w:t>
      </w:r>
      <w:r w:rsidR="00827626">
        <w:rPr>
          <w:i w:val="0"/>
          <w:color w:val="auto"/>
          <w:szCs w:val="22"/>
          <w:lang w:val="hu-HU" w:bidi="hu-HU"/>
        </w:rPr>
        <w:t xml:space="preserve">s infúzió összetevői: a </w:t>
      </w:r>
      <w:r w:rsidR="00827626" w:rsidRPr="00EE14B6">
        <w:rPr>
          <w:i w:val="0"/>
          <w:color w:val="auto"/>
          <w:szCs w:val="22"/>
          <w:lang w:val="hu-HU" w:bidi="hu-HU"/>
        </w:rPr>
        <w:t>szója</w:t>
      </w:r>
      <w:r w:rsidRPr="00EE14B6">
        <w:rPr>
          <w:i w:val="0"/>
          <w:color w:val="auto"/>
          <w:szCs w:val="22"/>
          <w:lang w:val="hu-HU" w:bidi="hu-HU"/>
        </w:rPr>
        <w:t>olaj,</w:t>
      </w:r>
      <w:r w:rsidR="00827626" w:rsidRPr="00EE14B6">
        <w:rPr>
          <w:i w:val="0"/>
          <w:color w:val="auto"/>
          <w:szCs w:val="22"/>
          <w:lang w:val="hu-HU" w:bidi="hu-HU"/>
        </w:rPr>
        <w:t xml:space="preserve"> közepes lánchosszúságú </w:t>
      </w:r>
      <w:r w:rsidRPr="00EE14B6">
        <w:rPr>
          <w:i w:val="0"/>
          <w:color w:val="auto"/>
          <w:szCs w:val="22"/>
          <w:lang w:val="hu-HU" w:bidi="hu-HU"/>
        </w:rPr>
        <w:t>trigliceridek, olívaolaj és halolaj energiatartalmuk mellett önálló</w:t>
      </w:r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farmakodinámiás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tulajdonságokkal rendelkeznek.</w:t>
      </w:r>
    </w:p>
    <w:p w14:paraId="5A299DA3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09914B56" w14:textId="79762E73" w:rsidR="00EA370D" w:rsidRPr="002C373B" w:rsidRDefault="00EA2AF3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szójaolaj magas esszenciális zsírsav tartalommal rendelkezik. Az omega-6-zsírsav,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linolsav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képviseli a legjelentősebb hányadot (kb. 55</w:t>
      </w:r>
      <w:r w:rsidR="00AE0072">
        <w:rPr>
          <w:i w:val="0"/>
          <w:color w:val="auto"/>
          <w:szCs w:val="22"/>
          <w:lang w:val="hu-HU" w:bidi="hu-HU"/>
        </w:rPr>
        <w:t>‒</w:t>
      </w:r>
      <w:r w:rsidRPr="009D34EE">
        <w:rPr>
          <w:i w:val="0"/>
          <w:color w:val="auto"/>
          <w:szCs w:val="22"/>
          <w:lang w:val="hu-HU" w:bidi="hu-HU"/>
        </w:rPr>
        <w:t>60%). Az alfa-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linolénsav</w:t>
      </w:r>
      <w:proofErr w:type="spellEnd"/>
      <w:r w:rsidRPr="009D34EE">
        <w:rPr>
          <w:i w:val="0"/>
          <w:color w:val="auto"/>
          <w:szCs w:val="22"/>
          <w:lang w:val="hu-HU" w:bidi="hu-HU"/>
        </w:rPr>
        <w:t>, egy omega-3-zsírsav kb. 8%-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ot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tesz ki.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infúziónak ez a része biztosítja az esszenciális zsírsavak szükséges mennyiségét.</w:t>
      </w:r>
    </w:p>
    <w:p w14:paraId="2603E2E8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7E24AEC0" w14:textId="77777777" w:rsidR="00EA370D" w:rsidRPr="002C373B" w:rsidRDefault="00EA2AF3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A közepes szénláncú zsírsavak gyorsan oxidálódnak és ellátják a szervezetet az energia egy azonnal elérhető formájával.</w:t>
      </w:r>
    </w:p>
    <w:p w14:paraId="6050FF19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1E574BF5" w14:textId="77777777" w:rsidR="00EA370D" w:rsidRPr="002C373B" w:rsidRDefault="00EA2AF3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Az olívaolaj főként egyszeresen telítetlen zsírsavak formájában biztosítja az energiát, amelyek sokkal kevésbé vannak kitéve peroxidációnak, mint a nekik megfelelő mennyiségű többszörösen-telítetlen zsírsavak.</w:t>
      </w:r>
    </w:p>
    <w:p w14:paraId="1609C2BC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0F8059C7" w14:textId="77777777" w:rsidR="00EA370D" w:rsidRPr="002C373B" w:rsidRDefault="00EA2AF3" w:rsidP="002810CC">
      <w:pPr>
        <w:pStyle w:val="Szvegtrzs"/>
        <w:tabs>
          <w:tab w:val="left" w:pos="9356"/>
        </w:tabs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halolajra a magas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eikozapentaénsav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(EPA)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dokozahexaénsav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(DHA) tartalom a jellemző. A DHA a sejtmembrán egy fontos szerkezeti összetevője, míg az EPA az olyan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eikozanoidok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mint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prosztaglandinok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tromboxánok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leukotriének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prekurzora</w:t>
      </w:r>
      <w:proofErr w:type="spellEnd"/>
      <w:r w:rsidRPr="009D34EE">
        <w:rPr>
          <w:i w:val="0"/>
          <w:color w:val="auto"/>
          <w:szCs w:val="22"/>
          <w:lang w:val="hu-HU" w:bidi="hu-HU"/>
        </w:rPr>
        <w:t>.</w:t>
      </w:r>
    </w:p>
    <w:p w14:paraId="4A00D29A" w14:textId="77777777" w:rsidR="00EA370D" w:rsidRPr="002C373B" w:rsidRDefault="00EA370D" w:rsidP="00B2604A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1C9C3756" w14:textId="77777777" w:rsidR="00EA370D" w:rsidRPr="009D34EE" w:rsidRDefault="00EA2AF3" w:rsidP="00B2604A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Az E-vitamin megvédi a telítetlen zsírsavakat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lipidperoxidációtól</w:t>
      </w:r>
      <w:proofErr w:type="spellEnd"/>
      <w:r w:rsidRPr="009D34EE">
        <w:rPr>
          <w:i w:val="0"/>
          <w:color w:val="auto"/>
          <w:szCs w:val="22"/>
          <w:lang w:val="hu-HU" w:bidi="hu-HU"/>
        </w:rPr>
        <w:t>.</w:t>
      </w:r>
    </w:p>
    <w:p w14:paraId="3003AC78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17FC4359" w14:textId="27CF21DC" w:rsidR="00EA370D" w:rsidRPr="002C373B" w:rsidRDefault="00EA2AF3" w:rsidP="00EF2E9A">
      <w:pPr>
        <w:pStyle w:val="Szvegtrzs"/>
        <w:tabs>
          <w:tab w:val="left" w:pos="9356"/>
        </w:tabs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Két vizsgálatot végeztek otthoni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parenterális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táplálásban részesült betegekkel, akik tartós táplálásra szorultak. Mindkét vizsgálat elsődleges célja a biztonságosság vizsgálata volt. Az egyik vizsgálat másodlagos célja a hatásosság vizsgálata volt gyermekek</w:t>
      </w:r>
      <w:r w:rsidR="00AE0072">
        <w:rPr>
          <w:i w:val="0"/>
          <w:color w:val="auto"/>
          <w:szCs w:val="22"/>
          <w:lang w:val="hu-HU" w:bidi="hu-HU"/>
        </w:rPr>
        <w:t>nél</w:t>
      </w:r>
      <w:r w:rsidRPr="009D34EE">
        <w:rPr>
          <w:i w:val="0"/>
          <w:color w:val="auto"/>
          <w:szCs w:val="22"/>
          <w:lang w:val="hu-HU" w:bidi="hu-HU"/>
        </w:rPr>
        <w:t xml:space="preserve">. Ezt a vizsgálatot korcsoportok szerint végezték (1 hónapos </w:t>
      </w:r>
      <w:r w:rsidR="00F36683" w:rsidRPr="009D34EE">
        <w:rPr>
          <w:i w:val="0"/>
          <w:color w:val="auto"/>
          <w:szCs w:val="22"/>
          <w:lang w:val="hu-HU" w:bidi="hu-HU"/>
        </w:rPr>
        <w:noBreakHyphen/>
      </w:r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gramStart"/>
      <w:r w:rsidRPr="009D34EE">
        <w:rPr>
          <w:i w:val="0"/>
          <w:color w:val="auto"/>
          <w:szCs w:val="22"/>
          <w:lang w:val="hu-HU" w:bidi="hu-HU"/>
        </w:rPr>
        <w:t>&lt; 2</w:t>
      </w:r>
      <w:proofErr w:type="gramEnd"/>
      <w:r w:rsidRPr="009D34EE">
        <w:rPr>
          <w:i w:val="0"/>
          <w:color w:val="auto"/>
          <w:szCs w:val="22"/>
          <w:lang w:val="hu-HU" w:bidi="hu-HU"/>
        </w:rPr>
        <w:t xml:space="preserve"> év, illetve 2</w:t>
      </w:r>
      <w:r w:rsidR="00F36683" w:rsidRPr="009D34EE">
        <w:rPr>
          <w:i w:val="0"/>
          <w:color w:val="auto"/>
          <w:szCs w:val="22"/>
          <w:lang w:val="hu-HU" w:bidi="hu-HU"/>
        </w:rPr>
        <w:noBreakHyphen/>
      </w:r>
      <w:r w:rsidRPr="009D34EE">
        <w:rPr>
          <w:i w:val="0"/>
          <w:color w:val="auto"/>
          <w:szCs w:val="22"/>
          <w:lang w:val="hu-HU" w:bidi="hu-HU"/>
        </w:rPr>
        <w:t xml:space="preserve">11 év).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 biztonságossági profilja mindkét vizsgálatban azonosnak mutatkozott az összehasonlító készítménnyel (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Intralipid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20%-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kal</w:t>
      </w:r>
      <w:proofErr w:type="spellEnd"/>
      <w:r w:rsidRPr="009D34EE">
        <w:rPr>
          <w:i w:val="0"/>
          <w:color w:val="auto"/>
          <w:szCs w:val="22"/>
          <w:lang w:val="hu-HU" w:bidi="hu-HU"/>
        </w:rPr>
        <w:t>). A gyermekek</w:t>
      </w:r>
      <w:r w:rsidR="00E70EE4">
        <w:rPr>
          <w:i w:val="0"/>
          <w:color w:val="auto"/>
          <w:szCs w:val="22"/>
          <w:lang w:val="hu-HU" w:bidi="hu-HU"/>
        </w:rPr>
        <w:t>kel</w:t>
      </w:r>
      <w:r w:rsidRPr="009D34EE">
        <w:rPr>
          <w:i w:val="0"/>
          <w:color w:val="auto"/>
          <w:szCs w:val="22"/>
          <w:lang w:val="hu-HU" w:bidi="hu-HU"/>
        </w:rPr>
        <w:t xml:space="preserve"> végzett vizsgálat hatásosságát a test</w:t>
      </w:r>
      <w:r w:rsidR="00E70EE4">
        <w:rPr>
          <w:i w:val="0"/>
          <w:color w:val="auto"/>
          <w:szCs w:val="22"/>
          <w:lang w:val="hu-HU" w:bidi="hu-HU"/>
        </w:rPr>
        <w:t>tömeg-</w:t>
      </w:r>
      <w:r w:rsidRPr="009D34EE">
        <w:rPr>
          <w:i w:val="0"/>
          <w:color w:val="auto"/>
          <w:szCs w:val="22"/>
          <w:lang w:val="hu-HU" w:bidi="hu-HU"/>
        </w:rPr>
        <w:t xml:space="preserve">növekedés, a magasság, a testtömegindex,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prealbumin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retinolkötő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fehérje és a zsírsavjelleg alapján mérték. A csoportok vizsgált paraméterei között 4 hetes kezelést követően a </w:t>
      </w:r>
      <w:r w:rsidRPr="009D34EE">
        <w:rPr>
          <w:i w:val="0"/>
          <w:color w:val="auto"/>
          <w:spacing w:val="-4"/>
          <w:szCs w:val="22"/>
          <w:lang w:val="hu-HU" w:bidi="hu-HU"/>
        </w:rPr>
        <w:t>zsírsavprofilon</w:t>
      </w:r>
      <w:r w:rsidRPr="009D34EE">
        <w:rPr>
          <w:i w:val="0"/>
          <w:color w:val="auto"/>
          <w:szCs w:val="22"/>
          <w:lang w:val="hu-HU" w:bidi="hu-HU"/>
        </w:rPr>
        <w:t xml:space="preserve"> kívül más különbség nem volt.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infúzióval kezelt betegeknél a zsírsavösszetétel a plazmafehérjék megnövekedett omega-3-zsírsavértékét és a vörösvértestek emelkedett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foszfolipidértékét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mutatta, azaz tükrözi az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infundált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emulzió összetételét.</w:t>
      </w:r>
    </w:p>
    <w:p w14:paraId="642AAC94" w14:textId="77777777" w:rsidR="00EA370D" w:rsidRPr="009D34EE" w:rsidRDefault="00EA2AF3" w:rsidP="0084087D">
      <w:pPr>
        <w:pStyle w:val="Cmsor2"/>
        <w:rPr>
          <w:szCs w:val="22"/>
        </w:rPr>
      </w:pPr>
      <w:bookmarkStart w:id="17" w:name="5.2_Pharmacokinetic_properties"/>
      <w:bookmarkEnd w:id="17"/>
      <w:proofErr w:type="spellStart"/>
      <w:r w:rsidRPr="009D34EE">
        <w:rPr>
          <w:szCs w:val="22"/>
          <w:lang w:val="hu-HU" w:bidi="hu-HU"/>
        </w:rPr>
        <w:t>Farmakokinetikai</w:t>
      </w:r>
      <w:proofErr w:type="spellEnd"/>
      <w:r w:rsidRPr="009D34EE">
        <w:rPr>
          <w:szCs w:val="22"/>
          <w:lang w:val="hu-HU" w:bidi="hu-HU"/>
        </w:rPr>
        <w:t xml:space="preserve"> tulajdonságok</w:t>
      </w:r>
    </w:p>
    <w:p w14:paraId="295849F3" w14:textId="5052BE6D" w:rsidR="00EA370D" w:rsidRPr="009D34EE" w:rsidRDefault="00EA2AF3" w:rsidP="0084087D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 xml:space="preserve">Az egyes trigliceridek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clearance</w:t>
      </w:r>
      <w:proofErr w:type="spellEnd"/>
      <w:r w:rsidR="00AE0072">
        <w:rPr>
          <w:i w:val="0"/>
          <w:color w:val="auto"/>
          <w:szCs w:val="22"/>
          <w:lang w:val="hu-HU" w:bidi="hu-HU"/>
        </w:rPr>
        <w:t>-</w:t>
      </w:r>
      <w:r w:rsidRPr="009D34EE">
        <w:rPr>
          <w:i w:val="0"/>
          <w:color w:val="auto"/>
          <w:szCs w:val="22"/>
          <w:lang w:val="hu-HU" w:bidi="hu-HU"/>
        </w:rPr>
        <w:t xml:space="preserve">e különböző, de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infúzió, mint keverék gyorsabban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eliminálódik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az infúzió során, mint az alacsonyabb trigliceridszintet tartalmazó hosszú szénláncú trigliceridek (LCT). Az összetevők közül az olívaolaj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clearance</w:t>
      </w:r>
      <w:proofErr w:type="spellEnd"/>
      <w:r w:rsidRPr="009D34EE">
        <w:rPr>
          <w:i w:val="0"/>
          <w:color w:val="auto"/>
          <w:szCs w:val="22"/>
          <w:lang w:val="hu-HU" w:bidi="hu-HU"/>
        </w:rPr>
        <w:t>-e a legalacsonyabb (valamivel alacsonyabb, mint az LCT-é), és a közepes szénláncú triglicerideké (MCT-é) a legmagasabb. Az LCT-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vel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kevert halolajnak ugyanolyan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clearance</w:t>
      </w:r>
      <w:proofErr w:type="spellEnd"/>
      <w:r w:rsidRPr="009D34EE">
        <w:rPr>
          <w:i w:val="0"/>
          <w:color w:val="auto"/>
          <w:szCs w:val="22"/>
          <w:lang w:val="hu-HU" w:bidi="hu-HU"/>
        </w:rPr>
        <w:t>-e, mint az LCT-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nek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önmagában.</w:t>
      </w:r>
    </w:p>
    <w:p w14:paraId="3B19BA5B" w14:textId="77777777" w:rsidR="00EA370D" w:rsidRPr="009D34EE" w:rsidRDefault="00EA2AF3" w:rsidP="0084087D">
      <w:pPr>
        <w:pStyle w:val="Cmsor2"/>
        <w:rPr>
          <w:szCs w:val="22"/>
        </w:rPr>
      </w:pPr>
      <w:bookmarkStart w:id="18" w:name="5.3_Preclinical_safety_data"/>
      <w:bookmarkEnd w:id="18"/>
      <w:r w:rsidRPr="009D34EE">
        <w:rPr>
          <w:szCs w:val="22"/>
          <w:lang w:val="hu-HU" w:bidi="hu-HU"/>
        </w:rPr>
        <w:t xml:space="preserve">A </w:t>
      </w:r>
      <w:proofErr w:type="spellStart"/>
      <w:r w:rsidRPr="009D34EE">
        <w:rPr>
          <w:szCs w:val="22"/>
          <w:lang w:val="hu-HU" w:bidi="hu-HU"/>
        </w:rPr>
        <w:t>preklinikai</w:t>
      </w:r>
      <w:proofErr w:type="spellEnd"/>
      <w:r w:rsidRPr="009D34EE">
        <w:rPr>
          <w:szCs w:val="22"/>
          <w:lang w:val="hu-HU" w:bidi="hu-HU"/>
        </w:rPr>
        <w:t xml:space="preserve"> biztonságossági vizsgálatok eredményei</w:t>
      </w:r>
    </w:p>
    <w:p w14:paraId="650F0F0C" w14:textId="11603CB5" w:rsidR="00EA370D" w:rsidRPr="002C373B" w:rsidRDefault="00EA2AF3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preklinikai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vizsgálatok során – az egyszeri és ismételt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adagolású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dózistoxicitási és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genotoxicitási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vizsgálatok alapján – nem figyeltek meg más hatást, mint ami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lipidek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magas dózisai esetén várható. Egy nyulak</w:t>
      </w:r>
      <w:r w:rsidR="00E70EE4">
        <w:rPr>
          <w:i w:val="0"/>
          <w:color w:val="auto"/>
          <w:szCs w:val="22"/>
          <w:lang w:val="hu-HU" w:bidi="hu-HU"/>
        </w:rPr>
        <w:t>kal</w:t>
      </w:r>
      <w:r w:rsidRPr="009D34EE">
        <w:rPr>
          <w:i w:val="0"/>
          <w:color w:val="auto"/>
          <w:szCs w:val="22"/>
          <w:lang w:val="hu-HU" w:bidi="hu-HU"/>
        </w:rPr>
        <w:t xml:space="preserve"> végzett lokális tolerancia vizsgálatban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intraartériás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paravénás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, vagy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szubkután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alkalmazás után enyhe, múló gyulladást figyeltek meg. Intramuszkuláris alkalmazás után néhány állatnál mérsékelt, múló gyulladást és szöveti nekrózist észleltek.</w:t>
      </w:r>
    </w:p>
    <w:p w14:paraId="44CDE13E" w14:textId="77777777" w:rsidR="00EA370D" w:rsidRPr="002C373B" w:rsidRDefault="00EA2AF3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Tengerimalacokkal végzett tesztekben (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maximizációs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teszt) a halolaj mérsékelt bőrérzékenységi reakciót váltott ki. A szisztémás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antigenicitási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teszt nem mutatott ki bizonyítékot a halolaj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anaphylaxiás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hatására.</w:t>
      </w:r>
    </w:p>
    <w:p w14:paraId="1D9FB136" w14:textId="77777777" w:rsidR="00EA370D" w:rsidRPr="009D34EE" w:rsidRDefault="00EA2AF3" w:rsidP="0084087D">
      <w:pPr>
        <w:pStyle w:val="Cmsor1"/>
        <w:rPr>
          <w:szCs w:val="22"/>
        </w:rPr>
      </w:pPr>
      <w:bookmarkStart w:id="19" w:name="6._Pharmaceutical_Particulars"/>
      <w:bookmarkEnd w:id="19"/>
      <w:r w:rsidRPr="009D34EE">
        <w:rPr>
          <w:szCs w:val="22"/>
          <w:lang w:val="hu-HU" w:bidi="hu-HU"/>
        </w:rPr>
        <w:t>GYÓGYSZERÉSZETI JELLEMZŐK</w:t>
      </w:r>
    </w:p>
    <w:p w14:paraId="420DDD04" w14:textId="77777777" w:rsidR="00EA370D" w:rsidRPr="009D34EE" w:rsidRDefault="00EA2AF3" w:rsidP="00234769">
      <w:pPr>
        <w:pStyle w:val="Cmsor2"/>
        <w:rPr>
          <w:szCs w:val="22"/>
        </w:rPr>
      </w:pPr>
      <w:bookmarkStart w:id="20" w:name="6.1_List_of_excipients"/>
      <w:bookmarkEnd w:id="20"/>
      <w:r w:rsidRPr="009D34EE">
        <w:rPr>
          <w:szCs w:val="22"/>
          <w:lang w:val="hu-HU" w:bidi="hu-HU"/>
        </w:rPr>
        <w:t>Segédanyagok felsorolása</w:t>
      </w:r>
    </w:p>
    <w:p w14:paraId="03F67216" w14:textId="59105134" w:rsidR="002810CC" w:rsidRPr="009D34EE" w:rsidRDefault="00C26E00" w:rsidP="002810CC">
      <w:pPr>
        <w:pStyle w:val="Szvegtrzs"/>
        <w:ind w:right="74"/>
        <w:rPr>
          <w:i w:val="0"/>
          <w:iCs/>
          <w:color w:val="auto"/>
          <w:szCs w:val="22"/>
        </w:rPr>
      </w:pPr>
      <w:proofErr w:type="gramStart"/>
      <w:r>
        <w:rPr>
          <w:i w:val="0"/>
          <w:color w:val="auto"/>
          <w:szCs w:val="22"/>
          <w:lang w:val="hu-HU" w:bidi="hu-HU"/>
        </w:rPr>
        <w:t>g</w:t>
      </w:r>
      <w:r w:rsidR="00EA2AF3" w:rsidRPr="009D34EE">
        <w:rPr>
          <w:i w:val="0"/>
          <w:color w:val="auto"/>
          <w:szCs w:val="22"/>
          <w:lang w:val="hu-HU" w:bidi="hu-HU"/>
        </w:rPr>
        <w:t>licer</w:t>
      </w:r>
      <w:r w:rsidR="00AE0072">
        <w:rPr>
          <w:i w:val="0"/>
          <w:color w:val="auto"/>
          <w:szCs w:val="22"/>
          <w:lang w:val="hu-HU" w:bidi="hu-HU"/>
        </w:rPr>
        <w:t>in</w:t>
      </w:r>
      <w:proofErr w:type="gramEnd"/>
      <w:r w:rsidR="00EA2AF3" w:rsidRPr="009D34EE">
        <w:rPr>
          <w:i w:val="0"/>
          <w:color w:val="auto"/>
          <w:szCs w:val="22"/>
          <w:lang w:val="hu-HU" w:bidi="hu-HU"/>
        </w:rPr>
        <w:t xml:space="preserve"> </w:t>
      </w:r>
    </w:p>
    <w:p w14:paraId="28E4BA1F" w14:textId="6E5199ED" w:rsidR="00EA370D" w:rsidRPr="00EE14B6" w:rsidRDefault="00C26E00" w:rsidP="002810CC">
      <w:pPr>
        <w:pStyle w:val="Szvegtrzs"/>
        <w:ind w:right="74"/>
        <w:rPr>
          <w:i w:val="0"/>
          <w:iCs/>
          <w:color w:val="auto"/>
          <w:szCs w:val="22"/>
        </w:rPr>
      </w:pPr>
      <w:r>
        <w:rPr>
          <w:i w:val="0"/>
          <w:color w:val="auto"/>
          <w:szCs w:val="22"/>
          <w:lang w:val="hu-HU" w:bidi="hu-HU"/>
        </w:rPr>
        <w:t>t</w:t>
      </w:r>
      <w:r w:rsidR="00EA2AF3" w:rsidRPr="009D34EE">
        <w:rPr>
          <w:i w:val="0"/>
          <w:color w:val="auto"/>
          <w:szCs w:val="22"/>
          <w:lang w:val="hu-HU" w:bidi="hu-HU"/>
        </w:rPr>
        <w:t>ojás</w:t>
      </w:r>
      <w:r w:rsidR="00AE0072">
        <w:rPr>
          <w:i w:val="0"/>
          <w:color w:val="auto"/>
          <w:szCs w:val="22"/>
          <w:lang w:val="hu-HU" w:bidi="hu-HU"/>
        </w:rPr>
        <w:t>-</w:t>
      </w:r>
      <w:proofErr w:type="spellStart"/>
      <w:r w:rsidR="00EA2AF3" w:rsidRPr="00EE14B6">
        <w:rPr>
          <w:i w:val="0"/>
          <w:color w:val="auto"/>
          <w:szCs w:val="22"/>
          <w:lang w:val="hu-HU" w:bidi="hu-HU"/>
        </w:rPr>
        <w:t>foszfolipidek</w:t>
      </w:r>
      <w:proofErr w:type="spellEnd"/>
      <w:r w:rsidR="00FA6984" w:rsidRPr="00EE14B6">
        <w:t xml:space="preserve"> </w:t>
      </w:r>
      <w:r w:rsidR="00FA6984" w:rsidRPr="00EE14B6">
        <w:rPr>
          <w:i w:val="0"/>
          <w:color w:val="auto"/>
          <w:szCs w:val="22"/>
          <w:lang w:val="hu-HU" w:bidi="hu-HU"/>
        </w:rPr>
        <w:t>injekció céljára,</w:t>
      </w:r>
    </w:p>
    <w:p w14:paraId="69A35298" w14:textId="77777777" w:rsidR="002810CC" w:rsidRPr="009D34EE" w:rsidRDefault="00EA2AF3" w:rsidP="002810CC">
      <w:pPr>
        <w:pStyle w:val="Szvegtrzs"/>
        <w:ind w:right="74"/>
        <w:rPr>
          <w:i w:val="0"/>
          <w:iCs/>
          <w:color w:val="auto"/>
          <w:szCs w:val="22"/>
        </w:rPr>
      </w:pPr>
      <w:proofErr w:type="spellStart"/>
      <w:r w:rsidRPr="00EE14B6">
        <w:rPr>
          <w:i w:val="0"/>
          <w:color w:val="auto"/>
          <w:szCs w:val="22"/>
          <w:lang w:val="hu-HU" w:bidi="hu-HU"/>
        </w:rPr>
        <w:t>all-</w:t>
      </w:r>
      <w:r w:rsidRPr="00EE14B6">
        <w:rPr>
          <w:color w:val="auto"/>
          <w:szCs w:val="22"/>
          <w:lang w:val="hu-HU" w:bidi="hu-HU"/>
        </w:rPr>
        <w:t>rac</w:t>
      </w:r>
      <w:proofErr w:type="spellEnd"/>
      <w:r w:rsidRPr="00EE14B6">
        <w:rPr>
          <w:i w:val="0"/>
          <w:color w:val="auto"/>
          <w:szCs w:val="22"/>
          <w:lang w:val="hu-HU" w:bidi="hu-HU"/>
        </w:rPr>
        <w:t>-α-</w:t>
      </w:r>
      <w:proofErr w:type="spellStart"/>
      <w:r w:rsidRPr="00EE14B6">
        <w:rPr>
          <w:i w:val="0"/>
          <w:color w:val="auto"/>
          <w:szCs w:val="22"/>
          <w:lang w:val="hu-HU" w:bidi="hu-HU"/>
        </w:rPr>
        <w:t>tokoferol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</w:t>
      </w:r>
    </w:p>
    <w:p w14:paraId="69C4FEAB" w14:textId="4B8B079E" w:rsidR="00EA370D" w:rsidRPr="009D34EE" w:rsidRDefault="00C26E00" w:rsidP="002810CC">
      <w:pPr>
        <w:pStyle w:val="Szvegtrzs"/>
        <w:ind w:right="74"/>
        <w:rPr>
          <w:i w:val="0"/>
          <w:iCs/>
          <w:color w:val="auto"/>
          <w:szCs w:val="22"/>
        </w:rPr>
      </w:pPr>
      <w:proofErr w:type="gramStart"/>
      <w:r>
        <w:rPr>
          <w:i w:val="0"/>
          <w:color w:val="auto"/>
          <w:szCs w:val="22"/>
          <w:lang w:val="hu-HU" w:bidi="hu-HU"/>
        </w:rPr>
        <w:t>i</w:t>
      </w:r>
      <w:r w:rsidR="00EA2AF3" w:rsidRPr="009D34EE">
        <w:rPr>
          <w:i w:val="0"/>
          <w:color w:val="auto"/>
          <w:szCs w:val="22"/>
          <w:lang w:val="hu-HU" w:bidi="hu-HU"/>
        </w:rPr>
        <w:t>njekcióhoz</w:t>
      </w:r>
      <w:proofErr w:type="gramEnd"/>
      <w:r w:rsidR="00EA2AF3" w:rsidRPr="009D34EE">
        <w:rPr>
          <w:i w:val="0"/>
          <w:color w:val="auto"/>
          <w:szCs w:val="22"/>
          <w:lang w:val="hu-HU" w:bidi="hu-HU"/>
        </w:rPr>
        <w:t xml:space="preserve"> való víz</w:t>
      </w:r>
    </w:p>
    <w:p w14:paraId="7885B840" w14:textId="2FB00F3E" w:rsidR="002810CC" w:rsidRPr="009D34EE" w:rsidRDefault="00C26E00" w:rsidP="002810CC">
      <w:pPr>
        <w:pStyle w:val="Szvegtrzs"/>
        <w:ind w:right="74"/>
        <w:rPr>
          <w:i w:val="0"/>
          <w:iCs/>
          <w:color w:val="auto"/>
          <w:szCs w:val="22"/>
        </w:rPr>
      </w:pPr>
      <w:proofErr w:type="gramStart"/>
      <w:r>
        <w:rPr>
          <w:i w:val="0"/>
          <w:color w:val="auto"/>
          <w:szCs w:val="22"/>
          <w:lang w:val="hu-HU" w:bidi="hu-HU"/>
        </w:rPr>
        <w:t>n</w:t>
      </w:r>
      <w:r w:rsidR="00EA2AF3" w:rsidRPr="009D34EE">
        <w:rPr>
          <w:i w:val="0"/>
          <w:color w:val="auto"/>
          <w:szCs w:val="22"/>
          <w:lang w:val="hu-HU" w:bidi="hu-HU"/>
        </w:rPr>
        <w:t>átrium-hidroxid</w:t>
      </w:r>
      <w:proofErr w:type="gramEnd"/>
      <w:r w:rsidR="00EA2AF3" w:rsidRPr="009D34EE">
        <w:rPr>
          <w:i w:val="0"/>
          <w:color w:val="auto"/>
          <w:szCs w:val="22"/>
          <w:lang w:val="hu-HU" w:bidi="hu-HU"/>
        </w:rPr>
        <w:t xml:space="preserve"> (a pH beállításához) </w:t>
      </w:r>
    </w:p>
    <w:p w14:paraId="2BEB6B30" w14:textId="10458502" w:rsidR="00EA370D" w:rsidRPr="009D34EE" w:rsidRDefault="00C26E00" w:rsidP="00234769">
      <w:pPr>
        <w:pStyle w:val="Szvegtrzs"/>
        <w:ind w:right="74"/>
        <w:rPr>
          <w:i w:val="0"/>
          <w:iCs/>
          <w:color w:val="auto"/>
          <w:szCs w:val="22"/>
        </w:rPr>
      </w:pPr>
      <w:r>
        <w:rPr>
          <w:i w:val="0"/>
          <w:color w:val="auto"/>
          <w:szCs w:val="22"/>
          <w:lang w:val="hu-HU" w:bidi="hu-HU"/>
        </w:rPr>
        <w:t>n</w:t>
      </w:r>
      <w:r w:rsidR="00EA2AF3" w:rsidRPr="009D34EE">
        <w:rPr>
          <w:i w:val="0"/>
          <w:color w:val="auto"/>
          <w:szCs w:val="22"/>
          <w:lang w:val="hu-HU" w:bidi="hu-HU"/>
        </w:rPr>
        <w:t>átrium-</w:t>
      </w:r>
      <w:proofErr w:type="spellStart"/>
      <w:r w:rsidR="00EA2AF3" w:rsidRPr="009D34EE">
        <w:rPr>
          <w:i w:val="0"/>
          <w:color w:val="auto"/>
          <w:szCs w:val="22"/>
          <w:lang w:val="hu-HU" w:bidi="hu-HU"/>
        </w:rPr>
        <w:t>oleát</w:t>
      </w:r>
      <w:proofErr w:type="spellEnd"/>
    </w:p>
    <w:p w14:paraId="017BCF3B" w14:textId="77777777" w:rsidR="00EA370D" w:rsidRPr="009D34EE" w:rsidRDefault="00EA2AF3" w:rsidP="00234769">
      <w:pPr>
        <w:pStyle w:val="Cmsor2"/>
        <w:rPr>
          <w:szCs w:val="22"/>
        </w:rPr>
      </w:pPr>
      <w:bookmarkStart w:id="21" w:name="6.2_Incompatibilities"/>
      <w:bookmarkEnd w:id="21"/>
      <w:r w:rsidRPr="009D34EE">
        <w:rPr>
          <w:szCs w:val="22"/>
          <w:lang w:val="hu-HU" w:bidi="hu-HU"/>
        </w:rPr>
        <w:t>Inkompatibilitások</w:t>
      </w:r>
    </w:p>
    <w:p w14:paraId="28C39718" w14:textId="71D4C286" w:rsidR="00EA370D" w:rsidRPr="009D34EE" w:rsidRDefault="00EA2AF3" w:rsidP="00234769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Ez a gyógyszer kizárólag a 6.6 pontban felsorolt gyógyszerekkel keverhető.</w:t>
      </w:r>
    </w:p>
    <w:p w14:paraId="72883948" w14:textId="77777777" w:rsidR="00EA370D" w:rsidRPr="009D34EE" w:rsidRDefault="00EA2AF3" w:rsidP="00234769">
      <w:pPr>
        <w:pStyle w:val="Cmsor2"/>
        <w:rPr>
          <w:szCs w:val="22"/>
        </w:rPr>
      </w:pPr>
      <w:bookmarkStart w:id="22" w:name="6.3_Shelf_life"/>
      <w:bookmarkEnd w:id="22"/>
      <w:r w:rsidRPr="009D34EE">
        <w:rPr>
          <w:szCs w:val="22"/>
          <w:lang w:val="hu-HU" w:bidi="hu-HU"/>
        </w:rPr>
        <w:t>Felhasználhatósági időtartam</w:t>
      </w:r>
    </w:p>
    <w:p w14:paraId="6F0A7D98" w14:textId="77777777" w:rsidR="00EA370D" w:rsidRPr="009D34EE" w:rsidRDefault="00EA2AF3" w:rsidP="00B2604A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2 év</w:t>
      </w:r>
    </w:p>
    <w:p w14:paraId="0081312D" w14:textId="77777777" w:rsidR="00EA370D" w:rsidRPr="009D34EE" w:rsidRDefault="00EA370D">
      <w:pPr>
        <w:pStyle w:val="Szvegtrzs"/>
        <w:rPr>
          <w:i w:val="0"/>
          <w:iCs/>
          <w:color w:val="auto"/>
          <w:szCs w:val="22"/>
        </w:rPr>
      </w:pPr>
    </w:p>
    <w:p w14:paraId="77482FAF" w14:textId="77777777" w:rsidR="00EA370D" w:rsidRDefault="00EA2AF3" w:rsidP="00B2604A">
      <w:pPr>
        <w:pStyle w:val="Szvegtrzs"/>
        <w:rPr>
          <w:i w:val="0"/>
          <w:iCs/>
          <w:color w:val="auto"/>
          <w:szCs w:val="22"/>
          <w:u w:val="single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Felhasználhatósági időtartam a tartály első felnyitása után</w:t>
      </w:r>
    </w:p>
    <w:p w14:paraId="275A5073" w14:textId="6567253F" w:rsidR="00EA370D" w:rsidRPr="00BD7253" w:rsidRDefault="0056129F" w:rsidP="00BD7253">
      <w:pPr>
        <w:pStyle w:val="Szvegtrzs"/>
        <w:rPr>
          <w:i w:val="0"/>
          <w:iCs/>
          <w:color w:val="auto"/>
          <w:szCs w:val="22"/>
        </w:rPr>
      </w:pPr>
      <w:r w:rsidRPr="00BD7253">
        <w:rPr>
          <w:i w:val="0"/>
          <w:color w:val="auto"/>
          <w:szCs w:val="22"/>
          <w:lang w:val="hu-HU" w:bidi="hu-HU"/>
        </w:rPr>
        <w:t xml:space="preserve">Azonnal fel kell használni. </w:t>
      </w:r>
    </w:p>
    <w:p w14:paraId="4ECD252B" w14:textId="77777777" w:rsidR="00EA370D" w:rsidRPr="009D34EE" w:rsidRDefault="00EA370D" w:rsidP="00B2604A">
      <w:pPr>
        <w:pStyle w:val="Szvegtrzs"/>
        <w:rPr>
          <w:i w:val="0"/>
          <w:iCs/>
          <w:color w:val="auto"/>
          <w:szCs w:val="22"/>
        </w:rPr>
      </w:pPr>
    </w:p>
    <w:p w14:paraId="3AE84096" w14:textId="35B51EC0" w:rsidR="00EA370D" w:rsidRPr="009D34EE" w:rsidRDefault="00EA2AF3" w:rsidP="00234769">
      <w:pPr>
        <w:pStyle w:val="Szvegtrzs"/>
        <w:ind w:right="74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Újszülötteknél és két évesnél fiatalabb gyermekeknél történő alkalmazás esetén az oldat</w:t>
      </w:r>
      <w:r w:rsidR="00FA6984">
        <w:rPr>
          <w:i w:val="0"/>
          <w:color w:val="auto"/>
          <w:szCs w:val="22"/>
          <w:lang w:val="hu-HU" w:bidi="hu-HU"/>
        </w:rPr>
        <w:t>ot</w:t>
      </w:r>
      <w:r w:rsidR="003C3E5D">
        <w:rPr>
          <w:i w:val="0"/>
          <w:color w:val="auto"/>
          <w:szCs w:val="22"/>
          <w:lang w:val="hu-HU" w:bidi="hu-HU"/>
        </w:rPr>
        <w:t xml:space="preserve"> (a zsákban és a szerelékben) </w:t>
      </w:r>
      <w:r w:rsidRPr="009D34EE">
        <w:rPr>
          <w:i w:val="0"/>
          <w:color w:val="auto"/>
          <w:szCs w:val="22"/>
          <w:lang w:val="hu-HU" w:bidi="hu-HU"/>
        </w:rPr>
        <w:t>fény</w:t>
      </w:r>
      <w:r w:rsidR="003C3E5D">
        <w:rPr>
          <w:i w:val="0"/>
          <w:color w:val="auto"/>
          <w:szCs w:val="22"/>
          <w:lang w:val="hu-HU" w:bidi="hu-HU"/>
        </w:rPr>
        <w:t xml:space="preserve">hatástól </w:t>
      </w:r>
      <w:r w:rsidR="00AE0072">
        <w:rPr>
          <w:i w:val="0"/>
          <w:color w:val="auto"/>
          <w:szCs w:val="22"/>
          <w:lang w:val="hu-HU" w:bidi="hu-HU"/>
        </w:rPr>
        <w:t>védeni</w:t>
      </w:r>
      <w:r w:rsidRPr="009D34EE">
        <w:rPr>
          <w:i w:val="0"/>
          <w:color w:val="auto"/>
          <w:szCs w:val="22"/>
          <w:lang w:val="hu-HU" w:bidi="hu-HU"/>
        </w:rPr>
        <w:t xml:space="preserve"> </w:t>
      </w:r>
      <w:r w:rsidR="003C3E5D">
        <w:rPr>
          <w:i w:val="0"/>
          <w:color w:val="auto"/>
          <w:szCs w:val="22"/>
          <w:lang w:val="hu-HU" w:bidi="hu-HU"/>
        </w:rPr>
        <w:t xml:space="preserve">kell </w:t>
      </w:r>
      <w:r w:rsidRPr="009D34EE">
        <w:rPr>
          <w:i w:val="0"/>
          <w:color w:val="auto"/>
          <w:szCs w:val="22"/>
          <w:lang w:val="hu-HU" w:bidi="hu-HU"/>
        </w:rPr>
        <w:t>egészen a készítmény beadásának végéig (lásd 4.2, 4.4 és 6.6 pont).</w:t>
      </w:r>
    </w:p>
    <w:p w14:paraId="7B028677" w14:textId="77777777" w:rsidR="00EA370D" w:rsidRPr="009D34EE" w:rsidRDefault="00EA2AF3" w:rsidP="00234769">
      <w:pPr>
        <w:pStyle w:val="Cmsor2"/>
        <w:rPr>
          <w:szCs w:val="22"/>
        </w:rPr>
      </w:pPr>
      <w:bookmarkStart w:id="23" w:name="6.4_Special_precautions_for_storage"/>
      <w:bookmarkEnd w:id="23"/>
      <w:r w:rsidRPr="009D34EE">
        <w:rPr>
          <w:szCs w:val="22"/>
          <w:lang w:val="hu-HU" w:bidi="hu-HU"/>
        </w:rPr>
        <w:t>Különleges tárolási előírások</w:t>
      </w:r>
    </w:p>
    <w:p w14:paraId="72B7F5AF" w14:textId="02F8A886" w:rsidR="003B7359" w:rsidRPr="002C373B" w:rsidRDefault="003B7359" w:rsidP="003B7359">
      <w:pPr>
        <w:rPr>
          <w:szCs w:val="22"/>
          <w:lang w:val="hu-HU"/>
        </w:rPr>
      </w:pPr>
      <w:r w:rsidRPr="00EB5836">
        <w:rPr>
          <w:szCs w:val="22"/>
          <w:lang w:val="hu-HU" w:bidi="hu-HU"/>
        </w:rPr>
        <w:t>Ez a gyógyszer különleges tárolási hőmérsékletet nem igényel. Nem fagyasztható.</w:t>
      </w:r>
    </w:p>
    <w:p w14:paraId="2A9CA8F6" w14:textId="3337B6AF" w:rsidR="00162B58" w:rsidRPr="002C373B" w:rsidRDefault="00162B58" w:rsidP="00162B5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Cs/>
          <w:noProof/>
          <w:szCs w:val="22"/>
          <w:lang w:val="hu-HU"/>
        </w:rPr>
      </w:pPr>
      <w:r>
        <w:rPr>
          <w:noProof/>
          <w:szCs w:val="22"/>
          <w:lang w:val="hu-HU" w:bidi="hu-HU"/>
        </w:rPr>
        <w:t xml:space="preserve">A külső </w:t>
      </w:r>
      <w:r w:rsidR="00AE0072">
        <w:rPr>
          <w:noProof/>
          <w:szCs w:val="22"/>
          <w:lang w:val="hu-HU" w:bidi="hu-HU"/>
        </w:rPr>
        <w:t>védőzsákban</w:t>
      </w:r>
      <w:r>
        <w:rPr>
          <w:noProof/>
          <w:szCs w:val="22"/>
          <w:lang w:val="hu-HU" w:bidi="hu-HU"/>
        </w:rPr>
        <w:t xml:space="preserve"> tárolandó. </w:t>
      </w:r>
    </w:p>
    <w:p w14:paraId="75E63EE9" w14:textId="77777777" w:rsidR="00EA370D" w:rsidRPr="002C373B" w:rsidRDefault="00EA370D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1D08739F" w14:textId="77777777" w:rsidR="00EA370D" w:rsidRPr="002C373B" w:rsidRDefault="00EA2AF3" w:rsidP="00B2604A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Keverés utáni tárolás</w:t>
      </w:r>
    </w:p>
    <w:p w14:paraId="022DA3A7" w14:textId="2F610F1F" w:rsidR="00AE0072" w:rsidRPr="002C373B" w:rsidRDefault="00AE0072" w:rsidP="00AE0072">
      <w:pPr>
        <w:rPr>
          <w:noProof/>
          <w:szCs w:val="24"/>
          <w:lang w:val="hu-HU"/>
        </w:rPr>
      </w:pPr>
      <w:r w:rsidRPr="002C373B">
        <w:rPr>
          <w:noProof/>
          <w:szCs w:val="24"/>
          <w:lang w:val="hu-HU"/>
        </w:rPr>
        <w:t>Mikrobiológiai szempontból a készítményt adalékanyagokkal történő hígítás követően azonnal fel kell használni. Amennyiben az adalékanyagokat tartalmazó készítményt nem használják fel azonnal, a felhasználás előtti tárolási időért és körülményekért a felhasználó a felelős, és ez általában nem haladhatja meg a 24 órát 2‒8°C-on, kivéve, ha az adagolás ellenőrzött és validált aszeptikus körülmények között történt.</w:t>
      </w:r>
    </w:p>
    <w:p w14:paraId="434E4417" w14:textId="7955A4B4" w:rsidR="00392B85" w:rsidRPr="002C373B" w:rsidRDefault="00392B85" w:rsidP="009A3F59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8638F58" w14:textId="77777777" w:rsidR="00EA370D" w:rsidRPr="009D34EE" w:rsidRDefault="00EA2AF3" w:rsidP="00234769">
      <w:pPr>
        <w:pStyle w:val="Cmsor2"/>
        <w:rPr>
          <w:szCs w:val="22"/>
        </w:rPr>
      </w:pPr>
      <w:bookmarkStart w:id="24" w:name="6.5_Nature_and_content_of_container"/>
      <w:bookmarkEnd w:id="24"/>
      <w:r w:rsidRPr="009D34EE">
        <w:rPr>
          <w:szCs w:val="22"/>
          <w:lang w:val="hu-HU" w:bidi="hu-HU"/>
        </w:rPr>
        <w:t>Csomagolás típusa és kiszerelése</w:t>
      </w:r>
    </w:p>
    <w:p w14:paraId="530FC5EB" w14:textId="699E7359" w:rsidR="002D4AE6" w:rsidRPr="002C373B" w:rsidRDefault="00AE0072" w:rsidP="002D4A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hu-HU" w:bidi="he-IL"/>
        </w:rPr>
      </w:pPr>
      <w:r w:rsidRPr="00AE0072">
        <w:rPr>
          <w:rFonts w:eastAsiaTheme="minorHAnsi"/>
          <w:szCs w:val="22"/>
          <w:lang w:val="hu-HU" w:bidi="hu-HU"/>
        </w:rPr>
        <w:t>A tartály egy belső zsákból (elsődleges csomagolás) és egy külső védőzsákból áll. Az oxigén megkötő a belső zsák és a külső védőzsák között helyezkedik el.</w:t>
      </w:r>
    </w:p>
    <w:p w14:paraId="1F28A9DB" w14:textId="0D1A183F" w:rsidR="002D4AE6" w:rsidRPr="002C373B" w:rsidRDefault="002D4AE6" w:rsidP="002D4AE6">
      <w:pPr>
        <w:pStyle w:val="ListHyphen"/>
        <w:rPr>
          <w:rFonts w:eastAsiaTheme="minorHAnsi"/>
          <w:lang w:val="hu-HU" w:bidi="he-IL"/>
        </w:rPr>
      </w:pPr>
      <w:r>
        <w:rPr>
          <w:rFonts w:eastAsiaTheme="minorHAnsi"/>
          <w:lang w:val="hu-HU" w:bidi="hu-HU"/>
        </w:rPr>
        <w:t xml:space="preserve">A belső </w:t>
      </w:r>
      <w:r w:rsidR="00670168">
        <w:rPr>
          <w:rFonts w:eastAsiaTheme="minorHAnsi"/>
          <w:lang w:val="hu-HU" w:bidi="hu-HU"/>
        </w:rPr>
        <w:t>zsák</w:t>
      </w:r>
      <w:r>
        <w:rPr>
          <w:rFonts w:eastAsiaTheme="minorHAnsi"/>
          <w:lang w:val="hu-HU" w:bidi="hu-HU"/>
        </w:rPr>
        <w:t xml:space="preserve"> többrétegű polimer film</w:t>
      </w:r>
      <w:r w:rsidR="00670168">
        <w:rPr>
          <w:rFonts w:eastAsiaTheme="minorHAnsi"/>
          <w:lang w:val="hu-HU" w:bidi="hu-HU"/>
        </w:rPr>
        <w:t>rétegből</w:t>
      </w:r>
      <w:r>
        <w:rPr>
          <w:rFonts w:eastAsiaTheme="minorHAnsi"/>
          <w:lang w:val="hu-HU" w:bidi="hu-HU"/>
        </w:rPr>
        <w:t xml:space="preserve"> készült.</w:t>
      </w:r>
    </w:p>
    <w:p w14:paraId="3B9C8B6A" w14:textId="13BDD02A" w:rsidR="002D4AE6" w:rsidRPr="00EE14B6" w:rsidRDefault="002D4AE6" w:rsidP="00670168">
      <w:pPr>
        <w:pStyle w:val="ListHyphen"/>
        <w:rPr>
          <w:rFonts w:eastAsiaTheme="minorHAnsi"/>
          <w:lang w:val="hu-HU" w:bidi="he-IL"/>
        </w:rPr>
      </w:pPr>
      <w:r w:rsidRPr="00EE14B6">
        <w:rPr>
          <w:rFonts w:eastAsiaTheme="minorHAnsi"/>
          <w:lang w:val="hu-HU" w:bidi="hu-HU"/>
        </w:rPr>
        <w:t>A belső zsák polipropilén polimer</w:t>
      </w:r>
      <w:r w:rsidR="00670168" w:rsidRPr="00EE14B6">
        <w:rPr>
          <w:rFonts w:eastAsiaTheme="minorHAnsi"/>
          <w:lang w:val="hu-HU" w:bidi="hu-HU"/>
        </w:rPr>
        <w:t xml:space="preserve"> filmből</w:t>
      </w:r>
      <w:r w:rsidRPr="00EE14B6">
        <w:rPr>
          <w:rFonts w:eastAsiaTheme="minorHAnsi"/>
          <w:lang w:val="hu-HU" w:bidi="hu-HU"/>
        </w:rPr>
        <w:t xml:space="preserve"> </w:t>
      </w:r>
      <w:r w:rsidR="00FA6984" w:rsidRPr="00EE14B6">
        <w:rPr>
          <w:rFonts w:eastAsiaTheme="minorHAnsi"/>
          <w:lang w:val="hu-HU" w:bidi="hu-HU"/>
        </w:rPr>
        <w:t>áll</w:t>
      </w:r>
      <w:r w:rsidRPr="00EE14B6">
        <w:rPr>
          <w:rFonts w:eastAsiaTheme="minorHAnsi"/>
          <w:lang w:val="hu-HU" w:bidi="hu-HU"/>
        </w:rPr>
        <w:t xml:space="preserve">. </w:t>
      </w:r>
      <w:r w:rsidR="00670168" w:rsidRPr="00EE14B6">
        <w:rPr>
          <w:rFonts w:eastAsiaTheme="minorHAnsi"/>
          <w:lang w:val="hu-HU" w:bidi="hu-HU"/>
        </w:rPr>
        <w:t xml:space="preserve">Az infúziós és kiegészítő csatlakozók polipropilénből készültek. </w:t>
      </w:r>
    </w:p>
    <w:p w14:paraId="4AD2DB58" w14:textId="194F6673" w:rsidR="002D4AE6" w:rsidRPr="002C373B" w:rsidRDefault="00670168" w:rsidP="00670168">
      <w:pPr>
        <w:pStyle w:val="ListHyphen"/>
        <w:rPr>
          <w:rFonts w:eastAsiaTheme="minorHAnsi"/>
          <w:lang w:val="hu-HU" w:bidi="he-IL"/>
        </w:rPr>
      </w:pPr>
      <w:r w:rsidRPr="00EE14B6">
        <w:rPr>
          <w:rFonts w:eastAsiaTheme="minorHAnsi"/>
          <w:lang w:val="hu-HU" w:bidi="hu-HU"/>
        </w:rPr>
        <w:t>Az oxigén átjutását gátló külső védőzsák polipropilént</w:t>
      </w:r>
      <w:r w:rsidRPr="00670168">
        <w:rPr>
          <w:rFonts w:eastAsiaTheme="minorHAnsi"/>
          <w:lang w:val="hu-HU" w:bidi="hu-HU"/>
        </w:rPr>
        <w:t xml:space="preserve"> tartalmaz.</w:t>
      </w:r>
    </w:p>
    <w:p w14:paraId="43581E62" w14:textId="7F1DEC62" w:rsidR="00670168" w:rsidRPr="00670168" w:rsidRDefault="00670168" w:rsidP="00670168">
      <w:pPr>
        <w:pStyle w:val="ListHyphen"/>
        <w:rPr>
          <w:rFonts w:eastAsiaTheme="minorHAnsi"/>
          <w:lang w:val="hu-HU" w:bidi="hu-HU"/>
        </w:rPr>
      </w:pPr>
      <w:r w:rsidRPr="00670168">
        <w:rPr>
          <w:rFonts w:eastAsiaTheme="minorHAnsi"/>
          <w:lang w:val="hu-HU" w:bidi="hu-HU"/>
        </w:rPr>
        <w:t>Az oxigén megkötő polimer</w:t>
      </w:r>
      <w:r>
        <w:rPr>
          <w:rFonts w:eastAsiaTheme="minorHAnsi"/>
          <w:lang w:val="hu-HU" w:bidi="hu-HU"/>
        </w:rPr>
        <w:t xml:space="preserve"> a</w:t>
      </w:r>
      <w:r w:rsidRPr="00670168">
        <w:rPr>
          <w:rFonts w:eastAsiaTheme="minorHAnsi"/>
          <w:lang w:val="hu-HU" w:bidi="hu-HU"/>
        </w:rPr>
        <w:t xml:space="preserve"> tasakban található vasporból áll.</w:t>
      </w:r>
    </w:p>
    <w:p w14:paraId="26927CEE" w14:textId="77777777" w:rsidR="00670168" w:rsidRPr="00670168" w:rsidRDefault="00670168" w:rsidP="002C373B">
      <w:pPr>
        <w:pStyle w:val="ListHyphen"/>
        <w:numPr>
          <w:ilvl w:val="0"/>
          <w:numId w:val="0"/>
        </w:numPr>
        <w:rPr>
          <w:rFonts w:eastAsiaTheme="minorHAnsi"/>
          <w:lang w:val="hu-HU" w:bidi="hu-HU"/>
        </w:rPr>
      </w:pPr>
      <w:r w:rsidRPr="00670168">
        <w:rPr>
          <w:rFonts w:eastAsiaTheme="minorHAnsi"/>
          <w:lang w:val="hu-HU" w:bidi="hu-HU"/>
        </w:rPr>
        <w:t>A külső védőzsákot és az oxigén megkötőt a külső védőzsák felnyitása után ki kell dobni.</w:t>
      </w:r>
    </w:p>
    <w:p w14:paraId="62F3B573" w14:textId="77777777" w:rsidR="00EA370D" w:rsidRPr="002C373B" w:rsidRDefault="00EA370D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3A84E7ED" w14:textId="6BDC8B24" w:rsidR="00EA370D" w:rsidRPr="002C373B" w:rsidRDefault="00EA2AF3" w:rsidP="004C315B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Kiszerelés:</w:t>
      </w:r>
    </w:p>
    <w:p w14:paraId="0D5C2DF3" w14:textId="7F9B9B76" w:rsidR="00160DEA" w:rsidRPr="002C373B" w:rsidRDefault="00160DEA" w:rsidP="00160DEA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1 zsák </w:t>
      </w:r>
      <w:r w:rsidR="000837FE">
        <w:rPr>
          <w:i w:val="0"/>
          <w:color w:val="auto"/>
          <w:szCs w:val="22"/>
          <w:lang w:val="hu-HU" w:bidi="hu-HU"/>
        </w:rPr>
        <w:t>×</w:t>
      </w:r>
      <w:r w:rsidRPr="009D34EE">
        <w:rPr>
          <w:i w:val="0"/>
          <w:color w:val="auto"/>
          <w:szCs w:val="22"/>
          <w:lang w:val="hu-HU" w:bidi="hu-HU"/>
        </w:rPr>
        <w:t xml:space="preserve"> 100 ml, 10 zsák </w:t>
      </w:r>
      <w:r w:rsidR="000837FE">
        <w:rPr>
          <w:i w:val="0"/>
          <w:color w:val="auto"/>
          <w:szCs w:val="22"/>
          <w:lang w:val="hu-HU" w:bidi="hu-HU"/>
        </w:rPr>
        <w:t>×</w:t>
      </w:r>
      <w:r w:rsidRPr="009D34EE">
        <w:rPr>
          <w:i w:val="0"/>
          <w:color w:val="auto"/>
          <w:szCs w:val="22"/>
          <w:lang w:val="hu-HU" w:bidi="hu-HU"/>
        </w:rPr>
        <w:t xml:space="preserve"> 100 ml</w:t>
      </w:r>
    </w:p>
    <w:p w14:paraId="245B7CE6" w14:textId="38FBFF2F" w:rsidR="00160DEA" w:rsidRPr="002C373B" w:rsidRDefault="00160DEA" w:rsidP="00160DEA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1 zsák </w:t>
      </w:r>
      <w:r w:rsidR="000837FE">
        <w:rPr>
          <w:i w:val="0"/>
          <w:color w:val="auto"/>
          <w:szCs w:val="22"/>
          <w:lang w:val="hu-HU" w:bidi="hu-HU"/>
        </w:rPr>
        <w:t>×</w:t>
      </w:r>
      <w:r w:rsidRPr="009D34EE">
        <w:rPr>
          <w:i w:val="0"/>
          <w:color w:val="auto"/>
          <w:szCs w:val="22"/>
          <w:lang w:val="hu-HU" w:bidi="hu-HU"/>
        </w:rPr>
        <w:t xml:space="preserve"> 250 ml, 10 zsák </w:t>
      </w:r>
      <w:r w:rsidR="000837FE">
        <w:rPr>
          <w:i w:val="0"/>
          <w:color w:val="auto"/>
          <w:szCs w:val="22"/>
          <w:lang w:val="hu-HU" w:bidi="hu-HU"/>
        </w:rPr>
        <w:t>×</w:t>
      </w:r>
      <w:r w:rsidRPr="009D34EE">
        <w:rPr>
          <w:i w:val="0"/>
          <w:color w:val="auto"/>
          <w:szCs w:val="22"/>
          <w:lang w:val="hu-HU" w:bidi="hu-HU"/>
        </w:rPr>
        <w:t xml:space="preserve"> 250 ml</w:t>
      </w:r>
    </w:p>
    <w:p w14:paraId="64D3512E" w14:textId="6D57A516" w:rsidR="00160DEA" w:rsidRPr="002C373B" w:rsidRDefault="00160DEA" w:rsidP="00160DEA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1 zsák </w:t>
      </w:r>
      <w:r w:rsidR="000837FE">
        <w:rPr>
          <w:i w:val="0"/>
          <w:color w:val="auto"/>
          <w:szCs w:val="22"/>
          <w:lang w:val="hu-HU" w:bidi="hu-HU"/>
        </w:rPr>
        <w:t>×</w:t>
      </w:r>
      <w:r w:rsidRPr="009D34EE">
        <w:rPr>
          <w:i w:val="0"/>
          <w:color w:val="auto"/>
          <w:szCs w:val="22"/>
          <w:lang w:val="hu-HU" w:bidi="hu-HU"/>
        </w:rPr>
        <w:t xml:space="preserve"> 500 ml, 12 zsák </w:t>
      </w:r>
      <w:r w:rsidR="000837FE">
        <w:rPr>
          <w:i w:val="0"/>
          <w:color w:val="auto"/>
          <w:szCs w:val="22"/>
          <w:lang w:val="hu-HU" w:bidi="hu-HU"/>
        </w:rPr>
        <w:t>×</w:t>
      </w:r>
      <w:r w:rsidRPr="009D34EE">
        <w:rPr>
          <w:i w:val="0"/>
          <w:color w:val="auto"/>
          <w:szCs w:val="22"/>
          <w:lang w:val="hu-HU" w:bidi="hu-HU"/>
        </w:rPr>
        <w:t xml:space="preserve"> 500 ml</w:t>
      </w:r>
    </w:p>
    <w:p w14:paraId="7EE15038" w14:textId="77777777" w:rsidR="004C315B" w:rsidRPr="002C373B" w:rsidRDefault="004C315B" w:rsidP="004C315B">
      <w:pPr>
        <w:pStyle w:val="Szvegtrzs"/>
        <w:tabs>
          <w:tab w:val="left" w:pos="2708"/>
        </w:tabs>
        <w:rPr>
          <w:spacing w:val="-9"/>
          <w:szCs w:val="22"/>
          <w:lang w:val="hu-HU"/>
        </w:rPr>
      </w:pPr>
    </w:p>
    <w:p w14:paraId="34025BCD" w14:textId="1C72E5A9" w:rsidR="00EA370D" w:rsidRPr="002C373B" w:rsidRDefault="00EA2AF3" w:rsidP="004C315B">
      <w:pPr>
        <w:pStyle w:val="Szvegtrzs"/>
        <w:tabs>
          <w:tab w:val="left" w:pos="2708"/>
        </w:tabs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Nem feltétlenül mindegyik kiszerelés kerül kereskedelmi forgalomba.</w:t>
      </w:r>
    </w:p>
    <w:p w14:paraId="6A5F0332" w14:textId="77777777" w:rsidR="00EA370D" w:rsidRPr="002C373B" w:rsidRDefault="00EA2AF3" w:rsidP="00160DEA">
      <w:pPr>
        <w:pStyle w:val="Cmsor2"/>
        <w:rPr>
          <w:szCs w:val="22"/>
          <w:lang w:val="hu-HU"/>
        </w:rPr>
      </w:pPr>
      <w:bookmarkStart w:id="25" w:name="6.6_Special_precautions_for_disposal_and"/>
      <w:bookmarkEnd w:id="25"/>
      <w:r w:rsidRPr="009D34EE">
        <w:rPr>
          <w:szCs w:val="22"/>
          <w:lang w:val="hu-HU" w:bidi="hu-HU"/>
        </w:rPr>
        <w:t>A megsemmisítésre vonatkozó különleges óvintézkedések és egyéb, a készítmény kezelésével kapcsolatos információk</w:t>
      </w:r>
    </w:p>
    <w:p w14:paraId="5A0A9178" w14:textId="77777777" w:rsidR="00EA370D" w:rsidRPr="002C373B" w:rsidRDefault="00EA2AF3" w:rsidP="004C315B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Kizárólag homogén emulzió használható fel.</w:t>
      </w:r>
    </w:p>
    <w:p w14:paraId="37854A98" w14:textId="77777777" w:rsidR="00BA3238" w:rsidRPr="002C373B" w:rsidRDefault="00BA3238" w:rsidP="00BA3238">
      <w:pPr>
        <w:pStyle w:val="Szvegtrzs"/>
        <w:tabs>
          <w:tab w:val="left" w:pos="9356"/>
        </w:tabs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Alkalmazás előtt vizuálisan meg kell vizsgálni, hogy az emulzióban a fázisok nem különültek-e el. Meg kell bizonyosodni arról, hogy a végleges emulziós infúzió nem mutatja a fázisszétválás semmilyen jelét.</w:t>
      </w:r>
    </w:p>
    <w:p w14:paraId="627B8F8B" w14:textId="77777777" w:rsidR="00EA370D" w:rsidRPr="002C373B" w:rsidRDefault="00EA370D" w:rsidP="004C315B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393EB75D" w14:textId="254B9692" w:rsidR="00EA370D" w:rsidRPr="002C373B" w:rsidRDefault="00EA2AF3" w:rsidP="002810CC">
      <w:pPr>
        <w:pStyle w:val="Szvegtrzs"/>
        <w:tabs>
          <w:tab w:val="left" w:pos="9356"/>
        </w:tabs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Újszülötteknél és két évesnél fiatalabb gyermekeknél történő alkalmazás esetén az oldat fénytől védve tartandó, egészen a készítmény beadásának végéig. 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 környezeti fényexpozíciója, különösen nyomelemek és/vagy vitaminok hozzáadását követően, peroxidok és egyéb lebomlási termékek kialakulását okozhatja, ami a </w:t>
      </w:r>
      <w:r w:rsidRPr="009D34EE">
        <w:rPr>
          <w:i w:val="0"/>
          <w:color w:val="auto"/>
          <w:spacing w:val="-3"/>
          <w:szCs w:val="22"/>
          <w:lang w:val="hu-HU" w:bidi="hu-HU"/>
        </w:rPr>
        <w:t>fényvédelemmel</w:t>
      </w:r>
      <w:r w:rsidRPr="009D34EE">
        <w:rPr>
          <w:i w:val="0"/>
          <w:color w:val="auto"/>
          <w:szCs w:val="22"/>
          <w:lang w:val="hu-HU" w:bidi="hu-HU"/>
        </w:rPr>
        <w:t xml:space="preserve"> csökkenthető (lásd 4.2, 4.4 és 6.3 pont).</w:t>
      </w:r>
    </w:p>
    <w:p w14:paraId="360D4BE5" w14:textId="77777777" w:rsidR="00EA370D" w:rsidRPr="002C373B" w:rsidRDefault="00EA370D" w:rsidP="004C315B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11D6F666" w14:textId="77777777" w:rsidR="00EA370D" w:rsidRPr="002C373B" w:rsidRDefault="00EA2AF3" w:rsidP="002810CC">
      <w:pPr>
        <w:pStyle w:val="Szvegtrzs"/>
        <w:tabs>
          <w:tab w:val="left" w:pos="9356"/>
        </w:tabs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>Kizárólag egyszeri alkalmazásra. A fel nem használt emulziót ki kell dobni.</w:t>
      </w:r>
    </w:p>
    <w:p w14:paraId="7EB7501D" w14:textId="77777777" w:rsidR="00EA370D" w:rsidRPr="002C373B" w:rsidRDefault="00EA370D" w:rsidP="004C315B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5989570E" w14:textId="77777777" w:rsidR="00EA370D" w:rsidRPr="002C373B" w:rsidRDefault="00EA2AF3" w:rsidP="004C315B">
      <w:pPr>
        <w:pStyle w:val="Szvegtrzs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u w:val="single"/>
          <w:lang w:val="hu-HU" w:bidi="hu-HU"/>
        </w:rPr>
        <w:t>Adalékanyagok</w:t>
      </w:r>
    </w:p>
    <w:p w14:paraId="04DD8AEF" w14:textId="4AD4A1FF" w:rsidR="00EA370D" w:rsidRPr="002C373B" w:rsidRDefault="004552DB" w:rsidP="002810CC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  <w:r w:rsidRPr="009D34EE">
        <w:rPr>
          <w:i w:val="0"/>
          <w:color w:val="auto"/>
          <w:szCs w:val="22"/>
          <w:lang w:val="hu-HU" w:bidi="hu-HU"/>
        </w:rPr>
        <w:t xml:space="preserve">A </w:t>
      </w:r>
      <w:proofErr w:type="spellStart"/>
      <w:r w:rsidRPr="009D34EE">
        <w:rPr>
          <w:i w:val="0"/>
          <w:color w:val="auto"/>
          <w:szCs w:val="22"/>
          <w:lang w:val="hu-HU" w:bidi="hu-HU"/>
        </w:rPr>
        <w:t>Ziremilon</w:t>
      </w:r>
      <w:proofErr w:type="spellEnd"/>
      <w:r w:rsidRPr="009D34EE">
        <w:rPr>
          <w:i w:val="0"/>
          <w:color w:val="auto"/>
          <w:szCs w:val="22"/>
          <w:lang w:val="hu-HU" w:bidi="hu-HU"/>
        </w:rPr>
        <w:t xml:space="preserve"> 200 mg/ml emulziós infúzió aszeptikusan keverhető aminosav, glükóz és elektrolit oldatokkal.</w:t>
      </w:r>
    </w:p>
    <w:p w14:paraId="422793F1" w14:textId="77777777" w:rsidR="00EA370D" w:rsidRPr="002C373B" w:rsidRDefault="00EA370D" w:rsidP="004C315B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3D1CDA2A" w14:textId="77777777" w:rsidR="0069132C" w:rsidRPr="002C373B" w:rsidRDefault="0069132C" w:rsidP="004C315B">
      <w:pPr>
        <w:pStyle w:val="Szvegtrzs"/>
        <w:rPr>
          <w:i w:val="0"/>
          <w:iCs/>
          <w:color w:val="auto"/>
          <w:szCs w:val="22"/>
          <w:lang w:val="hu-HU"/>
        </w:rPr>
      </w:pPr>
    </w:p>
    <w:p w14:paraId="204DE16E" w14:textId="77777777" w:rsidR="00EA370D" w:rsidRPr="009D34EE" w:rsidRDefault="00EA2AF3" w:rsidP="004C315B">
      <w:pPr>
        <w:pStyle w:val="Szvegtrzs"/>
        <w:rPr>
          <w:i w:val="0"/>
          <w:iCs/>
          <w:color w:val="auto"/>
          <w:szCs w:val="22"/>
        </w:rPr>
      </w:pPr>
      <w:r w:rsidRPr="009D34EE">
        <w:rPr>
          <w:i w:val="0"/>
          <w:color w:val="auto"/>
          <w:szCs w:val="22"/>
          <w:lang w:val="hu-HU" w:bidi="hu-HU"/>
        </w:rPr>
        <w:t>A hozzáadást aszeptikusan kell végrehajtani.</w:t>
      </w:r>
    </w:p>
    <w:p w14:paraId="66CDF128" w14:textId="77777777" w:rsidR="00EA370D" w:rsidRPr="009D34EE" w:rsidRDefault="00EA370D" w:rsidP="004C315B">
      <w:pPr>
        <w:pStyle w:val="Szvegtrzs"/>
        <w:rPr>
          <w:i w:val="0"/>
          <w:iCs/>
          <w:color w:val="auto"/>
          <w:szCs w:val="22"/>
        </w:rPr>
      </w:pPr>
    </w:p>
    <w:p w14:paraId="16E81FBE" w14:textId="75D52D33" w:rsidR="004C315B" w:rsidRDefault="00EA2AF3" w:rsidP="00160DEA">
      <w:pPr>
        <w:pStyle w:val="Szvegtrzs"/>
        <w:ind w:right="74"/>
        <w:rPr>
          <w:i w:val="0"/>
          <w:color w:val="auto"/>
          <w:szCs w:val="22"/>
          <w:lang w:val="hu-HU" w:bidi="hu-HU"/>
        </w:rPr>
      </w:pPr>
      <w:r w:rsidRPr="009D34EE">
        <w:rPr>
          <w:i w:val="0"/>
          <w:color w:val="auto"/>
          <w:szCs w:val="22"/>
          <w:lang w:val="hu-HU" w:bidi="hu-HU"/>
        </w:rPr>
        <w:t>Bármilyen fel nem használt gyógyszer, illetve hulladékanyag megsemmisítését a gyógyszerekre vonatkozó előírások szerint kell végrehajtani.</w:t>
      </w:r>
    </w:p>
    <w:p w14:paraId="0E33F724" w14:textId="35BD89A2" w:rsidR="00C26E00" w:rsidRDefault="00C26E00" w:rsidP="00160DEA">
      <w:pPr>
        <w:pStyle w:val="Szvegtrzs"/>
        <w:ind w:right="74"/>
        <w:rPr>
          <w:i w:val="0"/>
          <w:color w:val="auto"/>
          <w:szCs w:val="22"/>
          <w:lang w:val="hu-HU" w:bidi="hu-HU"/>
        </w:rPr>
      </w:pPr>
    </w:p>
    <w:p w14:paraId="12043E23" w14:textId="08127980" w:rsidR="00C26E00" w:rsidRPr="00C26E00" w:rsidRDefault="00C26E00" w:rsidP="00C26E00">
      <w:pPr>
        <w:tabs>
          <w:tab w:val="clear" w:pos="567"/>
        </w:tabs>
        <w:suppressAutoHyphens/>
        <w:spacing w:line="240" w:lineRule="auto"/>
        <w:rPr>
          <w:snapToGrid w:val="0"/>
          <w:szCs w:val="22"/>
          <w:lang w:val="hu-HU" w:eastAsia="hu-HU"/>
        </w:rPr>
      </w:pPr>
      <w:r w:rsidRPr="00C26E00">
        <w:rPr>
          <w:b/>
          <w:noProof/>
          <w:snapToGrid w:val="0"/>
          <w:szCs w:val="22"/>
          <w:lang w:val="hu-HU" w:eastAsia="hu-HU"/>
        </w:rPr>
        <w:t>Megjegyzés</w:t>
      </w:r>
      <w:proofErr w:type="gramStart"/>
      <w:r w:rsidRPr="00C26E00">
        <w:rPr>
          <w:b/>
          <w:noProof/>
          <w:snapToGrid w:val="0"/>
          <w:szCs w:val="22"/>
          <w:lang w:val="hu-HU" w:eastAsia="hu-HU"/>
        </w:rPr>
        <w:t>:</w:t>
      </w:r>
      <w:r w:rsidRPr="00C26E00">
        <w:rPr>
          <w:snapToGrid w:val="0"/>
          <w:sz w:val="24"/>
          <w:lang w:val="hu-HU" w:eastAsia="hu-HU"/>
        </w:rPr>
        <w:t xml:space="preserve"> </w:t>
      </w:r>
      <w:r w:rsidR="006E50D1">
        <w:rPr>
          <w:noProof/>
          <w:snapToGrid w:val="0"/>
          <w:szCs w:val="22"/>
          <w:lang w:val="hu-HU" w:eastAsia="hu-HU"/>
        </w:rPr>
        <w:t xml:space="preserve"> (</w:t>
      </w:r>
      <w:proofErr w:type="gramEnd"/>
      <w:r w:rsidRPr="00C26E00">
        <w:rPr>
          <w:noProof/>
          <w:snapToGrid w:val="0"/>
          <w:szCs w:val="22"/>
          <w:lang w:val="hu-HU" w:eastAsia="hu-HU"/>
        </w:rPr>
        <w:t>keresztes</w:t>
      </w:r>
      <w:r w:rsidR="006E50D1">
        <w:rPr>
          <w:noProof/>
          <w:snapToGrid w:val="0"/>
          <w:szCs w:val="22"/>
          <w:lang w:val="hu-HU" w:eastAsia="hu-HU"/>
        </w:rPr>
        <w:t>ztjelzés nélküli</w:t>
      </w:r>
      <w:r w:rsidRPr="00C26E00">
        <w:rPr>
          <w:snapToGrid w:val="0"/>
          <w:szCs w:val="22"/>
          <w:lang w:val="hu-HU" w:eastAsia="hu-HU"/>
        </w:rPr>
        <w:t>)</w:t>
      </w:r>
    </w:p>
    <w:p w14:paraId="47D0853A" w14:textId="77777777" w:rsidR="00C26E00" w:rsidRPr="00C26E00" w:rsidRDefault="00C26E00" w:rsidP="00C26E00">
      <w:pPr>
        <w:tabs>
          <w:tab w:val="clear" w:pos="567"/>
        </w:tabs>
        <w:suppressAutoHyphens/>
        <w:spacing w:line="240" w:lineRule="auto"/>
        <w:rPr>
          <w:snapToGrid w:val="0"/>
          <w:szCs w:val="22"/>
          <w:lang w:val="hu-HU" w:eastAsia="hu-HU"/>
        </w:rPr>
      </w:pPr>
      <w:r w:rsidRPr="00C26E00">
        <w:rPr>
          <w:b/>
          <w:snapToGrid w:val="0"/>
          <w:szCs w:val="22"/>
          <w:lang w:val="hu-HU"/>
        </w:rPr>
        <w:t>Osztályozás</w:t>
      </w:r>
      <w:r w:rsidRPr="00C26E00">
        <w:rPr>
          <w:noProof/>
          <w:snapToGrid w:val="0"/>
          <w:szCs w:val="22"/>
          <w:lang w:val="hu-HU" w:eastAsia="hu-HU"/>
        </w:rPr>
        <w:t>:</w:t>
      </w:r>
      <w:r w:rsidRPr="00C26E00">
        <w:rPr>
          <w:snapToGrid w:val="0"/>
          <w:szCs w:val="22"/>
          <w:lang w:val="hu-HU" w:eastAsia="hu-HU"/>
        </w:rPr>
        <w:t xml:space="preserve"> </w:t>
      </w:r>
      <w:r w:rsidRPr="00C26E00">
        <w:rPr>
          <w:b/>
          <w:noProof/>
          <w:snapToGrid w:val="0"/>
          <w:szCs w:val="22"/>
          <w:lang w:val="hu-HU" w:eastAsia="hu-HU"/>
        </w:rPr>
        <w:t>II./3 csoport</w:t>
      </w:r>
    </w:p>
    <w:p w14:paraId="2593EAF9" w14:textId="77777777" w:rsidR="00C26E00" w:rsidRPr="00C26E00" w:rsidRDefault="00C26E00" w:rsidP="00C26E00">
      <w:pPr>
        <w:tabs>
          <w:tab w:val="clear" w:pos="567"/>
          <w:tab w:val="left" w:pos="501"/>
        </w:tabs>
        <w:suppressAutoHyphens/>
        <w:spacing w:line="240" w:lineRule="auto"/>
        <w:rPr>
          <w:szCs w:val="22"/>
          <w:lang w:val="hu-HU"/>
        </w:rPr>
      </w:pPr>
      <w:r w:rsidRPr="00C26E00">
        <w:rPr>
          <w:szCs w:val="22"/>
          <w:lang w:val="hu-HU"/>
        </w:rPr>
        <w:t>Korlátozott érvényű orvosi rendelvényhez kötött, az egészségügyről szóló 1997. évi CLIV. törvény 3 §-</w:t>
      </w:r>
      <w:proofErr w:type="spellStart"/>
      <w:r w:rsidRPr="00C26E00">
        <w:rPr>
          <w:szCs w:val="22"/>
          <w:lang w:val="hu-HU"/>
        </w:rPr>
        <w:t>ának</w:t>
      </w:r>
      <w:proofErr w:type="spellEnd"/>
      <w:r w:rsidRPr="00C26E00">
        <w:rPr>
          <w:szCs w:val="22"/>
          <w:lang w:val="hu-HU"/>
        </w:rPr>
        <w:t xml:space="preserve"> </w:t>
      </w:r>
      <w:proofErr w:type="spellStart"/>
      <w:r w:rsidRPr="00C26E00">
        <w:rPr>
          <w:szCs w:val="22"/>
          <w:lang w:val="hu-HU"/>
        </w:rPr>
        <w:t>ga</w:t>
      </w:r>
      <w:proofErr w:type="spellEnd"/>
      <w:r w:rsidRPr="00C26E00">
        <w:rPr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4355D31C" w14:textId="77777777" w:rsidR="00C26E00" w:rsidRPr="002C373B" w:rsidRDefault="00C26E00" w:rsidP="00160DEA">
      <w:pPr>
        <w:pStyle w:val="Szvegtrzs"/>
        <w:ind w:right="74"/>
        <w:rPr>
          <w:i w:val="0"/>
          <w:iCs/>
          <w:color w:val="auto"/>
          <w:szCs w:val="22"/>
          <w:lang w:val="hu-HU"/>
        </w:rPr>
      </w:pPr>
    </w:p>
    <w:p w14:paraId="1407D8EC" w14:textId="1AD0A59E" w:rsidR="004C315B" w:rsidRPr="009D34EE" w:rsidRDefault="00EA2AF3" w:rsidP="00160DEA">
      <w:pPr>
        <w:pStyle w:val="Cmsor1"/>
        <w:rPr>
          <w:szCs w:val="22"/>
        </w:rPr>
      </w:pPr>
      <w:bookmarkStart w:id="26" w:name="7._Marketing_Authorisation_Holder"/>
      <w:bookmarkEnd w:id="26"/>
      <w:r w:rsidRPr="009D34EE">
        <w:rPr>
          <w:szCs w:val="22"/>
          <w:lang w:val="hu-HU" w:bidi="hu-HU"/>
        </w:rPr>
        <w:t>A FORGALOMBA HOZATALI ENGEDÉLY JOGOSULTJA</w:t>
      </w:r>
    </w:p>
    <w:p w14:paraId="3FC218E3" w14:textId="77777777" w:rsidR="001F1B22" w:rsidRPr="00815337" w:rsidRDefault="001F1B22" w:rsidP="001F1B22">
      <w:pPr>
        <w:widowControl w:val="0"/>
        <w:autoSpaceDE w:val="0"/>
        <w:autoSpaceDN w:val="0"/>
        <w:adjustRightInd w:val="0"/>
        <w:spacing w:line="240" w:lineRule="auto"/>
      </w:pPr>
      <w:proofErr w:type="spellStart"/>
      <w:r w:rsidRPr="00815337">
        <w:t>Noridem</w:t>
      </w:r>
      <w:proofErr w:type="spellEnd"/>
      <w:r w:rsidRPr="00815337">
        <w:t xml:space="preserve"> Enterprises Limited </w:t>
      </w:r>
    </w:p>
    <w:p w14:paraId="144182E7" w14:textId="77777777" w:rsidR="001F1B22" w:rsidRPr="00815337" w:rsidRDefault="001F1B22" w:rsidP="001F1B22">
      <w:pPr>
        <w:widowControl w:val="0"/>
        <w:autoSpaceDE w:val="0"/>
        <w:autoSpaceDN w:val="0"/>
        <w:adjustRightInd w:val="0"/>
        <w:spacing w:line="240" w:lineRule="auto"/>
      </w:pPr>
      <w:proofErr w:type="spellStart"/>
      <w:r w:rsidRPr="00815337">
        <w:t>Evagorou</w:t>
      </w:r>
      <w:proofErr w:type="spellEnd"/>
      <w:r w:rsidRPr="00815337">
        <w:t xml:space="preserve"> &amp; </w:t>
      </w:r>
      <w:proofErr w:type="spellStart"/>
      <w:r w:rsidRPr="00815337">
        <w:t>Makariou</w:t>
      </w:r>
      <w:proofErr w:type="spellEnd"/>
      <w:r w:rsidRPr="00815337">
        <w:t xml:space="preserve"> </w:t>
      </w:r>
    </w:p>
    <w:p w14:paraId="30478181" w14:textId="77777777" w:rsidR="001F1B22" w:rsidRPr="00815337" w:rsidRDefault="001F1B22" w:rsidP="001F1B22">
      <w:pPr>
        <w:widowControl w:val="0"/>
        <w:autoSpaceDE w:val="0"/>
        <w:autoSpaceDN w:val="0"/>
        <w:adjustRightInd w:val="0"/>
        <w:spacing w:line="240" w:lineRule="auto"/>
      </w:pPr>
      <w:proofErr w:type="spellStart"/>
      <w:r w:rsidRPr="00815337">
        <w:t>Mitsi</w:t>
      </w:r>
      <w:proofErr w:type="spellEnd"/>
      <w:r w:rsidRPr="00815337">
        <w:t xml:space="preserve"> Building 3, Office 115 </w:t>
      </w:r>
    </w:p>
    <w:p w14:paraId="6E992F09" w14:textId="56652764" w:rsidR="00160DEA" w:rsidRPr="009D34EE" w:rsidRDefault="001F1B22" w:rsidP="001F1B22">
      <w:pPr>
        <w:rPr>
          <w:szCs w:val="22"/>
          <w:lang w:val="en-US"/>
        </w:rPr>
      </w:pPr>
      <w:r w:rsidRPr="00815337">
        <w:t xml:space="preserve">1065 Nicosia, </w:t>
      </w:r>
      <w:proofErr w:type="spellStart"/>
      <w:r w:rsidRPr="00815337">
        <w:t>Ciprus</w:t>
      </w:r>
      <w:proofErr w:type="spellEnd"/>
      <w:r w:rsidRPr="00815337">
        <w:t xml:space="preserve"> </w:t>
      </w:r>
    </w:p>
    <w:p w14:paraId="4B777180" w14:textId="7DD9089B" w:rsidR="00160DEA" w:rsidRPr="009D34EE" w:rsidRDefault="00EA2AF3" w:rsidP="00160DEA">
      <w:pPr>
        <w:pStyle w:val="Cmsor1"/>
        <w:rPr>
          <w:szCs w:val="22"/>
        </w:rPr>
      </w:pPr>
      <w:r w:rsidRPr="009D34EE">
        <w:rPr>
          <w:szCs w:val="22"/>
          <w:lang w:val="hu-HU" w:bidi="hu-HU"/>
        </w:rPr>
        <w:t>A FORGALOMBA HOZATALI ENGEDÉLY SZÁMA</w:t>
      </w:r>
    </w:p>
    <w:p w14:paraId="29319CFA" w14:textId="5987B6EA" w:rsidR="00563509" w:rsidRDefault="00563509" w:rsidP="00563509">
      <w:pPr>
        <w:tabs>
          <w:tab w:val="clear" w:pos="567"/>
        </w:tabs>
        <w:spacing w:line="240" w:lineRule="auto"/>
      </w:pPr>
      <w:bookmarkStart w:id="27" w:name="9._Date_of_First_Authorisation/Renewal_o"/>
      <w:bookmarkEnd w:id="27"/>
      <w:r>
        <w:t>OGYI-T-24696/01     1 ×</w:t>
      </w:r>
      <w:r>
        <w:t xml:space="preserve"> 100 ml       </w:t>
      </w:r>
      <w:proofErr w:type="spellStart"/>
      <w:r>
        <w:t>többrétegű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polimer</w:t>
      </w:r>
      <w:proofErr w:type="spellEnd"/>
      <w:r>
        <w:t xml:space="preserve"> </w:t>
      </w:r>
      <w:proofErr w:type="spellStart"/>
      <w:r>
        <w:t>filmrétegből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</w:t>
      </w:r>
      <w:proofErr w:type="spellStart"/>
      <w:r>
        <w:t>zsákban</w:t>
      </w:r>
      <w:proofErr w:type="spellEnd"/>
      <w:r>
        <w:t xml:space="preserve"> (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védőcsomagolásban</w:t>
      </w:r>
      <w:proofErr w:type="spellEnd"/>
      <w:r>
        <w:t xml:space="preserve">, </w:t>
      </w:r>
      <w:proofErr w:type="spellStart"/>
      <w:r>
        <w:t>oxigénmegkötővel</w:t>
      </w:r>
      <w:proofErr w:type="spellEnd"/>
      <w:r>
        <w:t>)</w:t>
      </w:r>
    </w:p>
    <w:p w14:paraId="6F5FEE45" w14:textId="3C58AFE5" w:rsidR="00563509" w:rsidRDefault="00563509" w:rsidP="00563509">
      <w:pPr>
        <w:tabs>
          <w:tab w:val="clear" w:pos="567"/>
        </w:tabs>
        <w:spacing w:line="240" w:lineRule="auto"/>
      </w:pPr>
      <w:r>
        <w:t>OGYI-T-24696/02     10 ×</w:t>
      </w:r>
      <w:r>
        <w:t xml:space="preserve"> 100 ml     </w:t>
      </w:r>
      <w:proofErr w:type="spellStart"/>
      <w:r>
        <w:t>többrétegű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polimer</w:t>
      </w:r>
      <w:proofErr w:type="spellEnd"/>
      <w:r>
        <w:t xml:space="preserve"> </w:t>
      </w:r>
      <w:proofErr w:type="spellStart"/>
      <w:r>
        <w:t>filmrétegből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</w:t>
      </w:r>
      <w:proofErr w:type="spellStart"/>
      <w:r>
        <w:t>zsákban</w:t>
      </w:r>
      <w:proofErr w:type="spellEnd"/>
      <w:r>
        <w:t xml:space="preserve"> (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védőcsomagolásban</w:t>
      </w:r>
      <w:proofErr w:type="spellEnd"/>
      <w:r>
        <w:t xml:space="preserve">, </w:t>
      </w:r>
      <w:proofErr w:type="spellStart"/>
      <w:r>
        <w:t>oxigénmegkötővel</w:t>
      </w:r>
      <w:proofErr w:type="spellEnd"/>
      <w:r>
        <w:t>)</w:t>
      </w:r>
    </w:p>
    <w:p w14:paraId="4E44C9E5" w14:textId="6E4316DE" w:rsidR="00563509" w:rsidRDefault="00563509" w:rsidP="00563509">
      <w:pPr>
        <w:tabs>
          <w:tab w:val="clear" w:pos="567"/>
        </w:tabs>
        <w:spacing w:line="240" w:lineRule="auto"/>
      </w:pPr>
      <w:r>
        <w:t>OGYI-T-24696/03     1 ×</w:t>
      </w:r>
      <w:r>
        <w:t xml:space="preserve"> 250 ml       </w:t>
      </w:r>
      <w:proofErr w:type="spellStart"/>
      <w:r>
        <w:t>többrétegű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polimer</w:t>
      </w:r>
      <w:proofErr w:type="spellEnd"/>
      <w:r>
        <w:t xml:space="preserve"> </w:t>
      </w:r>
      <w:proofErr w:type="spellStart"/>
      <w:r>
        <w:t>filmrétegből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</w:t>
      </w:r>
      <w:proofErr w:type="spellStart"/>
      <w:r>
        <w:t>zsákban</w:t>
      </w:r>
      <w:proofErr w:type="spellEnd"/>
      <w:r>
        <w:t xml:space="preserve"> (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védőcsomagolásban</w:t>
      </w:r>
      <w:proofErr w:type="spellEnd"/>
      <w:r>
        <w:t xml:space="preserve">, </w:t>
      </w:r>
      <w:proofErr w:type="spellStart"/>
      <w:r>
        <w:t>oxigénmegkötővel</w:t>
      </w:r>
      <w:proofErr w:type="spellEnd"/>
      <w:r>
        <w:t>)</w:t>
      </w:r>
    </w:p>
    <w:p w14:paraId="400247B5" w14:textId="17204AB8" w:rsidR="00563509" w:rsidRDefault="00563509" w:rsidP="00563509">
      <w:pPr>
        <w:tabs>
          <w:tab w:val="clear" w:pos="567"/>
        </w:tabs>
        <w:spacing w:line="240" w:lineRule="auto"/>
      </w:pPr>
      <w:r>
        <w:t>OGYI-T-24696/04     10 ×</w:t>
      </w:r>
      <w:r>
        <w:t xml:space="preserve"> 250 ml     </w:t>
      </w:r>
      <w:proofErr w:type="spellStart"/>
      <w:r>
        <w:t>többrétegű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polimer</w:t>
      </w:r>
      <w:proofErr w:type="spellEnd"/>
      <w:r>
        <w:t xml:space="preserve"> </w:t>
      </w:r>
      <w:proofErr w:type="spellStart"/>
      <w:r>
        <w:t>filmrétegből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</w:t>
      </w:r>
      <w:proofErr w:type="spellStart"/>
      <w:r>
        <w:t>zsákban</w:t>
      </w:r>
      <w:proofErr w:type="spellEnd"/>
      <w:r>
        <w:t xml:space="preserve"> (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védőcsomagolásban</w:t>
      </w:r>
      <w:proofErr w:type="spellEnd"/>
      <w:r>
        <w:t xml:space="preserve">, </w:t>
      </w:r>
      <w:proofErr w:type="spellStart"/>
      <w:r>
        <w:t>oxigénmegkötővel</w:t>
      </w:r>
      <w:proofErr w:type="spellEnd"/>
      <w:r>
        <w:t>)</w:t>
      </w:r>
    </w:p>
    <w:p w14:paraId="3285CBB6" w14:textId="0814F429" w:rsidR="00563509" w:rsidRDefault="00563509" w:rsidP="00563509">
      <w:pPr>
        <w:tabs>
          <w:tab w:val="clear" w:pos="567"/>
        </w:tabs>
        <w:spacing w:line="240" w:lineRule="auto"/>
      </w:pPr>
      <w:r>
        <w:t>OGYI-T-</w:t>
      </w:r>
      <w:r>
        <w:t>24696/05     1 ×</w:t>
      </w:r>
      <w:r>
        <w:t xml:space="preserve"> 500 ml       </w:t>
      </w:r>
      <w:proofErr w:type="spellStart"/>
      <w:r>
        <w:t>többrétegű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polimer</w:t>
      </w:r>
      <w:proofErr w:type="spellEnd"/>
      <w:r>
        <w:t xml:space="preserve"> </w:t>
      </w:r>
      <w:proofErr w:type="spellStart"/>
      <w:r>
        <w:t>filmrétegből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</w:t>
      </w:r>
      <w:proofErr w:type="spellStart"/>
      <w:r>
        <w:t>zsákban</w:t>
      </w:r>
      <w:proofErr w:type="spellEnd"/>
      <w:r>
        <w:t xml:space="preserve"> (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védőcsomagolásban</w:t>
      </w:r>
      <w:proofErr w:type="spellEnd"/>
      <w:r>
        <w:t xml:space="preserve">, </w:t>
      </w:r>
      <w:proofErr w:type="spellStart"/>
      <w:r>
        <w:t>oxigénmegkötővel</w:t>
      </w:r>
      <w:proofErr w:type="spellEnd"/>
      <w:r>
        <w:t>)</w:t>
      </w:r>
    </w:p>
    <w:p w14:paraId="05FD3A96" w14:textId="0ABE4F3A" w:rsidR="00563509" w:rsidRDefault="00563509" w:rsidP="00563509">
      <w:pPr>
        <w:tabs>
          <w:tab w:val="clear" w:pos="567"/>
        </w:tabs>
        <w:spacing w:line="240" w:lineRule="auto"/>
      </w:pPr>
      <w:r>
        <w:t>OGYI-T-24696/06     12 ×</w:t>
      </w:r>
      <w:r>
        <w:t xml:space="preserve"> 500 ml     </w:t>
      </w:r>
      <w:proofErr w:type="spellStart"/>
      <w:r>
        <w:t>többrétegű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polimer</w:t>
      </w:r>
      <w:proofErr w:type="spellEnd"/>
      <w:r>
        <w:t xml:space="preserve"> </w:t>
      </w:r>
      <w:proofErr w:type="spellStart"/>
      <w:r>
        <w:t>filmrétegből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</w:t>
      </w:r>
      <w:proofErr w:type="spellStart"/>
      <w:r>
        <w:t>zsákban</w:t>
      </w:r>
      <w:proofErr w:type="spellEnd"/>
      <w:r>
        <w:t xml:space="preserve"> (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védőcsomagolásban</w:t>
      </w:r>
      <w:proofErr w:type="spellEnd"/>
      <w:r>
        <w:t xml:space="preserve">, </w:t>
      </w:r>
      <w:proofErr w:type="spellStart"/>
      <w:r>
        <w:t>oxigénmegkötővel</w:t>
      </w:r>
      <w:proofErr w:type="spellEnd"/>
      <w:r>
        <w:t>)</w:t>
      </w:r>
    </w:p>
    <w:p w14:paraId="0568E6BF" w14:textId="01A4FE79" w:rsidR="00160DEA" w:rsidRPr="009D34EE" w:rsidRDefault="00160DEA" w:rsidP="00160DEA">
      <w:pPr>
        <w:rPr>
          <w:szCs w:val="22"/>
          <w:lang w:val="en-US"/>
        </w:rPr>
      </w:pPr>
    </w:p>
    <w:p w14:paraId="64F49976" w14:textId="7883F490" w:rsidR="00EA370D" w:rsidRDefault="00EA2AF3" w:rsidP="00160DEA">
      <w:pPr>
        <w:pStyle w:val="Cmsor1"/>
        <w:rPr>
          <w:szCs w:val="22"/>
          <w:lang w:val="hu-HU" w:bidi="hu-HU"/>
        </w:rPr>
      </w:pPr>
      <w:r w:rsidRPr="009D34EE">
        <w:rPr>
          <w:szCs w:val="22"/>
          <w:lang w:val="hu-HU" w:bidi="hu-HU"/>
        </w:rPr>
        <w:t>A FORGALOMBA HOZATALI ENGEDÉLY ELS</w:t>
      </w:r>
      <w:bookmarkStart w:id="28" w:name="_GoBack"/>
      <w:bookmarkEnd w:id="28"/>
      <w:r w:rsidRPr="009D34EE">
        <w:rPr>
          <w:szCs w:val="22"/>
          <w:lang w:val="hu-HU" w:bidi="hu-HU"/>
        </w:rPr>
        <w:t>Ő KIADÁSÁNAK/ MEGÚJÍTÁSÁNAK DÁTUMA</w:t>
      </w:r>
    </w:p>
    <w:p w14:paraId="794A234F" w14:textId="7FBE3AEC" w:rsidR="00EE14B6" w:rsidRPr="00EE14B6" w:rsidRDefault="00EE14B6" w:rsidP="00EE14B6">
      <w:pPr>
        <w:rPr>
          <w:lang w:val="hu-HU" w:bidi="hu-HU"/>
        </w:rPr>
      </w:pPr>
      <w:r w:rsidRPr="0018383B">
        <w:rPr>
          <w:noProof/>
          <w:szCs w:val="22"/>
          <w:lang w:val="hu-HU"/>
        </w:rPr>
        <w:t xml:space="preserve">A forgalomba hozatali engedély első kiadásának dátuma: </w:t>
      </w:r>
      <w:r w:rsidR="00563509">
        <w:rPr>
          <w:noProof/>
          <w:szCs w:val="22"/>
          <w:lang w:val="hu-HU"/>
        </w:rPr>
        <w:t>2026. február 04.</w:t>
      </w:r>
    </w:p>
    <w:p w14:paraId="56AC2D2A" w14:textId="77777777" w:rsidR="00EA370D" w:rsidRPr="009D34EE" w:rsidRDefault="00EA2AF3" w:rsidP="009B2610">
      <w:pPr>
        <w:pStyle w:val="Cmsor1"/>
        <w:keepNext/>
        <w:keepLines/>
        <w:rPr>
          <w:szCs w:val="22"/>
        </w:rPr>
      </w:pPr>
      <w:bookmarkStart w:id="29" w:name="10._Date_of_Revision_of_the_Text"/>
      <w:bookmarkEnd w:id="29"/>
      <w:r w:rsidRPr="009D34EE">
        <w:rPr>
          <w:szCs w:val="22"/>
          <w:lang w:val="hu-HU" w:bidi="hu-HU"/>
        </w:rPr>
        <w:t>A SZÖVEG ELLENŐRZÉSÉNEK DÁTUMA</w:t>
      </w:r>
    </w:p>
    <w:p w14:paraId="264D799A" w14:textId="63F2EF08" w:rsidR="00EA370D" w:rsidRPr="001F1B22" w:rsidRDefault="00563509" w:rsidP="001F1B22">
      <w:pPr>
        <w:keepNext/>
        <w:keepLines/>
        <w:rPr>
          <w:szCs w:val="22"/>
          <w:lang w:val="en-US"/>
        </w:rPr>
      </w:pPr>
      <w:r>
        <w:rPr>
          <w:szCs w:val="22"/>
          <w:lang w:val="en-US"/>
        </w:rPr>
        <w:t xml:space="preserve">2026. </w:t>
      </w:r>
      <w:proofErr w:type="spellStart"/>
      <w:proofErr w:type="gramStart"/>
      <w:r>
        <w:rPr>
          <w:szCs w:val="22"/>
          <w:lang w:val="en-US"/>
        </w:rPr>
        <w:t>február</w:t>
      </w:r>
      <w:proofErr w:type="spellEnd"/>
      <w:proofErr w:type="gramEnd"/>
      <w:r>
        <w:rPr>
          <w:szCs w:val="22"/>
          <w:lang w:val="en-US"/>
        </w:rPr>
        <w:t xml:space="preserve"> 04.</w:t>
      </w:r>
    </w:p>
    <w:sectPr w:rsidR="00EA370D" w:rsidRPr="001F1B22" w:rsidSect="002C373B">
      <w:headerReference w:type="default" r:id="rId8"/>
      <w:footerReference w:type="default" r:id="rId9"/>
      <w:footerReference w:type="first" r:id="rId10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05014D1" w16cex:dateUtc="2026-01-09T11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7C6B32" w16cid:durableId="4E7C6B32"/>
  <w16cid:commentId w16cid:paraId="4FBA0BBB" w16cid:durableId="205014D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F058A" w14:textId="77777777" w:rsidR="00AF7040" w:rsidRDefault="00AF7040" w:rsidP="00715288">
      <w:r>
        <w:separator/>
      </w:r>
    </w:p>
  </w:endnote>
  <w:endnote w:type="continuationSeparator" w:id="0">
    <w:p w14:paraId="5077F0B0" w14:textId="77777777" w:rsidR="00AF7040" w:rsidRDefault="00AF7040" w:rsidP="0071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19642" w14:textId="7A68369F" w:rsidR="000837FE" w:rsidRDefault="000837FE">
    <w:pPr>
      <w:pStyle w:val="llb"/>
      <w:jc w:val="center"/>
    </w:pPr>
  </w:p>
  <w:p w14:paraId="21D00E72" w14:textId="5C8F342D" w:rsidR="000837FE" w:rsidRPr="002C373B" w:rsidRDefault="000837FE">
    <w:pPr>
      <w:pStyle w:val="llb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C9C477" w14:textId="1E818C65" w:rsidR="000837FE" w:rsidRPr="002C373B" w:rsidRDefault="000837FE">
    <w:pPr>
      <w:pStyle w:val="llb"/>
      <w:rPr>
        <w:rFonts w:ascii="Times New Roman" w:hAnsi="Times New Roman"/>
        <w:sz w:val="18"/>
        <w:szCs w:val="18"/>
      </w:rPr>
    </w:pPr>
    <w:r w:rsidRPr="002C373B">
      <w:rPr>
        <w:rFonts w:ascii="Times New Roman" w:hAnsi="Times New Roman"/>
        <w:sz w:val="18"/>
        <w:szCs w:val="18"/>
      </w:rPr>
      <w:t>NNGYK/GYSZ/8124/2024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0912F" w14:textId="77777777" w:rsidR="00AF7040" w:rsidRDefault="00AF7040" w:rsidP="00715288">
      <w:r>
        <w:separator/>
      </w:r>
    </w:p>
  </w:footnote>
  <w:footnote w:type="continuationSeparator" w:id="0">
    <w:p w14:paraId="6F63CCB8" w14:textId="77777777" w:rsidR="00AF7040" w:rsidRDefault="00AF7040" w:rsidP="00715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8080238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6F2A16C" w14:textId="38B096B5" w:rsidR="000837FE" w:rsidRPr="002C373B" w:rsidRDefault="000837FE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2C373B">
          <w:rPr>
            <w:rFonts w:ascii="Times New Roman" w:hAnsi="Times New Roman"/>
            <w:sz w:val="18"/>
            <w:szCs w:val="18"/>
          </w:rPr>
          <w:fldChar w:fldCharType="begin"/>
        </w:r>
        <w:r w:rsidRPr="002C373B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C373B">
          <w:rPr>
            <w:rFonts w:ascii="Times New Roman" w:hAnsi="Times New Roman"/>
            <w:sz w:val="18"/>
            <w:szCs w:val="18"/>
          </w:rPr>
          <w:fldChar w:fldCharType="separate"/>
        </w:r>
        <w:r w:rsidR="00563509" w:rsidRPr="00563509">
          <w:rPr>
            <w:rFonts w:ascii="Times New Roman" w:hAnsi="Times New Roman"/>
            <w:noProof/>
            <w:sz w:val="18"/>
            <w:szCs w:val="18"/>
            <w:lang w:val="hu-HU"/>
          </w:rPr>
          <w:t>8</w:t>
        </w:r>
        <w:r w:rsidRPr="002C373B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96DC8DE" w14:textId="77777777" w:rsidR="000837FE" w:rsidRPr="002C373B" w:rsidRDefault="000837FE">
    <w:pPr>
      <w:pStyle w:val="lfej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E0DE3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A7E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C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1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2D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BF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B27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0B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01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F00BA"/>
    <w:multiLevelType w:val="hybridMultilevel"/>
    <w:tmpl w:val="3886BBA4"/>
    <w:lvl w:ilvl="0" w:tplc="249CECF4">
      <w:numFmt w:val="bullet"/>
      <w:lvlText w:val="-"/>
      <w:lvlJc w:val="left"/>
      <w:pPr>
        <w:ind w:left="461" w:hanging="360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en-US" w:eastAsia="en-US" w:bidi="en-US"/>
      </w:rPr>
    </w:lvl>
    <w:lvl w:ilvl="1" w:tplc="DDBAE794">
      <w:numFmt w:val="bullet"/>
      <w:lvlText w:val="•"/>
      <w:lvlJc w:val="left"/>
      <w:pPr>
        <w:ind w:left="1356" w:hanging="360"/>
      </w:pPr>
      <w:rPr>
        <w:rFonts w:hint="default"/>
        <w:lang w:val="en-US" w:eastAsia="en-US" w:bidi="en-US"/>
      </w:rPr>
    </w:lvl>
    <w:lvl w:ilvl="2" w:tplc="DC28AE00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en-US"/>
      </w:rPr>
    </w:lvl>
    <w:lvl w:ilvl="3" w:tplc="BD3C5BB0">
      <w:numFmt w:val="bullet"/>
      <w:lvlText w:val="•"/>
      <w:lvlJc w:val="left"/>
      <w:pPr>
        <w:ind w:left="3150" w:hanging="360"/>
      </w:pPr>
      <w:rPr>
        <w:rFonts w:hint="default"/>
        <w:lang w:val="en-US" w:eastAsia="en-US" w:bidi="en-US"/>
      </w:rPr>
    </w:lvl>
    <w:lvl w:ilvl="4" w:tplc="CF2C6992">
      <w:numFmt w:val="bullet"/>
      <w:lvlText w:val="•"/>
      <w:lvlJc w:val="left"/>
      <w:pPr>
        <w:ind w:left="4046" w:hanging="360"/>
      </w:pPr>
      <w:rPr>
        <w:rFonts w:hint="default"/>
        <w:lang w:val="en-US" w:eastAsia="en-US" w:bidi="en-US"/>
      </w:rPr>
    </w:lvl>
    <w:lvl w:ilvl="5" w:tplc="86864D68">
      <w:numFmt w:val="bullet"/>
      <w:lvlText w:val="•"/>
      <w:lvlJc w:val="left"/>
      <w:pPr>
        <w:ind w:left="4943" w:hanging="360"/>
      </w:pPr>
      <w:rPr>
        <w:rFonts w:hint="default"/>
        <w:lang w:val="en-US" w:eastAsia="en-US" w:bidi="en-US"/>
      </w:rPr>
    </w:lvl>
    <w:lvl w:ilvl="6" w:tplc="255EFD62">
      <w:numFmt w:val="bullet"/>
      <w:lvlText w:val="•"/>
      <w:lvlJc w:val="left"/>
      <w:pPr>
        <w:ind w:left="5840" w:hanging="360"/>
      </w:pPr>
      <w:rPr>
        <w:rFonts w:hint="default"/>
        <w:lang w:val="en-US" w:eastAsia="en-US" w:bidi="en-US"/>
      </w:rPr>
    </w:lvl>
    <w:lvl w:ilvl="7" w:tplc="4B964E2E">
      <w:numFmt w:val="bullet"/>
      <w:lvlText w:val="•"/>
      <w:lvlJc w:val="left"/>
      <w:pPr>
        <w:ind w:left="6736" w:hanging="360"/>
      </w:pPr>
      <w:rPr>
        <w:rFonts w:hint="default"/>
        <w:lang w:val="en-US" w:eastAsia="en-US" w:bidi="en-US"/>
      </w:rPr>
    </w:lvl>
    <w:lvl w:ilvl="8" w:tplc="A6860E1A">
      <w:numFmt w:val="bullet"/>
      <w:lvlText w:val="•"/>
      <w:lvlJc w:val="left"/>
      <w:pPr>
        <w:ind w:left="7633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987179B"/>
    <w:multiLevelType w:val="hybridMultilevel"/>
    <w:tmpl w:val="510E124A"/>
    <w:lvl w:ilvl="0" w:tplc="1672958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9" w15:restartNumberingAfterBreak="0">
    <w:nsid w:val="1EF95BC7"/>
    <w:multiLevelType w:val="multilevel"/>
    <w:tmpl w:val="D17AEBC6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1FBF0E2B"/>
    <w:multiLevelType w:val="hybridMultilevel"/>
    <w:tmpl w:val="8E0A8F32"/>
    <w:lvl w:ilvl="0" w:tplc="6F767B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20F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4E5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562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ED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3C9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E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22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01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CB72C75"/>
    <w:multiLevelType w:val="multilevel"/>
    <w:tmpl w:val="59F80074"/>
    <w:lvl w:ilvl="0">
      <w:start w:val="1"/>
      <w:numFmt w:val="decimal"/>
      <w:lvlText w:val="%1."/>
      <w:lvlJc w:val="left"/>
      <w:pPr>
        <w:ind w:left="667" w:hanging="567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667" w:hanging="567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413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290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166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5920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6796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673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541609"/>
    <w:multiLevelType w:val="hybridMultilevel"/>
    <w:tmpl w:val="2612D22E"/>
    <w:lvl w:ilvl="0" w:tplc="CA001AC0">
      <w:start w:val="1"/>
      <w:numFmt w:val="decimal"/>
      <w:pStyle w:val="Heading1PI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3FB45E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FBCD9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DDA3E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A8CE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54233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14082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0F49D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B6633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268032B"/>
    <w:multiLevelType w:val="hybridMultilevel"/>
    <w:tmpl w:val="8B4E9208"/>
    <w:lvl w:ilvl="0" w:tplc="045CBA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2CA85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320C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0665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5AC5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EC2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D091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E604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1410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E21DC"/>
    <w:multiLevelType w:val="hybridMultilevel"/>
    <w:tmpl w:val="791EF534"/>
    <w:lvl w:ilvl="0" w:tplc="7674CBB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31AAC4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626E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FAA9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8E45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800D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CA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A0AB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3E3A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3FDC5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F4D41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B2D35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5D83FC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262750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C60FD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2123D5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A48BF9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F9E941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CCD335F"/>
    <w:multiLevelType w:val="hybridMultilevel"/>
    <w:tmpl w:val="278A3834"/>
    <w:lvl w:ilvl="0" w:tplc="B21A2496">
      <w:start w:val="1"/>
      <w:numFmt w:val="bullet"/>
      <w:pStyle w:val="ListHyphen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6033B3"/>
    <w:multiLevelType w:val="hybridMultilevel"/>
    <w:tmpl w:val="D5081C1E"/>
    <w:lvl w:ilvl="0" w:tplc="FE8AB91C">
      <w:start w:val="1"/>
      <w:numFmt w:val="bullet"/>
      <w:pStyle w:val="Listaszerbekezd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776859"/>
    <w:multiLevelType w:val="hybridMultilevel"/>
    <w:tmpl w:val="874841B0"/>
    <w:lvl w:ilvl="0" w:tplc="6E24CC8C">
      <w:numFmt w:val="bullet"/>
      <w:pStyle w:val="Cm"/>
      <w:lvlText w:val="-"/>
      <w:lvlJc w:val="left"/>
      <w:pPr>
        <w:ind w:left="720" w:hanging="360"/>
      </w:pPr>
      <w:rPr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373A9"/>
    <w:multiLevelType w:val="hybridMultilevel"/>
    <w:tmpl w:val="E3BA04EE"/>
    <w:lvl w:ilvl="0" w:tplc="4C70C69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ED8176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1E8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C1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4C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7477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08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A0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2AA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A040E"/>
    <w:multiLevelType w:val="hybridMultilevel"/>
    <w:tmpl w:val="1726832C"/>
    <w:lvl w:ilvl="0" w:tplc="284073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EFAD7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C212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5654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EEB6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0CC0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4DF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A4CE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5FE07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6664B30"/>
    <w:multiLevelType w:val="hybridMultilevel"/>
    <w:tmpl w:val="C820F4AE"/>
    <w:lvl w:ilvl="0" w:tplc="6FA0C4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7B25D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C9D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278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FC50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D01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BAEB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668B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4C4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D9FE821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86076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EEBE5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E1C60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0A7F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28E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38ED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5F08A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3C05B6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612225B2"/>
    <w:multiLevelType w:val="hybridMultilevel"/>
    <w:tmpl w:val="946A1BA6"/>
    <w:lvl w:ilvl="0" w:tplc="A9E2D03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1728DE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0489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263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018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0EC0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3CF5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494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D106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901BD3"/>
    <w:multiLevelType w:val="hybridMultilevel"/>
    <w:tmpl w:val="4E5C8746"/>
    <w:lvl w:ilvl="0" w:tplc="0BFAD7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633E9A48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69CC594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D6DC6016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2608AB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D7FC7AF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E902A54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7BE497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5EB60AB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638649FD"/>
    <w:multiLevelType w:val="hybridMultilevel"/>
    <w:tmpl w:val="4A945CDA"/>
    <w:lvl w:ilvl="0" w:tplc="098699E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617AEB1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533443F6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C5200696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EC8A1644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85DE21CC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131425D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45E7424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F0E0B52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4" w15:restartNumberingAfterBreak="0">
    <w:nsid w:val="649B6A7D"/>
    <w:multiLevelType w:val="hybridMultilevel"/>
    <w:tmpl w:val="39A86626"/>
    <w:lvl w:ilvl="0" w:tplc="CDA84464">
      <w:start w:val="1"/>
      <w:numFmt w:val="decimal"/>
      <w:pStyle w:val="List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8235F"/>
    <w:multiLevelType w:val="hybridMultilevel"/>
    <w:tmpl w:val="42E4AA10"/>
    <w:lvl w:ilvl="0" w:tplc="34727CFC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E21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CF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87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83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07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AD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E5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81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719956AA"/>
    <w:multiLevelType w:val="hybridMultilevel"/>
    <w:tmpl w:val="E6BC5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B76EB"/>
    <w:multiLevelType w:val="hybridMultilevel"/>
    <w:tmpl w:val="CC66055E"/>
    <w:lvl w:ilvl="0" w:tplc="2682A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B8D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0E68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C2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6D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27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581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80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2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4" w15:restartNumberingAfterBreak="0">
    <w:nsid w:val="7652709D"/>
    <w:multiLevelType w:val="hybridMultilevel"/>
    <w:tmpl w:val="027EFA0A"/>
    <w:lvl w:ilvl="0" w:tplc="FB708FC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4A0C85"/>
    <w:multiLevelType w:val="hybridMultilevel"/>
    <w:tmpl w:val="0D0CD590"/>
    <w:lvl w:ilvl="0" w:tplc="A5C0513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4525F0"/>
    <w:multiLevelType w:val="hybridMultilevel"/>
    <w:tmpl w:val="32961120"/>
    <w:lvl w:ilvl="0" w:tplc="F8C89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5"/>
  </w:num>
  <w:num w:numId="4">
    <w:abstractNumId w:val="11"/>
  </w:num>
  <w:num w:numId="5">
    <w:abstractNumId w:val="9"/>
  </w:num>
  <w:num w:numId="6">
    <w:abstractNumId w:val="34"/>
  </w:num>
  <w:num w:numId="7">
    <w:abstractNumId w:val="21"/>
  </w:num>
  <w:num w:numId="8">
    <w:abstractNumId w:val="22"/>
  </w:num>
  <w:num w:numId="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1">
    <w:abstractNumId w:val="40"/>
  </w:num>
  <w:num w:numId="12">
    <w:abstractNumId w:val="39"/>
  </w:num>
  <w:num w:numId="13">
    <w:abstractNumId w:val="14"/>
  </w:num>
  <w:num w:numId="14">
    <w:abstractNumId w:val="27"/>
  </w:num>
  <w:num w:numId="15">
    <w:abstractNumId w:val="26"/>
  </w:num>
  <w:num w:numId="16">
    <w:abstractNumId w:val="8"/>
  </w:num>
  <w:num w:numId="17">
    <w:abstractNumId w:val="37"/>
  </w:num>
  <w:num w:numId="18">
    <w:abstractNumId w:val="38"/>
  </w:num>
  <w:num w:numId="19">
    <w:abstractNumId w:val="19"/>
  </w:num>
  <w:num w:numId="20">
    <w:abstractNumId w:val="16"/>
  </w:num>
  <w:num w:numId="21">
    <w:abstractNumId w:val="3"/>
  </w:num>
  <w:num w:numId="22">
    <w:abstractNumId w:val="36"/>
  </w:num>
  <w:num w:numId="23">
    <w:abstractNumId w:val="24"/>
  </w:num>
  <w:num w:numId="24">
    <w:abstractNumId w:val="42"/>
  </w:num>
  <w:num w:numId="25">
    <w:abstractNumId w:val="10"/>
  </w:num>
  <w:num w:numId="26">
    <w:abstractNumId w:val="1"/>
  </w:num>
  <w:num w:numId="27">
    <w:abstractNumId w:val="20"/>
  </w:num>
  <w:num w:numId="28">
    <w:abstractNumId w:val="4"/>
  </w:num>
  <w:num w:numId="29">
    <w:abstractNumId w:val="6"/>
  </w:num>
  <w:num w:numId="30">
    <w:abstractNumId w:val="30"/>
  </w:num>
  <w:num w:numId="31">
    <w:abstractNumId w:val="35"/>
  </w:num>
  <w:num w:numId="32">
    <w:abstractNumId w:val="29"/>
  </w:num>
  <w:num w:numId="33">
    <w:abstractNumId w:val="12"/>
  </w:num>
  <w:num w:numId="34">
    <w:abstractNumId w:val="25"/>
  </w:num>
  <w:num w:numId="35">
    <w:abstractNumId w:val="28"/>
  </w:num>
  <w:num w:numId="36">
    <w:abstractNumId w:val="17"/>
  </w:num>
  <w:num w:numId="37">
    <w:abstractNumId w:val="32"/>
  </w:num>
  <w:num w:numId="38">
    <w:abstractNumId w:val="33"/>
  </w:num>
  <w:num w:numId="39">
    <w:abstractNumId w:val="31"/>
  </w:num>
  <w:num w:numId="40">
    <w:abstractNumId w:val="18"/>
  </w:num>
  <w:num w:numId="41">
    <w:abstractNumId w:val="5"/>
  </w:num>
  <w:num w:numId="42">
    <w:abstractNumId w:val="43"/>
  </w:num>
  <w:num w:numId="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4">
    <w:abstractNumId w:val="44"/>
  </w:num>
  <w:num w:numId="45">
    <w:abstractNumId w:val="46"/>
  </w:num>
  <w:num w:numId="46">
    <w:abstractNumId w:val="41"/>
  </w:num>
  <w:num w:numId="47">
    <w:abstractNumId w:val="45"/>
  </w:num>
  <w:num w:numId="48">
    <w:abstractNumId w:val="7"/>
  </w:num>
  <w:num w:numId="49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0D"/>
    <w:rsid w:val="000011C9"/>
    <w:rsid w:val="00006476"/>
    <w:rsid w:val="00014084"/>
    <w:rsid w:val="00062171"/>
    <w:rsid w:val="0007033E"/>
    <w:rsid w:val="00072A47"/>
    <w:rsid w:val="000740B9"/>
    <w:rsid w:val="000837FE"/>
    <w:rsid w:val="000912AE"/>
    <w:rsid w:val="000A7768"/>
    <w:rsid w:val="000C04D3"/>
    <w:rsid w:val="000D71C8"/>
    <w:rsid w:val="000F2D85"/>
    <w:rsid w:val="00126D64"/>
    <w:rsid w:val="001466FA"/>
    <w:rsid w:val="00160DEA"/>
    <w:rsid w:val="00162B58"/>
    <w:rsid w:val="00171829"/>
    <w:rsid w:val="0017469B"/>
    <w:rsid w:val="001758B0"/>
    <w:rsid w:val="00176577"/>
    <w:rsid w:val="00180C47"/>
    <w:rsid w:val="001931CB"/>
    <w:rsid w:val="001A7188"/>
    <w:rsid w:val="001F1B22"/>
    <w:rsid w:val="00213DDD"/>
    <w:rsid w:val="0021471E"/>
    <w:rsid w:val="00224FF7"/>
    <w:rsid w:val="00234769"/>
    <w:rsid w:val="0025425B"/>
    <w:rsid w:val="002810CC"/>
    <w:rsid w:val="0028514C"/>
    <w:rsid w:val="002B6EF3"/>
    <w:rsid w:val="002B70BF"/>
    <w:rsid w:val="002C373B"/>
    <w:rsid w:val="002C52BD"/>
    <w:rsid w:val="002D335B"/>
    <w:rsid w:val="002D3BED"/>
    <w:rsid w:val="002D4AE6"/>
    <w:rsid w:val="002D6015"/>
    <w:rsid w:val="002F638D"/>
    <w:rsid w:val="00314CED"/>
    <w:rsid w:val="00324493"/>
    <w:rsid w:val="00353402"/>
    <w:rsid w:val="003830B2"/>
    <w:rsid w:val="00384629"/>
    <w:rsid w:val="00385ED3"/>
    <w:rsid w:val="00392B85"/>
    <w:rsid w:val="003A4556"/>
    <w:rsid w:val="003B18B0"/>
    <w:rsid w:val="003B7359"/>
    <w:rsid w:val="003C3E5D"/>
    <w:rsid w:val="003E447C"/>
    <w:rsid w:val="003F613C"/>
    <w:rsid w:val="003F7057"/>
    <w:rsid w:val="003F7B54"/>
    <w:rsid w:val="00416FA6"/>
    <w:rsid w:val="00422029"/>
    <w:rsid w:val="00422554"/>
    <w:rsid w:val="00447849"/>
    <w:rsid w:val="004552DB"/>
    <w:rsid w:val="004609A8"/>
    <w:rsid w:val="00464D73"/>
    <w:rsid w:val="00474CE8"/>
    <w:rsid w:val="004A0B72"/>
    <w:rsid w:val="004C315B"/>
    <w:rsid w:val="004F325F"/>
    <w:rsid w:val="004F6809"/>
    <w:rsid w:val="00512FEA"/>
    <w:rsid w:val="00517BAB"/>
    <w:rsid w:val="00535EF1"/>
    <w:rsid w:val="00543348"/>
    <w:rsid w:val="00556ABE"/>
    <w:rsid w:val="0056129F"/>
    <w:rsid w:val="005622EF"/>
    <w:rsid w:val="00563509"/>
    <w:rsid w:val="00575EF2"/>
    <w:rsid w:val="0058582A"/>
    <w:rsid w:val="005A1EA3"/>
    <w:rsid w:val="005B0BAC"/>
    <w:rsid w:val="005B3CD0"/>
    <w:rsid w:val="005C141D"/>
    <w:rsid w:val="005C19C1"/>
    <w:rsid w:val="00603F9C"/>
    <w:rsid w:val="0065449E"/>
    <w:rsid w:val="00670168"/>
    <w:rsid w:val="0068294D"/>
    <w:rsid w:val="0069132C"/>
    <w:rsid w:val="006A7E44"/>
    <w:rsid w:val="006C4849"/>
    <w:rsid w:val="006C61C9"/>
    <w:rsid w:val="006E4AE6"/>
    <w:rsid w:val="006E50D1"/>
    <w:rsid w:val="007002E3"/>
    <w:rsid w:val="00702FF3"/>
    <w:rsid w:val="00715288"/>
    <w:rsid w:val="00722A63"/>
    <w:rsid w:val="00741861"/>
    <w:rsid w:val="00776811"/>
    <w:rsid w:val="007960E9"/>
    <w:rsid w:val="007B509E"/>
    <w:rsid w:val="007C2EEB"/>
    <w:rsid w:val="007C4B4B"/>
    <w:rsid w:val="007D17EF"/>
    <w:rsid w:val="007D23AF"/>
    <w:rsid w:val="007E0DCF"/>
    <w:rsid w:val="007E6B74"/>
    <w:rsid w:val="00815AF9"/>
    <w:rsid w:val="008204D6"/>
    <w:rsid w:val="00827626"/>
    <w:rsid w:val="0084087D"/>
    <w:rsid w:val="008449D7"/>
    <w:rsid w:val="00863A39"/>
    <w:rsid w:val="008659F5"/>
    <w:rsid w:val="00874FC2"/>
    <w:rsid w:val="00877B23"/>
    <w:rsid w:val="008B1F58"/>
    <w:rsid w:val="008B285E"/>
    <w:rsid w:val="008C6C61"/>
    <w:rsid w:val="008D0804"/>
    <w:rsid w:val="008F4335"/>
    <w:rsid w:val="00906B68"/>
    <w:rsid w:val="009333D9"/>
    <w:rsid w:val="00955EB2"/>
    <w:rsid w:val="00967B75"/>
    <w:rsid w:val="009736CF"/>
    <w:rsid w:val="009849EC"/>
    <w:rsid w:val="00986B9F"/>
    <w:rsid w:val="009A3F59"/>
    <w:rsid w:val="009B2610"/>
    <w:rsid w:val="009B6DBD"/>
    <w:rsid w:val="009D34EE"/>
    <w:rsid w:val="009D38C9"/>
    <w:rsid w:val="009F3482"/>
    <w:rsid w:val="009F50E4"/>
    <w:rsid w:val="009F5DBD"/>
    <w:rsid w:val="00A00AD7"/>
    <w:rsid w:val="00A07798"/>
    <w:rsid w:val="00A34EF9"/>
    <w:rsid w:val="00A4026A"/>
    <w:rsid w:val="00A547A3"/>
    <w:rsid w:val="00A83D2E"/>
    <w:rsid w:val="00AA7C01"/>
    <w:rsid w:val="00AE0072"/>
    <w:rsid w:val="00AF114D"/>
    <w:rsid w:val="00AF7040"/>
    <w:rsid w:val="00B2604A"/>
    <w:rsid w:val="00B83A34"/>
    <w:rsid w:val="00BA3238"/>
    <w:rsid w:val="00BB5BB2"/>
    <w:rsid w:val="00BC16C4"/>
    <w:rsid w:val="00BC6B78"/>
    <w:rsid w:val="00BD7253"/>
    <w:rsid w:val="00C26E00"/>
    <w:rsid w:val="00C45958"/>
    <w:rsid w:val="00C5028A"/>
    <w:rsid w:val="00C76242"/>
    <w:rsid w:val="00C84F6C"/>
    <w:rsid w:val="00CA3D0F"/>
    <w:rsid w:val="00CB2BF8"/>
    <w:rsid w:val="00CD106B"/>
    <w:rsid w:val="00CE1C23"/>
    <w:rsid w:val="00D33681"/>
    <w:rsid w:val="00D70FB2"/>
    <w:rsid w:val="00D7330F"/>
    <w:rsid w:val="00D95D6B"/>
    <w:rsid w:val="00DA0321"/>
    <w:rsid w:val="00DA34C1"/>
    <w:rsid w:val="00DC57E8"/>
    <w:rsid w:val="00DE061F"/>
    <w:rsid w:val="00E0590C"/>
    <w:rsid w:val="00E211FB"/>
    <w:rsid w:val="00E421E4"/>
    <w:rsid w:val="00E5215E"/>
    <w:rsid w:val="00E61986"/>
    <w:rsid w:val="00E65763"/>
    <w:rsid w:val="00E70EE4"/>
    <w:rsid w:val="00E758F3"/>
    <w:rsid w:val="00E84E4E"/>
    <w:rsid w:val="00E92FCE"/>
    <w:rsid w:val="00EA2AF3"/>
    <w:rsid w:val="00EA370D"/>
    <w:rsid w:val="00EB5836"/>
    <w:rsid w:val="00EC68A3"/>
    <w:rsid w:val="00EE14B6"/>
    <w:rsid w:val="00EF2E9A"/>
    <w:rsid w:val="00F27BE9"/>
    <w:rsid w:val="00F3026A"/>
    <w:rsid w:val="00F36683"/>
    <w:rsid w:val="00F37E6A"/>
    <w:rsid w:val="00F46513"/>
    <w:rsid w:val="00F7004F"/>
    <w:rsid w:val="00F747C9"/>
    <w:rsid w:val="00F94649"/>
    <w:rsid w:val="00FA6984"/>
    <w:rsid w:val="00FB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C6DEB"/>
  <w15:docId w15:val="{92B7112C-19BA-4C8F-BE11-70BFB673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F1B22"/>
    <w:pPr>
      <w:widowControl/>
      <w:tabs>
        <w:tab w:val="left" w:pos="567"/>
      </w:tabs>
      <w:autoSpaceDE/>
      <w:autoSpaceDN/>
      <w:spacing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paragraph" w:styleId="Cmsor1">
    <w:name w:val="heading 1"/>
    <w:basedOn w:val="Norml"/>
    <w:next w:val="Norml"/>
    <w:qFormat/>
    <w:rsid w:val="001F1B22"/>
    <w:pPr>
      <w:numPr>
        <w:numId w:val="5"/>
      </w:numPr>
      <w:spacing w:before="440" w:after="220" w:line="240" w:lineRule="auto"/>
      <w:ind w:left="431" w:hanging="431"/>
      <w:outlineLvl w:val="0"/>
    </w:pPr>
    <w:rPr>
      <w:b/>
      <w:caps/>
      <w:szCs w:val="16"/>
      <w:lang w:val="en-US"/>
    </w:rPr>
  </w:style>
  <w:style w:type="paragraph" w:styleId="Cmsor2">
    <w:name w:val="heading 2"/>
    <w:basedOn w:val="Norml"/>
    <w:next w:val="Norml"/>
    <w:link w:val="Cmsor2Char"/>
    <w:qFormat/>
    <w:rsid w:val="001F1B22"/>
    <w:pPr>
      <w:keepNext/>
      <w:numPr>
        <w:ilvl w:val="1"/>
        <w:numId w:val="5"/>
      </w:numPr>
      <w:spacing w:before="220" w:after="220" w:line="240" w:lineRule="auto"/>
      <w:ind w:left="578" w:hanging="578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rsid w:val="001F1B22"/>
    <w:pPr>
      <w:keepNext/>
      <w:keepLines/>
      <w:numPr>
        <w:ilvl w:val="2"/>
        <w:numId w:val="5"/>
      </w:numPr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1F1B22"/>
    <w:pPr>
      <w:keepNext/>
      <w:numPr>
        <w:ilvl w:val="3"/>
        <w:numId w:val="5"/>
      </w:numPr>
      <w:jc w:val="both"/>
      <w:outlineLvl w:val="3"/>
    </w:pPr>
    <w:rPr>
      <w:b/>
      <w:noProof/>
    </w:rPr>
  </w:style>
  <w:style w:type="paragraph" w:styleId="Cmsor5">
    <w:name w:val="heading 5"/>
    <w:aliases w:val="Main Title"/>
    <w:basedOn w:val="Norml"/>
    <w:next w:val="Norml"/>
    <w:link w:val="Cmsor5Char"/>
    <w:qFormat/>
    <w:rsid w:val="001F1B22"/>
    <w:pPr>
      <w:tabs>
        <w:tab w:val="clear" w:pos="567"/>
        <w:tab w:val="left" w:pos="-1440"/>
        <w:tab w:val="left" w:pos="-720"/>
      </w:tabs>
      <w:spacing w:line="240" w:lineRule="auto"/>
      <w:jc w:val="center"/>
      <w:outlineLvl w:val="4"/>
    </w:pPr>
    <w:rPr>
      <w:b/>
      <w:caps/>
    </w:rPr>
  </w:style>
  <w:style w:type="paragraph" w:styleId="Cmsor6">
    <w:name w:val="heading 6"/>
    <w:basedOn w:val="Norml"/>
    <w:next w:val="Norml"/>
    <w:link w:val="Cmsor6Char"/>
    <w:rsid w:val="001F1B22"/>
    <w:pPr>
      <w:keepNext/>
      <w:numPr>
        <w:ilvl w:val="5"/>
        <w:numId w:val="5"/>
      </w:numPr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rsid w:val="001F1B22"/>
    <w:pPr>
      <w:keepNext/>
      <w:numPr>
        <w:ilvl w:val="6"/>
        <w:numId w:val="5"/>
      </w:numPr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rsid w:val="001F1B22"/>
    <w:pPr>
      <w:keepNext/>
      <w:numPr>
        <w:ilvl w:val="7"/>
        <w:numId w:val="5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rsid w:val="001F1B22"/>
    <w:pPr>
      <w:keepNext/>
      <w:numPr>
        <w:ilvl w:val="8"/>
        <w:numId w:val="5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1F1B22"/>
    <w:pPr>
      <w:tabs>
        <w:tab w:val="clear" w:pos="567"/>
      </w:tabs>
      <w:spacing w:line="240" w:lineRule="auto"/>
    </w:pPr>
    <w:rPr>
      <w:i/>
      <w:color w:val="008000"/>
    </w:rPr>
  </w:style>
  <w:style w:type="paragraph" w:styleId="Listaszerbekezds">
    <w:name w:val="List Paragraph"/>
    <w:aliases w:val="List bullet"/>
    <w:basedOn w:val="Norml"/>
    <w:next w:val="Norml"/>
    <w:link w:val="ListaszerbekezdsChar"/>
    <w:uiPriority w:val="34"/>
    <w:qFormat/>
    <w:rsid w:val="001F1B22"/>
    <w:pPr>
      <w:numPr>
        <w:numId w:val="8"/>
      </w:numPr>
      <w:tabs>
        <w:tab w:val="clear" w:pos="567"/>
      </w:tabs>
      <w:spacing w:line="240" w:lineRule="auto"/>
      <w:ind w:left="0" w:firstLine="0"/>
    </w:pPr>
    <w:rPr>
      <w:noProof/>
    </w:r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1"/>
    <w:rsid w:val="001F1B22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uiPriority w:val="99"/>
    <w:rsid w:val="004A0B72"/>
    <w:rPr>
      <w:rFonts w:ascii="Helvetica" w:eastAsia="Times New Roman" w:hAnsi="Helvetica" w:cs="Times New Roman"/>
      <w:sz w:val="20"/>
      <w:szCs w:val="20"/>
      <w:lang w:val="en-GB"/>
    </w:rPr>
  </w:style>
  <w:style w:type="paragraph" w:styleId="llb">
    <w:name w:val="footer"/>
    <w:basedOn w:val="Norml"/>
    <w:link w:val="llbChar"/>
    <w:rsid w:val="001F1B22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715288"/>
    <w:rPr>
      <w:rFonts w:ascii="Helvetica" w:eastAsia="Times New Roman" w:hAnsi="Helvetica" w:cs="Times New Roman"/>
      <w:sz w:val="16"/>
      <w:szCs w:val="20"/>
      <w:lang w:val="en-GB"/>
    </w:rPr>
  </w:style>
  <w:style w:type="character" w:customStyle="1" w:styleId="Cmsor2Char">
    <w:name w:val="Címsor 2 Char"/>
    <w:basedOn w:val="Bekezdsalapbettpusa"/>
    <w:link w:val="Cmsor2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Cmsor3Char">
    <w:name w:val="Címsor 3 Char"/>
    <w:basedOn w:val="Bekezdsalapbettpusa"/>
    <w:link w:val="Cmsor3"/>
    <w:rPr>
      <w:rFonts w:ascii="Times New Roman" w:eastAsia="Times New Roman" w:hAnsi="Times New Roman" w:cs="Times New Roman"/>
      <w:b/>
      <w:kern w:val="28"/>
      <w:sz w:val="24"/>
      <w:szCs w:val="20"/>
      <w:lang w:val="en-US"/>
    </w:rPr>
  </w:style>
  <w:style w:type="character" w:customStyle="1" w:styleId="Cmsor4Char">
    <w:name w:val="Címsor 4 Char"/>
    <w:basedOn w:val="Bekezdsalapbettpusa"/>
    <w:link w:val="Cmsor4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Cmsor5Char">
    <w:name w:val="Címsor 5 Char"/>
    <w:aliases w:val="Main Title Char"/>
    <w:basedOn w:val="Bekezdsalapbettpusa"/>
    <w:link w:val="Cmsor5"/>
    <w:rPr>
      <w:rFonts w:ascii="Times New Roman" w:eastAsia="Times New Roman" w:hAnsi="Times New Roman" w:cs="Times New Roman"/>
      <w:b/>
      <w:caps/>
      <w:szCs w:val="20"/>
      <w:lang w:val="en-GB"/>
    </w:rPr>
  </w:style>
  <w:style w:type="character" w:customStyle="1" w:styleId="Cmsor6Char">
    <w:name w:val="Címsor 6 Char"/>
    <w:basedOn w:val="Bekezdsalapbettpusa"/>
    <w:link w:val="Cmsor6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7Char">
    <w:name w:val="Címsor 7 Char"/>
    <w:basedOn w:val="Bekezdsalapbettpusa"/>
    <w:link w:val="Cmsor7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8Char">
    <w:name w:val="Címsor 8 Char"/>
    <w:basedOn w:val="Bekezdsalapbettpusa"/>
    <w:link w:val="Cmsor8"/>
    <w:rPr>
      <w:rFonts w:ascii="Times New Roman" w:eastAsia="Times New Roman" w:hAnsi="Times New Roman" w:cs="Times New Roman"/>
      <w:b/>
      <w:i/>
      <w:szCs w:val="20"/>
      <w:lang w:val="en-GB"/>
    </w:rPr>
  </w:style>
  <w:style w:type="character" w:customStyle="1" w:styleId="Cmsor9Char">
    <w:name w:val="Címsor 9 Char"/>
    <w:basedOn w:val="Bekezdsalapbettpusa"/>
    <w:link w:val="Cmsor9"/>
    <w:rPr>
      <w:rFonts w:ascii="Times New Roman" w:eastAsia="Times New Roman" w:hAnsi="Times New Roman" w:cs="Times New Roman"/>
      <w:b/>
      <w:i/>
      <w:szCs w:val="20"/>
      <w:lang w:val="en-GB"/>
    </w:rPr>
  </w:style>
  <w:style w:type="character" w:styleId="Oldalszm">
    <w:name w:val="page number"/>
    <w:basedOn w:val="Bekezdsalapbettpusa"/>
    <w:rsid w:val="001F1B22"/>
  </w:style>
  <w:style w:type="paragraph" w:styleId="Szvegtrzsbehzssal">
    <w:name w:val="Body Text Indent"/>
    <w:basedOn w:val="Norml"/>
    <w:link w:val="SzvegtrzsbehzssalChar"/>
    <w:rsid w:val="001F1B22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character" w:customStyle="1" w:styleId="SzvegtrzsbehzssalChar">
    <w:name w:val="Szövegtörzs behúzással Char"/>
    <w:basedOn w:val="Bekezdsalapbettpusa"/>
    <w:link w:val="Szvegtrzsbehzssal"/>
    <w:rPr>
      <w:rFonts w:ascii="Times New Roman" w:eastAsia="Times New Roman" w:hAnsi="Times New Roman" w:cs="Times New Roman"/>
      <w:lang w:val="en-GB" w:eastAsia="en-GB"/>
    </w:rPr>
  </w:style>
  <w:style w:type="paragraph" w:styleId="Szvegtrzs3">
    <w:name w:val="Body Text 3"/>
    <w:basedOn w:val="Norml"/>
    <w:link w:val="Szvegtrzs3Char"/>
    <w:rsid w:val="001F1B22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character" w:customStyle="1" w:styleId="Szvegtrzs3Char">
    <w:name w:val="Szövegtörzs 3 Char"/>
    <w:basedOn w:val="Bekezdsalapbettpusa"/>
    <w:link w:val="Szvegtrzs3"/>
    <w:rPr>
      <w:rFonts w:ascii="Times New Roman" w:eastAsia="Times New Roman" w:hAnsi="Times New Roman" w:cs="Times New Roman"/>
      <w:color w:val="0000FF"/>
      <w:lang w:val="en-GB" w:eastAsia="en-GB"/>
    </w:rPr>
  </w:style>
  <w:style w:type="paragraph" w:styleId="Szvegtrzsbehzssal2">
    <w:name w:val="Body Text Indent 2"/>
    <w:basedOn w:val="Norml"/>
    <w:link w:val="Szvegtrzsbehzssal2Char"/>
    <w:rsid w:val="001F1B22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character" w:customStyle="1" w:styleId="Szvegtrzsbehzssal2Char">
    <w:name w:val="Szövegtörzs behúzással 2 Char"/>
    <w:basedOn w:val="Bekezdsalapbettpusa"/>
    <w:link w:val="Szvegtrzsbehzssal2"/>
    <w:rPr>
      <w:rFonts w:ascii="Times New Roman" w:eastAsia="Times New Roman" w:hAnsi="Times New Roman" w:cs="Times New Roman"/>
      <w:b/>
      <w:bCs/>
      <w:color w:val="0000FF"/>
      <w:lang w:val="en-GB"/>
    </w:rPr>
  </w:style>
  <w:style w:type="paragraph" w:styleId="Szvegtrzs2">
    <w:name w:val="Body Text 2"/>
    <w:basedOn w:val="Norml"/>
    <w:link w:val="Szvegtrzs2Char"/>
    <w:rsid w:val="001F1B22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customStyle="1" w:styleId="Szvegtrzs2Char">
    <w:name w:val="Szövegtörzs 2 Char"/>
    <w:basedOn w:val="Bekezdsalapbettpusa"/>
    <w:link w:val="Szvegtrzs2"/>
    <w:rPr>
      <w:rFonts w:ascii="Times New Roman" w:eastAsia="Times New Roman" w:hAnsi="Times New Roman" w:cs="Times New Roman"/>
      <w:b/>
      <w:bCs/>
      <w:color w:val="0000FF"/>
      <w:u w:val="single"/>
      <w:lang w:val="en-GB"/>
    </w:rPr>
  </w:style>
  <w:style w:type="character" w:styleId="Jegyzethivatkozs">
    <w:name w:val="annotation reference"/>
    <w:uiPriority w:val="99"/>
    <w:semiHidden/>
    <w:rsid w:val="001F1B22"/>
    <w:rPr>
      <w:sz w:val="16"/>
      <w:szCs w:val="16"/>
    </w:rPr>
  </w:style>
  <w:style w:type="paragraph" w:styleId="Jegyzetszveg">
    <w:name w:val="annotation text"/>
    <w:basedOn w:val="Norml"/>
    <w:link w:val="JegyzetszvegChar1"/>
    <w:uiPriority w:val="99"/>
    <w:rsid w:val="001F1B22"/>
    <w:rPr>
      <w:sz w:val="20"/>
    </w:rPr>
  </w:style>
  <w:style w:type="character" w:customStyle="1" w:styleId="JegyzetszvegChar">
    <w:name w:val="Jegyzetszöveg Char"/>
    <w:basedOn w:val="Bekezdsalapbettpusa"/>
    <w:uiPriority w:val="99"/>
    <w:rsid w:val="004A0B72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EMEAEnBodyText">
    <w:name w:val="EMEA En Body Text"/>
    <w:basedOn w:val="Norml"/>
    <w:rsid w:val="001F1B22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semiHidden/>
    <w:rsid w:val="001F1B22"/>
    <w:pPr>
      <w:shd w:val="clear" w:color="auto" w:fill="000080"/>
    </w:pPr>
    <w:rPr>
      <w:rFonts w:ascii="Tahoma" w:hAnsi="Tahoma" w:cs="Tahoma"/>
    </w:rPr>
  </w:style>
  <w:style w:type="character" w:customStyle="1" w:styleId="DokumentumtrkpChar">
    <w:name w:val="Dokumentumtérkép Char"/>
    <w:basedOn w:val="Bekezdsalapbettpusa"/>
    <w:link w:val="Dokumentumtrkp"/>
    <w:semiHidden/>
    <w:rPr>
      <w:rFonts w:ascii="Tahoma" w:eastAsia="Times New Roman" w:hAnsi="Tahoma" w:cs="Tahoma"/>
      <w:szCs w:val="20"/>
      <w:shd w:val="clear" w:color="auto" w:fill="000080"/>
      <w:lang w:val="en-GB"/>
    </w:rPr>
  </w:style>
  <w:style w:type="character" w:styleId="Hiperhivatkozs">
    <w:name w:val="Hyperlink"/>
    <w:uiPriority w:val="99"/>
    <w:rsid w:val="001F1B22"/>
    <w:rPr>
      <w:color w:val="0000FF"/>
      <w:u w:val="single"/>
    </w:rPr>
  </w:style>
  <w:style w:type="paragraph" w:customStyle="1" w:styleId="AHeader1">
    <w:name w:val="AHeader 1"/>
    <w:basedOn w:val="Norml"/>
    <w:rsid w:val="001F1B22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1F1B22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1F1B2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1F1B22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1F1B22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link w:val="Szvegtrzsbehzssal3Char"/>
    <w:rsid w:val="001F1B22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basedOn w:val="Bekezdsalapbettpusa"/>
    <w:link w:val="Szvegtrzsbehzssal3"/>
    <w:rPr>
      <w:rFonts w:ascii="Times New Roman" w:eastAsia="Times New Roman" w:hAnsi="Times New Roman" w:cs="Times New Roman"/>
      <w:szCs w:val="21"/>
      <w:lang w:val="en-GB"/>
    </w:rPr>
  </w:style>
  <w:style w:type="character" w:styleId="Mrltotthiperhivatkozs">
    <w:name w:val="FollowedHyperlink"/>
    <w:rsid w:val="001F1B22"/>
    <w:rPr>
      <w:color w:val="800080"/>
      <w:u w:val="single"/>
    </w:rPr>
  </w:style>
  <w:style w:type="paragraph" w:customStyle="1" w:styleId="Default">
    <w:name w:val="Default"/>
    <w:rsid w:val="001F1B22"/>
    <w:pPr>
      <w:widowControl/>
      <w:adjustRightInd w:val="0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uborkszveg">
    <w:name w:val="Balloon Text"/>
    <w:basedOn w:val="Norml"/>
    <w:link w:val="BuborkszvegChar"/>
    <w:semiHidden/>
    <w:rsid w:val="001F1B2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Pr>
      <w:rFonts w:ascii="Tahoma" w:eastAsia="Times New Roman" w:hAnsi="Tahoma" w:cs="Tahoma"/>
      <w:sz w:val="16"/>
      <w:szCs w:val="16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1F1B2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BodytextAgency">
    <w:name w:val="Body text (Agency)"/>
    <w:basedOn w:val="Norml"/>
    <w:link w:val="BodytextAgencyChar"/>
    <w:rsid w:val="001F1B22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F1B22"/>
    <w:rPr>
      <w:rFonts w:ascii="Verdana" w:eastAsia="Verdana" w:hAnsi="Verdana" w:cs="Verdana"/>
      <w:sz w:val="18"/>
      <w:szCs w:val="18"/>
      <w:lang w:val="en-GB" w:eastAsia="en-GB"/>
    </w:rPr>
  </w:style>
  <w:style w:type="paragraph" w:styleId="Vltozat">
    <w:name w:val="Revision"/>
    <w:hidden/>
    <w:uiPriority w:val="99"/>
    <w:semiHidden/>
    <w:rsid w:val="001F1B22"/>
    <w:pPr>
      <w:widowControl/>
      <w:autoSpaceDE/>
      <w:autoSpaceDN/>
    </w:pPr>
    <w:rPr>
      <w:rFonts w:ascii="Times New Roman" w:eastAsia="Times New Roman" w:hAnsi="Times New Roman" w:cs="Times New Roman"/>
      <w:szCs w:val="20"/>
      <w:lang w:val="en-GB"/>
    </w:rPr>
  </w:style>
  <w:style w:type="character" w:styleId="Knyvcme">
    <w:name w:val="Book Title"/>
    <w:aliases w:val="List number"/>
    <w:uiPriority w:val="33"/>
    <w:rsid w:val="001F1B22"/>
  </w:style>
  <w:style w:type="paragraph" w:customStyle="1" w:styleId="Listnumbers">
    <w:name w:val="List numbers"/>
    <w:basedOn w:val="Norml"/>
    <w:link w:val="ListnumbersChar"/>
    <w:qFormat/>
    <w:rsid w:val="001F1B22"/>
    <w:pPr>
      <w:numPr>
        <w:numId w:val="6"/>
      </w:numPr>
      <w:spacing w:line="240" w:lineRule="auto"/>
    </w:pPr>
  </w:style>
  <w:style w:type="character" w:customStyle="1" w:styleId="ListnumbersChar">
    <w:name w:val="List numbers Char"/>
    <w:basedOn w:val="Bekezdsalapbettpusa"/>
    <w:link w:val="Listnumbers"/>
    <w:rsid w:val="001F1B22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MINA">
    <w:name w:val="MINA"/>
    <w:basedOn w:val="Norml"/>
    <w:rsid w:val="001F1B22"/>
    <w:pPr>
      <w:spacing w:line="240" w:lineRule="auto"/>
    </w:pPr>
    <w:rPr>
      <w:b/>
      <w:bCs/>
      <w:color w:val="FF0000"/>
    </w:rPr>
  </w:style>
  <w:style w:type="paragraph" w:customStyle="1" w:styleId="ListHyphen">
    <w:name w:val="List Hyphen"/>
    <w:basedOn w:val="Norml"/>
    <w:next w:val="Norml"/>
    <w:link w:val="ListHyphenChar"/>
    <w:qFormat/>
    <w:rsid w:val="001F1B22"/>
    <w:pPr>
      <w:numPr>
        <w:numId w:val="7"/>
      </w:numPr>
      <w:spacing w:line="240" w:lineRule="auto"/>
      <w:ind w:left="567" w:hanging="567"/>
    </w:pPr>
    <w:rPr>
      <w:noProof/>
    </w:rPr>
  </w:style>
  <w:style w:type="character" w:customStyle="1" w:styleId="ListaszerbekezdsChar">
    <w:name w:val="Listaszerű bekezdés Char"/>
    <w:aliases w:val="List bullet Char"/>
    <w:basedOn w:val="ListnumbersChar"/>
    <w:link w:val="Listaszerbekezds"/>
    <w:uiPriority w:val="34"/>
    <w:rsid w:val="001F1B22"/>
    <w:rPr>
      <w:rFonts w:ascii="Times New Roman" w:eastAsia="Times New Roman" w:hAnsi="Times New Roman" w:cs="Times New Roman"/>
      <w:noProof/>
      <w:szCs w:val="20"/>
      <w:lang w:val="en-GB"/>
    </w:rPr>
  </w:style>
  <w:style w:type="character" w:customStyle="1" w:styleId="ListHyphenChar">
    <w:name w:val="List Hyphen Char"/>
    <w:basedOn w:val="ListaszerbekezdsChar"/>
    <w:link w:val="ListHyphen"/>
    <w:rsid w:val="001F1B22"/>
    <w:rPr>
      <w:rFonts w:ascii="Times New Roman" w:eastAsia="Times New Roman" w:hAnsi="Times New Roman" w:cs="Times New Roman"/>
      <w:noProof/>
      <w:szCs w:val="20"/>
      <w:lang w:val="en-GB"/>
    </w:rPr>
  </w:style>
  <w:style w:type="paragraph" w:customStyle="1" w:styleId="NormalUnderlined">
    <w:name w:val="Normal Underlined"/>
    <w:basedOn w:val="Norml"/>
    <w:next w:val="Norml"/>
    <w:qFormat/>
    <w:rsid w:val="001F1B22"/>
    <w:pPr>
      <w:tabs>
        <w:tab w:val="clear" w:pos="567"/>
      </w:tabs>
      <w:spacing w:line="240" w:lineRule="auto"/>
    </w:pPr>
    <w:rPr>
      <w:szCs w:val="22"/>
      <w:u w:val="single"/>
    </w:rPr>
  </w:style>
  <w:style w:type="paragraph" w:customStyle="1" w:styleId="Normalitalics">
    <w:name w:val="Normal italics"/>
    <w:basedOn w:val="Norml"/>
    <w:next w:val="Norml"/>
    <w:qFormat/>
    <w:rsid w:val="001F1B22"/>
    <w:pPr>
      <w:tabs>
        <w:tab w:val="clear" w:pos="567"/>
      </w:tabs>
      <w:spacing w:line="240" w:lineRule="auto"/>
    </w:pPr>
    <w:rPr>
      <w:bCs/>
      <w:i/>
      <w:iCs/>
      <w:szCs w:val="22"/>
    </w:rPr>
  </w:style>
  <w:style w:type="paragraph" w:customStyle="1" w:styleId="NBoldCenter">
    <w:name w:val="N Bold Center"/>
    <w:basedOn w:val="Norml"/>
    <w:next w:val="Norml"/>
    <w:qFormat/>
    <w:rsid w:val="001F1B22"/>
    <w:pPr>
      <w:tabs>
        <w:tab w:val="clear" w:pos="567"/>
      </w:tabs>
      <w:spacing w:line="240" w:lineRule="auto"/>
      <w:jc w:val="center"/>
      <w:outlineLvl w:val="0"/>
    </w:pPr>
    <w:rPr>
      <w:b/>
      <w:noProof/>
    </w:rPr>
  </w:style>
  <w:style w:type="paragraph" w:customStyle="1" w:styleId="Italicunderlined">
    <w:name w:val="Italic underlined"/>
    <w:basedOn w:val="Norml"/>
    <w:next w:val="Norml"/>
    <w:link w:val="ItalicunderlinedChar"/>
    <w:qFormat/>
    <w:rsid w:val="001F1B22"/>
    <w:rPr>
      <w:i/>
      <w:iCs/>
      <w:szCs w:val="22"/>
      <w:u w:val="single"/>
    </w:rPr>
  </w:style>
  <w:style w:type="character" w:customStyle="1" w:styleId="ItalicunderlinedChar">
    <w:name w:val="Italic underlined Char"/>
    <w:basedOn w:val="Bekezdsalapbettpusa"/>
    <w:link w:val="Italicunderlined"/>
    <w:rsid w:val="001F1B22"/>
    <w:rPr>
      <w:rFonts w:ascii="Times New Roman" w:eastAsia="Times New Roman" w:hAnsi="Times New Roman" w:cs="Times New Roman"/>
      <w:i/>
      <w:iCs/>
      <w:u w:val="single"/>
      <w:lang w:val="en-GB"/>
    </w:rPr>
  </w:style>
  <w:style w:type="paragraph" w:customStyle="1" w:styleId="Heading1PIL">
    <w:name w:val="Heading 1 PIL"/>
    <w:basedOn w:val="Norml"/>
    <w:next w:val="Norml"/>
    <w:link w:val="Heading1PILChar"/>
    <w:qFormat/>
    <w:rsid w:val="001F1B22"/>
    <w:pPr>
      <w:numPr>
        <w:numId w:val="3"/>
      </w:numPr>
      <w:tabs>
        <w:tab w:val="clear" w:pos="570"/>
      </w:tabs>
      <w:spacing w:before="440" w:after="220" w:line="240" w:lineRule="auto"/>
      <w:ind w:left="573" w:hanging="573"/>
    </w:pPr>
    <w:rPr>
      <w:b/>
      <w:noProof/>
    </w:rPr>
  </w:style>
  <w:style w:type="character" w:customStyle="1" w:styleId="Heading1PILChar">
    <w:name w:val="Heading 1 PIL Char"/>
    <w:basedOn w:val="Bekezdsalapbettpusa"/>
    <w:link w:val="Heading1PIL"/>
    <w:rsid w:val="001F1B22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SzvegtrzsChar">
    <w:name w:val="Szövegtörzs Char"/>
    <w:basedOn w:val="Bekezdsalapbettpusa"/>
    <w:link w:val="Szvegtrzs"/>
    <w:rsid w:val="00160DEA"/>
    <w:rPr>
      <w:rFonts w:ascii="Times New Roman" w:eastAsia="Times New Roman" w:hAnsi="Times New Roman" w:cs="Times New Roman"/>
      <w:i/>
      <w:color w:val="008000"/>
      <w:szCs w:val="20"/>
      <w:lang w:val="en-GB"/>
    </w:rPr>
  </w:style>
  <w:style w:type="table" w:styleId="Rcsostblzat">
    <w:name w:val="Table Grid"/>
    <w:basedOn w:val="Normltblzat"/>
    <w:rsid w:val="009B6DB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Listaszerbekezds"/>
    <w:next w:val="Norml"/>
    <w:link w:val="CmChar"/>
    <w:uiPriority w:val="10"/>
    <w:qFormat/>
    <w:rsid w:val="00392B85"/>
    <w:pPr>
      <w:widowControl w:val="0"/>
      <w:numPr>
        <w:numId w:val="49"/>
      </w:numPr>
      <w:autoSpaceDE w:val="0"/>
      <w:autoSpaceDN w:val="0"/>
      <w:ind w:left="425" w:hanging="425"/>
    </w:pPr>
    <w:rPr>
      <w:rFonts w:asciiTheme="majorBidi" w:eastAsia="Arial" w:hAnsiTheme="majorBidi" w:cstheme="majorBidi"/>
      <w:noProof w:val="0"/>
      <w:szCs w:val="22"/>
      <w:lang w:val="nl-NL"/>
    </w:rPr>
  </w:style>
  <w:style w:type="character" w:customStyle="1" w:styleId="CmChar">
    <w:name w:val="Cím Char"/>
    <w:basedOn w:val="Bekezdsalapbettpusa"/>
    <w:link w:val="Cm"/>
    <w:uiPriority w:val="10"/>
    <w:rsid w:val="00392B85"/>
    <w:rPr>
      <w:rFonts w:asciiTheme="majorBidi" w:eastAsia="Arial" w:hAnsiTheme="majorBidi" w:cstheme="majorBidi"/>
      <w:lang w:val="nl-NL"/>
    </w:rPr>
  </w:style>
  <w:style w:type="character" w:customStyle="1" w:styleId="Heading2">
    <w:name w:val="Heading #2_"/>
    <w:basedOn w:val="Bekezdsalapbettpusa"/>
    <w:link w:val="Heading20"/>
    <w:rsid w:val="0007033E"/>
    <w:rPr>
      <w:rFonts w:ascii="Verdana" w:eastAsia="Verdana" w:hAnsi="Verdana" w:cs="Verdana"/>
      <w:b/>
      <w:bCs/>
      <w:sz w:val="18"/>
      <w:szCs w:val="18"/>
      <w:shd w:val="clear" w:color="auto" w:fill="FFFFFF"/>
    </w:rPr>
  </w:style>
  <w:style w:type="paragraph" w:customStyle="1" w:styleId="Heading20">
    <w:name w:val="Heading #2"/>
    <w:basedOn w:val="Norml"/>
    <w:link w:val="Heading2"/>
    <w:rsid w:val="0007033E"/>
    <w:pPr>
      <w:widowControl w:val="0"/>
      <w:shd w:val="clear" w:color="auto" w:fill="FFFFFF"/>
      <w:tabs>
        <w:tab w:val="clear" w:pos="567"/>
      </w:tabs>
      <w:spacing w:after="220" w:line="218" w:lineRule="exact"/>
      <w:ind w:hanging="600"/>
      <w:jc w:val="center"/>
      <w:outlineLvl w:val="1"/>
    </w:pPr>
    <w:rPr>
      <w:rFonts w:ascii="Verdana" w:eastAsia="Verdana" w:hAnsi="Verdana" w:cs="Verdana"/>
      <w:b/>
      <w:bCs/>
      <w:sz w:val="18"/>
      <w:szCs w:val="18"/>
      <w:lang w:val="en-US"/>
    </w:rPr>
  </w:style>
  <w:style w:type="character" w:customStyle="1" w:styleId="lfejChar1">
    <w:name w:val="Élőfej Char1"/>
    <w:basedOn w:val="Bekezdsalapbettpusa"/>
    <w:link w:val="lfej"/>
    <w:rsid w:val="001F1B22"/>
    <w:rPr>
      <w:rFonts w:ascii="Helvetica" w:eastAsia="Times New Roman" w:hAnsi="Helvetica" w:cs="Times New Roman"/>
      <w:sz w:val="20"/>
      <w:szCs w:val="20"/>
      <w:lang w:val="en-GB"/>
    </w:rPr>
  </w:style>
  <w:style w:type="character" w:customStyle="1" w:styleId="JegyzetszvegChar1">
    <w:name w:val="Jegyzetszöveg Char1"/>
    <w:basedOn w:val="Bekezdsalapbettpusa"/>
    <w:link w:val="Jegyzetszveg"/>
    <w:uiPriority w:val="99"/>
    <w:rsid w:val="001F1B22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RA%20Dep\00.%20RA%20Team\PRE-EU%20team\Guidance-legislation\PI\QR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QRD template</Template>
  <TotalTime>137</TotalTime>
  <Pages>8</Pages>
  <Words>2486</Words>
  <Characters>17158</Characters>
  <Application>Microsoft Office Word</Application>
  <DocSecurity>0</DocSecurity>
  <Lines>142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SMOFlipid emulsion for infusion ENG</vt:lpstr>
      <vt:lpstr>SMOFlipid emulsion for infusion ENG</vt:lpstr>
    </vt:vector>
  </TitlesOfParts>
  <Company/>
  <LinksUpToDate>false</LinksUpToDate>
  <CharactersWithSpaces>19605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SMOFlipid emulsion for infusion ENG</dc:title>
  <dc:creator>SE51290</dc:creator>
  <cp:lastModifiedBy>HU_OGYI_7.1</cp:lastModifiedBy>
  <cp:revision>33</cp:revision>
  <dcterms:created xsi:type="dcterms:W3CDTF">2025-05-20T05:39:00Z</dcterms:created>
  <dcterms:modified xsi:type="dcterms:W3CDTF">2026-02-04T15:16:00Z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2019-07-18T00:00:00Z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2023-11-27T00:00:00Z</vt:filetime>
  </property>
</Properties>
</file>