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63833" w14:textId="77777777" w:rsidR="005B1144" w:rsidRPr="00C208E4" w:rsidRDefault="0070285B" w:rsidP="00C208E4">
      <w:pPr>
        <w:pStyle w:val="Listaszerbekezds"/>
        <w:numPr>
          <w:ilvl w:val="0"/>
          <w:numId w:val="16"/>
        </w:numPr>
        <w:tabs>
          <w:tab w:val="left" w:pos="1242"/>
          <w:tab w:val="left" w:pos="1243"/>
        </w:tabs>
        <w:ind w:left="567"/>
        <w:rPr>
          <w:b/>
        </w:rPr>
      </w:pPr>
      <w:r w:rsidRPr="00C208E4">
        <w:rPr>
          <w:b/>
        </w:rPr>
        <w:t>A GYÓGYSZER NEVE</w:t>
      </w:r>
    </w:p>
    <w:p w14:paraId="53F63834" w14:textId="77777777" w:rsidR="005B1144" w:rsidRPr="00C208E4" w:rsidRDefault="005B1144" w:rsidP="00C208E4">
      <w:pPr>
        <w:pStyle w:val="Szvegtrzs"/>
        <w:rPr>
          <w:b/>
        </w:rPr>
      </w:pPr>
    </w:p>
    <w:p w14:paraId="3B8A16A8" w14:textId="089FCD1E" w:rsidR="00D73B5C" w:rsidRPr="00C208E4" w:rsidRDefault="006B2927" w:rsidP="00C208E4">
      <w:pPr>
        <w:pStyle w:val="Cmsor2"/>
        <w:tabs>
          <w:tab w:val="left" w:pos="1242"/>
          <w:tab w:val="left" w:pos="1243"/>
        </w:tabs>
        <w:ind w:left="0"/>
        <w:rPr>
          <w:b w:val="0"/>
          <w:bCs w:val="0"/>
        </w:rPr>
      </w:pPr>
      <w:r w:rsidRPr="00C208E4">
        <w:rPr>
          <w:b w:val="0"/>
          <w:bCs w:val="0"/>
        </w:rPr>
        <w:t>Bosutinib Onkogen</w:t>
      </w:r>
      <w:r w:rsidR="0070285B" w:rsidRPr="00C208E4">
        <w:rPr>
          <w:b w:val="0"/>
          <w:bCs w:val="0"/>
        </w:rPr>
        <w:t xml:space="preserve"> 100 mg filmtabletta</w:t>
      </w:r>
    </w:p>
    <w:p w14:paraId="53F63835" w14:textId="4D39C010" w:rsidR="005B1144" w:rsidRPr="00C208E4" w:rsidRDefault="006B2927" w:rsidP="00C208E4">
      <w:pPr>
        <w:pStyle w:val="Cmsor2"/>
        <w:tabs>
          <w:tab w:val="left" w:pos="1242"/>
          <w:tab w:val="left" w:pos="1243"/>
        </w:tabs>
        <w:ind w:left="0"/>
        <w:rPr>
          <w:b w:val="0"/>
          <w:bCs w:val="0"/>
        </w:rPr>
      </w:pPr>
      <w:r w:rsidRPr="00C208E4">
        <w:rPr>
          <w:b w:val="0"/>
          <w:bCs w:val="0"/>
        </w:rPr>
        <w:t>Bosutinib Onkogen</w:t>
      </w:r>
      <w:r w:rsidR="0070285B" w:rsidRPr="00C208E4">
        <w:rPr>
          <w:b w:val="0"/>
          <w:bCs w:val="0"/>
        </w:rPr>
        <w:t xml:space="preserve"> 500 mg filmtabletta</w:t>
      </w:r>
    </w:p>
    <w:p w14:paraId="53F63836" w14:textId="77777777" w:rsidR="005B1144" w:rsidRPr="00C208E4" w:rsidRDefault="005B1144" w:rsidP="00C208E4">
      <w:pPr>
        <w:pStyle w:val="Szvegtrzs"/>
      </w:pPr>
    </w:p>
    <w:p w14:paraId="53F63837" w14:textId="77777777" w:rsidR="005B1144" w:rsidRPr="00C208E4" w:rsidRDefault="005B1144" w:rsidP="00C208E4">
      <w:pPr>
        <w:pStyle w:val="Szvegtrzs"/>
      </w:pPr>
    </w:p>
    <w:p w14:paraId="53F63838" w14:textId="77777777" w:rsidR="005B1144" w:rsidRPr="00C208E4" w:rsidRDefault="0070285B" w:rsidP="00C208E4">
      <w:pPr>
        <w:pStyle w:val="Listaszerbekezds"/>
        <w:numPr>
          <w:ilvl w:val="0"/>
          <w:numId w:val="16"/>
        </w:numPr>
        <w:tabs>
          <w:tab w:val="left" w:pos="1242"/>
          <w:tab w:val="left" w:pos="1243"/>
        </w:tabs>
        <w:ind w:left="567"/>
        <w:rPr>
          <w:b/>
        </w:rPr>
      </w:pPr>
      <w:r w:rsidRPr="00C208E4">
        <w:rPr>
          <w:b/>
        </w:rPr>
        <w:t>MINŐSÉGI ÉS MENNYISÉGI ÖSSZETÉTEL</w:t>
      </w:r>
    </w:p>
    <w:p w14:paraId="4D955E69" w14:textId="77777777" w:rsidR="005569FD" w:rsidRPr="00C208E4" w:rsidRDefault="005569FD" w:rsidP="00C208E4">
      <w:pPr>
        <w:pStyle w:val="Szvegtrzs"/>
        <w:rPr>
          <w:b/>
        </w:rPr>
      </w:pPr>
    </w:p>
    <w:p w14:paraId="53F6383A" w14:textId="3B5BD8B5" w:rsidR="005B1144" w:rsidRPr="00C208E4" w:rsidRDefault="006B2927" w:rsidP="00C208E4">
      <w:pPr>
        <w:pStyle w:val="Szvegtrzs"/>
      </w:pPr>
      <w:r w:rsidRPr="00C208E4">
        <w:rPr>
          <w:u w:val="single"/>
        </w:rPr>
        <w:t>Bosutinib Onkogen</w:t>
      </w:r>
      <w:r w:rsidR="0070285B" w:rsidRPr="00C208E4">
        <w:rPr>
          <w:u w:val="single"/>
        </w:rPr>
        <w:t xml:space="preserve"> 100 mg filmtabletta</w:t>
      </w:r>
    </w:p>
    <w:p w14:paraId="53F6383B" w14:textId="5A38508B" w:rsidR="005B1144" w:rsidRPr="00C208E4" w:rsidRDefault="0070285B" w:rsidP="00C208E4">
      <w:pPr>
        <w:pStyle w:val="Szvegtrzs"/>
      </w:pPr>
      <w:r w:rsidRPr="00C208E4">
        <w:t>100 mg bozutinibet tartalmaz filmtablettánként.</w:t>
      </w:r>
    </w:p>
    <w:p w14:paraId="53F6383F" w14:textId="77777777" w:rsidR="005B1144" w:rsidRPr="00C208E4" w:rsidRDefault="005B1144" w:rsidP="00C208E4">
      <w:pPr>
        <w:pStyle w:val="Szvegtrzs"/>
      </w:pPr>
    </w:p>
    <w:p w14:paraId="53F63840" w14:textId="532BBE8C" w:rsidR="005B1144" w:rsidRPr="00C208E4" w:rsidRDefault="006B2927" w:rsidP="00C208E4">
      <w:pPr>
        <w:pStyle w:val="Szvegtrzs"/>
      </w:pPr>
      <w:r w:rsidRPr="00C208E4">
        <w:rPr>
          <w:u w:val="single"/>
        </w:rPr>
        <w:t>Bosutinib Onkogen</w:t>
      </w:r>
      <w:r w:rsidR="0070285B" w:rsidRPr="00C208E4">
        <w:rPr>
          <w:u w:val="single"/>
        </w:rPr>
        <w:t xml:space="preserve"> 500 mg filmtabletta</w:t>
      </w:r>
    </w:p>
    <w:p w14:paraId="61E66AA0" w14:textId="5809409F" w:rsidR="006B2927" w:rsidRPr="00C208E4" w:rsidRDefault="0070285B" w:rsidP="00C208E4">
      <w:pPr>
        <w:pStyle w:val="Szvegtrzs"/>
      </w:pPr>
      <w:r w:rsidRPr="00C208E4">
        <w:t>500 mg bozutinibet tartalmaz filmtablettánként.</w:t>
      </w:r>
    </w:p>
    <w:p w14:paraId="48868C51" w14:textId="77777777" w:rsidR="00D73B5C" w:rsidRPr="00C208E4" w:rsidRDefault="00D73B5C" w:rsidP="00C208E4">
      <w:pPr>
        <w:pStyle w:val="Szvegtrzs"/>
      </w:pPr>
    </w:p>
    <w:p w14:paraId="53F63841" w14:textId="276ED4CC" w:rsidR="005B1144" w:rsidRPr="00C208E4" w:rsidRDefault="0070285B" w:rsidP="00C208E4">
      <w:pPr>
        <w:pStyle w:val="Szvegtrzs"/>
      </w:pPr>
      <w:r w:rsidRPr="00C208E4">
        <w:t>A segédanyagok teljes listáját lásd a 6.1 pontban.</w:t>
      </w:r>
    </w:p>
    <w:p w14:paraId="0397FCF1" w14:textId="77777777" w:rsidR="00D73B5C" w:rsidRPr="00C208E4" w:rsidRDefault="00D73B5C" w:rsidP="00C208E4">
      <w:pPr>
        <w:pStyle w:val="Szvegtrzs"/>
      </w:pPr>
    </w:p>
    <w:p w14:paraId="53F63842" w14:textId="77777777" w:rsidR="005B1144" w:rsidRPr="00C208E4" w:rsidRDefault="005B1144" w:rsidP="00C208E4">
      <w:pPr>
        <w:pStyle w:val="Szvegtrzs"/>
      </w:pPr>
    </w:p>
    <w:p w14:paraId="53F63843" w14:textId="77777777" w:rsidR="005B1144" w:rsidRPr="00C208E4" w:rsidRDefault="0070285B" w:rsidP="00C208E4">
      <w:pPr>
        <w:pStyle w:val="Listaszerbekezds"/>
        <w:numPr>
          <w:ilvl w:val="0"/>
          <w:numId w:val="16"/>
        </w:numPr>
        <w:tabs>
          <w:tab w:val="left" w:pos="1242"/>
          <w:tab w:val="left" w:pos="1243"/>
        </w:tabs>
        <w:ind w:left="567"/>
        <w:rPr>
          <w:b/>
        </w:rPr>
      </w:pPr>
      <w:r w:rsidRPr="00C208E4">
        <w:rPr>
          <w:b/>
        </w:rPr>
        <w:t>GYÓGYSZERFORMA</w:t>
      </w:r>
    </w:p>
    <w:p w14:paraId="53F63844" w14:textId="77777777" w:rsidR="005B1144" w:rsidRPr="00C208E4" w:rsidRDefault="005B1144" w:rsidP="00C208E4">
      <w:pPr>
        <w:pStyle w:val="Szvegtrzs"/>
        <w:rPr>
          <w:b/>
        </w:rPr>
      </w:pPr>
    </w:p>
    <w:p w14:paraId="53F63845" w14:textId="67C22D38" w:rsidR="005B1144" w:rsidRPr="00C208E4" w:rsidRDefault="0070285B" w:rsidP="00C208E4">
      <w:pPr>
        <w:pStyle w:val="Szvegtrzs"/>
      </w:pPr>
      <w:r w:rsidRPr="00C208E4">
        <w:t>Filmta</w:t>
      </w:r>
      <w:r w:rsidR="0099562E" w:rsidRPr="00C208E4">
        <w:t>b</w:t>
      </w:r>
      <w:r w:rsidRPr="00C208E4">
        <w:t>letta.</w:t>
      </w:r>
    </w:p>
    <w:p w14:paraId="3635B533" w14:textId="77777777" w:rsidR="005569FD" w:rsidRPr="00C208E4" w:rsidRDefault="005569FD" w:rsidP="00C208E4">
      <w:pPr>
        <w:pStyle w:val="Szvegtrzs"/>
      </w:pPr>
    </w:p>
    <w:p w14:paraId="56595258" w14:textId="77777777" w:rsidR="005569FD" w:rsidRPr="00C208E4" w:rsidRDefault="006B2927" w:rsidP="00C208E4">
      <w:pPr>
        <w:pStyle w:val="Szvegtrzs"/>
      </w:pPr>
      <w:r w:rsidRPr="00C208E4">
        <w:rPr>
          <w:u w:val="single"/>
        </w:rPr>
        <w:t>Bosutinib Onkogen</w:t>
      </w:r>
      <w:r w:rsidR="0070285B" w:rsidRPr="00C208E4">
        <w:rPr>
          <w:u w:val="single"/>
        </w:rPr>
        <w:t xml:space="preserve"> 100 mg filmtabletta</w:t>
      </w:r>
    </w:p>
    <w:p w14:paraId="53F63848" w14:textId="758CB6C3" w:rsidR="005B1144" w:rsidRPr="00C208E4" w:rsidRDefault="0070285B" w:rsidP="00C208E4">
      <w:pPr>
        <w:pStyle w:val="Szvegtrzs"/>
      </w:pPr>
      <w:r w:rsidRPr="00C208E4">
        <w:t>Sárga színű, ovális (szélesség: 6 mm, hosszúság: 1</w:t>
      </w:r>
      <w:r w:rsidR="006B2927" w:rsidRPr="00C208E4">
        <w:t>1</w:t>
      </w:r>
      <w:r w:rsidRPr="00C208E4">
        <w:t xml:space="preserve"> mm), mindkét oldalán domború filmtabletta</w:t>
      </w:r>
      <w:r w:rsidR="00363BEF" w:rsidRPr="00C208E4">
        <w:t>,</w:t>
      </w:r>
      <w:r w:rsidRPr="00C208E4">
        <w:t xml:space="preserve"> egyik oldalán mélynyomás</w:t>
      </w:r>
      <w:r w:rsidR="00363BEF" w:rsidRPr="00C208E4">
        <w:t>ú</w:t>
      </w:r>
      <w:r w:rsidRPr="00C208E4">
        <w:t xml:space="preserve"> „</w:t>
      </w:r>
      <w:r w:rsidR="006B2927" w:rsidRPr="00C208E4">
        <w:t>C18”</w:t>
      </w:r>
      <w:r w:rsidRPr="00C208E4">
        <w:t xml:space="preserve"> jelzéssel ellátva.</w:t>
      </w:r>
    </w:p>
    <w:p w14:paraId="53F6384C" w14:textId="77777777" w:rsidR="005B1144" w:rsidRPr="00C208E4" w:rsidRDefault="005B1144" w:rsidP="00C208E4">
      <w:pPr>
        <w:pStyle w:val="Szvegtrzs"/>
      </w:pPr>
    </w:p>
    <w:p w14:paraId="53F6384D" w14:textId="2C2A260B" w:rsidR="005B1144" w:rsidRPr="00C208E4" w:rsidRDefault="006B2927" w:rsidP="00C208E4">
      <w:pPr>
        <w:pStyle w:val="Szvegtrzs"/>
      </w:pPr>
      <w:r w:rsidRPr="00C208E4">
        <w:rPr>
          <w:u w:val="single"/>
        </w:rPr>
        <w:t>Bosutinib Onkogen</w:t>
      </w:r>
      <w:r w:rsidR="0070285B" w:rsidRPr="00C208E4">
        <w:rPr>
          <w:u w:val="single"/>
        </w:rPr>
        <w:t xml:space="preserve"> 500 mg filmtabletta</w:t>
      </w:r>
    </w:p>
    <w:p w14:paraId="53F6384E" w14:textId="324C3FE4" w:rsidR="005B1144" w:rsidRPr="00C208E4" w:rsidRDefault="006B2927" w:rsidP="00C208E4">
      <w:pPr>
        <w:pStyle w:val="Szvegtrzs"/>
      </w:pPr>
      <w:r w:rsidRPr="00C208E4">
        <w:t>Rózsa</w:t>
      </w:r>
      <w:r w:rsidR="0070285B" w:rsidRPr="00C208E4">
        <w:t xml:space="preserve">színű, ovális (szélesség: </w:t>
      </w:r>
      <w:r w:rsidRPr="00C208E4">
        <w:t>10</w:t>
      </w:r>
      <w:r w:rsidR="0070285B" w:rsidRPr="00C208E4">
        <w:t xml:space="preserve"> mm, hosszúság: 18 mm), mindkét oldalán domború filmtabletta</w:t>
      </w:r>
      <w:r w:rsidR="00363BEF" w:rsidRPr="00C208E4">
        <w:t>,</w:t>
      </w:r>
      <w:r w:rsidR="0070285B" w:rsidRPr="00C208E4">
        <w:t xml:space="preserve"> egyik oldalán mélynyomás</w:t>
      </w:r>
      <w:r w:rsidR="00363BEF" w:rsidRPr="00C208E4">
        <w:t>ú</w:t>
      </w:r>
      <w:r w:rsidR="0070285B" w:rsidRPr="00C208E4">
        <w:t xml:space="preserve"> „</w:t>
      </w:r>
      <w:r w:rsidRPr="00C208E4">
        <w:t>C20”</w:t>
      </w:r>
      <w:r w:rsidR="0070285B" w:rsidRPr="00C208E4">
        <w:t xml:space="preserve"> jelzéssel ellátva.</w:t>
      </w:r>
    </w:p>
    <w:p w14:paraId="53F6384F" w14:textId="77777777" w:rsidR="005B1144" w:rsidRPr="00C208E4" w:rsidRDefault="005B1144" w:rsidP="00C208E4">
      <w:pPr>
        <w:pStyle w:val="Szvegtrzs"/>
      </w:pPr>
    </w:p>
    <w:p w14:paraId="53F63850" w14:textId="77777777" w:rsidR="005B1144" w:rsidRPr="00C208E4" w:rsidRDefault="005B1144" w:rsidP="00C208E4">
      <w:pPr>
        <w:pStyle w:val="Szvegtrzs"/>
      </w:pPr>
    </w:p>
    <w:p w14:paraId="53F63851" w14:textId="77777777" w:rsidR="005B1144" w:rsidRPr="00C208E4" w:rsidRDefault="0070285B" w:rsidP="00C208E4">
      <w:pPr>
        <w:pStyle w:val="Listaszerbekezds"/>
        <w:numPr>
          <w:ilvl w:val="0"/>
          <w:numId w:val="16"/>
        </w:numPr>
        <w:tabs>
          <w:tab w:val="left" w:pos="1242"/>
          <w:tab w:val="left" w:pos="1243"/>
        </w:tabs>
        <w:ind w:left="567"/>
        <w:rPr>
          <w:b/>
        </w:rPr>
      </w:pPr>
      <w:r w:rsidRPr="00C208E4">
        <w:rPr>
          <w:b/>
        </w:rPr>
        <w:t>KLINIKAI JELLEMZŐK</w:t>
      </w:r>
    </w:p>
    <w:p w14:paraId="53F63852" w14:textId="77777777" w:rsidR="005B1144" w:rsidRPr="00C208E4" w:rsidRDefault="005B1144" w:rsidP="00C208E4">
      <w:pPr>
        <w:pStyle w:val="Szvegtrzs"/>
        <w:rPr>
          <w:b/>
        </w:rPr>
      </w:pPr>
    </w:p>
    <w:p w14:paraId="53F63853" w14:textId="77777777" w:rsidR="005B1144" w:rsidRPr="00C208E4" w:rsidRDefault="0070285B" w:rsidP="00C208E4">
      <w:pPr>
        <w:pStyle w:val="Cmsor2"/>
        <w:numPr>
          <w:ilvl w:val="1"/>
          <w:numId w:val="16"/>
        </w:numPr>
        <w:tabs>
          <w:tab w:val="left" w:pos="1242"/>
          <w:tab w:val="left" w:pos="1243"/>
        </w:tabs>
        <w:ind w:left="567"/>
      </w:pPr>
      <w:r w:rsidRPr="00C208E4">
        <w:t>Terápiás javallatok</w:t>
      </w:r>
    </w:p>
    <w:p w14:paraId="53F63854" w14:textId="77777777" w:rsidR="005B1144" w:rsidRPr="00C208E4" w:rsidRDefault="005B1144" w:rsidP="00C208E4">
      <w:pPr>
        <w:pStyle w:val="Szvegtrzs"/>
        <w:rPr>
          <w:b/>
        </w:rPr>
      </w:pPr>
    </w:p>
    <w:p w14:paraId="53F63855" w14:textId="37C7C693" w:rsidR="005B1144" w:rsidRPr="00C208E4" w:rsidRDefault="0070285B" w:rsidP="00C208E4">
      <w:pPr>
        <w:pStyle w:val="Szvegtrzs"/>
      </w:pPr>
      <w:r w:rsidRPr="00C208E4">
        <w:t xml:space="preserve">A </w:t>
      </w:r>
      <w:r w:rsidR="006B2927" w:rsidRPr="00C208E4">
        <w:t>Bosutinib Onkogen</w:t>
      </w:r>
      <w:r w:rsidRPr="00C208E4">
        <w:t xml:space="preserve"> felnőtt betegek kezelésére javallott:</w:t>
      </w:r>
    </w:p>
    <w:p w14:paraId="53F63856" w14:textId="77777777" w:rsidR="005B1144" w:rsidRPr="00C208E4" w:rsidRDefault="0070285B" w:rsidP="00C208E4">
      <w:pPr>
        <w:pStyle w:val="Listaszerbekezds"/>
        <w:numPr>
          <w:ilvl w:val="2"/>
          <w:numId w:val="16"/>
        </w:numPr>
        <w:tabs>
          <w:tab w:val="left" w:pos="1396"/>
        </w:tabs>
        <w:ind w:left="293"/>
      </w:pPr>
      <w:r w:rsidRPr="00C208E4">
        <w:t>újonnan diagnosztizált, krónikus fázisú (CP), Philadelphia-kromoszóma-pozitív, krónikus myeloid leukaemiában (Ph+ CML);</w:t>
      </w:r>
    </w:p>
    <w:p w14:paraId="53F63857" w14:textId="323BDAC8" w:rsidR="005B1144" w:rsidRPr="00C208E4" w:rsidRDefault="0070285B" w:rsidP="00C208E4">
      <w:pPr>
        <w:pStyle w:val="Listaszerbekezds"/>
        <w:numPr>
          <w:ilvl w:val="2"/>
          <w:numId w:val="16"/>
        </w:numPr>
        <w:tabs>
          <w:tab w:val="left" w:pos="1396"/>
        </w:tabs>
        <w:ind w:left="293"/>
      </w:pPr>
      <w:r w:rsidRPr="00C208E4">
        <w:t xml:space="preserve">előzetesen egy vagy több tirozinkináz-gátlóval (TKI) kezelt CP, akcelerált fázisú (AP), </w:t>
      </w:r>
      <w:r w:rsidR="00601929">
        <w:t>ill.</w:t>
      </w:r>
      <w:r w:rsidRPr="00C208E4">
        <w:t xml:space="preserve"> blasztos fázisú (BP) Ph+ CML-ben, amikor az imatinib, a nilotinib és a dazatinib nem tekinthető megfelelő terápiás lehetőségnek.</w:t>
      </w:r>
    </w:p>
    <w:p w14:paraId="53F63858" w14:textId="77777777" w:rsidR="005B1144" w:rsidRPr="00C208E4" w:rsidRDefault="005B1144" w:rsidP="00C208E4">
      <w:pPr>
        <w:pStyle w:val="Szvegtrzs"/>
      </w:pPr>
    </w:p>
    <w:p w14:paraId="53F63859" w14:textId="77777777" w:rsidR="005B1144" w:rsidRPr="00C208E4" w:rsidRDefault="0070285B" w:rsidP="00C208E4">
      <w:pPr>
        <w:pStyle w:val="Cmsor2"/>
        <w:numPr>
          <w:ilvl w:val="1"/>
          <w:numId w:val="16"/>
        </w:numPr>
        <w:tabs>
          <w:tab w:val="left" w:pos="1242"/>
          <w:tab w:val="left" w:pos="1243"/>
        </w:tabs>
        <w:ind w:left="567"/>
      </w:pPr>
      <w:r w:rsidRPr="00C208E4">
        <w:t>Adagolás és alkalmazás</w:t>
      </w:r>
    </w:p>
    <w:p w14:paraId="53F6385A" w14:textId="77777777" w:rsidR="005B1144" w:rsidRPr="00C208E4" w:rsidRDefault="005B1144" w:rsidP="00C208E4">
      <w:pPr>
        <w:pStyle w:val="Szvegtrzs"/>
        <w:rPr>
          <w:b/>
        </w:rPr>
      </w:pPr>
    </w:p>
    <w:p w14:paraId="53F6385B" w14:textId="273BCEAE" w:rsidR="005B1144" w:rsidRPr="00C208E4" w:rsidRDefault="0070285B" w:rsidP="00C208E4">
      <w:pPr>
        <w:pStyle w:val="Szvegtrzs"/>
      </w:pPr>
      <w:r w:rsidRPr="00C208E4">
        <w:t xml:space="preserve">A </w:t>
      </w:r>
      <w:r w:rsidR="006B2927" w:rsidRPr="00C208E4">
        <w:t>Bosutinib Onkogen</w:t>
      </w:r>
      <w:r w:rsidRPr="00C208E4">
        <w:t>-terápiát a CML-es betegek diagnosztizálásában és kezelésében jártas orvosnak kell megkezdenie.</w:t>
      </w:r>
    </w:p>
    <w:p w14:paraId="47783299" w14:textId="77777777" w:rsidR="00ED55FC" w:rsidRPr="00C208E4" w:rsidRDefault="00ED55FC" w:rsidP="00C208E4"/>
    <w:p w14:paraId="53F6385D" w14:textId="27AD8947" w:rsidR="005B1144" w:rsidRPr="00C208E4" w:rsidRDefault="0070285B" w:rsidP="00C208E4">
      <w:r w:rsidRPr="00C208E4">
        <w:rPr>
          <w:u w:val="single"/>
        </w:rPr>
        <w:t>Adagolás</w:t>
      </w:r>
    </w:p>
    <w:p w14:paraId="53F6385E" w14:textId="77777777" w:rsidR="005B1144" w:rsidRPr="00C208E4" w:rsidRDefault="005B1144" w:rsidP="00C208E4">
      <w:pPr>
        <w:pStyle w:val="Szvegtrzs"/>
        <w:rPr>
          <w:szCs w:val="36"/>
        </w:rPr>
      </w:pPr>
    </w:p>
    <w:p w14:paraId="53F6385F" w14:textId="77777777" w:rsidR="005B1144" w:rsidRPr="00C208E4" w:rsidRDefault="0070285B" w:rsidP="00C208E4">
      <w:pPr>
        <w:rPr>
          <w:i/>
        </w:rPr>
      </w:pPr>
      <w:r w:rsidRPr="00C208E4">
        <w:rPr>
          <w:i/>
          <w:u w:val="single"/>
        </w:rPr>
        <w:t>Újonnan diagnosztizált, CP Ph+ CML</w:t>
      </w:r>
    </w:p>
    <w:p w14:paraId="53F63860" w14:textId="3D44F30A" w:rsidR="005B1144" w:rsidRPr="00C208E4" w:rsidRDefault="0070285B" w:rsidP="00C208E4">
      <w:pPr>
        <w:pStyle w:val="Szvegtrzs"/>
      </w:pPr>
      <w:r w:rsidRPr="00C208E4">
        <w:t>Az ajánlott dózis naponta egyszer 400 mg bozutinib.</w:t>
      </w:r>
      <w:r w:rsidR="003E087B" w:rsidRPr="00C208E4">
        <w:t xml:space="preserve"> A 400 mg-os</w:t>
      </w:r>
      <w:r w:rsidR="000E7270">
        <w:t xml:space="preserve"> dózis </w:t>
      </w:r>
      <w:r w:rsidR="003E087B" w:rsidRPr="00C208E4">
        <w:t>a 100 mg-os tablettákkal biztosítható.</w:t>
      </w:r>
    </w:p>
    <w:p w14:paraId="53F63861" w14:textId="77777777" w:rsidR="005B1144" w:rsidRPr="00C208E4" w:rsidRDefault="005B1144" w:rsidP="00C208E4">
      <w:pPr>
        <w:pStyle w:val="Szvegtrzs"/>
      </w:pPr>
    </w:p>
    <w:p w14:paraId="53F63862" w14:textId="77777777" w:rsidR="005B1144" w:rsidRPr="00C208E4" w:rsidRDefault="0070285B" w:rsidP="0030598E">
      <w:pPr>
        <w:widowControl/>
        <w:rPr>
          <w:i/>
        </w:rPr>
      </w:pPr>
      <w:r w:rsidRPr="00C208E4">
        <w:rPr>
          <w:i/>
          <w:u w:val="single"/>
        </w:rPr>
        <w:t>CP, AP vagy BP Ph+ CML a korábbi terápiával szembeni rezisztencia vagy intolerancia esetén</w:t>
      </w:r>
    </w:p>
    <w:p w14:paraId="53F63863" w14:textId="77777777" w:rsidR="005B1144" w:rsidRPr="00C208E4" w:rsidRDefault="0070285B" w:rsidP="0030598E">
      <w:pPr>
        <w:pStyle w:val="Szvegtrzs"/>
        <w:widowControl/>
      </w:pPr>
      <w:r w:rsidRPr="00C208E4">
        <w:t>Az ajánlott dózis naponta egyszer 500 mg bozutinib.</w:t>
      </w:r>
    </w:p>
    <w:p w14:paraId="53F63864" w14:textId="77777777" w:rsidR="005B1144" w:rsidRPr="00C208E4" w:rsidRDefault="005B1144" w:rsidP="0030598E">
      <w:pPr>
        <w:pStyle w:val="Szvegtrzs"/>
        <w:widowControl/>
      </w:pPr>
    </w:p>
    <w:p w14:paraId="53F63865" w14:textId="192C8BF2" w:rsidR="005B1144" w:rsidRPr="00C208E4" w:rsidRDefault="0070285B" w:rsidP="0030598E">
      <w:pPr>
        <w:pStyle w:val="Szvegtrzs"/>
        <w:widowControl/>
      </w:pPr>
      <w:r w:rsidRPr="00C208E4">
        <w:t>Mindkét indikáció klinikai vizsgálataiban a bozutinib-kezelést a betegség progressziójáig, ill</w:t>
      </w:r>
      <w:r w:rsidR="000C663D">
        <w:t>.</w:t>
      </w:r>
      <w:r w:rsidRPr="00C208E4">
        <w:t xml:space="preserve"> a terápiával szembeni intolerancia kialakulásáig folytatták.</w:t>
      </w:r>
    </w:p>
    <w:p w14:paraId="53F63866" w14:textId="77777777" w:rsidR="005B1144" w:rsidRPr="00C208E4" w:rsidRDefault="005B1144" w:rsidP="00C208E4">
      <w:pPr>
        <w:pStyle w:val="Szvegtrzs"/>
      </w:pPr>
    </w:p>
    <w:p w14:paraId="53F63867" w14:textId="77777777" w:rsidR="005B1144" w:rsidRPr="00C208E4" w:rsidRDefault="0070285B" w:rsidP="00C208E4">
      <w:pPr>
        <w:rPr>
          <w:i/>
        </w:rPr>
      </w:pPr>
      <w:r w:rsidRPr="00C208E4">
        <w:rPr>
          <w:i/>
          <w:u w:val="single"/>
        </w:rPr>
        <w:t>Dózismódosítások</w:t>
      </w:r>
    </w:p>
    <w:p w14:paraId="53F63868" w14:textId="77777777" w:rsidR="005B1144" w:rsidRPr="00C208E4" w:rsidRDefault="005B1144" w:rsidP="00C208E4">
      <w:pPr>
        <w:pStyle w:val="Szvegtrzs"/>
        <w:rPr>
          <w:i/>
        </w:rPr>
      </w:pPr>
    </w:p>
    <w:p w14:paraId="53F6386A" w14:textId="3F4FC4A9" w:rsidR="005B1144" w:rsidRPr="00C208E4" w:rsidRDefault="0070285B" w:rsidP="00C208E4">
      <w:pPr>
        <w:pStyle w:val="Szvegtrzs"/>
      </w:pPr>
      <w:r w:rsidRPr="00C208E4">
        <w:t xml:space="preserve">A korábbi kezelésre rezisztens vagy azt nem toleráló CML-es betegekkel végzett I./II. fázisú klinikai vizsgálatban a dózis naponta egyszer 500 mg-ról 600 mg-ra való növelését engedélyezték </w:t>
      </w:r>
      <w:r w:rsidR="001320AE">
        <w:t>étkezés közben</w:t>
      </w:r>
      <w:r w:rsidRPr="00C208E4">
        <w:t xml:space="preserve"> bevéve olyan betegeknél, akiknél nem alakult ki teljes hematológiai válasz (complete haematologic response – CHR) a 8. hétig vagy teljes citogenetikai válasz (complete cytogenetic response – CCyR) a 12. hétig, valamint nem tapasztaltak potenciálisan a vizsgálati készítményhez kapcsolódó, 3. fokozatú vagy súlyosabb mellékhatásokat. Az újonnan diagnosztizált CP CML-ben szenvedő, 400 mg bozutinibbel kezelt betegek III. fázisú klinikai vizsgálatában lehetőség volt a dózis 100 mg-onként történő emelésére napi egyszeri, </w:t>
      </w:r>
      <w:r w:rsidR="001320AE">
        <w:t>étkezés közben</w:t>
      </w:r>
      <w:r w:rsidRPr="00C208E4">
        <w:t xml:space="preserve"> bevett 600 mg-os maximális </w:t>
      </w:r>
      <w:r w:rsidR="00D65A47">
        <w:t>dózisig</w:t>
      </w:r>
      <w:r w:rsidRPr="00C208E4">
        <w:t>, ha a betegnél a 3. hónapban nem igazolták a töréspont klaszterrégió-Abelson (BCR-ABL) transzkriptumok ≤ 10%-os arányát, a dóziseszkaláció idején nem jelentkezett nála 3. vagy 4. fokozatú mellékhatás, valamint ha az összes 2. fokozatú nem hematológiai toxicitás legalább 1. fokozatúra enyhült. A korábban 1 vagy több TKI-vel kezelt, Ph+ CML-ben szenvedő betegek IV. fázisú klinikai vizsgálatában</w:t>
      </w:r>
      <w:r w:rsidR="009777D8" w:rsidRPr="00C208E4">
        <w:t>,</w:t>
      </w:r>
      <w:r w:rsidRPr="00C208E4">
        <w:t xml:space="preserve"> azon betegek esetében engedélyezték a dózis napi egyszeri 500 mg-ról </w:t>
      </w:r>
      <w:r w:rsidR="001320AE">
        <w:t>étkezés közben</w:t>
      </w:r>
      <w:r w:rsidRPr="00C208E4">
        <w:t xml:space="preserve"> bevett, napi egyszeri 600 mg-ra történő emelését, akiknél a válasz nem volt kielégítő, vagy akiknél a betegség progressziójának jelei mutatkoztak 3. vagy 4. fokozatú mellékhatások vagy tartós</w:t>
      </w:r>
      <w:r w:rsidR="00440F87" w:rsidRPr="00C208E4">
        <w:t xml:space="preserve"> </w:t>
      </w:r>
      <w:r w:rsidRPr="00C208E4">
        <w:t>2.</w:t>
      </w:r>
      <w:r w:rsidR="004E2B55" w:rsidRPr="00C208E4">
        <w:t> </w:t>
      </w:r>
      <w:r w:rsidRPr="00C208E4">
        <w:t>fokozatú mellékhatások fennállása nélkül.</w:t>
      </w:r>
    </w:p>
    <w:p w14:paraId="53F6386B" w14:textId="77777777" w:rsidR="005B1144" w:rsidRPr="00C208E4" w:rsidRDefault="005B1144" w:rsidP="00C208E4">
      <w:pPr>
        <w:pStyle w:val="Szvegtrzs"/>
      </w:pPr>
    </w:p>
    <w:p w14:paraId="53F6386C" w14:textId="723859BD" w:rsidR="005B1144" w:rsidRPr="00C208E4" w:rsidRDefault="0070285B" w:rsidP="00C208E4">
      <w:pPr>
        <w:pStyle w:val="Szvegtrzs"/>
      </w:pPr>
      <w:r w:rsidRPr="00C208E4">
        <w:t>A korábbi kezelésre rezisztens vagy azt nem toleráló, a kezelést ≤ 500 mg alkalmazásával kezdő CML-es betegek I./II. fázisú vizsgálatában 93 (93/558; 16,7%) betegnél emelték fel a dózist napi 600</w:t>
      </w:r>
      <w:r w:rsidR="009D518F">
        <w:t> </w:t>
      </w:r>
      <w:r w:rsidRPr="00C208E4">
        <w:t>mg-ra.</w:t>
      </w:r>
    </w:p>
    <w:p w14:paraId="04B1FC84" w14:textId="77777777" w:rsidR="00440F87" w:rsidRPr="00C208E4" w:rsidRDefault="00440F87" w:rsidP="00C208E4">
      <w:pPr>
        <w:pStyle w:val="Szvegtrzs"/>
      </w:pPr>
    </w:p>
    <w:p w14:paraId="53F6386E" w14:textId="5121471D" w:rsidR="005B1144" w:rsidRPr="00C208E4" w:rsidRDefault="0070285B" w:rsidP="00C208E4">
      <w:pPr>
        <w:pStyle w:val="Szvegtrzs"/>
      </w:pPr>
      <w:r w:rsidRPr="00C208E4">
        <w:t>Az újonnan diagnosztizált CP CML-es, a bozutinib-kezelést 400 mg dózissal kezdő betegek III. fázisú vizsgálatában összesen 58 betegnél (21,6%) emelték a dózist napi 500 mg-ra. Továbbá a bozutinibet kapó kezelési csoportban a betegek 10,4%-ánál folytatták a dózis emelését napi 600 mg-ra.</w:t>
      </w:r>
    </w:p>
    <w:p w14:paraId="53F6386F" w14:textId="77777777" w:rsidR="005B1144" w:rsidRPr="00C208E4" w:rsidRDefault="005B1144" w:rsidP="00C208E4">
      <w:pPr>
        <w:pStyle w:val="Szvegtrzs"/>
      </w:pPr>
    </w:p>
    <w:p w14:paraId="53F63870" w14:textId="76D79966" w:rsidR="005B1144" w:rsidRPr="00C208E4" w:rsidRDefault="0070285B" w:rsidP="00C208E4">
      <w:pPr>
        <w:pStyle w:val="Szvegtrzs"/>
      </w:pPr>
      <w:r w:rsidRPr="00C208E4">
        <w:t>A korábban 1 vagy több TKI-vel kezelt, Ph+ CML-ben szenvedő, a bozutinib-kezelést napi 500 mg dózissal kezdő betegek IV. fázisú vizsgálatában 1 betegnél (0,6%) emelték</w:t>
      </w:r>
      <w:r w:rsidR="009C0CA8" w:rsidRPr="00C208E4">
        <w:t xml:space="preserve"> </w:t>
      </w:r>
      <w:r w:rsidRPr="00C208E4">
        <w:t>a dózist napi 600 mg-ra.</w:t>
      </w:r>
    </w:p>
    <w:p w14:paraId="541D4283" w14:textId="77777777" w:rsidR="00ED55FC" w:rsidRPr="00C208E4" w:rsidRDefault="00ED55FC" w:rsidP="00C208E4">
      <w:pPr>
        <w:pStyle w:val="Szvegtrzs"/>
      </w:pPr>
    </w:p>
    <w:p w14:paraId="3B6BB319" w14:textId="77777777" w:rsidR="0024643B" w:rsidRPr="00C208E4" w:rsidRDefault="0070285B" w:rsidP="00C208E4">
      <w:pPr>
        <w:pStyle w:val="Szvegtrzs"/>
      </w:pPr>
      <w:r w:rsidRPr="00C208E4">
        <w:t xml:space="preserve">A napi 600 mg-nál nagyobb dózisokat nem vizsgálták, így nem </w:t>
      </w:r>
      <w:r w:rsidR="0024643B" w:rsidRPr="00C208E4">
        <w:t>a</w:t>
      </w:r>
      <w:r w:rsidRPr="00C208E4">
        <w:t xml:space="preserve">dhatók. </w:t>
      </w:r>
    </w:p>
    <w:p w14:paraId="676EB8C8" w14:textId="77777777" w:rsidR="002130C9" w:rsidRPr="00C208E4" w:rsidRDefault="002130C9" w:rsidP="00C208E4">
      <w:pPr>
        <w:pStyle w:val="Szvegtrzs"/>
      </w:pPr>
    </w:p>
    <w:p w14:paraId="53F63872" w14:textId="2074C9BA" w:rsidR="005B1144" w:rsidRPr="00C208E4" w:rsidRDefault="0070285B" w:rsidP="00C208E4">
      <w:pPr>
        <w:pStyle w:val="Szvegtrzs"/>
      </w:pPr>
      <w:r w:rsidRPr="00C208E4">
        <w:rPr>
          <w:u w:val="single"/>
        </w:rPr>
        <w:t>Dózismódosítások nemkívánatos hatások miatt</w:t>
      </w:r>
    </w:p>
    <w:p w14:paraId="4790B682" w14:textId="77777777" w:rsidR="009C0CA8" w:rsidRPr="00C208E4" w:rsidRDefault="009C0CA8" w:rsidP="00C208E4">
      <w:pPr>
        <w:rPr>
          <w:i/>
          <w:u w:val="single"/>
        </w:rPr>
      </w:pPr>
    </w:p>
    <w:p w14:paraId="53F63873" w14:textId="47E86D50" w:rsidR="005B1144" w:rsidRPr="00C208E4" w:rsidRDefault="0070285B" w:rsidP="00C208E4">
      <w:pPr>
        <w:rPr>
          <w:i/>
        </w:rPr>
      </w:pPr>
      <w:r w:rsidRPr="00C208E4">
        <w:rPr>
          <w:i/>
          <w:u w:val="single"/>
        </w:rPr>
        <w:t>Nem hematol</w:t>
      </w:r>
      <w:r w:rsidR="00D65A47">
        <w:rPr>
          <w:i/>
          <w:u w:val="single"/>
        </w:rPr>
        <w:t>ógia</w:t>
      </w:r>
      <w:r w:rsidRPr="00C208E4">
        <w:rPr>
          <w:i/>
          <w:u w:val="single"/>
        </w:rPr>
        <w:t>i nemkívánatos hatások</w:t>
      </w:r>
    </w:p>
    <w:p w14:paraId="53F63874" w14:textId="21ACA199" w:rsidR="005B1144" w:rsidRPr="00C208E4" w:rsidRDefault="0070285B" w:rsidP="00C208E4">
      <w:pPr>
        <w:pStyle w:val="Szvegtrzs"/>
      </w:pPr>
      <w:r w:rsidRPr="00C208E4">
        <w:t>Amennyiben klinikailag jelentős</w:t>
      </w:r>
      <w:r w:rsidR="009D518F">
        <w:t>,</w:t>
      </w:r>
      <w:r w:rsidRPr="00C208E4">
        <w:t xml:space="preserve"> közepesen súlyos, ill</w:t>
      </w:r>
      <w:r w:rsidR="001C4A33">
        <w:t>.</w:t>
      </w:r>
      <w:r w:rsidRPr="00C208E4">
        <w:t xml:space="preserve"> súlyos nem</w:t>
      </w:r>
      <w:r w:rsidR="001C4A33">
        <w:t> </w:t>
      </w:r>
      <w:r w:rsidRPr="00C208E4">
        <w:t>hematol</w:t>
      </w:r>
      <w:r w:rsidR="00D65A47">
        <w:t>ógia</w:t>
      </w:r>
      <w:r w:rsidRPr="00C208E4">
        <w:t>i toxicitás alakul ki, a bozutinib alkalmazását meg kell szakítani, majd a toxicitás rendeződését követően a kezelés napi egyszeri, 100 mg-mal csökkentett dózissal tovább folytatható. Ha klinikailag megfelelő, mérlegelendő a dózis napi egyszeri, a dóziscsökkentés előtti</w:t>
      </w:r>
      <w:r w:rsidR="00D65A47">
        <w:t xml:space="preserve"> dózisra</w:t>
      </w:r>
      <w:r w:rsidRPr="00C208E4">
        <w:t xml:space="preserve"> való újbóli emelése (lásd 4.4 pont). A betegeknél napi 300 mg alatti dózisokat is alkalmaztak, a hatásosságot azonban nem igazolták.</w:t>
      </w:r>
    </w:p>
    <w:p w14:paraId="53F63875" w14:textId="77777777" w:rsidR="005B1144" w:rsidRPr="00C208E4" w:rsidRDefault="005B1144" w:rsidP="00C208E4">
      <w:pPr>
        <w:pStyle w:val="Szvegtrzs"/>
      </w:pPr>
    </w:p>
    <w:p w14:paraId="53F63878" w14:textId="3C887E5E" w:rsidR="005B1144" w:rsidRPr="00C208E4" w:rsidRDefault="0070285B" w:rsidP="00C208E4">
      <w:pPr>
        <w:pStyle w:val="Szvegtrzs"/>
      </w:pPr>
      <w:r w:rsidRPr="00C208E4">
        <w:t>Emelkedett májtranszamináz</w:t>
      </w:r>
      <w:r w:rsidR="009C0CA8" w:rsidRPr="00C208E4">
        <w:t>-</w:t>
      </w:r>
      <w:r w:rsidRPr="00C208E4">
        <w:t>szint: ha a májtranszamináz</w:t>
      </w:r>
      <w:r w:rsidR="009C0CA8" w:rsidRPr="00C208E4">
        <w:t>-</w:t>
      </w:r>
      <w:r w:rsidRPr="00C208E4">
        <w:t>szint emelkedése több mint 5-szörösen meghaladja a helyi normálérték felső határát (ULN), a bozutinib-kezelést meg kell szakítani mindaddig, amíg az adott érték az ULN 2,5-szeresére vagy az alá nem csökken. Ezt követően a kezelés napi egyszeri 400 mg-mal folytatható. Ha az állapot rendeződése 4 hétnél tovább tart, mérlegelni kell a</w:t>
      </w:r>
      <w:r w:rsidR="00ED55FC" w:rsidRPr="00C208E4">
        <w:t xml:space="preserve"> </w:t>
      </w:r>
      <w:r w:rsidRPr="00C208E4">
        <w:t xml:space="preserve">bozutinib alkalmazásának abbahagyását. </w:t>
      </w:r>
      <w:r w:rsidRPr="00D65A47">
        <w:t>Ha a transzaminázszint emelkedése az ULN 3-szorosa vagy annál nagyobb mértékű, a bilirubinszint az ULN kétszeresénél nagyobb, valamint az alkalikusfoszfatáz</w:t>
      </w:r>
      <w:r w:rsidR="00D65A47" w:rsidRPr="0030598E">
        <w:t>-</w:t>
      </w:r>
      <w:r w:rsidRPr="00D65A47">
        <w:t>szint</w:t>
      </w:r>
      <w:r w:rsidRPr="0030598E">
        <w:t xml:space="preserve"> </w:t>
      </w:r>
      <w:r w:rsidRPr="00D65A47">
        <w:t>az</w:t>
      </w:r>
      <w:r w:rsidRPr="0030598E">
        <w:t xml:space="preserve"> </w:t>
      </w:r>
      <w:r w:rsidRPr="00D65A47">
        <w:t>ULN</w:t>
      </w:r>
      <w:r w:rsidRPr="0030598E">
        <w:t xml:space="preserve"> </w:t>
      </w:r>
      <w:r w:rsidRPr="00D65A47">
        <w:t>2-szeresénél</w:t>
      </w:r>
      <w:r w:rsidRPr="0030598E">
        <w:t xml:space="preserve"> </w:t>
      </w:r>
      <w:r w:rsidRPr="00D65A47">
        <w:t>kisebb</w:t>
      </w:r>
      <w:r w:rsidRPr="0030598E">
        <w:t xml:space="preserve"> </w:t>
      </w:r>
      <w:r w:rsidRPr="00D65A47">
        <w:t>egyidejű</w:t>
      </w:r>
      <w:r w:rsidRPr="0030598E">
        <w:t xml:space="preserve"> </w:t>
      </w:r>
      <w:r w:rsidRPr="00D65A47">
        <w:t>növekedésével,</w:t>
      </w:r>
      <w:r w:rsidRPr="0030598E">
        <w:t xml:space="preserve"> </w:t>
      </w:r>
      <w:r w:rsidRPr="00D65A47">
        <w:t>a</w:t>
      </w:r>
      <w:r w:rsidRPr="0030598E">
        <w:t xml:space="preserve"> </w:t>
      </w:r>
      <w:r w:rsidRPr="00D65A47">
        <w:t>bozutinib</w:t>
      </w:r>
      <w:r w:rsidRPr="0030598E">
        <w:t xml:space="preserve"> </w:t>
      </w:r>
      <w:r w:rsidRPr="00D65A47">
        <w:t>alkalmazását</w:t>
      </w:r>
      <w:r w:rsidRPr="0030598E">
        <w:t xml:space="preserve"> </w:t>
      </w:r>
      <w:r w:rsidRPr="00D65A47">
        <w:t>abba</w:t>
      </w:r>
      <w:r w:rsidRPr="0030598E">
        <w:t xml:space="preserve"> </w:t>
      </w:r>
      <w:r w:rsidRPr="00D65A47">
        <w:t>kell hagyni (lásd 4.4 pont).</w:t>
      </w:r>
    </w:p>
    <w:p w14:paraId="53F63879" w14:textId="77777777" w:rsidR="005B1144" w:rsidRPr="00C208E4" w:rsidRDefault="005B1144" w:rsidP="00C208E4">
      <w:pPr>
        <w:pStyle w:val="Szvegtrzs"/>
      </w:pPr>
    </w:p>
    <w:p w14:paraId="53F6387A" w14:textId="43B484EA" w:rsidR="005B1144" w:rsidRPr="00C208E4" w:rsidRDefault="0070285B" w:rsidP="00C208E4">
      <w:pPr>
        <w:pStyle w:val="Szvegtrzs"/>
      </w:pPr>
      <w:r w:rsidRPr="00C208E4">
        <w:t xml:space="preserve">Hasmenés: </w:t>
      </w:r>
      <w:r w:rsidR="00D65A47">
        <w:t xml:space="preserve">a </w:t>
      </w:r>
      <w:r w:rsidR="00D65A47" w:rsidRPr="00D65A47">
        <w:t>National Cancer Institute (Egyesült Államok Onkológiai Intézete) nemkívánatos események kritériumaira vonatkozó általános terminológiája (Common Terminology Criteria for Adverse Events, NCI-CTCAE)</w:t>
      </w:r>
      <w:r w:rsidR="00D65A47">
        <w:t xml:space="preserve"> szerinti</w:t>
      </w:r>
      <w:r w:rsidRPr="00C208E4">
        <w:t xml:space="preserve"> 3</w:t>
      </w:r>
      <w:r w:rsidR="00D65A47">
        <w:t>–</w:t>
      </w:r>
      <w:r w:rsidRPr="00C208E4">
        <w:t>4. fokú hasmenés esetén a bozutinib alkalmazását fel kell függeszteni, majd a hasmenés ≤ 1. fokúra történt javulása után a kezelés naponta egyszer 400 mg dózissal folytatható (lásd 4.4 pont).</w:t>
      </w:r>
    </w:p>
    <w:p w14:paraId="53F6387B" w14:textId="77777777" w:rsidR="005B1144" w:rsidRPr="00C208E4" w:rsidRDefault="005B1144" w:rsidP="00C208E4">
      <w:pPr>
        <w:pStyle w:val="Szvegtrzs"/>
      </w:pPr>
    </w:p>
    <w:p w14:paraId="53F6387C" w14:textId="7F5BEB82" w:rsidR="005B1144" w:rsidRPr="00C208E4" w:rsidRDefault="00B30778" w:rsidP="00C208E4">
      <w:pPr>
        <w:keepNext/>
        <w:rPr>
          <w:i/>
        </w:rPr>
      </w:pPr>
      <w:r w:rsidRPr="00C208E4">
        <w:rPr>
          <w:noProof/>
          <w:lang w:eastAsia="hu-HU"/>
        </w:rPr>
        <mc:AlternateContent>
          <mc:Choice Requires="wps">
            <w:drawing>
              <wp:anchor distT="0" distB="0" distL="114300" distR="114300" simplePos="0" relativeHeight="15729152" behindDoc="0" locked="0" layoutInCell="1" allowOverlap="1" wp14:anchorId="53F642D3" wp14:editId="63258B8C">
                <wp:simplePos x="0" y="0"/>
                <wp:positionH relativeFrom="page">
                  <wp:posOffset>2540635</wp:posOffset>
                </wp:positionH>
                <wp:positionV relativeFrom="paragraph">
                  <wp:posOffset>145415</wp:posOffset>
                </wp:positionV>
                <wp:extent cx="34925" cy="6350"/>
                <wp:effectExtent l="0" t="0" r="0" b="0"/>
                <wp:wrapNone/>
                <wp:docPr id="2035074880"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1BE264D" id="docshape2" o:spid="_x0000_s1026" style="position:absolute;margin-left:200.05pt;margin-top:11.45pt;width:2.75pt;height:.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gBE4wEAALEDAAAOAAAAZHJzL2Uyb0RvYy54bWysU9Fu0zAUfUfiHyy/07RdO1jUdJo6DSEN&#10;hjT4gFvHSSwcX3PtNi1fz7XTdRW8IfJg+frax+ccn6xuD70Ve03BoKvkbDKVQjuFtXFtJb9/e3j3&#10;QY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" fillcolor="black" stroked="f">
                <w10:wrap anchorx="page"/>
              </v:rect>
            </w:pict>
          </mc:Fallback>
        </mc:AlternateContent>
      </w:r>
      <w:r w:rsidR="0070285B" w:rsidRPr="00C208E4">
        <w:rPr>
          <w:i/>
        </w:rPr>
        <w:t>Haematol</w:t>
      </w:r>
      <w:r w:rsidR="00D65A47">
        <w:rPr>
          <w:i/>
        </w:rPr>
        <w:t>ógia</w:t>
      </w:r>
      <w:r w:rsidR="0070285B" w:rsidRPr="00C208E4">
        <w:rPr>
          <w:i/>
        </w:rPr>
        <w:t>i nemkívánatos</w:t>
      </w:r>
      <w:r w:rsidR="0070285B" w:rsidRPr="008B2E93">
        <w:rPr>
          <w:i/>
        </w:rPr>
        <w:t xml:space="preserve"> </w:t>
      </w:r>
      <w:r w:rsidR="0070285B" w:rsidRPr="00C208E4">
        <w:rPr>
          <w:i/>
        </w:rPr>
        <w:t>hatások</w:t>
      </w:r>
    </w:p>
    <w:p w14:paraId="53F6387D" w14:textId="0466C6A7" w:rsidR="005B1144" w:rsidRPr="00C208E4" w:rsidRDefault="0070285B" w:rsidP="00C208E4">
      <w:pPr>
        <w:pStyle w:val="Szvegtrzs"/>
      </w:pPr>
      <w:r w:rsidRPr="00C208E4">
        <w:t xml:space="preserve">Súlyos, </w:t>
      </w:r>
      <w:r w:rsidR="00601929">
        <w:t>ill.</w:t>
      </w:r>
      <w:r w:rsidRPr="00C208E4">
        <w:t xml:space="preserve"> tartósan fennálló neutropenia és thrombocytopenia esetén az 1. táblázatban megadott dóziscsökkentések ajánlottak:</w:t>
      </w:r>
    </w:p>
    <w:p w14:paraId="53F6387E" w14:textId="77777777" w:rsidR="005B1144" w:rsidRPr="00C208E4" w:rsidRDefault="005B1144" w:rsidP="00C208E4">
      <w:pPr>
        <w:pStyle w:val="Szvegtrzs"/>
      </w:pPr>
    </w:p>
    <w:p w14:paraId="53F6387F" w14:textId="77777777" w:rsidR="005B1144" w:rsidRPr="00C208E4" w:rsidRDefault="0070285B" w:rsidP="00C208E4">
      <w:pPr>
        <w:pStyle w:val="Cmsor2"/>
        <w:numPr>
          <w:ilvl w:val="0"/>
          <w:numId w:val="15"/>
        </w:numPr>
        <w:tabs>
          <w:tab w:val="left" w:pos="897"/>
        </w:tabs>
        <w:ind w:left="221"/>
      </w:pPr>
      <w:r w:rsidRPr="00C208E4">
        <w:t>táblázat: Dózismódosítások neutropenia és thrombocytopenia esetén</w:t>
      </w:r>
    </w:p>
    <w:p w14:paraId="35DCA00D" w14:textId="201C9EF0" w:rsidR="00D65A47" w:rsidRDefault="00D65A47" w:rsidP="00C208E4">
      <w:pPr>
        <w:pStyle w:val="Szvegtrzs"/>
        <w:rPr>
          <w:b/>
        </w:rPr>
      </w:pPr>
    </w:p>
    <w:tbl>
      <w:tblPr>
        <w:tblStyle w:val="Rcsostblzat"/>
        <w:tblW w:w="0" w:type="auto"/>
        <w:tblLook w:val="04A0" w:firstRow="1" w:lastRow="0" w:firstColumn="1" w:lastColumn="0" w:noHBand="0" w:noVBand="1"/>
      </w:tblPr>
      <w:tblGrid>
        <w:gridCol w:w="2972"/>
        <w:gridCol w:w="6089"/>
      </w:tblGrid>
      <w:tr w:rsidR="00D65A47" w:rsidRPr="00D65A47" w14:paraId="2274403F" w14:textId="77777777" w:rsidTr="003C0107">
        <w:tc>
          <w:tcPr>
            <w:tcW w:w="2972" w:type="dxa"/>
          </w:tcPr>
          <w:p w14:paraId="351FCCE1" w14:textId="77777777" w:rsidR="00D65A47" w:rsidRPr="0030598E" w:rsidRDefault="00D65A47" w:rsidP="00D65A47">
            <w:pPr>
              <w:adjustRightInd w:val="0"/>
              <w:rPr>
                <w:rFonts w:eastAsia="TimesNewRoman"/>
                <w:sz w:val="22"/>
                <w:szCs w:val="22"/>
              </w:rPr>
            </w:pPr>
            <w:r w:rsidRPr="00D65A47">
              <w:rPr>
                <w:rFonts w:eastAsia="TimesNewRoman"/>
              </w:rPr>
              <w:t>ANC</w:t>
            </w:r>
            <w:r w:rsidRPr="00D65A47">
              <w:rPr>
                <w:rFonts w:eastAsia="TimesNewRoman"/>
                <w:vertAlign w:val="superscript"/>
              </w:rPr>
              <w:t>a</w:t>
            </w:r>
            <w:r w:rsidRPr="00D65A47">
              <w:rPr>
                <w:rFonts w:eastAsia="TimesNewRoman"/>
              </w:rPr>
              <w:t xml:space="preserve"> &lt; 1,0 × 10</w:t>
            </w:r>
            <w:r w:rsidRPr="00D65A47">
              <w:rPr>
                <w:rFonts w:eastAsia="TimesNewRoman"/>
                <w:vertAlign w:val="superscript"/>
              </w:rPr>
              <w:t>9</w:t>
            </w:r>
            <w:r w:rsidRPr="00D65A47">
              <w:rPr>
                <w:rFonts w:eastAsia="TimesNewRoman"/>
              </w:rPr>
              <w:t>/l</w:t>
            </w:r>
          </w:p>
          <w:p w14:paraId="2003A470" w14:textId="77777777" w:rsidR="00D65A47" w:rsidRPr="0030598E" w:rsidRDefault="00D65A47" w:rsidP="00D65A47">
            <w:pPr>
              <w:adjustRightInd w:val="0"/>
              <w:rPr>
                <w:rFonts w:eastAsia="TimesNewRoman"/>
                <w:sz w:val="22"/>
                <w:szCs w:val="22"/>
              </w:rPr>
            </w:pPr>
          </w:p>
          <w:p w14:paraId="46C82837" w14:textId="77777777" w:rsidR="00D65A47" w:rsidRPr="0030598E" w:rsidRDefault="00D65A47" w:rsidP="00D65A47">
            <w:pPr>
              <w:adjustRightInd w:val="0"/>
              <w:rPr>
                <w:rFonts w:eastAsia="TimesNewRoman"/>
                <w:sz w:val="22"/>
                <w:szCs w:val="22"/>
              </w:rPr>
            </w:pPr>
            <w:r w:rsidRPr="00D65A47">
              <w:rPr>
                <w:rFonts w:eastAsia="TimesNewRoman"/>
              </w:rPr>
              <w:t>és/vagy</w:t>
            </w:r>
          </w:p>
          <w:p w14:paraId="07BBA36B" w14:textId="77777777" w:rsidR="00D65A47" w:rsidRPr="0030598E" w:rsidRDefault="00D65A47" w:rsidP="00D65A47">
            <w:pPr>
              <w:adjustRightInd w:val="0"/>
              <w:rPr>
                <w:rFonts w:eastAsia="TimesNewRoman"/>
                <w:sz w:val="22"/>
                <w:szCs w:val="22"/>
              </w:rPr>
            </w:pPr>
          </w:p>
          <w:p w14:paraId="447906C1" w14:textId="77777777" w:rsidR="00D65A47" w:rsidRPr="0030598E" w:rsidRDefault="00D65A47" w:rsidP="00D65A47">
            <w:pPr>
              <w:adjustRightInd w:val="0"/>
              <w:rPr>
                <w:rFonts w:eastAsia="TimesNewRoman"/>
                <w:sz w:val="22"/>
                <w:szCs w:val="22"/>
              </w:rPr>
            </w:pPr>
            <w:r w:rsidRPr="00D65A47">
              <w:rPr>
                <w:rFonts w:eastAsia="TimesNewRoman"/>
              </w:rPr>
              <w:t>Vérlemezkeszám &lt; 50 × 10</w:t>
            </w:r>
            <w:r w:rsidRPr="00D65A47">
              <w:rPr>
                <w:rFonts w:eastAsia="TimesNewRoman"/>
                <w:vertAlign w:val="superscript"/>
              </w:rPr>
              <w:t>9</w:t>
            </w:r>
            <w:r w:rsidRPr="00D65A47">
              <w:rPr>
                <w:rFonts w:eastAsia="TimesNewRoman"/>
              </w:rPr>
              <w:t>/l</w:t>
            </w:r>
          </w:p>
          <w:p w14:paraId="01D03FC1" w14:textId="609AFE6F" w:rsidR="00D65A47" w:rsidRPr="0030598E" w:rsidRDefault="00D65A47" w:rsidP="00D65A47">
            <w:pPr>
              <w:rPr>
                <w:sz w:val="22"/>
                <w:szCs w:val="22"/>
                <w:u w:val="single"/>
              </w:rPr>
            </w:pPr>
          </w:p>
        </w:tc>
        <w:tc>
          <w:tcPr>
            <w:tcW w:w="6089" w:type="dxa"/>
          </w:tcPr>
          <w:p w14:paraId="27B19FD4" w14:textId="77777777" w:rsidR="00D65A47" w:rsidRPr="0030598E" w:rsidRDefault="00D65A47" w:rsidP="00D65A47">
            <w:pPr>
              <w:spacing w:before="6"/>
              <w:rPr>
                <w:sz w:val="22"/>
                <w:szCs w:val="22"/>
              </w:rPr>
            </w:pPr>
            <w:r w:rsidRPr="00D65A47">
              <w:t xml:space="preserve">Ne alkalmazza a bozutinibet mindaddig, amíg az ANC értéke </w:t>
            </w:r>
          </w:p>
          <w:p w14:paraId="644D4634" w14:textId="77777777" w:rsidR="00D65A47" w:rsidRPr="0030598E" w:rsidRDefault="00D65A47" w:rsidP="00D65A47">
            <w:pPr>
              <w:spacing w:before="6"/>
              <w:rPr>
                <w:sz w:val="22"/>
                <w:szCs w:val="22"/>
              </w:rPr>
            </w:pPr>
            <w:r w:rsidRPr="00D65A47">
              <w:t>≥ 1,0 × 10</w:t>
            </w:r>
            <w:r w:rsidRPr="00D65A47">
              <w:rPr>
                <w:vertAlign w:val="superscript"/>
              </w:rPr>
              <w:t>9</w:t>
            </w:r>
            <w:r w:rsidRPr="00D65A47">
              <w:t>/l és a vérlemezkeszám ≥ 50 × 10</w:t>
            </w:r>
            <w:r w:rsidRPr="00D65A47">
              <w:rPr>
                <w:vertAlign w:val="superscript"/>
              </w:rPr>
              <w:t>9</w:t>
            </w:r>
            <w:r w:rsidRPr="00D65A47">
              <w:t>/l nem lesz.</w:t>
            </w:r>
          </w:p>
          <w:p w14:paraId="038B2FF5" w14:textId="77777777" w:rsidR="00D65A47" w:rsidRPr="0030598E" w:rsidRDefault="00D65A47" w:rsidP="00D65A47">
            <w:pPr>
              <w:spacing w:before="6"/>
              <w:rPr>
                <w:sz w:val="22"/>
                <w:szCs w:val="22"/>
              </w:rPr>
            </w:pPr>
          </w:p>
          <w:p w14:paraId="0DBB6F2C" w14:textId="0D32F709" w:rsidR="00D65A47" w:rsidRPr="0030598E" w:rsidRDefault="00D65A47" w:rsidP="00D65A47">
            <w:pPr>
              <w:spacing w:before="6"/>
              <w:rPr>
                <w:sz w:val="22"/>
                <w:szCs w:val="22"/>
              </w:rPr>
            </w:pPr>
            <w:r w:rsidRPr="00D65A47">
              <w:t>Kezdje újra a bozutinib-kezelést ugyanazzal a dózissal, ha a beteg állapota 2 héten belül rendeződik. Ha a vérsejtszámok több mint 2</w:t>
            </w:r>
            <w:r w:rsidR="001320AE">
              <w:rPr>
                <w:sz w:val="22"/>
                <w:szCs w:val="22"/>
              </w:rPr>
              <w:t> </w:t>
            </w:r>
            <w:r w:rsidRPr="00D65A47">
              <w:t>héten át alacsonyak maradnak, ennek rendeződése után csökkentse 100 mg-mal a dózist, és folytassa a kezelést.</w:t>
            </w:r>
          </w:p>
          <w:p w14:paraId="6AA4A20E" w14:textId="77777777" w:rsidR="00D65A47" w:rsidRPr="0030598E" w:rsidRDefault="00D65A47" w:rsidP="00D65A47">
            <w:pPr>
              <w:spacing w:before="6"/>
              <w:rPr>
                <w:sz w:val="22"/>
                <w:szCs w:val="22"/>
              </w:rPr>
            </w:pPr>
          </w:p>
          <w:p w14:paraId="48E9E055" w14:textId="77777777" w:rsidR="00D65A47" w:rsidRPr="0030598E" w:rsidRDefault="00D65A47" w:rsidP="00D65A47">
            <w:pPr>
              <w:spacing w:before="6"/>
              <w:rPr>
                <w:sz w:val="22"/>
                <w:szCs w:val="22"/>
              </w:rPr>
            </w:pPr>
            <w:r w:rsidRPr="00D65A47">
              <w:t>Ha a cytopenia visszatér, akkor az állapot rendeződését követően csökkentse további 100 mg-mal a dózist, és folytassa a kezelést.</w:t>
            </w:r>
          </w:p>
          <w:p w14:paraId="4F4FF046" w14:textId="77777777" w:rsidR="00D65A47" w:rsidRPr="0030598E" w:rsidRDefault="00D65A47" w:rsidP="00D65A47">
            <w:pPr>
              <w:spacing w:before="6"/>
              <w:rPr>
                <w:sz w:val="22"/>
                <w:szCs w:val="22"/>
              </w:rPr>
            </w:pPr>
          </w:p>
          <w:p w14:paraId="0BFDCB7D" w14:textId="077234E5" w:rsidR="00D65A47" w:rsidRPr="0030598E" w:rsidRDefault="001320AE" w:rsidP="0030598E">
            <w:pPr>
              <w:spacing w:before="6"/>
              <w:rPr>
                <w:rFonts w:eastAsia="TimesNewRoman"/>
                <w:sz w:val="22"/>
                <w:szCs w:val="22"/>
              </w:rPr>
            </w:pPr>
            <w:r>
              <w:rPr>
                <w:sz w:val="22"/>
                <w:szCs w:val="22"/>
              </w:rPr>
              <w:t>N</w:t>
            </w:r>
            <w:r w:rsidR="00D65A47" w:rsidRPr="00D65A47">
              <w:t>api 300 mg-nál alacsonyabb dózisokat alkalmaztak, ugyanakkor hatásosságukat nem igazolták.</w:t>
            </w:r>
          </w:p>
        </w:tc>
      </w:tr>
    </w:tbl>
    <w:p w14:paraId="53F63880" w14:textId="75DFA1D9" w:rsidR="005B1144" w:rsidRPr="00C208E4" w:rsidRDefault="005B1144" w:rsidP="00C208E4">
      <w:pPr>
        <w:pStyle w:val="Szvegtrzs"/>
        <w:rPr>
          <w:b/>
        </w:rPr>
      </w:pPr>
    </w:p>
    <w:p w14:paraId="53F63881" w14:textId="77777777" w:rsidR="005B1144" w:rsidRPr="00C208E4" w:rsidRDefault="0070285B" w:rsidP="00C208E4">
      <w:r w:rsidRPr="00C208E4">
        <w:rPr>
          <w:vertAlign w:val="superscript"/>
        </w:rPr>
        <w:t>a</w:t>
      </w:r>
      <w:r w:rsidRPr="00C208E4">
        <w:t>ANC = abszolút neutrofilszám (absolute neutrophil count)</w:t>
      </w:r>
    </w:p>
    <w:p w14:paraId="53F63882" w14:textId="77777777" w:rsidR="005B1144" w:rsidRPr="00C208E4" w:rsidRDefault="005B1144" w:rsidP="00C208E4">
      <w:pPr>
        <w:pStyle w:val="Szvegtrzs"/>
      </w:pPr>
    </w:p>
    <w:p w14:paraId="53F63883" w14:textId="77777777" w:rsidR="005B1144" w:rsidRPr="00C208E4" w:rsidRDefault="0070285B" w:rsidP="00C208E4">
      <w:pPr>
        <w:pStyle w:val="Szvegtrzs"/>
      </w:pPr>
      <w:r w:rsidRPr="00C208E4">
        <w:rPr>
          <w:u w:val="single"/>
        </w:rPr>
        <w:t>Különleges betegcsoportok</w:t>
      </w:r>
    </w:p>
    <w:p w14:paraId="53F63884" w14:textId="77777777" w:rsidR="005B1144" w:rsidRPr="00C208E4" w:rsidRDefault="005B1144" w:rsidP="00C208E4">
      <w:pPr>
        <w:pStyle w:val="Szvegtrzs"/>
      </w:pPr>
    </w:p>
    <w:p w14:paraId="53F63885" w14:textId="77777777" w:rsidR="005B1144" w:rsidRPr="00C208E4" w:rsidRDefault="0070285B" w:rsidP="00C208E4">
      <w:pPr>
        <w:rPr>
          <w:i/>
        </w:rPr>
      </w:pPr>
      <w:r w:rsidRPr="00C208E4">
        <w:rPr>
          <w:i/>
        </w:rPr>
        <w:t>Idősek (≥ 65 éves)</w:t>
      </w:r>
    </w:p>
    <w:p w14:paraId="53F63886" w14:textId="77777777" w:rsidR="005B1144" w:rsidRPr="00C208E4" w:rsidRDefault="0070285B" w:rsidP="00C208E4">
      <w:pPr>
        <w:pStyle w:val="Szvegtrzs"/>
      </w:pPr>
      <w:r w:rsidRPr="00C208E4">
        <w:t>Az időseknél nincs szükség specifikus dózisajánlásra. Mivel korlátozott mennyiségű információ áll rendelkezésre idősek esetében, ezeknél a betegeknél óvatosság szükséges.</w:t>
      </w:r>
    </w:p>
    <w:p w14:paraId="53F63887" w14:textId="77777777" w:rsidR="005B1144" w:rsidRPr="00C208E4" w:rsidRDefault="005B1144" w:rsidP="00C208E4">
      <w:pPr>
        <w:pStyle w:val="Szvegtrzs"/>
      </w:pPr>
    </w:p>
    <w:p w14:paraId="53F63888" w14:textId="77777777" w:rsidR="005B1144" w:rsidRPr="00C208E4" w:rsidRDefault="0070285B" w:rsidP="00C208E4">
      <w:pPr>
        <w:rPr>
          <w:i/>
        </w:rPr>
      </w:pPr>
      <w:r w:rsidRPr="00C208E4">
        <w:rPr>
          <w:i/>
        </w:rPr>
        <w:t>Vesekárosodás</w:t>
      </w:r>
    </w:p>
    <w:p w14:paraId="53F63889" w14:textId="77777777" w:rsidR="005B1144" w:rsidRPr="00C208E4" w:rsidRDefault="0070285B" w:rsidP="00C208E4">
      <w:pPr>
        <w:pStyle w:val="Szvegtrzs"/>
      </w:pPr>
      <w:r w:rsidRPr="00C208E4">
        <w:t>Az &gt; 1,5 × ULN szérum-kreatininszinttel rendelkező betegeket kizárták a CML-vizsgálatokból. A közepesen súlyos vagy súlyos vesekárosodásban szenvedő betegekkel végzett vizsgálatokban fokozódó expozíciót (görbe alatti terület [AUC]) figyeltek meg.</w:t>
      </w:r>
    </w:p>
    <w:p w14:paraId="53F6388A" w14:textId="77777777" w:rsidR="005B1144" w:rsidRPr="00C208E4" w:rsidRDefault="005B1144" w:rsidP="00C208E4">
      <w:pPr>
        <w:pStyle w:val="Szvegtrzs"/>
      </w:pPr>
    </w:p>
    <w:p w14:paraId="53F6388B" w14:textId="77777777" w:rsidR="005B1144" w:rsidRPr="00C208E4" w:rsidRDefault="0070285B" w:rsidP="00C208E4">
      <w:pPr>
        <w:rPr>
          <w:i/>
        </w:rPr>
      </w:pPr>
      <w:r w:rsidRPr="00C208E4">
        <w:rPr>
          <w:i/>
        </w:rPr>
        <w:t>Újonnan diagnosztizált CP Ph+ CML</w:t>
      </w:r>
    </w:p>
    <w:p w14:paraId="53F6388C" w14:textId="1C62DB09" w:rsidR="005B1144" w:rsidRPr="00C208E4" w:rsidRDefault="0070285B" w:rsidP="00C208E4">
      <w:pPr>
        <w:pStyle w:val="Szvegtrzs"/>
      </w:pPr>
      <w:r w:rsidRPr="00C208E4">
        <w:t>Közepesen súlyos vesekárosodásban szenvedő betegeknél (a Cockcroft–Gault-képlet alapján becsült kreatinin-clearance [</w:t>
      </w:r>
      <w:r w:rsidR="00D65A47">
        <w:t>CrCl</w:t>
      </w:r>
      <w:r w:rsidRPr="00C208E4">
        <w:t xml:space="preserve">] 30–50 ml/perc) a bozutinib javasolt </w:t>
      </w:r>
      <w:r w:rsidR="000E7270">
        <w:t>dózisa</w:t>
      </w:r>
      <w:r w:rsidRPr="00C208E4">
        <w:t xml:space="preserve"> napi 300 mg, </w:t>
      </w:r>
      <w:r w:rsidR="001320AE">
        <w:t>étkezés közben</w:t>
      </w:r>
      <w:r w:rsidRPr="00C208E4">
        <w:t xml:space="preserve"> bevéve (lásd 4.4 és 5.2 pont).</w:t>
      </w:r>
    </w:p>
    <w:p w14:paraId="53F6388D" w14:textId="77777777" w:rsidR="005B1144" w:rsidRPr="00C208E4" w:rsidRDefault="005B1144" w:rsidP="00C208E4">
      <w:pPr>
        <w:pStyle w:val="Szvegtrzs"/>
      </w:pPr>
    </w:p>
    <w:p w14:paraId="53F6388E" w14:textId="4580F967" w:rsidR="005B1144" w:rsidRPr="00C208E4" w:rsidRDefault="0070285B" w:rsidP="00C208E4">
      <w:pPr>
        <w:pStyle w:val="Szvegtrzs"/>
      </w:pPr>
      <w:r w:rsidRPr="00C208E4">
        <w:t>Súlyos vesekárosodásban szenvedő betegeknél (Cockcroft–Gault-képlet alapján becsült kreatinin- clearance [</w:t>
      </w:r>
      <w:r w:rsidR="00D65A47">
        <w:t>CrCl</w:t>
      </w:r>
      <w:r w:rsidRPr="00C208E4">
        <w:t xml:space="preserve">] &lt; 30 ml/perc) a bozutinib javasolt </w:t>
      </w:r>
      <w:r w:rsidR="000E7270">
        <w:t>dózisa</w:t>
      </w:r>
      <w:r w:rsidRPr="00C208E4">
        <w:t xml:space="preserve"> napi 200 mg </w:t>
      </w:r>
      <w:r w:rsidR="001320AE">
        <w:t>étkezés közben</w:t>
      </w:r>
      <w:r w:rsidRPr="00C208E4">
        <w:t xml:space="preserve"> bevéve (lásd 4.4 és 5.2 pont).</w:t>
      </w:r>
    </w:p>
    <w:p w14:paraId="53F6388F" w14:textId="77777777" w:rsidR="005B1144" w:rsidRPr="00C208E4" w:rsidRDefault="005B1144" w:rsidP="00C208E4">
      <w:pPr>
        <w:pStyle w:val="Szvegtrzs"/>
      </w:pPr>
    </w:p>
    <w:p w14:paraId="4C4D2427" w14:textId="7FECCC1D" w:rsidR="005B1144" w:rsidRPr="00C208E4" w:rsidRDefault="0070285B" w:rsidP="00C208E4">
      <w:pPr>
        <w:pStyle w:val="Szvegtrzs"/>
      </w:pPr>
      <w:r w:rsidRPr="00C208E4">
        <w:t xml:space="preserve">A dózis közepesen súlyos vesekárosodásban szenvedő betegeknél napi egyszer 400 mg-ra, </w:t>
      </w:r>
      <w:r w:rsidR="00601929">
        <w:t>ill.</w:t>
      </w:r>
      <w:r w:rsidRPr="00C208E4">
        <w:t xml:space="preserve"> a dózis súlyos vesekárosodásban szenvedő betegeknél napi egyszer 300 mg-ra történő növelése mérlegelhető azoknál a betegeknél, akik nem tapasztaltak súlyos</w:t>
      </w:r>
      <w:r w:rsidR="00D65A47">
        <w:t>;</w:t>
      </w:r>
      <w:r w:rsidRPr="00C208E4">
        <w:t xml:space="preserve"> vagy tartós, közepesen súlyos mellékhatásokat, és akiknél nem alakult ki megfelelő hematológiai, citogenetikai vagy molekuláris válasz.</w:t>
      </w:r>
    </w:p>
    <w:p w14:paraId="6D720307" w14:textId="77777777" w:rsidR="00E004B2" w:rsidRPr="00C208E4" w:rsidRDefault="00E004B2" w:rsidP="00C208E4"/>
    <w:p w14:paraId="5ED4CEF7" w14:textId="77777777" w:rsidR="008E070B" w:rsidRPr="00C208E4" w:rsidRDefault="0070285B" w:rsidP="00C208E4">
      <w:pPr>
        <w:rPr>
          <w:i/>
        </w:rPr>
      </w:pPr>
      <w:r w:rsidRPr="00C208E4">
        <w:rPr>
          <w:i/>
        </w:rPr>
        <w:t xml:space="preserve">CP, AP vagy BP Ph+ CML a korábbi terápiával szembeni rezisztencia vagy intolerancia esetén </w:t>
      </w:r>
    </w:p>
    <w:p w14:paraId="53F63892" w14:textId="7D4D2E8A" w:rsidR="005B1144" w:rsidRPr="00C208E4" w:rsidRDefault="0070285B" w:rsidP="00C208E4">
      <w:r w:rsidRPr="00C208E4">
        <w:t xml:space="preserve">A közepesen súlyos vesekárosodásban szenvedő betegek (a Cockcroft–Gault képlettel kiszámított </w:t>
      </w:r>
      <w:r w:rsidR="00D65A47">
        <w:t>CrCl</w:t>
      </w:r>
      <w:r w:rsidRPr="00C208E4">
        <w:t xml:space="preserve"> 30–50 ml/perc) esetében a bozutinib ajánlott napi </w:t>
      </w:r>
      <w:r w:rsidR="000E7270">
        <w:t>dózisa</w:t>
      </w:r>
      <w:r w:rsidRPr="00C208E4">
        <w:t xml:space="preserve"> 400 mg (lásd 4.4 és 5.2 pont).</w:t>
      </w:r>
    </w:p>
    <w:p w14:paraId="53F63893" w14:textId="77777777" w:rsidR="005B1144" w:rsidRPr="00C208E4" w:rsidRDefault="005B1144" w:rsidP="00C208E4">
      <w:pPr>
        <w:pStyle w:val="Szvegtrzs"/>
      </w:pPr>
    </w:p>
    <w:p w14:paraId="53F63895" w14:textId="0BB76198" w:rsidR="005B1144" w:rsidRPr="00C208E4" w:rsidRDefault="0070285B" w:rsidP="00C208E4">
      <w:pPr>
        <w:pStyle w:val="Szvegtrzs"/>
      </w:pPr>
      <w:r w:rsidRPr="00C208E4">
        <w:t xml:space="preserve">A súlyos vesekárosodásban szenvedő betegek (a Cockcroft–Gault képlettel kiszámított </w:t>
      </w:r>
      <w:r w:rsidR="00D65A47">
        <w:t>CrCl</w:t>
      </w:r>
      <w:r w:rsidR="001320AE">
        <w:t> </w:t>
      </w:r>
      <w:r w:rsidRPr="00C208E4">
        <w:t>&lt;</w:t>
      </w:r>
      <w:r w:rsidR="001320AE">
        <w:t> </w:t>
      </w:r>
      <w:r w:rsidRPr="00C208E4">
        <w:t>30</w:t>
      </w:r>
      <w:r w:rsidR="001320AE">
        <w:t> </w:t>
      </w:r>
      <w:r w:rsidRPr="00C208E4">
        <w:t xml:space="preserve">ml/perc) esetében a bozutinib ajánlott napi </w:t>
      </w:r>
      <w:r w:rsidR="000E7270">
        <w:t>dózisa</w:t>
      </w:r>
      <w:r w:rsidRPr="00C208E4">
        <w:t xml:space="preserve"> 300 mg (lásd 4.4 és 5.2 pont).</w:t>
      </w:r>
    </w:p>
    <w:p w14:paraId="53F63896" w14:textId="77777777" w:rsidR="005B1144" w:rsidRPr="00C208E4" w:rsidRDefault="005B1144" w:rsidP="00C208E4">
      <w:pPr>
        <w:pStyle w:val="Szvegtrzs"/>
      </w:pPr>
    </w:p>
    <w:p w14:paraId="53F63897" w14:textId="1527B227" w:rsidR="005B1144" w:rsidRPr="00C208E4" w:rsidRDefault="0070285B" w:rsidP="00C208E4">
      <w:pPr>
        <w:pStyle w:val="Szvegtrzs"/>
      </w:pPr>
      <w:r w:rsidRPr="00C208E4">
        <w:t xml:space="preserve">A dózis közepesen súlyos vesekárosodásban szenvedő betegeknél napi egyszer 500 mg-ra, </w:t>
      </w:r>
      <w:r w:rsidR="00601929">
        <w:t>ill.</w:t>
      </w:r>
      <w:r w:rsidRPr="00C208E4">
        <w:t xml:space="preserve"> a dózis súlyos vesekárosodásban szenvedő betegeknél napi egyszer 400 mg-ra történő növelése mérlegelhető azoknál a betegeknél, akik nem tapasztaltak súlyos</w:t>
      </w:r>
      <w:r w:rsidR="001320AE">
        <w:t>;</w:t>
      </w:r>
      <w:r w:rsidRPr="00C208E4">
        <w:t xml:space="preserve"> vagy tartós, közepesen súlyos mellékhatásokat, valamint akik nem értek el megfelelő hematológiai, citogenetikai vagy molekuláris választ.</w:t>
      </w:r>
    </w:p>
    <w:p w14:paraId="53F63898" w14:textId="77777777" w:rsidR="005B1144" w:rsidRPr="00C208E4" w:rsidRDefault="005B1144" w:rsidP="00C208E4">
      <w:pPr>
        <w:pStyle w:val="Szvegtrzs"/>
      </w:pPr>
    </w:p>
    <w:p w14:paraId="53F6389A" w14:textId="4883C5AC" w:rsidR="005B1144" w:rsidRPr="00C208E4" w:rsidRDefault="0070285B" w:rsidP="00C208E4">
      <w:pPr>
        <w:rPr>
          <w:i/>
        </w:rPr>
      </w:pPr>
      <w:r w:rsidRPr="00C208E4">
        <w:rPr>
          <w:i/>
        </w:rPr>
        <w:t>Szívbetegségek</w:t>
      </w:r>
    </w:p>
    <w:p w14:paraId="53F6389B" w14:textId="6C1595B8" w:rsidR="005B1144" w:rsidRPr="00C208E4" w:rsidRDefault="0070285B" w:rsidP="00C208E4">
      <w:pPr>
        <w:pStyle w:val="Szvegtrzs"/>
      </w:pPr>
      <w:r w:rsidRPr="00C208E4">
        <w:t xml:space="preserve">A klinikai vizsgálatokból kizárták a kezeletlen, </w:t>
      </w:r>
      <w:r w:rsidR="00601929">
        <w:t>ill.</w:t>
      </w:r>
      <w:r w:rsidRPr="00C208E4">
        <w:t xml:space="preserve"> jelentős szívbetegségben (pl. közelmúltbeli szívinfarktus, pangásos szívelégtelenség, </w:t>
      </w:r>
      <w:r w:rsidR="00601929">
        <w:t>ill.</w:t>
      </w:r>
      <w:r w:rsidRPr="00C208E4">
        <w:t xml:space="preserve"> instabil angina) szenvedő betegeket. Óvatosság ajánlott a releváns szívbetegségekben szenvedő betegeknél (lásd 4.4 pont).</w:t>
      </w:r>
    </w:p>
    <w:p w14:paraId="53F6389C" w14:textId="77777777" w:rsidR="005B1144" w:rsidRPr="00C208E4" w:rsidRDefault="005B1144" w:rsidP="00C208E4">
      <w:pPr>
        <w:pStyle w:val="Szvegtrzs"/>
      </w:pPr>
    </w:p>
    <w:p w14:paraId="53F6389E" w14:textId="005B44B9" w:rsidR="005B1144" w:rsidRPr="00C208E4" w:rsidRDefault="0070285B" w:rsidP="00C208E4">
      <w:pPr>
        <w:rPr>
          <w:i/>
        </w:rPr>
      </w:pPr>
      <w:r w:rsidRPr="00C208E4">
        <w:rPr>
          <w:i/>
        </w:rPr>
        <w:t>Közelmúltbeli vagy jelenleg fennálló, klinikailag jelentős gastrointestinalis rendellenesség</w:t>
      </w:r>
    </w:p>
    <w:p w14:paraId="53F6389F" w14:textId="77777777" w:rsidR="005B1144" w:rsidRPr="00C208E4" w:rsidRDefault="0070285B" w:rsidP="00C208E4">
      <w:pPr>
        <w:pStyle w:val="Szvegtrzs"/>
      </w:pPr>
      <w:r w:rsidRPr="00C208E4">
        <w:t>A klinikai vizsgálatokból kizárták a közelmúltbeli vagy jelenleg fennálló, klinikailag jelentős gastrointestinalis rendellenességben (pl. erős hányás és/vagy hasmenés) szenvedő betegeket. Óvatosság ajánlott a közelmúltbeli vagy jelenleg fennálló, klinikailag jelentős gastrointestinalis rendellenességben szenvedő betegeknél (lásd 4.4 pont).</w:t>
      </w:r>
    </w:p>
    <w:p w14:paraId="53F638A0" w14:textId="77777777" w:rsidR="005B1144" w:rsidRPr="00C208E4" w:rsidRDefault="005B1144" w:rsidP="00C208E4">
      <w:pPr>
        <w:pStyle w:val="Szvegtrzs"/>
      </w:pPr>
    </w:p>
    <w:p w14:paraId="53F638A2" w14:textId="18682066" w:rsidR="005B1144" w:rsidRPr="00C208E4" w:rsidRDefault="0070285B" w:rsidP="00C208E4">
      <w:pPr>
        <w:rPr>
          <w:i/>
        </w:rPr>
      </w:pPr>
      <w:r w:rsidRPr="00C208E4">
        <w:rPr>
          <w:i/>
        </w:rPr>
        <w:t>Gyermekek és serdülők</w:t>
      </w:r>
    </w:p>
    <w:p w14:paraId="53F638A3" w14:textId="77777777" w:rsidR="005B1144" w:rsidRPr="00C208E4" w:rsidRDefault="0070285B" w:rsidP="00C208E4">
      <w:pPr>
        <w:pStyle w:val="Szvegtrzs"/>
      </w:pPr>
      <w:r w:rsidRPr="00C208E4">
        <w:t>A bozutinib biztonságosságát és hatásosságát 18 évesnél fiatalabb gyermekek és serdülők esetében nem igazolták. Nincsenek rendelkezésre álló adatok.</w:t>
      </w:r>
    </w:p>
    <w:p w14:paraId="53F638A4" w14:textId="77777777" w:rsidR="005B1144" w:rsidRPr="00C208E4" w:rsidRDefault="005B1144" w:rsidP="00C208E4">
      <w:pPr>
        <w:pStyle w:val="Szvegtrzs"/>
      </w:pPr>
    </w:p>
    <w:p w14:paraId="53F638A6" w14:textId="6AF4596F" w:rsidR="005B1144" w:rsidRPr="00C208E4" w:rsidRDefault="0070285B" w:rsidP="00C208E4">
      <w:pPr>
        <w:pStyle w:val="Szvegtrzs"/>
      </w:pPr>
      <w:r w:rsidRPr="00C208E4">
        <w:rPr>
          <w:u w:val="single"/>
        </w:rPr>
        <w:t>Az alkalmazás módja</w:t>
      </w:r>
    </w:p>
    <w:p w14:paraId="53F638A7" w14:textId="11FBE122" w:rsidR="005B1144" w:rsidRPr="00C208E4" w:rsidRDefault="0070285B" w:rsidP="00C208E4">
      <w:pPr>
        <w:pStyle w:val="Szvegtrzs"/>
      </w:pPr>
      <w:r w:rsidRPr="00C208E4">
        <w:t xml:space="preserve">A </w:t>
      </w:r>
      <w:r w:rsidR="006B2927" w:rsidRPr="00C208E4">
        <w:t>Bosutinib Onkogen</w:t>
      </w:r>
      <w:r w:rsidRPr="00C208E4">
        <w:t xml:space="preserve">-t </w:t>
      </w:r>
      <w:r w:rsidR="004E0BC2" w:rsidRPr="004E0BC2">
        <w:rPr>
          <w:i/>
        </w:rPr>
        <w:t>per os</w:t>
      </w:r>
      <w:r w:rsidRPr="00C208E4">
        <w:t>, naponta egyszer, étkezés közben kell bevenni (lásd 5.2 pont). Ha egy</w:t>
      </w:r>
      <w:r w:rsidR="000E7270">
        <w:t xml:space="preserve"> dózis </w:t>
      </w:r>
      <w:r w:rsidRPr="00C208E4">
        <w:t>bevétele legalább 12 órát késik, a betegnek nem szabad további</w:t>
      </w:r>
      <w:r w:rsidR="00D65A47">
        <w:t xml:space="preserve"> dózist</w:t>
      </w:r>
      <w:r w:rsidRPr="00C208E4">
        <w:t xml:space="preserve"> adni. A betegnek a szokásos, rendelt</w:t>
      </w:r>
      <w:r w:rsidR="00D65A47">
        <w:t xml:space="preserve"> dózist</w:t>
      </w:r>
      <w:r w:rsidRPr="00C208E4">
        <w:t xml:space="preserve"> kell bevenni a következő napon.</w:t>
      </w:r>
    </w:p>
    <w:p w14:paraId="53F638A8" w14:textId="77777777" w:rsidR="005B1144" w:rsidRPr="00C208E4" w:rsidRDefault="005B1144" w:rsidP="00C208E4">
      <w:pPr>
        <w:pStyle w:val="Szvegtrzs"/>
      </w:pPr>
    </w:p>
    <w:p w14:paraId="53F638A9" w14:textId="77777777" w:rsidR="005B1144" w:rsidRPr="00C208E4" w:rsidRDefault="0070285B" w:rsidP="00C208E4">
      <w:pPr>
        <w:pStyle w:val="Cmsor2"/>
        <w:numPr>
          <w:ilvl w:val="1"/>
          <w:numId w:val="16"/>
        </w:numPr>
        <w:tabs>
          <w:tab w:val="left" w:pos="1242"/>
          <w:tab w:val="left" w:pos="1243"/>
        </w:tabs>
        <w:ind w:left="567"/>
      </w:pPr>
      <w:r w:rsidRPr="00C208E4">
        <w:t>Ellenjavallatok</w:t>
      </w:r>
    </w:p>
    <w:p w14:paraId="53F638AA" w14:textId="77777777" w:rsidR="005B1144" w:rsidRPr="00C208E4" w:rsidRDefault="005B1144" w:rsidP="00C208E4">
      <w:pPr>
        <w:pStyle w:val="Szvegtrzs"/>
        <w:rPr>
          <w:b/>
        </w:rPr>
      </w:pPr>
    </w:p>
    <w:p w14:paraId="53F638AB" w14:textId="77777777" w:rsidR="005B1144" w:rsidRPr="00C208E4" w:rsidRDefault="0070285B" w:rsidP="00C208E4">
      <w:pPr>
        <w:pStyle w:val="Szvegtrzs"/>
      </w:pPr>
      <w:r w:rsidRPr="00C208E4">
        <w:t>A készítmény hatóanyagával vagy a 6.1 pontban felsorolt bármely segédanyagával szembeni túlérzékenység.</w:t>
      </w:r>
    </w:p>
    <w:p w14:paraId="53F638AC" w14:textId="77777777" w:rsidR="005B1144" w:rsidRPr="00C208E4" w:rsidRDefault="005B1144" w:rsidP="00C208E4">
      <w:pPr>
        <w:pStyle w:val="Szvegtrzs"/>
      </w:pPr>
    </w:p>
    <w:p w14:paraId="53F638AD" w14:textId="77777777" w:rsidR="005B1144" w:rsidRPr="00C208E4" w:rsidRDefault="0070285B" w:rsidP="00C208E4">
      <w:pPr>
        <w:pStyle w:val="Szvegtrzs"/>
      </w:pPr>
      <w:r w:rsidRPr="00C208E4">
        <w:t>Májkárosodás (lásd 5.1 és 5.2 pont).</w:t>
      </w:r>
    </w:p>
    <w:p w14:paraId="53F638AE" w14:textId="77777777" w:rsidR="005B1144" w:rsidRPr="00C208E4" w:rsidRDefault="005B1144" w:rsidP="00C208E4">
      <w:pPr>
        <w:pStyle w:val="Szvegtrzs"/>
      </w:pPr>
    </w:p>
    <w:p w14:paraId="53F638AF" w14:textId="77777777" w:rsidR="005B1144" w:rsidRPr="00C208E4" w:rsidRDefault="0070285B" w:rsidP="00C208E4">
      <w:pPr>
        <w:pStyle w:val="Cmsor2"/>
        <w:numPr>
          <w:ilvl w:val="1"/>
          <w:numId w:val="16"/>
        </w:numPr>
        <w:tabs>
          <w:tab w:val="left" w:pos="1242"/>
          <w:tab w:val="left" w:pos="1243"/>
        </w:tabs>
        <w:ind w:left="567"/>
      </w:pPr>
      <w:r w:rsidRPr="00C208E4">
        <w:t>Különleges figyelmeztetések és az alkalmazással kapcsolatos óvintézkedések</w:t>
      </w:r>
    </w:p>
    <w:p w14:paraId="53F638B0" w14:textId="77777777" w:rsidR="005B1144" w:rsidRPr="00C208E4" w:rsidRDefault="005B1144" w:rsidP="00C208E4">
      <w:pPr>
        <w:pStyle w:val="Szvegtrzs"/>
        <w:rPr>
          <w:b/>
        </w:rPr>
      </w:pPr>
    </w:p>
    <w:p w14:paraId="53F638B1" w14:textId="77777777" w:rsidR="005B1144" w:rsidRPr="00C208E4" w:rsidRDefault="0070285B" w:rsidP="00C208E4">
      <w:pPr>
        <w:pStyle w:val="Szvegtrzs"/>
      </w:pPr>
      <w:r w:rsidRPr="00C208E4">
        <w:rPr>
          <w:u w:val="single"/>
        </w:rPr>
        <w:t>Májfunkció-rendellenességek</w:t>
      </w:r>
    </w:p>
    <w:p w14:paraId="53F638B2" w14:textId="77777777" w:rsidR="005B1144" w:rsidRPr="00C208E4" w:rsidRDefault="0070285B" w:rsidP="00C208E4">
      <w:pPr>
        <w:pStyle w:val="Szvegtrzs"/>
      </w:pPr>
      <w:r w:rsidRPr="00C208E4">
        <w:t>A bozutinib-kezelés összefüggést mutat a szérum-transzaminázszintek (GPT: glutamát-piruvát- transzamináz, azaz alanin-amino-transzferáz/ALAT és GOT: glutamát-oxálacetát-transzamináz, azaz aszpartát-amino-transzferáz/ASAT) emelkedésével.</w:t>
      </w:r>
    </w:p>
    <w:p w14:paraId="53F638B3" w14:textId="77777777" w:rsidR="005B1144" w:rsidRPr="00C208E4" w:rsidRDefault="005B1144" w:rsidP="00C208E4">
      <w:pPr>
        <w:pStyle w:val="Szvegtrzs"/>
      </w:pPr>
    </w:p>
    <w:p w14:paraId="53F638B5" w14:textId="08D990DA" w:rsidR="005B1144" w:rsidRPr="00C208E4" w:rsidRDefault="0070285B" w:rsidP="00C208E4">
      <w:pPr>
        <w:pStyle w:val="Szvegtrzs"/>
      </w:pPr>
      <w:r w:rsidRPr="00C208E4">
        <w:t>A transzaminázszint-emelkedés általában a kezelés korai időszakában következik be (a bármely fokú transzaminázszint-emelkedést mutató betegek több mint 80%-a esetében az első epizódra az első</w:t>
      </w:r>
      <w:r w:rsidR="008458F3" w:rsidRPr="00C208E4">
        <w:t xml:space="preserve"> </w:t>
      </w:r>
      <w:r w:rsidRPr="00C208E4">
        <w:t>3</w:t>
      </w:r>
      <w:r w:rsidR="007E700B">
        <w:t> </w:t>
      </w:r>
      <w:r w:rsidRPr="00C208E4">
        <w:t>hónapon belül került sor). A bozutinibet szedő betegeknél a kezelés megkezdése előtt, majd ezt követően havonta kell májfunkciós vizsgálatokat végezni a kezelés első 3 hónapjában, valamint akkor, ha az klinikailag indokolt.</w:t>
      </w:r>
    </w:p>
    <w:p w14:paraId="5310A151" w14:textId="77777777" w:rsidR="005B1144" w:rsidRPr="00C208E4" w:rsidRDefault="005B1144" w:rsidP="00C208E4"/>
    <w:p w14:paraId="53F638B8" w14:textId="718B73D6" w:rsidR="005B1144" w:rsidRPr="00C208E4" w:rsidRDefault="0070285B" w:rsidP="00C208E4">
      <w:pPr>
        <w:pStyle w:val="Szvegtrzs"/>
      </w:pPr>
      <w:r w:rsidRPr="00C208E4">
        <w:t>A transzaminázszint-emelkedést mutató betegeket a bozutinib-kezelés átmeneti felfüggesztésével (mérlegelve az 1. fokozatra vagy a kiindulási értékre történő javulást követő dóziscsökkentést) és/vagy a bozutinib-kezelés abbahagyásával kell kezelni. A transzaminázszintek növekedése, különösen a bilirubinszint egyidejű emelkedése esetén, korai indikátora lehet a gyógyszer által kiváltott májkárosodásnak, és ezeknek a betegeknek megfelelő kezelést kell biztosítani (lásd 4.2 és</w:t>
      </w:r>
      <w:r w:rsidR="008458F3" w:rsidRPr="00C208E4">
        <w:t xml:space="preserve"> </w:t>
      </w:r>
      <w:r w:rsidRPr="00C208E4">
        <w:t>4.8. pont).</w:t>
      </w:r>
    </w:p>
    <w:p w14:paraId="53F638B9" w14:textId="77777777" w:rsidR="005B1144" w:rsidRPr="00C208E4" w:rsidRDefault="005B1144" w:rsidP="00C208E4">
      <w:pPr>
        <w:pStyle w:val="Szvegtrzs"/>
      </w:pPr>
    </w:p>
    <w:p w14:paraId="53F638BA" w14:textId="77777777" w:rsidR="005B1144" w:rsidRPr="00C208E4" w:rsidRDefault="0070285B" w:rsidP="00C208E4">
      <w:pPr>
        <w:pStyle w:val="Szvegtrzs"/>
      </w:pPr>
      <w:r w:rsidRPr="00C208E4">
        <w:rPr>
          <w:u w:val="single"/>
        </w:rPr>
        <w:t>Hasmenés és hányás</w:t>
      </w:r>
    </w:p>
    <w:p w14:paraId="53F638BC" w14:textId="7A035441" w:rsidR="005B1144" w:rsidRPr="00C208E4" w:rsidRDefault="0070285B" w:rsidP="00C208E4">
      <w:pPr>
        <w:pStyle w:val="Szvegtrzs"/>
      </w:pPr>
      <w:r w:rsidRPr="00C208E4">
        <w:t>A bozutinib-kezelés hasmenéssel és hányással jár, ezért a közelmúltban vagy aktuálisan klinikailag jelentős gastrointestinalis betegségben szenvedő betegek csak óvatosan, és az előny-kockázat arány gondos értékelését követően szedhetik ezt a gyógyszert, mivel az ilyen betegeket kizárták a klinikai vizsgálatokból. Hasmenés és hányás esetén a betegeket a szokásos kezelésben kell részesíteni, beleértve a has</w:t>
      </w:r>
      <w:r w:rsidR="001C661A">
        <w:t>menésgátló</w:t>
      </w:r>
      <w:r w:rsidRPr="00C208E4">
        <w:t xml:space="preserve"> és a hányáscsillapító gyógyszereket és/vagy a folyadékpótlást. Ezen felül a hasmenés és hányás a bozutinib-kezelés átmeneti felfüggesztésével, dóziscsökkentéssel és/vagy a bozutinib adásának abbahagyásával is kezelhetők (lásd 4.2 és 4.8 pont). A domperidon hányáscsillapító gyógyszer QT-intervallumot (QTc) megnyújtó és „torsade de pointes” arrhytmiákat kiváltó potenciállal rendelkezik, ezért a domperidonnal való egyidejű alkalmazást kerülni kell. Csak akkor használható, ha egyéb gyógyszerek nem hatásosak. Ilyen helyzetekben kötelező az</w:t>
      </w:r>
      <w:r w:rsidR="008458F3" w:rsidRPr="00C208E4">
        <w:t xml:space="preserve"> </w:t>
      </w:r>
      <w:r w:rsidRPr="00C208E4">
        <w:t>előny-kockázat arány egyénre szabott értékelése, és a betegek</w:t>
      </w:r>
      <w:r w:rsidR="001C661A">
        <w:t>et monitorozni</w:t>
      </w:r>
      <w:r w:rsidRPr="00C208E4">
        <w:t xml:space="preserve"> kell a QTc-megnyúlás kialakulás</w:t>
      </w:r>
      <w:r w:rsidR="001C661A">
        <w:t>a szempontjából</w:t>
      </w:r>
      <w:r w:rsidR="00EC68B9" w:rsidRPr="00C208E4">
        <w:t>.</w:t>
      </w:r>
    </w:p>
    <w:p w14:paraId="3F736623" w14:textId="77777777" w:rsidR="00832C13" w:rsidRPr="00C208E4" w:rsidRDefault="00832C13" w:rsidP="00C208E4">
      <w:pPr>
        <w:pStyle w:val="Szvegtrzs"/>
      </w:pPr>
    </w:p>
    <w:p w14:paraId="53F638BE" w14:textId="1A8A1C7B" w:rsidR="005B1144" w:rsidRPr="00C208E4" w:rsidRDefault="0070285B" w:rsidP="00C208E4">
      <w:pPr>
        <w:pStyle w:val="Szvegtrzs"/>
      </w:pPr>
      <w:r w:rsidRPr="00C208E4">
        <w:rPr>
          <w:u w:val="single"/>
        </w:rPr>
        <w:t>Myelosuppressio</w:t>
      </w:r>
    </w:p>
    <w:p w14:paraId="53F638BF" w14:textId="6CC44842" w:rsidR="005B1144" w:rsidRPr="00C208E4" w:rsidRDefault="0070285B" w:rsidP="00C208E4">
      <w:pPr>
        <w:pStyle w:val="Szvegtrzs"/>
      </w:pPr>
      <w:r w:rsidRPr="00C208E4">
        <w:t>A bozutinib-kezelés összefüggést mutat a myelosuppressióval, értve ez alatt az anaemiát, a neutropeniát és a thrombocytopeniát. A kezelés első hónapjában heti, ezt követően havi gyakorisággal vagy akkor, ha az klinikailag indokolt, teljes vérképvizsgálatokat kell végezni. A myelosuppressio a bozutinib-kezelés átmeneti felfüggesztésével, dóziscsökkentéssel és/vagy a bozutinib adásának abbahagyásával kezelendő/kezelhető (lásd 4.2 és 4.8 pont).</w:t>
      </w:r>
    </w:p>
    <w:p w14:paraId="53F638C0" w14:textId="77777777" w:rsidR="005B1144" w:rsidRPr="00C208E4" w:rsidRDefault="005B1144" w:rsidP="00C208E4">
      <w:pPr>
        <w:pStyle w:val="Szvegtrzs"/>
      </w:pPr>
    </w:p>
    <w:p w14:paraId="53F638C1" w14:textId="77777777" w:rsidR="005B1144" w:rsidRPr="00C208E4" w:rsidRDefault="0070285B" w:rsidP="00C208E4">
      <w:pPr>
        <w:pStyle w:val="Szvegtrzs"/>
      </w:pPr>
      <w:r w:rsidRPr="00C208E4">
        <w:rPr>
          <w:u w:val="single"/>
        </w:rPr>
        <w:t>Folyadékretenció</w:t>
      </w:r>
    </w:p>
    <w:p w14:paraId="53F638C2" w14:textId="5C1CF983" w:rsidR="005B1144" w:rsidRPr="00C208E4" w:rsidRDefault="0070285B" w:rsidP="00C208E4">
      <w:pPr>
        <w:pStyle w:val="Szvegtrzs"/>
      </w:pPr>
      <w:r w:rsidRPr="00C208E4">
        <w:t xml:space="preserve">A bozutinib-kezelés összefüggésben állhat a folyadékretencióval, beleértve a pericardialis folyadékgyülemet, a pleuralis folyadékgyülemet, a tüdőoedemát és/vagy a perifériás oedemát. A betegeket </w:t>
      </w:r>
      <w:r w:rsidR="001F598A">
        <w:t>monitorozni</w:t>
      </w:r>
      <w:r w:rsidRPr="00C208E4">
        <w:t xml:space="preserve"> kell, és a szokásos kezelésben kell részesíteni. Ezen felül a folyadékretenció a bozutinib-kezelés átmeneti felfüggesztésével, dóziscsökkentéssel és/vagy a bozutinib adásának abbahagyásával kezelendők/kezelhetők (lásd 4.2 és 4.8 pont).</w:t>
      </w:r>
    </w:p>
    <w:p w14:paraId="53F638C3" w14:textId="77777777" w:rsidR="005B1144" w:rsidRPr="00C208E4" w:rsidRDefault="005B1144" w:rsidP="00C208E4">
      <w:pPr>
        <w:pStyle w:val="Szvegtrzs"/>
      </w:pPr>
    </w:p>
    <w:p w14:paraId="53F638C4" w14:textId="5E9D07E1" w:rsidR="005B1144" w:rsidRPr="00C208E4" w:rsidRDefault="0070285B" w:rsidP="00C208E4">
      <w:pPr>
        <w:pStyle w:val="Szvegtrzs"/>
      </w:pPr>
      <w:r w:rsidRPr="00C208E4">
        <w:rPr>
          <w:u w:val="single"/>
        </w:rPr>
        <w:t>Széru</w:t>
      </w:r>
      <w:r w:rsidR="001C661A">
        <w:rPr>
          <w:u w:val="single"/>
        </w:rPr>
        <w:t>ml</w:t>
      </w:r>
      <w:r w:rsidRPr="00C208E4">
        <w:rPr>
          <w:u w:val="single"/>
        </w:rPr>
        <w:t>ipázszint</w:t>
      </w:r>
    </w:p>
    <w:p w14:paraId="53F638C5" w14:textId="58B80104" w:rsidR="005B1144" w:rsidRPr="00C208E4" w:rsidRDefault="0070285B" w:rsidP="00C208E4">
      <w:pPr>
        <w:pStyle w:val="Szvegtrzs"/>
      </w:pPr>
      <w:r w:rsidRPr="00C208E4">
        <w:t>Megfigyelték a széru</w:t>
      </w:r>
      <w:r w:rsidR="001C661A">
        <w:t>ml</w:t>
      </w:r>
      <w:r w:rsidRPr="00C208E4">
        <w:t xml:space="preserve">ipázszint emelkedését. Óvatosság ajánlott olyan betegeknél, akiknek </w:t>
      </w:r>
      <w:r w:rsidR="001C661A">
        <w:t>az anamnézisében</w:t>
      </w:r>
      <w:r w:rsidRPr="00C208E4">
        <w:t xml:space="preserve"> pancreatitis szerepel. Amennyiben a lipázszint-emelkedés hasi tünetekkel együtt jelentkezik, a bozutinib-kezelést meg kell szakítani, és megfelelő diagnosztikai vizsgálatokat kell mérlegelni a pancreatitis kizárására (lásd 4.2 pont).</w:t>
      </w:r>
    </w:p>
    <w:p w14:paraId="53F638C6" w14:textId="77777777" w:rsidR="005B1144" w:rsidRPr="00C208E4" w:rsidRDefault="005B1144" w:rsidP="00C208E4">
      <w:pPr>
        <w:pStyle w:val="Szvegtrzs"/>
      </w:pPr>
    </w:p>
    <w:p w14:paraId="51330F06" w14:textId="77777777" w:rsidR="00832C13" w:rsidRPr="00C208E4" w:rsidRDefault="0070285B" w:rsidP="00C208E4">
      <w:pPr>
        <w:pStyle w:val="Szvegtrzs"/>
      </w:pPr>
      <w:r w:rsidRPr="00C208E4">
        <w:rPr>
          <w:u w:val="single"/>
        </w:rPr>
        <w:t>Fertőzések</w:t>
      </w:r>
    </w:p>
    <w:p w14:paraId="53F638C8" w14:textId="1305272F" w:rsidR="005B1144" w:rsidRPr="00C208E4" w:rsidRDefault="0070285B" w:rsidP="00C208E4">
      <w:pPr>
        <w:pStyle w:val="Szvegtrzs"/>
      </w:pPr>
      <w:r w:rsidRPr="00C208E4">
        <w:t>A bozutinib hajlamosíthatja a betegeket a bakteriális, gombás, virális és protozoon</w:t>
      </w:r>
      <w:r w:rsidR="001C661A">
        <w:t xml:space="preserve"> okozta</w:t>
      </w:r>
      <w:r w:rsidRPr="00C208E4">
        <w:t xml:space="preserve"> fertőzésekre.</w:t>
      </w:r>
    </w:p>
    <w:p w14:paraId="2CD5F45C" w14:textId="77777777" w:rsidR="00B2309C" w:rsidRPr="00C208E4" w:rsidRDefault="00B2309C" w:rsidP="00C208E4">
      <w:pPr>
        <w:pStyle w:val="Szvegtrzs"/>
      </w:pPr>
    </w:p>
    <w:p w14:paraId="53F638CA" w14:textId="3F409D0E" w:rsidR="005B1144" w:rsidRPr="00C208E4" w:rsidRDefault="0070285B" w:rsidP="00C208E4">
      <w:pPr>
        <w:pStyle w:val="Szvegtrzs"/>
      </w:pPr>
      <w:r w:rsidRPr="00C208E4">
        <w:rPr>
          <w:u w:val="single"/>
        </w:rPr>
        <w:t>Arrhythmogen potenciál</w:t>
      </w:r>
    </w:p>
    <w:p w14:paraId="53F638CC" w14:textId="262C455D" w:rsidR="005B1144" w:rsidRPr="00C208E4" w:rsidRDefault="0070285B" w:rsidP="00C208E4">
      <w:pPr>
        <w:pStyle w:val="Szvegtrzs"/>
      </w:pPr>
      <w:r w:rsidRPr="00C208E4">
        <w:t xml:space="preserve">Az EKG-n QTc-szakasz-megnyúlást figyeltek meg egyidejűleg jelentkező arrhythmia nélkül. A bozutinibet óvatosan kell alkalmazni olyan betegeknél, akiknek </w:t>
      </w:r>
      <w:r w:rsidR="001C661A">
        <w:t>az anamnézisében</w:t>
      </w:r>
      <w:r w:rsidRPr="00C208E4">
        <w:t xml:space="preserve"> QTc-szakasz - megnyúlás szerepel, </w:t>
      </w:r>
      <w:r w:rsidR="00601929">
        <w:t>ill.</w:t>
      </w:r>
      <w:r w:rsidRPr="00C208E4">
        <w:t xml:space="preserve"> akik kezeletlen vagy jelentős szívbetegségben szenvednek, beleértve a közelmúltban történt szívinfarktust, a pangásos szívelégtelenséget, az instabil anginát vagy a klinikailag jelentős bradycardiát, </w:t>
      </w:r>
      <w:r w:rsidR="00601929">
        <w:t>ill.</w:t>
      </w:r>
      <w:r w:rsidRPr="00C208E4">
        <w:t xml:space="preserve"> azoknál, akik olyan gyógyszereket szednek, amelyek ismerten megnyújtják a QTc-szakaszt (pl. antiarrhythmiás gyógyszerek és egyéb hatóanyagok, amelyek</w:t>
      </w:r>
      <w:r w:rsidR="00B2309C" w:rsidRPr="00C208E4">
        <w:t xml:space="preserve"> </w:t>
      </w:r>
      <w:r w:rsidRPr="00C208E4">
        <w:t xml:space="preserve">QTc-megnyúlást okozhatnak </w:t>
      </w:r>
      <w:r w:rsidR="001C661A">
        <w:t>[</w:t>
      </w:r>
      <w:r w:rsidRPr="00C208E4">
        <w:t>4.5 pont</w:t>
      </w:r>
      <w:r w:rsidR="001C661A">
        <w:t>]</w:t>
      </w:r>
      <w:r w:rsidRPr="00C208E4">
        <w:t>). A hypokalaemia és a hypomagnesaemia fennállása tovább fokozhatja ezt a hatást.</w:t>
      </w:r>
    </w:p>
    <w:p w14:paraId="53F638CD" w14:textId="77777777" w:rsidR="005B1144" w:rsidRPr="00C208E4" w:rsidRDefault="005B1144" w:rsidP="00C208E4">
      <w:pPr>
        <w:pStyle w:val="Szvegtrzs"/>
      </w:pPr>
    </w:p>
    <w:p w14:paraId="53F638D0" w14:textId="0C7AEB10" w:rsidR="005B1144" w:rsidRPr="00C208E4" w:rsidRDefault="0070285B" w:rsidP="00C208E4">
      <w:pPr>
        <w:pStyle w:val="Szvegtrzs"/>
      </w:pPr>
      <w:r w:rsidRPr="00C208E4">
        <w:t>Tanácsos a QTc-szakaszra gyakorolt hatás monitorozása, és javasolt egy kiindulási elektrokardiogramm (EKG) készítése a bozutinib-terápia megkezdése előtt, majd ahogy az klinikaila</w:t>
      </w:r>
      <w:r w:rsidR="00CA3D18" w:rsidRPr="00C208E4">
        <w:t>g i</w:t>
      </w:r>
      <w:r w:rsidRPr="00C208E4">
        <w:t xml:space="preserve">ndokolt. A bozutinib </w:t>
      </w:r>
      <w:r w:rsidR="001C661A">
        <w:t>alkalmazásának</w:t>
      </w:r>
      <w:r w:rsidR="001C661A" w:rsidRPr="00C208E4">
        <w:t xml:space="preserve"> </w:t>
      </w:r>
      <w:r w:rsidRPr="00C208E4">
        <w:t xml:space="preserve">megkezdése előtt rendezni kell a hypokalaemiát vagy a hypomagnesaemiát, amit a kezelés során rendszeres időközönként </w:t>
      </w:r>
      <w:r w:rsidR="001F598A">
        <w:t>monitorozni</w:t>
      </w:r>
      <w:r w:rsidR="001F598A" w:rsidRPr="00C208E4">
        <w:t xml:space="preserve"> </w:t>
      </w:r>
      <w:r w:rsidRPr="00C208E4">
        <w:t>kell.</w:t>
      </w:r>
    </w:p>
    <w:p w14:paraId="53F638D1" w14:textId="77777777" w:rsidR="005B1144" w:rsidRPr="00C208E4" w:rsidRDefault="005B1144" w:rsidP="00C208E4">
      <w:pPr>
        <w:pStyle w:val="Szvegtrzs"/>
      </w:pPr>
    </w:p>
    <w:p w14:paraId="53F638D2" w14:textId="77777777" w:rsidR="005B1144" w:rsidRPr="00C208E4" w:rsidRDefault="0070285B" w:rsidP="00C208E4">
      <w:pPr>
        <w:pStyle w:val="Szvegtrzs"/>
      </w:pPr>
      <w:r w:rsidRPr="00C208E4">
        <w:rPr>
          <w:u w:val="single"/>
        </w:rPr>
        <w:t>Vesekárosodás</w:t>
      </w:r>
    </w:p>
    <w:p w14:paraId="53F638D6" w14:textId="5B8D61E0" w:rsidR="005B1144" w:rsidRPr="00C208E4" w:rsidRDefault="0070285B" w:rsidP="00C208E4">
      <w:pPr>
        <w:pStyle w:val="Szvegtrzs"/>
      </w:pPr>
      <w:r w:rsidRPr="00C208E4">
        <w:t>A bozutinib-kezelés a vesefunkció klinikailag jelentős mértékű csökkenését okozhatja CML-ben szenvedő betegeknél. Klinikai vizsgálatokban bozutinibbel kezelt betegeknél idővel a becsült glomerul</w:t>
      </w:r>
      <w:r w:rsidR="001F598A">
        <w:t>us</w:t>
      </w:r>
      <w:r w:rsidRPr="00C208E4">
        <w:t>filtrációs ráta (eGFR) csökkenését figyelték meg. A 400 mg-os dózissal kezelt, újonnan diagnosztizált CP CML-ben szenvedő betegeknél az eGFR értékének a kiinduláshoz képest bekövetkezett csökkenésének medián értéke 1 év után 11,1 ml/perc/1,73 m</w:t>
      </w:r>
      <w:r w:rsidRPr="00C208E4">
        <w:rPr>
          <w:vertAlign w:val="superscript"/>
        </w:rPr>
        <w:t>2</w:t>
      </w:r>
      <w:r w:rsidRPr="00C208E4">
        <w:t>, 5 év után pedig</w:t>
      </w:r>
      <w:r w:rsidR="00FA3158" w:rsidRPr="00C208E4">
        <w:t xml:space="preserve"> </w:t>
      </w:r>
      <w:r w:rsidRPr="00C208E4">
        <w:t>14,1</w:t>
      </w:r>
      <w:r w:rsidR="0031106E">
        <w:t> </w:t>
      </w:r>
      <w:r w:rsidRPr="00C208E4">
        <w:t>ml/perc/1,73 m</w:t>
      </w:r>
      <w:r w:rsidRPr="00C208E4">
        <w:rPr>
          <w:vertAlign w:val="superscript"/>
        </w:rPr>
        <w:t>2</w:t>
      </w:r>
      <w:r w:rsidRPr="00C208E4">
        <w:t xml:space="preserve"> volt a kezelt betegek esetén. 500 mg dózissal kezelt, korábbi kezelést nem kapott, CP CML-ben szenvedő betegeknél a kiinduláshoz képest bekövetkezett csökkenés medián értéke 1 év után 9,2 ml/perc/1,73 m</w:t>
      </w:r>
      <w:r w:rsidRPr="00C208E4">
        <w:rPr>
          <w:vertAlign w:val="superscript"/>
        </w:rPr>
        <w:t>2</w:t>
      </w:r>
      <w:r w:rsidRPr="00C208E4">
        <w:t>, 5 év után 12,0 ml/perc/1,73 m</w:t>
      </w:r>
      <w:r w:rsidRPr="00C208E4">
        <w:rPr>
          <w:vertAlign w:val="superscript"/>
        </w:rPr>
        <w:t>2</w:t>
      </w:r>
      <w:r w:rsidRPr="00C208E4">
        <w:t>, 10 év után pedig</w:t>
      </w:r>
      <w:r w:rsidR="00FA3158" w:rsidRPr="00C208E4">
        <w:t xml:space="preserve"> </w:t>
      </w:r>
      <w:r w:rsidRPr="00C208E4">
        <w:t>16,6</w:t>
      </w:r>
      <w:r w:rsidR="0031106E">
        <w:t> </w:t>
      </w:r>
      <w:r w:rsidRPr="00C208E4">
        <w:t>ml/perc/1,73 m</w:t>
      </w:r>
      <w:r w:rsidRPr="00C208E4">
        <w:rPr>
          <w:vertAlign w:val="superscript"/>
        </w:rPr>
        <w:t>2</w:t>
      </w:r>
      <w:r w:rsidRPr="00C208E4">
        <w:t xml:space="preserve"> volt a kezelt betegek esetén. A korábban kezelt CP- és előrehaladott stádiumú CML-betegeknél, akiket 500 mg-os dózissal kezeltek, a kiinduláshoz képest az eGFR-csökkenés medián értéke 1 év után 7,6 ml/perc/1,73 m</w:t>
      </w:r>
      <w:r w:rsidRPr="00C208E4">
        <w:rPr>
          <w:vertAlign w:val="superscript"/>
        </w:rPr>
        <w:t>2</w:t>
      </w:r>
      <w:r w:rsidRPr="00C208E4">
        <w:t>, 5 év után 12,3 ml/perc/1,73 m</w:t>
      </w:r>
      <w:r w:rsidRPr="00C208E4">
        <w:rPr>
          <w:vertAlign w:val="superscript"/>
        </w:rPr>
        <w:t>2</w:t>
      </w:r>
      <w:r w:rsidRPr="00C208E4">
        <w:t>, 10 év után pedig</w:t>
      </w:r>
      <w:r w:rsidR="00F76AAE" w:rsidRPr="00C208E4">
        <w:t xml:space="preserve"> </w:t>
      </w:r>
      <w:r w:rsidRPr="00C208E4">
        <w:t>15,9</w:t>
      </w:r>
      <w:r w:rsidR="003B69DB">
        <w:t> </w:t>
      </w:r>
      <w:r w:rsidRPr="00C208E4">
        <w:t>ml/perc/1,73 m</w:t>
      </w:r>
      <w:r w:rsidRPr="00C208E4">
        <w:rPr>
          <w:vertAlign w:val="superscript"/>
        </w:rPr>
        <w:t>2</w:t>
      </w:r>
      <w:r w:rsidRPr="00C208E4">
        <w:t xml:space="preserve"> volt a kezelt betegek esetén. A korábban 1 vagy több TKI-vel kezelt, 500 mg-os kezelést kapó Ph+ CML-ben szenvedő betegeknél az eGFR-csökkenés medián értéke a kiindulástól számítva 1 év után 9,2 ml/perc/1,73 m</w:t>
      </w:r>
      <w:r w:rsidRPr="00C208E4">
        <w:rPr>
          <w:vertAlign w:val="superscript"/>
        </w:rPr>
        <w:t>2</w:t>
      </w:r>
      <w:r w:rsidRPr="00C208E4">
        <w:t>, 4 év után pedig 14,5 ml/perc/1,73 m</w:t>
      </w:r>
      <w:r w:rsidRPr="00C208E4">
        <w:rPr>
          <w:vertAlign w:val="superscript"/>
        </w:rPr>
        <w:t>2</w:t>
      </w:r>
      <w:r w:rsidRPr="00C208E4">
        <w:t>volt a kezelt betegek esetén.</w:t>
      </w:r>
    </w:p>
    <w:p w14:paraId="53F638D7" w14:textId="77777777" w:rsidR="005B1144" w:rsidRPr="00C208E4" w:rsidRDefault="005B1144" w:rsidP="00C208E4">
      <w:pPr>
        <w:pStyle w:val="Szvegtrzs"/>
      </w:pPr>
    </w:p>
    <w:p w14:paraId="53F638D8" w14:textId="00FC1173" w:rsidR="005B1144" w:rsidRPr="00C208E4" w:rsidRDefault="0070285B" w:rsidP="00C208E4">
      <w:pPr>
        <w:pStyle w:val="Szvegtrzs"/>
      </w:pPr>
      <w:r w:rsidRPr="00C208E4">
        <w:t xml:space="preserve">Fontos a vesefunkció meghatározása a kezelés megkezdése előtt, és rendszeres </w:t>
      </w:r>
      <w:r w:rsidR="001F598A">
        <w:t>monitorozása</w:t>
      </w:r>
      <w:r w:rsidR="001F598A" w:rsidRPr="00C208E4">
        <w:t xml:space="preserve"> </w:t>
      </w:r>
      <w:r w:rsidRPr="00C208E4">
        <w:t xml:space="preserve">a bozutinib-kezelés közben, különös tekintettel azokra a betegekre, akiknél már eleve </w:t>
      </w:r>
      <w:r w:rsidR="001F598A">
        <w:t>vesekárosodás áll fenn</w:t>
      </w:r>
      <w:r w:rsidRPr="00C208E4">
        <w:t>, vagy akiknél veseműködési zavarra hajlamosító kockázati tényezők állnak fenn, többek között az esetleg nephrotoxicitást kifejtő gyógyszerek, így a diuretikumok, az angiotenzin-konvertáló enzim- (ACE) gátlók, az angiotenzin-receptor-blokkolók és a nem</w:t>
      </w:r>
      <w:r w:rsidR="002A01D5" w:rsidRPr="00C208E4">
        <w:t>-</w:t>
      </w:r>
      <w:r w:rsidRPr="00C208E4">
        <w:t>szteroid gyulladáscsökkentők (NSAID-szerek) egyidejű alkalmazása.</w:t>
      </w:r>
    </w:p>
    <w:p w14:paraId="53F638D9" w14:textId="77777777" w:rsidR="005B1144" w:rsidRPr="00C208E4" w:rsidRDefault="005B1144" w:rsidP="00C208E4">
      <w:pPr>
        <w:pStyle w:val="Szvegtrzs"/>
      </w:pPr>
    </w:p>
    <w:p w14:paraId="53F638DA" w14:textId="77777777" w:rsidR="005B1144" w:rsidRPr="00C208E4" w:rsidRDefault="0070285B" w:rsidP="00C208E4">
      <w:pPr>
        <w:pStyle w:val="Szvegtrzs"/>
      </w:pPr>
      <w:r w:rsidRPr="00C208E4">
        <w:t>Egy, vesekárosodásban szenvedő betegeket tanulmányozó vizsgálatban megállapították, hogy a közepesen súlyos vagy súlyosan károsodott vesefunkciójú betegeknél fokozott a bozutinib-expozíció. A közepesen súlyos vagy súlyos vesekárosodásban szenvedő betegeknél javasolt a dózis csökkentése (lásd 4.2 és 5.2 pont).</w:t>
      </w:r>
    </w:p>
    <w:p w14:paraId="53F638DB" w14:textId="77777777" w:rsidR="005B1144" w:rsidRPr="00C208E4" w:rsidRDefault="005B1144" w:rsidP="00C208E4">
      <w:pPr>
        <w:pStyle w:val="Szvegtrzs"/>
      </w:pPr>
    </w:p>
    <w:p w14:paraId="53F638DC" w14:textId="77777777" w:rsidR="005B1144" w:rsidRPr="00C208E4" w:rsidRDefault="0070285B" w:rsidP="00C208E4">
      <w:pPr>
        <w:pStyle w:val="Szvegtrzs"/>
      </w:pPr>
      <w:r w:rsidRPr="00C208E4">
        <w:t>Az ULN 1,5-szeresénél nagyobb szérum-kreatininszintű betegeket kizárták a CML-vizsgálatokból. Egy populációs farmakokinetikai analízis alapján a kezelés kezdetekor közepesen súlyos vagy súlyos vesekárosodásban szenvedő betegeknél emelkedett az expozíció (AUC) (lásd 4.2 és 5.2 pont).</w:t>
      </w:r>
    </w:p>
    <w:p w14:paraId="53F638DD" w14:textId="77777777" w:rsidR="005B1144" w:rsidRPr="00C208E4" w:rsidRDefault="005B1144" w:rsidP="00C208E4">
      <w:pPr>
        <w:pStyle w:val="Szvegtrzs"/>
      </w:pPr>
    </w:p>
    <w:p w14:paraId="53F638DE" w14:textId="613615CF" w:rsidR="005B1144" w:rsidRPr="00C208E4" w:rsidRDefault="0070285B" w:rsidP="00C208E4">
      <w:pPr>
        <w:pStyle w:val="Szvegtrzs"/>
      </w:pPr>
      <w:r w:rsidRPr="00C208E4">
        <w:t>A CML-es, közepesen súlyos vesekárosodásban szenvedő betegek esetében a növelt dózisú, napi 600</w:t>
      </w:r>
      <w:r w:rsidR="003B69DB">
        <w:t> </w:t>
      </w:r>
      <w:r w:rsidRPr="00C208E4">
        <w:t>mg bozutinibbel való kezelésről korlátozott mennyiségű klinikai adat (n = 3) áll rendelkezésre.</w:t>
      </w:r>
    </w:p>
    <w:p w14:paraId="53F638DF" w14:textId="77777777" w:rsidR="005B1144" w:rsidRPr="00C208E4" w:rsidRDefault="005B1144" w:rsidP="00C208E4">
      <w:pPr>
        <w:pStyle w:val="Szvegtrzs"/>
      </w:pPr>
    </w:p>
    <w:p w14:paraId="53F638E0" w14:textId="77777777" w:rsidR="005B1144" w:rsidRPr="00C208E4" w:rsidRDefault="0070285B" w:rsidP="00C208E4">
      <w:pPr>
        <w:pStyle w:val="Szvegtrzs"/>
      </w:pPr>
      <w:r w:rsidRPr="00C208E4">
        <w:rPr>
          <w:u w:val="single"/>
        </w:rPr>
        <w:t>Ázsiai rassz</w:t>
      </w:r>
    </w:p>
    <w:p w14:paraId="53F638E1" w14:textId="318C764E" w:rsidR="005B1144" w:rsidRPr="00C208E4" w:rsidRDefault="0070285B" w:rsidP="00C208E4">
      <w:pPr>
        <w:pStyle w:val="Szvegtrzs"/>
      </w:pPr>
      <w:r w:rsidRPr="00C208E4">
        <w:t>A populációs farmakokinetikai analízisek alapján az ázsiai betegek alacsonyabb clearan</w:t>
      </w:r>
      <w:r w:rsidR="001F598A">
        <w:t>ce-ér</w:t>
      </w:r>
      <w:r w:rsidRPr="00C208E4">
        <w:t xml:space="preserve">téket mutattak, </w:t>
      </w:r>
      <w:r w:rsidR="001F598A">
        <w:t xml:space="preserve">amely </w:t>
      </w:r>
      <w:r w:rsidRPr="00C208E4">
        <w:t>megnövekedett expozíciót eredményezett. Ezért ezeket a betegeket a mellékhatások miatt szoros</w:t>
      </w:r>
      <w:r w:rsidR="001F598A">
        <w:t>an monitorozni</w:t>
      </w:r>
      <w:r w:rsidRPr="00C208E4">
        <w:t xml:space="preserve"> kell, különösen dózisnövelés esetén.</w:t>
      </w:r>
    </w:p>
    <w:p w14:paraId="53F638E2" w14:textId="77777777" w:rsidR="005B1144" w:rsidRPr="00C208E4" w:rsidRDefault="005B1144" w:rsidP="00C208E4">
      <w:pPr>
        <w:pStyle w:val="Szvegtrzs"/>
      </w:pPr>
    </w:p>
    <w:p w14:paraId="53F638E3" w14:textId="77777777" w:rsidR="005B1144" w:rsidRPr="00C208E4" w:rsidRDefault="0070285B" w:rsidP="00C208E4">
      <w:pPr>
        <w:pStyle w:val="Szvegtrzs"/>
      </w:pPr>
      <w:r w:rsidRPr="00C208E4">
        <w:rPr>
          <w:u w:val="single"/>
        </w:rPr>
        <w:t>Súlyos bőrreakciók</w:t>
      </w:r>
    </w:p>
    <w:p w14:paraId="53F638E4" w14:textId="636C4992" w:rsidR="005B1144" w:rsidRPr="00C208E4" w:rsidRDefault="0070285B" w:rsidP="00C208E4">
      <w:pPr>
        <w:pStyle w:val="Szvegtrzs"/>
      </w:pPr>
      <w:r w:rsidRPr="00C208E4">
        <w:t>A bozutinib súlyos bőrreakciókat, p</w:t>
      </w:r>
      <w:r w:rsidR="00A95BD5" w:rsidRPr="00C208E4">
        <w:t>l.</w:t>
      </w:r>
      <w:r w:rsidRPr="00C208E4">
        <w:t xml:space="preserve"> Stevens–Johnson-szindrómát és toxicus epidermalis necrolysist okozhat. A bozutinib alkalmazását végleg abba kell hagyni azoknál a betegeknél, akiknél súlyos bőrreakciót tapasztalnak a kezelés alatt.</w:t>
      </w:r>
    </w:p>
    <w:p w14:paraId="53F638E5" w14:textId="77777777" w:rsidR="005B1144" w:rsidRPr="00C208E4" w:rsidRDefault="005B1144" w:rsidP="00C208E4">
      <w:pPr>
        <w:pStyle w:val="Szvegtrzs"/>
      </w:pPr>
    </w:p>
    <w:p w14:paraId="53F638E6" w14:textId="77777777" w:rsidR="005B1144" w:rsidRPr="00C208E4" w:rsidRDefault="0070285B" w:rsidP="00C208E4">
      <w:pPr>
        <w:pStyle w:val="Szvegtrzs"/>
      </w:pPr>
      <w:r w:rsidRPr="00C208E4">
        <w:rPr>
          <w:u w:val="single"/>
        </w:rPr>
        <w:t>Tumorlízis-szindróma</w:t>
      </w:r>
    </w:p>
    <w:p w14:paraId="53F638E8" w14:textId="4AC05DF1" w:rsidR="005B1144" w:rsidRPr="00C208E4" w:rsidRDefault="0070285B" w:rsidP="00C208E4">
      <w:pPr>
        <w:pStyle w:val="Szvegtrzs"/>
      </w:pPr>
      <w:r w:rsidRPr="00C208E4">
        <w:t>A tumorlízis-szindróma (TLS) lehetséges előfordulása miatt a bozutinib-kezelés megkezdése előtt javasolt a klinikailag jelentős dehidratáltság megszüntetése, és a magas húgysavszint kezelése (lásd</w:t>
      </w:r>
      <w:r w:rsidR="00FA3158" w:rsidRPr="00C208E4">
        <w:t xml:space="preserve"> </w:t>
      </w:r>
      <w:r w:rsidRPr="00C208E4">
        <w:t>4.8 pont).</w:t>
      </w:r>
    </w:p>
    <w:p w14:paraId="2520E32F" w14:textId="77777777" w:rsidR="00CA3D18" w:rsidRPr="00C208E4" w:rsidRDefault="00CA3D18" w:rsidP="00C208E4"/>
    <w:p w14:paraId="53F638EA" w14:textId="77777777" w:rsidR="005B1144" w:rsidRPr="00C208E4" w:rsidRDefault="0070285B" w:rsidP="00C208E4">
      <w:pPr>
        <w:pStyle w:val="Szvegtrzs"/>
      </w:pPr>
      <w:r w:rsidRPr="00C208E4">
        <w:rPr>
          <w:u w:val="single"/>
        </w:rPr>
        <w:t>Hepatitis B-reaktiváció</w:t>
      </w:r>
    </w:p>
    <w:p w14:paraId="53F638EB" w14:textId="1D72730A" w:rsidR="005B1144" w:rsidRPr="00C208E4" w:rsidRDefault="0070285B" w:rsidP="00C208E4">
      <w:pPr>
        <w:pStyle w:val="Szvegtrzs"/>
      </w:pPr>
      <w:r w:rsidRPr="00C208E4">
        <w:t xml:space="preserve">A hepatitis B reaktivációja fordult elő a krónikus vírushordozó betegeknél, miután ezek a betegek BCR-ABL TKI-t kaptak. Egyes esetekben akut májelégtelenség vagy fulmináns hepatitis alakult ki, </w:t>
      </w:r>
      <w:r w:rsidR="001F598A">
        <w:t>amely</w:t>
      </w:r>
      <w:r w:rsidR="001F598A" w:rsidRPr="00C208E4">
        <w:t xml:space="preserve"> </w:t>
      </w:r>
      <w:r w:rsidRPr="00C208E4">
        <w:t>májtranszplantációhoz vagy halálos kimenetelhez vezetett.</w:t>
      </w:r>
    </w:p>
    <w:p w14:paraId="53F638EC" w14:textId="77777777" w:rsidR="005B1144" w:rsidRPr="00C208E4" w:rsidRDefault="005B1144" w:rsidP="00C208E4">
      <w:pPr>
        <w:pStyle w:val="Szvegtrzs"/>
      </w:pPr>
    </w:p>
    <w:p w14:paraId="53F638ED" w14:textId="4AB40652" w:rsidR="005B1144" w:rsidRPr="00C208E4" w:rsidRDefault="0070285B" w:rsidP="00C208E4">
      <w:pPr>
        <w:pStyle w:val="Szvegtrzs"/>
      </w:pPr>
      <w:r w:rsidRPr="00C208E4">
        <w:t>A bozutinib-kezelés megkezdése előtt a betegeknél a HBV-fertőzöttség kivizsgálására van szükség. A májbetegségek és a HBV-kezelés szakértőivel kell konzultálni a kezelés megkezdése előtt a poz</w:t>
      </w:r>
      <w:r w:rsidR="00BA1EA5" w:rsidRPr="00C208E4">
        <w:t>i</w:t>
      </w:r>
      <w:r w:rsidRPr="00C208E4">
        <w:t xml:space="preserve">tív HBV szerológiájú betegeknél (beleértve az aktív betegséget is), valamint olyan betegek esetében, akiknél a kezelés közben derül ki a HBV-fertőzés. A bozutinib-kezelést igénylő HBV-hordozókat szorosan </w:t>
      </w:r>
      <w:r w:rsidR="001F598A">
        <w:t>monitorozni</w:t>
      </w:r>
      <w:r w:rsidR="001F598A" w:rsidRPr="00C208E4">
        <w:t xml:space="preserve"> </w:t>
      </w:r>
      <w:r w:rsidRPr="00C208E4">
        <w:t>kell a kezelés közben, valamint a kezelés befejezését követően több hónapon keresztül, hogy nem alakulnak-e ki az aktív HBV-fertőzés jelei és tünetei (lásd 4.8 pont).</w:t>
      </w:r>
    </w:p>
    <w:p w14:paraId="53F638EE" w14:textId="77777777" w:rsidR="005B1144" w:rsidRPr="00C208E4" w:rsidRDefault="005B1144" w:rsidP="00C208E4">
      <w:pPr>
        <w:pStyle w:val="Szvegtrzs"/>
      </w:pPr>
    </w:p>
    <w:p w14:paraId="53F638EF" w14:textId="77777777" w:rsidR="005B1144" w:rsidRPr="00C208E4" w:rsidRDefault="0070285B" w:rsidP="00C208E4">
      <w:pPr>
        <w:pStyle w:val="Szvegtrzs"/>
      </w:pPr>
      <w:r w:rsidRPr="00C208E4">
        <w:rPr>
          <w:u w:val="single"/>
        </w:rPr>
        <w:t>Fotoszenzitivitás</w:t>
      </w:r>
    </w:p>
    <w:p w14:paraId="53F638F0" w14:textId="460D072A" w:rsidR="005B1144" w:rsidRPr="00C208E4" w:rsidRDefault="0070285B" w:rsidP="00C208E4">
      <w:pPr>
        <w:pStyle w:val="Szvegtrzs"/>
      </w:pPr>
      <w:r w:rsidRPr="00C208E4">
        <w:t xml:space="preserve">Kerülni kell vagy </w:t>
      </w:r>
      <w:r w:rsidR="00BA1EA5" w:rsidRPr="00C208E4">
        <w:t>minimálisra</w:t>
      </w:r>
      <w:r w:rsidRPr="00C208E4">
        <w:t xml:space="preserve"> kell csökkenteni a közvetlen napfény és UV-sugárzás hatását a bozutinib-kezeléshez kapcsolódó fotoszenzi</w:t>
      </w:r>
      <w:r w:rsidR="00BA1EA5" w:rsidRPr="00C208E4">
        <w:t>ti</w:t>
      </w:r>
      <w:r w:rsidRPr="00C208E4">
        <w:t>vitási kockázat miatt. A betegek figyelmét fel kell hívni a védekezésre, például a megfelelő ruházat viselésére és magas (SPF) faktorszámú fényvédő használatára.</w:t>
      </w:r>
    </w:p>
    <w:p w14:paraId="53F638F1" w14:textId="77777777" w:rsidR="005B1144" w:rsidRPr="00C208E4" w:rsidRDefault="005B1144" w:rsidP="00C208E4">
      <w:pPr>
        <w:pStyle w:val="Szvegtrzs"/>
      </w:pPr>
    </w:p>
    <w:p w14:paraId="53F638F2" w14:textId="77777777" w:rsidR="005B1144" w:rsidRPr="00C208E4" w:rsidRDefault="0070285B" w:rsidP="00C208E4">
      <w:pPr>
        <w:pStyle w:val="Szvegtrzs"/>
      </w:pPr>
      <w:r w:rsidRPr="00C208E4">
        <w:rPr>
          <w:u w:val="single"/>
        </w:rPr>
        <w:t>Citokróm P450 (CYP)3A-gátlók</w:t>
      </w:r>
    </w:p>
    <w:p w14:paraId="53F638F3" w14:textId="776360C3" w:rsidR="005B1144" w:rsidRPr="00C208E4" w:rsidRDefault="0070285B" w:rsidP="00C208E4">
      <w:pPr>
        <w:pStyle w:val="Szvegtrzs"/>
      </w:pPr>
      <w:r w:rsidRPr="00C208E4">
        <w:t xml:space="preserve">Kerülni kell a bozutinib egyidejű alkalmazását erős, </w:t>
      </w:r>
      <w:r w:rsidR="00601929">
        <w:t>ill.</w:t>
      </w:r>
      <w:r w:rsidRPr="00C208E4">
        <w:t xml:space="preserve"> közepesen erős CYP3A-gátlókkal, mert a bozutinib plazmakoncentrációjának emelkedése fog bekövetkezni (lásd 4.5 pont).</w:t>
      </w:r>
    </w:p>
    <w:p w14:paraId="53F638F4" w14:textId="77777777" w:rsidR="005B1144" w:rsidRPr="00C208E4" w:rsidRDefault="005B1144" w:rsidP="00C208E4">
      <w:pPr>
        <w:pStyle w:val="Szvegtrzs"/>
      </w:pPr>
    </w:p>
    <w:p w14:paraId="53F638F5" w14:textId="3A840509" w:rsidR="005B1144" w:rsidRPr="00C208E4" w:rsidRDefault="0070285B" w:rsidP="00C208E4">
      <w:pPr>
        <w:pStyle w:val="Szvegtrzs"/>
      </w:pPr>
      <w:r w:rsidRPr="00C208E4">
        <w:t xml:space="preserve">Ha lehetséges, ajánlott olyan egyidejűleg alkalmazott </w:t>
      </w:r>
      <w:r w:rsidR="001F598A">
        <w:t xml:space="preserve">másik megfelelő </w:t>
      </w:r>
      <w:r w:rsidRPr="00C208E4">
        <w:t>gyógyszer kiválasztása, amelynek nincs vagy csak minimális a CYP3A-gátló potenciálja.</w:t>
      </w:r>
    </w:p>
    <w:p w14:paraId="53F638F6" w14:textId="77777777" w:rsidR="005B1144" w:rsidRPr="00C208E4" w:rsidRDefault="005B1144" w:rsidP="00C208E4">
      <w:pPr>
        <w:pStyle w:val="Szvegtrzs"/>
      </w:pPr>
    </w:p>
    <w:p w14:paraId="53F638F7" w14:textId="4A872F84" w:rsidR="005B1144" w:rsidRPr="00C208E4" w:rsidRDefault="0070285B" w:rsidP="00C208E4">
      <w:pPr>
        <w:pStyle w:val="Szvegtrzs"/>
      </w:pPr>
      <w:r w:rsidRPr="00C208E4">
        <w:t>Ha a bozutinib-kezelés során erős vagy közepesen erős CYP3A-gátló alkalmazása szükséges, mérlegelni kell a bozutinib-terápia megszakítását vagy a dózis csökkentését.</w:t>
      </w:r>
    </w:p>
    <w:p w14:paraId="53F638F8" w14:textId="77777777" w:rsidR="005B1144" w:rsidRPr="00C208E4" w:rsidRDefault="005B1144" w:rsidP="00C208E4">
      <w:pPr>
        <w:pStyle w:val="Szvegtrzs"/>
      </w:pPr>
    </w:p>
    <w:p w14:paraId="53F638F9" w14:textId="77777777" w:rsidR="005B1144" w:rsidRPr="00C208E4" w:rsidRDefault="0070285B" w:rsidP="00C208E4">
      <w:pPr>
        <w:pStyle w:val="Szvegtrzs"/>
      </w:pPr>
      <w:r w:rsidRPr="00C208E4">
        <w:rPr>
          <w:u w:val="single"/>
        </w:rPr>
        <w:t>CYP3A-induktorok</w:t>
      </w:r>
    </w:p>
    <w:p w14:paraId="53F638FA" w14:textId="77777777" w:rsidR="005B1144" w:rsidRPr="00C208E4" w:rsidRDefault="0070285B" w:rsidP="00C208E4">
      <w:pPr>
        <w:pStyle w:val="Szvegtrzs"/>
      </w:pPr>
      <w:r w:rsidRPr="00C208E4">
        <w:t>Kerülni kell a bozutinib egyidejű alkalmazását erős vagy közepesen erős CYP3A-induktorokkal, mert a bozutinib plazmakoncentrációjának csökkenése fog bekövetkezni (lásd 4.5 pont).</w:t>
      </w:r>
    </w:p>
    <w:p w14:paraId="53F638FB" w14:textId="77777777" w:rsidR="005B1144" w:rsidRPr="00C208E4" w:rsidRDefault="005B1144" w:rsidP="00C208E4">
      <w:pPr>
        <w:pStyle w:val="Szvegtrzs"/>
      </w:pPr>
    </w:p>
    <w:p w14:paraId="53F638FC" w14:textId="77777777" w:rsidR="005B1144" w:rsidRPr="00C208E4" w:rsidRDefault="0070285B" w:rsidP="00C208E4">
      <w:pPr>
        <w:pStyle w:val="Szvegtrzs"/>
      </w:pPr>
      <w:r w:rsidRPr="00C208E4">
        <w:rPr>
          <w:u w:val="single"/>
        </w:rPr>
        <w:t>Élelmiszerek hatása</w:t>
      </w:r>
    </w:p>
    <w:p w14:paraId="53F638FD" w14:textId="77777777" w:rsidR="005B1144" w:rsidRPr="00C208E4" w:rsidRDefault="0070285B" w:rsidP="00C208E4">
      <w:pPr>
        <w:pStyle w:val="Szvegtrzs"/>
      </w:pPr>
      <w:r w:rsidRPr="00C208E4">
        <w:t>Kerülni kell a grépfrútot tartalmazó termékeket, köztük a grépfrútlét és egyéb élelmiszereket, amelyek ismerten gátolják a CYP3A-t (lásd 4.5 pont).</w:t>
      </w:r>
    </w:p>
    <w:p w14:paraId="53F638FE" w14:textId="77777777" w:rsidR="005B1144" w:rsidRPr="00C208E4" w:rsidRDefault="005B1144" w:rsidP="00C208E4">
      <w:pPr>
        <w:pStyle w:val="Szvegtrzs"/>
      </w:pPr>
    </w:p>
    <w:p w14:paraId="53F638FF" w14:textId="77777777" w:rsidR="005B1144" w:rsidRPr="00C208E4" w:rsidRDefault="0070285B" w:rsidP="00C208E4">
      <w:pPr>
        <w:pStyle w:val="Szvegtrzs"/>
      </w:pPr>
      <w:r w:rsidRPr="00C208E4">
        <w:rPr>
          <w:u w:val="single"/>
        </w:rPr>
        <w:t>Étrendi nátrium</w:t>
      </w:r>
    </w:p>
    <w:p w14:paraId="53F63901" w14:textId="0E9A651D" w:rsidR="005B1144" w:rsidRPr="00C208E4" w:rsidRDefault="0070285B" w:rsidP="00C208E4">
      <w:pPr>
        <w:pStyle w:val="Szvegtrzs"/>
      </w:pPr>
      <w:r w:rsidRPr="00C208E4">
        <w:t>Ez a gyógyszer kevesebb mint 1 mmol (23 mg) nátriumot tartalmaz 100 mg-os vagy</w:t>
      </w:r>
      <w:r w:rsidR="001027F5" w:rsidRPr="00C208E4">
        <w:t xml:space="preserve"> </w:t>
      </w:r>
      <w:r w:rsidRPr="00C208E4">
        <w:t>500 mg-os tablettánként. Az alacsony nátriumtartalmú diétán lévő betegeket tájékoztatni kell, hogy a készítmény gyakorlatilag „nátriummentes”.</w:t>
      </w:r>
    </w:p>
    <w:p w14:paraId="53F63902" w14:textId="77777777" w:rsidR="005B1144" w:rsidRPr="00C208E4" w:rsidRDefault="005B1144" w:rsidP="00C208E4">
      <w:pPr>
        <w:pStyle w:val="Szvegtrzs"/>
      </w:pPr>
    </w:p>
    <w:p w14:paraId="53F63903" w14:textId="77777777" w:rsidR="005B1144" w:rsidRPr="00C208E4" w:rsidRDefault="0070285B" w:rsidP="00C208E4">
      <w:pPr>
        <w:pStyle w:val="Cmsor2"/>
        <w:numPr>
          <w:ilvl w:val="1"/>
          <w:numId w:val="16"/>
        </w:numPr>
        <w:tabs>
          <w:tab w:val="left" w:pos="1242"/>
          <w:tab w:val="left" w:pos="1243"/>
        </w:tabs>
        <w:ind w:left="567"/>
      </w:pPr>
      <w:r w:rsidRPr="00C208E4">
        <w:t>Gyógyszerkölcsönhatások és egyéb interakciók</w:t>
      </w:r>
    </w:p>
    <w:p w14:paraId="53F63904" w14:textId="77777777" w:rsidR="005B1144" w:rsidRPr="00C208E4" w:rsidRDefault="005B1144" w:rsidP="00C208E4">
      <w:pPr>
        <w:pStyle w:val="Szvegtrzs"/>
        <w:rPr>
          <w:b/>
        </w:rPr>
      </w:pPr>
    </w:p>
    <w:p w14:paraId="53F63905" w14:textId="77777777" w:rsidR="005B1144" w:rsidRPr="00C208E4" w:rsidRDefault="0070285B" w:rsidP="00C208E4">
      <w:pPr>
        <w:pStyle w:val="Szvegtrzs"/>
      </w:pPr>
      <w:r w:rsidRPr="00C208E4">
        <w:rPr>
          <w:u w:val="single"/>
        </w:rPr>
        <w:t>Egyéb gyógyszerek hatása a bozutinibre</w:t>
      </w:r>
    </w:p>
    <w:p w14:paraId="53F63906" w14:textId="77777777" w:rsidR="005B1144" w:rsidRPr="00C208E4" w:rsidRDefault="0070285B" w:rsidP="00C208E4">
      <w:pPr>
        <w:rPr>
          <w:i/>
        </w:rPr>
      </w:pPr>
      <w:r w:rsidRPr="00C208E4">
        <w:rPr>
          <w:i/>
        </w:rPr>
        <w:t>CYP3A-gátlók</w:t>
      </w:r>
    </w:p>
    <w:p w14:paraId="53F63907" w14:textId="77777777" w:rsidR="005B1144" w:rsidRPr="00C208E4" w:rsidRDefault="0070285B" w:rsidP="00C208E4">
      <w:pPr>
        <w:pStyle w:val="Szvegtrzs"/>
      </w:pPr>
      <w:r w:rsidRPr="00C208E4">
        <w:t>Kerülni kell a bozutinib egyidejű alkalmazását erős CYP3A-gátlókkal (beleértve, de nem kizárólagosan a következőket: itrakonazol, ketokonazol, pozakonazol, vorikonazol, klaritromicin, telitromicin, nefazodon, mibefradil, indinavir, lopinavir/ritonavir, nelfinavir, ritonavir, szakvinavir, boceprevir, telaprevir, grépfrút-tartalmú termékek, beleértve a grépfrútlét is), vagy közepesen erős CYP3A-gátlókkal (beleértve, de nem kizárólagosan a következőket: flukonazol, ciprofloxacin, eritromicin, diltiazem, verapamil, amprenavir, atazanavir, darunavir/ritonavir, fozamprenavir, aprepitant, krizotinib, imatinib), mert a bozutinib plazmakoncentrációjának emelkedése fog bekövetkezni.</w:t>
      </w:r>
    </w:p>
    <w:p w14:paraId="53F63908" w14:textId="77777777" w:rsidR="005B1144" w:rsidRPr="00C208E4" w:rsidRDefault="005B1144" w:rsidP="00C208E4">
      <w:pPr>
        <w:pStyle w:val="Szvegtrzs"/>
      </w:pPr>
    </w:p>
    <w:p w14:paraId="53F63909" w14:textId="77777777" w:rsidR="005B1144" w:rsidRPr="00C208E4" w:rsidRDefault="0070285B" w:rsidP="00C208E4">
      <w:pPr>
        <w:pStyle w:val="Szvegtrzs"/>
      </w:pPr>
      <w:r w:rsidRPr="00C208E4">
        <w:t>A gyenge CYP3A-gátlók és a bozutinib egyidejű alkalmazása esetén óvatosság szükséges.</w:t>
      </w:r>
    </w:p>
    <w:p w14:paraId="5D00BE3B" w14:textId="77777777" w:rsidR="00657011" w:rsidRPr="00C208E4" w:rsidRDefault="00657011" w:rsidP="00C208E4"/>
    <w:p w14:paraId="53F6390B" w14:textId="75C20F32" w:rsidR="005B1144" w:rsidRPr="00C208E4" w:rsidRDefault="0070285B" w:rsidP="00C208E4">
      <w:pPr>
        <w:pStyle w:val="Szvegtrzs"/>
      </w:pPr>
      <w:r w:rsidRPr="00C208E4">
        <w:t xml:space="preserve">Ha lehetséges, akkor gyenge vagy CYP3A-gátló hatással nem rendelkező, egyidejűleg alkalmazott </w:t>
      </w:r>
      <w:r w:rsidR="001F598A">
        <w:t xml:space="preserve">másik megfelelő </w:t>
      </w:r>
      <w:r w:rsidRPr="00C208E4">
        <w:t>gyógyszer választása ajánlott.</w:t>
      </w:r>
    </w:p>
    <w:p w14:paraId="53F6390C" w14:textId="77777777" w:rsidR="005B1144" w:rsidRPr="00C208E4" w:rsidRDefault="005B1144" w:rsidP="00C208E4">
      <w:pPr>
        <w:pStyle w:val="Szvegtrzs"/>
      </w:pPr>
    </w:p>
    <w:p w14:paraId="53F6390D" w14:textId="3C43A612" w:rsidR="005B1144" w:rsidRPr="00C208E4" w:rsidRDefault="0070285B" w:rsidP="00C208E4">
      <w:pPr>
        <w:pStyle w:val="Szvegtrzs"/>
      </w:pPr>
      <w:r w:rsidRPr="00C208E4">
        <w:t xml:space="preserve">Ha a bozutinib-kezelés során erős vagy közepesen erős CYP3A-gátló alkalmazása szükséges, mérlegelni kell a bozutinib-terápia megszakítását vagy a </w:t>
      </w:r>
      <w:r w:rsidR="006B2927" w:rsidRPr="00C208E4">
        <w:t>Bosutinib Onkogen</w:t>
      </w:r>
      <w:r w:rsidRPr="00C208E4">
        <w:t xml:space="preserve"> dózisának csökkentését.</w:t>
      </w:r>
    </w:p>
    <w:p w14:paraId="53F6390E" w14:textId="77777777" w:rsidR="005B1144" w:rsidRPr="00C208E4" w:rsidRDefault="005B1144" w:rsidP="00C208E4">
      <w:pPr>
        <w:pStyle w:val="Szvegtrzs"/>
      </w:pPr>
    </w:p>
    <w:p w14:paraId="53F6390F" w14:textId="65CBAAD3" w:rsidR="005B1144" w:rsidRPr="00C208E4" w:rsidRDefault="0070285B" w:rsidP="00C208E4">
      <w:pPr>
        <w:pStyle w:val="Szvegtrzs"/>
      </w:pPr>
      <w:r w:rsidRPr="00C208E4">
        <w:t>Egy, 24 egészséges alan</w:t>
      </w:r>
      <w:r w:rsidR="001F598A">
        <w:t>n</w:t>
      </w:r>
      <w:r w:rsidRPr="00C208E4">
        <w:t>y</w:t>
      </w:r>
      <w:r w:rsidR="001F598A">
        <w:t>al</w:t>
      </w:r>
      <w:r w:rsidRPr="00C208E4">
        <w:t xml:space="preserve"> végzett vizsgálatban, akiknek éhgyomorra naponta ötször 400 mg ketokonazol (erős CYP3A-gátló) dózist adtak egyidejűleg egyszeri 100 mg bozutinibbel, a ketokonazol az önmagában adott bozutinibhez képest a bozutinib C</w:t>
      </w:r>
      <w:r w:rsidR="001F598A" w:rsidRPr="001F598A">
        <w:rPr>
          <w:vertAlign w:val="subscript"/>
        </w:rPr>
        <w:t>max</w:t>
      </w:r>
      <w:r w:rsidRPr="00C208E4">
        <w:t>-értékét 5,2-szeresére, míg plazma AUC-értékét 8,6-szeresére növelte.</w:t>
      </w:r>
    </w:p>
    <w:p w14:paraId="53F63910" w14:textId="77777777" w:rsidR="005B1144" w:rsidRPr="00C208E4" w:rsidRDefault="005B1144" w:rsidP="00C208E4">
      <w:pPr>
        <w:pStyle w:val="Szvegtrzs"/>
      </w:pPr>
    </w:p>
    <w:p w14:paraId="53F63911" w14:textId="51654DE6" w:rsidR="005B1144" w:rsidRPr="00C208E4" w:rsidRDefault="0070285B" w:rsidP="00C208E4">
      <w:pPr>
        <w:pStyle w:val="Szvegtrzs"/>
      </w:pPr>
      <w:r w:rsidRPr="00C208E4">
        <w:t>Egy, 20, egészséges vizsgálati alannyal végzett vizsgálatban, akiknek étkezés után egyszeri 125 mg aprepitant (közepesen erős CYP3A-gátló) dózist adtak egyidejűleg egyszeri 500 mg bozutinibbel, az aprepitant az önmagában adott bozutinibhez képest a bozutinib C</w:t>
      </w:r>
      <w:r w:rsidR="001F598A" w:rsidRPr="001F598A">
        <w:rPr>
          <w:vertAlign w:val="subscript"/>
        </w:rPr>
        <w:t>max</w:t>
      </w:r>
      <w:r w:rsidRPr="00C208E4">
        <w:t>-értékét 1,5-szeresére, míg plazma AUC-értékét 2,0-szeresére növelte.</w:t>
      </w:r>
    </w:p>
    <w:p w14:paraId="53F63912" w14:textId="77777777" w:rsidR="005B1144" w:rsidRPr="00C208E4" w:rsidRDefault="005B1144" w:rsidP="00C208E4">
      <w:pPr>
        <w:pStyle w:val="Szvegtrzs"/>
      </w:pPr>
    </w:p>
    <w:p w14:paraId="53F63913" w14:textId="77777777" w:rsidR="005B1144" w:rsidRPr="00C208E4" w:rsidRDefault="0070285B" w:rsidP="00C208E4">
      <w:pPr>
        <w:rPr>
          <w:i/>
        </w:rPr>
      </w:pPr>
      <w:r w:rsidRPr="00C208E4">
        <w:rPr>
          <w:i/>
        </w:rPr>
        <w:t>CYP3A-induktorok</w:t>
      </w:r>
    </w:p>
    <w:p w14:paraId="53F63914" w14:textId="366A43F3" w:rsidR="005B1144" w:rsidRPr="00C208E4" w:rsidRDefault="0070285B" w:rsidP="00C208E4">
      <w:pPr>
        <w:pStyle w:val="Szvegtrzs"/>
      </w:pPr>
      <w:r w:rsidRPr="00C208E4">
        <w:t xml:space="preserve">Kerülni kell a bozutinib egyidejű alkalmazását erős CYP3A-induktorokkal (beleértve, de nem kizárólagosan a következőket: karbamazepin, fenitoin, rifampicin, </w:t>
      </w:r>
      <w:r w:rsidR="001F598A">
        <w:t>közönséges</w:t>
      </w:r>
      <w:r w:rsidR="001F598A" w:rsidRPr="00C208E4">
        <w:t xml:space="preserve"> </w:t>
      </w:r>
      <w:r w:rsidRPr="00C208E4">
        <w:t>orbáncfű) vagy közepesen erős CYP3A-induktorokkal (beleértve, de nem kizárólagosan a következőket: boszentán, efavirenz, etravirin, modafinil, nafcillin), mert a bozutinib plazmakoncentrációjának csökkenése fog bekövetkezni.</w:t>
      </w:r>
    </w:p>
    <w:p w14:paraId="53F63915" w14:textId="77777777" w:rsidR="005B1144" w:rsidRPr="00C208E4" w:rsidRDefault="005B1144" w:rsidP="00C208E4">
      <w:pPr>
        <w:pStyle w:val="Szvegtrzs"/>
      </w:pPr>
    </w:p>
    <w:p w14:paraId="53F63916" w14:textId="77777777" w:rsidR="005B1144" w:rsidRPr="00C208E4" w:rsidRDefault="0070285B" w:rsidP="00C208E4">
      <w:pPr>
        <w:pStyle w:val="Szvegtrzs"/>
      </w:pPr>
      <w:r w:rsidRPr="00C208E4">
        <w:t>Annak alapján, hogy a bozutinib-expozíció nagymértékű csökkenése következett be a bozutinib és a rifampicin egyidejű alkalmazása esetén, a bozutinib dózisának emelése erős vagy közepesen erős CYP3A-induktorokkal való egyidejű alkalmazás esetén nem valószínű, hogy megfelelő mértékben kompenzálná az expozíció csökkenését.</w:t>
      </w:r>
    </w:p>
    <w:p w14:paraId="53F63917" w14:textId="77777777" w:rsidR="005B1144" w:rsidRPr="00C208E4" w:rsidRDefault="005B1144" w:rsidP="00C208E4">
      <w:pPr>
        <w:pStyle w:val="Szvegtrzs"/>
      </w:pPr>
    </w:p>
    <w:p w14:paraId="53F63918" w14:textId="77777777" w:rsidR="005B1144" w:rsidRPr="00C208E4" w:rsidRDefault="0070285B" w:rsidP="00C208E4">
      <w:pPr>
        <w:pStyle w:val="Szvegtrzs"/>
      </w:pPr>
      <w:r w:rsidRPr="00C208E4">
        <w:t>A gyenge CYP3A-induktorok és a bozutinib egyidejű alkalmazása esetén óvatosság szükséges.</w:t>
      </w:r>
    </w:p>
    <w:p w14:paraId="53F63919" w14:textId="77777777" w:rsidR="005B1144" w:rsidRPr="00C208E4" w:rsidRDefault="005B1144" w:rsidP="00C208E4">
      <w:pPr>
        <w:pStyle w:val="Szvegtrzs"/>
      </w:pPr>
    </w:p>
    <w:p w14:paraId="53F6391A" w14:textId="25BDA17D" w:rsidR="005B1144" w:rsidRPr="00C208E4" w:rsidRDefault="0070285B" w:rsidP="00C208E4">
      <w:pPr>
        <w:pStyle w:val="Szvegtrzs"/>
      </w:pPr>
      <w:r w:rsidRPr="00C208E4">
        <w:t>A bozutinib egyszeri dózisának 600 mg rifampicin 6</w:t>
      </w:r>
      <w:r w:rsidR="00543B4D" w:rsidRPr="00C208E4">
        <w:t xml:space="preserve"> </w:t>
      </w:r>
      <w:r w:rsidRPr="00C208E4">
        <w:t>napi dózisával történt egyidejű alkalmazását követően 24 egészséges alanynál telt gyomorra, a bozutinib expozíció a C</w:t>
      </w:r>
      <w:r w:rsidR="001F598A" w:rsidRPr="001F598A">
        <w:rPr>
          <w:vertAlign w:val="subscript"/>
        </w:rPr>
        <w:t>max</w:t>
      </w:r>
      <w:r w:rsidRPr="00C208E4">
        <w:t xml:space="preserve"> vonatkozásában 14%-kal, míg a plazma AUC vonatkozásában 6%-kal csökkent ahhoz képest, mint amikor 500 mg bozutinibet adtak önmagában.</w:t>
      </w:r>
    </w:p>
    <w:p w14:paraId="53F6391B" w14:textId="77777777" w:rsidR="005B1144" w:rsidRPr="00C208E4" w:rsidRDefault="005B1144" w:rsidP="00C208E4">
      <w:pPr>
        <w:pStyle w:val="Szvegtrzs"/>
      </w:pPr>
    </w:p>
    <w:p w14:paraId="53F6391C" w14:textId="77777777" w:rsidR="005B1144" w:rsidRPr="00C208E4" w:rsidRDefault="0070285B" w:rsidP="00C208E4">
      <w:pPr>
        <w:rPr>
          <w:i/>
        </w:rPr>
      </w:pPr>
      <w:r w:rsidRPr="00C208E4">
        <w:rPr>
          <w:i/>
        </w:rPr>
        <w:t>Protonpumpagátlók (PPI-k)</w:t>
      </w:r>
    </w:p>
    <w:p w14:paraId="53F6391E" w14:textId="2FB6464C" w:rsidR="005B1144" w:rsidRPr="00C208E4" w:rsidRDefault="0070285B" w:rsidP="00C208E4">
      <w:pPr>
        <w:pStyle w:val="Szvegtrzs"/>
      </w:pPr>
      <w:r w:rsidRPr="00C208E4">
        <w:t>A bozutinib és a protonpumpagátlók egyidejű alkalmazása esetén óvatosság szükséges. Rövid hatástartamú antacidok alkalmazását kell mérlegelni a PPI-k alternatívájaként, és</w:t>
      </w:r>
      <w:r w:rsidR="009A5BCA" w:rsidRPr="00C208E4">
        <w:t xml:space="preserve"> -</w:t>
      </w:r>
      <w:r w:rsidRPr="00C208E4">
        <w:t xml:space="preserve"> ha lehetséges</w:t>
      </w:r>
      <w:r w:rsidR="009A5BCA" w:rsidRPr="00C208E4">
        <w:t xml:space="preserve"> -</w:t>
      </w:r>
      <w:r w:rsidRPr="00C208E4">
        <w:t xml:space="preserve"> a bozutinib, valamint az antacidok bevételének időpontjait szét kell választani egymástól (pl. a bozutinib bevételére reggel, míg az antacidokéra este kerüljön sor). A bozutinib </w:t>
      </w:r>
      <w:r w:rsidRPr="00C208E4">
        <w:rPr>
          <w:i/>
        </w:rPr>
        <w:t xml:space="preserve">in vitro </w:t>
      </w:r>
      <w:r w:rsidRPr="00C208E4">
        <w:t>pH-függő kioldódást mutat. Amikor egy 24 egészséges alan</w:t>
      </w:r>
      <w:r w:rsidR="001F598A">
        <w:t>n</w:t>
      </w:r>
      <w:r w:rsidRPr="00C208E4">
        <w:t>y</w:t>
      </w:r>
      <w:r w:rsidR="001F598A">
        <w:t>al</w:t>
      </w:r>
      <w:r w:rsidRPr="00C208E4">
        <w:t xml:space="preserve"> éhgyomorra végzett vizsgálatban a bozutinib egyszeri</w:t>
      </w:r>
      <w:r w:rsidR="00B22645" w:rsidRPr="00C208E4">
        <w:t xml:space="preserve"> </w:t>
      </w:r>
      <w:r w:rsidR="004E0BC2" w:rsidRPr="004E0BC2">
        <w:rPr>
          <w:i/>
        </w:rPr>
        <w:t>per os</w:t>
      </w:r>
      <w:r w:rsidRPr="00C208E4">
        <w:rPr>
          <w:i/>
        </w:rPr>
        <w:t xml:space="preserve"> </w:t>
      </w:r>
      <w:r w:rsidRPr="00C208E4">
        <w:t xml:space="preserve">dózisát (400 mg) adták egyidejűleg lanzoprazol többszöri </w:t>
      </w:r>
      <w:r w:rsidR="004E0BC2" w:rsidRPr="004E0BC2">
        <w:rPr>
          <w:i/>
        </w:rPr>
        <w:t>per os</w:t>
      </w:r>
      <w:r w:rsidRPr="00C208E4">
        <w:rPr>
          <w:i/>
        </w:rPr>
        <w:t xml:space="preserve"> </w:t>
      </w:r>
      <w:r w:rsidRPr="00C208E4">
        <w:t>(60 mg) dózisaival, a bozutinib C</w:t>
      </w:r>
      <w:r w:rsidR="001F598A" w:rsidRPr="001F598A">
        <w:rPr>
          <w:vertAlign w:val="subscript"/>
        </w:rPr>
        <w:t>max</w:t>
      </w:r>
      <w:r w:rsidRPr="00C208E4">
        <w:t>-értéke 54%-kal, míg AUC-értéke 74%-kal csökkent azokhoz az értékekhez képest, amiket a (400 mg) bozutinib önmagában történt alkalmazásakor észleltek.</w:t>
      </w:r>
    </w:p>
    <w:p w14:paraId="53F6391F" w14:textId="77777777" w:rsidR="005B1144" w:rsidRPr="00C208E4" w:rsidRDefault="005B1144" w:rsidP="00C208E4">
      <w:pPr>
        <w:pStyle w:val="Szvegtrzs"/>
      </w:pPr>
    </w:p>
    <w:p w14:paraId="53F63920" w14:textId="77777777" w:rsidR="005B1144" w:rsidRPr="00C208E4" w:rsidRDefault="0070285B" w:rsidP="00C208E4">
      <w:pPr>
        <w:pStyle w:val="Szvegtrzs"/>
      </w:pPr>
      <w:r w:rsidRPr="00C208E4">
        <w:rPr>
          <w:u w:val="single"/>
        </w:rPr>
        <w:t>A bozutinib hatása egyéb gyógyszerekre</w:t>
      </w:r>
    </w:p>
    <w:p w14:paraId="53F63922" w14:textId="7EB3A29A" w:rsidR="005B1144" w:rsidRPr="00C208E4" w:rsidRDefault="0070285B" w:rsidP="00C208E4">
      <w:pPr>
        <w:pStyle w:val="Szvegtrzs"/>
      </w:pPr>
      <w:r w:rsidRPr="00C208E4">
        <w:t>Egy 27 egészséges vizsgálati alannyal végzett vizsgálatban, amelyben étkezés után egyszeri 500 mg bozutinib-dózist adtak egyidejűleg egyszeri 150 mg dabigatrán-etexilát-meziláttal (ez egy</w:t>
      </w:r>
      <w:r w:rsidR="00B22645" w:rsidRPr="00C208E4">
        <w:t xml:space="preserve"> </w:t>
      </w:r>
      <w:r w:rsidRPr="00C208E4">
        <w:t>P-glikoprotein</w:t>
      </w:r>
      <w:r w:rsidR="001F598A">
        <w:t>-</w:t>
      </w:r>
      <w:r w:rsidRPr="00C208E4">
        <w:t xml:space="preserve"> [P-gp]</w:t>
      </w:r>
      <w:r w:rsidR="001F598A">
        <w:t xml:space="preserve"> </w:t>
      </w:r>
      <w:r w:rsidRPr="00C208E4">
        <w:t>szubsztrát), a bozutinib az önmagában adott dabigatrán-etexilát-meziláthoz képest nem növelte a dabigatránnak sem a C</w:t>
      </w:r>
      <w:r w:rsidR="001F598A" w:rsidRPr="001F598A">
        <w:rPr>
          <w:vertAlign w:val="subscript"/>
        </w:rPr>
        <w:t>max</w:t>
      </w:r>
      <w:r w:rsidRPr="00C208E4">
        <w:t>-értékét, sem a plazma AUC-értékét. A vizsgálat eredményei arra utalnak, hogy a bozutinib nem fejt ki klinikailag jelentős P-gp-gátló hatást.</w:t>
      </w:r>
    </w:p>
    <w:p w14:paraId="53F63923" w14:textId="77777777" w:rsidR="005B1144" w:rsidRPr="00C208E4" w:rsidRDefault="005B1144" w:rsidP="00C208E4">
      <w:pPr>
        <w:pStyle w:val="Szvegtrzs"/>
      </w:pPr>
    </w:p>
    <w:p w14:paraId="53F63924" w14:textId="4C71FBB6" w:rsidR="005B1144" w:rsidRPr="00C208E4" w:rsidRDefault="0070285B" w:rsidP="00C208E4">
      <w:pPr>
        <w:pStyle w:val="Szvegtrzs"/>
      </w:pPr>
      <w:r w:rsidRPr="00C208E4">
        <w:t xml:space="preserve">Egy </w:t>
      </w:r>
      <w:r w:rsidRPr="00C208E4">
        <w:rPr>
          <w:i/>
        </w:rPr>
        <w:t xml:space="preserve">in vitro </w:t>
      </w:r>
      <w:r w:rsidRPr="00C208E4">
        <w:t xml:space="preserve">vizsgálat azt mutatta, hogy terápiás dózisok alkalmazása esetén nem valószínű gyógyszerkölcsönhatások előfordulása a bozutinib olyan gyógyszerek metabolizmusára gyakorolt induktor hatása eredményeként, amelyek a CYP1A2, a CYP2B6, a CYP2C9, a CYP2C19, </w:t>
      </w:r>
      <w:r w:rsidR="00601929">
        <w:t>ill.</w:t>
      </w:r>
      <w:r w:rsidRPr="00C208E4">
        <w:t xml:space="preserve"> a CYP3A4 szubsztrátjai.</w:t>
      </w:r>
    </w:p>
    <w:p w14:paraId="75B6864B" w14:textId="77777777" w:rsidR="00AB0DEF" w:rsidRPr="00C208E4" w:rsidRDefault="00AB0DEF" w:rsidP="00C208E4">
      <w:pPr>
        <w:pStyle w:val="Szvegtrzs"/>
      </w:pPr>
    </w:p>
    <w:p w14:paraId="53F63926" w14:textId="4BD24211" w:rsidR="005B1144" w:rsidRPr="00C208E4" w:rsidRDefault="0070285B" w:rsidP="00C208E4">
      <w:r w:rsidRPr="00C208E4">
        <w:t xml:space="preserve">Egy </w:t>
      </w:r>
      <w:r w:rsidRPr="00C208E4">
        <w:rPr>
          <w:i/>
        </w:rPr>
        <w:t xml:space="preserve">in vitro </w:t>
      </w:r>
      <w:r w:rsidRPr="00C208E4">
        <w:t xml:space="preserve">vizsgálat azt mutatta, hogy terápiás dózisok alkalmazása esetén nem valószínű gyógyszerkölcsönhatások előfordulása a bozutinib olyan gyógyszerek metabolizmusára gyakorolt gátló hatása eredményeként, amelyek a CYP1A2, a CYP2B6, a CYP2A6, a CYP2C8, a CYP2C9, a CYP2C19, a CYP2D6, </w:t>
      </w:r>
      <w:r w:rsidR="00601929">
        <w:t>ill.</w:t>
      </w:r>
      <w:r w:rsidRPr="00C208E4">
        <w:t xml:space="preserve"> a CYP3A4/5 szubsztrátjai.</w:t>
      </w:r>
    </w:p>
    <w:p w14:paraId="53F63927" w14:textId="77777777" w:rsidR="005B1144" w:rsidRPr="00C208E4" w:rsidRDefault="005B1144" w:rsidP="00C208E4">
      <w:pPr>
        <w:pStyle w:val="Szvegtrzs"/>
      </w:pPr>
    </w:p>
    <w:p w14:paraId="53F63928" w14:textId="77A14B82" w:rsidR="005B1144" w:rsidRPr="00C208E4" w:rsidRDefault="0070285B" w:rsidP="00C208E4">
      <w:pPr>
        <w:pStyle w:val="Szvegtrzs"/>
      </w:pPr>
      <w:r w:rsidRPr="00C208E4">
        <w:rPr>
          <w:i/>
        </w:rPr>
        <w:t xml:space="preserve">In vitro </w:t>
      </w:r>
      <w:r w:rsidRPr="00C208E4">
        <w:t>vizsgálatok arra utalnak, hogy a bozutinibnek klinikailag releváns koncentrációkban alacsony az emlőrák-rezisztenciafehérje- (BRCP, szisztémásan), a szerves</w:t>
      </w:r>
      <w:r w:rsidR="00DC549A">
        <w:t>anion-transzporter</w:t>
      </w:r>
      <w:r w:rsidRPr="00C208E4">
        <w:t xml:space="preserve"> polipeptid (OATP)1B1-, az OATP1B3-, a szerves</w:t>
      </w:r>
      <w:r w:rsidR="00DC549A">
        <w:t>anion-transzporter</w:t>
      </w:r>
      <w:r w:rsidRPr="00C208E4">
        <w:t xml:space="preserve"> (OAT)1-, az OAT3-, a szerves</w:t>
      </w:r>
      <w:r w:rsidR="00DC549A">
        <w:t>kation-transzporter</w:t>
      </w:r>
      <w:r w:rsidRPr="00C208E4">
        <w:t xml:space="preserve"> (OCT)2-gátló potenciálja, mindazonáltal gátolhatja a BRCP-t a gastrointestinalis traktusban, valamint az OCT1-et.</w:t>
      </w:r>
    </w:p>
    <w:p w14:paraId="53F63929" w14:textId="77777777" w:rsidR="005B1144" w:rsidRPr="00C208E4" w:rsidRDefault="005B1144" w:rsidP="00C208E4">
      <w:pPr>
        <w:pStyle w:val="Szvegtrzs"/>
      </w:pPr>
    </w:p>
    <w:p w14:paraId="53F6392A" w14:textId="77777777" w:rsidR="005B1144" w:rsidRPr="00C208E4" w:rsidRDefault="0070285B" w:rsidP="00C208E4">
      <w:pPr>
        <w:rPr>
          <w:i/>
          <w:u w:val="single"/>
        </w:rPr>
      </w:pPr>
      <w:r w:rsidRPr="00C208E4">
        <w:rPr>
          <w:i/>
          <w:u w:val="single"/>
        </w:rPr>
        <w:t>Antiarrhythmiás gyógyszerek és egyéb, esetlegesen QT-szakasz-megnyúlást okozó hatóanyagok</w:t>
      </w:r>
    </w:p>
    <w:p w14:paraId="53F6392B" w14:textId="01DAA441" w:rsidR="005B1144" w:rsidRPr="00C208E4" w:rsidRDefault="0070285B" w:rsidP="00C208E4">
      <w:pPr>
        <w:pStyle w:val="Szvegtrzs"/>
      </w:pPr>
      <w:r w:rsidRPr="00C208E4">
        <w:t xml:space="preserve">A bozutinib óvatosan alkalmazandó olyan betegeknél, akiknél QT-szakasz-megnyúlás áll fenn vagy alakulhat ki, beleértve azokat, akik antiarrhythmiás gyógyszereket (pl. amiodaront, dizopiramidot, prokainamidot, kinidint és szotalolt), </w:t>
      </w:r>
      <w:r w:rsidR="00601929">
        <w:t>ill.</w:t>
      </w:r>
      <w:r w:rsidRPr="00C208E4">
        <w:t xml:space="preserve"> esetlegesen QT-szakasz-megnyúlást okozó hatóanyagokat (pl. klorokint, halofantrint, klaritromicint, domperidont, haloperidolt, metadont és moxifloxacint) szednek (lásd 4.4 pont).</w:t>
      </w:r>
    </w:p>
    <w:p w14:paraId="53F6392C" w14:textId="77777777" w:rsidR="005B1144" w:rsidRPr="00C208E4" w:rsidRDefault="005B1144" w:rsidP="00C208E4">
      <w:pPr>
        <w:pStyle w:val="Szvegtrzs"/>
      </w:pPr>
    </w:p>
    <w:p w14:paraId="53F6392D" w14:textId="77777777" w:rsidR="005B1144" w:rsidRPr="00C208E4" w:rsidRDefault="0070285B" w:rsidP="0030598E">
      <w:pPr>
        <w:pStyle w:val="Cmsor2"/>
        <w:numPr>
          <w:ilvl w:val="1"/>
          <w:numId w:val="16"/>
        </w:numPr>
        <w:tabs>
          <w:tab w:val="left" w:pos="1242"/>
          <w:tab w:val="left" w:pos="1243"/>
        </w:tabs>
        <w:ind w:left="567"/>
      </w:pPr>
      <w:r w:rsidRPr="00C208E4">
        <w:t>Termékenység, terhesség és szoptatás</w:t>
      </w:r>
    </w:p>
    <w:p w14:paraId="53F6392E" w14:textId="77777777" w:rsidR="005B1144" w:rsidRPr="00C208E4" w:rsidRDefault="005B1144" w:rsidP="00C208E4">
      <w:pPr>
        <w:pStyle w:val="Szvegtrzs"/>
        <w:rPr>
          <w:b/>
        </w:rPr>
      </w:pPr>
    </w:p>
    <w:p w14:paraId="53F6392F" w14:textId="77777777" w:rsidR="005B1144" w:rsidRPr="00C208E4" w:rsidRDefault="0070285B" w:rsidP="0030598E">
      <w:pPr>
        <w:pStyle w:val="Szvegtrzs"/>
        <w:keepNext/>
      </w:pPr>
      <w:r w:rsidRPr="00C208E4">
        <w:rPr>
          <w:u w:val="single"/>
        </w:rPr>
        <w:t>Fogamzóképes nők/Fogamzásgátlás</w:t>
      </w:r>
    </w:p>
    <w:p w14:paraId="53F63930" w14:textId="02DE937B" w:rsidR="005B1144" w:rsidRPr="00C208E4" w:rsidRDefault="0070285B" w:rsidP="00C208E4">
      <w:pPr>
        <w:pStyle w:val="Szvegtrzs"/>
      </w:pPr>
      <w:r w:rsidRPr="00C208E4">
        <w:t>A fogamzóképes nőknek azt kell tanácsolni, hogy a bozutinib alkalmazásának ideje alatt és az utolsó</w:t>
      </w:r>
      <w:r w:rsidR="000E7270">
        <w:t xml:space="preserve"> dózis </w:t>
      </w:r>
      <w:r w:rsidRPr="00C208E4">
        <w:t xml:space="preserve">bevétele után még legalább egy hónapig alkalmazzanak hatásos fogamzásgátlást, hogy a bozutinib szedése alatt elkerüljék a teherbeesést. Ezen felül a betegeknek el kell magyarázni, hogy a hányás, </w:t>
      </w:r>
      <w:r w:rsidR="00601929">
        <w:t>ill.</w:t>
      </w:r>
      <w:r w:rsidRPr="00C208E4">
        <w:t xml:space="preserve"> a hasmenés a teljes mértékű felszívódás megakadályozásával csökkentheti az orális fogamzásgátlók hatásosságát.</w:t>
      </w:r>
    </w:p>
    <w:p w14:paraId="53F63931" w14:textId="77777777" w:rsidR="005B1144" w:rsidRPr="00C208E4" w:rsidRDefault="005B1144" w:rsidP="00C208E4">
      <w:pPr>
        <w:pStyle w:val="Szvegtrzs"/>
      </w:pPr>
    </w:p>
    <w:p w14:paraId="47537D09" w14:textId="77777777" w:rsidR="005E177C" w:rsidRPr="00C208E4" w:rsidRDefault="0070285B" w:rsidP="00C208E4">
      <w:pPr>
        <w:pStyle w:val="Szvegtrzs"/>
      </w:pPr>
      <w:r w:rsidRPr="00C208E4">
        <w:rPr>
          <w:u w:val="single"/>
        </w:rPr>
        <w:t>Terhesség</w:t>
      </w:r>
    </w:p>
    <w:p w14:paraId="53F63933" w14:textId="2EF136E6" w:rsidR="005B1144" w:rsidRPr="00C208E4" w:rsidRDefault="0070285B" w:rsidP="00C208E4">
      <w:pPr>
        <w:pStyle w:val="Szvegtrzs"/>
      </w:pPr>
      <w:r w:rsidRPr="00C208E4">
        <w:t>A bozutinib terhes nőknél történő alkalmazás</w:t>
      </w:r>
      <w:r w:rsidR="00DC549A">
        <w:t>áról</w:t>
      </w:r>
      <w:r w:rsidRPr="00C208E4">
        <w:t xml:space="preserve"> korlátozott mennyiségű </w:t>
      </w:r>
      <w:r w:rsidR="00DC549A">
        <w:t xml:space="preserve">adat </w:t>
      </w:r>
      <w:r w:rsidRPr="00C208E4">
        <w:t xml:space="preserve">áll rendelkezésre. </w:t>
      </w:r>
      <w:r w:rsidR="00DC549A">
        <w:rPr>
          <w:lang w:val="fi-FI"/>
        </w:rPr>
        <w:t xml:space="preserve">Az állatokkal végzett vizsgálatok reprodukciós toxicitást igazoltak </w:t>
      </w:r>
      <w:r w:rsidRPr="00C208E4">
        <w:t xml:space="preserve">(lásd 5.3 pont). A bozutinib alkalmazása nem </w:t>
      </w:r>
      <w:r w:rsidR="00DC549A">
        <w:t>javasolt</w:t>
      </w:r>
      <w:r w:rsidR="00DC549A" w:rsidRPr="00C208E4">
        <w:t xml:space="preserve"> </w:t>
      </w:r>
      <w:r w:rsidRPr="00C208E4">
        <w:t>terhesség alatt és olyan fogamzóképes nők esetében, akik nem alkalmaznak fogamzásgátlást. Ha a bozutinibet terhesség alatt alkalmazzák, vagy ha a beteg a kezelés alatt esik teherbe, tájékoztatni kell a beteget a magzati károsodás veszélyéről.</w:t>
      </w:r>
    </w:p>
    <w:p w14:paraId="4AE42013" w14:textId="77777777" w:rsidR="005E177C" w:rsidRPr="00C208E4" w:rsidRDefault="005E177C" w:rsidP="00C208E4">
      <w:pPr>
        <w:pStyle w:val="Szvegtrzs"/>
      </w:pPr>
    </w:p>
    <w:p w14:paraId="53F63935" w14:textId="186DE482" w:rsidR="005B1144" w:rsidRPr="00C208E4" w:rsidRDefault="0070285B" w:rsidP="00C208E4">
      <w:pPr>
        <w:pStyle w:val="Szvegtrzs"/>
      </w:pPr>
      <w:r w:rsidRPr="00C208E4">
        <w:rPr>
          <w:u w:val="single"/>
        </w:rPr>
        <w:t>Szoptatás</w:t>
      </w:r>
    </w:p>
    <w:p w14:paraId="53F63936" w14:textId="611065B2" w:rsidR="005B1144" w:rsidRPr="00C208E4" w:rsidRDefault="0070285B" w:rsidP="00C208E4">
      <w:pPr>
        <w:pStyle w:val="Szvegtrzs"/>
      </w:pPr>
      <w:r w:rsidRPr="00C208E4">
        <w:t xml:space="preserve">Nem ismert, hogy a bozutinib </w:t>
      </w:r>
      <w:r w:rsidR="00DC549A">
        <w:t>vagy</w:t>
      </w:r>
      <w:r w:rsidR="00DC549A" w:rsidRPr="00C208E4">
        <w:t xml:space="preserve"> </w:t>
      </w:r>
      <w:r w:rsidRPr="00C208E4">
        <w:t xml:space="preserve">metabolitjai kiválasztódnak-e a humán anyatejbe. Egy vizsgálatban, amelyben </w:t>
      </w:r>
      <w:r w:rsidR="00DC549A">
        <w:t>[</w:t>
      </w:r>
      <w:r w:rsidRPr="0030598E">
        <w:rPr>
          <w:vertAlign w:val="superscript"/>
        </w:rPr>
        <w:t>14</w:t>
      </w:r>
      <w:r w:rsidRPr="00C208E4">
        <w:t>C</w:t>
      </w:r>
      <w:r w:rsidR="00DC549A">
        <w:t>]</w:t>
      </w:r>
      <w:r w:rsidRPr="00C208E4">
        <w:t>-jelzett bozutinibet adtak patkányoknak, kimutatták a bozutinibből származó radioaktivitás tejbe történő kiválasztódását (lásd 5.3 pont). Az anyatejjel táplált csecsemőre nézve a kockázatot nem lehet kizárni. A bozutinib alkalmazásának ideje alatt a szoptatást fel kell függeszteni.</w:t>
      </w:r>
    </w:p>
    <w:p w14:paraId="53F63937" w14:textId="77777777" w:rsidR="005B1144" w:rsidRPr="00C208E4" w:rsidRDefault="005B1144" w:rsidP="00C208E4">
      <w:pPr>
        <w:pStyle w:val="Szvegtrzs"/>
      </w:pPr>
    </w:p>
    <w:p w14:paraId="53F63938" w14:textId="77777777" w:rsidR="005B1144" w:rsidRPr="00C208E4" w:rsidRDefault="0070285B" w:rsidP="00C208E4">
      <w:pPr>
        <w:pStyle w:val="Szvegtrzs"/>
      </w:pPr>
      <w:r w:rsidRPr="00C208E4">
        <w:rPr>
          <w:u w:val="single"/>
        </w:rPr>
        <w:t>Termékenység</w:t>
      </w:r>
    </w:p>
    <w:p w14:paraId="53F63939" w14:textId="77777777" w:rsidR="005B1144" w:rsidRPr="00C208E4" w:rsidRDefault="0070285B" w:rsidP="00C208E4">
      <w:pPr>
        <w:pStyle w:val="Szvegtrzs"/>
      </w:pPr>
      <w:r w:rsidRPr="00C208E4">
        <w:t>A nem klinikai eredmények alapján a bozutinib rendelkezik a humán reproduktív funkciót és termékenységet károsító potenciállal (lásd 5.3 pont). A bozutinibbel kezelt férfiaknak javasolni kell, hogy kérjenek tanácsot a hímivarsejtek konzerválásával kapcsolatosan, mert fennáll a csökkent nemzőképesség kockázata a bozutinib-kezelés hatására.</w:t>
      </w:r>
    </w:p>
    <w:p w14:paraId="53F6393A" w14:textId="77777777" w:rsidR="005B1144" w:rsidRPr="00C208E4" w:rsidRDefault="005B1144" w:rsidP="00C208E4">
      <w:pPr>
        <w:pStyle w:val="Szvegtrzs"/>
      </w:pPr>
    </w:p>
    <w:p w14:paraId="53F6393B" w14:textId="77777777" w:rsidR="005B1144" w:rsidRPr="00C208E4" w:rsidRDefault="0070285B" w:rsidP="0030598E">
      <w:pPr>
        <w:pStyle w:val="Cmsor2"/>
        <w:numPr>
          <w:ilvl w:val="1"/>
          <w:numId w:val="16"/>
        </w:numPr>
        <w:tabs>
          <w:tab w:val="left" w:pos="1242"/>
          <w:tab w:val="left" w:pos="1243"/>
        </w:tabs>
        <w:ind w:left="567"/>
      </w:pPr>
      <w:r w:rsidRPr="00C208E4">
        <w:t>A készítmény hatásai a gépjárművezetéshez és a gépek kezeléséhez szükséges képességekre</w:t>
      </w:r>
    </w:p>
    <w:p w14:paraId="53F6393C" w14:textId="77777777" w:rsidR="005B1144" w:rsidRPr="00C208E4" w:rsidRDefault="005B1144" w:rsidP="00C208E4">
      <w:pPr>
        <w:pStyle w:val="Szvegtrzs"/>
        <w:rPr>
          <w:b/>
        </w:rPr>
      </w:pPr>
    </w:p>
    <w:p w14:paraId="53F6393D" w14:textId="032A30C6" w:rsidR="005B1144" w:rsidRPr="00C208E4" w:rsidRDefault="0070285B" w:rsidP="00C208E4">
      <w:pPr>
        <w:pStyle w:val="Szvegtrzs"/>
      </w:pPr>
      <w:r w:rsidRPr="00C208E4">
        <w:t xml:space="preserve">A bozutinib nem vagy csak elhanyagolható mértékben befolyásolja a gépjárművezetéshez és a gépek kezeléséhez szükséges képességeket. Azonban, ha a bozutinibet szedő betegek olyan szédülést, fáradtságot, látásromlást vagy egyéb olyan nemkívánatos hatásokat tapasztalnak, </w:t>
      </w:r>
      <w:r w:rsidR="001F598A">
        <w:t xml:space="preserve">amely </w:t>
      </w:r>
      <w:r w:rsidRPr="00C208E4">
        <w:t>potenciálisan hatást gyakorol a gépjárművezetéshez és gépek kezeléséhez szükséges képességekre, tartózkodniuk kell ezektől a tevékenységektől mindaddig, amíg a nemkívánatos hatások fennállnak.</w:t>
      </w:r>
    </w:p>
    <w:p w14:paraId="58B1E295" w14:textId="77777777" w:rsidR="00186EA0" w:rsidRPr="00C208E4" w:rsidRDefault="00186EA0" w:rsidP="00C208E4"/>
    <w:p w14:paraId="53F6393F" w14:textId="77777777" w:rsidR="005B1144" w:rsidRPr="00C208E4" w:rsidRDefault="0070285B" w:rsidP="0030598E">
      <w:pPr>
        <w:pStyle w:val="Cmsor2"/>
        <w:numPr>
          <w:ilvl w:val="1"/>
          <w:numId w:val="16"/>
        </w:numPr>
        <w:tabs>
          <w:tab w:val="left" w:pos="1242"/>
          <w:tab w:val="left" w:pos="1243"/>
        </w:tabs>
        <w:ind w:left="567"/>
      </w:pPr>
      <w:r w:rsidRPr="00C208E4">
        <w:t>Nemkívánatos hatások, mellékhatások</w:t>
      </w:r>
    </w:p>
    <w:p w14:paraId="53F63940" w14:textId="77777777" w:rsidR="005B1144" w:rsidRPr="00C208E4" w:rsidRDefault="005B1144" w:rsidP="00C208E4">
      <w:pPr>
        <w:pStyle w:val="Szvegtrzs"/>
        <w:rPr>
          <w:b/>
        </w:rPr>
      </w:pPr>
    </w:p>
    <w:p w14:paraId="53F63941" w14:textId="77777777" w:rsidR="005B1144" w:rsidRPr="00C208E4" w:rsidRDefault="0070285B" w:rsidP="00C208E4">
      <w:pPr>
        <w:pStyle w:val="Szvegtrzs"/>
      </w:pPr>
      <w:r w:rsidRPr="00C208E4">
        <w:rPr>
          <w:u w:val="single"/>
        </w:rPr>
        <w:t>A biztonságossági profil összefoglalása</w:t>
      </w:r>
    </w:p>
    <w:p w14:paraId="53F63944" w14:textId="2E24A1E9" w:rsidR="005B1144" w:rsidRPr="00C208E4" w:rsidRDefault="0070285B" w:rsidP="00C208E4">
      <w:pPr>
        <w:pStyle w:val="Szvegtrzs"/>
      </w:pPr>
      <w:r w:rsidRPr="00C208E4">
        <w:t>Összesen 1372 leukaemiás beteg kapott legalább 1</w:t>
      </w:r>
      <w:r w:rsidR="000E7270">
        <w:t xml:space="preserve"> dózis </w:t>
      </w:r>
      <w:r w:rsidRPr="00C208E4">
        <w:t xml:space="preserve">önmagában alkalmazott bozutinibet. A kezelés medián időtartama 26,30 hónap volt (tartomány: 0,03–170,49 hónap). Ezek a betegek vagy újonnan diagnosztizált krónikus fázisú CML-ben szenvedtek, vagy olyan krónikus, akcelerált, </w:t>
      </w:r>
      <w:r w:rsidR="00601929">
        <w:t>ill.</w:t>
      </w:r>
      <w:r w:rsidRPr="00C208E4">
        <w:t xml:space="preserve"> blasztos fázisú CML-es, vagy Ph+ akut lymphoblastos leukaemiás (ALL) betegek voltak, akik rezisztensek vagy intoleránsak voltak az előzetes kezelésekre. Ezek közül a betegek közül 268-an (400</w:t>
      </w:r>
      <w:r w:rsidR="001608D3">
        <w:t> </w:t>
      </w:r>
      <w:r w:rsidRPr="00C208E4">
        <w:t xml:space="preserve">mg kezdőadag) és 248-an (500 mg kezdőadag) az előzetesen nem kezelt CML-es betegekkel végzett két III. fázisú vizsgálatból, 60-an (400 mg kezdőadag) egy előzetesen nem kezelt CML-es betegekkel végzett II fázisú vizsgálatból, 570-en, </w:t>
      </w:r>
      <w:r w:rsidR="00601929">
        <w:t>ill.</w:t>
      </w:r>
      <w:r w:rsidRPr="00C208E4">
        <w:t xml:space="preserve"> 63-an (II. fázis: 500 mg kezdőadag) az előzetesen kezelt Ph+ leukaemiás betegekkel végzett két I./II. fázisú vizsgálatból kerültek ki, 163-an (500 mg kezdőadag) pedig a korábban kezelt CML IV. fázisú vizsgálatában vettek részt. A kezelés időtartamának </w:t>
      </w:r>
      <w:r w:rsidR="006201B6">
        <w:t>mediánja</w:t>
      </w:r>
      <w:r w:rsidR="006201B6" w:rsidRPr="00C208E4">
        <w:t xml:space="preserve"> </w:t>
      </w:r>
      <w:r w:rsidRPr="00C208E4">
        <w:t>55,1 hónap (tartomány: 0,2–60,05 hónap), 61,6 hónap (0,03–145,86 hónap), 15,3 hónap (tartomány: 0,3–21,8 hónap), 11,1 hónap (tartomány: 0,03–170,49 hónap),</w:t>
      </w:r>
      <w:r w:rsidR="00FD65BB" w:rsidRPr="00C208E4">
        <w:t xml:space="preserve"> </w:t>
      </w:r>
      <w:r w:rsidRPr="00C208E4">
        <w:t>30,2 hónap (tartomány: 0,2–85,6 hónap) és 37,80 hónap (tartomány: 0,16–50,0 hónap) volt. A biztonságossági elemzésekben egy befejezett kiterjeszt</w:t>
      </w:r>
      <w:r w:rsidR="00C46CC3">
        <w:t>ett</w:t>
      </w:r>
      <w:r w:rsidRPr="00C208E4">
        <w:t xml:space="preserve"> vizsgálatból származó adatok is szerepeltek.</w:t>
      </w:r>
    </w:p>
    <w:p w14:paraId="53F63945" w14:textId="77777777" w:rsidR="005B1144" w:rsidRPr="00C208E4" w:rsidRDefault="005B1144" w:rsidP="00C208E4">
      <w:pPr>
        <w:pStyle w:val="Szvegtrzs"/>
      </w:pPr>
    </w:p>
    <w:p w14:paraId="53F63948" w14:textId="76D8D9BA" w:rsidR="005B1144" w:rsidRPr="00C208E4" w:rsidRDefault="0070285B" w:rsidP="00C208E4">
      <w:pPr>
        <w:pStyle w:val="Szvegtrzs"/>
      </w:pPr>
      <w:r w:rsidRPr="00C208E4">
        <w:t>Legalább 1, bármely toxicitási fokozatú mellékhatást 1349 betegnél (98,3%) jelentettek. A leggyakrabban jelentett mellékhatások közé a betegek ≥ 20%-ánál előforduló hasmenés (80,4%), hányinger (41,5%), hasi fájdalom (35,6%), thrombocytopenia (34,4%), hányás (33,7%), bőrkiütés</w:t>
      </w:r>
      <w:r w:rsidR="00FD65BB" w:rsidRPr="00C208E4">
        <w:t xml:space="preserve"> </w:t>
      </w:r>
      <w:r w:rsidRPr="00C208E4">
        <w:t>(32,8%), emelkedett GOT (28,0%), anaemia (27,2%), láz (23,4%), emelkedett GPT (22,5%), fáradtság</w:t>
      </w:r>
      <w:r w:rsidR="00FD65BB" w:rsidRPr="00C208E4">
        <w:t xml:space="preserve"> </w:t>
      </w:r>
      <w:r w:rsidRPr="00C208E4">
        <w:t>(32,0%) és fejfájás (20,3%) tartozott. Legalább egy 3. vagy 4. fokozatú mellékhatást 943 betegnél (68,7%) jelentettek. A betegek ≥ 5%-ánál előforduló 3. vagy 4. fokozatú mellékhatások közé a thrombocytopenia (19,7%), az emelkedett GPT (14,6%), a neutropenia (10,6%), a hasmenés (10,6%), az anaemia (10,3%), az emelkedett lipázszint (10,1%) az emelkedett GOT (6,7%) és a bőrkiütés (5,0%) tartozott.</w:t>
      </w:r>
    </w:p>
    <w:p w14:paraId="53F63949" w14:textId="77777777" w:rsidR="005B1144" w:rsidRPr="00C208E4" w:rsidRDefault="005B1144" w:rsidP="00C208E4">
      <w:pPr>
        <w:pStyle w:val="Szvegtrzs"/>
      </w:pPr>
    </w:p>
    <w:p w14:paraId="53F6394A" w14:textId="77777777" w:rsidR="005B1144" w:rsidRPr="00C208E4" w:rsidRDefault="0070285B" w:rsidP="00C208E4">
      <w:pPr>
        <w:pStyle w:val="Szvegtrzs"/>
      </w:pPr>
      <w:r w:rsidRPr="00C208E4">
        <w:rPr>
          <w:u w:val="single"/>
        </w:rPr>
        <w:t>A mellékhatások táblázatos felsorolása</w:t>
      </w:r>
    </w:p>
    <w:p w14:paraId="53F6394C" w14:textId="4E642948" w:rsidR="005B1144" w:rsidRPr="00C208E4" w:rsidRDefault="0070285B" w:rsidP="00C208E4">
      <w:pPr>
        <w:pStyle w:val="Szvegtrzs"/>
      </w:pPr>
      <w:r w:rsidRPr="00C208E4">
        <w:t>A bozutinibbel végzett klinikai vizsgálatokba bevont betegeknél az alábbi mellékhatásokat jelentették (2. táblázat). Ezek 1372 olyan beteg mellékhatás adatainak értékelését reprezentálják, vagy újonnan diagnosztizált krónikus fázisú CML vagy krónikus, akcelerált vagy blasztos fázisú CML kezelésére, és az előzetesen alkalmazott kezelésekre rezisztensek vagy intoleránsak voltak, vagy Ph+ ALL kezelésére legalább 1, önmagában alkalmazott bozutinib</w:t>
      </w:r>
      <w:r w:rsidR="001E2C16">
        <w:t>-</w:t>
      </w:r>
      <w:r w:rsidRPr="00C208E4">
        <w:t>dózist kaptak. Ezek a mellékhatások szervrendszerek és gyakorisági kategóriák szerint kerülnek ismertetésre. A gyakorisági kategóriák meghatározása: nagyon gyakori (≥ 1/10), gyakori (≥ 1/100 – &lt; 1/10), nem gyakori (≥ 1/1000 -</w:t>
      </w:r>
      <w:r w:rsidR="00FD65BB" w:rsidRPr="00C208E4">
        <w:t xml:space="preserve"> </w:t>
      </w:r>
      <w:r w:rsidRPr="00C208E4">
        <w:t>&lt; 1/100), ritka (≥ 1/10 000 – &lt; 1/1000), nagyon ritka (&lt; 1/10 000), nem ismert (a gyakoriság a rendelkezésre álló adatokból nem állapítható meg). Az egyes gyakorisági kategóriákon belül a mellékhatások csökkenő súlyosság szerint kerülnek megadásra.</w:t>
      </w:r>
    </w:p>
    <w:p w14:paraId="53F6394D" w14:textId="77777777" w:rsidR="005B1144" w:rsidRPr="00C208E4" w:rsidRDefault="005B1144" w:rsidP="00C208E4">
      <w:pPr>
        <w:pStyle w:val="Szvegtrzs"/>
      </w:pPr>
    </w:p>
    <w:p w14:paraId="53F6394E" w14:textId="554420C3" w:rsidR="005B1144" w:rsidRPr="00C208E4" w:rsidRDefault="0070285B" w:rsidP="00C208E4">
      <w:pPr>
        <w:pStyle w:val="Cmsor2"/>
        <w:numPr>
          <w:ilvl w:val="0"/>
          <w:numId w:val="15"/>
        </w:numPr>
        <w:tabs>
          <w:tab w:val="left" w:pos="897"/>
        </w:tabs>
        <w:ind w:left="221"/>
      </w:pPr>
      <w:r w:rsidRPr="00C208E4">
        <w:t>táblázat: A bozutinib mellékhatásai</w:t>
      </w:r>
    </w:p>
    <w:p w14:paraId="53F6394F" w14:textId="77777777" w:rsidR="005B1144" w:rsidRPr="00C208E4" w:rsidRDefault="005B1144" w:rsidP="00C208E4">
      <w:pPr>
        <w:pStyle w:val="Szvegtrzs"/>
        <w:rPr>
          <w:b/>
        </w:rPr>
      </w:pPr>
    </w:p>
    <w:tbl>
      <w:tblPr>
        <w:tblStyle w:val="TableNormal1"/>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8"/>
        <w:gridCol w:w="7911"/>
      </w:tblGrid>
      <w:tr w:rsidR="005B1144" w:rsidRPr="00C208E4" w14:paraId="53F63951" w14:textId="77777777" w:rsidTr="002C08C1">
        <w:trPr>
          <w:trHeight w:val="258"/>
        </w:trPr>
        <w:tc>
          <w:tcPr>
            <w:tcW w:w="9639" w:type="dxa"/>
            <w:gridSpan w:val="2"/>
          </w:tcPr>
          <w:p w14:paraId="53F63950" w14:textId="77777777" w:rsidR="005B1144" w:rsidRPr="00C208E4" w:rsidRDefault="0070285B" w:rsidP="00C208E4">
            <w:pPr>
              <w:pStyle w:val="TableParagraph"/>
              <w:ind w:left="110"/>
              <w:rPr>
                <w:b/>
              </w:rPr>
            </w:pPr>
            <w:r w:rsidRPr="00C208E4">
              <w:rPr>
                <w:b/>
              </w:rPr>
              <w:t>Fertőző betegségek és parazitafertőzések</w:t>
            </w:r>
          </w:p>
        </w:tc>
      </w:tr>
      <w:tr w:rsidR="005B1144" w:rsidRPr="00C208E4" w14:paraId="53F63954" w14:textId="77777777" w:rsidTr="002C08C1">
        <w:trPr>
          <w:trHeight w:val="520"/>
        </w:trPr>
        <w:tc>
          <w:tcPr>
            <w:tcW w:w="1728" w:type="dxa"/>
          </w:tcPr>
          <w:p w14:paraId="53F63952" w14:textId="77777777" w:rsidR="005B1144" w:rsidRPr="00C208E4" w:rsidRDefault="0070285B" w:rsidP="00C208E4">
            <w:pPr>
              <w:pStyle w:val="TableParagraph"/>
              <w:ind w:left="110"/>
            </w:pPr>
            <w:r w:rsidRPr="00C208E4">
              <w:t>Nagyon gyakori</w:t>
            </w:r>
          </w:p>
        </w:tc>
        <w:tc>
          <w:tcPr>
            <w:tcW w:w="7911" w:type="dxa"/>
          </w:tcPr>
          <w:p w14:paraId="53F63953" w14:textId="77777777" w:rsidR="005B1144" w:rsidRPr="00C208E4" w:rsidRDefault="0070285B" w:rsidP="00C208E4">
            <w:pPr>
              <w:pStyle w:val="TableParagraph"/>
              <w:ind w:left="107" w:right="184"/>
            </w:pPr>
            <w:r w:rsidRPr="00C208E4">
              <w:t>Légúti fertőzés (beleértve: alsó légúti fertőzés, légúti vírusfertőzés, felső légúti fertőzés, felső légúti vírusfertőzés), nasopharyngitis</w:t>
            </w:r>
          </w:p>
        </w:tc>
      </w:tr>
      <w:tr w:rsidR="005B1144" w:rsidRPr="00C208E4" w14:paraId="53F63958" w14:textId="77777777" w:rsidTr="0030598E">
        <w:trPr>
          <w:trHeight w:val="938"/>
        </w:trPr>
        <w:tc>
          <w:tcPr>
            <w:tcW w:w="1728" w:type="dxa"/>
          </w:tcPr>
          <w:p w14:paraId="53F63955" w14:textId="77777777" w:rsidR="005B1144" w:rsidRPr="00C208E4" w:rsidRDefault="0070285B" w:rsidP="00C208E4">
            <w:pPr>
              <w:pStyle w:val="TableParagraph"/>
              <w:ind w:left="110"/>
            </w:pPr>
            <w:r w:rsidRPr="00C208E4">
              <w:t>Gyakori</w:t>
            </w:r>
          </w:p>
        </w:tc>
        <w:tc>
          <w:tcPr>
            <w:tcW w:w="7911" w:type="dxa"/>
          </w:tcPr>
          <w:p w14:paraId="53F63957" w14:textId="7FE6035E" w:rsidR="005B1144" w:rsidRPr="00C208E4" w:rsidRDefault="0070285B" w:rsidP="00C208E4">
            <w:pPr>
              <w:pStyle w:val="TableParagraph"/>
              <w:ind w:left="107" w:right="184"/>
            </w:pPr>
            <w:r w:rsidRPr="00C208E4">
              <w:t>Pneumonia (beleértve az atípusos pneumoniát, bakteriális pneumoniát, gombás pneumoniát, nekrotizáló pneumoniát és a streptococcus baktérium okozta pneumoniát is), influenza (beleértve a H1N1 típusú influenzát is),</w:t>
            </w:r>
            <w:r w:rsidR="002A363E" w:rsidRPr="00C208E4">
              <w:t xml:space="preserve"> </w:t>
            </w:r>
            <w:r w:rsidRPr="00C208E4">
              <w:t>bronchitis</w:t>
            </w:r>
          </w:p>
        </w:tc>
      </w:tr>
      <w:tr w:rsidR="005B1144" w:rsidRPr="00C208E4" w14:paraId="53F6395A" w14:textId="77777777" w:rsidTr="002C08C1">
        <w:trPr>
          <w:trHeight w:val="258"/>
        </w:trPr>
        <w:tc>
          <w:tcPr>
            <w:tcW w:w="9639" w:type="dxa"/>
            <w:gridSpan w:val="2"/>
          </w:tcPr>
          <w:p w14:paraId="53F63959" w14:textId="77777777" w:rsidR="005B1144" w:rsidRPr="00C208E4" w:rsidRDefault="0070285B" w:rsidP="00C208E4">
            <w:pPr>
              <w:pStyle w:val="TableParagraph"/>
              <w:ind w:left="110"/>
              <w:rPr>
                <w:b/>
              </w:rPr>
            </w:pPr>
            <w:r w:rsidRPr="00C208E4">
              <w:rPr>
                <w:b/>
              </w:rPr>
              <w:t>Jó-, rosszindulatú és nem meghatározott daganatok (beleértve a cisztákat és polipokat is)</w:t>
            </w:r>
          </w:p>
        </w:tc>
      </w:tr>
      <w:tr w:rsidR="005B1144" w:rsidRPr="00C208E4" w14:paraId="53F6395D" w14:textId="77777777" w:rsidTr="002C08C1">
        <w:trPr>
          <w:trHeight w:val="261"/>
        </w:trPr>
        <w:tc>
          <w:tcPr>
            <w:tcW w:w="1728" w:type="dxa"/>
          </w:tcPr>
          <w:p w14:paraId="53F6395B" w14:textId="77777777" w:rsidR="005B1144" w:rsidRPr="00C208E4" w:rsidRDefault="0070285B" w:rsidP="00C208E4">
            <w:pPr>
              <w:pStyle w:val="TableParagraph"/>
              <w:ind w:left="110"/>
            </w:pPr>
            <w:r w:rsidRPr="00C208E4">
              <w:t>Nem gyakori</w:t>
            </w:r>
          </w:p>
        </w:tc>
        <w:tc>
          <w:tcPr>
            <w:tcW w:w="7911" w:type="dxa"/>
          </w:tcPr>
          <w:p w14:paraId="53F6395C" w14:textId="77777777" w:rsidR="005B1144" w:rsidRPr="00C208E4" w:rsidRDefault="0070285B" w:rsidP="00C208E4">
            <w:pPr>
              <w:pStyle w:val="TableParagraph"/>
              <w:ind w:left="107"/>
            </w:pPr>
            <w:r w:rsidRPr="00C208E4">
              <w:t>Tumorlízis-szindróma</w:t>
            </w:r>
            <w:r w:rsidRPr="0030598E">
              <w:t>**</w:t>
            </w:r>
          </w:p>
        </w:tc>
      </w:tr>
      <w:tr w:rsidR="005B1144" w:rsidRPr="00C208E4" w14:paraId="53F6395F" w14:textId="77777777" w:rsidTr="002C08C1">
        <w:trPr>
          <w:trHeight w:val="258"/>
        </w:trPr>
        <w:tc>
          <w:tcPr>
            <w:tcW w:w="9639" w:type="dxa"/>
            <w:gridSpan w:val="2"/>
          </w:tcPr>
          <w:p w14:paraId="53F6395E" w14:textId="77777777" w:rsidR="005B1144" w:rsidRPr="00C208E4" w:rsidRDefault="0070285B" w:rsidP="00C208E4">
            <w:pPr>
              <w:pStyle w:val="TableParagraph"/>
              <w:ind w:left="110"/>
              <w:rPr>
                <w:b/>
              </w:rPr>
            </w:pPr>
            <w:r w:rsidRPr="00C208E4">
              <w:rPr>
                <w:b/>
              </w:rPr>
              <w:t>Vérképzőszervi és nyirokrendszeri betegségek és tünetek</w:t>
            </w:r>
          </w:p>
        </w:tc>
      </w:tr>
      <w:tr w:rsidR="005B1144" w:rsidRPr="00C208E4" w14:paraId="53F63963" w14:textId="77777777" w:rsidTr="002C08C1">
        <w:trPr>
          <w:trHeight w:val="781"/>
        </w:trPr>
        <w:tc>
          <w:tcPr>
            <w:tcW w:w="1728" w:type="dxa"/>
          </w:tcPr>
          <w:p w14:paraId="53F63960" w14:textId="77777777" w:rsidR="005B1144" w:rsidRPr="00C208E4" w:rsidRDefault="0070285B" w:rsidP="00C208E4">
            <w:pPr>
              <w:pStyle w:val="TableParagraph"/>
              <w:ind w:left="110"/>
            </w:pPr>
            <w:r w:rsidRPr="00C208E4">
              <w:t>Nagyon gyakori</w:t>
            </w:r>
          </w:p>
        </w:tc>
        <w:tc>
          <w:tcPr>
            <w:tcW w:w="7911" w:type="dxa"/>
          </w:tcPr>
          <w:p w14:paraId="53F63962" w14:textId="721DB807" w:rsidR="005B1144" w:rsidRPr="00C208E4" w:rsidRDefault="0070285B" w:rsidP="00C208E4">
            <w:pPr>
              <w:pStyle w:val="TableParagraph"/>
              <w:ind w:left="107"/>
            </w:pPr>
            <w:r w:rsidRPr="00C208E4">
              <w:t>Thrombocytopenia (beleértve a csökkent vérlemezkeszámot is), neutropenia</w:t>
            </w:r>
            <w:r w:rsidR="002A363E" w:rsidRPr="00C208E4">
              <w:t xml:space="preserve"> </w:t>
            </w:r>
            <w:r w:rsidRPr="00C208E4">
              <w:t>(beleértve a csökkent neutrofilszámot), anaemia (beleértve a csökkent hemoglobint, csökkent vörösvértestszámot)</w:t>
            </w:r>
          </w:p>
        </w:tc>
      </w:tr>
      <w:tr w:rsidR="005B1144" w:rsidRPr="00C208E4" w14:paraId="53F63967" w14:textId="77777777" w:rsidTr="002C08C1">
        <w:trPr>
          <w:trHeight w:val="261"/>
        </w:trPr>
        <w:tc>
          <w:tcPr>
            <w:tcW w:w="1728" w:type="dxa"/>
          </w:tcPr>
          <w:p w14:paraId="53F63965" w14:textId="77777777" w:rsidR="005B1144" w:rsidRPr="00C208E4" w:rsidRDefault="0070285B" w:rsidP="00C208E4">
            <w:pPr>
              <w:pStyle w:val="TableParagraph"/>
              <w:ind w:left="110"/>
            </w:pPr>
            <w:r w:rsidRPr="00C208E4">
              <w:t>Gyakori</w:t>
            </w:r>
          </w:p>
        </w:tc>
        <w:tc>
          <w:tcPr>
            <w:tcW w:w="7911" w:type="dxa"/>
          </w:tcPr>
          <w:p w14:paraId="53F63966" w14:textId="77777777" w:rsidR="005B1144" w:rsidRPr="00C208E4" w:rsidRDefault="0070285B" w:rsidP="00C208E4">
            <w:pPr>
              <w:pStyle w:val="TableParagraph"/>
              <w:ind w:left="107"/>
            </w:pPr>
            <w:r w:rsidRPr="00C208E4">
              <w:t>Leukopenia (beleértve a fehérvérsejtszám csökkenését)</w:t>
            </w:r>
          </w:p>
        </w:tc>
      </w:tr>
      <w:tr w:rsidR="005B1144" w:rsidRPr="00C208E4" w14:paraId="53F6396A" w14:textId="77777777" w:rsidTr="002C08C1">
        <w:trPr>
          <w:trHeight w:val="258"/>
        </w:trPr>
        <w:tc>
          <w:tcPr>
            <w:tcW w:w="1728" w:type="dxa"/>
          </w:tcPr>
          <w:p w14:paraId="53F63968" w14:textId="77777777" w:rsidR="005B1144" w:rsidRPr="00C208E4" w:rsidRDefault="0070285B" w:rsidP="00C208E4">
            <w:pPr>
              <w:pStyle w:val="TableParagraph"/>
              <w:ind w:left="110"/>
            </w:pPr>
            <w:r w:rsidRPr="00C208E4">
              <w:t>Nem gyakori</w:t>
            </w:r>
          </w:p>
        </w:tc>
        <w:tc>
          <w:tcPr>
            <w:tcW w:w="7911" w:type="dxa"/>
          </w:tcPr>
          <w:p w14:paraId="53F63969" w14:textId="77777777" w:rsidR="005B1144" w:rsidRPr="00C208E4" w:rsidRDefault="0070285B" w:rsidP="00C208E4">
            <w:pPr>
              <w:pStyle w:val="TableParagraph"/>
              <w:ind w:left="107"/>
            </w:pPr>
            <w:r w:rsidRPr="00C208E4">
              <w:t>Lázas neutropenia, granulocytopenia</w:t>
            </w:r>
          </w:p>
        </w:tc>
      </w:tr>
      <w:tr w:rsidR="005B1144" w:rsidRPr="00C208E4" w14:paraId="53F6396C" w14:textId="77777777" w:rsidTr="002C08C1">
        <w:trPr>
          <w:trHeight w:val="261"/>
        </w:trPr>
        <w:tc>
          <w:tcPr>
            <w:tcW w:w="9639" w:type="dxa"/>
            <w:gridSpan w:val="2"/>
          </w:tcPr>
          <w:p w14:paraId="53F6396B" w14:textId="77777777" w:rsidR="005B1144" w:rsidRPr="00C208E4" w:rsidRDefault="0070285B" w:rsidP="00C208E4">
            <w:pPr>
              <w:pStyle w:val="TableParagraph"/>
              <w:ind w:left="110"/>
              <w:rPr>
                <w:b/>
              </w:rPr>
            </w:pPr>
            <w:r w:rsidRPr="00C208E4">
              <w:rPr>
                <w:b/>
              </w:rPr>
              <w:t>Immunrendszeri betegségek és tünetek</w:t>
            </w:r>
          </w:p>
        </w:tc>
      </w:tr>
      <w:tr w:rsidR="005B1144" w:rsidRPr="00C208E4" w14:paraId="53F6396F" w14:textId="77777777" w:rsidTr="002C08C1">
        <w:trPr>
          <w:trHeight w:val="258"/>
        </w:trPr>
        <w:tc>
          <w:tcPr>
            <w:tcW w:w="1728" w:type="dxa"/>
          </w:tcPr>
          <w:p w14:paraId="53F6396D" w14:textId="77777777" w:rsidR="005B1144" w:rsidRPr="00C208E4" w:rsidRDefault="0070285B" w:rsidP="00C208E4">
            <w:pPr>
              <w:pStyle w:val="TableParagraph"/>
              <w:ind w:left="110"/>
            </w:pPr>
            <w:r w:rsidRPr="00C208E4">
              <w:t>Gyakori</w:t>
            </w:r>
          </w:p>
        </w:tc>
        <w:tc>
          <w:tcPr>
            <w:tcW w:w="7911" w:type="dxa"/>
          </w:tcPr>
          <w:p w14:paraId="53F6396E" w14:textId="77777777" w:rsidR="005B1144" w:rsidRPr="00C208E4" w:rsidRDefault="0070285B" w:rsidP="00C208E4">
            <w:pPr>
              <w:pStyle w:val="TableParagraph"/>
              <w:ind w:left="107"/>
            </w:pPr>
            <w:r w:rsidRPr="00C208E4">
              <w:t>Gyógyszer-hypersensitivitas</w:t>
            </w:r>
          </w:p>
        </w:tc>
      </w:tr>
      <w:tr w:rsidR="005B1144" w:rsidRPr="00C208E4" w14:paraId="53F63972" w14:textId="77777777" w:rsidTr="002C08C1">
        <w:trPr>
          <w:trHeight w:val="261"/>
        </w:trPr>
        <w:tc>
          <w:tcPr>
            <w:tcW w:w="1728" w:type="dxa"/>
          </w:tcPr>
          <w:p w14:paraId="53F63970" w14:textId="77777777" w:rsidR="005B1144" w:rsidRPr="00C208E4" w:rsidRDefault="0070285B" w:rsidP="00C208E4">
            <w:pPr>
              <w:pStyle w:val="TableParagraph"/>
              <w:ind w:left="110"/>
            </w:pPr>
            <w:r w:rsidRPr="00C208E4">
              <w:t>Nem gyakori</w:t>
            </w:r>
          </w:p>
        </w:tc>
        <w:tc>
          <w:tcPr>
            <w:tcW w:w="7911" w:type="dxa"/>
          </w:tcPr>
          <w:p w14:paraId="53F63971" w14:textId="77777777" w:rsidR="005B1144" w:rsidRPr="00C208E4" w:rsidRDefault="0070285B" w:rsidP="00C208E4">
            <w:pPr>
              <w:pStyle w:val="TableParagraph"/>
              <w:ind w:left="107"/>
            </w:pPr>
            <w:r w:rsidRPr="00C208E4">
              <w:t>Anaphylaxiás shock</w:t>
            </w:r>
          </w:p>
        </w:tc>
      </w:tr>
      <w:tr w:rsidR="005B1144" w:rsidRPr="00C208E4" w14:paraId="53F63974" w14:textId="77777777" w:rsidTr="002C08C1">
        <w:trPr>
          <w:trHeight w:val="258"/>
        </w:trPr>
        <w:tc>
          <w:tcPr>
            <w:tcW w:w="9639" w:type="dxa"/>
            <w:gridSpan w:val="2"/>
          </w:tcPr>
          <w:p w14:paraId="53F63973" w14:textId="77777777" w:rsidR="005B1144" w:rsidRPr="00C208E4" w:rsidRDefault="0070285B" w:rsidP="00C208E4">
            <w:pPr>
              <w:pStyle w:val="TableParagraph"/>
              <w:ind w:left="110"/>
              <w:rPr>
                <w:b/>
              </w:rPr>
            </w:pPr>
            <w:r w:rsidRPr="00C208E4">
              <w:rPr>
                <w:b/>
              </w:rPr>
              <w:t>Anyagcsere- és táplálkozási betegségek és tünetek</w:t>
            </w:r>
          </w:p>
        </w:tc>
      </w:tr>
      <w:tr w:rsidR="005B1144" w:rsidRPr="00C208E4" w14:paraId="53F63977" w14:textId="77777777" w:rsidTr="002C08C1">
        <w:trPr>
          <w:trHeight w:val="261"/>
        </w:trPr>
        <w:tc>
          <w:tcPr>
            <w:tcW w:w="1728" w:type="dxa"/>
          </w:tcPr>
          <w:p w14:paraId="53F63975" w14:textId="77777777" w:rsidR="005B1144" w:rsidRPr="00C208E4" w:rsidRDefault="0070285B" w:rsidP="00C208E4">
            <w:pPr>
              <w:pStyle w:val="TableParagraph"/>
              <w:ind w:left="110"/>
            </w:pPr>
            <w:r w:rsidRPr="00C208E4">
              <w:t>Nagyon gyakori</w:t>
            </w:r>
          </w:p>
        </w:tc>
        <w:tc>
          <w:tcPr>
            <w:tcW w:w="7911" w:type="dxa"/>
          </w:tcPr>
          <w:p w14:paraId="53F63976" w14:textId="77777777" w:rsidR="005B1144" w:rsidRPr="00C208E4" w:rsidRDefault="0070285B" w:rsidP="00C208E4">
            <w:pPr>
              <w:pStyle w:val="TableParagraph"/>
              <w:ind w:left="107"/>
            </w:pPr>
            <w:r w:rsidRPr="00C208E4">
              <w:t>Csökkent étvágy</w:t>
            </w:r>
          </w:p>
        </w:tc>
      </w:tr>
      <w:tr w:rsidR="005B1144" w:rsidRPr="00C208E4" w14:paraId="53F6397A" w14:textId="77777777" w:rsidTr="002C08C1">
        <w:trPr>
          <w:trHeight w:val="520"/>
        </w:trPr>
        <w:tc>
          <w:tcPr>
            <w:tcW w:w="1728" w:type="dxa"/>
          </w:tcPr>
          <w:p w14:paraId="53F63978" w14:textId="77777777" w:rsidR="005B1144" w:rsidRPr="00C208E4" w:rsidRDefault="0070285B" w:rsidP="00C208E4">
            <w:pPr>
              <w:pStyle w:val="TableParagraph"/>
              <w:ind w:left="110"/>
            </w:pPr>
            <w:r w:rsidRPr="00C208E4">
              <w:t>Gyakori</w:t>
            </w:r>
          </w:p>
        </w:tc>
        <w:tc>
          <w:tcPr>
            <w:tcW w:w="7911" w:type="dxa"/>
          </w:tcPr>
          <w:p w14:paraId="53F63979" w14:textId="73908D7D" w:rsidR="005B1144" w:rsidRPr="00C208E4" w:rsidRDefault="0070285B" w:rsidP="00C208E4">
            <w:pPr>
              <w:pStyle w:val="TableParagraph"/>
              <w:ind w:left="107" w:right="184"/>
            </w:pPr>
            <w:r w:rsidRPr="00C208E4">
              <w:t>Dehydratio, hyperkalaemia (beleértve a vér emelkedett káliumszintjét), hypophosphataemia (beleértve a vér csökkent fosz</w:t>
            </w:r>
            <w:r w:rsidR="008C46C4">
              <w:t>for</w:t>
            </w:r>
            <w:r w:rsidRPr="00C208E4">
              <w:t>szintjét)</w:t>
            </w:r>
          </w:p>
        </w:tc>
      </w:tr>
      <w:tr w:rsidR="005B1144" w:rsidRPr="00C208E4" w14:paraId="53F6397C" w14:textId="77777777" w:rsidTr="002C08C1">
        <w:trPr>
          <w:trHeight w:val="258"/>
        </w:trPr>
        <w:tc>
          <w:tcPr>
            <w:tcW w:w="9639" w:type="dxa"/>
            <w:gridSpan w:val="2"/>
          </w:tcPr>
          <w:p w14:paraId="53F6397B" w14:textId="77777777" w:rsidR="005B1144" w:rsidRPr="00C208E4" w:rsidRDefault="0070285B" w:rsidP="00C208E4">
            <w:pPr>
              <w:pStyle w:val="TableParagraph"/>
              <w:ind w:left="110"/>
              <w:rPr>
                <w:b/>
              </w:rPr>
            </w:pPr>
            <w:r w:rsidRPr="00C208E4">
              <w:rPr>
                <w:b/>
              </w:rPr>
              <w:t>Idegrendszeri betegségek és tünetek</w:t>
            </w:r>
          </w:p>
        </w:tc>
      </w:tr>
      <w:tr w:rsidR="005B1144" w:rsidRPr="00C208E4" w14:paraId="53F6397F" w14:textId="77777777" w:rsidTr="002C08C1">
        <w:trPr>
          <w:trHeight w:val="261"/>
        </w:trPr>
        <w:tc>
          <w:tcPr>
            <w:tcW w:w="1728" w:type="dxa"/>
          </w:tcPr>
          <w:p w14:paraId="53F6397D" w14:textId="77777777" w:rsidR="005B1144" w:rsidRPr="00C208E4" w:rsidRDefault="0070285B" w:rsidP="00C208E4">
            <w:pPr>
              <w:pStyle w:val="TableParagraph"/>
              <w:ind w:left="110"/>
            </w:pPr>
            <w:r w:rsidRPr="00C208E4">
              <w:t>Nagyon gyakori</w:t>
            </w:r>
          </w:p>
        </w:tc>
        <w:tc>
          <w:tcPr>
            <w:tcW w:w="7911" w:type="dxa"/>
          </w:tcPr>
          <w:p w14:paraId="53F6397E" w14:textId="77777777" w:rsidR="005B1144" w:rsidRPr="00C208E4" w:rsidRDefault="0070285B" w:rsidP="00C208E4">
            <w:pPr>
              <w:pStyle w:val="TableParagraph"/>
              <w:ind w:left="107"/>
            </w:pPr>
            <w:r w:rsidRPr="00C208E4">
              <w:t>Szédülés, fejfájás</w:t>
            </w:r>
          </w:p>
        </w:tc>
      </w:tr>
      <w:tr w:rsidR="005B1144" w:rsidRPr="00C208E4" w14:paraId="53F63982" w14:textId="77777777" w:rsidTr="002C08C1">
        <w:trPr>
          <w:trHeight w:val="258"/>
        </w:trPr>
        <w:tc>
          <w:tcPr>
            <w:tcW w:w="1728" w:type="dxa"/>
          </w:tcPr>
          <w:p w14:paraId="53F63980" w14:textId="77777777" w:rsidR="005B1144" w:rsidRPr="00C208E4" w:rsidRDefault="0070285B" w:rsidP="00C208E4">
            <w:pPr>
              <w:pStyle w:val="TableParagraph"/>
              <w:ind w:left="110"/>
            </w:pPr>
            <w:r w:rsidRPr="00C208E4">
              <w:t>Gyakori</w:t>
            </w:r>
          </w:p>
        </w:tc>
        <w:tc>
          <w:tcPr>
            <w:tcW w:w="7911" w:type="dxa"/>
          </w:tcPr>
          <w:p w14:paraId="53F63981" w14:textId="77777777" w:rsidR="005B1144" w:rsidRPr="00C208E4" w:rsidRDefault="0070285B" w:rsidP="00C208E4">
            <w:pPr>
              <w:pStyle w:val="TableParagraph"/>
              <w:ind w:left="107"/>
            </w:pPr>
            <w:r w:rsidRPr="00C208E4">
              <w:t>Dysgeusia</w:t>
            </w:r>
          </w:p>
        </w:tc>
      </w:tr>
      <w:tr w:rsidR="005B1144" w:rsidRPr="00C208E4" w14:paraId="53F63984" w14:textId="77777777" w:rsidTr="002C08C1">
        <w:trPr>
          <w:trHeight w:val="261"/>
        </w:trPr>
        <w:tc>
          <w:tcPr>
            <w:tcW w:w="9639" w:type="dxa"/>
            <w:gridSpan w:val="2"/>
          </w:tcPr>
          <w:p w14:paraId="53F63983" w14:textId="77777777" w:rsidR="005B1144" w:rsidRPr="00C208E4" w:rsidRDefault="0070285B" w:rsidP="00C208E4">
            <w:pPr>
              <w:pStyle w:val="TableParagraph"/>
              <w:ind w:left="110"/>
              <w:rPr>
                <w:b/>
              </w:rPr>
            </w:pPr>
            <w:r w:rsidRPr="00C208E4">
              <w:rPr>
                <w:b/>
              </w:rPr>
              <w:t>A fül és az egyensúlyérzékelő szerv betegségei és tünetei</w:t>
            </w:r>
          </w:p>
        </w:tc>
      </w:tr>
      <w:tr w:rsidR="005B1144" w:rsidRPr="00C208E4" w14:paraId="53F63987" w14:textId="77777777" w:rsidTr="002C08C1">
        <w:trPr>
          <w:trHeight w:val="258"/>
        </w:trPr>
        <w:tc>
          <w:tcPr>
            <w:tcW w:w="1728" w:type="dxa"/>
          </w:tcPr>
          <w:p w14:paraId="53F63985" w14:textId="77777777" w:rsidR="005B1144" w:rsidRPr="00C208E4" w:rsidRDefault="0070285B" w:rsidP="00C208E4">
            <w:pPr>
              <w:pStyle w:val="TableParagraph"/>
              <w:ind w:left="110"/>
            </w:pPr>
            <w:r w:rsidRPr="00C208E4">
              <w:t>Gyakori</w:t>
            </w:r>
          </w:p>
        </w:tc>
        <w:tc>
          <w:tcPr>
            <w:tcW w:w="7911" w:type="dxa"/>
          </w:tcPr>
          <w:p w14:paraId="53F63986" w14:textId="77777777" w:rsidR="005B1144" w:rsidRPr="00C208E4" w:rsidRDefault="0070285B" w:rsidP="00C208E4">
            <w:pPr>
              <w:pStyle w:val="TableParagraph"/>
              <w:ind w:left="107"/>
            </w:pPr>
            <w:r w:rsidRPr="00C208E4">
              <w:t>Tinnitus</w:t>
            </w:r>
          </w:p>
        </w:tc>
      </w:tr>
      <w:tr w:rsidR="005B1144" w:rsidRPr="00C208E4" w14:paraId="53F63989" w14:textId="77777777" w:rsidTr="002C08C1">
        <w:trPr>
          <w:trHeight w:val="261"/>
        </w:trPr>
        <w:tc>
          <w:tcPr>
            <w:tcW w:w="9639" w:type="dxa"/>
            <w:gridSpan w:val="2"/>
          </w:tcPr>
          <w:p w14:paraId="53F63988" w14:textId="77777777" w:rsidR="005B1144" w:rsidRPr="00C208E4" w:rsidRDefault="0070285B" w:rsidP="00C208E4">
            <w:pPr>
              <w:pStyle w:val="TableParagraph"/>
              <w:ind w:left="110"/>
              <w:rPr>
                <w:b/>
              </w:rPr>
            </w:pPr>
            <w:r w:rsidRPr="00C208E4">
              <w:rPr>
                <w:b/>
              </w:rPr>
              <w:t>Szívbetegségek és a szívvel kapcsolatos tünetek</w:t>
            </w:r>
          </w:p>
        </w:tc>
      </w:tr>
      <w:tr w:rsidR="005B1144" w:rsidRPr="00C208E4" w14:paraId="53F6398C" w14:textId="77777777" w:rsidTr="002C08C1">
        <w:trPr>
          <w:trHeight w:val="258"/>
        </w:trPr>
        <w:tc>
          <w:tcPr>
            <w:tcW w:w="1728" w:type="dxa"/>
          </w:tcPr>
          <w:p w14:paraId="53F6398A" w14:textId="77777777" w:rsidR="005B1144" w:rsidRPr="00C208E4" w:rsidRDefault="0070285B" w:rsidP="00C208E4">
            <w:pPr>
              <w:pStyle w:val="TableParagraph"/>
              <w:ind w:left="110"/>
            </w:pPr>
            <w:r w:rsidRPr="00C208E4">
              <w:t>Gyakori</w:t>
            </w:r>
          </w:p>
        </w:tc>
        <w:tc>
          <w:tcPr>
            <w:tcW w:w="7911" w:type="dxa"/>
          </w:tcPr>
          <w:p w14:paraId="53F6398B" w14:textId="77777777" w:rsidR="005B1144" w:rsidRPr="00C208E4" w:rsidRDefault="0070285B" w:rsidP="00C208E4">
            <w:pPr>
              <w:pStyle w:val="TableParagraph"/>
              <w:ind w:left="107"/>
            </w:pPr>
            <w:r w:rsidRPr="00C208E4">
              <w:t>Pericardialis folyadékgyülem</w:t>
            </w:r>
          </w:p>
        </w:tc>
      </w:tr>
      <w:tr w:rsidR="005B1144" w:rsidRPr="00C208E4" w14:paraId="53F6398F" w14:textId="77777777" w:rsidTr="002C08C1">
        <w:trPr>
          <w:trHeight w:val="261"/>
        </w:trPr>
        <w:tc>
          <w:tcPr>
            <w:tcW w:w="1728" w:type="dxa"/>
          </w:tcPr>
          <w:p w14:paraId="53F6398D" w14:textId="77777777" w:rsidR="005B1144" w:rsidRPr="00C208E4" w:rsidRDefault="0070285B" w:rsidP="00C208E4">
            <w:pPr>
              <w:pStyle w:val="TableParagraph"/>
              <w:ind w:left="110"/>
            </w:pPr>
            <w:r w:rsidRPr="00C208E4">
              <w:t>Nem gyakori</w:t>
            </w:r>
          </w:p>
        </w:tc>
        <w:tc>
          <w:tcPr>
            <w:tcW w:w="7911" w:type="dxa"/>
          </w:tcPr>
          <w:p w14:paraId="53F6398E" w14:textId="77777777" w:rsidR="005B1144" w:rsidRPr="00C208E4" w:rsidRDefault="0070285B" w:rsidP="00C208E4">
            <w:pPr>
              <w:pStyle w:val="TableParagraph"/>
              <w:ind w:left="107"/>
            </w:pPr>
            <w:r w:rsidRPr="00C208E4">
              <w:t>Pericarditis</w:t>
            </w:r>
          </w:p>
        </w:tc>
      </w:tr>
      <w:tr w:rsidR="005B1144" w:rsidRPr="00C208E4" w14:paraId="53F63991" w14:textId="77777777" w:rsidTr="002C08C1">
        <w:trPr>
          <w:trHeight w:val="258"/>
        </w:trPr>
        <w:tc>
          <w:tcPr>
            <w:tcW w:w="9639" w:type="dxa"/>
            <w:gridSpan w:val="2"/>
          </w:tcPr>
          <w:p w14:paraId="53F63990" w14:textId="77777777" w:rsidR="005B1144" w:rsidRPr="00C208E4" w:rsidRDefault="0070285B" w:rsidP="00C208E4">
            <w:pPr>
              <w:pStyle w:val="TableParagraph"/>
              <w:ind w:left="110"/>
              <w:rPr>
                <w:b/>
              </w:rPr>
            </w:pPr>
            <w:r w:rsidRPr="00C208E4">
              <w:rPr>
                <w:b/>
              </w:rPr>
              <w:t>Érbetegségek és tünetek</w:t>
            </w:r>
          </w:p>
        </w:tc>
      </w:tr>
      <w:tr w:rsidR="005B1144" w:rsidRPr="00C208E4" w14:paraId="53F63995" w14:textId="77777777" w:rsidTr="002C08C1">
        <w:trPr>
          <w:trHeight w:val="520"/>
        </w:trPr>
        <w:tc>
          <w:tcPr>
            <w:tcW w:w="1728" w:type="dxa"/>
          </w:tcPr>
          <w:p w14:paraId="53F63992" w14:textId="77777777" w:rsidR="005B1144" w:rsidRPr="00C208E4" w:rsidRDefault="0070285B" w:rsidP="00C208E4">
            <w:pPr>
              <w:pStyle w:val="TableParagraph"/>
              <w:ind w:left="110"/>
            </w:pPr>
            <w:r w:rsidRPr="00C208E4">
              <w:t>Gyakori</w:t>
            </w:r>
          </w:p>
        </w:tc>
        <w:tc>
          <w:tcPr>
            <w:tcW w:w="7911" w:type="dxa"/>
          </w:tcPr>
          <w:p w14:paraId="53F63994" w14:textId="762FA180" w:rsidR="005B1144" w:rsidRPr="00C208E4" w:rsidRDefault="0070285B" w:rsidP="00C208E4">
            <w:pPr>
              <w:pStyle w:val="TableParagraph"/>
              <w:ind w:left="107"/>
            </w:pPr>
            <w:r w:rsidRPr="00C208E4">
              <w:t>Hypertonia (beleértve az emelkedett vérnyomást, az emelkedett szisztolés</w:t>
            </w:r>
            <w:r w:rsidR="004132F0" w:rsidRPr="00C208E4">
              <w:t xml:space="preserve"> </w:t>
            </w:r>
            <w:r w:rsidRPr="00C208E4">
              <w:t>vérnyomást, az essentialis hypertoniát, a hypertoniás krízist)</w:t>
            </w:r>
          </w:p>
        </w:tc>
      </w:tr>
      <w:tr w:rsidR="005B1144" w:rsidRPr="00C208E4" w14:paraId="53F63997" w14:textId="77777777" w:rsidTr="002C08C1">
        <w:trPr>
          <w:trHeight w:val="261"/>
        </w:trPr>
        <w:tc>
          <w:tcPr>
            <w:tcW w:w="9639" w:type="dxa"/>
            <w:gridSpan w:val="2"/>
          </w:tcPr>
          <w:p w14:paraId="53F63996" w14:textId="77777777" w:rsidR="005B1144" w:rsidRPr="00C208E4" w:rsidRDefault="0070285B" w:rsidP="0030598E">
            <w:pPr>
              <w:pStyle w:val="TableParagraph"/>
              <w:keepNext/>
              <w:ind w:left="110"/>
              <w:rPr>
                <w:b/>
              </w:rPr>
            </w:pPr>
            <w:r w:rsidRPr="00C208E4">
              <w:rPr>
                <w:b/>
              </w:rPr>
              <w:t>Légzőrendszeri, mellkasi és mediastinalis betegségek és tünetek</w:t>
            </w:r>
          </w:p>
        </w:tc>
      </w:tr>
      <w:tr w:rsidR="005B1144" w:rsidRPr="00C208E4" w14:paraId="53F6399A" w14:textId="77777777" w:rsidTr="002C08C1">
        <w:trPr>
          <w:trHeight w:val="258"/>
        </w:trPr>
        <w:tc>
          <w:tcPr>
            <w:tcW w:w="1728" w:type="dxa"/>
          </w:tcPr>
          <w:p w14:paraId="53F63998" w14:textId="77777777" w:rsidR="005B1144" w:rsidRPr="00C208E4" w:rsidRDefault="0070285B" w:rsidP="0030598E">
            <w:pPr>
              <w:pStyle w:val="TableParagraph"/>
              <w:keepNext/>
              <w:ind w:left="110"/>
            </w:pPr>
            <w:r w:rsidRPr="00C208E4">
              <w:t>Nagyon gyakori</w:t>
            </w:r>
          </w:p>
        </w:tc>
        <w:tc>
          <w:tcPr>
            <w:tcW w:w="7911" w:type="dxa"/>
          </w:tcPr>
          <w:p w14:paraId="53F63999" w14:textId="77777777" w:rsidR="005B1144" w:rsidRPr="00C208E4" w:rsidRDefault="0070285B" w:rsidP="0030598E">
            <w:pPr>
              <w:pStyle w:val="TableParagraph"/>
              <w:keepNext/>
              <w:ind w:left="107"/>
            </w:pPr>
            <w:r w:rsidRPr="00C208E4">
              <w:t>Pleuralis folyadékgyülem, dyspnoe, köhögés</w:t>
            </w:r>
          </w:p>
        </w:tc>
      </w:tr>
      <w:tr w:rsidR="005B1144" w:rsidRPr="00C208E4" w14:paraId="53F6399E" w14:textId="77777777" w:rsidTr="002C08C1">
        <w:trPr>
          <w:trHeight w:val="520"/>
        </w:trPr>
        <w:tc>
          <w:tcPr>
            <w:tcW w:w="1728" w:type="dxa"/>
          </w:tcPr>
          <w:p w14:paraId="53F6399B" w14:textId="77777777" w:rsidR="005B1144" w:rsidRPr="00C208E4" w:rsidRDefault="0070285B" w:rsidP="00C208E4">
            <w:pPr>
              <w:pStyle w:val="TableParagraph"/>
              <w:ind w:left="110"/>
            </w:pPr>
            <w:r w:rsidRPr="00C208E4">
              <w:t>Gyakori</w:t>
            </w:r>
          </w:p>
        </w:tc>
        <w:tc>
          <w:tcPr>
            <w:tcW w:w="7911" w:type="dxa"/>
          </w:tcPr>
          <w:p w14:paraId="53F6399D" w14:textId="762E3812" w:rsidR="005B1144" w:rsidRPr="00C208E4" w:rsidRDefault="0070285B" w:rsidP="00C208E4">
            <w:pPr>
              <w:pStyle w:val="TableParagraph"/>
              <w:ind w:left="107"/>
            </w:pPr>
            <w:r w:rsidRPr="00C208E4">
              <w:t>Pulmonalis hypertonia (beleértve a pulmonalis artériás hypertoniát,</w:t>
            </w:r>
            <w:r w:rsidR="004132F0" w:rsidRPr="00C208E4">
              <w:t xml:space="preserve"> </w:t>
            </w:r>
            <w:r w:rsidRPr="00C208E4">
              <w:t>emelkedett pulmonalis artériás nyomást), légzési elégtelenség</w:t>
            </w:r>
          </w:p>
        </w:tc>
      </w:tr>
      <w:tr w:rsidR="005B1144" w:rsidRPr="00C208E4" w14:paraId="53F639A1" w14:textId="77777777" w:rsidTr="002C08C1">
        <w:trPr>
          <w:trHeight w:val="258"/>
        </w:trPr>
        <w:tc>
          <w:tcPr>
            <w:tcW w:w="1728" w:type="dxa"/>
          </w:tcPr>
          <w:p w14:paraId="53F6399F" w14:textId="77777777" w:rsidR="005B1144" w:rsidRPr="00C208E4" w:rsidRDefault="0070285B" w:rsidP="00C208E4">
            <w:pPr>
              <w:pStyle w:val="TableParagraph"/>
              <w:ind w:left="110"/>
            </w:pPr>
            <w:r w:rsidRPr="00C208E4">
              <w:t>Nem gyakori</w:t>
            </w:r>
          </w:p>
        </w:tc>
        <w:tc>
          <w:tcPr>
            <w:tcW w:w="7911" w:type="dxa"/>
          </w:tcPr>
          <w:p w14:paraId="53F639A0" w14:textId="77777777" w:rsidR="005B1144" w:rsidRPr="00C208E4" w:rsidRDefault="0070285B" w:rsidP="00C208E4">
            <w:pPr>
              <w:pStyle w:val="TableParagraph"/>
              <w:ind w:left="107"/>
            </w:pPr>
            <w:r w:rsidRPr="00C208E4">
              <w:t>Akut tüdőoedema (beleértve a pulmonalis oedemát)</w:t>
            </w:r>
          </w:p>
        </w:tc>
      </w:tr>
      <w:tr w:rsidR="005B1144" w:rsidRPr="00C208E4" w14:paraId="53F639A4" w14:textId="77777777" w:rsidTr="002C08C1">
        <w:trPr>
          <w:trHeight w:val="261"/>
        </w:trPr>
        <w:tc>
          <w:tcPr>
            <w:tcW w:w="1728" w:type="dxa"/>
          </w:tcPr>
          <w:p w14:paraId="53F639A2" w14:textId="77777777" w:rsidR="005B1144" w:rsidRPr="00C208E4" w:rsidRDefault="0070285B" w:rsidP="00C208E4">
            <w:pPr>
              <w:pStyle w:val="TableParagraph"/>
              <w:ind w:left="110"/>
            </w:pPr>
            <w:r w:rsidRPr="00C208E4">
              <w:t>Nem ismert</w:t>
            </w:r>
          </w:p>
        </w:tc>
        <w:tc>
          <w:tcPr>
            <w:tcW w:w="7911" w:type="dxa"/>
          </w:tcPr>
          <w:p w14:paraId="53F639A3" w14:textId="77777777" w:rsidR="005B1144" w:rsidRPr="00C208E4" w:rsidRDefault="0070285B" w:rsidP="00C208E4">
            <w:pPr>
              <w:pStyle w:val="TableParagraph"/>
              <w:ind w:left="107"/>
            </w:pPr>
            <w:r w:rsidRPr="00C208E4">
              <w:t>Interstitialis tüdőbetegség</w:t>
            </w:r>
          </w:p>
        </w:tc>
      </w:tr>
      <w:tr w:rsidR="005B1144" w:rsidRPr="00C208E4" w14:paraId="53F639A6" w14:textId="77777777" w:rsidTr="002C08C1">
        <w:trPr>
          <w:trHeight w:val="258"/>
        </w:trPr>
        <w:tc>
          <w:tcPr>
            <w:tcW w:w="9639" w:type="dxa"/>
            <w:gridSpan w:val="2"/>
          </w:tcPr>
          <w:p w14:paraId="53F639A5" w14:textId="77777777" w:rsidR="005B1144" w:rsidRPr="00C208E4" w:rsidRDefault="0070285B" w:rsidP="00C208E4">
            <w:pPr>
              <w:pStyle w:val="TableParagraph"/>
              <w:ind w:left="110"/>
              <w:rPr>
                <w:b/>
              </w:rPr>
            </w:pPr>
            <w:r w:rsidRPr="00C208E4">
              <w:rPr>
                <w:b/>
              </w:rPr>
              <w:t>Emésztőrendszeri betegségek és tünetek</w:t>
            </w:r>
          </w:p>
        </w:tc>
      </w:tr>
      <w:tr w:rsidR="005B1144" w:rsidRPr="00C208E4" w14:paraId="53F639A9" w14:textId="77777777" w:rsidTr="002C08C1">
        <w:trPr>
          <w:trHeight w:val="782"/>
        </w:trPr>
        <w:tc>
          <w:tcPr>
            <w:tcW w:w="1728" w:type="dxa"/>
          </w:tcPr>
          <w:p w14:paraId="53F639A7" w14:textId="77777777" w:rsidR="005B1144" w:rsidRPr="00C208E4" w:rsidRDefault="0070285B" w:rsidP="00C208E4">
            <w:pPr>
              <w:pStyle w:val="TableParagraph"/>
              <w:ind w:left="110"/>
            </w:pPr>
            <w:r w:rsidRPr="00C208E4">
              <w:t>Nagyon gyakori</w:t>
            </w:r>
          </w:p>
        </w:tc>
        <w:tc>
          <w:tcPr>
            <w:tcW w:w="7911" w:type="dxa"/>
          </w:tcPr>
          <w:p w14:paraId="53F639A8" w14:textId="0B90E88D" w:rsidR="005B1144" w:rsidRPr="00C208E4" w:rsidRDefault="0070285B" w:rsidP="008C46C4">
            <w:pPr>
              <w:pStyle w:val="TableParagraph"/>
              <w:ind w:left="107" w:right="184"/>
            </w:pPr>
            <w:r w:rsidRPr="00C208E4">
              <w:t xml:space="preserve">Hasmenés, hányás, hányinger, hasi fájdalom (beleértve a hasi diszkomfortot, alhasi fájdalmat, </w:t>
            </w:r>
            <w:r w:rsidR="008C46C4">
              <w:t>gyomortáji</w:t>
            </w:r>
            <w:r w:rsidR="008C46C4" w:rsidRPr="00C208E4">
              <w:t xml:space="preserve"> </w:t>
            </w:r>
            <w:r w:rsidRPr="00C208E4">
              <w:t>fájdalmat, hasi érzékenységet, gastrointestinalis fájdalmat)</w:t>
            </w:r>
          </w:p>
        </w:tc>
      </w:tr>
      <w:tr w:rsidR="005B1144" w:rsidRPr="00C208E4" w14:paraId="53F639AD" w14:textId="77777777" w:rsidTr="002C08C1">
        <w:trPr>
          <w:trHeight w:val="1038"/>
        </w:trPr>
        <w:tc>
          <w:tcPr>
            <w:tcW w:w="1728" w:type="dxa"/>
          </w:tcPr>
          <w:p w14:paraId="53F639AA" w14:textId="77777777" w:rsidR="005B1144" w:rsidRPr="00C208E4" w:rsidRDefault="0070285B" w:rsidP="00C208E4">
            <w:pPr>
              <w:pStyle w:val="TableParagraph"/>
              <w:ind w:left="110"/>
            </w:pPr>
            <w:r w:rsidRPr="00C208E4">
              <w:t>Gyakori</w:t>
            </w:r>
          </w:p>
        </w:tc>
        <w:tc>
          <w:tcPr>
            <w:tcW w:w="7911" w:type="dxa"/>
          </w:tcPr>
          <w:p w14:paraId="53F639AC" w14:textId="6E7C1456" w:rsidR="005B1144" w:rsidRPr="00C208E4" w:rsidRDefault="0070285B" w:rsidP="00C208E4">
            <w:pPr>
              <w:pStyle w:val="TableParagraph"/>
              <w:ind w:left="107" w:right="184"/>
            </w:pPr>
            <w:r w:rsidRPr="00C208E4">
              <w:t>Gastrointestinalis haemorrhagia (beleértve a végbélvérzést, a gyomorvérzést, intestinalis haemorrhagiát, a tápcsatorna alsó részéről eredő vérzést, rectalis haemorrhagiát, felső gastrointestinalis haemorrhagi</w:t>
            </w:r>
            <w:r w:rsidR="00F13EAF" w:rsidRPr="00C208E4">
              <w:t>át)</w:t>
            </w:r>
            <w:r w:rsidRPr="00C208E4">
              <w:t>, pancreatitis (beleértve</w:t>
            </w:r>
            <w:r w:rsidR="002462C9" w:rsidRPr="00C208E4">
              <w:t xml:space="preserve"> </w:t>
            </w:r>
            <w:r w:rsidRPr="00C208E4">
              <w:t>az akut pancreatitist), gastritis</w:t>
            </w:r>
          </w:p>
        </w:tc>
      </w:tr>
      <w:tr w:rsidR="005B1144" w:rsidRPr="00C208E4" w14:paraId="53F639AF" w14:textId="77777777" w:rsidTr="002C08C1">
        <w:trPr>
          <w:trHeight w:val="261"/>
        </w:trPr>
        <w:tc>
          <w:tcPr>
            <w:tcW w:w="9639" w:type="dxa"/>
            <w:gridSpan w:val="2"/>
          </w:tcPr>
          <w:p w14:paraId="53F639AE" w14:textId="513631AD" w:rsidR="005B1144" w:rsidRPr="00C208E4" w:rsidRDefault="0070285B" w:rsidP="00C208E4">
            <w:pPr>
              <w:pStyle w:val="TableParagraph"/>
              <w:ind w:left="110"/>
              <w:rPr>
                <w:b/>
              </w:rPr>
            </w:pPr>
            <w:r w:rsidRPr="00C208E4">
              <w:rPr>
                <w:b/>
              </w:rPr>
              <w:t xml:space="preserve">Máj- és epebetegségek, </w:t>
            </w:r>
            <w:r w:rsidR="00601929">
              <w:rPr>
                <w:b/>
              </w:rPr>
              <w:t>ill.</w:t>
            </w:r>
            <w:r w:rsidRPr="00C208E4">
              <w:rPr>
                <w:b/>
              </w:rPr>
              <w:t xml:space="preserve"> tünetek</w:t>
            </w:r>
          </w:p>
        </w:tc>
      </w:tr>
      <w:tr w:rsidR="005B1144" w:rsidRPr="00C208E4" w14:paraId="53F639B3" w14:textId="77777777" w:rsidTr="002C08C1">
        <w:trPr>
          <w:trHeight w:val="1038"/>
        </w:trPr>
        <w:tc>
          <w:tcPr>
            <w:tcW w:w="1728" w:type="dxa"/>
          </w:tcPr>
          <w:p w14:paraId="53F639B0" w14:textId="77777777" w:rsidR="005B1144" w:rsidRPr="00C208E4" w:rsidRDefault="0070285B" w:rsidP="00C208E4">
            <w:pPr>
              <w:pStyle w:val="TableParagraph"/>
              <w:ind w:left="110"/>
            </w:pPr>
            <w:r w:rsidRPr="00C208E4">
              <w:t>Gyakori</w:t>
            </w:r>
          </w:p>
        </w:tc>
        <w:tc>
          <w:tcPr>
            <w:tcW w:w="7911" w:type="dxa"/>
          </w:tcPr>
          <w:p w14:paraId="53F639B2" w14:textId="0E823502" w:rsidR="005B1144" w:rsidRPr="00C208E4" w:rsidRDefault="0070285B" w:rsidP="00C208E4">
            <w:pPr>
              <w:pStyle w:val="TableParagraph"/>
              <w:ind w:left="107"/>
            </w:pPr>
            <w:r w:rsidRPr="00C208E4">
              <w:t>Hepatotoxicitás (beleértve a hepatitist, a toxikus hepatitist, a májbetegséget), kóros májfunkció (beleértve az emelkedett májenzimszintet, a kóros májfunkciós vizsgálatot, a májfunkciós vizsgálat eredményének emelkedését,</w:t>
            </w:r>
            <w:r w:rsidR="002462C9" w:rsidRPr="00C208E4">
              <w:t xml:space="preserve"> </w:t>
            </w:r>
            <w:r w:rsidRPr="00C208E4">
              <w:t>a transzaminázszintek emelkedését)</w:t>
            </w:r>
          </w:p>
        </w:tc>
      </w:tr>
      <w:tr w:rsidR="005B1144" w:rsidRPr="00C208E4" w14:paraId="53F639B7" w14:textId="77777777" w:rsidTr="002C08C1">
        <w:trPr>
          <w:trHeight w:val="520"/>
        </w:trPr>
        <w:tc>
          <w:tcPr>
            <w:tcW w:w="1728" w:type="dxa"/>
          </w:tcPr>
          <w:p w14:paraId="53F639B4" w14:textId="77777777" w:rsidR="005B1144" w:rsidRPr="00C208E4" w:rsidRDefault="0070285B" w:rsidP="00C208E4">
            <w:pPr>
              <w:pStyle w:val="TableParagraph"/>
              <w:ind w:left="110"/>
            </w:pPr>
            <w:r w:rsidRPr="00C208E4">
              <w:t>Nem gyakori</w:t>
            </w:r>
          </w:p>
        </w:tc>
        <w:tc>
          <w:tcPr>
            <w:tcW w:w="7911" w:type="dxa"/>
          </w:tcPr>
          <w:p w14:paraId="53F639B6" w14:textId="1DD9B438" w:rsidR="005B1144" w:rsidRPr="00C208E4" w:rsidRDefault="0070285B" w:rsidP="00C208E4">
            <w:pPr>
              <w:pStyle w:val="TableParagraph"/>
              <w:ind w:left="107"/>
            </w:pPr>
            <w:r w:rsidRPr="00C208E4">
              <w:t>Májkárosodás (beleértve a gyógyszer okozta májkárosodást,</w:t>
            </w:r>
            <w:r w:rsidR="002462C9" w:rsidRPr="00C208E4">
              <w:t xml:space="preserve"> </w:t>
            </w:r>
            <w:r w:rsidRPr="00C208E4">
              <w:t>hepatocellularis károsodás</w:t>
            </w:r>
            <w:r w:rsidR="00F13EAF" w:rsidRPr="00C208E4">
              <w:t>t is</w:t>
            </w:r>
            <w:r w:rsidRPr="00C208E4">
              <w:t>)</w:t>
            </w:r>
          </w:p>
        </w:tc>
      </w:tr>
      <w:tr w:rsidR="005B1144" w:rsidRPr="00C208E4" w14:paraId="53F639B9" w14:textId="77777777" w:rsidTr="002C08C1">
        <w:trPr>
          <w:trHeight w:val="258"/>
        </w:trPr>
        <w:tc>
          <w:tcPr>
            <w:tcW w:w="9639" w:type="dxa"/>
            <w:gridSpan w:val="2"/>
          </w:tcPr>
          <w:p w14:paraId="53F639B8" w14:textId="77777777" w:rsidR="005B1144" w:rsidRPr="00C208E4" w:rsidRDefault="0070285B" w:rsidP="00C208E4">
            <w:pPr>
              <w:pStyle w:val="TableParagraph"/>
              <w:ind w:left="110"/>
              <w:rPr>
                <w:b/>
              </w:rPr>
            </w:pPr>
            <w:r w:rsidRPr="00C208E4">
              <w:rPr>
                <w:b/>
              </w:rPr>
              <w:t>A bőr és a bőr alatti szövet betegségei és tünetei</w:t>
            </w:r>
          </w:p>
        </w:tc>
      </w:tr>
      <w:tr w:rsidR="005B1144" w:rsidRPr="00C208E4" w14:paraId="53F639BC" w14:textId="77777777" w:rsidTr="002C08C1">
        <w:trPr>
          <w:trHeight w:val="520"/>
        </w:trPr>
        <w:tc>
          <w:tcPr>
            <w:tcW w:w="1728" w:type="dxa"/>
          </w:tcPr>
          <w:p w14:paraId="53F639BA" w14:textId="77777777" w:rsidR="005B1144" w:rsidRPr="00C208E4" w:rsidRDefault="0070285B" w:rsidP="00C208E4">
            <w:pPr>
              <w:pStyle w:val="TableParagraph"/>
              <w:ind w:left="110"/>
            </w:pPr>
            <w:r w:rsidRPr="00C208E4">
              <w:t>Nagyon gyakori</w:t>
            </w:r>
          </w:p>
        </w:tc>
        <w:tc>
          <w:tcPr>
            <w:tcW w:w="7911" w:type="dxa"/>
          </w:tcPr>
          <w:p w14:paraId="53F639BB" w14:textId="77777777" w:rsidR="005B1144" w:rsidRPr="00C208E4" w:rsidRDefault="0070285B" w:rsidP="00C208E4">
            <w:pPr>
              <w:pStyle w:val="TableParagraph"/>
              <w:ind w:left="107"/>
            </w:pPr>
            <w:r w:rsidRPr="00C208E4">
              <w:t>Kiütés (beleértve a maculosus kiütést, a maculopapulosus kiütést, a papulosus kiütést, a viszkető kiütést), pruritus</w:t>
            </w:r>
          </w:p>
        </w:tc>
      </w:tr>
      <w:tr w:rsidR="005B1144" w:rsidRPr="00C208E4" w14:paraId="53F639C0" w14:textId="77777777" w:rsidTr="002C08C1">
        <w:trPr>
          <w:trHeight w:val="520"/>
        </w:trPr>
        <w:tc>
          <w:tcPr>
            <w:tcW w:w="1728" w:type="dxa"/>
          </w:tcPr>
          <w:p w14:paraId="53F639BD" w14:textId="77777777" w:rsidR="005B1144" w:rsidRPr="00C208E4" w:rsidRDefault="0070285B" w:rsidP="00C208E4">
            <w:pPr>
              <w:pStyle w:val="TableParagraph"/>
              <w:ind w:left="110"/>
            </w:pPr>
            <w:r w:rsidRPr="00C208E4">
              <w:t>Gyakori</w:t>
            </w:r>
          </w:p>
        </w:tc>
        <w:tc>
          <w:tcPr>
            <w:tcW w:w="7911" w:type="dxa"/>
          </w:tcPr>
          <w:p w14:paraId="53F639BE" w14:textId="77777777" w:rsidR="005B1144" w:rsidRPr="00C208E4" w:rsidRDefault="0070285B" w:rsidP="00C208E4">
            <w:pPr>
              <w:pStyle w:val="TableParagraph"/>
              <w:ind w:left="107"/>
            </w:pPr>
            <w:r w:rsidRPr="00C208E4">
              <w:t>Fényérzékenységi reakció (beleértve a polimorf fényexanthemát), urticaria,</w:t>
            </w:r>
          </w:p>
          <w:p w14:paraId="53F639BF" w14:textId="576978DA" w:rsidR="005B1144" w:rsidRPr="00C208E4" w:rsidRDefault="0070285B" w:rsidP="00C208E4">
            <w:pPr>
              <w:pStyle w:val="TableParagraph"/>
              <w:ind w:left="107"/>
            </w:pPr>
            <w:r w:rsidRPr="00C208E4">
              <w:t>ac</w:t>
            </w:r>
            <w:r w:rsidR="00DF0809" w:rsidRPr="00C208E4">
              <w:t>ne</w:t>
            </w:r>
          </w:p>
        </w:tc>
      </w:tr>
      <w:tr w:rsidR="005B1144" w:rsidRPr="00C208E4" w14:paraId="53F639C3" w14:textId="77777777" w:rsidTr="002C08C1">
        <w:trPr>
          <w:trHeight w:val="261"/>
        </w:trPr>
        <w:tc>
          <w:tcPr>
            <w:tcW w:w="1728" w:type="dxa"/>
          </w:tcPr>
          <w:p w14:paraId="53F639C1" w14:textId="77777777" w:rsidR="005B1144" w:rsidRPr="00C208E4" w:rsidRDefault="0070285B" w:rsidP="00C208E4">
            <w:pPr>
              <w:pStyle w:val="TableParagraph"/>
              <w:ind w:left="110"/>
            </w:pPr>
            <w:r w:rsidRPr="00C208E4">
              <w:t>Nem gyakori</w:t>
            </w:r>
          </w:p>
        </w:tc>
        <w:tc>
          <w:tcPr>
            <w:tcW w:w="7911" w:type="dxa"/>
          </w:tcPr>
          <w:p w14:paraId="53F639C2" w14:textId="77777777" w:rsidR="005B1144" w:rsidRPr="00C208E4" w:rsidRDefault="0070285B" w:rsidP="00C208E4">
            <w:pPr>
              <w:pStyle w:val="TableParagraph"/>
              <w:ind w:left="107"/>
            </w:pPr>
            <w:r w:rsidRPr="00C208E4">
              <w:t>Erythema multiforme, exfoliatív bőrkiütés, gyógyszer okozta eruptio</w:t>
            </w:r>
          </w:p>
        </w:tc>
      </w:tr>
      <w:tr w:rsidR="005B1144" w:rsidRPr="00C208E4" w14:paraId="53F639C6" w14:textId="77777777" w:rsidTr="002C08C1">
        <w:trPr>
          <w:trHeight w:val="258"/>
        </w:trPr>
        <w:tc>
          <w:tcPr>
            <w:tcW w:w="1728" w:type="dxa"/>
          </w:tcPr>
          <w:p w14:paraId="53F639C4" w14:textId="77777777" w:rsidR="005B1144" w:rsidRPr="00C208E4" w:rsidRDefault="0070285B" w:rsidP="00C208E4">
            <w:pPr>
              <w:pStyle w:val="TableParagraph"/>
              <w:ind w:left="110"/>
            </w:pPr>
            <w:r w:rsidRPr="00C208E4">
              <w:t>Nem ismert</w:t>
            </w:r>
          </w:p>
        </w:tc>
        <w:tc>
          <w:tcPr>
            <w:tcW w:w="7911" w:type="dxa"/>
          </w:tcPr>
          <w:p w14:paraId="53F639C5" w14:textId="10DA76D0" w:rsidR="005B1144" w:rsidRPr="00C208E4" w:rsidRDefault="0070285B" w:rsidP="00C208E4">
            <w:pPr>
              <w:pStyle w:val="TableParagraph"/>
              <w:ind w:left="107"/>
            </w:pPr>
            <w:r w:rsidRPr="00C208E4">
              <w:t>Stevens–Johnson-szindróma</w:t>
            </w:r>
            <w:r w:rsidRPr="0030598E">
              <w:t>**</w:t>
            </w:r>
            <w:r w:rsidRPr="008C46C4">
              <w:t>, toxicus epidermalis necrolysis</w:t>
            </w:r>
            <w:r w:rsidRPr="0030598E">
              <w:t>**</w:t>
            </w:r>
          </w:p>
        </w:tc>
      </w:tr>
      <w:tr w:rsidR="005B1144" w:rsidRPr="00C208E4" w14:paraId="53F639C8" w14:textId="77777777" w:rsidTr="002C08C1">
        <w:trPr>
          <w:trHeight w:val="261"/>
        </w:trPr>
        <w:tc>
          <w:tcPr>
            <w:tcW w:w="9639" w:type="dxa"/>
            <w:gridSpan w:val="2"/>
          </w:tcPr>
          <w:p w14:paraId="53F639C7" w14:textId="77777777" w:rsidR="005B1144" w:rsidRPr="00C208E4" w:rsidRDefault="0070285B" w:rsidP="00C208E4">
            <w:pPr>
              <w:pStyle w:val="TableParagraph"/>
              <w:ind w:left="110"/>
              <w:rPr>
                <w:b/>
              </w:rPr>
            </w:pPr>
            <w:r w:rsidRPr="00C208E4">
              <w:rPr>
                <w:b/>
              </w:rPr>
              <w:t>A csont- és izomrendszer, valamint a kötőszövet betegségei és tünetei</w:t>
            </w:r>
          </w:p>
        </w:tc>
      </w:tr>
      <w:tr w:rsidR="005B1144" w:rsidRPr="00C208E4" w14:paraId="53F639CB" w14:textId="77777777" w:rsidTr="002C08C1">
        <w:trPr>
          <w:trHeight w:val="258"/>
        </w:trPr>
        <w:tc>
          <w:tcPr>
            <w:tcW w:w="1728" w:type="dxa"/>
          </w:tcPr>
          <w:p w14:paraId="53F639C9" w14:textId="77777777" w:rsidR="005B1144" w:rsidRPr="00C208E4" w:rsidRDefault="0070285B" w:rsidP="00C208E4">
            <w:pPr>
              <w:pStyle w:val="TableParagraph"/>
              <w:ind w:left="110"/>
            </w:pPr>
            <w:r w:rsidRPr="00C208E4">
              <w:t>Nagyon gyakori</w:t>
            </w:r>
          </w:p>
        </w:tc>
        <w:tc>
          <w:tcPr>
            <w:tcW w:w="7911" w:type="dxa"/>
          </w:tcPr>
          <w:p w14:paraId="53F639CA" w14:textId="77777777" w:rsidR="005B1144" w:rsidRPr="00C208E4" w:rsidRDefault="0070285B" w:rsidP="00C208E4">
            <w:pPr>
              <w:pStyle w:val="TableParagraph"/>
              <w:ind w:left="107"/>
            </w:pPr>
            <w:r w:rsidRPr="00C208E4">
              <w:t>Arthralgia, hátfájdalom</w:t>
            </w:r>
          </w:p>
        </w:tc>
      </w:tr>
      <w:tr w:rsidR="005B1144" w:rsidRPr="00C208E4" w14:paraId="53F639CE" w14:textId="77777777" w:rsidTr="002C08C1">
        <w:trPr>
          <w:trHeight w:val="261"/>
        </w:trPr>
        <w:tc>
          <w:tcPr>
            <w:tcW w:w="1728" w:type="dxa"/>
          </w:tcPr>
          <w:p w14:paraId="53F639CC" w14:textId="77777777" w:rsidR="005B1144" w:rsidRPr="00C208E4" w:rsidRDefault="0070285B" w:rsidP="00C208E4">
            <w:pPr>
              <w:pStyle w:val="TableParagraph"/>
              <w:ind w:left="110"/>
            </w:pPr>
            <w:r w:rsidRPr="00C208E4">
              <w:t>Gyakori</w:t>
            </w:r>
          </w:p>
        </w:tc>
        <w:tc>
          <w:tcPr>
            <w:tcW w:w="7911" w:type="dxa"/>
          </w:tcPr>
          <w:p w14:paraId="53F639CD" w14:textId="77777777" w:rsidR="005B1144" w:rsidRPr="00C208E4" w:rsidRDefault="0070285B" w:rsidP="00C208E4">
            <w:pPr>
              <w:pStyle w:val="TableParagraph"/>
              <w:ind w:left="107"/>
            </w:pPr>
            <w:r w:rsidRPr="00C208E4">
              <w:t>Myalgia</w:t>
            </w:r>
          </w:p>
        </w:tc>
      </w:tr>
      <w:tr w:rsidR="005B1144" w:rsidRPr="00C208E4" w14:paraId="53F639D0" w14:textId="77777777" w:rsidTr="002C08C1">
        <w:trPr>
          <w:trHeight w:val="258"/>
        </w:trPr>
        <w:tc>
          <w:tcPr>
            <w:tcW w:w="9639" w:type="dxa"/>
            <w:gridSpan w:val="2"/>
          </w:tcPr>
          <w:p w14:paraId="53F639CF" w14:textId="77777777" w:rsidR="005B1144" w:rsidRPr="00C208E4" w:rsidRDefault="0070285B" w:rsidP="00C208E4">
            <w:pPr>
              <w:pStyle w:val="TableParagraph"/>
              <w:ind w:left="110"/>
              <w:rPr>
                <w:b/>
              </w:rPr>
            </w:pPr>
            <w:r w:rsidRPr="00C208E4">
              <w:rPr>
                <w:b/>
              </w:rPr>
              <w:t>Vese- és húgyúti betegségek és tünetek</w:t>
            </w:r>
          </w:p>
        </w:tc>
      </w:tr>
      <w:tr w:rsidR="005B1144" w:rsidRPr="00C208E4" w14:paraId="53F639D3" w14:textId="77777777" w:rsidTr="002C08C1">
        <w:trPr>
          <w:trHeight w:val="261"/>
        </w:trPr>
        <w:tc>
          <w:tcPr>
            <w:tcW w:w="1728" w:type="dxa"/>
          </w:tcPr>
          <w:p w14:paraId="53F639D1" w14:textId="77777777" w:rsidR="005B1144" w:rsidRPr="00C208E4" w:rsidRDefault="0070285B" w:rsidP="00C208E4">
            <w:pPr>
              <w:pStyle w:val="TableParagraph"/>
              <w:ind w:left="110"/>
            </w:pPr>
            <w:r w:rsidRPr="00C208E4">
              <w:t>Gyakori</w:t>
            </w:r>
          </w:p>
        </w:tc>
        <w:tc>
          <w:tcPr>
            <w:tcW w:w="7911" w:type="dxa"/>
          </w:tcPr>
          <w:p w14:paraId="53F639D2" w14:textId="271CAC7D" w:rsidR="005B1144" w:rsidRPr="00C208E4" w:rsidRDefault="0070285B" w:rsidP="001F598A">
            <w:pPr>
              <w:pStyle w:val="TableParagraph"/>
              <w:ind w:left="107"/>
            </w:pPr>
            <w:r w:rsidRPr="00C208E4">
              <w:t xml:space="preserve">Akut vesekárosodás, veseelégtelenség, </w:t>
            </w:r>
            <w:r w:rsidR="001F598A">
              <w:t>vesekárosodás</w:t>
            </w:r>
          </w:p>
        </w:tc>
      </w:tr>
      <w:tr w:rsidR="005B1144" w:rsidRPr="00C208E4" w14:paraId="53F639D6" w14:textId="77777777" w:rsidTr="002C08C1">
        <w:trPr>
          <w:trHeight w:val="261"/>
        </w:trPr>
        <w:tc>
          <w:tcPr>
            <w:tcW w:w="9639" w:type="dxa"/>
            <w:gridSpan w:val="2"/>
          </w:tcPr>
          <w:p w14:paraId="53F639D5" w14:textId="43E379A6" w:rsidR="005B1144" w:rsidRPr="00C208E4" w:rsidRDefault="0070285B" w:rsidP="00C208E4">
            <w:pPr>
              <w:pStyle w:val="TableParagraph"/>
              <w:ind w:left="110"/>
              <w:rPr>
                <w:b/>
              </w:rPr>
            </w:pPr>
            <w:r w:rsidRPr="00C208E4">
              <w:rPr>
                <w:b/>
              </w:rPr>
              <w:t>Általános tünetek, az alkalmazás helyén fellépő reakciók</w:t>
            </w:r>
          </w:p>
        </w:tc>
      </w:tr>
      <w:tr w:rsidR="005B1144" w:rsidRPr="00C208E4" w14:paraId="53F639DA" w14:textId="77777777" w:rsidTr="002C08C1">
        <w:trPr>
          <w:trHeight w:val="1038"/>
        </w:trPr>
        <w:tc>
          <w:tcPr>
            <w:tcW w:w="1728" w:type="dxa"/>
          </w:tcPr>
          <w:p w14:paraId="53F639D7" w14:textId="77777777" w:rsidR="005B1144" w:rsidRPr="00C208E4" w:rsidRDefault="0070285B" w:rsidP="00C208E4">
            <w:pPr>
              <w:pStyle w:val="TableParagraph"/>
              <w:ind w:left="110"/>
            </w:pPr>
            <w:r w:rsidRPr="00C208E4">
              <w:t>Nagyon gyakori</w:t>
            </w:r>
          </w:p>
        </w:tc>
        <w:tc>
          <w:tcPr>
            <w:tcW w:w="7911" w:type="dxa"/>
          </w:tcPr>
          <w:p w14:paraId="53F639D9" w14:textId="3FD0AEFF" w:rsidR="005B1144" w:rsidRPr="00C208E4" w:rsidRDefault="0070285B" w:rsidP="00C208E4">
            <w:pPr>
              <w:pStyle w:val="TableParagraph"/>
              <w:ind w:left="107" w:right="127"/>
            </w:pPr>
            <w:r w:rsidRPr="00C208E4">
              <w:t>Oedema (beleértve a szemhéj-oedemát, az arc-oedemát, a generalizált oedemát, a lokalizált oedemát, a peripheriás oedemát, a periorbitalis oedemát, a periorbitalis duzzanatot, a peripheriás duzzanatot, duzzanatot, a szemhéj</w:t>
            </w:r>
            <w:r w:rsidR="00BB74A3" w:rsidRPr="00C208E4">
              <w:t xml:space="preserve"> </w:t>
            </w:r>
            <w:r w:rsidRPr="00C208E4">
              <w:t>duzzanatát), láz, fáradtság (beleértve az astheniát és a rossz közérzetet)</w:t>
            </w:r>
          </w:p>
        </w:tc>
      </w:tr>
      <w:tr w:rsidR="005B1144" w:rsidRPr="00C208E4" w14:paraId="53F639DD" w14:textId="77777777" w:rsidTr="002C08C1">
        <w:trPr>
          <w:trHeight w:val="261"/>
        </w:trPr>
        <w:tc>
          <w:tcPr>
            <w:tcW w:w="1728" w:type="dxa"/>
          </w:tcPr>
          <w:p w14:paraId="53F639DB" w14:textId="77777777" w:rsidR="005B1144" w:rsidRPr="00C208E4" w:rsidRDefault="0070285B" w:rsidP="00C208E4">
            <w:pPr>
              <w:pStyle w:val="TableParagraph"/>
              <w:ind w:left="110"/>
            </w:pPr>
            <w:r w:rsidRPr="00C208E4">
              <w:t>Gyakori</w:t>
            </w:r>
          </w:p>
        </w:tc>
        <w:tc>
          <w:tcPr>
            <w:tcW w:w="7911" w:type="dxa"/>
          </w:tcPr>
          <w:p w14:paraId="53F639DC" w14:textId="77777777" w:rsidR="005B1144" w:rsidRPr="00C208E4" w:rsidRDefault="0070285B" w:rsidP="00C208E4">
            <w:pPr>
              <w:pStyle w:val="TableParagraph"/>
              <w:ind w:left="107"/>
            </w:pPr>
            <w:r w:rsidRPr="00C208E4">
              <w:t>Mellkasi fájdalom (beleértve a mellkasi diszkomfortérzést), fájdalom</w:t>
            </w:r>
          </w:p>
        </w:tc>
      </w:tr>
      <w:tr w:rsidR="005B1144" w:rsidRPr="00C208E4" w14:paraId="53F639DF" w14:textId="77777777" w:rsidTr="002C08C1">
        <w:trPr>
          <w:trHeight w:val="258"/>
        </w:trPr>
        <w:tc>
          <w:tcPr>
            <w:tcW w:w="9639" w:type="dxa"/>
            <w:gridSpan w:val="2"/>
          </w:tcPr>
          <w:p w14:paraId="53F639DE" w14:textId="77777777" w:rsidR="005B1144" w:rsidRPr="00C208E4" w:rsidRDefault="0070285B" w:rsidP="00C208E4">
            <w:pPr>
              <w:pStyle w:val="TableParagraph"/>
              <w:ind w:left="110"/>
              <w:rPr>
                <w:b/>
              </w:rPr>
            </w:pPr>
            <w:r w:rsidRPr="00C208E4">
              <w:rPr>
                <w:b/>
              </w:rPr>
              <w:t>Laboratóriumi és egyéb vizsgálatok eredményei</w:t>
            </w:r>
          </w:p>
        </w:tc>
      </w:tr>
      <w:tr w:rsidR="005B1144" w:rsidRPr="00C208E4" w14:paraId="53F639E3" w14:textId="77777777" w:rsidTr="0030598E">
        <w:trPr>
          <w:trHeight w:val="1401"/>
        </w:trPr>
        <w:tc>
          <w:tcPr>
            <w:tcW w:w="1728" w:type="dxa"/>
          </w:tcPr>
          <w:p w14:paraId="53F639E0" w14:textId="77777777" w:rsidR="005B1144" w:rsidRPr="00C208E4" w:rsidRDefault="0070285B" w:rsidP="00C208E4">
            <w:pPr>
              <w:pStyle w:val="TableParagraph"/>
              <w:ind w:left="110"/>
            </w:pPr>
            <w:r w:rsidRPr="00C208E4">
              <w:t>Nagyon gyakori</w:t>
            </w:r>
          </w:p>
        </w:tc>
        <w:tc>
          <w:tcPr>
            <w:tcW w:w="7911" w:type="dxa"/>
          </w:tcPr>
          <w:p w14:paraId="53F639E1" w14:textId="3D1E70F9" w:rsidR="005B1144" w:rsidRPr="00C208E4" w:rsidRDefault="0070285B" w:rsidP="00C208E4">
            <w:pPr>
              <w:pStyle w:val="TableParagraph"/>
              <w:ind w:left="107" w:right="605"/>
            </w:pPr>
            <w:r w:rsidRPr="00C208E4">
              <w:t xml:space="preserve">Emelkedett lipázszint (beleértve a hyperlipasaemiát), emelkedett </w:t>
            </w:r>
            <w:r w:rsidR="008C46C4">
              <w:t>glutamát-piruvát-transzamináz</w:t>
            </w:r>
            <w:r w:rsidRPr="00C208E4">
              <w:t xml:space="preserve">-szint (beleértve a rendellenes </w:t>
            </w:r>
            <w:r w:rsidR="008C46C4">
              <w:t>glutamát-piruvát-transzamináz</w:t>
            </w:r>
            <w:r w:rsidR="008C46C4" w:rsidRPr="00C208E4">
              <w:t>-</w:t>
            </w:r>
            <w:r w:rsidRPr="00C208E4">
              <w:t xml:space="preserve">szintet), emelkedett </w:t>
            </w:r>
            <w:r w:rsidR="008C46C4">
              <w:t>glutamát-oxálacetát-transzamin</w:t>
            </w:r>
            <w:r w:rsidRPr="00C208E4">
              <w:t>áz-szint, emelkedett</w:t>
            </w:r>
          </w:p>
          <w:p w14:paraId="53F639E2" w14:textId="77777777" w:rsidR="005B1144" w:rsidRPr="00C208E4" w:rsidRDefault="0070285B" w:rsidP="00C208E4">
            <w:pPr>
              <w:pStyle w:val="TableParagraph"/>
              <w:ind w:left="107"/>
            </w:pPr>
            <w:r w:rsidRPr="00C208E4">
              <w:t>kreatininszint a vérben</w:t>
            </w:r>
          </w:p>
        </w:tc>
      </w:tr>
      <w:tr w:rsidR="005B1144" w:rsidRPr="00C208E4" w14:paraId="53F639E7" w14:textId="77777777" w:rsidTr="0030598E">
        <w:trPr>
          <w:trHeight w:val="1408"/>
        </w:trPr>
        <w:tc>
          <w:tcPr>
            <w:tcW w:w="1728" w:type="dxa"/>
          </w:tcPr>
          <w:p w14:paraId="53F639E4" w14:textId="77777777" w:rsidR="005B1144" w:rsidRPr="00C208E4" w:rsidRDefault="0070285B" w:rsidP="00C208E4">
            <w:pPr>
              <w:pStyle w:val="TableParagraph"/>
              <w:ind w:left="110"/>
            </w:pPr>
            <w:r w:rsidRPr="00C208E4">
              <w:t>Gyakori</w:t>
            </w:r>
          </w:p>
        </w:tc>
        <w:tc>
          <w:tcPr>
            <w:tcW w:w="7911" w:type="dxa"/>
          </w:tcPr>
          <w:p w14:paraId="53F639E6" w14:textId="53E0E7A2" w:rsidR="005B1144" w:rsidRPr="00C208E4" w:rsidRDefault="0070285B" w:rsidP="008C46C4">
            <w:pPr>
              <w:pStyle w:val="TableParagraph"/>
              <w:ind w:left="107" w:right="184"/>
            </w:pPr>
            <w:r w:rsidRPr="00C208E4">
              <w:t>QT-szakasz megnyúlása az EKG-n (beleértve a hosszú QT-szindrómát), emelkedett amilázszint (beleértve a hyperamylasaemiát), emelkedett kreatinfoszfokináz</w:t>
            </w:r>
            <w:r w:rsidR="008C46C4">
              <w:t>-</w:t>
            </w:r>
            <w:r w:rsidRPr="00C208E4">
              <w:t>szint a vérben, emelkedett gamma-glutamiltranszferáz-szint, emelkedett bilirubinszint a vérben (beleértve a hyperbilirubinaemiát, emelkedett konjugált bilirubinszintet, emelkedett nem konjugált</w:t>
            </w:r>
            <w:r w:rsidR="00BB74A3" w:rsidRPr="00C208E4">
              <w:t xml:space="preserve"> </w:t>
            </w:r>
            <w:r w:rsidRPr="00C208E4">
              <w:t>bilirubinszintet)</w:t>
            </w:r>
          </w:p>
        </w:tc>
      </w:tr>
    </w:tbl>
    <w:p w14:paraId="53F639E8" w14:textId="77777777" w:rsidR="005B1144" w:rsidRPr="00C208E4" w:rsidRDefault="0070285B" w:rsidP="00C208E4">
      <w:pPr>
        <w:ind w:left="791"/>
      </w:pPr>
      <w:r w:rsidRPr="0030598E">
        <w:t>**</w:t>
      </w:r>
      <w:r w:rsidRPr="008C46C4">
        <w:t xml:space="preserve"> </w:t>
      </w:r>
      <w:r w:rsidRPr="00C208E4">
        <w:t>A forgalomba hozatalt követően azonosított mellékhatás.</w:t>
      </w:r>
    </w:p>
    <w:p w14:paraId="53F639E9" w14:textId="77777777" w:rsidR="005B1144" w:rsidRPr="00C208E4" w:rsidRDefault="005B1144" w:rsidP="00C208E4">
      <w:pPr>
        <w:pStyle w:val="Szvegtrzs"/>
        <w:rPr>
          <w:szCs w:val="36"/>
        </w:rPr>
      </w:pPr>
    </w:p>
    <w:p w14:paraId="53F639EA" w14:textId="77777777" w:rsidR="005B1144" w:rsidRPr="00C208E4" w:rsidRDefault="0070285B" w:rsidP="00C208E4">
      <w:pPr>
        <w:pStyle w:val="Szvegtrzs"/>
      </w:pPr>
      <w:r w:rsidRPr="00C208E4">
        <w:rPr>
          <w:u w:val="single"/>
        </w:rPr>
        <w:t>Egyes kiválasztott mellékhatások leírása</w:t>
      </w:r>
    </w:p>
    <w:p w14:paraId="53F639EB" w14:textId="3A33AF16" w:rsidR="005B1144" w:rsidRPr="00C208E4" w:rsidRDefault="0070285B" w:rsidP="00C208E4">
      <w:pPr>
        <w:pStyle w:val="Szvegtrzs"/>
      </w:pPr>
      <w:r w:rsidRPr="00C208E4">
        <w:t xml:space="preserve">Az alábbi leírások egy 1372 betegből álló gyógyszer-biztonságossági populáción alapulnak, akik legalább 1, önmagában alkalmazott bozutinib-dózist kaptak, valamint akiknél újonnan diagnosztizálták a CP CML-t, vagy akiknél rezisztencia vagy intolerancia alakult ki a korábbi kezelésre CP, AP vagy BP CML, </w:t>
      </w:r>
      <w:r w:rsidR="00601929">
        <w:t>ill.</w:t>
      </w:r>
      <w:r w:rsidRPr="00C208E4">
        <w:t xml:space="preserve"> Ph+ ALL esetén.</w:t>
      </w:r>
    </w:p>
    <w:p w14:paraId="53F639EC" w14:textId="77777777" w:rsidR="005B1144" w:rsidRPr="00C208E4" w:rsidRDefault="005B1144" w:rsidP="00C208E4">
      <w:pPr>
        <w:pStyle w:val="Szvegtrzs"/>
      </w:pPr>
    </w:p>
    <w:p w14:paraId="53F639ED" w14:textId="77777777" w:rsidR="005B1144" w:rsidRPr="00C208E4" w:rsidRDefault="0070285B" w:rsidP="00C208E4">
      <w:pPr>
        <w:rPr>
          <w:i/>
        </w:rPr>
      </w:pPr>
      <w:r w:rsidRPr="00C208E4">
        <w:rPr>
          <w:i/>
        </w:rPr>
        <w:t>Vérképzőszervi és nyirokrendszeri betegségek és tünetek</w:t>
      </w:r>
    </w:p>
    <w:p w14:paraId="53F639EF" w14:textId="3E13BA4C" w:rsidR="005B1144" w:rsidRPr="00C208E4" w:rsidRDefault="0070285B" w:rsidP="00C208E4">
      <w:pPr>
        <w:pStyle w:val="Szvegtrzs"/>
      </w:pPr>
      <w:r w:rsidRPr="00C208E4">
        <w:t>A 372 (27,1%) olyan betegből, akiknél anaemia mellékhatást jelentettek, 6 hagyta abba a bozutinib szedését anaemia miatt. Legfeljebb 1. fokozatú toxicitást 95 (25,5%) betegnél, 2. fokozatút 135-nél</w:t>
      </w:r>
      <w:r w:rsidR="00153DFC" w:rsidRPr="00C208E4">
        <w:t xml:space="preserve"> </w:t>
      </w:r>
      <w:r w:rsidRPr="00C208E4">
        <w:t xml:space="preserve">(36,3%), 3. fokozatút 113-nál (30,4%), míg 4. fokozatút 29-nél (7,8%) észleltek. Ezeknél a betegeknél az első epizódig eltelt időtartam hosszának </w:t>
      </w:r>
      <w:r w:rsidR="006201B6">
        <w:t>mediánja</w:t>
      </w:r>
      <w:r w:rsidR="006201B6" w:rsidRPr="00C208E4">
        <w:t xml:space="preserve"> </w:t>
      </w:r>
      <w:r w:rsidRPr="00C208E4">
        <w:t xml:space="preserve">29 nap (tartomány: 1–3999 nap), míg az epizódok hosszának </w:t>
      </w:r>
      <w:r w:rsidR="006201B6">
        <w:t>mediánja</w:t>
      </w:r>
      <w:r w:rsidR="006201B6" w:rsidRPr="00C208E4">
        <w:t xml:space="preserve"> </w:t>
      </w:r>
      <w:r w:rsidRPr="00C208E4">
        <w:t>22 nap (tartomány: 1–3682 nap) volt.</w:t>
      </w:r>
    </w:p>
    <w:p w14:paraId="53F639F0" w14:textId="77777777" w:rsidR="005B1144" w:rsidRPr="00C208E4" w:rsidRDefault="005B1144" w:rsidP="00C208E4">
      <w:pPr>
        <w:pStyle w:val="Szvegtrzs"/>
      </w:pPr>
    </w:p>
    <w:p w14:paraId="53F639F2" w14:textId="1F61C51B" w:rsidR="005B1144" w:rsidRPr="00C208E4" w:rsidRDefault="0070285B" w:rsidP="00C208E4">
      <w:pPr>
        <w:pStyle w:val="Szvegtrzs"/>
      </w:pPr>
      <w:r w:rsidRPr="00C208E4">
        <w:t>Abból a 209 (15,2%) betegből, akiknél neutropenia mellékhatást jelentettek, 19 hagyta abba neutropenia miatt a bozutinib szedését. Legfeljebb 1. fokozatú toxicitást 19 (9,1%) betegnél,</w:t>
      </w:r>
      <w:r w:rsidR="00980615" w:rsidRPr="00C208E4">
        <w:t xml:space="preserve"> </w:t>
      </w:r>
      <w:r w:rsidRPr="00C208E4">
        <w:t xml:space="preserve">2. fokozatút 45 (21,5%) betegnél, 3. fokozatút 95 (45,5%) betegnél, míg 4. fokozatút 50 (23,9%) betegnél észleltek. Ezeknél a betegeknél az első epizódig eltelt időtartam hosszának </w:t>
      </w:r>
      <w:r w:rsidR="006201B6">
        <w:t>mediánja</w:t>
      </w:r>
      <w:r w:rsidR="006201B6" w:rsidRPr="00C208E4">
        <w:t xml:space="preserve"> </w:t>
      </w:r>
      <w:r w:rsidRPr="00C208E4">
        <w:t xml:space="preserve">56 nap (tartomány: 1–1769 nap), míg az epizódok hosszának </w:t>
      </w:r>
      <w:r w:rsidR="006201B6">
        <w:t>mediánja</w:t>
      </w:r>
      <w:r w:rsidR="006201B6" w:rsidRPr="00C208E4">
        <w:t xml:space="preserve"> </w:t>
      </w:r>
      <w:r w:rsidRPr="00C208E4">
        <w:t>15 nap (tartomány: 1–913 nap) volt.</w:t>
      </w:r>
    </w:p>
    <w:p w14:paraId="53F639F3" w14:textId="77777777" w:rsidR="005B1144" w:rsidRPr="00C208E4" w:rsidRDefault="005B1144" w:rsidP="00C208E4">
      <w:pPr>
        <w:pStyle w:val="Szvegtrzs"/>
      </w:pPr>
    </w:p>
    <w:p w14:paraId="53F639F5" w14:textId="3EA6D98C" w:rsidR="005B1144" w:rsidRPr="00C208E4" w:rsidRDefault="0070285B" w:rsidP="00C208E4">
      <w:pPr>
        <w:pStyle w:val="Szvegtrzs"/>
      </w:pPr>
      <w:r w:rsidRPr="00C208E4">
        <w:t>Abból a 472 (34,4%) betegből, akiknél thrombocytopenia mellékhatást jelentettek, 42 hagyta abba thrombocytopenia miatt a bozutinib szedését. Legfeljebb 1. fokozatú toxicitást 114 (24,2%) betegnél,</w:t>
      </w:r>
      <w:r w:rsidR="00153DFC" w:rsidRPr="00C208E4">
        <w:t xml:space="preserve"> </w:t>
      </w:r>
      <w:r w:rsidR="006201B6">
        <w:t>2. </w:t>
      </w:r>
      <w:r w:rsidRPr="00C208E4">
        <w:t xml:space="preserve">fokozatút 88 (18,6%) betegnél, 3. fokozatút 172 (36,4%) betegnél, míg 4. fokozatút 98 (20,8%) betegnél észleltek. Ezeknél a betegeknél az első epizódig eltelt időtartam hosszának </w:t>
      </w:r>
      <w:r w:rsidR="006201B6">
        <w:t>mediánja</w:t>
      </w:r>
      <w:r w:rsidR="006201B6" w:rsidRPr="00C208E4">
        <w:t xml:space="preserve"> </w:t>
      </w:r>
      <w:r w:rsidRPr="00C208E4">
        <w:t xml:space="preserve">28 nap (tartomány: 1–1688 nap), míg az epizódok hosszának </w:t>
      </w:r>
      <w:r w:rsidR="006201B6">
        <w:t>mediánja</w:t>
      </w:r>
      <w:r w:rsidR="006201B6" w:rsidRPr="00C208E4">
        <w:t xml:space="preserve"> </w:t>
      </w:r>
      <w:r w:rsidRPr="00C208E4">
        <w:t>15 nap (tartomány: 1–3921 nap) volt.</w:t>
      </w:r>
    </w:p>
    <w:p w14:paraId="53F639F6" w14:textId="77777777" w:rsidR="005B1144" w:rsidRPr="00C208E4" w:rsidRDefault="005B1144" w:rsidP="00C208E4">
      <w:pPr>
        <w:pStyle w:val="Szvegtrzs"/>
      </w:pPr>
    </w:p>
    <w:p w14:paraId="53F639F7" w14:textId="21F4A74E" w:rsidR="005B1144" w:rsidRPr="00C208E4" w:rsidRDefault="0070285B" w:rsidP="00C208E4">
      <w:pPr>
        <w:rPr>
          <w:i/>
        </w:rPr>
      </w:pPr>
      <w:r w:rsidRPr="00C208E4">
        <w:rPr>
          <w:i/>
        </w:rPr>
        <w:t xml:space="preserve">Máj- és epebetegségek, </w:t>
      </w:r>
      <w:r w:rsidR="00601929">
        <w:rPr>
          <w:i/>
        </w:rPr>
        <w:t>ill.</w:t>
      </w:r>
      <w:r w:rsidRPr="00C208E4">
        <w:rPr>
          <w:i/>
        </w:rPr>
        <w:t xml:space="preserve"> tünetek</w:t>
      </w:r>
    </w:p>
    <w:p w14:paraId="53F639F9" w14:textId="72F6B4EA" w:rsidR="005B1144" w:rsidRPr="00C208E4" w:rsidRDefault="0070285B" w:rsidP="00C208E4">
      <w:pPr>
        <w:pStyle w:val="Szvegtrzs"/>
      </w:pPr>
      <w:r w:rsidRPr="00C208E4">
        <w:t>Azoknál a betegeknél, akiknél (összes fokozatú) GPT- vagy GOT-szint</w:t>
      </w:r>
      <w:r w:rsidR="006201B6">
        <w:t>-</w:t>
      </w:r>
      <w:r w:rsidRPr="00C208E4">
        <w:t xml:space="preserve">emelkedés mellékhatást jelentettek, a mellékhatás kialakulásáig eltelt, megfigyelt időtartam </w:t>
      </w:r>
      <w:r w:rsidR="006201B6">
        <w:t>mediánja</w:t>
      </w:r>
      <w:r w:rsidRPr="00C208E4">
        <w:t xml:space="preserve"> 29 nap, a mellékhatás kialakulásáig eltelt időtartomány a GPT és a GOT esetében 1–3995 nap volt. Az egyes események időtartamának </w:t>
      </w:r>
      <w:r w:rsidR="006201B6">
        <w:t>mediánja</w:t>
      </w:r>
      <w:r w:rsidRPr="00C208E4">
        <w:t xml:space="preserve"> a GPT esetében 17 nap (tartomány: 1–1148 nap), míg a GOT esetében</w:t>
      </w:r>
      <w:r w:rsidR="00980615" w:rsidRPr="00C208E4">
        <w:t xml:space="preserve"> </w:t>
      </w:r>
      <w:r w:rsidRPr="00C208E4">
        <w:t>15 nap (tartomány: 1–803 nap) volt.</w:t>
      </w:r>
    </w:p>
    <w:p w14:paraId="53F639FA" w14:textId="77777777" w:rsidR="005B1144" w:rsidRPr="00C208E4" w:rsidRDefault="005B1144" w:rsidP="00C208E4">
      <w:pPr>
        <w:pStyle w:val="Szvegtrzs"/>
      </w:pPr>
    </w:p>
    <w:p w14:paraId="53F639FD" w14:textId="4D1EF307" w:rsidR="005B1144" w:rsidRPr="00C208E4" w:rsidRDefault="0070285B" w:rsidP="00C208E4">
      <w:pPr>
        <w:pStyle w:val="Szvegtrzs"/>
      </w:pPr>
      <w:r w:rsidRPr="00C208E4">
        <w:t>Két esetben jelentkezett gyógyszerindukált májkárosodás (meghatározása: az ULN ≥ 3-szorosát kitevő GPT- vagy GOT- és az ULN &gt; 2-szeresét kitevő összbilirubinszint</w:t>
      </w:r>
      <w:r w:rsidR="006201B6">
        <w:t>-</w:t>
      </w:r>
      <w:r w:rsidRPr="00C208E4">
        <w:t>emelkedés, valamint az ULN</w:t>
      </w:r>
      <w:r w:rsidR="00402A08" w:rsidRPr="00C208E4">
        <w:t xml:space="preserve"> </w:t>
      </w:r>
      <w:r w:rsidRPr="00C208E4">
        <w:t>&lt; 2-szeresét kitevő alkalikusfoszfatáz</w:t>
      </w:r>
      <w:r w:rsidR="006201B6">
        <w:t>szint</w:t>
      </w:r>
      <w:r w:rsidRPr="00C208E4">
        <w:t>-emelkedés egyidejűleg) egyéb kiváltó ok nélkül, 1711 bozutinibbel kezelt beteg közül (2/1711: 0,1%).</w:t>
      </w:r>
    </w:p>
    <w:p w14:paraId="53F639FE" w14:textId="77777777" w:rsidR="005B1144" w:rsidRPr="00C208E4" w:rsidRDefault="005B1144" w:rsidP="00C208E4">
      <w:pPr>
        <w:pStyle w:val="Szvegtrzs"/>
      </w:pPr>
    </w:p>
    <w:p w14:paraId="53F639FF" w14:textId="77777777" w:rsidR="005B1144" w:rsidRPr="00C208E4" w:rsidRDefault="0070285B" w:rsidP="00C208E4">
      <w:pPr>
        <w:rPr>
          <w:i/>
        </w:rPr>
      </w:pPr>
      <w:r w:rsidRPr="00C208E4">
        <w:rPr>
          <w:i/>
        </w:rPr>
        <w:t>Hepatitis B-reaktiváció</w:t>
      </w:r>
    </w:p>
    <w:p w14:paraId="53F63A00" w14:textId="77777777" w:rsidR="005B1144" w:rsidRPr="00C208E4" w:rsidRDefault="0070285B" w:rsidP="00C208E4">
      <w:pPr>
        <w:pStyle w:val="Szvegtrzs"/>
      </w:pPr>
      <w:r w:rsidRPr="00C208E4">
        <w:t>A BCR-ABL tirozinkináz-inhibitorok alkalmazásával kapcsolatban a hepatitis B reaktivációjáról számoltak be. Egyes esetekben akut májelégtelenség vagy fulmináns hepatitis alakult ki, amely májtranszplantációhoz vagy halálos kimenetelhez vezetett (lásd 4.4 pont).</w:t>
      </w:r>
    </w:p>
    <w:p w14:paraId="53F63A01" w14:textId="77777777" w:rsidR="005B1144" w:rsidRPr="00C208E4" w:rsidRDefault="005B1144" w:rsidP="00C208E4">
      <w:pPr>
        <w:pStyle w:val="Szvegtrzs"/>
      </w:pPr>
    </w:p>
    <w:p w14:paraId="53F63A02" w14:textId="77777777" w:rsidR="005B1144" w:rsidRPr="00C208E4" w:rsidRDefault="0070285B" w:rsidP="00C208E4">
      <w:pPr>
        <w:rPr>
          <w:i/>
        </w:rPr>
      </w:pPr>
      <w:r w:rsidRPr="00C208E4">
        <w:rPr>
          <w:i/>
        </w:rPr>
        <w:t>Emésztőrendszeri betegségek és tünetek</w:t>
      </w:r>
    </w:p>
    <w:p w14:paraId="53F63A03" w14:textId="77777777" w:rsidR="005B1144" w:rsidRPr="00C208E4" w:rsidRDefault="0070285B" w:rsidP="00C208E4">
      <w:pPr>
        <w:pStyle w:val="Szvegtrzs"/>
      </w:pPr>
      <w:r w:rsidRPr="00C208E4">
        <w:t>A hasmenést tapasztaló 1103 (80,4%) beteg közül 14 beteg hagyta abba a bozutinib szedését hasmenés miatt. A betegek közül 756 (68,5%) kapott egyidejű gyógyszeres kezelést a hasmenés ellen.</w:t>
      </w:r>
    </w:p>
    <w:p w14:paraId="53F63A05" w14:textId="3202E5A8" w:rsidR="005B1144" w:rsidRPr="00C208E4" w:rsidRDefault="0070285B" w:rsidP="00C208E4">
      <w:pPr>
        <w:pStyle w:val="Szvegtrzs"/>
      </w:pPr>
      <w:r w:rsidRPr="00C208E4">
        <w:t>575 (52,1%) betegnél legfeljebb 1. fokozatú toxicitást, 383-nál (34,7%) 2. fokozatút, 144-nél (13,1%)</w:t>
      </w:r>
      <w:r w:rsidR="00B86400" w:rsidRPr="00C208E4">
        <w:t xml:space="preserve"> </w:t>
      </w:r>
      <w:r w:rsidR="006201B6">
        <w:t>3. </w:t>
      </w:r>
      <w:r w:rsidRPr="00C208E4">
        <w:t xml:space="preserve">fokozatút, míg 1 betegnél (0,1%) 4. fokozatú eseményt észleltek. A hasmenéses betegeknél az első epizódig eltelt időtartam hosszának </w:t>
      </w:r>
      <w:r w:rsidR="006201B6">
        <w:t>mediánja</w:t>
      </w:r>
      <w:r w:rsidRPr="00C208E4">
        <w:t xml:space="preserve"> 2 nap (tartomány: 1–2702 nap), míg a bármely fokozatú hasmenés időtartamának </w:t>
      </w:r>
      <w:r w:rsidR="006201B6">
        <w:t>mediánja</w:t>
      </w:r>
      <w:r w:rsidRPr="00C208E4">
        <w:t xml:space="preserve"> 2 nap (tartomány: 1–4247 nap) volt.</w:t>
      </w:r>
    </w:p>
    <w:p w14:paraId="53F63A06" w14:textId="77777777" w:rsidR="005B1144" w:rsidRPr="00C208E4" w:rsidRDefault="005B1144" w:rsidP="00C208E4">
      <w:pPr>
        <w:pStyle w:val="Szvegtrzs"/>
      </w:pPr>
    </w:p>
    <w:p w14:paraId="53F63A07" w14:textId="34312271" w:rsidR="005B1144" w:rsidRPr="00C208E4" w:rsidRDefault="0070285B" w:rsidP="00C208E4">
      <w:pPr>
        <w:pStyle w:val="Szvegtrzs"/>
      </w:pPr>
      <w:r w:rsidRPr="00C208E4">
        <w:t xml:space="preserve">Az 1103 hasmenéses beteg közül 218-at (19,8%) kezeltek a terápia megszakításával, és közülük 208 (95,4%) esetében kezdték újra adni a bozutinibet. A kezelést újrakezdő betegek közül 201-nél (96,6%) nem fordult elő további epizód, </w:t>
      </w:r>
      <w:r w:rsidR="00601929">
        <w:t>ill.</w:t>
      </w:r>
      <w:r w:rsidRPr="00C208E4">
        <w:t xml:space="preserve"> nem hagyta abba a bozutinib szedését további hasmenéses epizódok miatt.</w:t>
      </w:r>
    </w:p>
    <w:p w14:paraId="55C78124" w14:textId="77777777" w:rsidR="000C661E" w:rsidRPr="00C208E4" w:rsidRDefault="000C661E" w:rsidP="00C208E4">
      <w:pPr>
        <w:rPr>
          <w:i/>
        </w:rPr>
      </w:pPr>
    </w:p>
    <w:p w14:paraId="53F63A09" w14:textId="137DA249" w:rsidR="005B1144" w:rsidRPr="00C208E4" w:rsidRDefault="0070285B" w:rsidP="00C208E4">
      <w:pPr>
        <w:rPr>
          <w:i/>
        </w:rPr>
      </w:pPr>
      <w:r w:rsidRPr="00C208E4">
        <w:rPr>
          <w:i/>
        </w:rPr>
        <w:t>Szívbetegségek és szívvel kapcsolatos tünetek</w:t>
      </w:r>
    </w:p>
    <w:p w14:paraId="53F63A0A" w14:textId="77777777" w:rsidR="005B1144" w:rsidRPr="00C208E4" w:rsidRDefault="0070285B" w:rsidP="00C208E4">
      <w:pPr>
        <w:pStyle w:val="Szvegtrzs"/>
      </w:pPr>
      <w:r w:rsidRPr="00C208E4">
        <w:t>Hét betegnél (0,5%) észleltek (500 ms-nél nagyobb) QTcF-megnyúlást. Tizenegy (0,8%) betegnél tapasztaltak a kiindulási értékhez viszonyított &gt; 60 ms-os QTcF-megnyúlást. A kezeletlen vagy jelentős cardiovascularis betegségben (beleértve a QTc-szakasz kiindulási időpontban fennálló megnyúlását) szenvedők, nem kerültek bevonásra a klinikai vizsgálatokba (lásd 5.1 és 5.3 pont).</w:t>
      </w:r>
    </w:p>
    <w:p w14:paraId="53F63A0B" w14:textId="77777777" w:rsidR="005B1144" w:rsidRPr="00C208E4" w:rsidRDefault="005B1144" w:rsidP="00C208E4">
      <w:pPr>
        <w:pStyle w:val="Szvegtrzs"/>
      </w:pPr>
    </w:p>
    <w:p w14:paraId="53F63A0C" w14:textId="5C031CAB" w:rsidR="005B1144" w:rsidRPr="00C208E4" w:rsidRDefault="0070285B" w:rsidP="00C208E4">
      <w:pPr>
        <w:pStyle w:val="Szvegtrzs"/>
      </w:pPr>
      <w:r w:rsidRPr="00C208E4">
        <w:rPr>
          <w:u w:val="single"/>
        </w:rPr>
        <w:t xml:space="preserve">Feltételezett </w:t>
      </w:r>
      <w:r w:rsidR="00B40E3C">
        <w:rPr>
          <w:u w:val="single"/>
        </w:rPr>
        <w:t>mellék</w:t>
      </w:r>
      <w:r w:rsidRPr="00C208E4">
        <w:rPr>
          <w:u w:val="single"/>
        </w:rPr>
        <w:t>hatások bejelentése</w:t>
      </w:r>
    </w:p>
    <w:p w14:paraId="53F63A0D" w14:textId="7E6FC13B" w:rsidR="005B1144" w:rsidRPr="00C208E4" w:rsidRDefault="0070285B" w:rsidP="00C208E4">
      <w:pPr>
        <w:pStyle w:val="Szvegtrzs"/>
      </w:pPr>
      <w:r w:rsidRPr="00C208E4">
        <w:t xml:space="preserve">A gyógyszer engedélyezését követően lényeges a feltételezett </w:t>
      </w:r>
      <w:r w:rsidR="00CC660B">
        <w:t>mellék</w:t>
      </w:r>
      <w:r w:rsidRPr="00C208E4">
        <w:t>hatások bejelentése, mert ez fontos eszköze annak, hogy a gyógyszer előny/kockázat-profilját folyamatosan figyelemmel lehessen kísérni.</w:t>
      </w:r>
    </w:p>
    <w:p w14:paraId="53F63A0E" w14:textId="75AD095F" w:rsidR="005B1144" w:rsidRPr="00C208E4" w:rsidRDefault="0070285B" w:rsidP="00C208E4">
      <w:pPr>
        <w:pStyle w:val="Szvegtrzs"/>
      </w:pPr>
      <w:r w:rsidRPr="00C208E4">
        <w:t xml:space="preserve">Az egészségügyi szakembereket kérjük, hogy jelentsék be a feltételezett </w:t>
      </w:r>
      <w:r w:rsidR="00CC660B">
        <w:t>mellékh</w:t>
      </w:r>
      <w:r w:rsidRPr="00C208E4">
        <w:t xml:space="preserve">atásokat a hatóság részére az </w:t>
      </w:r>
      <w:hyperlink r:id="rId7" w:history="1">
        <w:r w:rsidR="00CC660B" w:rsidRPr="0030598E">
          <w:rPr>
            <w:rStyle w:val="Hiperhivatkozs"/>
            <w:highlight w:val="lightGray"/>
          </w:rPr>
          <w:t>V. füg</w:t>
        </w:r>
        <w:bookmarkStart w:id="0" w:name="_Hlt352075914"/>
        <w:bookmarkStart w:id="1" w:name="_Hlt352075915"/>
        <w:r w:rsidR="00CC660B" w:rsidRPr="0030598E">
          <w:rPr>
            <w:rStyle w:val="Hiperhivatkozs"/>
            <w:highlight w:val="lightGray"/>
          </w:rPr>
          <w:t>g</w:t>
        </w:r>
        <w:bookmarkEnd w:id="0"/>
        <w:bookmarkEnd w:id="1"/>
        <w:r w:rsidR="00CC660B" w:rsidRPr="0030598E">
          <w:rPr>
            <w:rStyle w:val="Hiperhivatkozs"/>
            <w:highlight w:val="lightGray"/>
          </w:rPr>
          <w:t>elékben</w:t>
        </w:r>
      </w:hyperlink>
      <w:r w:rsidR="00CC660B" w:rsidRPr="0030598E">
        <w:rPr>
          <w:rStyle w:val="Hiperhivatkozs"/>
          <w:highlight w:val="lightGray"/>
        </w:rPr>
        <w:t xml:space="preserve"> </w:t>
      </w:r>
      <w:r w:rsidRPr="0030598E">
        <w:rPr>
          <w:highlight w:val="lightGray"/>
          <w:shd w:val="clear" w:color="auto" w:fill="D3D3D3"/>
        </w:rPr>
        <w:t>található</w:t>
      </w:r>
      <w:r w:rsidRPr="00C208E4">
        <w:rPr>
          <w:shd w:val="clear" w:color="auto" w:fill="D3D3D3"/>
        </w:rPr>
        <w:t xml:space="preserve"> elérhetőségek valamelyikén keresztül</w:t>
      </w:r>
      <w:r w:rsidRPr="00C208E4">
        <w:t>.</w:t>
      </w:r>
    </w:p>
    <w:p w14:paraId="53F63A0F" w14:textId="77777777" w:rsidR="005B1144" w:rsidRPr="00C208E4" w:rsidRDefault="005B1144" w:rsidP="00C208E4">
      <w:pPr>
        <w:pStyle w:val="Szvegtrzs"/>
        <w:rPr>
          <w:szCs w:val="36"/>
        </w:rPr>
      </w:pPr>
    </w:p>
    <w:p w14:paraId="53F63A10" w14:textId="77777777" w:rsidR="005B1144" w:rsidRPr="00C208E4" w:rsidRDefault="0070285B" w:rsidP="0030598E">
      <w:pPr>
        <w:pStyle w:val="Cmsor2"/>
        <w:numPr>
          <w:ilvl w:val="1"/>
          <w:numId w:val="16"/>
        </w:numPr>
        <w:tabs>
          <w:tab w:val="left" w:pos="1242"/>
          <w:tab w:val="left" w:pos="1243"/>
        </w:tabs>
        <w:ind w:left="567"/>
      </w:pPr>
      <w:r w:rsidRPr="00C208E4">
        <w:t>Túladagolás</w:t>
      </w:r>
    </w:p>
    <w:p w14:paraId="53F63A11" w14:textId="77777777" w:rsidR="005B1144" w:rsidRPr="00C208E4" w:rsidRDefault="005B1144" w:rsidP="00C208E4">
      <w:pPr>
        <w:pStyle w:val="Szvegtrzs"/>
        <w:rPr>
          <w:b/>
        </w:rPr>
      </w:pPr>
    </w:p>
    <w:p w14:paraId="53F63A12" w14:textId="77777777" w:rsidR="005B1144" w:rsidRPr="00C208E4" w:rsidRDefault="0070285B" w:rsidP="00C208E4">
      <w:pPr>
        <w:pStyle w:val="Szvegtrzs"/>
      </w:pPr>
      <w:r w:rsidRPr="00C208E4">
        <w:t>A bozutinib túladagolásával kapcsolatos tapasztalat a klinikai vizsgálatokban elszigetelt esetekre korlátozódott. A bozutinibet túladagolva alkalmazó betegeket megfigyelés alatt kell tartani, és megfelelő szupportív kezelésben kell részesíteni.</w:t>
      </w:r>
    </w:p>
    <w:p w14:paraId="53F63A13" w14:textId="77777777" w:rsidR="005B1144" w:rsidRPr="00C208E4" w:rsidRDefault="005B1144" w:rsidP="00C208E4">
      <w:pPr>
        <w:pStyle w:val="Szvegtrzs"/>
      </w:pPr>
    </w:p>
    <w:p w14:paraId="53F63A14" w14:textId="77777777" w:rsidR="005B1144" w:rsidRPr="00C208E4" w:rsidRDefault="005B1144" w:rsidP="00C208E4">
      <w:pPr>
        <w:pStyle w:val="Szvegtrzs"/>
      </w:pPr>
    </w:p>
    <w:p w14:paraId="53F63A15" w14:textId="77777777" w:rsidR="005B1144" w:rsidRPr="00C208E4" w:rsidRDefault="0070285B" w:rsidP="00C208E4">
      <w:pPr>
        <w:pStyle w:val="Cmsor1"/>
        <w:numPr>
          <w:ilvl w:val="0"/>
          <w:numId w:val="12"/>
        </w:numPr>
        <w:tabs>
          <w:tab w:val="left" w:pos="1242"/>
          <w:tab w:val="left" w:pos="1243"/>
        </w:tabs>
        <w:spacing w:before="0"/>
        <w:ind w:left="567"/>
      </w:pPr>
      <w:r w:rsidRPr="00C208E4">
        <w:t>FARMAKOLÓGIAI TULAJDONSÁGOK</w:t>
      </w:r>
    </w:p>
    <w:p w14:paraId="53F63A16" w14:textId="77777777" w:rsidR="005B1144" w:rsidRPr="00C208E4" w:rsidRDefault="005B1144" w:rsidP="00C208E4">
      <w:pPr>
        <w:pStyle w:val="Szvegtrzs"/>
        <w:rPr>
          <w:b/>
        </w:rPr>
      </w:pPr>
    </w:p>
    <w:p w14:paraId="53F63A17" w14:textId="77777777" w:rsidR="005B1144" w:rsidRPr="00C208E4" w:rsidRDefault="0070285B" w:rsidP="00C208E4">
      <w:pPr>
        <w:pStyle w:val="Cmsor2"/>
        <w:numPr>
          <w:ilvl w:val="1"/>
          <w:numId w:val="12"/>
        </w:numPr>
        <w:tabs>
          <w:tab w:val="left" w:pos="1242"/>
          <w:tab w:val="left" w:pos="1243"/>
        </w:tabs>
        <w:ind w:left="567"/>
      </w:pPr>
      <w:r w:rsidRPr="00C208E4">
        <w:t>Farmakodinámiás tulajdonságok</w:t>
      </w:r>
    </w:p>
    <w:p w14:paraId="70E83DFF" w14:textId="77777777" w:rsidR="0002623F" w:rsidRPr="00C208E4" w:rsidRDefault="0002623F" w:rsidP="00C208E4">
      <w:pPr>
        <w:pStyle w:val="Szvegtrzs"/>
        <w:ind w:right="842"/>
      </w:pPr>
    </w:p>
    <w:p w14:paraId="29327645" w14:textId="52A722A0" w:rsidR="0002623F" w:rsidRPr="00C208E4" w:rsidRDefault="0070285B" w:rsidP="00C208E4">
      <w:pPr>
        <w:pStyle w:val="Szvegtrzs"/>
      </w:pPr>
      <w:r w:rsidRPr="00C208E4">
        <w:t xml:space="preserve">Farmakoterápiás csoport: daganatellenes szerek, proteinkináz-gátlók, ATC-kód: L01EA04. </w:t>
      </w:r>
    </w:p>
    <w:p w14:paraId="33358369" w14:textId="77777777" w:rsidR="0002623F" w:rsidRPr="00C208E4" w:rsidRDefault="0002623F" w:rsidP="00C208E4">
      <w:pPr>
        <w:pStyle w:val="Szvegtrzs"/>
        <w:rPr>
          <w:u w:val="single"/>
        </w:rPr>
      </w:pPr>
    </w:p>
    <w:p w14:paraId="53F63A18" w14:textId="189F52BB" w:rsidR="005B1144" w:rsidRPr="00C208E4" w:rsidRDefault="0070285B" w:rsidP="00C208E4">
      <w:pPr>
        <w:pStyle w:val="Szvegtrzs"/>
      </w:pPr>
      <w:r w:rsidRPr="00C208E4">
        <w:rPr>
          <w:u w:val="single"/>
        </w:rPr>
        <w:t>Hatásmechanizmus</w:t>
      </w:r>
    </w:p>
    <w:p w14:paraId="53F63A19" w14:textId="77777777" w:rsidR="005B1144" w:rsidRPr="00C208E4" w:rsidRDefault="0070285B" w:rsidP="00C208E4">
      <w:pPr>
        <w:pStyle w:val="Szvegtrzs"/>
      </w:pPr>
      <w:r w:rsidRPr="00C208E4">
        <w:t>A bozutinib a kinázgátlók néven ismert gyógyszercsaládba tartozik. A bozutinib gátolja a CML-ért felelős BCR-ABL kináz működését. Modellvizsgálatok azt jelzik, hogy a bozutinib a BCR-ABL kináz doménjéhez kötődik. A bozutinib az Src kinázcsalád, köztük az Src, a Lyn és a Hck inhibitora is. A bozutinib minimális mértékben gátolja a vérlemezke eredetű növekedési faktor- (PDGF-) receptort és a c-Kit-et.</w:t>
      </w:r>
    </w:p>
    <w:p w14:paraId="53F63A1A" w14:textId="77777777" w:rsidR="005B1144" w:rsidRPr="00C208E4" w:rsidRDefault="005B1144" w:rsidP="00C208E4">
      <w:pPr>
        <w:pStyle w:val="Szvegtrzs"/>
      </w:pPr>
    </w:p>
    <w:p w14:paraId="53F63A1E" w14:textId="0A4D72F5" w:rsidR="005B1144" w:rsidRPr="00C208E4" w:rsidRDefault="0070285B" w:rsidP="00C208E4">
      <w:pPr>
        <w:pStyle w:val="Szvegtrzs"/>
      </w:pPr>
      <w:r w:rsidRPr="00C208E4">
        <w:rPr>
          <w:i/>
        </w:rPr>
        <w:t xml:space="preserve">In vitro </w:t>
      </w:r>
      <w:r w:rsidRPr="00C208E4">
        <w:t>vizsgálatokban a bozutinib gátolja a széles körben alkalmazott CML sejtvonalak, a Ph+ ALL sejtvonalak és a betegekből származó primer, primitív CML sejtek osztódását és túlélését. A bozutinib</w:t>
      </w:r>
      <w:r w:rsidR="0002623F" w:rsidRPr="00C208E4">
        <w:t xml:space="preserve"> </w:t>
      </w:r>
      <w:r w:rsidRPr="00C208E4">
        <w:t>a 18 murin myeloid sejtvonalakban expresszált imatinib-rezisztens BCR-ABL forma közül 16-ot gátolt. A bozutinib-kezelés csökkentette a kopasz egerekben növő CML-tumor méretét, és gátolta azoknak a murin myeloid tumoroknak a növekedését, amelyek imatinib-rezisztens BCR-ABL formákat expresszáltak. A bozutinib gátolja a c-Fms receptor tirozin-kinázokat, az EphA- és</w:t>
      </w:r>
      <w:r w:rsidR="00980615" w:rsidRPr="00C208E4">
        <w:t xml:space="preserve"> </w:t>
      </w:r>
      <w:r w:rsidRPr="00C208E4">
        <w:t>B-receptorokat, a Trk családba tartozó kinázokat, az A x 1 családba tartozó kinázokat, a Tec családba tartozó kinázokat, az ErbB család egyes tagjait, a nem-receptor tirozin-kináz Csk-t, az Ste 20 családba tartozó szerin/treonin-kinázokat és 2 kalmodulin-dependens protein-kinázt.</w:t>
      </w:r>
    </w:p>
    <w:p w14:paraId="53F63A1F" w14:textId="77777777" w:rsidR="005B1144" w:rsidRPr="00C208E4" w:rsidRDefault="005B1144" w:rsidP="00C208E4">
      <w:pPr>
        <w:pStyle w:val="Szvegtrzs"/>
      </w:pPr>
    </w:p>
    <w:p w14:paraId="53F63A20" w14:textId="77777777" w:rsidR="005B1144" w:rsidRPr="00C208E4" w:rsidRDefault="0070285B" w:rsidP="00C208E4">
      <w:pPr>
        <w:pStyle w:val="Szvegtrzs"/>
      </w:pPr>
      <w:r w:rsidRPr="00C208E4">
        <w:rPr>
          <w:u w:val="single"/>
        </w:rPr>
        <w:t>Farmakodinámiás hatások</w:t>
      </w:r>
    </w:p>
    <w:p w14:paraId="53F63A21" w14:textId="77777777" w:rsidR="005B1144" w:rsidRPr="00C208E4" w:rsidRDefault="0070285B" w:rsidP="00C208E4">
      <w:pPr>
        <w:pStyle w:val="Szvegtrzs"/>
      </w:pPr>
      <w:r w:rsidRPr="00C208E4">
        <w:t>Az 500 mg bozutinib alkalmazásának hatásait a korrigált QTc egy randomizált, egyszeri adagolású (a bozutinib vonatkozásában) kettős vak, keresztezett, placebokontrollos és nyílt elrendezésű, moxifloxacin-kontrollos vizsgálatban értékelték egészséges alanyoknál.</w:t>
      </w:r>
    </w:p>
    <w:p w14:paraId="53F63A22" w14:textId="77777777" w:rsidR="005B1144" w:rsidRPr="00C208E4" w:rsidRDefault="005B1144" w:rsidP="00C208E4">
      <w:pPr>
        <w:pStyle w:val="Szvegtrzs"/>
      </w:pPr>
    </w:p>
    <w:p w14:paraId="53F63A23" w14:textId="38B10A81" w:rsidR="005B1144" w:rsidRPr="00C208E4" w:rsidRDefault="0070285B" w:rsidP="00C208E4">
      <w:pPr>
        <w:pStyle w:val="Szvegtrzs"/>
      </w:pPr>
      <w:r w:rsidRPr="00C208E4">
        <w:t xml:space="preserve">A vizsgálat adatai azt jelzik, hogy a bozutinib egészséges alanyoknál nem nyújtja meg a QTc-t napi 500 mg dózisnál, </w:t>
      </w:r>
      <w:r w:rsidR="001320AE">
        <w:t>étkezés közben</w:t>
      </w:r>
      <w:r w:rsidRPr="00C208E4">
        <w:t xml:space="preserve"> bevéve, és olyan körülmények mellett, amelyek szupraterápiás plazmakoncentrációkat eredményeznek. Egy, egyszeri </w:t>
      </w:r>
      <w:r w:rsidR="004E0BC2" w:rsidRPr="004E0BC2">
        <w:rPr>
          <w:i/>
        </w:rPr>
        <w:t>per os</w:t>
      </w:r>
      <w:r w:rsidRPr="00C208E4">
        <w:t xml:space="preserve"> 500 mg bozutinib</w:t>
      </w:r>
      <w:r w:rsidR="001E2C16">
        <w:t>-</w:t>
      </w:r>
      <w:r w:rsidRPr="00C208E4">
        <w:t>dózis (terápiás dózis), és egy, 500 mg-os bozutinib</w:t>
      </w:r>
      <w:r w:rsidR="001E2C16">
        <w:t>-</w:t>
      </w:r>
      <w:r w:rsidRPr="00C208E4">
        <w:t>dózis 400 mg ketokonazollal (a bozutinib szupraterápiás koncentrációinak elérése céljából) együtt történő bevétele után egészséges alanyoknál az egyoldalas 95%-os konfidenciaintervallum (CI) felső korlátja a QTc-változás átlagértéke körül kevesebb mint 10</w:t>
      </w:r>
      <w:r w:rsidR="00F5765D">
        <w:t> </w:t>
      </w:r>
      <w:r w:rsidRPr="00C208E4">
        <w:t>ms volt minden adagolást követő időpontban, és nem figyeltek meg olyan mellékhatást, amely a QTc megnyúlására utalt volna.</w:t>
      </w:r>
    </w:p>
    <w:p w14:paraId="53F63A24" w14:textId="77777777" w:rsidR="005B1144" w:rsidRPr="00C208E4" w:rsidRDefault="005B1144" w:rsidP="00C208E4">
      <w:pPr>
        <w:pStyle w:val="Szvegtrzs"/>
      </w:pPr>
    </w:p>
    <w:p w14:paraId="53F63A26" w14:textId="7AECB8DF" w:rsidR="005B1144" w:rsidRPr="00C208E4" w:rsidRDefault="0070285B" w:rsidP="00C208E4">
      <w:pPr>
        <w:pStyle w:val="Szvegtrzs"/>
      </w:pPr>
      <w:r w:rsidRPr="00C208E4">
        <w:t>Egy májkárosodásban szenvedő betegek</w:t>
      </w:r>
      <w:r w:rsidR="001F598A">
        <w:t>kel</w:t>
      </w:r>
      <w:r w:rsidRPr="00C208E4">
        <w:t xml:space="preserve"> végzett vizsgálatban a májfunkció csökkenésének függvényében a 450 ms-nál nagyobb QTc-megnyúlás fokozódó gyakoriságát figyelték meg. A korábban kezelt Ph+ leukaemiákban szenvedő, 500 mg bozutinibbel kezelt betegekkel végzett I/II. fázisú klinikai vizsgálatban a kiindulási értékhez képest 60 ms-nál nagyobb QTcF-megnyúlást az</w:t>
      </w:r>
      <w:r w:rsidR="00153DFC" w:rsidRPr="00C208E4">
        <w:t xml:space="preserve"> </w:t>
      </w:r>
      <w:r w:rsidRPr="00C208E4">
        <w:t>570 beteg közül 9 (1,6%) esetében figyeltek meg. A 400 mg bozutinibbel kezelt, CP CML-lel újonnan diagnosztizált betegek III. fázisú klinikai vizsgálatában nem volt olyan beteg a bozutinib-kezelést kapó csoportban (N = 268), akinél a QTcF a kiindulási értékhez képest &gt; 60 ms-mal emelkedett volna. Az 500 mg bozutinibbel kezelt, Ph+ CP CML-lel újonnan diagnosztizált betegeknél a kiindulási értékhez képest 60 ms-nál nagyobb QTcF-megnyúlást a 248 bozutinibet kapó beteg közül 2-nél (0,8%) figyeltek meg. A korábban 1 vagy több TKI-vel kezelt, Ph+ CML-ben szenvedő, napi 500 mg bozutinibbel kezelt betegek IV. fázisú vizsgálatában (N = 163) egyetlen betegnél sem figyeltek meg a kiindulási értékhez képest &gt; 60 ms-os QTcF-megnyúlást. A bozutinib proarrhythmiás potenciálja nem zárható ki.</w:t>
      </w:r>
    </w:p>
    <w:p w14:paraId="53F63A27" w14:textId="77777777" w:rsidR="005B1144" w:rsidRPr="00C208E4" w:rsidRDefault="005B1144" w:rsidP="00C208E4">
      <w:pPr>
        <w:pStyle w:val="Szvegtrzs"/>
      </w:pPr>
    </w:p>
    <w:p w14:paraId="53F63A28" w14:textId="41CE3098" w:rsidR="005B1144" w:rsidRPr="00C208E4" w:rsidRDefault="0070285B" w:rsidP="00C208E4">
      <w:pPr>
        <w:pStyle w:val="Szvegtrzs"/>
      </w:pPr>
      <w:r w:rsidRPr="00C208E4">
        <w:rPr>
          <w:u w:val="single"/>
        </w:rPr>
        <w:t>Klinikai hatásosság</w:t>
      </w:r>
      <w:r w:rsidR="001E2C16">
        <w:rPr>
          <w:u w:val="single"/>
        </w:rPr>
        <w:t xml:space="preserve"> és biztonságosság</w:t>
      </w:r>
    </w:p>
    <w:p w14:paraId="53F63A29" w14:textId="77777777" w:rsidR="005B1144" w:rsidRPr="00C208E4" w:rsidRDefault="005B1144" w:rsidP="00C208E4">
      <w:pPr>
        <w:pStyle w:val="Szvegtrzs"/>
      </w:pPr>
    </w:p>
    <w:p w14:paraId="53F63A2A" w14:textId="77777777" w:rsidR="005B1144" w:rsidRPr="00C208E4" w:rsidRDefault="0070285B" w:rsidP="00C208E4">
      <w:pPr>
        <w:rPr>
          <w:i/>
        </w:rPr>
      </w:pPr>
      <w:r w:rsidRPr="00C208E4">
        <w:rPr>
          <w:i/>
          <w:u w:val="single"/>
        </w:rPr>
        <w:t>Krónikus fázisú, korábban nem kezelt CML klinikai vizsgálata</w:t>
      </w:r>
    </w:p>
    <w:p w14:paraId="53F63A2B" w14:textId="77777777" w:rsidR="005B1144" w:rsidRPr="00C208E4" w:rsidRDefault="005B1144" w:rsidP="00C208E4">
      <w:pPr>
        <w:pStyle w:val="Szvegtrzs"/>
        <w:rPr>
          <w:i/>
        </w:rPr>
      </w:pPr>
    </w:p>
    <w:p w14:paraId="53F63A2C" w14:textId="77777777" w:rsidR="005B1144" w:rsidRPr="00C208E4" w:rsidRDefault="0070285B" w:rsidP="00C208E4">
      <w:pPr>
        <w:rPr>
          <w:i/>
        </w:rPr>
      </w:pPr>
      <w:r w:rsidRPr="00C208E4">
        <w:rPr>
          <w:i/>
        </w:rPr>
        <w:t>A 400 mg bozutinib vizsgálata</w:t>
      </w:r>
    </w:p>
    <w:p w14:paraId="53F63A2D" w14:textId="6EADC4F8" w:rsidR="005B1144" w:rsidRPr="00C208E4" w:rsidRDefault="0070285B" w:rsidP="00C208E4">
      <w:pPr>
        <w:pStyle w:val="Szvegtrzs"/>
      </w:pPr>
      <w:r w:rsidRPr="00C208E4">
        <w:t>Kétkarú, III. fázisú, nyílt elrendezésű, multicentrikus szuperioritás</w:t>
      </w:r>
      <w:r w:rsidR="001E2C16">
        <w:t>i</w:t>
      </w:r>
      <w:r w:rsidRPr="00C208E4">
        <w:t xml:space="preserve"> vizsgálatot végeztek a naponta egyszer, önmagában alkalmazott 400 mg bozutinib biztonságosságának és hatásosságának értékelésére a naponta egyszer, önmagában alkalmazott 400 mg imatinibbel összehasonlítva újonnan diagnosztizált Ph+ CP CML-ben szenvedő felnőtt betegeknél. A vizsgálatba 536, Ph+ vagy Ph– újonnan diagnosztizált CP CML-es beteget (kezelési csoportonként 268 főt) randomizáltak (beválasztás szerinti [ITT] populáció), köztük 487, olyan Ph+ CML-es beteget, akik b2a2 és/vagy b3a2 transzkriptumokat hordoztak, és a kiindulási BCR-ABL kópiaszámuk &gt; 0 volt (módosított </w:t>
      </w:r>
      <w:r w:rsidR="001E2C16">
        <w:t>beválasztás</w:t>
      </w:r>
      <w:r w:rsidRPr="00C208E4">
        <w:t xml:space="preserve"> szerinti [mITT] populáció).</w:t>
      </w:r>
    </w:p>
    <w:p w14:paraId="53F63A2E" w14:textId="77777777" w:rsidR="005B1144" w:rsidRPr="00C208E4" w:rsidRDefault="005B1144" w:rsidP="00C208E4">
      <w:pPr>
        <w:pStyle w:val="Szvegtrzs"/>
      </w:pPr>
    </w:p>
    <w:p w14:paraId="53F63A30" w14:textId="6B542135" w:rsidR="005B1144" w:rsidRPr="00C208E4" w:rsidRDefault="0070285B" w:rsidP="00C208E4">
      <w:pPr>
        <w:pStyle w:val="Szvegtrzs"/>
      </w:pPr>
      <w:r w:rsidRPr="00C208E4">
        <w:t>Az elsődleges hatásossági végpont azok aránya volt, akiknél major molekuláris választ (MMR) igazoltak 12 hónap (48 hét) elteltével a bozutinib kezelési csoportban az imatinib kezelési csoporttal összehasonlítva, az mITT populációban. A major molekuláris válasz meghatározása ≤ 0,1%</w:t>
      </w:r>
      <w:r w:rsidR="000B7E5C" w:rsidRPr="00C208E4">
        <w:t xml:space="preserve"> </w:t>
      </w:r>
      <w:r w:rsidRPr="00C208E4">
        <w:t>BCR-ABL/ABL arány nemzetközi skála szerint (ez ≥ 3 log csökkenésnek felel meg a standardizált kiinduláshoz képest) a központi laboratórium értékelése szerint legalább 3000 ABL-transzkriptummal.</w:t>
      </w:r>
    </w:p>
    <w:p w14:paraId="271E6124" w14:textId="77777777" w:rsidR="0043218A" w:rsidRPr="00C208E4" w:rsidRDefault="0043218A" w:rsidP="00C208E4">
      <w:pPr>
        <w:pStyle w:val="Szvegtrzs"/>
      </w:pPr>
    </w:p>
    <w:p w14:paraId="53F63A32" w14:textId="250F2B00" w:rsidR="005B1144" w:rsidRPr="00C208E4" w:rsidRDefault="0043218A" w:rsidP="00C208E4">
      <w:r w:rsidRPr="00C208E4">
        <w:t>A</w:t>
      </w:r>
      <w:r w:rsidR="0070285B" w:rsidRPr="00C208E4">
        <w:t xml:space="preserve"> fő másodlagos végpontok a következők voltak: teljes citogenetikai válasz (CCyR) 12 hónap után, a CCyR időtartama, az MMR időtartama, eseménymentes túlélés (EFS) és teljes túlélés (OS). A 12. havi CCyR meghatározása: a Ph+ metafázisok hiánya ≥ 20, csontvelő-aspirációval nyert metafázis kromoszóma-sávozásos elemzése során vagy, amennyiben nem állt rendelkezésre megfelelő citogenetikai értékelés, MMR. A 12 havi MMR és a 12. havi CCyR kivételével a végpontokhoz tartozó p-értékeket nem korrigálták a többszörös összehasonlításokra.</w:t>
      </w:r>
    </w:p>
    <w:p w14:paraId="53F63A33" w14:textId="77777777" w:rsidR="005B1144" w:rsidRPr="00C208E4" w:rsidRDefault="005B1144" w:rsidP="00C208E4">
      <w:pPr>
        <w:pStyle w:val="Szvegtrzs"/>
      </w:pPr>
    </w:p>
    <w:p w14:paraId="53F63A35" w14:textId="087A5A37" w:rsidR="005B1144" w:rsidRPr="00C208E4" w:rsidRDefault="0070285B" w:rsidP="00C208E4">
      <w:pPr>
        <w:pStyle w:val="Szvegtrzs"/>
      </w:pPr>
      <w:r w:rsidRPr="00C208E4">
        <w:t>Az mITT populáció kiindulási jellemzői a 2 kezelési csoport között az életkor (a medián életkor a bozutinib</w:t>
      </w:r>
      <w:r w:rsidR="001E2C16">
        <w:t>-</w:t>
      </w:r>
      <w:r w:rsidRPr="00C208E4">
        <w:t>csoportban 52 év, az imatinib</w:t>
      </w:r>
      <w:r w:rsidR="001E2C16">
        <w:t>-</w:t>
      </w:r>
      <w:r w:rsidRPr="00C208E4">
        <w:t xml:space="preserve">csoportban 53 év volt, a 65 éves vagy idősebb betegek aránya 19,5%, </w:t>
      </w:r>
      <w:r w:rsidR="00601929">
        <w:t>ill.</w:t>
      </w:r>
      <w:r w:rsidRPr="00C208E4">
        <w:t xml:space="preserve"> 17,4% volt), a nem (a nők aránya 42,3%, </w:t>
      </w:r>
      <w:r w:rsidR="00601929">
        <w:t>ill.</w:t>
      </w:r>
      <w:r w:rsidRPr="00C208E4">
        <w:t xml:space="preserve"> 44,0%), a rassz (fehér bőrűek aránya 78,0%, </w:t>
      </w:r>
      <w:r w:rsidR="00601929">
        <w:t>ill.</w:t>
      </w:r>
      <w:r w:rsidRPr="00C208E4">
        <w:t xml:space="preserve"> 77,6%, ázsiaiak aránya 12,2%, </w:t>
      </w:r>
      <w:r w:rsidR="00601929">
        <w:t>ill.</w:t>
      </w:r>
      <w:r w:rsidRPr="00C208E4">
        <w:t xml:space="preserve"> 12,4%, fekete bőrűek vagy afroamerikaiak aránya</w:t>
      </w:r>
      <w:r w:rsidR="00153DFC" w:rsidRPr="00C208E4">
        <w:t xml:space="preserve"> </w:t>
      </w:r>
      <w:r w:rsidRPr="00C208E4">
        <w:t xml:space="preserve">4,1%, </w:t>
      </w:r>
      <w:r w:rsidR="00601929">
        <w:t>ill.</w:t>
      </w:r>
      <w:r w:rsidRPr="00C208E4">
        <w:t xml:space="preserve"> 4,1%, egyéb rasszok aránya 5,7%, </w:t>
      </w:r>
      <w:r w:rsidR="00601929">
        <w:t>ill.</w:t>
      </w:r>
      <w:r w:rsidRPr="00C208E4">
        <w:t xml:space="preserve"> 5,4%, az imatinib-csoportban 1 ismeretlennel), valamint a Sokal-féle kockázatértékelés (az alacsony kockázat aránya 35,0%, </w:t>
      </w:r>
      <w:r w:rsidR="00601929">
        <w:t>ill.</w:t>
      </w:r>
      <w:r w:rsidRPr="00C208E4">
        <w:t xml:space="preserve"> 39,4%, a közepes kockázat aránya 43,5%, </w:t>
      </w:r>
      <w:r w:rsidR="00601929">
        <w:t>ill.</w:t>
      </w:r>
      <w:r w:rsidRPr="00C208E4">
        <w:t xml:space="preserve"> 38,2%, a magas kockázat aránya 21,5%, </w:t>
      </w:r>
      <w:r w:rsidR="00601929">
        <w:t>ill.</w:t>
      </w:r>
      <w:r w:rsidRPr="00C208E4">
        <w:t xml:space="preserve"> 22,4%) tekintetében jól kiegyensúlyozottak voltak. A kiindulási jellemzők hasonlóak voltak az ITT populációban.</w:t>
      </w:r>
    </w:p>
    <w:p w14:paraId="53F63A36" w14:textId="77777777" w:rsidR="005B1144" w:rsidRPr="00C208E4" w:rsidRDefault="005B1144" w:rsidP="00C208E4">
      <w:pPr>
        <w:pStyle w:val="Szvegtrzs"/>
      </w:pPr>
    </w:p>
    <w:p w14:paraId="53F63A37" w14:textId="77777777" w:rsidR="005B1144" w:rsidRPr="00C208E4" w:rsidRDefault="0070285B" w:rsidP="00C208E4">
      <w:pPr>
        <w:pStyle w:val="Szvegtrzs"/>
      </w:pPr>
      <w:r w:rsidRPr="00C208E4">
        <w:t>Az mITT populációban 60 havi követés után a bozutinibbel kezelt betegek 60,2%-a (N = 246) és az imatinibbel kezelt betegek 59,8%-a (N = 239) még mindig első vonalbeli kezelést kapott.</w:t>
      </w:r>
    </w:p>
    <w:p w14:paraId="53F63A38" w14:textId="77777777" w:rsidR="005B1144" w:rsidRPr="00C208E4" w:rsidRDefault="005B1144" w:rsidP="00C208E4">
      <w:pPr>
        <w:pStyle w:val="Szvegtrzs"/>
      </w:pPr>
    </w:p>
    <w:p w14:paraId="53F63A3A" w14:textId="18DCA966" w:rsidR="005B1144" w:rsidRPr="00C208E4" w:rsidRDefault="0070285B" w:rsidP="00C208E4">
      <w:pPr>
        <w:pStyle w:val="Szvegtrzs"/>
      </w:pPr>
      <w:r w:rsidRPr="00C208E4">
        <w:t>Az mITT populációban 60 havi követés után a betegség AP- vagy BP CML-ig történő progressziója miatti abbahagyásának aránya a bozutinibbel kezelt betegeknél 0,8%-volt, míg az imatinibbel kezelt betegeknél 1,7%. Hat (2,4%) bozutinibbel kezelt beteg és 7 (2,9%) imatinibbel kezelt beteg állapota alakult át AP CML-lé vagy BP CML-lé. A vizsgálóorvos megítélése szerinti szuboptimális válasz vagy a kezelés sikertelensége miatti abbahagyás a bozutinibbel kezelt csoport betegeinek 5,3%-ánál, míg az imatinibbel kezelt csoport 15,5%-ánál fordult elő. A vizsgálat során tizenkettő</w:t>
      </w:r>
      <w:r w:rsidR="00153DFC" w:rsidRPr="00C208E4">
        <w:t xml:space="preserve"> </w:t>
      </w:r>
      <w:r w:rsidRPr="00C208E4">
        <w:t>(4,9%) bozutinibbel kezelt és 14 (5,8%) imatinibbel kezelt beteg halt meg. Az ITT populációban nem következett be további transzformáció, és a bozutinib kezelési karon további 2 haláleset történt az ITT populációban.</w:t>
      </w:r>
    </w:p>
    <w:p w14:paraId="53F63A3B" w14:textId="77777777" w:rsidR="005B1144" w:rsidRPr="00C208E4" w:rsidRDefault="005B1144" w:rsidP="00C208E4">
      <w:pPr>
        <w:pStyle w:val="Szvegtrzs"/>
      </w:pPr>
    </w:p>
    <w:p w14:paraId="53F63A3C" w14:textId="77777777" w:rsidR="005B1144" w:rsidRPr="00C208E4" w:rsidRDefault="0070285B" w:rsidP="00C208E4">
      <w:pPr>
        <w:pStyle w:val="Szvegtrzs"/>
      </w:pPr>
      <w:r w:rsidRPr="00C208E4">
        <w:t>Az MMR és CCyR hatásossági eredményeit a 3. táblázat összesíti.</w:t>
      </w:r>
    </w:p>
    <w:p w14:paraId="27346FD5" w14:textId="77777777" w:rsidR="00DF0809" w:rsidRPr="00C208E4" w:rsidRDefault="00DF0809" w:rsidP="00C208E4"/>
    <w:p w14:paraId="53F63A3E" w14:textId="101B7E49" w:rsidR="005B1144" w:rsidRPr="00C208E4" w:rsidRDefault="0070285B" w:rsidP="00C208E4">
      <w:pPr>
        <w:pStyle w:val="Cmsor2"/>
        <w:numPr>
          <w:ilvl w:val="0"/>
          <w:numId w:val="15"/>
        </w:numPr>
        <w:tabs>
          <w:tab w:val="left" w:pos="897"/>
        </w:tabs>
        <w:ind w:left="221"/>
      </w:pPr>
      <w:r w:rsidRPr="00C208E4">
        <w:t>táblázat – A 12. és a 18. havi major molekuláris válasz (MMR), valamint a 12. havi teljes citogenetikai válasz (CCyR) összefoglalása kezelési csoportonként az mITT populációban</w:t>
      </w:r>
    </w:p>
    <w:p w14:paraId="53F63A3F" w14:textId="77777777" w:rsidR="005B1144" w:rsidRPr="00C208E4" w:rsidRDefault="005B1144" w:rsidP="00C208E4">
      <w:pPr>
        <w:pStyle w:val="Szvegtrzs"/>
        <w:rPr>
          <w:b/>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1"/>
        <w:gridCol w:w="2102"/>
        <w:gridCol w:w="65"/>
        <w:gridCol w:w="1616"/>
        <w:gridCol w:w="2294"/>
      </w:tblGrid>
      <w:tr w:rsidR="003C0107" w:rsidRPr="00CC1C77" w14:paraId="209FD6B4" w14:textId="77777777" w:rsidTr="003C0107">
        <w:tc>
          <w:tcPr>
            <w:tcW w:w="2761" w:type="dxa"/>
            <w:shd w:val="clear" w:color="auto" w:fill="auto"/>
          </w:tcPr>
          <w:p w14:paraId="26C0E2F8" w14:textId="77777777" w:rsidR="003C0107" w:rsidRPr="00CC1C77" w:rsidRDefault="003C0107" w:rsidP="003C0107">
            <w:pPr>
              <w:keepNext/>
              <w:keepLines/>
              <w:rPr>
                <w:u w:val="single"/>
                <w:lang w:val="hu"/>
              </w:rPr>
            </w:pPr>
          </w:p>
          <w:p w14:paraId="50D01670" w14:textId="77777777" w:rsidR="003C0107" w:rsidRPr="00CC1C77" w:rsidRDefault="003C0107" w:rsidP="003C0107">
            <w:pPr>
              <w:keepNext/>
              <w:keepLines/>
              <w:rPr>
                <w:b/>
              </w:rPr>
            </w:pPr>
            <w:r w:rsidRPr="00CC1C77">
              <w:rPr>
                <w:b/>
                <w:bCs/>
                <w:lang w:val="hu"/>
              </w:rPr>
              <w:t>Válasz</w:t>
            </w:r>
          </w:p>
        </w:tc>
        <w:tc>
          <w:tcPr>
            <w:tcW w:w="2102" w:type="dxa"/>
            <w:shd w:val="clear" w:color="auto" w:fill="auto"/>
          </w:tcPr>
          <w:p w14:paraId="59F9B86D" w14:textId="77777777" w:rsidR="003C0107" w:rsidRPr="00CC1C77" w:rsidRDefault="003C0107" w:rsidP="003C0107">
            <w:pPr>
              <w:keepNext/>
              <w:keepLines/>
              <w:jc w:val="center"/>
              <w:rPr>
                <w:b/>
              </w:rPr>
            </w:pPr>
            <w:r w:rsidRPr="00CC1C77">
              <w:rPr>
                <w:b/>
                <w:bCs/>
                <w:lang w:val="hu"/>
              </w:rPr>
              <w:t>Bozutinib</w:t>
            </w:r>
          </w:p>
          <w:p w14:paraId="5C252375" w14:textId="77777777" w:rsidR="003C0107" w:rsidRPr="00CC1C77" w:rsidRDefault="003C0107" w:rsidP="003C0107">
            <w:pPr>
              <w:keepNext/>
              <w:keepLines/>
              <w:jc w:val="center"/>
            </w:pPr>
            <w:r w:rsidRPr="00CC1C77">
              <w:rPr>
                <w:lang w:val="hu"/>
              </w:rPr>
              <w:t>(N = 246)</w:t>
            </w:r>
          </w:p>
        </w:tc>
        <w:tc>
          <w:tcPr>
            <w:tcW w:w="1681" w:type="dxa"/>
            <w:gridSpan w:val="2"/>
            <w:shd w:val="clear" w:color="auto" w:fill="auto"/>
          </w:tcPr>
          <w:p w14:paraId="17CE34FF" w14:textId="77777777" w:rsidR="003C0107" w:rsidRPr="00CC1C77" w:rsidRDefault="003C0107" w:rsidP="003C0107">
            <w:pPr>
              <w:keepNext/>
              <w:keepLines/>
              <w:jc w:val="center"/>
              <w:rPr>
                <w:b/>
              </w:rPr>
            </w:pPr>
            <w:r w:rsidRPr="00CC1C77">
              <w:rPr>
                <w:b/>
                <w:bCs/>
                <w:lang w:val="hu"/>
              </w:rPr>
              <w:t>Imatinib</w:t>
            </w:r>
          </w:p>
          <w:p w14:paraId="5CD3C6EB" w14:textId="77777777" w:rsidR="003C0107" w:rsidRPr="00CC1C77" w:rsidRDefault="003C0107" w:rsidP="003C0107">
            <w:pPr>
              <w:keepNext/>
              <w:keepLines/>
              <w:jc w:val="center"/>
            </w:pPr>
            <w:r w:rsidRPr="00CC1C77">
              <w:rPr>
                <w:lang w:val="hu"/>
              </w:rPr>
              <w:t>(N = 241)</w:t>
            </w:r>
          </w:p>
        </w:tc>
        <w:tc>
          <w:tcPr>
            <w:tcW w:w="2294" w:type="dxa"/>
            <w:shd w:val="clear" w:color="auto" w:fill="auto"/>
          </w:tcPr>
          <w:p w14:paraId="43830C9F" w14:textId="77777777" w:rsidR="003C0107" w:rsidRDefault="003C0107" w:rsidP="003C0107">
            <w:pPr>
              <w:keepNext/>
              <w:keepLines/>
              <w:jc w:val="center"/>
              <w:rPr>
                <w:b/>
                <w:bCs/>
                <w:lang w:val="hu"/>
              </w:rPr>
            </w:pPr>
            <w:r>
              <w:rPr>
                <w:b/>
                <w:bCs/>
                <w:lang w:val="hu"/>
              </w:rPr>
              <w:t xml:space="preserve">Esélyhányados </w:t>
            </w:r>
          </w:p>
          <w:p w14:paraId="15881525" w14:textId="77777777" w:rsidR="003C0107" w:rsidRPr="00CC1C77" w:rsidRDefault="003C0107" w:rsidP="003C0107">
            <w:pPr>
              <w:keepNext/>
              <w:keepLines/>
              <w:jc w:val="center"/>
              <w:rPr>
                <w:b/>
              </w:rPr>
            </w:pPr>
            <w:r>
              <w:rPr>
                <w:b/>
                <w:bCs/>
                <w:lang w:val="hu"/>
              </w:rPr>
              <w:t>(95%-os CI)</w:t>
            </w:r>
            <w:r w:rsidRPr="00712BC8">
              <w:rPr>
                <w:b/>
                <w:bCs/>
                <w:vertAlign w:val="superscript"/>
                <w:lang w:val="hu"/>
              </w:rPr>
              <w:t>a</w:t>
            </w:r>
          </w:p>
        </w:tc>
      </w:tr>
      <w:tr w:rsidR="003C0107" w:rsidRPr="00CC1C77" w14:paraId="252EB5AB" w14:textId="77777777" w:rsidTr="003C0107">
        <w:tc>
          <w:tcPr>
            <w:tcW w:w="2761" w:type="dxa"/>
            <w:shd w:val="clear" w:color="auto" w:fill="auto"/>
          </w:tcPr>
          <w:p w14:paraId="2EFC7BF4" w14:textId="77777777" w:rsidR="003C0107" w:rsidRPr="00CC1C77" w:rsidRDefault="003C0107" w:rsidP="003C0107">
            <w:pPr>
              <w:keepNext/>
              <w:keepLines/>
              <w:rPr>
                <w:b/>
              </w:rPr>
            </w:pPr>
            <w:r w:rsidRPr="00CC1C77">
              <w:rPr>
                <w:b/>
                <w:bCs/>
                <w:lang w:val="hu"/>
              </w:rPr>
              <w:t>Major molekuláris válasz</w:t>
            </w:r>
          </w:p>
          <w:p w14:paraId="272BFAD6" w14:textId="77777777" w:rsidR="003C0107" w:rsidRPr="00CC1C77" w:rsidRDefault="003C0107" w:rsidP="003C0107">
            <w:pPr>
              <w:keepNext/>
              <w:keepLines/>
              <w:ind w:left="180"/>
            </w:pPr>
            <w:r w:rsidRPr="00CC1C77">
              <w:rPr>
                <w:lang w:val="hu"/>
              </w:rPr>
              <w:t>MMR a 12. hónapban</w:t>
            </w:r>
            <w:r>
              <w:rPr>
                <w:lang w:val="hu"/>
              </w:rPr>
              <w:t xml:space="preserve"> (n, %)</w:t>
            </w:r>
          </w:p>
          <w:p w14:paraId="5D42AA40" w14:textId="77777777" w:rsidR="003C0107" w:rsidRPr="00191C42" w:rsidRDefault="003C0107" w:rsidP="003C0107">
            <w:pPr>
              <w:keepNext/>
              <w:keepLines/>
              <w:ind w:left="180"/>
              <w:rPr>
                <w:u w:val="single"/>
                <w:lang w:val="pt-BR"/>
              </w:rPr>
            </w:pPr>
            <w:r w:rsidRPr="00CC1C77">
              <w:rPr>
                <w:lang w:val="hu"/>
              </w:rPr>
              <w:t>(95%-os CI)</w:t>
            </w:r>
          </w:p>
        </w:tc>
        <w:tc>
          <w:tcPr>
            <w:tcW w:w="2102" w:type="dxa"/>
            <w:shd w:val="clear" w:color="auto" w:fill="auto"/>
          </w:tcPr>
          <w:p w14:paraId="618A302A" w14:textId="77777777" w:rsidR="003C0107" w:rsidRPr="00191C42" w:rsidRDefault="003C0107" w:rsidP="003C0107">
            <w:pPr>
              <w:keepNext/>
              <w:keepLines/>
              <w:jc w:val="center"/>
              <w:rPr>
                <w:lang w:val="pt-BR"/>
              </w:rPr>
            </w:pPr>
          </w:p>
          <w:p w14:paraId="0D66B013" w14:textId="77777777" w:rsidR="003C0107" w:rsidRPr="00CC1C77" w:rsidRDefault="003C0107" w:rsidP="003C0107">
            <w:pPr>
              <w:keepNext/>
              <w:keepLines/>
              <w:jc w:val="center"/>
            </w:pPr>
            <w:r w:rsidRPr="00CC1C77">
              <w:rPr>
                <w:lang w:val="hu"/>
              </w:rPr>
              <w:t>116 (47,2)</w:t>
            </w:r>
            <w:r>
              <w:rPr>
                <w:vertAlign w:val="superscript"/>
                <w:lang w:val="hu"/>
              </w:rPr>
              <w:t>b</w:t>
            </w:r>
          </w:p>
          <w:p w14:paraId="377D8333" w14:textId="77777777" w:rsidR="003C0107" w:rsidRPr="00CC1C77" w:rsidRDefault="003C0107" w:rsidP="003C0107">
            <w:pPr>
              <w:keepNext/>
              <w:keepLines/>
              <w:jc w:val="center"/>
            </w:pPr>
            <w:r w:rsidRPr="00CC1C77">
              <w:rPr>
                <w:lang w:val="hu"/>
              </w:rPr>
              <w:t>(40,9</w:t>
            </w:r>
            <w:r>
              <w:rPr>
                <w:lang w:val="hu"/>
              </w:rPr>
              <w:t>;</w:t>
            </w:r>
            <w:r w:rsidRPr="00CC1C77">
              <w:rPr>
                <w:lang w:val="hu"/>
              </w:rPr>
              <w:t xml:space="preserve"> 53,4)</w:t>
            </w:r>
          </w:p>
        </w:tc>
        <w:tc>
          <w:tcPr>
            <w:tcW w:w="1681" w:type="dxa"/>
            <w:gridSpan w:val="2"/>
            <w:shd w:val="clear" w:color="auto" w:fill="auto"/>
          </w:tcPr>
          <w:p w14:paraId="651EFB24" w14:textId="77777777" w:rsidR="003C0107" w:rsidRPr="00CC1C77" w:rsidRDefault="003C0107" w:rsidP="003C0107">
            <w:pPr>
              <w:keepNext/>
              <w:keepLines/>
              <w:jc w:val="center"/>
            </w:pPr>
          </w:p>
          <w:p w14:paraId="70957615" w14:textId="77777777" w:rsidR="003C0107" w:rsidRPr="00CC1C77" w:rsidRDefault="003C0107" w:rsidP="003C0107">
            <w:pPr>
              <w:keepNext/>
              <w:keepLines/>
              <w:jc w:val="center"/>
            </w:pPr>
            <w:r w:rsidRPr="00CC1C77">
              <w:rPr>
                <w:lang w:val="hu"/>
              </w:rPr>
              <w:t>89 (36,9)</w:t>
            </w:r>
          </w:p>
          <w:p w14:paraId="30DFF3F3" w14:textId="77777777" w:rsidR="003C0107" w:rsidRPr="00CC1C77" w:rsidRDefault="003C0107" w:rsidP="003C0107">
            <w:pPr>
              <w:keepNext/>
              <w:keepLines/>
              <w:jc w:val="center"/>
            </w:pPr>
            <w:r w:rsidRPr="00CC1C77">
              <w:rPr>
                <w:lang w:val="hu"/>
              </w:rPr>
              <w:t>(30,8</w:t>
            </w:r>
            <w:r>
              <w:rPr>
                <w:lang w:val="hu"/>
              </w:rPr>
              <w:t>;</w:t>
            </w:r>
            <w:r w:rsidRPr="00CC1C77">
              <w:rPr>
                <w:lang w:val="hu"/>
              </w:rPr>
              <w:t xml:space="preserve"> 43,0)</w:t>
            </w:r>
          </w:p>
        </w:tc>
        <w:tc>
          <w:tcPr>
            <w:tcW w:w="2294" w:type="dxa"/>
            <w:shd w:val="clear" w:color="auto" w:fill="auto"/>
          </w:tcPr>
          <w:p w14:paraId="1A9E6F8C" w14:textId="77777777" w:rsidR="003C0107" w:rsidRPr="00CC1C77" w:rsidRDefault="003C0107" w:rsidP="003C0107">
            <w:pPr>
              <w:keepNext/>
              <w:keepLines/>
              <w:jc w:val="center"/>
            </w:pPr>
          </w:p>
          <w:p w14:paraId="4B29FF29" w14:textId="77777777" w:rsidR="003C0107" w:rsidRPr="00CC1C77" w:rsidRDefault="003C0107" w:rsidP="003C0107">
            <w:pPr>
              <w:keepNext/>
              <w:keepLines/>
              <w:jc w:val="center"/>
              <w:rPr>
                <w:vertAlign w:val="superscript"/>
              </w:rPr>
            </w:pPr>
            <w:r>
              <w:rPr>
                <w:lang w:val="hu"/>
              </w:rPr>
              <w:t>1,55 (1,07; 2,23)</w:t>
            </w:r>
          </w:p>
        </w:tc>
      </w:tr>
      <w:tr w:rsidR="003C0107" w:rsidRPr="00CC1C77" w14:paraId="09B09A36" w14:textId="77777777" w:rsidTr="003C0107">
        <w:tc>
          <w:tcPr>
            <w:tcW w:w="2761" w:type="dxa"/>
            <w:shd w:val="clear" w:color="auto" w:fill="auto"/>
          </w:tcPr>
          <w:p w14:paraId="0BFC1892" w14:textId="77777777" w:rsidR="003C0107" w:rsidRPr="00712BC8" w:rsidRDefault="003C0107" w:rsidP="003C0107">
            <w:pPr>
              <w:keepNext/>
              <w:keepLines/>
              <w:rPr>
                <w:lang w:val="hu"/>
              </w:rPr>
            </w:pPr>
            <w:r w:rsidRPr="00712BC8">
              <w:rPr>
                <w:lang w:val="hu"/>
              </w:rPr>
              <w:t>1 oldal</w:t>
            </w:r>
            <w:r>
              <w:rPr>
                <w:lang w:val="hu"/>
              </w:rPr>
              <w:t>as</w:t>
            </w:r>
            <w:r w:rsidRPr="00712BC8">
              <w:rPr>
                <w:lang w:val="hu"/>
              </w:rPr>
              <w:t xml:space="preserve"> p-érték</w:t>
            </w:r>
          </w:p>
        </w:tc>
        <w:tc>
          <w:tcPr>
            <w:tcW w:w="6077" w:type="dxa"/>
            <w:gridSpan w:val="4"/>
            <w:shd w:val="clear" w:color="auto" w:fill="auto"/>
          </w:tcPr>
          <w:p w14:paraId="61475C66" w14:textId="77777777" w:rsidR="003C0107" w:rsidRPr="00CC1C77" w:rsidRDefault="003C0107" w:rsidP="003C0107">
            <w:pPr>
              <w:keepNext/>
              <w:keepLines/>
              <w:jc w:val="center"/>
            </w:pPr>
            <w:r>
              <w:t>0,0100</w:t>
            </w:r>
            <w:r w:rsidRPr="00712BC8">
              <w:rPr>
                <w:vertAlign w:val="superscript"/>
              </w:rPr>
              <w:t>b</w:t>
            </w:r>
          </w:p>
        </w:tc>
      </w:tr>
      <w:tr w:rsidR="003C0107" w:rsidRPr="00CC1C77" w14:paraId="50014D3A" w14:textId="77777777" w:rsidTr="003C0107">
        <w:tc>
          <w:tcPr>
            <w:tcW w:w="2761" w:type="dxa"/>
            <w:shd w:val="clear" w:color="auto" w:fill="auto"/>
          </w:tcPr>
          <w:p w14:paraId="5718C555" w14:textId="77777777" w:rsidR="003C0107" w:rsidRPr="00712BC8" w:rsidRDefault="003C0107" w:rsidP="003C0107">
            <w:pPr>
              <w:keepNext/>
              <w:keepLines/>
              <w:ind w:left="142"/>
              <w:rPr>
                <w:lang w:val="hu"/>
              </w:rPr>
            </w:pPr>
            <w:r w:rsidRPr="00712BC8">
              <w:rPr>
                <w:lang w:val="hu"/>
              </w:rPr>
              <w:t xml:space="preserve">MMR a 18. hónapban </w:t>
            </w:r>
            <w:r>
              <w:rPr>
                <w:lang w:val="hu"/>
              </w:rPr>
              <w:t>(</w:t>
            </w:r>
            <w:r w:rsidRPr="00712BC8">
              <w:rPr>
                <w:lang w:val="hu"/>
              </w:rPr>
              <w:t>n</w:t>
            </w:r>
            <w:r>
              <w:rPr>
                <w:lang w:val="hu"/>
              </w:rPr>
              <w:t>,</w:t>
            </w:r>
            <w:r w:rsidRPr="00712BC8">
              <w:rPr>
                <w:lang w:val="hu"/>
              </w:rPr>
              <w:t xml:space="preserve"> %)</w:t>
            </w:r>
          </w:p>
          <w:p w14:paraId="6C57452A" w14:textId="77777777" w:rsidR="003C0107" w:rsidRPr="00712BC8" w:rsidRDefault="003C0107" w:rsidP="003C0107">
            <w:pPr>
              <w:keepNext/>
              <w:keepLines/>
              <w:ind w:left="142"/>
              <w:rPr>
                <w:lang w:val="hu"/>
              </w:rPr>
            </w:pPr>
            <w:r w:rsidRPr="00712BC8">
              <w:rPr>
                <w:lang w:val="hu"/>
              </w:rPr>
              <w:t>95%-os CI</w:t>
            </w:r>
          </w:p>
        </w:tc>
        <w:tc>
          <w:tcPr>
            <w:tcW w:w="2167" w:type="dxa"/>
            <w:gridSpan w:val="2"/>
            <w:shd w:val="clear" w:color="auto" w:fill="auto"/>
          </w:tcPr>
          <w:p w14:paraId="6B053CB0" w14:textId="77777777" w:rsidR="003C0107" w:rsidRDefault="003C0107" w:rsidP="003C0107">
            <w:pPr>
              <w:keepNext/>
              <w:jc w:val="center"/>
            </w:pPr>
            <w:r>
              <w:t>140 (56,9)</w:t>
            </w:r>
          </w:p>
          <w:p w14:paraId="42F62373" w14:textId="77777777" w:rsidR="003C0107" w:rsidRDefault="003C0107" w:rsidP="003C0107">
            <w:pPr>
              <w:keepNext/>
              <w:keepLines/>
              <w:jc w:val="center"/>
            </w:pPr>
            <w:r>
              <w:t>(50,7; 63,1)</w:t>
            </w:r>
          </w:p>
        </w:tc>
        <w:tc>
          <w:tcPr>
            <w:tcW w:w="1616" w:type="dxa"/>
            <w:shd w:val="clear" w:color="auto" w:fill="auto"/>
          </w:tcPr>
          <w:p w14:paraId="77BAC1D3" w14:textId="77777777" w:rsidR="003C0107" w:rsidRDefault="003C0107" w:rsidP="003C0107">
            <w:pPr>
              <w:keepNext/>
              <w:jc w:val="center"/>
            </w:pPr>
            <w:r>
              <w:t>115 (47,7)</w:t>
            </w:r>
          </w:p>
          <w:p w14:paraId="52AAADB1" w14:textId="77777777" w:rsidR="003C0107" w:rsidRDefault="003C0107" w:rsidP="003C0107">
            <w:pPr>
              <w:keepNext/>
              <w:keepLines/>
              <w:jc w:val="center"/>
            </w:pPr>
            <w:r>
              <w:t>(41,4; 54,0)</w:t>
            </w:r>
          </w:p>
        </w:tc>
        <w:tc>
          <w:tcPr>
            <w:tcW w:w="2294" w:type="dxa"/>
            <w:shd w:val="clear" w:color="auto" w:fill="auto"/>
          </w:tcPr>
          <w:p w14:paraId="78D64AD2" w14:textId="77777777" w:rsidR="003C0107" w:rsidRDefault="003C0107" w:rsidP="003C0107">
            <w:pPr>
              <w:keepNext/>
              <w:keepLines/>
              <w:jc w:val="center"/>
            </w:pPr>
            <w:r>
              <w:t>1,45 (1,02; 2,07)</w:t>
            </w:r>
          </w:p>
        </w:tc>
      </w:tr>
      <w:tr w:rsidR="003C0107" w:rsidRPr="00CC1C77" w14:paraId="0789CFF5" w14:textId="77777777" w:rsidTr="003C0107">
        <w:tc>
          <w:tcPr>
            <w:tcW w:w="2761" w:type="dxa"/>
            <w:shd w:val="clear" w:color="auto" w:fill="auto"/>
          </w:tcPr>
          <w:p w14:paraId="5CFC9C7C" w14:textId="77777777" w:rsidR="003C0107" w:rsidRPr="003E79E5" w:rsidRDefault="003C0107" w:rsidP="003C0107">
            <w:pPr>
              <w:keepNext/>
              <w:keepLines/>
              <w:rPr>
                <w:lang w:val="hu"/>
              </w:rPr>
            </w:pPr>
            <w:r w:rsidRPr="0000781B">
              <w:rPr>
                <w:lang w:val="hu"/>
              </w:rPr>
              <w:t>1 oldal</w:t>
            </w:r>
            <w:r>
              <w:rPr>
                <w:lang w:val="hu"/>
              </w:rPr>
              <w:t>as</w:t>
            </w:r>
            <w:r w:rsidRPr="0000781B">
              <w:rPr>
                <w:lang w:val="hu"/>
              </w:rPr>
              <w:t xml:space="preserve"> p-érték</w:t>
            </w:r>
          </w:p>
        </w:tc>
        <w:tc>
          <w:tcPr>
            <w:tcW w:w="6077" w:type="dxa"/>
            <w:gridSpan w:val="4"/>
            <w:shd w:val="clear" w:color="auto" w:fill="auto"/>
          </w:tcPr>
          <w:p w14:paraId="620C28E5" w14:textId="77777777" w:rsidR="003C0107" w:rsidRDefault="003C0107" w:rsidP="003C0107">
            <w:pPr>
              <w:keepNext/>
              <w:keepLines/>
              <w:jc w:val="center"/>
            </w:pPr>
            <w:r>
              <w:t>0,0208</w:t>
            </w:r>
            <w:r w:rsidRPr="00712BC8">
              <w:rPr>
                <w:vertAlign w:val="superscript"/>
              </w:rPr>
              <w:t>c</w:t>
            </w:r>
          </w:p>
        </w:tc>
      </w:tr>
      <w:tr w:rsidR="003C0107" w:rsidRPr="00CC1C77" w14:paraId="0FDC8C78" w14:textId="77777777" w:rsidTr="003C0107">
        <w:tc>
          <w:tcPr>
            <w:tcW w:w="2761" w:type="dxa"/>
            <w:tcBorders>
              <w:bottom w:val="single" w:sz="4" w:space="0" w:color="auto"/>
            </w:tcBorders>
            <w:shd w:val="clear" w:color="auto" w:fill="auto"/>
          </w:tcPr>
          <w:p w14:paraId="4CFB99A8" w14:textId="77777777" w:rsidR="003C0107" w:rsidRPr="00191C42" w:rsidRDefault="003C0107" w:rsidP="003C0107">
            <w:pPr>
              <w:keepNext/>
              <w:keepLines/>
              <w:rPr>
                <w:b/>
                <w:lang w:val="pt-BR"/>
              </w:rPr>
            </w:pPr>
            <w:r w:rsidRPr="00CC1C77">
              <w:rPr>
                <w:b/>
                <w:bCs/>
                <w:lang w:val="hu"/>
              </w:rPr>
              <w:t>Teljes citogenetikai válasz</w:t>
            </w:r>
          </w:p>
          <w:p w14:paraId="6B42AFF3" w14:textId="77777777" w:rsidR="003C0107" w:rsidRPr="00191C42" w:rsidRDefault="003C0107" w:rsidP="003C0107">
            <w:pPr>
              <w:keepNext/>
              <w:keepLines/>
              <w:ind w:left="180"/>
              <w:rPr>
                <w:lang w:val="pt-BR"/>
              </w:rPr>
            </w:pPr>
            <w:r w:rsidRPr="00CC1C77">
              <w:rPr>
                <w:lang w:val="hu"/>
              </w:rPr>
              <w:t>CCyR</w:t>
            </w:r>
            <w:r>
              <w:rPr>
                <w:lang w:val="hu"/>
              </w:rPr>
              <w:t xml:space="preserve"> a 12. hónapban (n, %)</w:t>
            </w:r>
          </w:p>
          <w:p w14:paraId="7864E905" w14:textId="77777777" w:rsidR="003C0107" w:rsidRPr="00191C42" w:rsidRDefault="003C0107" w:rsidP="003C0107">
            <w:pPr>
              <w:keepNext/>
              <w:keepLines/>
              <w:ind w:left="180"/>
              <w:rPr>
                <w:lang w:val="pt-BR"/>
              </w:rPr>
            </w:pPr>
            <w:r w:rsidRPr="00CC1C77">
              <w:rPr>
                <w:lang w:val="hu"/>
              </w:rPr>
              <w:t>(95%-os CI)</w:t>
            </w:r>
          </w:p>
        </w:tc>
        <w:tc>
          <w:tcPr>
            <w:tcW w:w="2102" w:type="dxa"/>
            <w:tcBorders>
              <w:bottom w:val="single" w:sz="4" w:space="0" w:color="auto"/>
            </w:tcBorders>
            <w:shd w:val="clear" w:color="auto" w:fill="auto"/>
          </w:tcPr>
          <w:p w14:paraId="524C6CCF" w14:textId="77777777" w:rsidR="003C0107" w:rsidRPr="00191C42" w:rsidRDefault="003C0107" w:rsidP="003C0107">
            <w:pPr>
              <w:keepNext/>
              <w:keepLines/>
              <w:ind w:left="1218"/>
              <w:rPr>
                <w:lang w:val="pt-BR"/>
              </w:rPr>
            </w:pPr>
          </w:p>
          <w:p w14:paraId="58F7351D" w14:textId="77777777" w:rsidR="003C0107" w:rsidRPr="00CC1C77" w:rsidRDefault="003C0107" w:rsidP="003C0107">
            <w:pPr>
              <w:keepNext/>
              <w:keepLines/>
              <w:ind w:left="-18"/>
              <w:jc w:val="center"/>
            </w:pPr>
            <w:r w:rsidRPr="00CC1C77">
              <w:rPr>
                <w:lang w:val="hu"/>
              </w:rPr>
              <w:t>190 (77,2)</w:t>
            </w:r>
            <w:r>
              <w:rPr>
                <w:vertAlign w:val="superscript"/>
                <w:lang w:val="hu"/>
              </w:rPr>
              <w:t>b</w:t>
            </w:r>
          </w:p>
          <w:p w14:paraId="1EBD734D" w14:textId="77777777" w:rsidR="003C0107" w:rsidRPr="00CC1C77" w:rsidRDefault="003C0107" w:rsidP="003C0107">
            <w:pPr>
              <w:keepNext/>
              <w:keepLines/>
              <w:ind w:left="-18"/>
              <w:jc w:val="center"/>
              <w:rPr>
                <w:u w:val="single"/>
              </w:rPr>
            </w:pPr>
            <w:r w:rsidRPr="00CC1C77">
              <w:rPr>
                <w:lang w:val="hu"/>
              </w:rPr>
              <w:t>(72,0</w:t>
            </w:r>
            <w:r>
              <w:rPr>
                <w:lang w:val="hu"/>
              </w:rPr>
              <w:t>;</w:t>
            </w:r>
            <w:r w:rsidRPr="00CC1C77">
              <w:rPr>
                <w:lang w:val="hu"/>
              </w:rPr>
              <w:t xml:space="preserve"> 82,5)</w:t>
            </w:r>
          </w:p>
        </w:tc>
        <w:tc>
          <w:tcPr>
            <w:tcW w:w="1681" w:type="dxa"/>
            <w:gridSpan w:val="2"/>
            <w:tcBorders>
              <w:bottom w:val="single" w:sz="4" w:space="0" w:color="auto"/>
            </w:tcBorders>
            <w:shd w:val="clear" w:color="auto" w:fill="auto"/>
          </w:tcPr>
          <w:p w14:paraId="64FD1BAD" w14:textId="77777777" w:rsidR="003C0107" w:rsidRPr="00CC1C77" w:rsidRDefault="003C0107" w:rsidP="003C0107">
            <w:pPr>
              <w:keepNext/>
              <w:keepLines/>
              <w:jc w:val="center"/>
            </w:pPr>
          </w:p>
          <w:p w14:paraId="5D1B995B" w14:textId="77777777" w:rsidR="003C0107" w:rsidRPr="00CC1C77" w:rsidRDefault="003C0107" w:rsidP="003C0107">
            <w:pPr>
              <w:keepNext/>
              <w:keepLines/>
              <w:jc w:val="center"/>
            </w:pPr>
            <w:r w:rsidRPr="00CC1C77">
              <w:rPr>
                <w:lang w:val="hu"/>
              </w:rPr>
              <w:t>160 (66,4)</w:t>
            </w:r>
          </w:p>
          <w:p w14:paraId="06D72C47" w14:textId="77777777" w:rsidR="003C0107" w:rsidRPr="00CC1C77" w:rsidRDefault="003C0107" w:rsidP="003C0107">
            <w:pPr>
              <w:keepNext/>
              <w:keepLines/>
              <w:jc w:val="center"/>
              <w:rPr>
                <w:u w:val="single"/>
              </w:rPr>
            </w:pPr>
            <w:r w:rsidRPr="00CC1C77">
              <w:rPr>
                <w:lang w:val="hu"/>
              </w:rPr>
              <w:t>(60,4</w:t>
            </w:r>
            <w:r>
              <w:rPr>
                <w:lang w:val="hu"/>
              </w:rPr>
              <w:t>;</w:t>
            </w:r>
            <w:r w:rsidRPr="00CC1C77">
              <w:rPr>
                <w:lang w:val="hu"/>
              </w:rPr>
              <w:t xml:space="preserve"> 72,4)</w:t>
            </w:r>
          </w:p>
        </w:tc>
        <w:tc>
          <w:tcPr>
            <w:tcW w:w="2294" w:type="dxa"/>
            <w:tcBorders>
              <w:bottom w:val="single" w:sz="4" w:space="0" w:color="auto"/>
            </w:tcBorders>
            <w:shd w:val="clear" w:color="auto" w:fill="auto"/>
          </w:tcPr>
          <w:p w14:paraId="07CA48B5" w14:textId="77777777" w:rsidR="003C0107" w:rsidRPr="00CC1C77" w:rsidRDefault="003C0107" w:rsidP="003C0107">
            <w:pPr>
              <w:keepNext/>
              <w:keepLines/>
              <w:jc w:val="center"/>
            </w:pPr>
          </w:p>
          <w:p w14:paraId="765401F8" w14:textId="77777777" w:rsidR="003C0107" w:rsidRPr="00CC1C77" w:rsidRDefault="003C0107" w:rsidP="003C0107">
            <w:pPr>
              <w:keepNext/>
              <w:keepLines/>
              <w:jc w:val="center"/>
            </w:pPr>
            <w:r>
              <w:rPr>
                <w:lang w:val="hu"/>
              </w:rPr>
              <w:t>1,74 (1,16; 2,61)</w:t>
            </w:r>
          </w:p>
        </w:tc>
      </w:tr>
      <w:tr w:rsidR="003C0107" w:rsidRPr="00CC1C77" w14:paraId="6664DE13" w14:textId="77777777" w:rsidTr="003C0107">
        <w:tc>
          <w:tcPr>
            <w:tcW w:w="2761" w:type="dxa"/>
            <w:tcBorders>
              <w:bottom w:val="single" w:sz="4" w:space="0" w:color="auto"/>
            </w:tcBorders>
            <w:shd w:val="clear" w:color="auto" w:fill="auto"/>
          </w:tcPr>
          <w:p w14:paraId="1B05975C" w14:textId="77777777" w:rsidR="003C0107" w:rsidRPr="00CC1C77" w:rsidRDefault="003C0107" w:rsidP="003C0107">
            <w:pPr>
              <w:keepNext/>
              <w:keepLines/>
              <w:rPr>
                <w:b/>
                <w:bCs/>
                <w:lang w:val="hu"/>
              </w:rPr>
            </w:pPr>
            <w:r w:rsidRPr="0000781B">
              <w:rPr>
                <w:lang w:val="hu"/>
              </w:rPr>
              <w:t>1 oldal</w:t>
            </w:r>
            <w:r>
              <w:rPr>
                <w:lang w:val="hu"/>
              </w:rPr>
              <w:t>as</w:t>
            </w:r>
            <w:r w:rsidRPr="0000781B">
              <w:rPr>
                <w:lang w:val="hu"/>
              </w:rPr>
              <w:t xml:space="preserve"> p-érték</w:t>
            </w:r>
          </w:p>
        </w:tc>
        <w:tc>
          <w:tcPr>
            <w:tcW w:w="6077" w:type="dxa"/>
            <w:gridSpan w:val="4"/>
            <w:tcBorders>
              <w:bottom w:val="single" w:sz="4" w:space="0" w:color="auto"/>
            </w:tcBorders>
            <w:shd w:val="clear" w:color="auto" w:fill="auto"/>
          </w:tcPr>
          <w:p w14:paraId="408C6E00" w14:textId="77777777" w:rsidR="003C0107" w:rsidRPr="00CC1C77" w:rsidRDefault="003C0107" w:rsidP="003C0107">
            <w:pPr>
              <w:keepNext/>
              <w:keepLines/>
              <w:jc w:val="center"/>
            </w:pPr>
            <w:r>
              <w:t>0,0037</w:t>
            </w:r>
            <w:r w:rsidRPr="00712BC8">
              <w:rPr>
                <w:vertAlign w:val="superscript"/>
              </w:rPr>
              <w:t>b</w:t>
            </w:r>
          </w:p>
        </w:tc>
      </w:tr>
      <w:tr w:rsidR="003C0107" w:rsidRPr="00DB61A5" w14:paraId="3CA68176" w14:textId="77777777" w:rsidTr="003C0107">
        <w:tc>
          <w:tcPr>
            <w:tcW w:w="8838" w:type="dxa"/>
            <w:gridSpan w:val="5"/>
            <w:tcBorders>
              <w:left w:val="nil"/>
              <w:bottom w:val="nil"/>
              <w:right w:val="nil"/>
            </w:tcBorders>
            <w:shd w:val="clear" w:color="auto" w:fill="auto"/>
          </w:tcPr>
          <w:p w14:paraId="46A86435" w14:textId="58E3AC4C" w:rsidR="003C0107" w:rsidRPr="00FB423C" w:rsidRDefault="003C0107" w:rsidP="003C0107">
            <w:pPr>
              <w:keepNext/>
              <w:rPr>
                <w:sz w:val="20"/>
                <w:lang w:val="hu"/>
              </w:rPr>
            </w:pPr>
            <w:bookmarkStart w:id="2" w:name="_Hlk66007377"/>
            <w:r w:rsidRPr="00FB423C">
              <w:rPr>
                <w:sz w:val="20"/>
                <w:lang w:val="hu"/>
              </w:rPr>
              <w:t>Megjegyzés: Az MMR meghatározása ≤0,1% BCR</w:t>
            </w:r>
            <w:r w:rsidRPr="00FB423C">
              <w:rPr>
                <w:sz w:val="20"/>
                <w:lang w:val="hu"/>
              </w:rPr>
              <w:noBreakHyphen/>
              <w:t>ABL/ABL-arány nemzetközi skála szerint (ez ≥ 3 log csökkenésnek felel meg a standardizált kiinduláshoz képest) a központi laboratórium értékelése szerint legalább 3000 ABL</w:t>
            </w:r>
            <w:r w:rsidRPr="00FB423C">
              <w:rPr>
                <w:sz w:val="20"/>
                <w:lang w:val="hu"/>
              </w:rPr>
              <w:noBreakHyphen/>
              <w:t>transzkriptummal. A teljes citogenetikai válasz meghatározása: a Ph+ metafázisok hiánya ≥ 20, csontvelő</w:t>
            </w:r>
            <w:r w:rsidRPr="00FB423C">
              <w:rPr>
                <w:sz w:val="20"/>
                <w:lang w:val="hu"/>
              </w:rPr>
              <w:noBreakHyphen/>
              <w:t>aspirációval nyert metafázis kromoszóma-sávozásos elemzése során vagy, amennyiben nem állt rendelkezésre megfelelő citogenetikai értékelés, MMR.</w:t>
            </w:r>
          </w:p>
          <w:p w14:paraId="45190EE9" w14:textId="672CB953" w:rsidR="003C0107" w:rsidRPr="00FB423C" w:rsidRDefault="003C0107" w:rsidP="003C0107">
            <w:pPr>
              <w:keepNext/>
              <w:rPr>
                <w:sz w:val="20"/>
                <w:lang w:val="hu"/>
              </w:rPr>
            </w:pPr>
            <w:bookmarkStart w:id="3" w:name="_Hlk66007333"/>
            <w:r w:rsidRPr="00FB423C">
              <w:rPr>
                <w:sz w:val="20"/>
                <w:lang w:val="hu"/>
              </w:rPr>
              <w:t>Rövidítések: BCR-ABL = töréspont klaszterrégió</w:t>
            </w:r>
            <w:r w:rsidRPr="00FB423C">
              <w:rPr>
                <w:sz w:val="20"/>
                <w:lang w:val="hu"/>
              </w:rPr>
              <w:noBreakHyphen/>
              <w:t xml:space="preserve">Abelson; CI = konfidenciaintervallum; CMH = Cochran–Mantel–Haenszel; CCyR = teljes citogenetikai válasz; mITT = módosított </w:t>
            </w:r>
            <w:r>
              <w:rPr>
                <w:sz w:val="20"/>
                <w:lang w:val="hu"/>
              </w:rPr>
              <w:t>beválasztás</w:t>
            </w:r>
            <w:r w:rsidRPr="00FB423C">
              <w:rPr>
                <w:sz w:val="20"/>
                <w:lang w:val="hu"/>
              </w:rPr>
              <w:t xml:space="preserve"> szerinti; MMR = major molekuláris válasz; N/ = betegszám; Ph+ = Philadelphia kromoszóma-pozitív. </w:t>
            </w:r>
          </w:p>
          <w:p w14:paraId="6D5DC953" w14:textId="77777777" w:rsidR="003C0107" w:rsidRPr="00FB423C" w:rsidRDefault="003C0107" w:rsidP="003C0107">
            <w:pPr>
              <w:keepNext/>
              <w:ind w:left="142" w:hanging="142"/>
              <w:rPr>
                <w:sz w:val="20"/>
                <w:lang w:val="hu"/>
              </w:rPr>
            </w:pPr>
            <w:r w:rsidRPr="00FB423C">
              <w:rPr>
                <w:sz w:val="20"/>
                <w:vertAlign w:val="superscript"/>
                <w:lang w:val="hu"/>
              </w:rPr>
              <w:t>a</w:t>
            </w:r>
            <w:r w:rsidRPr="00FB423C">
              <w:rPr>
                <w:sz w:val="20"/>
                <w:vertAlign w:val="superscript"/>
                <w:lang w:val="hu"/>
              </w:rPr>
              <w:tab/>
            </w:r>
            <w:r w:rsidRPr="00FB423C">
              <w:rPr>
                <w:sz w:val="20"/>
                <w:lang w:val="hu"/>
              </w:rPr>
              <w:t>A randomizáláskor földrajzi régió és Sokal-pontszám szerint korrigálva.</w:t>
            </w:r>
          </w:p>
          <w:p w14:paraId="42015656" w14:textId="77777777" w:rsidR="003C0107" w:rsidRPr="00FB423C" w:rsidRDefault="003C0107" w:rsidP="003C0107">
            <w:pPr>
              <w:keepNext/>
              <w:tabs>
                <w:tab w:val="left" w:pos="180"/>
              </w:tabs>
              <w:ind w:left="180" w:hanging="180"/>
              <w:rPr>
                <w:sz w:val="20"/>
                <w:lang w:val="hu"/>
              </w:rPr>
            </w:pPr>
            <w:r w:rsidRPr="00FB423C">
              <w:rPr>
                <w:sz w:val="20"/>
                <w:vertAlign w:val="superscript"/>
                <w:lang w:val="hu"/>
              </w:rPr>
              <w:t>b</w:t>
            </w:r>
            <w:r w:rsidRPr="00FB423C">
              <w:rPr>
                <w:sz w:val="20"/>
                <w:lang w:val="hu"/>
              </w:rPr>
              <w:tab/>
              <w:t>Statisztikailag szignifikáns összehasonlítás az előre megadott szignifikanciaszinten; a randomizáláskor földrajzi régió és Sokal-pontszám szerint rétegezett CMH-teszt alapján.</w:t>
            </w:r>
          </w:p>
          <w:p w14:paraId="4859EB59" w14:textId="77777777" w:rsidR="003C0107" w:rsidRPr="00FB423C" w:rsidRDefault="003C0107" w:rsidP="003C0107">
            <w:pPr>
              <w:keepNext/>
              <w:tabs>
                <w:tab w:val="left" w:pos="180"/>
              </w:tabs>
              <w:rPr>
                <w:sz w:val="20"/>
                <w:vertAlign w:val="superscript"/>
                <w:lang w:val="hu"/>
              </w:rPr>
            </w:pPr>
            <w:r w:rsidRPr="00FB423C">
              <w:rPr>
                <w:sz w:val="20"/>
                <w:vertAlign w:val="superscript"/>
                <w:lang w:val="hu"/>
              </w:rPr>
              <w:t>c</w:t>
            </w:r>
            <w:r w:rsidRPr="00FB423C">
              <w:rPr>
                <w:sz w:val="20"/>
                <w:lang w:val="hu"/>
              </w:rPr>
              <w:tab/>
              <w:t>A randomizáláskor földrajzi régió és Sokal-pontszám szerint rétegezett CMH-teszt alapján.</w:t>
            </w:r>
            <w:bookmarkEnd w:id="3"/>
          </w:p>
        </w:tc>
      </w:tr>
      <w:bookmarkEnd w:id="2"/>
    </w:tbl>
    <w:p w14:paraId="53F63A76" w14:textId="77777777" w:rsidR="005B1144" w:rsidRPr="00C208E4" w:rsidRDefault="005B1144" w:rsidP="00C208E4">
      <w:pPr>
        <w:pStyle w:val="Szvegtrzs"/>
        <w:rPr>
          <w:szCs w:val="36"/>
        </w:rPr>
      </w:pPr>
    </w:p>
    <w:p w14:paraId="53F63A78" w14:textId="231B3096" w:rsidR="005B1144" w:rsidRPr="00C208E4" w:rsidRDefault="0070285B" w:rsidP="00C208E4">
      <w:pPr>
        <w:pStyle w:val="Szvegtrzs"/>
      </w:pPr>
      <w:r w:rsidRPr="00C208E4">
        <w:t>A 12. hónapban az MR</w:t>
      </w:r>
      <w:r w:rsidRPr="00C208E4">
        <w:rPr>
          <w:vertAlign w:val="superscript"/>
        </w:rPr>
        <w:t>4</w:t>
      </w:r>
      <w:r w:rsidRPr="00C208E4">
        <w:t xml:space="preserve"> aránya (meghatározása: ≤ 0,01% BCR-ABL [ez a standardizált kiindulási értékhez képest ≥ 4 log csökkenésnek felel meg] legalább 9800 ABL transzkriptummal) magasabb volt a bozutinib kezelési csoportban, mint az imatinib kezelési csoportban az mITT populációban (20,7% [95%-os CI: 15,7%, 25,8%], </w:t>
      </w:r>
      <w:r w:rsidR="00601929">
        <w:t>ill.</w:t>
      </w:r>
      <w:r w:rsidRPr="00C208E4">
        <w:t xml:space="preserve"> 12,0% [95%-os CI: 7,9%, 16,1%], esélyhányados [odds ratio,</w:t>
      </w:r>
      <w:r w:rsidR="00153DFC" w:rsidRPr="00C208E4">
        <w:t xml:space="preserve"> </w:t>
      </w:r>
      <w:r w:rsidRPr="00C208E4">
        <w:t>OR] = 1,88 [95%-os CI: 1,15, 3,08], 1 oldalas p-érték = 0,0052).</w:t>
      </w:r>
    </w:p>
    <w:p w14:paraId="53F63A79" w14:textId="77777777" w:rsidR="005B1144" w:rsidRPr="00C208E4" w:rsidRDefault="005B1144" w:rsidP="00C208E4">
      <w:pPr>
        <w:pStyle w:val="Szvegtrzs"/>
      </w:pPr>
    </w:p>
    <w:p w14:paraId="53F63A7A" w14:textId="77777777" w:rsidR="005B1144" w:rsidRPr="00C208E4" w:rsidRDefault="0070285B" w:rsidP="00C208E4">
      <w:pPr>
        <w:pStyle w:val="Szvegtrzs"/>
      </w:pPr>
      <w:r w:rsidRPr="00C208E4">
        <w:t>A 3., 6. és 9. hónapban az MMR-rel rendelkező betegek aránya magasabb volt a bozutinib kezelési csoportban, mint az imatinib kezelési csoportban (4. táblázat).</w:t>
      </w:r>
    </w:p>
    <w:p w14:paraId="043C299A" w14:textId="77777777" w:rsidR="005B1144" w:rsidRPr="00C208E4" w:rsidRDefault="005B1144" w:rsidP="00C208E4"/>
    <w:p w14:paraId="53F63A7C" w14:textId="77777777" w:rsidR="005B1144" w:rsidRPr="00C208E4" w:rsidRDefault="0070285B" w:rsidP="00C208E4">
      <w:pPr>
        <w:pStyle w:val="Cmsor2"/>
        <w:numPr>
          <w:ilvl w:val="0"/>
          <w:numId w:val="15"/>
        </w:numPr>
        <w:tabs>
          <w:tab w:val="left" w:pos="897"/>
        </w:tabs>
        <w:ind w:left="221"/>
      </w:pPr>
      <w:r w:rsidRPr="00C208E4">
        <w:t>táblázat – A 3., 6. és 9. havi major molekuláris válasz (MMR) összehasonlítása kezelések szerint az mITT populációban</w:t>
      </w:r>
    </w:p>
    <w:p w14:paraId="110C4291" w14:textId="7564B01C" w:rsidR="00764CDB" w:rsidRDefault="00764CDB" w:rsidP="00C208E4">
      <w:pPr>
        <w:pStyle w:val="Szvegtrzs"/>
        <w:rPr>
          <w:b/>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2084"/>
        <w:gridCol w:w="1783"/>
        <w:gridCol w:w="2364"/>
      </w:tblGrid>
      <w:tr w:rsidR="003C0107" w:rsidRPr="003C0107" w14:paraId="49243F64" w14:textId="77777777" w:rsidTr="0030598E">
        <w:tc>
          <w:tcPr>
            <w:tcW w:w="2607" w:type="dxa"/>
            <w:vMerge w:val="restart"/>
            <w:shd w:val="clear" w:color="auto" w:fill="auto"/>
          </w:tcPr>
          <w:p w14:paraId="59EB35FB" w14:textId="77777777" w:rsidR="003C0107" w:rsidRPr="003C0107" w:rsidRDefault="003C0107" w:rsidP="0030598E">
            <w:pPr>
              <w:keepNext/>
              <w:keepLines/>
              <w:widowControl/>
              <w:tabs>
                <w:tab w:val="left" w:pos="567"/>
              </w:tabs>
              <w:autoSpaceDE/>
              <w:autoSpaceDN/>
              <w:rPr>
                <w:rFonts w:eastAsia="SimSun"/>
                <w:snapToGrid w:val="0"/>
                <w:szCs w:val="20"/>
                <w:u w:val="single"/>
                <w:lang w:val="hu" w:eastAsia="zh-CN"/>
              </w:rPr>
            </w:pPr>
          </w:p>
          <w:p w14:paraId="2F82D193" w14:textId="77777777" w:rsidR="003C0107" w:rsidRPr="003C0107" w:rsidRDefault="003C0107" w:rsidP="0030598E">
            <w:pPr>
              <w:keepNext/>
              <w:keepLines/>
              <w:widowControl/>
              <w:tabs>
                <w:tab w:val="left" w:pos="567"/>
              </w:tabs>
              <w:autoSpaceDE/>
              <w:autoSpaceDN/>
              <w:rPr>
                <w:rFonts w:eastAsia="SimSun"/>
                <w:b/>
                <w:snapToGrid w:val="0"/>
                <w:szCs w:val="20"/>
                <w:lang w:val="hu" w:eastAsia="zh-CN"/>
              </w:rPr>
            </w:pPr>
          </w:p>
          <w:p w14:paraId="48AEC3C0" w14:textId="77777777" w:rsidR="003C0107" w:rsidRPr="003C0107" w:rsidRDefault="003C0107" w:rsidP="0030598E">
            <w:pPr>
              <w:keepNext/>
              <w:keepLines/>
              <w:widowControl/>
              <w:tabs>
                <w:tab w:val="left" w:pos="567"/>
              </w:tabs>
              <w:autoSpaceDE/>
              <w:autoSpaceDN/>
              <w:ind w:left="180"/>
              <w:rPr>
                <w:rFonts w:eastAsia="SimSun"/>
                <w:snapToGrid w:val="0"/>
                <w:szCs w:val="20"/>
                <w:u w:val="single"/>
                <w:lang w:val="en-GB" w:eastAsia="zh-CN"/>
              </w:rPr>
            </w:pPr>
            <w:r w:rsidRPr="003C0107">
              <w:rPr>
                <w:rFonts w:eastAsia="SimSun"/>
                <w:b/>
                <w:bCs/>
                <w:snapToGrid w:val="0"/>
                <w:szCs w:val="20"/>
                <w:lang w:val="hu" w:eastAsia="zh-CN"/>
              </w:rPr>
              <w:t xml:space="preserve">Idő </w:t>
            </w:r>
          </w:p>
        </w:tc>
        <w:tc>
          <w:tcPr>
            <w:tcW w:w="3867" w:type="dxa"/>
            <w:gridSpan w:val="2"/>
            <w:shd w:val="clear" w:color="auto" w:fill="auto"/>
          </w:tcPr>
          <w:p w14:paraId="7398844C" w14:textId="77777777" w:rsidR="003C0107" w:rsidRPr="003C0107" w:rsidRDefault="003C0107" w:rsidP="0030598E">
            <w:pPr>
              <w:keepNext/>
              <w:keepLines/>
              <w:widowControl/>
              <w:tabs>
                <w:tab w:val="left" w:pos="567"/>
              </w:tabs>
              <w:autoSpaceDE/>
              <w:autoSpaceDN/>
              <w:rPr>
                <w:rFonts w:eastAsia="SimSun"/>
                <w:b/>
                <w:snapToGrid w:val="0"/>
                <w:szCs w:val="20"/>
                <w:lang w:val="en-GB" w:eastAsia="zh-CN"/>
              </w:rPr>
            </w:pPr>
            <w:r w:rsidRPr="003C0107">
              <w:rPr>
                <w:rFonts w:eastAsia="SimSun"/>
                <w:b/>
                <w:bCs/>
                <w:snapToGrid w:val="0"/>
                <w:szCs w:val="20"/>
                <w:lang w:val="hu" w:eastAsia="zh-CN"/>
              </w:rPr>
              <w:t>MMR-rel rendelkező résztvevők száma (%)</w:t>
            </w:r>
          </w:p>
        </w:tc>
        <w:tc>
          <w:tcPr>
            <w:tcW w:w="2364" w:type="dxa"/>
            <w:vMerge w:val="restart"/>
            <w:shd w:val="clear" w:color="auto" w:fill="auto"/>
          </w:tcPr>
          <w:p w14:paraId="3D1858DC" w14:textId="77777777" w:rsidR="003C0107" w:rsidRPr="003C0107" w:rsidRDefault="003C0107" w:rsidP="0030598E">
            <w:pPr>
              <w:keepNext/>
              <w:keepLines/>
              <w:widowControl/>
              <w:tabs>
                <w:tab w:val="left" w:pos="567"/>
              </w:tabs>
              <w:autoSpaceDE/>
              <w:autoSpaceDN/>
              <w:rPr>
                <w:rFonts w:eastAsia="SimSun"/>
                <w:b/>
                <w:snapToGrid w:val="0"/>
                <w:szCs w:val="20"/>
                <w:lang w:val="en-GB" w:eastAsia="zh-CN"/>
              </w:rPr>
            </w:pPr>
          </w:p>
          <w:p w14:paraId="6A15D67F" w14:textId="77777777" w:rsidR="003C0107" w:rsidRPr="003C0107" w:rsidRDefault="003C0107" w:rsidP="0030598E">
            <w:pPr>
              <w:keepNext/>
              <w:keepLines/>
              <w:widowControl/>
              <w:tabs>
                <w:tab w:val="left" w:pos="567"/>
              </w:tabs>
              <w:autoSpaceDE/>
              <w:autoSpaceDN/>
              <w:rPr>
                <w:rFonts w:eastAsia="SimSun"/>
                <w:b/>
                <w:bCs/>
                <w:snapToGrid w:val="0"/>
                <w:szCs w:val="20"/>
                <w:lang w:val="hu" w:eastAsia="zh-CN"/>
              </w:rPr>
            </w:pPr>
            <w:r w:rsidRPr="003C0107">
              <w:rPr>
                <w:rFonts w:eastAsia="SimSun"/>
                <w:b/>
                <w:bCs/>
                <w:snapToGrid w:val="0"/>
                <w:szCs w:val="20"/>
                <w:lang w:val="hu" w:eastAsia="zh-CN"/>
              </w:rPr>
              <w:t xml:space="preserve">Esélyhányados </w:t>
            </w:r>
          </w:p>
          <w:p w14:paraId="62D2B986" w14:textId="77777777" w:rsidR="003C0107" w:rsidRPr="003C0107" w:rsidRDefault="003C0107" w:rsidP="0030598E">
            <w:pPr>
              <w:keepNext/>
              <w:keepLines/>
              <w:widowControl/>
              <w:tabs>
                <w:tab w:val="left" w:pos="567"/>
              </w:tabs>
              <w:autoSpaceDE/>
              <w:autoSpaceDN/>
              <w:rPr>
                <w:rFonts w:eastAsia="SimSun"/>
                <w:b/>
                <w:snapToGrid w:val="0"/>
                <w:szCs w:val="20"/>
                <w:lang w:val="en-GB" w:eastAsia="zh-CN"/>
              </w:rPr>
            </w:pPr>
            <w:r w:rsidRPr="003C0107">
              <w:rPr>
                <w:rFonts w:eastAsia="SimSun"/>
                <w:b/>
                <w:bCs/>
                <w:snapToGrid w:val="0"/>
                <w:szCs w:val="20"/>
                <w:lang w:val="hu" w:eastAsia="zh-CN"/>
              </w:rPr>
              <w:t>(95%-os CI)</w:t>
            </w:r>
            <w:r w:rsidRPr="003C0107">
              <w:rPr>
                <w:rFonts w:eastAsia="SimSun"/>
                <w:b/>
                <w:bCs/>
                <w:snapToGrid w:val="0"/>
                <w:szCs w:val="20"/>
                <w:vertAlign w:val="superscript"/>
                <w:lang w:val="hu" w:eastAsia="zh-CN"/>
              </w:rPr>
              <w:t>a</w:t>
            </w:r>
          </w:p>
        </w:tc>
      </w:tr>
      <w:tr w:rsidR="003C0107" w:rsidRPr="003C0107" w14:paraId="232469B6" w14:textId="77777777" w:rsidTr="0030598E">
        <w:tc>
          <w:tcPr>
            <w:tcW w:w="2607" w:type="dxa"/>
            <w:vMerge/>
            <w:shd w:val="clear" w:color="auto" w:fill="auto"/>
          </w:tcPr>
          <w:p w14:paraId="0EA0C6E2" w14:textId="77777777" w:rsidR="003C0107" w:rsidRPr="003C0107" w:rsidRDefault="003C0107" w:rsidP="0030598E">
            <w:pPr>
              <w:keepNext/>
              <w:keepLines/>
              <w:widowControl/>
              <w:tabs>
                <w:tab w:val="left" w:pos="567"/>
              </w:tabs>
              <w:autoSpaceDE/>
              <w:autoSpaceDN/>
              <w:rPr>
                <w:rFonts w:eastAsia="SimSun"/>
                <w:b/>
                <w:snapToGrid w:val="0"/>
                <w:szCs w:val="20"/>
                <w:lang w:val="en-GB" w:eastAsia="zh-CN"/>
              </w:rPr>
            </w:pPr>
          </w:p>
        </w:tc>
        <w:tc>
          <w:tcPr>
            <w:tcW w:w="2084" w:type="dxa"/>
            <w:shd w:val="clear" w:color="auto" w:fill="auto"/>
          </w:tcPr>
          <w:p w14:paraId="48FA80A0" w14:textId="77777777" w:rsidR="003C0107" w:rsidRPr="003C0107" w:rsidRDefault="003C0107" w:rsidP="0030598E">
            <w:pPr>
              <w:keepNext/>
              <w:keepLines/>
              <w:widowControl/>
              <w:tabs>
                <w:tab w:val="left" w:pos="567"/>
              </w:tabs>
              <w:autoSpaceDE/>
              <w:autoSpaceDN/>
              <w:rPr>
                <w:rFonts w:eastAsia="SimSun"/>
                <w:b/>
                <w:snapToGrid w:val="0"/>
                <w:szCs w:val="20"/>
                <w:lang w:val="en-GB" w:eastAsia="zh-CN"/>
              </w:rPr>
            </w:pPr>
            <w:r w:rsidRPr="003C0107">
              <w:rPr>
                <w:rFonts w:eastAsia="SimSun"/>
                <w:b/>
                <w:bCs/>
                <w:snapToGrid w:val="0"/>
                <w:szCs w:val="20"/>
                <w:lang w:val="hu" w:eastAsia="zh-CN"/>
              </w:rPr>
              <w:t>Bozutinib</w:t>
            </w:r>
          </w:p>
          <w:p w14:paraId="4D2560A0"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(N = 246)</w:t>
            </w:r>
          </w:p>
        </w:tc>
        <w:tc>
          <w:tcPr>
            <w:tcW w:w="1783" w:type="dxa"/>
            <w:shd w:val="clear" w:color="auto" w:fill="auto"/>
          </w:tcPr>
          <w:p w14:paraId="2DF8C68C" w14:textId="77777777" w:rsidR="003C0107" w:rsidRPr="003C0107" w:rsidRDefault="003C0107" w:rsidP="0030598E">
            <w:pPr>
              <w:keepNext/>
              <w:keepLines/>
              <w:widowControl/>
              <w:tabs>
                <w:tab w:val="left" w:pos="567"/>
              </w:tabs>
              <w:autoSpaceDE/>
              <w:autoSpaceDN/>
              <w:rPr>
                <w:rFonts w:eastAsia="SimSun"/>
                <w:b/>
                <w:snapToGrid w:val="0"/>
                <w:szCs w:val="20"/>
                <w:lang w:val="en-GB" w:eastAsia="zh-CN"/>
              </w:rPr>
            </w:pPr>
            <w:r w:rsidRPr="003C0107">
              <w:rPr>
                <w:rFonts w:eastAsia="SimSun"/>
                <w:b/>
                <w:bCs/>
                <w:snapToGrid w:val="0"/>
                <w:szCs w:val="20"/>
                <w:lang w:val="hu" w:eastAsia="zh-CN"/>
              </w:rPr>
              <w:t>Imatinib</w:t>
            </w:r>
          </w:p>
          <w:p w14:paraId="3BE5BC54"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(N = 241)</w:t>
            </w:r>
          </w:p>
        </w:tc>
        <w:tc>
          <w:tcPr>
            <w:tcW w:w="2364" w:type="dxa"/>
            <w:vMerge/>
            <w:shd w:val="clear" w:color="auto" w:fill="auto"/>
          </w:tcPr>
          <w:p w14:paraId="7776C9B0" w14:textId="77777777" w:rsidR="003C0107" w:rsidRPr="003C0107" w:rsidRDefault="003C0107" w:rsidP="0030598E">
            <w:pPr>
              <w:keepNext/>
              <w:keepLines/>
              <w:widowControl/>
              <w:tabs>
                <w:tab w:val="left" w:pos="567"/>
              </w:tabs>
              <w:autoSpaceDE/>
              <w:autoSpaceDN/>
              <w:rPr>
                <w:rFonts w:eastAsia="SimSun"/>
                <w:b/>
                <w:snapToGrid w:val="0"/>
                <w:szCs w:val="20"/>
                <w:lang w:val="en-GB" w:eastAsia="zh-CN"/>
              </w:rPr>
            </w:pPr>
          </w:p>
        </w:tc>
      </w:tr>
      <w:tr w:rsidR="003C0107" w:rsidRPr="003C0107" w14:paraId="10EB81BC" w14:textId="77777777" w:rsidTr="0030598E">
        <w:tc>
          <w:tcPr>
            <w:tcW w:w="2607" w:type="dxa"/>
            <w:shd w:val="clear" w:color="auto" w:fill="auto"/>
          </w:tcPr>
          <w:p w14:paraId="46F83FDC" w14:textId="77777777" w:rsidR="003C0107" w:rsidRPr="003C0107" w:rsidRDefault="003C0107" w:rsidP="0030598E">
            <w:pPr>
              <w:keepNext/>
              <w:keepLines/>
              <w:widowControl/>
              <w:tabs>
                <w:tab w:val="left" w:pos="567"/>
              </w:tabs>
              <w:autoSpaceDE/>
              <w:autoSpaceDN/>
              <w:ind w:left="180"/>
              <w:rPr>
                <w:rFonts w:eastAsia="SimSun"/>
                <w:snapToGrid w:val="0"/>
                <w:szCs w:val="20"/>
                <w:lang w:val="pt-BR" w:eastAsia="zh-CN"/>
              </w:rPr>
            </w:pPr>
            <w:r w:rsidRPr="003C0107">
              <w:rPr>
                <w:rFonts w:eastAsia="SimSun"/>
                <w:snapToGrid w:val="0"/>
                <w:szCs w:val="20"/>
                <w:lang w:val="hu" w:eastAsia="zh-CN"/>
              </w:rPr>
              <w:t>3. hónap</w:t>
            </w:r>
          </w:p>
          <w:p w14:paraId="3CB6C578" w14:textId="77777777" w:rsidR="003C0107" w:rsidRPr="003C0107" w:rsidRDefault="003C0107" w:rsidP="0030598E">
            <w:pPr>
              <w:keepNext/>
              <w:keepLines/>
              <w:widowControl/>
              <w:tabs>
                <w:tab w:val="left" w:pos="567"/>
              </w:tabs>
              <w:autoSpaceDE/>
              <w:autoSpaceDN/>
              <w:ind w:left="180"/>
              <w:rPr>
                <w:rFonts w:eastAsia="SimSun"/>
                <w:snapToGrid w:val="0"/>
                <w:szCs w:val="20"/>
                <w:u w:val="single"/>
                <w:lang w:val="en-GB" w:eastAsia="zh-CN"/>
              </w:rPr>
            </w:pPr>
            <w:r w:rsidRPr="003C0107">
              <w:rPr>
                <w:rFonts w:eastAsia="SimSun"/>
                <w:snapToGrid w:val="0"/>
                <w:szCs w:val="20"/>
                <w:lang w:val="hu" w:eastAsia="zh-CN"/>
              </w:rPr>
              <w:t>(95%-os CI)</w:t>
            </w:r>
          </w:p>
        </w:tc>
        <w:tc>
          <w:tcPr>
            <w:tcW w:w="2084" w:type="dxa"/>
            <w:shd w:val="clear" w:color="auto" w:fill="auto"/>
          </w:tcPr>
          <w:p w14:paraId="4AC271AC" w14:textId="77777777" w:rsidR="003C0107" w:rsidRPr="003C0107" w:rsidRDefault="003C0107" w:rsidP="0030598E">
            <w:pPr>
              <w:keepNext/>
              <w:keepLines/>
              <w:widowControl/>
              <w:autoSpaceDE/>
              <w:autoSpaceDN/>
              <w:rPr>
                <w:rFonts w:eastAsia="SimSun"/>
                <w:snapToGrid w:val="0"/>
                <w:szCs w:val="20"/>
                <w:lang w:val="en-GB" w:eastAsia="zh-CN"/>
              </w:rPr>
            </w:pPr>
            <w:r w:rsidRPr="003C0107">
              <w:rPr>
                <w:rFonts w:eastAsia="SimSun"/>
                <w:snapToGrid w:val="0"/>
                <w:szCs w:val="20"/>
                <w:lang w:val="hu" w:eastAsia="zh-CN"/>
              </w:rPr>
              <w:t>10 (4,1)</w:t>
            </w:r>
          </w:p>
          <w:p w14:paraId="208FAE99" w14:textId="77777777" w:rsidR="003C0107" w:rsidRPr="003C0107" w:rsidRDefault="003C0107" w:rsidP="0030598E">
            <w:pPr>
              <w:keepNext/>
              <w:keepLines/>
              <w:widowControl/>
              <w:autoSpaceDE/>
              <w:autoSpaceDN/>
              <w:rPr>
                <w:rFonts w:eastAsia="SimSun"/>
                <w:snapToGrid w:val="0"/>
                <w:szCs w:val="20"/>
                <w:lang w:val="en-GB" w:eastAsia="zh-CN"/>
              </w:rPr>
            </w:pPr>
            <w:r w:rsidRPr="003C0107">
              <w:rPr>
                <w:rFonts w:eastAsia="SimSun"/>
                <w:snapToGrid w:val="0"/>
                <w:szCs w:val="20"/>
                <w:lang w:val="hu" w:eastAsia="zh-CN"/>
              </w:rPr>
              <w:t>(1,6; 6,5)</w:t>
            </w:r>
          </w:p>
        </w:tc>
        <w:tc>
          <w:tcPr>
            <w:tcW w:w="1783" w:type="dxa"/>
            <w:shd w:val="clear" w:color="auto" w:fill="auto"/>
          </w:tcPr>
          <w:p w14:paraId="4329F8A0"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4 (1,7)</w:t>
            </w:r>
          </w:p>
          <w:p w14:paraId="3C33F22F"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(0,0; 3,3)</w:t>
            </w:r>
          </w:p>
        </w:tc>
        <w:tc>
          <w:tcPr>
            <w:tcW w:w="2364" w:type="dxa"/>
            <w:shd w:val="clear" w:color="auto" w:fill="auto"/>
          </w:tcPr>
          <w:p w14:paraId="2FDEC9AB"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2,48 (0,77; 7,98)</w:t>
            </w:r>
          </w:p>
        </w:tc>
      </w:tr>
      <w:tr w:rsidR="003C0107" w:rsidRPr="003C0107" w14:paraId="4CC07DE8" w14:textId="77777777" w:rsidTr="0030598E">
        <w:tc>
          <w:tcPr>
            <w:tcW w:w="2607" w:type="dxa"/>
            <w:shd w:val="clear" w:color="auto" w:fill="auto"/>
          </w:tcPr>
          <w:p w14:paraId="35DCD041" w14:textId="77777777" w:rsidR="003C0107" w:rsidRPr="003C0107" w:rsidRDefault="003C0107" w:rsidP="0030598E">
            <w:pPr>
              <w:keepNext/>
              <w:keepLines/>
              <w:widowControl/>
              <w:tabs>
                <w:tab w:val="left" w:pos="567"/>
              </w:tabs>
              <w:autoSpaceDE/>
              <w:autoSpaceDN/>
              <w:ind w:left="180"/>
              <w:rPr>
                <w:rFonts w:eastAsia="SimSun"/>
                <w:snapToGrid w:val="0"/>
                <w:szCs w:val="20"/>
                <w:lang w:val="hu" w:eastAsia="zh-CN"/>
              </w:rPr>
            </w:pPr>
            <w:r w:rsidRPr="003C0107">
              <w:rPr>
                <w:rFonts w:eastAsia="SimSun"/>
                <w:snapToGrid w:val="0"/>
                <w:szCs w:val="20"/>
                <w:lang w:val="hu" w:eastAsia="zh-CN"/>
              </w:rPr>
              <w:t>1 oldalas p-érték</w:t>
            </w:r>
            <w:r w:rsidRPr="003C0107">
              <w:rPr>
                <w:rFonts w:eastAsia="SimSun"/>
                <w:snapToGrid w:val="0"/>
                <w:szCs w:val="20"/>
                <w:vertAlign w:val="superscript"/>
                <w:lang w:val="hu" w:eastAsia="zh-CN"/>
              </w:rPr>
              <w:t>b</w:t>
            </w:r>
          </w:p>
        </w:tc>
        <w:tc>
          <w:tcPr>
            <w:tcW w:w="6231" w:type="dxa"/>
            <w:gridSpan w:val="3"/>
            <w:shd w:val="clear" w:color="auto" w:fill="auto"/>
          </w:tcPr>
          <w:p w14:paraId="732E27F9" w14:textId="77777777" w:rsidR="003C0107" w:rsidRPr="003C0107" w:rsidRDefault="003C0107" w:rsidP="0030598E">
            <w:pPr>
              <w:keepNext/>
              <w:keepLines/>
              <w:widowControl/>
              <w:tabs>
                <w:tab w:val="left" w:pos="567"/>
              </w:tabs>
              <w:autoSpaceDE/>
              <w:autoSpaceDN/>
              <w:rPr>
                <w:rFonts w:eastAsia="SimSun"/>
                <w:snapToGrid w:val="0"/>
                <w:szCs w:val="20"/>
                <w:lang w:val="hu" w:eastAsia="zh-CN"/>
              </w:rPr>
            </w:pPr>
            <w:r w:rsidRPr="003C0107">
              <w:rPr>
                <w:rFonts w:eastAsia="SimSun"/>
                <w:snapToGrid w:val="0"/>
                <w:szCs w:val="20"/>
                <w:lang w:val="hu" w:eastAsia="zh-CN"/>
              </w:rPr>
              <w:t>0,0578</w:t>
            </w:r>
          </w:p>
        </w:tc>
      </w:tr>
      <w:tr w:rsidR="003C0107" w:rsidRPr="003C0107" w14:paraId="6DA8EA41" w14:textId="77777777" w:rsidTr="0030598E">
        <w:tc>
          <w:tcPr>
            <w:tcW w:w="2607" w:type="dxa"/>
            <w:shd w:val="clear" w:color="auto" w:fill="auto"/>
          </w:tcPr>
          <w:p w14:paraId="0FAB1044" w14:textId="77777777" w:rsidR="003C0107" w:rsidRPr="003C0107" w:rsidRDefault="003C0107" w:rsidP="0030598E">
            <w:pPr>
              <w:keepNext/>
              <w:keepLines/>
              <w:widowControl/>
              <w:tabs>
                <w:tab w:val="left" w:pos="567"/>
              </w:tabs>
              <w:autoSpaceDE/>
              <w:autoSpaceDN/>
              <w:ind w:left="180"/>
              <w:rPr>
                <w:rFonts w:eastAsia="SimSun"/>
                <w:snapToGrid w:val="0"/>
                <w:szCs w:val="20"/>
                <w:lang w:val="pt-BR" w:eastAsia="zh-CN"/>
              </w:rPr>
            </w:pPr>
            <w:r w:rsidRPr="003C0107">
              <w:rPr>
                <w:rFonts w:eastAsia="SimSun"/>
                <w:snapToGrid w:val="0"/>
                <w:szCs w:val="20"/>
                <w:lang w:val="hu" w:eastAsia="zh-CN"/>
              </w:rPr>
              <w:t>6. hónap</w:t>
            </w:r>
          </w:p>
          <w:p w14:paraId="309BB228" w14:textId="77777777" w:rsidR="003C0107" w:rsidRPr="003C0107" w:rsidRDefault="003C0107" w:rsidP="0030598E">
            <w:pPr>
              <w:keepNext/>
              <w:keepLines/>
              <w:widowControl/>
              <w:tabs>
                <w:tab w:val="left" w:pos="567"/>
              </w:tabs>
              <w:autoSpaceDE/>
              <w:autoSpaceDN/>
              <w:ind w:left="180"/>
              <w:rPr>
                <w:rFonts w:eastAsia="SimSun"/>
                <w:snapToGrid w:val="0"/>
                <w:szCs w:val="20"/>
                <w:lang w:val="hu" w:eastAsia="zh-CN"/>
              </w:rPr>
            </w:pPr>
            <w:r w:rsidRPr="003C0107">
              <w:rPr>
                <w:rFonts w:eastAsia="SimSun"/>
                <w:snapToGrid w:val="0"/>
                <w:szCs w:val="20"/>
                <w:lang w:val="hu" w:eastAsia="zh-CN"/>
              </w:rPr>
              <w:t>(95%-os CI)</w:t>
            </w:r>
          </w:p>
        </w:tc>
        <w:tc>
          <w:tcPr>
            <w:tcW w:w="2084" w:type="dxa"/>
            <w:shd w:val="clear" w:color="auto" w:fill="auto"/>
          </w:tcPr>
          <w:p w14:paraId="600E7DDF"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86 (35,0)</w:t>
            </w:r>
          </w:p>
          <w:p w14:paraId="26FFCFF2" w14:textId="77777777" w:rsidR="003C0107" w:rsidRPr="003C0107" w:rsidRDefault="003C0107" w:rsidP="0030598E">
            <w:pPr>
              <w:keepNext/>
              <w:keepLines/>
              <w:widowControl/>
              <w:tabs>
                <w:tab w:val="left" w:pos="567"/>
              </w:tabs>
              <w:autoSpaceDE/>
              <w:autoSpaceDN/>
              <w:rPr>
                <w:rFonts w:eastAsia="SimSun"/>
                <w:snapToGrid w:val="0"/>
                <w:szCs w:val="20"/>
                <w:lang w:val="hu" w:eastAsia="zh-CN"/>
              </w:rPr>
            </w:pPr>
            <w:r w:rsidRPr="003C0107">
              <w:rPr>
                <w:rFonts w:eastAsia="SimSun"/>
                <w:snapToGrid w:val="0"/>
                <w:szCs w:val="20"/>
                <w:lang w:val="hu" w:eastAsia="zh-CN"/>
              </w:rPr>
              <w:t>(29,0; 40,9)</w:t>
            </w:r>
          </w:p>
        </w:tc>
        <w:tc>
          <w:tcPr>
            <w:tcW w:w="1783" w:type="dxa"/>
            <w:shd w:val="clear" w:color="auto" w:fill="auto"/>
          </w:tcPr>
          <w:p w14:paraId="3ED93B06"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44 (18,3)</w:t>
            </w:r>
          </w:p>
          <w:p w14:paraId="2EBA334A" w14:textId="77777777" w:rsidR="003C0107" w:rsidRPr="003C0107" w:rsidRDefault="003C0107" w:rsidP="0030598E">
            <w:pPr>
              <w:keepNext/>
              <w:keepLines/>
              <w:widowControl/>
              <w:tabs>
                <w:tab w:val="left" w:pos="567"/>
              </w:tabs>
              <w:autoSpaceDE/>
              <w:autoSpaceDN/>
              <w:rPr>
                <w:rFonts w:eastAsia="SimSun"/>
                <w:snapToGrid w:val="0"/>
                <w:szCs w:val="20"/>
                <w:lang w:val="hu" w:eastAsia="zh-CN"/>
              </w:rPr>
            </w:pPr>
            <w:r w:rsidRPr="003C0107">
              <w:rPr>
                <w:rFonts w:eastAsia="SimSun"/>
                <w:snapToGrid w:val="0"/>
                <w:szCs w:val="20"/>
                <w:lang w:val="hu" w:eastAsia="zh-CN"/>
              </w:rPr>
              <w:t>(13,4; 23,1)</w:t>
            </w:r>
          </w:p>
        </w:tc>
        <w:tc>
          <w:tcPr>
            <w:tcW w:w="2364" w:type="dxa"/>
            <w:shd w:val="clear" w:color="auto" w:fill="auto"/>
          </w:tcPr>
          <w:p w14:paraId="384E7D1E" w14:textId="77777777" w:rsidR="003C0107" w:rsidRPr="003C0107" w:rsidRDefault="003C0107" w:rsidP="0030598E">
            <w:pPr>
              <w:keepNext/>
              <w:keepLines/>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2,42 (1,59; 3,69)</w:t>
            </w:r>
          </w:p>
          <w:p w14:paraId="3622BC91" w14:textId="77777777" w:rsidR="003C0107" w:rsidRPr="003C0107" w:rsidRDefault="003C0107" w:rsidP="0030598E">
            <w:pPr>
              <w:keepNext/>
              <w:keepLines/>
              <w:widowControl/>
              <w:tabs>
                <w:tab w:val="left" w:pos="567"/>
              </w:tabs>
              <w:autoSpaceDE/>
              <w:autoSpaceDN/>
              <w:rPr>
                <w:rFonts w:eastAsia="SimSun"/>
                <w:snapToGrid w:val="0"/>
                <w:szCs w:val="20"/>
                <w:lang w:val="hu" w:eastAsia="zh-CN"/>
              </w:rPr>
            </w:pPr>
          </w:p>
        </w:tc>
      </w:tr>
      <w:tr w:rsidR="003C0107" w:rsidRPr="003C0107" w14:paraId="536D7889" w14:textId="77777777" w:rsidTr="0030598E">
        <w:tc>
          <w:tcPr>
            <w:tcW w:w="2607" w:type="dxa"/>
            <w:shd w:val="clear" w:color="auto" w:fill="auto"/>
          </w:tcPr>
          <w:p w14:paraId="042FA8D1" w14:textId="77777777" w:rsidR="003C0107" w:rsidRPr="003C0107" w:rsidRDefault="003C0107" w:rsidP="0030598E">
            <w:pPr>
              <w:widowControl/>
              <w:tabs>
                <w:tab w:val="left" w:pos="567"/>
              </w:tabs>
              <w:autoSpaceDE/>
              <w:autoSpaceDN/>
              <w:ind w:left="180"/>
              <w:rPr>
                <w:rFonts w:eastAsia="SimSun"/>
                <w:snapToGrid w:val="0"/>
                <w:szCs w:val="20"/>
                <w:lang w:val="hu" w:eastAsia="zh-CN"/>
              </w:rPr>
            </w:pPr>
            <w:r w:rsidRPr="003C0107">
              <w:rPr>
                <w:rFonts w:eastAsia="SimSun"/>
                <w:snapToGrid w:val="0"/>
                <w:szCs w:val="20"/>
                <w:lang w:val="hu" w:eastAsia="zh-CN"/>
              </w:rPr>
              <w:t>1 oldalas p-érték</w:t>
            </w:r>
            <w:r w:rsidRPr="003C0107">
              <w:rPr>
                <w:rFonts w:eastAsia="SimSun"/>
                <w:snapToGrid w:val="0"/>
                <w:szCs w:val="20"/>
                <w:vertAlign w:val="superscript"/>
                <w:lang w:val="hu" w:eastAsia="zh-CN"/>
              </w:rPr>
              <w:t>b</w:t>
            </w:r>
          </w:p>
        </w:tc>
        <w:tc>
          <w:tcPr>
            <w:tcW w:w="6231" w:type="dxa"/>
            <w:gridSpan w:val="3"/>
            <w:shd w:val="clear" w:color="auto" w:fill="auto"/>
          </w:tcPr>
          <w:p w14:paraId="336C0E4D" w14:textId="77777777" w:rsidR="003C0107" w:rsidRPr="003C0107" w:rsidRDefault="003C0107" w:rsidP="0030598E">
            <w:pPr>
              <w:widowControl/>
              <w:tabs>
                <w:tab w:val="left" w:pos="567"/>
              </w:tabs>
              <w:autoSpaceDE/>
              <w:autoSpaceDN/>
              <w:rPr>
                <w:rFonts w:eastAsia="SimSun"/>
                <w:snapToGrid w:val="0"/>
                <w:szCs w:val="20"/>
                <w:lang w:val="hu" w:eastAsia="zh-CN"/>
              </w:rPr>
            </w:pPr>
            <w:r w:rsidRPr="003C0107">
              <w:rPr>
                <w:rFonts w:eastAsia="SimSun"/>
                <w:snapToGrid w:val="0"/>
                <w:szCs w:val="20"/>
                <w:lang w:val="en-GB" w:eastAsia="zh-CN"/>
              </w:rPr>
              <w:t>&lt; 0,0001</w:t>
            </w:r>
          </w:p>
        </w:tc>
      </w:tr>
      <w:tr w:rsidR="003C0107" w:rsidRPr="003C0107" w14:paraId="24AFA7F9" w14:textId="77777777" w:rsidTr="0030598E">
        <w:tc>
          <w:tcPr>
            <w:tcW w:w="2607" w:type="dxa"/>
            <w:shd w:val="clear" w:color="auto" w:fill="auto"/>
          </w:tcPr>
          <w:p w14:paraId="29B6146F" w14:textId="77777777" w:rsidR="003C0107" w:rsidRPr="003C0107" w:rsidRDefault="003C0107" w:rsidP="0030598E">
            <w:pPr>
              <w:widowControl/>
              <w:tabs>
                <w:tab w:val="left" w:pos="567"/>
              </w:tabs>
              <w:autoSpaceDE/>
              <w:autoSpaceDN/>
              <w:ind w:left="180"/>
              <w:rPr>
                <w:rFonts w:eastAsia="SimSun"/>
                <w:snapToGrid w:val="0"/>
                <w:szCs w:val="20"/>
                <w:lang w:val="en-GB" w:eastAsia="zh-CN"/>
              </w:rPr>
            </w:pPr>
            <w:r w:rsidRPr="003C0107">
              <w:rPr>
                <w:rFonts w:eastAsia="SimSun"/>
                <w:snapToGrid w:val="0"/>
                <w:szCs w:val="20"/>
                <w:lang w:val="hu" w:eastAsia="zh-CN"/>
              </w:rPr>
              <w:t>9. hónap</w:t>
            </w:r>
          </w:p>
          <w:p w14:paraId="493AB90B" w14:textId="77777777" w:rsidR="003C0107" w:rsidRPr="003C0107" w:rsidRDefault="003C0107" w:rsidP="0030598E">
            <w:pPr>
              <w:widowControl/>
              <w:tabs>
                <w:tab w:val="left" w:pos="567"/>
              </w:tabs>
              <w:autoSpaceDE/>
              <w:autoSpaceDN/>
              <w:ind w:left="180"/>
              <w:rPr>
                <w:rFonts w:eastAsia="SimSun"/>
                <w:snapToGrid w:val="0"/>
                <w:szCs w:val="20"/>
                <w:lang w:val="hu" w:eastAsia="zh-CN"/>
              </w:rPr>
            </w:pPr>
            <w:r w:rsidRPr="003C0107">
              <w:rPr>
                <w:rFonts w:eastAsia="SimSun"/>
                <w:snapToGrid w:val="0"/>
                <w:szCs w:val="20"/>
                <w:lang w:val="hu" w:eastAsia="zh-CN"/>
              </w:rPr>
              <w:t>(95%-os CI)</w:t>
            </w:r>
          </w:p>
        </w:tc>
        <w:tc>
          <w:tcPr>
            <w:tcW w:w="2084" w:type="dxa"/>
            <w:shd w:val="clear" w:color="auto" w:fill="auto"/>
          </w:tcPr>
          <w:p w14:paraId="6CD9C937" w14:textId="77777777" w:rsidR="003C0107" w:rsidRPr="003C0107" w:rsidRDefault="003C0107" w:rsidP="0030598E">
            <w:pPr>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104 (42,3)</w:t>
            </w:r>
          </w:p>
          <w:p w14:paraId="7A09243C" w14:textId="77777777" w:rsidR="003C0107" w:rsidRPr="003C0107" w:rsidRDefault="003C0107" w:rsidP="0030598E">
            <w:pPr>
              <w:widowControl/>
              <w:tabs>
                <w:tab w:val="left" w:pos="567"/>
              </w:tabs>
              <w:autoSpaceDE/>
              <w:autoSpaceDN/>
              <w:rPr>
                <w:rFonts w:eastAsia="SimSun"/>
                <w:snapToGrid w:val="0"/>
                <w:szCs w:val="20"/>
                <w:lang w:val="hu" w:eastAsia="zh-CN"/>
              </w:rPr>
            </w:pPr>
            <w:r w:rsidRPr="003C0107">
              <w:rPr>
                <w:rFonts w:eastAsia="SimSun"/>
                <w:snapToGrid w:val="0"/>
                <w:szCs w:val="20"/>
                <w:lang w:val="hu" w:eastAsia="zh-CN"/>
              </w:rPr>
              <w:t>(36,1; 48,4)</w:t>
            </w:r>
          </w:p>
        </w:tc>
        <w:tc>
          <w:tcPr>
            <w:tcW w:w="1783" w:type="dxa"/>
            <w:shd w:val="clear" w:color="auto" w:fill="auto"/>
          </w:tcPr>
          <w:p w14:paraId="4BC0094F" w14:textId="77777777" w:rsidR="003C0107" w:rsidRPr="003C0107" w:rsidRDefault="003C0107" w:rsidP="0030598E">
            <w:pPr>
              <w:widowControl/>
              <w:tabs>
                <w:tab w:val="left" w:pos="567"/>
              </w:tabs>
              <w:autoSpaceDE/>
              <w:autoSpaceDN/>
              <w:rPr>
                <w:rFonts w:eastAsia="SimSun"/>
                <w:snapToGrid w:val="0"/>
                <w:szCs w:val="20"/>
                <w:lang w:val="en-GB" w:eastAsia="zh-CN"/>
              </w:rPr>
            </w:pPr>
            <w:r w:rsidRPr="003C0107">
              <w:rPr>
                <w:rFonts w:eastAsia="SimSun"/>
                <w:snapToGrid w:val="0"/>
                <w:szCs w:val="20"/>
                <w:lang w:val="hu" w:eastAsia="zh-CN"/>
              </w:rPr>
              <w:t>71 (29,5)</w:t>
            </w:r>
          </w:p>
          <w:p w14:paraId="2131EAC0" w14:textId="77777777" w:rsidR="003C0107" w:rsidRPr="003C0107" w:rsidRDefault="003C0107" w:rsidP="0030598E">
            <w:pPr>
              <w:widowControl/>
              <w:tabs>
                <w:tab w:val="left" w:pos="567"/>
              </w:tabs>
              <w:autoSpaceDE/>
              <w:autoSpaceDN/>
              <w:rPr>
                <w:rFonts w:eastAsia="SimSun"/>
                <w:snapToGrid w:val="0"/>
                <w:szCs w:val="20"/>
                <w:lang w:val="hu" w:eastAsia="zh-CN"/>
              </w:rPr>
            </w:pPr>
            <w:r w:rsidRPr="003C0107">
              <w:rPr>
                <w:rFonts w:eastAsia="SimSun"/>
                <w:snapToGrid w:val="0"/>
                <w:szCs w:val="20"/>
                <w:lang w:val="hu" w:eastAsia="zh-CN"/>
              </w:rPr>
              <w:t>(23,7; 35,2)</w:t>
            </w:r>
          </w:p>
        </w:tc>
        <w:tc>
          <w:tcPr>
            <w:tcW w:w="2364" w:type="dxa"/>
            <w:shd w:val="clear" w:color="auto" w:fill="auto"/>
          </w:tcPr>
          <w:p w14:paraId="1307936E" w14:textId="77777777" w:rsidR="003C0107" w:rsidRPr="003C0107" w:rsidRDefault="003C0107" w:rsidP="0030598E">
            <w:pPr>
              <w:widowControl/>
              <w:tabs>
                <w:tab w:val="left" w:pos="567"/>
              </w:tabs>
              <w:autoSpaceDE/>
              <w:autoSpaceDN/>
              <w:rPr>
                <w:rFonts w:eastAsia="SimSun"/>
                <w:snapToGrid w:val="0"/>
                <w:szCs w:val="20"/>
                <w:lang w:val="hu" w:eastAsia="zh-CN"/>
              </w:rPr>
            </w:pPr>
            <w:r w:rsidRPr="003C0107">
              <w:rPr>
                <w:rFonts w:eastAsia="SimSun"/>
                <w:snapToGrid w:val="0"/>
                <w:szCs w:val="20"/>
                <w:lang w:val="hu" w:eastAsia="zh-CN"/>
              </w:rPr>
              <w:t>1,78 (1,22; 2,60)</w:t>
            </w:r>
          </w:p>
        </w:tc>
      </w:tr>
      <w:tr w:rsidR="003C0107" w:rsidRPr="003C0107" w14:paraId="7D33FB3C" w14:textId="77777777" w:rsidTr="0030598E">
        <w:tc>
          <w:tcPr>
            <w:tcW w:w="2607" w:type="dxa"/>
            <w:shd w:val="clear" w:color="auto" w:fill="auto"/>
          </w:tcPr>
          <w:p w14:paraId="01CBBA1A" w14:textId="77777777" w:rsidR="003C0107" w:rsidRPr="003C0107" w:rsidRDefault="003C0107" w:rsidP="0030598E">
            <w:pPr>
              <w:widowControl/>
              <w:tabs>
                <w:tab w:val="left" w:pos="567"/>
              </w:tabs>
              <w:autoSpaceDE/>
              <w:autoSpaceDN/>
              <w:ind w:left="180"/>
              <w:rPr>
                <w:rFonts w:eastAsia="SimSun"/>
                <w:snapToGrid w:val="0"/>
                <w:szCs w:val="20"/>
                <w:lang w:val="hu" w:eastAsia="zh-CN"/>
              </w:rPr>
            </w:pPr>
            <w:r w:rsidRPr="003C0107">
              <w:rPr>
                <w:rFonts w:eastAsia="SimSun"/>
                <w:snapToGrid w:val="0"/>
                <w:szCs w:val="20"/>
                <w:lang w:val="hu" w:eastAsia="zh-CN"/>
              </w:rPr>
              <w:t>1 oldalas p-érték</w:t>
            </w:r>
            <w:r w:rsidRPr="003C0107">
              <w:rPr>
                <w:rFonts w:eastAsia="SimSun"/>
                <w:snapToGrid w:val="0"/>
                <w:szCs w:val="20"/>
                <w:vertAlign w:val="superscript"/>
                <w:lang w:val="hu" w:eastAsia="zh-CN"/>
              </w:rPr>
              <w:t>b</w:t>
            </w:r>
          </w:p>
        </w:tc>
        <w:tc>
          <w:tcPr>
            <w:tcW w:w="6231" w:type="dxa"/>
            <w:gridSpan w:val="3"/>
            <w:shd w:val="clear" w:color="auto" w:fill="auto"/>
          </w:tcPr>
          <w:p w14:paraId="7FAF2539" w14:textId="77777777" w:rsidR="003C0107" w:rsidRPr="003C0107" w:rsidRDefault="003C0107" w:rsidP="0030598E">
            <w:pPr>
              <w:widowControl/>
              <w:tabs>
                <w:tab w:val="left" w:pos="567"/>
              </w:tabs>
              <w:autoSpaceDE/>
              <w:autoSpaceDN/>
              <w:rPr>
                <w:rFonts w:eastAsia="SimSun"/>
                <w:snapToGrid w:val="0"/>
                <w:szCs w:val="20"/>
                <w:lang w:val="hu" w:eastAsia="zh-CN"/>
              </w:rPr>
            </w:pPr>
            <w:r w:rsidRPr="003C0107">
              <w:rPr>
                <w:rFonts w:eastAsia="SimSun"/>
                <w:snapToGrid w:val="0"/>
                <w:szCs w:val="20"/>
                <w:lang w:val="en-GB" w:eastAsia="zh-CN"/>
              </w:rPr>
              <w:t xml:space="preserve">0,0015 </w:t>
            </w:r>
          </w:p>
        </w:tc>
      </w:tr>
    </w:tbl>
    <w:p w14:paraId="53F63AAA" w14:textId="77777777" w:rsidR="005B1144" w:rsidRPr="0030598E" w:rsidRDefault="0070285B" w:rsidP="00C208E4">
      <w:pPr>
        <w:rPr>
          <w:sz w:val="20"/>
        </w:rPr>
      </w:pPr>
      <w:r w:rsidRPr="0030598E">
        <w:rPr>
          <w:sz w:val="20"/>
        </w:rPr>
        <w:t>Megjegyzés: A százalékos arányok a betegek kezelési csoportonkénti számán alapulnak. Az MMR meghatározása ≤ 0,1% BCR-ABL/ABL-arány nemzetközi skála szerint (ez ≥ 3 log csökkenésnek felel meg a standardizált kiinduláshoz képest) a központi laboratórium értékelése szerint legalább 3000 ABL- transzkriptummal.</w:t>
      </w:r>
    </w:p>
    <w:p w14:paraId="53F63AAB" w14:textId="6523A323" w:rsidR="005B1144" w:rsidRPr="0030598E" w:rsidRDefault="0070285B" w:rsidP="00C208E4">
      <w:pPr>
        <w:rPr>
          <w:sz w:val="20"/>
        </w:rPr>
      </w:pPr>
      <w:r w:rsidRPr="0030598E">
        <w:rPr>
          <w:sz w:val="20"/>
        </w:rPr>
        <w:t xml:space="preserve">Rövidítések: BCR-ABL = töréspont klaszterrégió-Abelson; CI = konfidenciaintervallum; CMH = Cochran– Mantel–Haenszel; mITT = módosított </w:t>
      </w:r>
      <w:r w:rsidR="001E2C16" w:rsidRPr="0030598E">
        <w:rPr>
          <w:sz w:val="20"/>
        </w:rPr>
        <w:t>beválasztás</w:t>
      </w:r>
      <w:r w:rsidRPr="0030598E">
        <w:rPr>
          <w:sz w:val="20"/>
        </w:rPr>
        <w:t xml:space="preserve"> szerinti; MMR = major molekuláris válasz; N = betegek száma.</w:t>
      </w:r>
    </w:p>
    <w:p w14:paraId="53F63AAC" w14:textId="23365BD8" w:rsidR="005B1144" w:rsidRPr="0030598E" w:rsidRDefault="0070285B" w:rsidP="00C208E4">
      <w:pPr>
        <w:tabs>
          <w:tab w:val="left" w:pos="1242"/>
        </w:tabs>
        <w:rPr>
          <w:sz w:val="20"/>
        </w:rPr>
      </w:pPr>
      <w:r w:rsidRPr="0030598E">
        <w:rPr>
          <w:sz w:val="20"/>
          <w:vertAlign w:val="superscript"/>
        </w:rPr>
        <w:t>a</w:t>
      </w:r>
      <w:r w:rsidR="003C0107">
        <w:rPr>
          <w:sz w:val="20"/>
          <w:vertAlign w:val="superscript"/>
        </w:rPr>
        <w:t xml:space="preserve"> </w:t>
      </w:r>
      <w:r w:rsidRPr="0030598E">
        <w:rPr>
          <w:sz w:val="20"/>
        </w:rPr>
        <w:t>A randomizáláskor földrajzi régió és Sokal-pontszám szerint korrigálva.</w:t>
      </w:r>
    </w:p>
    <w:p w14:paraId="53F63AAD" w14:textId="776E370C" w:rsidR="005B1144" w:rsidRPr="0030598E" w:rsidRDefault="0070285B" w:rsidP="00C208E4">
      <w:pPr>
        <w:tabs>
          <w:tab w:val="left" w:pos="1242"/>
        </w:tabs>
        <w:rPr>
          <w:sz w:val="20"/>
        </w:rPr>
      </w:pPr>
      <w:r w:rsidRPr="0030598E">
        <w:rPr>
          <w:sz w:val="20"/>
          <w:vertAlign w:val="superscript"/>
        </w:rPr>
        <w:t>b</w:t>
      </w:r>
      <w:r w:rsidR="003C0107">
        <w:rPr>
          <w:sz w:val="20"/>
        </w:rPr>
        <w:t xml:space="preserve"> </w:t>
      </w:r>
      <w:r w:rsidRPr="0030598E">
        <w:rPr>
          <w:sz w:val="20"/>
        </w:rPr>
        <w:t>A randomizáláskor földrajzi régió és Sokal-pontszám szerint rétegezett CMH-teszten alapul.</w:t>
      </w:r>
    </w:p>
    <w:p w14:paraId="53F63AAE" w14:textId="77777777" w:rsidR="005B1144" w:rsidRPr="00C208E4" w:rsidRDefault="005B1144" w:rsidP="00C208E4">
      <w:pPr>
        <w:pStyle w:val="Szvegtrzs"/>
      </w:pPr>
    </w:p>
    <w:p w14:paraId="53F63AAF" w14:textId="5A42AF6F" w:rsidR="005B1144" w:rsidRPr="00C208E4" w:rsidRDefault="0070285B" w:rsidP="00C208E4">
      <w:pPr>
        <w:pStyle w:val="Szvegtrzs"/>
      </w:pPr>
      <w:r w:rsidRPr="00C208E4">
        <w:t>A 60. hónapban az MMR, MR</w:t>
      </w:r>
      <w:r w:rsidRPr="00C208E4">
        <w:rPr>
          <w:vertAlign w:val="superscript"/>
        </w:rPr>
        <w:t>4</w:t>
      </w:r>
      <w:r w:rsidRPr="00C208E4">
        <w:t xml:space="preserve"> és MR</w:t>
      </w:r>
      <w:r w:rsidRPr="00C208E4">
        <w:rPr>
          <w:vertAlign w:val="superscript"/>
        </w:rPr>
        <w:t>4,5</w:t>
      </w:r>
      <w:r w:rsidRPr="00C208E4">
        <w:t xml:space="preserve"> </w:t>
      </w:r>
      <w:r w:rsidR="003338EA">
        <w:t>incidenciája</w:t>
      </w:r>
      <w:r w:rsidRPr="00C208E4">
        <w:t xml:space="preserve"> az mITT populációban magasabb volt a bozutinib kezelési csoportban, mint az imatinib kezelési csoportban (5. táblázat). A Sokal-féle kockázati alcsoportok közötti, 60. havi MMR-arányokat a 6. táblázat foglalja össze.</w:t>
      </w:r>
    </w:p>
    <w:p w14:paraId="53F63AB0" w14:textId="77777777" w:rsidR="005B1144" w:rsidRPr="00C208E4" w:rsidRDefault="005B1144" w:rsidP="00C208E4">
      <w:pPr>
        <w:pStyle w:val="Szvegtrzs"/>
      </w:pPr>
    </w:p>
    <w:p w14:paraId="53F63AB1" w14:textId="77777777" w:rsidR="005B1144" w:rsidRPr="00C208E4" w:rsidRDefault="0070285B" w:rsidP="00C208E4">
      <w:pPr>
        <w:pStyle w:val="Cmsor2"/>
        <w:numPr>
          <w:ilvl w:val="0"/>
          <w:numId w:val="15"/>
        </w:numPr>
        <w:tabs>
          <w:tab w:val="left" w:pos="897"/>
        </w:tabs>
        <w:ind w:left="221"/>
      </w:pPr>
      <w:r w:rsidRPr="00C208E4">
        <w:t>táblázat – A 60. havi molekuláris válasz az mITT populációban</w:t>
      </w:r>
    </w:p>
    <w:p w14:paraId="53F63AB2" w14:textId="77777777" w:rsidR="005B1144" w:rsidRPr="00C208E4" w:rsidRDefault="005B1144" w:rsidP="00C208E4">
      <w:pPr>
        <w:pStyle w:val="Szvegtrzs"/>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3"/>
        <w:gridCol w:w="2255"/>
        <w:gridCol w:w="2252"/>
        <w:gridCol w:w="2282"/>
      </w:tblGrid>
      <w:tr w:rsidR="003C0107" w14:paraId="338B50E9" w14:textId="77777777" w:rsidTr="003C0107">
        <w:tc>
          <w:tcPr>
            <w:tcW w:w="2273" w:type="dxa"/>
            <w:shd w:val="clear" w:color="auto" w:fill="auto"/>
          </w:tcPr>
          <w:p w14:paraId="3A6CD876" w14:textId="77777777" w:rsidR="003C0107" w:rsidRPr="004D4849" w:rsidRDefault="003C0107" w:rsidP="003C0107">
            <w:pPr>
              <w:jc w:val="center"/>
              <w:rPr>
                <w:rFonts w:eastAsia="Calibri"/>
              </w:rPr>
            </w:pPr>
            <w:r>
              <w:rPr>
                <w:rFonts w:eastAsia="Calibri"/>
                <w:b/>
              </w:rPr>
              <w:t>Válasz</w:t>
            </w:r>
          </w:p>
        </w:tc>
        <w:tc>
          <w:tcPr>
            <w:tcW w:w="2255" w:type="dxa"/>
            <w:shd w:val="clear" w:color="auto" w:fill="auto"/>
          </w:tcPr>
          <w:p w14:paraId="7CB8EAF9" w14:textId="77777777" w:rsidR="003C0107" w:rsidRPr="004D4849" w:rsidRDefault="003C0107" w:rsidP="003C0107">
            <w:pPr>
              <w:keepNext/>
              <w:jc w:val="center"/>
              <w:rPr>
                <w:rFonts w:eastAsia="Calibri"/>
                <w:b/>
              </w:rPr>
            </w:pPr>
            <w:r w:rsidRPr="004D4849">
              <w:rPr>
                <w:rFonts w:eastAsia="Calibri"/>
                <w:b/>
              </w:rPr>
              <w:t>Bo</w:t>
            </w:r>
            <w:r>
              <w:rPr>
                <w:rFonts w:eastAsia="Calibri"/>
                <w:b/>
              </w:rPr>
              <w:t>z</w:t>
            </w:r>
            <w:r w:rsidRPr="004D4849">
              <w:rPr>
                <w:rFonts w:eastAsia="Calibri"/>
                <w:b/>
              </w:rPr>
              <w:t>utinib</w:t>
            </w:r>
          </w:p>
          <w:p w14:paraId="5D1B56EE" w14:textId="77777777" w:rsidR="003C0107" w:rsidRPr="004D4849" w:rsidRDefault="003C0107" w:rsidP="003C0107">
            <w:pPr>
              <w:jc w:val="center"/>
              <w:rPr>
                <w:rFonts w:eastAsia="Calibri"/>
              </w:rPr>
            </w:pPr>
            <w:r w:rsidRPr="004D4849">
              <w:rPr>
                <w:rFonts w:eastAsia="Calibri"/>
              </w:rPr>
              <w:t>(N</w:t>
            </w:r>
            <w:r>
              <w:rPr>
                <w:rFonts w:eastAsia="Calibri"/>
              </w:rPr>
              <w:t> </w:t>
            </w:r>
            <w:r w:rsidRPr="004D4849">
              <w:rPr>
                <w:rFonts w:eastAsia="Calibri"/>
              </w:rPr>
              <w:t>=</w:t>
            </w:r>
            <w:r>
              <w:rPr>
                <w:rFonts w:eastAsia="Calibri"/>
              </w:rPr>
              <w:t> </w:t>
            </w:r>
            <w:r w:rsidRPr="004D4849">
              <w:rPr>
                <w:rFonts w:eastAsia="Calibri"/>
              </w:rPr>
              <w:t>246)</w:t>
            </w:r>
          </w:p>
        </w:tc>
        <w:tc>
          <w:tcPr>
            <w:tcW w:w="2252" w:type="dxa"/>
            <w:shd w:val="clear" w:color="auto" w:fill="auto"/>
          </w:tcPr>
          <w:p w14:paraId="7CE2C7B1" w14:textId="77777777" w:rsidR="003C0107" w:rsidRPr="004D4849" w:rsidRDefault="003C0107" w:rsidP="003C0107">
            <w:pPr>
              <w:keepNext/>
              <w:jc w:val="center"/>
              <w:rPr>
                <w:rFonts w:eastAsia="Calibri"/>
                <w:b/>
              </w:rPr>
            </w:pPr>
            <w:r w:rsidRPr="004D4849">
              <w:rPr>
                <w:rFonts w:eastAsia="Calibri"/>
                <w:b/>
              </w:rPr>
              <w:t>Imatinib</w:t>
            </w:r>
          </w:p>
          <w:p w14:paraId="2313CC56" w14:textId="77777777" w:rsidR="003C0107" w:rsidRPr="004D4849" w:rsidRDefault="003C0107" w:rsidP="003C0107">
            <w:pPr>
              <w:jc w:val="center"/>
              <w:rPr>
                <w:rFonts w:eastAsia="Calibri"/>
              </w:rPr>
            </w:pPr>
            <w:r w:rsidRPr="004D4849">
              <w:rPr>
                <w:rFonts w:eastAsia="Calibri"/>
              </w:rPr>
              <w:t>(N</w:t>
            </w:r>
            <w:r>
              <w:rPr>
                <w:rFonts w:eastAsia="Calibri"/>
              </w:rPr>
              <w:t> </w:t>
            </w:r>
            <w:r w:rsidRPr="004D4849">
              <w:rPr>
                <w:rFonts w:eastAsia="Calibri"/>
              </w:rPr>
              <w:t>=</w:t>
            </w:r>
            <w:r>
              <w:rPr>
                <w:rFonts w:eastAsia="Calibri"/>
              </w:rPr>
              <w:t> </w:t>
            </w:r>
            <w:r w:rsidRPr="004D4849">
              <w:rPr>
                <w:rFonts w:eastAsia="Calibri"/>
              </w:rPr>
              <w:t>241)</w:t>
            </w:r>
          </w:p>
        </w:tc>
        <w:tc>
          <w:tcPr>
            <w:tcW w:w="2282" w:type="dxa"/>
            <w:shd w:val="clear" w:color="auto" w:fill="auto"/>
          </w:tcPr>
          <w:p w14:paraId="4992BC9C" w14:textId="77777777" w:rsidR="003C0107" w:rsidRDefault="003C0107" w:rsidP="003C0107">
            <w:pPr>
              <w:jc w:val="center"/>
              <w:rPr>
                <w:rFonts w:eastAsia="Calibri"/>
                <w:b/>
              </w:rPr>
            </w:pPr>
            <w:r>
              <w:rPr>
                <w:rFonts w:eastAsia="Calibri"/>
                <w:b/>
              </w:rPr>
              <w:t>Esélyhányados</w:t>
            </w:r>
          </w:p>
          <w:p w14:paraId="1D5A7D72" w14:textId="77777777" w:rsidR="003C0107" w:rsidRPr="004D4849" w:rsidRDefault="003C0107" w:rsidP="003C0107">
            <w:pPr>
              <w:jc w:val="center"/>
              <w:rPr>
                <w:rFonts w:eastAsia="Calibri"/>
              </w:rPr>
            </w:pPr>
            <w:r w:rsidRPr="004D4849">
              <w:rPr>
                <w:rFonts w:eastAsia="Calibri"/>
                <w:b/>
              </w:rPr>
              <w:t>(95%</w:t>
            </w:r>
            <w:r>
              <w:rPr>
                <w:rFonts w:eastAsia="Calibri"/>
                <w:b/>
              </w:rPr>
              <w:t>-os</w:t>
            </w:r>
            <w:r w:rsidRPr="004D4849">
              <w:rPr>
                <w:rFonts w:eastAsia="Calibri"/>
                <w:b/>
              </w:rPr>
              <w:t xml:space="preserve"> CI)</w:t>
            </w:r>
            <w:r w:rsidRPr="004D4849">
              <w:rPr>
                <w:rFonts w:eastAsia="Calibri"/>
                <w:b/>
                <w:vertAlign w:val="superscript"/>
              </w:rPr>
              <w:t>a</w:t>
            </w:r>
          </w:p>
        </w:tc>
      </w:tr>
      <w:tr w:rsidR="003C0107" w14:paraId="3267E3F7" w14:textId="77777777" w:rsidTr="003C0107">
        <w:tc>
          <w:tcPr>
            <w:tcW w:w="2273" w:type="dxa"/>
            <w:shd w:val="clear" w:color="auto" w:fill="auto"/>
          </w:tcPr>
          <w:p w14:paraId="02ABD3F7" w14:textId="77777777" w:rsidR="003C0107" w:rsidRPr="004D4849" w:rsidRDefault="003C0107" w:rsidP="003C0107">
            <w:pPr>
              <w:keepNext/>
              <w:rPr>
                <w:rFonts w:eastAsia="Calibri"/>
                <w:b/>
                <w:bCs/>
              </w:rPr>
            </w:pPr>
            <w:r>
              <w:rPr>
                <w:rFonts w:eastAsia="Calibri"/>
                <w:b/>
                <w:bCs/>
              </w:rPr>
              <w:t>Molekuláris válasz a 60. hónapban (n, %)</w:t>
            </w:r>
          </w:p>
          <w:p w14:paraId="14EF4BA0" w14:textId="77777777" w:rsidR="003C0107" w:rsidRPr="004D4849" w:rsidRDefault="003C0107" w:rsidP="003C0107">
            <w:pPr>
              <w:keepNext/>
              <w:rPr>
                <w:rFonts w:eastAsia="Calibri"/>
                <w:b/>
                <w:bCs/>
              </w:rPr>
            </w:pPr>
            <w:r w:rsidRPr="004D4849">
              <w:rPr>
                <w:rFonts w:eastAsia="Calibri"/>
                <w:b/>
                <w:bCs/>
              </w:rPr>
              <w:t>(95%</w:t>
            </w:r>
            <w:r>
              <w:rPr>
                <w:rFonts w:eastAsia="Calibri"/>
                <w:b/>
                <w:bCs/>
              </w:rPr>
              <w:t>-os</w:t>
            </w:r>
            <w:r w:rsidRPr="004D4849">
              <w:rPr>
                <w:rFonts w:eastAsia="Calibri"/>
                <w:b/>
                <w:bCs/>
              </w:rPr>
              <w:t xml:space="preserve"> CI)</w:t>
            </w:r>
          </w:p>
        </w:tc>
        <w:tc>
          <w:tcPr>
            <w:tcW w:w="2255" w:type="dxa"/>
            <w:shd w:val="clear" w:color="auto" w:fill="auto"/>
          </w:tcPr>
          <w:p w14:paraId="3B350900" w14:textId="77777777" w:rsidR="003C0107" w:rsidRPr="004D4849" w:rsidRDefault="003C0107" w:rsidP="003C0107">
            <w:pPr>
              <w:jc w:val="center"/>
              <w:rPr>
                <w:rFonts w:eastAsia="Calibri"/>
              </w:rPr>
            </w:pPr>
          </w:p>
        </w:tc>
        <w:tc>
          <w:tcPr>
            <w:tcW w:w="2252" w:type="dxa"/>
            <w:shd w:val="clear" w:color="auto" w:fill="auto"/>
          </w:tcPr>
          <w:p w14:paraId="7CA7279A" w14:textId="77777777" w:rsidR="003C0107" w:rsidRPr="004D4849" w:rsidRDefault="003C0107" w:rsidP="003C0107">
            <w:pPr>
              <w:jc w:val="center"/>
              <w:rPr>
                <w:rFonts w:eastAsia="Calibri"/>
              </w:rPr>
            </w:pPr>
          </w:p>
        </w:tc>
        <w:tc>
          <w:tcPr>
            <w:tcW w:w="2282" w:type="dxa"/>
            <w:shd w:val="clear" w:color="auto" w:fill="auto"/>
          </w:tcPr>
          <w:p w14:paraId="33A740A6" w14:textId="77777777" w:rsidR="003C0107" w:rsidRPr="004D4849" w:rsidRDefault="003C0107" w:rsidP="003C0107">
            <w:pPr>
              <w:jc w:val="center"/>
              <w:rPr>
                <w:rFonts w:eastAsia="Calibri"/>
              </w:rPr>
            </w:pPr>
          </w:p>
        </w:tc>
      </w:tr>
      <w:tr w:rsidR="003C0107" w14:paraId="22F1998A" w14:textId="77777777" w:rsidTr="003C0107">
        <w:tc>
          <w:tcPr>
            <w:tcW w:w="2273" w:type="dxa"/>
            <w:shd w:val="clear" w:color="auto" w:fill="auto"/>
          </w:tcPr>
          <w:p w14:paraId="56A15565" w14:textId="77777777" w:rsidR="003C0107" w:rsidRPr="00DD6F70" w:rsidRDefault="003C0107" w:rsidP="0030598E">
            <w:pPr>
              <w:keepNext/>
              <w:rPr>
                <w:rFonts w:eastAsia="Calibri"/>
              </w:rPr>
            </w:pPr>
            <w:r w:rsidRPr="00DD6F70">
              <w:rPr>
                <w:rFonts w:eastAsia="Calibri"/>
              </w:rPr>
              <w:t>MMR</w:t>
            </w:r>
          </w:p>
          <w:p w14:paraId="0655D54B" w14:textId="77777777" w:rsidR="003C0107" w:rsidRPr="004D4849" w:rsidRDefault="003C0107" w:rsidP="003C0107">
            <w:pPr>
              <w:rPr>
                <w:rFonts w:eastAsia="Calibri"/>
                <w:b/>
                <w:bCs/>
              </w:rPr>
            </w:pPr>
          </w:p>
        </w:tc>
        <w:tc>
          <w:tcPr>
            <w:tcW w:w="2255" w:type="dxa"/>
            <w:shd w:val="clear" w:color="auto" w:fill="auto"/>
          </w:tcPr>
          <w:p w14:paraId="25E44A4E" w14:textId="77777777" w:rsidR="003C0107" w:rsidRPr="004D4849" w:rsidRDefault="003C0107" w:rsidP="003C0107">
            <w:pPr>
              <w:keepNext/>
              <w:jc w:val="center"/>
              <w:rPr>
                <w:rFonts w:eastAsia="Calibri"/>
                <w:lang w:val="en-US"/>
              </w:rPr>
            </w:pPr>
            <w:r w:rsidRPr="004D4849">
              <w:rPr>
                <w:rFonts w:eastAsia="Calibri"/>
                <w:lang w:val="en-US"/>
              </w:rPr>
              <w:t>182 (74</w:t>
            </w:r>
            <w:r>
              <w:rPr>
                <w:rFonts w:eastAsia="Calibri"/>
                <w:lang w:val="en-US"/>
              </w:rPr>
              <w:t>,</w:t>
            </w:r>
            <w:r w:rsidRPr="004D4849">
              <w:rPr>
                <w:rFonts w:eastAsia="Calibri"/>
                <w:lang w:val="en-US"/>
              </w:rPr>
              <w:t>0)</w:t>
            </w:r>
          </w:p>
          <w:p w14:paraId="420364AF" w14:textId="77777777" w:rsidR="003C0107" w:rsidRPr="004D4849" w:rsidRDefault="003C0107" w:rsidP="003C0107">
            <w:pPr>
              <w:jc w:val="center"/>
              <w:rPr>
                <w:rFonts w:eastAsia="Calibri"/>
              </w:rPr>
            </w:pPr>
            <w:r w:rsidRPr="004D4849">
              <w:rPr>
                <w:rFonts w:eastAsia="Calibri"/>
                <w:lang w:val="en-US"/>
              </w:rPr>
              <w:t>(68</w:t>
            </w:r>
            <w:r>
              <w:rPr>
                <w:rFonts w:eastAsia="Calibri"/>
                <w:lang w:val="en-US"/>
              </w:rPr>
              <w:t>,</w:t>
            </w:r>
            <w:r w:rsidRPr="004D4849">
              <w:rPr>
                <w:rFonts w:eastAsia="Calibri"/>
                <w:lang w:val="en-US"/>
              </w:rPr>
              <w:t>5</w:t>
            </w:r>
            <w:r>
              <w:rPr>
                <w:rFonts w:eastAsia="Calibri"/>
                <w:lang w:val="en-US"/>
              </w:rPr>
              <w:t xml:space="preserve">; </w:t>
            </w:r>
            <w:r w:rsidRPr="004D4849">
              <w:rPr>
                <w:rFonts w:eastAsia="Calibri"/>
                <w:lang w:val="en-US"/>
              </w:rPr>
              <w:t>79</w:t>
            </w:r>
            <w:r>
              <w:rPr>
                <w:rFonts w:eastAsia="Calibri"/>
                <w:lang w:val="en-US"/>
              </w:rPr>
              <w:t>,</w:t>
            </w:r>
            <w:r w:rsidRPr="004D4849">
              <w:rPr>
                <w:rFonts w:eastAsia="Calibri"/>
                <w:lang w:val="en-US"/>
              </w:rPr>
              <w:t>5)</w:t>
            </w:r>
          </w:p>
        </w:tc>
        <w:tc>
          <w:tcPr>
            <w:tcW w:w="2252" w:type="dxa"/>
            <w:shd w:val="clear" w:color="auto" w:fill="auto"/>
          </w:tcPr>
          <w:p w14:paraId="173A58F4" w14:textId="77777777" w:rsidR="003C0107" w:rsidRPr="004D4849" w:rsidRDefault="003C0107" w:rsidP="003C0107">
            <w:pPr>
              <w:keepNext/>
              <w:jc w:val="center"/>
              <w:rPr>
                <w:rFonts w:eastAsia="Calibri"/>
                <w:lang w:val="en-US"/>
              </w:rPr>
            </w:pPr>
            <w:r w:rsidRPr="004D4849">
              <w:rPr>
                <w:rFonts w:eastAsia="Calibri"/>
                <w:lang w:val="en-US"/>
              </w:rPr>
              <w:t>158 (65</w:t>
            </w:r>
            <w:r>
              <w:rPr>
                <w:rFonts w:eastAsia="Calibri"/>
                <w:lang w:val="en-US"/>
              </w:rPr>
              <w:t>,</w:t>
            </w:r>
            <w:r w:rsidRPr="004D4849">
              <w:rPr>
                <w:rFonts w:eastAsia="Calibri"/>
                <w:lang w:val="en-US"/>
              </w:rPr>
              <w:t>6)</w:t>
            </w:r>
          </w:p>
          <w:p w14:paraId="34735824" w14:textId="77777777" w:rsidR="003C0107" w:rsidRPr="004D4849" w:rsidRDefault="003C0107" w:rsidP="003C0107">
            <w:pPr>
              <w:jc w:val="center"/>
              <w:rPr>
                <w:rFonts w:eastAsia="Calibri"/>
              </w:rPr>
            </w:pPr>
            <w:r w:rsidRPr="004D4849">
              <w:rPr>
                <w:rFonts w:eastAsia="Calibri"/>
                <w:lang w:val="en-US"/>
              </w:rPr>
              <w:t>(59</w:t>
            </w:r>
            <w:r>
              <w:rPr>
                <w:rFonts w:eastAsia="Calibri"/>
                <w:lang w:val="en-US"/>
              </w:rPr>
              <w:t>,</w:t>
            </w:r>
            <w:r w:rsidRPr="004D4849">
              <w:rPr>
                <w:rFonts w:eastAsia="Calibri"/>
                <w:lang w:val="en-US"/>
              </w:rPr>
              <w:t>6</w:t>
            </w:r>
            <w:r>
              <w:rPr>
                <w:rFonts w:eastAsia="Calibri"/>
                <w:lang w:val="en-US"/>
              </w:rPr>
              <w:t xml:space="preserve">; </w:t>
            </w:r>
            <w:r w:rsidRPr="004D4849">
              <w:rPr>
                <w:rFonts w:eastAsia="Calibri"/>
                <w:lang w:val="en-US"/>
              </w:rPr>
              <w:t>71</w:t>
            </w:r>
            <w:r>
              <w:rPr>
                <w:rFonts w:eastAsia="Calibri"/>
                <w:lang w:val="en-US"/>
              </w:rPr>
              <w:t>,</w:t>
            </w:r>
            <w:r w:rsidRPr="004D4849">
              <w:rPr>
                <w:rFonts w:eastAsia="Calibri"/>
                <w:lang w:val="en-US"/>
              </w:rPr>
              <w:t>6)</w:t>
            </w:r>
          </w:p>
        </w:tc>
        <w:tc>
          <w:tcPr>
            <w:tcW w:w="2282" w:type="dxa"/>
            <w:shd w:val="clear" w:color="auto" w:fill="auto"/>
          </w:tcPr>
          <w:p w14:paraId="48092C34" w14:textId="77777777" w:rsidR="003C0107" w:rsidRPr="004D4849" w:rsidRDefault="003C0107" w:rsidP="003C0107">
            <w:pPr>
              <w:jc w:val="center"/>
              <w:rPr>
                <w:rFonts w:eastAsia="Calibri"/>
              </w:rPr>
            </w:pPr>
            <w:r w:rsidRPr="004D4849">
              <w:rPr>
                <w:rFonts w:eastAsia="Calibri"/>
              </w:rPr>
              <w:t>1</w:t>
            </w:r>
            <w:r>
              <w:rPr>
                <w:rFonts w:eastAsia="Calibri"/>
              </w:rPr>
              <w:t>,</w:t>
            </w:r>
            <w:r w:rsidRPr="004D4849">
              <w:rPr>
                <w:rFonts w:eastAsia="Calibri"/>
              </w:rPr>
              <w:t>52 (1</w:t>
            </w:r>
            <w:r>
              <w:rPr>
                <w:rFonts w:eastAsia="Calibri"/>
              </w:rPr>
              <w:t>,</w:t>
            </w:r>
            <w:r w:rsidRPr="004D4849">
              <w:rPr>
                <w:rFonts w:eastAsia="Calibri"/>
              </w:rPr>
              <w:t>02</w:t>
            </w:r>
            <w:r>
              <w:rPr>
                <w:rFonts w:eastAsia="Calibri"/>
              </w:rPr>
              <w:t xml:space="preserve">; </w:t>
            </w:r>
            <w:r w:rsidRPr="004D4849">
              <w:rPr>
                <w:rFonts w:eastAsia="Calibri"/>
              </w:rPr>
              <w:t>2</w:t>
            </w:r>
            <w:r>
              <w:rPr>
                <w:rFonts w:eastAsia="Calibri"/>
              </w:rPr>
              <w:t>,</w:t>
            </w:r>
            <w:r w:rsidRPr="004D4849">
              <w:rPr>
                <w:rFonts w:eastAsia="Calibri"/>
              </w:rPr>
              <w:t>25)</w:t>
            </w:r>
          </w:p>
        </w:tc>
      </w:tr>
      <w:tr w:rsidR="003C0107" w14:paraId="2ACB7571" w14:textId="77777777" w:rsidTr="003C0107">
        <w:tc>
          <w:tcPr>
            <w:tcW w:w="2273" w:type="dxa"/>
            <w:shd w:val="clear" w:color="auto" w:fill="auto"/>
          </w:tcPr>
          <w:p w14:paraId="299C0406" w14:textId="77777777" w:rsidR="003C0107" w:rsidRPr="00DD6F70" w:rsidRDefault="003C0107" w:rsidP="0030598E">
            <w:pPr>
              <w:keepNext/>
              <w:rPr>
                <w:rFonts w:eastAsia="Calibri"/>
              </w:rPr>
            </w:pPr>
            <w:r w:rsidRPr="00DD6F70">
              <w:rPr>
                <w:rFonts w:eastAsia="Calibri"/>
              </w:rPr>
              <w:t>MR</w:t>
            </w:r>
            <w:r w:rsidRPr="00DD6F70">
              <w:rPr>
                <w:rFonts w:eastAsia="Calibri"/>
                <w:vertAlign w:val="superscript"/>
              </w:rPr>
              <w:t>4</w:t>
            </w:r>
          </w:p>
          <w:p w14:paraId="61531931" w14:textId="77777777" w:rsidR="003C0107" w:rsidRPr="004D4849" w:rsidRDefault="003C0107" w:rsidP="003C0107">
            <w:pPr>
              <w:rPr>
                <w:rFonts w:eastAsia="Calibri"/>
                <w:b/>
                <w:bCs/>
              </w:rPr>
            </w:pPr>
          </w:p>
        </w:tc>
        <w:tc>
          <w:tcPr>
            <w:tcW w:w="2255" w:type="dxa"/>
            <w:shd w:val="clear" w:color="auto" w:fill="auto"/>
          </w:tcPr>
          <w:p w14:paraId="4BFA63C9" w14:textId="77777777" w:rsidR="003C0107" w:rsidRPr="004D4849" w:rsidRDefault="003C0107" w:rsidP="003C0107">
            <w:pPr>
              <w:keepNext/>
              <w:jc w:val="center"/>
              <w:rPr>
                <w:rFonts w:eastAsia="Calibri"/>
              </w:rPr>
            </w:pPr>
            <w:r w:rsidRPr="004D4849">
              <w:rPr>
                <w:rFonts w:eastAsia="Calibri"/>
              </w:rPr>
              <w:t>145 (58</w:t>
            </w:r>
            <w:r>
              <w:rPr>
                <w:rFonts w:eastAsia="Calibri"/>
              </w:rPr>
              <w:t>,</w:t>
            </w:r>
            <w:r w:rsidRPr="004D4849">
              <w:rPr>
                <w:rFonts w:eastAsia="Calibri"/>
              </w:rPr>
              <w:t>9)</w:t>
            </w:r>
          </w:p>
          <w:p w14:paraId="5FD300F1" w14:textId="77777777" w:rsidR="003C0107" w:rsidRPr="004D4849" w:rsidRDefault="003C0107" w:rsidP="003C0107">
            <w:pPr>
              <w:jc w:val="center"/>
              <w:rPr>
                <w:rFonts w:eastAsia="Calibri"/>
              </w:rPr>
            </w:pPr>
            <w:r w:rsidRPr="004D4849">
              <w:rPr>
                <w:rFonts w:eastAsia="Calibri"/>
              </w:rPr>
              <w:t>(52</w:t>
            </w:r>
            <w:r>
              <w:rPr>
                <w:rFonts w:eastAsia="Calibri"/>
              </w:rPr>
              <w:t>,</w:t>
            </w:r>
            <w:r w:rsidRPr="004D4849">
              <w:rPr>
                <w:rFonts w:eastAsia="Calibri"/>
              </w:rPr>
              <w:t>8</w:t>
            </w:r>
            <w:r>
              <w:rPr>
                <w:rFonts w:eastAsia="Calibri"/>
              </w:rPr>
              <w:t xml:space="preserve">; </w:t>
            </w:r>
            <w:r w:rsidRPr="004D4849">
              <w:rPr>
                <w:rFonts w:eastAsia="Calibri"/>
              </w:rPr>
              <w:t>65</w:t>
            </w:r>
            <w:r>
              <w:rPr>
                <w:rFonts w:eastAsia="Calibri"/>
              </w:rPr>
              <w:t>,</w:t>
            </w:r>
            <w:r w:rsidRPr="004D4849">
              <w:rPr>
                <w:rFonts w:eastAsia="Calibri"/>
              </w:rPr>
              <w:t>1)</w:t>
            </w:r>
          </w:p>
        </w:tc>
        <w:tc>
          <w:tcPr>
            <w:tcW w:w="2252" w:type="dxa"/>
            <w:shd w:val="clear" w:color="auto" w:fill="auto"/>
          </w:tcPr>
          <w:p w14:paraId="3CD7FF1C" w14:textId="77777777" w:rsidR="003C0107" w:rsidRPr="004D4849" w:rsidRDefault="003C0107" w:rsidP="003C0107">
            <w:pPr>
              <w:keepNext/>
              <w:jc w:val="center"/>
              <w:rPr>
                <w:rFonts w:eastAsia="Calibri"/>
              </w:rPr>
            </w:pPr>
            <w:r w:rsidRPr="004D4849">
              <w:rPr>
                <w:rFonts w:eastAsia="Calibri"/>
              </w:rPr>
              <w:t>120 (49</w:t>
            </w:r>
            <w:r>
              <w:rPr>
                <w:rFonts w:eastAsia="Calibri"/>
              </w:rPr>
              <w:t>,</w:t>
            </w:r>
            <w:r w:rsidRPr="004D4849">
              <w:rPr>
                <w:rFonts w:eastAsia="Calibri"/>
              </w:rPr>
              <w:t>8)</w:t>
            </w:r>
          </w:p>
          <w:p w14:paraId="45629BAE" w14:textId="77777777" w:rsidR="003C0107" w:rsidRPr="004D4849" w:rsidRDefault="003C0107" w:rsidP="003C0107">
            <w:pPr>
              <w:jc w:val="center"/>
              <w:rPr>
                <w:rFonts w:eastAsia="Calibri"/>
              </w:rPr>
            </w:pPr>
            <w:r w:rsidRPr="004D4849">
              <w:rPr>
                <w:rFonts w:eastAsia="Calibri"/>
              </w:rPr>
              <w:t>(43</w:t>
            </w:r>
            <w:r>
              <w:rPr>
                <w:rFonts w:eastAsia="Calibri"/>
              </w:rPr>
              <w:t>,</w:t>
            </w:r>
            <w:r w:rsidRPr="004D4849">
              <w:rPr>
                <w:rFonts w:eastAsia="Calibri"/>
              </w:rPr>
              <w:t>5</w:t>
            </w:r>
            <w:r>
              <w:rPr>
                <w:rFonts w:eastAsia="Calibri"/>
              </w:rPr>
              <w:t xml:space="preserve">; </w:t>
            </w:r>
            <w:r w:rsidRPr="004D4849">
              <w:rPr>
                <w:rFonts w:eastAsia="Calibri"/>
              </w:rPr>
              <w:t>56</w:t>
            </w:r>
            <w:r>
              <w:rPr>
                <w:rFonts w:eastAsia="Calibri"/>
              </w:rPr>
              <w:t>,</w:t>
            </w:r>
            <w:r w:rsidRPr="004D4849">
              <w:rPr>
                <w:rFonts w:eastAsia="Calibri"/>
              </w:rPr>
              <w:t>1)</w:t>
            </w:r>
          </w:p>
        </w:tc>
        <w:tc>
          <w:tcPr>
            <w:tcW w:w="2282" w:type="dxa"/>
            <w:shd w:val="clear" w:color="auto" w:fill="auto"/>
          </w:tcPr>
          <w:p w14:paraId="72FB3920" w14:textId="77777777" w:rsidR="003C0107" w:rsidRPr="004D4849" w:rsidRDefault="003C0107" w:rsidP="003C0107">
            <w:pPr>
              <w:jc w:val="center"/>
              <w:rPr>
                <w:rFonts w:eastAsia="Calibri"/>
              </w:rPr>
            </w:pPr>
            <w:r w:rsidRPr="004D4849">
              <w:rPr>
                <w:rFonts w:eastAsia="Calibri"/>
              </w:rPr>
              <w:t>1</w:t>
            </w:r>
            <w:r>
              <w:rPr>
                <w:rFonts w:eastAsia="Calibri"/>
              </w:rPr>
              <w:t>,</w:t>
            </w:r>
            <w:r w:rsidRPr="004D4849">
              <w:rPr>
                <w:rFonts w:eastAsia="Calibri"/>
              </w:rPr>
              <w:t>46 (1</w:t>
            </w:r>
            <w:r>
              <w:rPr>
                <w:rFonts w:eastAsia="Calibri"/>
              </w:rPr>
              <w:t>,</w:t>
            </w:r>
            <w:r w:rsidRPr="004D4849">
              <w:rPr>
                <w:rFonts w:eastAsia="Calibri"/>
              </w:rPr>
              <w:t>02</w:t>
            </w:r>
            <w:r>
              <w:rPr>
                <w:rFonts w:eastAsia="Calibri"/>
              </w:rPr>
              <w:t xml:space="preserve">; </w:t>
            </w:r>
            <w:r w:rsidRPr="004D4849">
              <w:rPr>
                <w:rFonts w:eastAsia="Calibri"/>
              </w:rPr>
              <w:t>2</w:t>
            </w:r>
            <w:r>
              <w:rPr>
                <w:rFonts w:eastAsia="Calibri"/>
              </w:rPr>
              <w:t>,</w:t>
            </w:r>
            <w:r w:rsidRPr="004D4849">
              <w:rPr>
                <w:rFonts w:eastAsia="Calibri"/>
              </w:rPr>
              <w:t>09)</w:t>
            </w:r>
          </w:p>
        </w:tc>
      </w:tr>
      <w:tr w:rsidR="003C0107" w14:paraId="5CF5BCC6" w14:textId="77777777" w:rsidTr="003C0107">
        <w:tc>
          <w:tcPr>
            <w:tcW w:w="2273" w:type="dxa"/>
            <w:shd w:val="clear" w:color="auto" w:fill="auto"/>
          </w:tcPr>
          <w:p w14:paraId="5A652A6B" w14:textId="77777777" w:rsidR="003C0107" w:rsidRPr="0049219C" w:rsidRDefault="003C0107" w:rsidP="0030598E">
            <w:pPr>
              <w:rPr>
                <w:rFonts w:eastAsia="Calibri"/>
              </w:rPr>
            </w:pPr>
            <w:r w:rsidRPr="00DD6F70">
              <w:rPr>
                <w:rFonts w:eastAsia="Calibri"/>
              </w:rPr>
              <w:t>MR</w:t>
            </w:r>
            <w:r w:rsidRPr="00DD6F70">
              <w:rPr>
                <w:rFonts w:eastAsia="Calibri"/>
                <w:vertAlign w:val="superscript"/>
              </w:rPr>
              <w:t>4</w:t>
            </w:r>
            <w:r>
              <w:rPr>
                <w:rFonts w:eastAsia="Calibri"/>
                <w:vertAlign w:val="superscript"/>
              </w:rPr>
              <w:t>,</w:t>
            </w:r>
            <w:r w:rsidRPr="00DD6F70">
              <w:rPr>
                <w:rFonts w:eastAsia="Calibri"/>
                <w:vertAlign w:val="superscript"/>
              </w:rPr>
              <w:t>5</w:t>
            </w:r>
          </w:p>
          <w:p w14:paraId="761937D0" w14:textId="77777777" w:rsidR="003C0107" w:rsidRPr="004D4849" w:rsidRDefault="003C0107" w:rsidP="0030598E">
            <w:pPr>
              <w:rPr>
                <w:rFonts w:eastAsia="Calibri"/>
                <w:b/>
                <w:bCs/>
              </w:rPr>
            </w:pPr>
          </w:p>
        </w:tc>
        <w:tc>
          <w:tcPr>
            <w:tcW w:w="2255" w:type="dxa"/>
            <w:shd w:val="clear" w:color="auto" w:fill="auto"/>
          </w:tcPr>
          <w:p w14:paraId="407F2AD0" w14:textId="77777777" w:rsidR="003C0107" w:rsidRPr="004D4849" w:rsidRDefault="003C0107" w:rsidP="003C0107">
            <w:pPr>
              <w:keepNext/>
              <w:jc w:val="center"/>
              <w:rPr>
                <w:rFonts w:eastAsia="Calibri"/>
              </w:rPr>
            </w:pPr>
            <w:r w:rsidRPr="004D4849">
              <w:rPr>
                <w:rFonts w:eastAsia="Calibri"/>
              </w:rPr>
              <w:t>119 (48</w:t>
            </w:r>
            <w:r>
              <w:rPr>
                <w:rFonts w:eastAsia="Calibri"/>
              </w:rPr>
              <w:t>,</w:t>
            </w:r>
            <w:r w:rsidRPr="004D4849">
              <w:rPr>
                <w:rFonts w:eastAsia="Calibri"/>
              </w:rPr>
              <w:t>4)</w:t>
            </w:r>
          </w:p>
          <w:p w14:paraId="699A37F7" w14:textId="77777777" w:rsidR="003C0107" w:rsidRPr="004D4849" w:rsidRDefault="003C0107" w:rsidP="003C0107">
            <w:pPr>
              <w:jc w:val="center"/>
              <w:rPr>
                <w:rFonts w:eastAsia="Calibri"/>
              </w:rPr>
            </w:pPr>
            <w:r w:rsidRPr="004D4849">
              <w:rPr>
                <w:rFonts w:eastAsia="Calibri"/>
              </w:rPr>
              <w:t>(42</w:t>
            </w:r>
            <w:r>
              <w:rPr>
                <w:rFonts w:eastAsia="Calibri"/>
              </w:rPr>
              <w:t>,</w:t>
            </w:r>
            <w:r w:rsidRPr="004D4849">
              <w:rPr>
                <w:rFonts w:eastAsia="Calibri"/>
              </w:rPr>
              <w:t>1</w:t>
            </w:r>
            <w:r>
              <w:rPr>
                <w:rFonts w:eastAsia="Calibri"/>
              </w:rPr>
              <w:t xml:space="preserve">; </w:t>
            </w:r>
            <w:r w:rsidRPr="004D4849">
              <w:rPr>
                <w:rFonts w:eastAsia="Calibri"/>
              </w:rPr>
              <w:t>54</w:t>
            </w:r>
            <w:r>
              <w:rPr>
                <w:rFonts w:eastAsia="Calibri"/>
              </w:rPr>
              <w:t>,</w:t>
            </w:r>
            <w:r w:rsidRPr="004D4849">
              <w:rPr>
                <w:rFonts w:eastAsia="Calibri"/>
              </w:rPr>
              <w:t>6)</w:t>
            </w:r>
          </w:p>
        </w:tc>
        <w:tc>
          <w:tcPr>
            <w:tcW w:w="2252" w:type="dxa"/>
            <w:shd w:val="clear" w:color="auto" w:fill="auto"/>
          </w:tcPr>
          <w:p w14:paraId="5C61E6BB" w14:textId="77777777" w:rsidR="003C0107" w:rsidRPr="004D4849" w:rsidRDefault="003C0107" w:rsidP="003C0107">
            <w:pPr>
              <w:keepNext/>
              <w:jc w:val="center"/>
              <w:rPr>
                <w:rFonts w:eastAsia="Calibri"/>
              </w:rPr>
            </w:pPr>
            <w:r w:rsidRPr="004D4849">
              <w:rPr>
                <w:rFonts w:eastAsia="Calibri"/>
              </w:rPr>
              <w:t>93 (38</w:t>
            </w:r>
            <w:r>
              <w:rPr>
                <w:rFonts w:eastAsia="Calibri"/>
              </w:rPr>
              <w:t>,</w:t>
            </w:r>
            <w:r w:rsidRPr="004D4849">
              <w:rPr>
                <w:rFonts w:eastAsia="Calibri"/>
              </w:rPr>
              <w:t>6)</w:t>
            </w:r>
          </w:p>
          <w:p w14:paraId="32DD7245" w14:textId="77777777" w:rsidR="003C0107" w:rsidRPr="004D4849" w:rsidRDefault="003C0107" w:rsidP="003C0107">
            <w:pPr>
              <w:jc w:val="center"/>
              <w:rPr>
                <w:rFonts w:eastAsia="Calibri"/>
              </w:rPr>
            </w:pPr>
            <w:r w:rsidRPr="004D4849">
              <w:rPr>
                <w:rFonts w:eastAsia="Calibri"/>
              </w:rPr>
              <w:t>(32</w:t>
            </w:r>
            <w:r>
              <w:rPr>
                <w:rFonts w:eastAsia="Calibri"/>
              </w:rPr>
              <w:t>,</w:t>
            </w:r>
            <w:r w:rsidRPr="004D4849">
              <w:rPr>
                <w:rFonts w:eastAsia="Calibri"/>
              </w:rPr>
              <w:t>4</w:t>
            </w:r>
            <w:r>
              <w:rPr>
                <w:rFonts w:eastAsia="Calibri"/>
              </w:rPr>
              <w:t xml:space="preserve">; </w:t>
            </w:r>
            <w:r w:rsidRPr="004D4849">
              <w:rPr>
                <w:rFonts w:eastAsia="Calibri"/>
              </w:rPr>
              <w:t>44</w:t>
            </w:r>
            <w:r>
              <w:rPr>
                <w:rFonts w:eastAsia="Calibri"/>
              </w:rPr>
              <w:t>,</w:t>
            </w:r>
            <w:r w:rsidRPr="004D4849">
              <w:rPr>
                <w:rFonts w:eastAsia="Calibri"/>
              </w:rPr>
              <w:t>7)</w:t>
            </w:r>
          </w:p>
        </w:tc>
        <w:tc>
          <w:tcPr>
            <w:tcW w:w="2282" w:type="dxa"/>
            <w:shd w:val="clear" w:color="auto" w:fill="auto"/>
          </w:tcPr>
          <w:p w14:paraId="74758ED7" w14:textId="77777777" w:rsidR="003C0107" w:rsidRPr="004D4849" w:rsidRDefault="003C0107" w:rsidP="003C0107">
            <w:pPr>
              <w:jc w:val="center"/>
              <w:rPr>
                <w:rFonts w:eastAsia="Calibri"/>
              </w:rPr>
            </w:pPr>
            <w:r w:rsidRPr="004D4849">
              <w:rPr>
                <w:rFonts w:eastAsia="Calibri"/>
              </w:rPr>
              <w:t>1</w:t>
            </w:r>
            <w:r>
              <w:rPr>
                <w:rFonts w:eastAsia="Calibri"/>
              </w:rPr>
              <w:t>,</w:t>
            </w:r>
            <w:r w:rsidRPr="004D4849">
              <w:rPr>
                <w:rFonts w:eastAsia="Calibri"/>
              </w:rPr>
              <w:t>50 (1</w:t>
            </w:r>
            <w:r>
              <w:rPr>
                <w:rFonts w:eastAsia="Calibri"/>
              </w:rPr>
              <w:t>,</w:t>
            </w:r>
            <w:r w:rsidRPr="004D4849">
              <w:rPr>
                <w:rFonts w:eastAsia="Calibri"/>
              </w:rPr>
              <w:t>05</w:t>
            </w:r>
            <w:r>
              <w:rPr>
                <w:rFonts w:eastAsia="Calibri"/>
              </w:rPr>
              <w:t xml:space="preserve">; </w:t>
            </w:r>
            <w:r w:rsidRPr="004D4849">
              <w:rPr>
                <w:rFonts w:eastAsia="Calibri"/>
              </w:rPr>
              <w:t>2</w:t>
            </w:r>
            <w:r>
              <w:rPr>
                <w:rFonts w:eastAsia="Calibri"/>
              </w:rPr>
              <w:t>,</w:t>
            </w:r>
            <w:r w:rsidRPr="004D4849">
              <w:rPr>
                <w:rFonts w:eastAsia="Calibri"/>
              </w:rPr>
              <w:t>16)</w:t>
            </w:r>
          </w:p>
        </w:tc>
      </w:tr>
    </w:tbl>
    <w:p w14:paraId="53F63ADE" w14:textId="0DB2C9BD" w:rsidR="005B1144" w:rsidRPr="0030598E" w:rsidRDefault="0070285B" w:rsidP="00C208E4">
      <w:pPr>
        <w:rPr>
          <w:sz w:val="20"/>
        </w:rPr>
      </w:pPr>
      <w:r w:rsidRPr="0030598E">
        <w:rPr>
          <w:sz w:val="20"/>
        </w:rPr>
        <w:t>Megjegyzés: Az MMR/MR</w:t>
      </w:r>
      <w:r w:rsidRPr="0030598E">
        <w:rPr>
          <w:sz w:val="20"/>
          <w:vertAlign w:val="superscript"/>
        </w:rPr>
        <w:t>4</w:t>
      </w:r>
      <w:r w:rsidRPr="0030598E">
        <w:rPr>
          <w:sz w:val="20"/>
        </w:rPr>
        <w:t>/MR</w:t>
      </w:r>
      <w:r w:rsidRPr="0030598E">
        <w:rPr>
          <w:sz w:val="20"/>
          <w:vertAlign w:val="superscript"/>
        </w:rPr>
        <w:t>4,5</w:t>
      </w:r>
      <w:r w:rsidRPr="0030598E">
        <w:rPr>
          <w:sz w:val="20"/>
        </w:rPr>
        <w:t xml:space="preserve"> meghatározása ≤ 0,1/0,01/0,0032% BCR-ABL/ABL-arány nemzetközi skála szerint (ez ≥ 3/4/4,5 log csökkenésnek felel meg a standardizált kiinduláshoz képest) a központi laboratórium értékelése szerint legalább 3000/9800/30 990 ABL-transzkriptummal.</w:t>
      </w:r>
    </w:p>
    <w:p w14:paraId="2719D9EB" w14:textId="4B511AB4" w:rsidR="003C0107" w:rsidRDefault="0070285B" w:rsidP="00C208E4">
      <w:pPr>
        <w:rPr>
          <w:sz w:val="20"/>
        </w:rPr>
      </w:pPr>
      <w:r w:rsidRPr="0030598E">
        <w:rPr>
          <w:sz w:val="20"/>
        </w:rPr>
        <w:t xml:space="preserve">Rövidítések: BCR-ABL = töréspont klaszterrégió-Abelson; CI = konfidenciaintervallum; mITT = módosított </w:t>
      </w:r>
      <w:r w:rsidR="001E2C16" w:rsidRPr="0030598E">
        <w:rPr>
          <w:sz w:val="20"/>
        </w:rPr>
        <w:t>beválasztás</w:t>
      </w:r>
      <w:r w:rsidRPr="0030598E">
        <w:rPr>
          <w:sz w:val="20"/>
        </w:rPr>
        <w:t xml:space="preserve"> szerinti; MMR = major molekuláris válasz; MR = molekuláris válasz; N/n = betegek száma.</w:t>
      </w:r>
    </w:p>
    <w:p w14:paraId="53F63ADF" w14:textId="017A3C05" w:rsidR="005B1144" w:rsidRPr="0030598E" w:rsidRDefault="0070285B" w:rsidP="00C208E4">
      <w:pPr>
        <w:rPr>
          <w:sz w:val="20"/>
        </w:rPr>
      </w:pPr>
      <w:r w:rsidRPr="0030598E">
        <w:rPr>
          <w:sz w:val="20"/>
          <w:vertAlign w:val="superscript"/>
        </w:rPr>
        <w:t>a</w:t>
      </w:r>
      <w:r w:rsidRPr="0030598E">
        <w:rPr>
          <w:sz w:val="20"/>
        </w:rPr>
        <w:t xml:space="preserve"> A randomizáláskor földrajzi régió és Sokal-pontszám szerint korrigálva.</w:t>
      </w:r>
    </w:p>
    <w:p w14:paraId="3722FB4A" w14:textId="77777777" w:rsidR="00DF0809" w:rsidRPr="00C208E4" w:rsidRDefault="00DF0809" w:rsidP="00C208E4"/>
    <w:p w14:paraId="53F63AE1" w14:textId="77777777" w:rsidR="005B1144" w:rsidRPr="00C208E4" w:rsidRDefault="0070285B" w:rsidP="00C208E4">
      <w:pPr>
        <w:pStyle w:val="Cmsor2"/>
        <w:numPr>
          <w:ilvl w:val="0"/>
          <w:numId w:val="15"/>
        </w:numPr>
        <w:tabs>
          <w:tab w:val="left" w:pos="897"/>
        </w:tabs>
        <w:ind w:left="221"/>
      </w:pPr>
      <w:r w:rsidRPr="00C208E4">
        <w:t>táblázat – A 60. havi MMR Sokal-féle kockázati pontszám szerinti összefoglalása az mITT populációban</w:t>
      </w:r>
    </w:p>
    <w:p w14:paraId="53F63AE2" w14:textId="77777777" w:rsidR="005B1144" w:rsidRPr="00C208E4" w:rsidRDefault="005B1144" w:rsidP="00C208E4">
      <w:pPr>
        <w:pStyle w:val="Szvegtrzs"/>
        <w:rPr>
          <w:b/>
        </w:rPr>
      </w:pPr>
    </w:p>
    <w:tbl>
      <w:tblPr>
        <w:tblStyle w:val="TableNormal1"/>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44"/>
        <w:gridCol w:w="1670"/>
        <w:gridCol w:w="2253"/>
        <w:gridCol w:w="2284"/>
      </w:tblGrid>
      <w:tr w:rsidR="005B1144" w:rsidRPr="00C208E4" w14:paraId="53F63AE7" w14:textId="77777777" w:rsidTr="00623442">
        <w:trPr>
          <w:trHeight w:val="520"/>
        </w:trPr>
        <w:tc>
          <w:tcPr>
            <w:tcW w:w="2844" w:type="dxa"/>
          </w:tcPr>
          <w:p w14:paraId="53F63AE3" w14:textId="77777777" w:rsidR="005B1144" w:rsidRPr="00C208E4" w:rsidRDefault="0070285B" w:rsidP="00C208E4">
            <w:pPr>
              <w:pStyle w:val="TableParagraph"/>
              <w:ind w:left="1097" w:right="1074"/>
              <w:rPr>
                <w:b/>
              </w:rPr>
            </w:pPr>
            <w:r w:rsidRPr="00C208E4">
              <w:rPr>
                <w:b/>
              </w:rPr>
              <w:t>Válasz</w:t>
            </w:r>
          </w:p>
        </w:tc>
        <w:tc>
          <w:tcPr>
            <w:tcW w:w="1670" w:type="dxa"/>
          </w:tcPr>
          <w:p w14:paraId="53F63AE4" w14:textId="77777777" w:rsidR="005B1144" w:rsidRPr="00C208E4" w:rsidRDefault="0070285B" w:rsidP="00C208E4">
            <w:pPr>
              <w:pStyle w:val="TableParagraph"/>
              <w:ind w:left="306" w:right="284"/>
              <w:jc w:val="center"/>
              <w:rPr>
                <w:b/>
              </w:rPr>
            </w:pPr>
            <w:r w:rsidRPr="00C208E4">
              <w:rPr>
                <w:b/>
              </w:rPr>
              <w:t>Bozutinib</w:t>
            </w:r>
          </w:p>
        </w:tc>
        <w:tc>
          <w:tcPr>
            <w:tcW w:w="2253" w:type="dxa"/>
          </w:tcPr>
          <w:p w14:paraId="53F63AE5" w14:textId="77777777" w:rsidR="005B1144" w:rsidRPr="00C208E4" w:rsidRDefault="0070285B" w:rsidP="00C208E4">
            <w:pPr>
              <w:pStyle w:val="TableParagraph"/>
              <w:ind w:left="599" w:right="576"/>
              <w:jc w:val="center"/>
              <w:rPr>
                <w:b/>
              </w:rPr>
            </w:pPr>
            <w:r w:rsidRPr="00C208E4">
              <w:rPr>
                <w:b/>
              </w:rPr>
              <w:t>Imatinib</w:t>
            </w:r>
          </w:p>
        </w:tc>
        <w:tc>
          <w:tcPr>
            <w:tcW w:w="2284" w:type="dxa"/>
          </w:tcPr>
          <w:p w14:paraId="53F63AE6" w14:textId="77777777" w:rsidR="005B1144" w:rsidRPr="00C208E4" w:rsidRDefault="0070285B" w:rsidP="00C208E4">
            <w:pPr>
              <w:pStyle w:val="TableParagraph"/>
              <w:ind w:left="567" w:right="418" w:hanging="120"/>
              <w:jc w:val="center"/>
              <w:rPr>
                <w:b/>
              </w:rPr>
            </w:pPr>
            <w:r w:rsidRPr="00C208E4">
              <w:rPr>
                <w:b/>
              </w:rPr>
              <w:t>Esélyhányados (95%-os CI)</w:t>
            </w:r>
          </w:p>
        </w:tc>
      </w:tr>
      <w:tr w:rsidR="005B1144" w:rsidRPr="00C208E4" w14:paraId="53F63AEC" w14:textId="77777777" w:rsidTr="00623442">
        <w:trPr>
          <w:trHeight w:val="263"/>
        </w:trPr>
        <w:tc>
          <w:tcPr>
            <w:tcW w:w="2844" w:type="dxa"/>
            <w:tcBorders>
              <w:bottom w:val="nil"/>
            </w:tcBorders>
          </w:tcPr>
          <w:p w14:paraId="53F63AE8" w14:textId="77777777" w:rsidR="005B1144" w:rsidRPr="00C208E4" w:rsidRDefault="0070285B" w:rsidP="00C208E4">
            <w:pPr>
              <w:pStyle w:val="TableParagraph"/>
              <w:ind w:left="110"/>
            </w:pPr>
            <w:r w:rsidRPr="00C208E4">
              <w:t>Alacsony Sokal-kockázat</w:t>
            </w:r>
          </w:p>
        </w:tc>
        <w:tc>
          <w:tcPr>
            <w:tcW w:w="1670" w:type="dxa"/>
            <w:tcBorders>
              <w:bottom w:val="nil"/>
            </w:tcBorders>
          </w:tcPr>
          <w:p w14:paraId="53F63AE9" w14:textId="77777777" w:rsidR="005B1144" w:rsidRPr="00C208E4" w:rsidRDefault="0070285B" w:rsidP="00C208E4">
            <w:pPr>
              <w:pStyle w:val="TableParagraph"/>
              <w:ind w:left="305" w:right="286"/>
              <w:jc w:val="center"/>
            </w:pPr>
            <w:r w:rsidRPr="00C208E4">
              <w:t>N = 86</w:t>
            </w:r>
          </w:p>
        </w:tc>
        <w:tc>
          <w:tcPr>
            <w:tcW w:w="2253" w:type="dxa"/>
            <w:tcBorders>
              <w:bottom w:val="nil"/>
            </w:tcBorders>
          </w:tcPr>
          <w:p w14:paraId="53F63AEA" w14:textId="77777777" w:rsidR="005B1144" w:rsidRPr="00C208E4" w:rsidRDefault="0070285B" w:rsidP="00C208E4">
            <w:pPr>
              <w:pStyle w:val="TableParagraph"/>
              <w:ind w:left="599" w:right="576"/>
              <w:jc w:val="center"/>
            </w:pPr>
            <w:r w:rsidRPr="00C208E4">
              <w:t>N = 95</w:t>
            </w:r>
          </w:p>
        </w:tc>
        <w:tc>
          <w:tcPr>
            <w:tcW w:w="2284" w:type="dxa"/>
            <w:tcBorders>
              <w:bottom w:val="nil"/>
            </w:tcBorders>
          </w:tcPr>
          <w:p w14:paraId="53F63AEB" w14:textId="77777777" w:rsidR="005B1144" w:rsidRPr="00C208E4" w:rsidRDefault="0070285B" w:rsidP="0030598E">
            <w:pPr>
              <w:pStyle w:val="TableParagraph"/>
              <w:ind w:right="-32"/>
              <w:jc w:val="center"/>
            </w:pPr>
            <w:r w:rsidRPr="00C208E4">
              <w:t>1,40 (0,71; 2,76)</w:t>
            </w:r>
          </w:p>
        </w:tc>
      </w:tr>
      <w:tr w:rsidR="005B1144" w:rsidRPr="00C208E4" w14:paraId="53F63AF1" w14:textId="77777777" w:rsidTr="00623442">
        <w:trPr>
          <w:trHeight w:val="260"/>
        </w:trPr>
        <w:tc>
          <w:tcPr>
            <w:tcW w:w="2844" w:type="dxa"/>
            <w:tcBorders>
              <w:top w:val="nil"/>
              <w:bottom w:val="nil"/>
            </w:tcBorders>
          </w:tcPr>
          <w:p w14:paraId="53F63AED" w14:textId="77777777" w:rsidR="005B1144" w:rsidRPr="00C208E4" w:rsidRDefault="0070285B" w:rsidP="00C208E4">
            <w:pPr>
              <w:pStyle w:val="TableParagraph"/>
              <w:ind w:left="110"/>
            </w:pPr>
            <w:r w:rsidRPr="00C208E4">
              <w:t>MMR, (n, %)</w:t>
            </w:r>
          </w:p>
        </w:tc>
        <w:tc>
          <w:tcPr>
            <w:tcW w:w="1670" w:type="dxa"/>
            <w:tcBorders>
              <w:top w:val="nil"/>
              <w:bottom w:val="nil"/>
            </w:tcBorders>
          </w:tcPr>
          <w:p w14:paraId="53F63AEE" w14:textId="77777777" w:rsidR="005B1144" w:rsidRPr="00C208E4" w:rsidRDefault="0070285B" w:rsidP="00C208E4">
            <w:pPr>
              <w:pStyle w:val="TableParagraph"/>
              <w:ind w:left="306" w:right="285"/>
              <w:jc w:val="center"/>
            </w:pPr>
            <w:r w:rsidRPr="00C208E4">
              <w:t>67 (77,9)</w:t>
            </w:r>
          </w:p>
        </w:tc>
        <w:tc>
          <w:tcPr>
            <w:tcW w:w="2253" w:type="dxa"/>
            <w:tcBorders>
              <w:top w:val="nil"/>
              <w:bottom w:val="nil"/>
            </w:tcBorders>
          </w:tcPr>
          <w:p w14:paraId="53F63AEF" w14:textId="77777777" w:rsidR="005B1144" w:rsidRPr="00C208E4" w:rsidRDefault="0070285B" w:rsidP="00C208E4">
            <w:pPr>
              <w:pStyle w:val="TableParagraph"/>
              <w:ind w:left="600" w:right="576"/>
              <w:jc w:val="center"/>
            </w:pPr>
            <w:r w:rsidRPr="00C208E4">
              <w:t>68 (71,6)</w:t>
            </w:r>
          </w:p>
        </w:tc>
        <w:tc>
          <w:tcPr>
            <w:tcW w:w="2284" w:type="dxa"/>
            <w:tcBorders>
              <w:top w:val="nil"/>
              <w:bottom w:val="nil"/>
            </w:tcBorders>
          </w:tcPr>
          <w:p w14:paraId="53F63AF0" w14:textId="77777777" w:rsidR="005B1144" w:rsidRPr="00C208E4" w:rsidRDefault="005B1144" w:rsidP="0030598E">
            <w:pPr>
              <w:pStyle w:val="TableParagraph"/>
              <w:ind w:right="-32"/>
              <w:jc w:val="center"/>
            </w:pPr>
          </w:p>
        </w:tc>
      </w:tr>
      <w:tr w:rsidR="005B1144" w:rsidRPr="00C208E4" w14:paraId="53F63AF6" w14:textId="77777777" w:rsidTr="00623442">
        <w:trPr>
          <w:trHeight w:val="255"/>
        </w:trPr>
        <w:tc>
          <w:tcPr>
            <w:tcW w:w="2844" w:type="dxa"/>
            <w:tcBorders>
              <w:top w:val="nil"/>
            </w:tcBorders>
          </w:tcPr>
          <w:p w14:paraId="53F63AF2" w14:textId="77777777" w:rsidR="005B1144" w:rsidRPr="00C208E4" w:rsidRDefault="0070285B" w:rsidP="00C208E4">
            <w:pPr>
              <w:pStyle w:val="TableParagraph"/>
              <w:ind w:left="110"/>
            </w:pPr>
            <w:r w:rsidRPr="00C208E4">
              <w:t>(95%-os CI)</w:t>
            </w:r>
          </w:p>
        </w:tc>
        <w:tc>
          <w:tcPr>
            <w:tcW w:w="1670" w:type="dxa"/>
            <w:tcBorders>
              <w:top w:val="nil"/>
            </w:tcBorders>
          </w:tcPr>
          <w:p w14:paraId="53F63AF3" w14:textId="77777777" w:rsidR="005B1144" w:rsidRPr="00C208E4" w:rsidRDefault="0070285B" w:rsidP="00C208E4">
            <w:pPr>
              <w:pStyle w:val="TableParagraph"/>
              <w:ind w:left="306" w:right="286"/>
              <w:jc w:val="center"/>
            </w:pPr>
            <w:r w:rsidRPr="00C208E4">
              <w:t>(69,1; 86,7)</w:t>
            </w:r>
          </w:p>
        </w:tc>
        <w:tc>
          <w:tcPr>
            <w:tcW w:w="2253" w:type="dxa"/>
            <w:tcBorders>
              <w:top w:val="nil"/>
            </w:tcBorders>
          </w:tcPr>
          <w:p w14:paraId="53F63AF4" w14:textId="77777777" w:rsidR="005B1144" w:rsidRPr="00C208E4" w:rsidRDefault="0070285B" w:rsidP="00C208E4">
            <w:pPr>
              <w:pStyle w:val="TableParagraph"/>
              <w:ind w:left="600" w:right="576"/>
              <w:jc w:val="center"/>
            </w:pPr>
            <w:r w:rsidRPr="00C208E4">
              <w:t>(62,5; 80,6)</w:t>
            </w:r>
          </w:p>
        </w:tc>
        <w:tc>
          <w:tcPr>
            <w:tcW w:w="2284" w:type="dxa"/>
            <w:tcBorders>
              <w:top w:val="nil"/>
            </w:tcBorders>
          </w:tcPr>
          <w:p w14:paraId="53F63AF5" w14:textId="77777777" w:rsidR="005B1144" w:rsidRPr="00C208E4" w:rsidRDefault="005B1144" w:rsidP="0030598E">
            <w:pPr>
              <w:pStyle w:val="TableParagraph"/>
              <w:ind w:right="-32"/>
              <w:jc w:val="center"/>
            </w:pPr>
          </w:p>
        </w:tc>
      </w:tr>
      <w:tr w:rsidR="005B1144" w:rsidRPr="00C208E4" w14:paraId="53F63AFB" w14:textId="77777777" w:rsidTr="00623442">
        <w:trPr>
          <w:trHeight w:val="264"/>
        </w:trPr>
        <w:tc>
          <w:tcPr>
            <w:tcW w:w="2844" w:type="dxa"/>
            <w:tcBorders>
              <w:bottom w:val="nil"/>
            </w:tcBorders>
          </w:tcPr>
          <w:p w14:paraId="53F63AF7" w14:textId="77777777" w:rsidR="005B1144" w:rsidRPr="00C208E4" w:rsidRDefault="0070285B" w:rsidP="00C208E4">
            <w:pPr>
              <w:pStyle w:val="TableParagraph"/>
              <w:ind w:left="110"/>
            </w:pPr>
            <w:r w:rsidRPr="00C208E4">
              <w:t>Közepes Sokal-kockázat</w:t>
            </w:r>
          </w:p>
        </w:tc>
        <w:tc>
          <w:tcPr>
            <w:tcW w:w="1670" w:type="dxa"/>
            <w:tcBorders>
              <w:bottom w:val="nil"/>
            </w:tcBorders>
          </w:tcPr>
          <w:p w14:paraId="53F63AF8" w14:textId="77777777" w:rsidR="005B1144" w:rsidRPr="00C208E4" w:rsidRDefault="0070285B" w:rsidP="00C208E4">
            <w:pPr>
              <w:pStyle w:val="TableParagraph"/>
              <w:ind w:left="305" w:right="286"/>
              <w:jc w:val="center"/>
            </w:pPr>
            <w:r w:rsidRPr="00C208E4">
              <w:t>N = 107</w:t>
            </w:r>
          </w:p>
        </w:tc>
        <w:tc>
          <w:tcPr>
            <w:tcW w:w="2253" w:type="dxa"/>
            <w:tcBorders>
              <w:bottom w:val="nil"/>
            </w:tcBorders>
          </w:tcPr>
          <w:p w14:paraId="53F63AF9" w14:textId="77777777" w:rsidR="005B1144" w:rsidRPr="00C208E4" w:rsidRDefault="0070285B" w:rsidP="00C208E4">
            <w:pPr>
              <w:pStyle w:val="TableParagraph"/>
              <w:ind w:left="599" w:right="576"/>
              <w:jc w:val="center"/>
            </w:pPr>
            <w:r w:rsidRPr="00C208E4">
              <w:t>N = 92</w:t>
            </w:r>
          </w:p>
        </w:tc>
        <w:tc>
          <w:tcPr>
            <w:tcW w:w="2284" w:type="dxa"/>
            <w:tcBorders>
              <w:bottom w:val="nil"/>
            </w:tcBorders>
          </w:tcPr>
          <w:p w14:paraId="53F63AFA" w14:textId="77777777" w:rsidR="005B1144" w:rsidRPr="00C208E4" w:rsidRDefault="0070285B" w:rsidP="0030598E">
            <w:pPr>
              <w:pStyle w:val="TableParagraph"/>
              <w:ind w:right="-32"/>
              <w:jc w:val="center"/>
            </w:pPr>
            <w:r w:rsidRPr="00C208E4">
              <w:t>1,37 (0,74; 2,52)</w:t>
            </w:r>
          </w:p>
        </w:tc>
      </w:tr>
      <w:tr w:rsidR="005B1144" w:rsidRPr="00C208E4" w14:paraId="53F63B00" w14:textId="77777777" w:rsidTr="00623442">
        <w:trPr>
          <w:trHeight w:val="260"/>
        </w:trPr>
        <w:tc>
          <w:tcPr>
            <w:tcW w:w="2844" w:type="dxa"/>
            <w:tcBorders>
              <w:top w:val="nil"/>
              <w:bottom w:val="nil"/>
            </w:tcBorders>
          </w:tcPr>
          <w:p w14:paraId="53F63AFC" w14:textId="77777777" w:rsidR="005B1144" w:rsidRPr="00C208E4" w:rsidRDefault="0070285B" w:rsidP="00C208E4">
            <w:pPr>
              <w:pStyle w:val="TableParagraph"/>
              <w:ind w:left="110"/>
            </w:pPr>
            <w:r w:rsidRPr="00C208E4">
              <w:t>MMR, (n, %)</w:t>
            </w:r>
          </w:p>
        </w:tc>
        <w:tc>
          <w:tcPr>
            <w:tcW w:w="1670" w:type="dxa"/>
            <w:tcBorders>
              <w:top w:val="nil"/>
              <w:bottom w:val="nil"/>
            </w:tcBorders>
          </w:tcPr>
          <w:p w14:paraId="53F63AFD" w14:textId="77777777" w:rsidR="005B1144" w:rsidRPr="00C208E4" w:rsidRDefault="0070285B" w:rsidP="00C208E4">
            <w:pPr>
              <w:pStyle w:val="TableParagraph"/>
              <w:ind w:left="306" w:right="285"/>
              <w:jc w:val="center"/>
            </w:pPr>
            <w:r w:rsidRPr="00C208E4">
              <w:t>79 (73,8)</w:t>
            </w:r>
          </w:p>
        </w:tc>
        <w:tc>
          <w:tcPr>
            <w:tcW w:w="2253" w:type="dxa"/>
            <w:tcBorders>
              <w:top w:val="nil"/>
              <w:bottom w:val="nil"/>
            </w:tcBorders>
          </w:tcPr>
          <w:p w14:paraId="53F63AFE" w14:textId="77777777" w:rsidR="005B1144" w:rsidRPr="00C208E4" w:rsidRDefault="0070285B" w:rsidP="00C208E4">
            <w:pPr>
              <w:pStyle w:val="TableParagraph"/>
              <w:ind w:left="600" w:right="576"/>
              <w:jc w:val="center"/>
            </w:pPr>
            <w:r w:rsidRPr="00C208E4">
              <w:t>62 (67,4)</w:t>
            </w:r>
          </w:p>
        </w:tc>
        <w:tc>
          <w:tcPr>
            <w:tcW w:w="2284" w:type="dxa"/>
            <w:tcBorders>
              <w:top w:val="nil"/>
              <w:bottom w:val="nil"/>
            </w:tcBorders>
          </w:tcPr>
          <w:p w14:paraId="53F63AFF" w14:textId="77777777" w:rsidR="005B1144" w:rsidRPr="00C208E4" w:rsidRDefault="005B1144" w:rsidP="0030598E">
            <w:pPr>
              <w:pStyle w:val="TableParagraph"/>
              <w:ind w:right="-32"/>
              <w:jc w:val="center"/>
            </w:pPr>
          </w:p>
        </w:tc>
      </w:tr>
      <w:tr w:rsidR="005B1144" w:rsidRPr="00C208E4" w14:paraId="53F63B05" w14:textId="77777777" w:rsidTr="00623442">
        <w:trPr>
          <w:trHeight w:val="254"/>
        </w:trPr>
        <w:tc>
          <w:tcPr>
            <w:tcW w:w="2844" w:type="dxa"/>
            <w:tcBorders>
              <w:top w:val="nil"/>
            </w:tcBorders>
          </w:tcPr>
          <w:p w14:paraId="53F63B01" w14:textId="77777777" w:rsidR="005B1144" w:rsidRPr="00C208E4" w:rsidRDefault="0070285B" w:rsidP="00C208E4">
            <w:pPr>
              <w:pStyle w:val="TableParagraph"/>
              <w:ind w:left="110"/>
            </w:pPr>
            <w:r w:rsidRPr="00C208E4">
              <w:t>(95%-os CI)</w:t>
            </w:r>
          </w:p>
        </w:tc>
        <w:tc>
          <w:tcPr>
            <w:tcW w:w="1670" w:type="dxa"/>
            <w:tcBorders>
              <w:top w:val="nil"/>
            </w:tcBorders>
          </w:tcPr>
          <w:p w14:paraId="53F63B02" w14:textId="77777777" w:rsidR="005B1144" w:rsidRPr="00C208E4" w:rsidRDefault="0070285B" w:rsidP="00C208E4">
            <w:pPr>
              <w:pStyle w:val="TableParagraph"/>
              <w:ind w:left="306" w:right="286"/>
              <w:jc w:val="center"/>
            </w:pPr>
            <w:r w:rsidRPr="00C208E4">
              <w:t>(65,5; 82,2)</w:t>
            </w:r>
          </w:p>
        </w:tc>
        <w:tc>
          <w:tcPr>
            <w:tcW w:w="2253" w:type="dxa"/>
            <w:tcBorders>
              <w:top w:val="nil"/>
            </w:tcBorders>
          </w:tcPr>
          <w:p w14:paraId="53F63B03" w14:textId="77777777" w:rsidR="005B1144" w:rsidRPr="00C208E4" w:rsidRDefault="0070285B" w:rsidP="00C208E4">
            <w:pPr>
              <w:pStyle w:val="TableParagraph"/>
              <w:ind w:left="600" w:right="576"/>
              <w:jc w:val="center"/>
            </w:pPr>
            <w:r w:rsidRPr="00C208E4">
              <w:t>(57,8; 77,0)</w:t>
            </w:r>
          </w:p>
        </w:tc>
        <w:tc>
          <w:tcPr>
            <w:tcW w:w="2284" w:type="dxa"/>
            <w:tcBorders>
              <w:top w:val="nil"/>
            </w:tcBorders>
          </w:tcPr>
          <w:p w14:paraId="53F63B04" w14:textId="77777777" w:rsidR="005B1144" w:rsidRPr="00C208E4" w:rsidRDefault="005B1144" w:rsidP="0030598E">
            <w:pPr>
              <w:pStyle w:val="TableParagraph"/>
              <w:ind w:right="-32"/>
              <w:jc w:val="center"/>
            </w:pPr>
          </w:p>
        </w:tc>
      </w:tr>
      <w:tr w:rsidR="005B1144" w:rsidRPr="00C208E4" w14:paraId="53F63B0A" w14:textId="77777777" w:rsidTr="00623442">
        <w:trPr>
          <w:trHeight w:val="265"/>
        </w:trPr>
        <w:tc>
          <w:tcPr>
            <w:tcW w:w="2844" w:type="dxa"/>
            <w:tcBorders>
              <w:bottom w:val="nil"/>
            </w:tcBorders>
          </w:tcPr>
          <w:p w14:paraId="53F63B06" w14:textId="77777777" w:rsidR="005B1144" w:rsidRPr="00C208E4" w:rsidRDefault="0070285B" w:rsidP="00C208E4">
            <w:pPr>
              <w:pStyle w:val="TableParagraph"/>
              <w:ind w:left="110"/>
            </w:pPr>
            <w:r w:rsidRPr="00C208E4">
              <w:t>Magas Sokal-kockázat</w:t>
            </w:r>
          </w:p>
        </w:tc>
        <w:tc>
          <w:tcPr>
            <w:tcW w:w="1670" w:type="dxa"/>
            <w:tcBorders>
              <w:bottom w:val="nil"/>
            </w:tcBorders>
          </w:tcPr>
          <w:p w14:paraId="53F63B07" w14:textId="77777777" w:rsidR="005B1144" w:rsidRPr="00C208E4" w:rsidRDefault="0070285B" w:rsidP="00C208E4">
            <w:pPr>
              <w:pStyle w:val="TableParagraph"/>
              <w:ind w:left="305" w:right="286"/>
              <w:jc w:val="center"/>
            </w:pPr>
            <w:r w:rsidRPr="00C208E4">
              <w:t>N = 53</w:t>
            </w:r>
          </w:p>
        </w:tc>
        <w:tc>
          <w:tcPr>
            <w:tcW w:w="2253" w:type="dxa"/>
            <w:tcBorders>
              <w:bottom w:val="nil"/>
            </w:tcBorders>
          </w:tcPr>
          <w:p w14:paraId="53F63B08" w14:textId="77777777" w:rsidR="005B1144" w:rsidRPr="00C208E4" w:rsidRDefault="0070285B" w:rsidP="00C208E4">
            <w:pPr>
              <w:pStyle w:val="TableParagraph"/>
              <w:ind w:left="599" w:right="576"/>
              <w:jc w:val="center"/>
            </w:pPr>
            <w:r w:rsidRPr="00C208E4">
              <w:t>N = 54</w:t>
            </w:r>
          </w:p>
        </w:tc>
        <w:tc>
          <w:tcPr>
            <w:tcW w:w="2284" w:type="dxa"/>
            <w:tcBorders>
              <w:bottom w:val="nil"/>
            </w:tcBorders>
          </w:tcPr>
          <w:p w14:paraId="53F63B09" w14:textId="77777777" w:rsidR="005B1144" w:rsidRPr="00C208E4" w:rsidRDefault="0070285B" w:rsidP="0030598E">
            <w:pPr>
              <w:pStyle w:val="TableParagraph"/>
              <w:ind w:right="-32"/>
              <w:jc w:val="center"/>
            </w:pPr>
            <w:r w:rsidRPr="00C208E4">
              <w:t>1,97 (0,90; 4,32)</w:t>
            </w:r>
          </w:p>
        </w:tc>
      </w:tr>
      <w:tr w:rsidR="005B1144" w:rsidRPr="00C208E4" w14:paraId="53F63B0F" w14:textId="77777777" w:rsidTr="00623442">
        <w:trPr>
          <w:trHeight w:val="259"/>
        </w:trPr>
        <w:tc>
          <w:tcPr>
            <w:tcW w:w="2844" w:type="dxa"/>
            <w:tcBorders>
              <w:top w:val="nil"/>
              <w:bottom w:val="nil"/>
            </w:tcBorders>
          </w:tcPr>
          <w:p w14:paraId="53F63B0B" w14:textId="77777777" w:rsidR="005B1144" w:rsidRPr="00C208E4" w:rsidRDefault="0070285B" w:rsidP="00C208E4">
            <w:pPr>
              <w:pStyle w:val="TableParagraph"/>
              <w:ind w:left="110"/>
            </w:pPr>
            <w:r w:rsidRPr="00C208E4">
              <w:t>MMR, (n, %)</w:t>
            </w:r>
          </w:p>
        </w:tc>
        <w:tc>
          <w:tcPr>
            <w:tcW w:w="1670" w:type="dxa"/>
            <w:tcBorders>
              <w:top w:val="nil"/>
              <w:bottom w:val="nil"/>
            </w:tcBorders>
          </w:tcPr>
          <w:p w14:paraId="53F63B0C" w14:textId="77777777" w:rsidR="005B1144" w:rsidRPr="00C208E4" w:rsidRDefault="0070285B" w:rsidP="00C208E4">
            <w:pPr>
              <w:pStyle w:val="TableParagraph"/>
              <w:ind w:left="306" w:right="285"/>
              <w:jc w:val="center"/>
            </w:pPr>
            <w:r w:rsidRPr="00C208E4">
              <w:t>36 (67,9)</w:t>
            </w:r>
          </w:p>
        </w:tc>
        <w:tc>
          <w:tcPr>
            <w:tcW w:w="2253" w:type="dxa"/>
            <w:tcBorders>
              <w:top w:val="nil"/>
              <w:bottom w:val="nil"/>
            </w:tcBorders>
          </w:tcPr>
          <w:p w14:paraId="53F63B0D" w14:textId="77777777" w:rsidR="005B1144" w:rsidRPr="00C208E4" w:rsidRDefault="0070285B" w:rsidP="00C208E4">
            <w:pPr>
              <w:pStyle w:val="TableParagraph"/>
              <w:ind w:left="600" w:right="576"/>
              <w:jc w:val="center"/>
            </w:pPr>
            <w:r w:rsidRPr="00C208E4">
              <w:t>28 (51,9)</w:t>
            </w:r>
          </w:p>
        </w:tc>
        <w:tc>
          <w:tcPr>
            <w:tcW w:w="2284" w:type="dxa"/>
            <w:tcBorders>
              <w:top w:val="nil"/>
              <w:bottom w:val="nil"/>
            </w:tcBorders>
          </w:tcPr>
          <w:p w14:paraId="53F63B0E" w14:textId="77777777" w:rsidR="005B1144" w:rsidRPr="00C208E4" w:rsidRDefault="005B1144" w:rsidP="0030598E">
            <w:pPr>
              <w:pStyle w:val="TableParagraph"/>
              <w:ind w:right="-32"/>
              <w:jc w:val="center"/>
            </w:pPr>
          </w:p>
        </w:tc>
      </w:tr>
      <w:tr w:rsidR="005B1144" w:rsidRPr="00C208E4" w14:paraId="53F63B14" w14:textId="77777777" w:rsidTr="00623442">
        <w:trPr>
          <w:trHeight w:val="256"/>
        </w:trPr>
        <w:tc>
          <w:tcPr>
            <w:tcW w:w="2844" w:type="dxa"/>
            <w:tcBorders>
              <w:top w:val="nil"/>
            </w:tcBorders>
          </w:tcPr>
          <w:p w14:paraId="53F63B10" w14:textId="77777777" w:rsidR="005B1144" w:rsidRPr="00C208E4" w:rsidRDefault="0070285B" w:rsidP="00C208E4">
            <w:pPr>
              <w:pStyle w:val="TableParagraph"/>
              <w:ind w:left="110"/>
            </w:pPr>
            <w:r w:rsidRPr="00C208E4">
              <w:t>(95%-os CI)</w:t>
            </w:r>
          </w:p>
        </w:tc>
        <w:tc>
          <w:tcPr>
            <w:tcW w:w="1670" w:type="dxa"/>
            <w:tcBorders>
              <w:top w:val="nil"/>
            </w:tcBorders>
          </w:tcPr>
          <w:p w14:paraId="53F63B11" w14:textId="77777777" w:rsidR="005B1144" w:rsidRPr="00C208E4" w:rsidRDefault="0070285B" w:rsidP="00C208E4">
            <w:pPr>
              <w:pStyle w:val="TableParagraph"/>
              <w:ind w:left="306" w:right="286"/>
              <w:jc w:val="center"/>
            </w:pPr>
            <w:r w:rsidRPr="00C208E4">
              <w:t>(55,4; 80,5)</w:t>
            </w:r>
          </w:p>
        </w:tc>
        <w:tc>
          <w:tcPr>
            <w:tcW w:w="2253" w:type="dxa"/>
            <w:tcBorders>
              <w:top w:val="nil"/>
            </w:tcBorders>
          </w:tcPr>
          <w:p w14:paraId="53F63B12" w14:textId="77777777" w:rsidR="005B1144" w:rsidRPr="00C208E4" w:rsidRDefault="0070285B" w:rsidP="00C208E4">
            <w:pPr>
              <w:pStyle w:val="TableParagraph"/>
              <w:ind w:left="600" w:right="576"/>
              <w:jc w:val="center"/>
            </w:pPr>
            <w:r w:rsidRPr="00C208E4">
              <w:t>(38,5; 65,2)</w:t>
            </w:r>
          </w:p>
        </w:tc>
        <w:tc>
          <w:tcPr>
            <w:tcW w:w="2284" w:type="dxa"/>
            <w:tcBorders>
              <w:top w:val="nil"/>
            </w:tcBorders>
          </w:tcPr>
          <w:p w14:paraId="53F63B13" w14:textId="77777777" w:rsidR="005B1144" w:rsidRPr="00C208E4" w:rsidRDefault="005B1144" w:rsidP="0030598E">
            <w:pPr>
              <w:pStyle w:val="TableParagraph"/>
              <w:ind w:right="-32"/>
              <w:jc w:val="center"/>
            </w:pPr>
          </w:p>
        </w:tc>
      </w:tr>
    </w:tbl>
    <w:p w14:paraId="53F63B15" w14:textId="77777777" w:rsidR="005B1144" w:rsidRPr="0030598E" w:rsidRDefault="0070285B" w:rsidP="00C208E4">
      <w:pPr>
        <w:rPr>
          <w:sz w:val="20"/>
        </w:rPr>
      </w:pPr>
      <w:r w:rsidRPr="0030598E">
        <w:rPr>
          <w:sz w:val="20"/>
        </w:rPr>
        <w:t>Megjegyzés: A százalékos arányok a betegek kezelési csoportonkénti számán alapulnak. Az MMR meghatározása ≤ 0,1% BCR-ABL/ABL arány nemzetközi skála szerint (ez ≥ 3 log csökkenésnek felel meg a standardizált kiinduláshoz képest) a központi laboratórium értékelése szerint legalább 3000 ABL- transzkriptummal.</w:t>
      </w:r>
    </w:p>
    <w:p w14:paraId="53F63B16" w14:textId="2651E2B2" w:rsidR="005B1144" w:rsidRPr="0030598E" w:rsidRDefault="0070285B" w:rsidP="00C208E4">
      <w:pPr>
        <w:rPr>
          <w:sz w:val="20"/>
        </w:rPr>
      </w:pPr>
      <w:r w:rsidRPr="0030598E">
        <w:rPr>
          <w:sz w:val="20"/>
        </w:rPr>
        <w:t>Rövidítések: BCR-ABL = töréspont klaszterrégió-Abelson; CI = konfiden</w:t>
      </w:r>
      <w:r w:rsidR="001E2C16" w:rsidRPr="0030598E">
        <w:rPr>
          <w:sz w:val="20"/>
        </w:rPr>
        <w:t>ciain</w:t>
      </w:r>
      <w:r w:rsidRPr="0030598E">
        <w:rPr>
          <w:sz w:val="20"/>
        </w:rPr>
        <w:t xml:space="preserve">tervallum; mITT = módosított </w:t>
      </w:r>
      <w:r w:rsidR="001E2C16" w:rsidRPr="0030598E">
        <w:rPr>
          <w:sz w:val="20"/>
        </w:rPr>
        <w:t>beválasztás</w:t>
      </w:r>
      <w:r w:rsidRPr="0030598E">
        <w:rPr>
          <w:sz w:val="20"/>
        </w:rPr>
        <w:t xml:space="preserve"> szerinti; MMR = major molekuláris válasz; N/n = betegek száma.</w:t>
      </w:r>
    </w:p>
    <w:p w14:paraId="53F63B17" w14:textId="77777777" w:rsidR="005B1144" w:rsidRPr="00C208E4" w:rsidRDefault="005B1144" w:rsidP="00C208E4">
      <w:pPr>
        <w:pStyle w:val="Szvegtrzs"/>
      </w:pPr>
    </w:p>
    <w:p w14:paraId="53F63B18" w14:textId="7A4E5707" w:rsidR="005B1144" w:rsidRPr="00C208E4" w:rsidRDefault="0070285B" w:rsidP="00C208E4">
      <w:pPr>
        <w:pStyle w:val="Szvegtrzs"/>
      </w:pPr>
      <w:r w:rsidRPr="00C208E4">
        <w:t xml:space="preserve">A kezelés CCyR nélküli abbahagyásának versengő kockázata szerint módosított CCyR kumulatív </w:t>
      </w:r>
      <w:r w:rsidR="003338EA">
        <w:t>incidenciája</w:t>
      </w:r>
      <w:r w:rsidRPr="00C208E4">
        <w:t xml:space="preserve"> magasabb volt a bozutinib kezelési csoportban, mint az imatinib kezelési csoportban az mITT populációban (83,3% [95%-os CI: 78,1%, 87,4%] </w:t>
      </w:r>
      <w:r w:rsidR="00601929">
        <w:t>ill.</w:t>
      </w:r>
      <w:r w:rsidRPr="00C208E4">
        <w:t xml:space="preserve"> 76,8% [95%-os CI: 70,9%, 81,6%], a 60. hónapban; kockázati arány [HR] egy rétegzett arányos szubdiszribúciós kockázati modell alapján: 1,35 [95%-os CI: 1,11; 1,64]). A CCyR-ig eltelt idő mediánja (csak válaszadók)) a válaszadóknál a bozutinib kezelési csoportban 24,0 hét (tartomány: 11,4–120,7), az imatinib kezelési csoportban 24,3 hét (tartomány: 11,4–96,6) volt.</w:t>
      </w:r>
    </w:p>
    <w:p w14:paraId="53F63B19" w14:textId="77777777" w:rsidR="005B1144" w:rsidRPr="00C208E4" w:rsidRDefault="005B1144" w:rsidP="00C208E4">
      <w:pPr>
        <w:pStyle w:val="Szvegtrzs"/>
      </w:pPr>
    </w:p>
    <w:p w14:paraId="53F63B1B" w14:textId="4D58AA3B" w:rsidR="005B1144" w:rsidRPr="00C208E4" w:rsidRDefault="0070285B" w:rsidP="00C208E4">
      <w:pPr>
        <w:pStyle w:val="Szvegtrzs"/>
      </w:pPr>
      <w:r w:rsidRPr="00C208E4">
        <w:t>Az MMR, MR</w:t>
      </w:r>
      <w:r w:rsidRPr="00C208E4">
        <w:rPr>
          <w:vertAlign w:val="superscript"/>
        </w:rPr>
        <w:t>4</w:t>
      </w:r>
      <w:r w:rsidRPr="00C208E4">
        <w:t xml:space="preserve"> és MR</w:t>
      </w:r>
      <w:r w:rsidRPr="00C208E4">
        <w:rPr>
          <w:vertAlign w:val="superscript"/>
        </w:rPr>
        <w:t>4,5</w:t>
      </w:r>
      <w:r w:rsidRPr="00C208E4">
        <w:t xml:space="preserve"> medián ideje a bozutinib kezelési csoportban (csak válaszadók) 36,1 hét (tartomány: 11,9–241,9), 83,7 hét (tartomány: 12,4–244,3), </w:t>
      </w:r>
      <w:r w:rsidR="00601929">
        <w:t>ill.</w:t>
      </w:r>
      <w:r w:rsidRPr="00C208E4">
        <w:t xml:space="preserve"> 108,0 hét (tartomány: 24,1–242,1),</w:t>
      </w:r>
      <w:r w:rsidR="00867D84" w:rsidRPr="00C208E4">
        <w:t xml:space="preserve"> </w:t>
      </w:r>
      <w:r w:rsidRPr="00C208E4">
        <w:t xml:space="preserve">ezzel szemben 47,7 hét (tartomány: 12,1–216,1), 84,4 hét (tartomány: 23,6–241,9), </w:t>
      </w:r>
      <w:r w:rsidR="00601929">
        <w:t>ill.</w:t>
      </w:r>
      <w:r w:rsidRPr="00C208E4">
        <w:t xml:space="preserve"> 120,4 hét (tartomány: 24,6–240,7) az imatinib kezelési csoportban az mITT populációban.</w:t>
      </w:r>
    </w:p>
    <w:p w14:paraId="53F63B1C" w14:textId="77777777" w:rsidR="005B1144" w:rsidRPr="00C208E4" w:rsidRDefault="005B1144" w:rsidP="00C208E4">
      <w:pPr>
        <w:pStyle w:val="Szvegtrzs"/>
      </w:pPr>
    </w:p>
    <w:p w14:paraId="53F63B1D" w14:textId="5D878361" w:rsidR="005B1144" w:rsidRPr="00C208E4" w:rsidRDefault="0070285B" w:rsidP="00C208E4">
      <w:pPr>
        <w:pStyle w:val="Szvegtrzs"/>
      </w:pPr>
      <w:r w:rsidRPr="00C208E4">
        <w:t>A kezelés esemény nélküli abbahagyásának versengő kockázata szerint módosított MMR, MR</w:t>
      </w:r>
      <w:r w:rsidRPr="00C208E4">
        <w:rPr>
          <w:vertAlign w:val="superscript"/>
        </w:rPr>
        <w:t>4</w:t>
      </w:r>
      <w:r w:rsidRPr="00C208E4">
        <w:t xml:space="preserve"> és MR</w:t>
      </w:r>
      <w:r w:rsidRPr="00C208E4">
        <w:rPr>
          <w:vertAlign w:val="superscript"/>
        </w:rPr>
        <w:t>4,5</w:t>
      </w:r>
      <w:r w:rsidRPr="00C208E4">
        <w:t xml:space="preserve"> kumulatív </w:t>
      </w:r>
      <w:r w:rsidR="003338EA">
        <w:t>incidenciája</w:t>
      </w:r>
      <w:r w:rsidRPr="00C208E4">
        <w:t xml:space="preserve"> magasabb volt a bozutinib kezelési csoportban, mint az imatinib kezelési csoportban – lásd 1–3. ábra.</w:t>
      </w:r>
    </w:p>
    <w:p w14:paraId="57ED3861" w14:textId="77777777" w:rsidR="00937985" w:rsidRPr="00C208E4" w:rsidRDefault="00937985" w:rsidP="00C208E4"/>
    <w:p w14:paraId="53F63B1F" w14:textId="41A5AB54" w:rsidR="005B1144" w:rsidRPr="00C208E4" w:rsidRDefault="0070285B" w:rsidP="00C208E4">
      <w:pPr>
        <w:pStyle w:val="Listaszerbekezds"/>
        <w:keepNext/>
        <w:widowControl/>
        <w:numPr>
          <w:ilvl w:val="0"/>
          <w:numId w:val="10"/>
        </w:numPr>
        <w:tabs>
          <w:tab w:val="left" w:pos="897"/>
        </w:tabs>
        <w:rPr>
          <w:b/>
        </w:rPr>
      </w:pPr>
      <w:r w:rsidRPr="00C208E4">
        <w:rPr>
          <w:b/>
        </w:rPr>
        <w:t xml:space="preserve">ábra – Az MMR kumulatív </w:t>
      </w:r>
      <w:r w:rsidR="003338EA">
        <w:rPr>
          <w:b/>
        </w:rPr>
        <w:t>incidenciája</w:t>
      </w:r>
      <w:r w:rsidRPr="00C208E4">
        <w:rPr>
          <w:b/>
        </w:rPr>
        <w:t xml:space="preserve"> (mITT populáció)</w:t>
      </w:r>
    </w:p>
    <w:p w14:paraId="53F63B20" w14:textId="77777777" w:rsidR="005B1144" w:rsidRPr="00C208E4" w:rsidRDefault="0070285B" w:rsidP="00C208E4">
      <w:pPr>
        <w:pStyle w:val="Szvegtrzs"/>
        <w:widowControl/>
        <w:rPr>
          <w:b/>
        </w:rPr>
      </w:pPr>
      <w:r w:rsidRPr="00C208E4">
        <w:rPr>
          <w:noProof/>
          <w:lang w:eastAsia="hu-HU"/>
        </w:rPr>
        <w:drawing>
          <wp:anchor distT="0" distB="0" distL="0" distR="0" simplePos="0" relativeHeight="2" behindDoc="0" locked="0" layoutInCell="1" allowOverlap="1" wp14:anchorId="53F642D6" wp14:editId="53F642D7">
            <wp:simplePos x="0" y="0"/>
            <wp:positionH relativeFrom="page">
              <wp:posOffset>947279</wp:posOffset>
            </wp:positionH>
            <wp:positionV relativeFrom="paragraph">
              <wp:posOffset>172906</wp:posOffset>
            </wp:positionV>
            <wp:extent cx="5723415" cy="4023169"/>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723415" cy="4023169"/>
                    </a:xfrm>
                    <a:prstGeom prst="rect">
                      <a:avLst/>
                    </a:prstGeom>
                  </pic:spPr>
                </pic:pic>
              </a:graphicData>
            </a:graphic>
          </wp:anchor>
        </w:drawing>
      </w:r>
    </w:p>
    <w:p w14:paraId="53F63B21" w14:textId="77777777" w:rsidR="005B1144" w:rsidRPr="00C208E4" w:rsidRDefault="005B1144" w:rsidP="00C208E4">
      <w:pPr>
        <w:pStyle w:val="Szvegtrzs"/>
        <w:rPr>
          <w:b/>
        </w:rPr>
      </w:pPr>
    </w:p>
    <w:p w14:paraId="4E4CF6C0" w14:textId="0BAA8791" w:rsidR="00FD4119" w:rsidRPr="00C208E4" w:rsidRDefault="0070285B" w:rsidP="00C208E4">
      <w:pPr>
        <w:pStyle w:val="Listaszerbekezds"/>
        <w:keepNext/>
        <w:numPr>
          <w:ilvl w:val="0"/>
          <w:numId w:val="10"/>
        </w:numPr>
        <w:tabs>
          <w:tab w:val="left" w:pos="897"/>
        </w:tabs>
        <w:rPr>
          <w:b/>
        </w:rPr>
      </w:pPr>
      <w:r w:rsidRPr="00C208E4">
        <w:rPr>
          <w:b/>
        </w:rPr>
        <w:t>ábra – Az MR</w:t>
      </w:r>
      <w:r w:rsidRPr="00C208E4">
        <w:rPr>
          <w:b/>
          <w:vertAlign w:val="superscript"/>
        </w:rPr>
        <w:t>4</w:t>
      </w:r>
      <w:r w:rsidRPr="00C208E4">
        <w:rPr>
          <w:b/>
        </w:rPr>
        <w:t xml:space="preserve"> kumulatív </w:t>
      </w:r>
      <w:r w:rsidR="003338EA">
        <w:rPr>
          <w:b/>
        </w:rPr>
        <w:t>incidenciája</w:t>
      </w:r>
      <w:r w:rsidRPr="00C208E4">
        <w:rPr>
          <w:b/>
        </w:rPr>
        <w:t xml:space="preserve"> (mITT populáció)</w:t>
      </w:r>
    </w:p>
    <w:p w14:paraId="53F63B23" w14:textId="5B37F1ED" w:rsidR="005B1144" w:rsidRPr="00C208E4" w:rsidRDefault="00FD4119" w:rsidP="00C208E4">
      <w:pPr>
        <w:pStyle w:val="Szvegtrzs"/>
        <w:rPr>
          <w:b/>
        </w:rPr>
      </w:pPr>
      <w:r w:rsidRPr="00C208E4">
        <w:rPr>
          <w:noProof/>
          <w:lang w:eastAsia="hu-HU"/>
        </w:rPr>
        <w:drawing>
          <wp:anchor distT="0" distB="0" distL="0" distR="0" simplePos="0" relativeHeight="487589888" behindDoc="0" locked="0" layoutInCell="1" allowOverlap="1" wp14:anchorId="39CFAB04" wp14:editId="5D1224CE">
            <wp:simplePos x="0" y="0"/>
            <wp:positionH relativeFrom="page">
              <wp:posOffset>720090</wp:posOffset>
            </wp:positionH>
            <wp:positionV relativeFrom="paragraph">
              <wp:posOffset>158115</wp:posOffset>
            </wp:positionV>
            <wp:extent cx="5631365" cy="3885056"/>
            <wp:effectExtent l="0" t="0" r="0" b="0"/>
            <wp:wrapTopAndBottom/>
            <wp:docPr id="3" name="image2.png" descr="A képen szöveg, diagram, sor, Betűtípu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A képen szöveg, diagram, sor, Betűtípus látható&#10;&#10;Automatikusan generált leírás"/>
                    <pic:cNvPicPr/>
                  </pic:nvPicPr>
                  <pic:blipFill>
                    <a:blip r:embed="rId9" cstate="print"/>
                    <a:stretch>
                      <a:fillRect/>
                    </a:stretch>
                  </pic:blipFill>
                  <pic:spPr>
                    <a:xfrm>
                      <a:off x="0" y="0"/>
                      <a:ext cx="5631365" cy="3885056"/>
                    </a:xfrm>
                    <a:prstGeom prst="rect">
                      <a:avLst/>
                    </a:prstGeom>
                  </pic:spPr>
                </pic:pic>
              </a:graphicData>
            </a:graphic>
          </wp:anchor>
        </w:drawing>
      </w:r>
    </w:p>
    <w:p w14:paraId="53F63B25" w14:textId="281F752F" w:rsidR="005B1144" w:rsidRPr="00C208E4" w:rsidRDefault="0070285B" w:rsidP="00C208E4">
      <w:pPr>
        <w:pStyle w:val="Listaszerbekezds"/>
        <w:keepNext/>
        <w:numPr>
          <w:ilvl w:val="0"/>
          <w:numId w:val="10"/>
        </w:numPr>
        <w:tabs>
          <w:tab w:val="left" w:pos="897"/>
        </w:tabs>
        <w:rPr>
          <w:b/>
        </w:rPr>
      </w:pPr>
      <w:r w:rsidRPr="00C208E4">
        <w:rPr>
          <w:b/>
        </w:rPr>
        <w:t>ábra – Az MR</w:t>
      </w:r>
      <w:r w:rsidRPr="00C208E4">
        <w:rPr>
          <w:b/>
          <w:vertAlign w:val="superscript"/>
        </w:rPr>
        <w:t>4,5</w:t>
      </w:r>
      <w:r w:rsidRPr="00C208E4">
        <w:rPr>
          <w:b/>
        </w:rPr>
        <w:t xml:space="preserve"> kumulatív </w:t>
      </w:r>
      <w:r w:rsidR="003338EA">
        <w:rPr>
          <w:b/>
        </w:rPr>
        <w:t>incidenciája</w:t>
      </w:r>
      <w:r w:rsidRPr="00C208E4">
        <w:rPr>
          <w:b/>
        </w:rPr>
        <w:t xml:space="preserve"> (mITT populáció)</w:t>
      </w:r>
    </w:p>
    <w:p w14:paraId="53F63B27" w14:textId="1CFD659F" w:rsidR="005B1144" w:rsidRPr="00C208E4" w:rsidRDefault="0070285B" w:rsidP="00C208E4">
      <w:pPr>
        <w:pStyle w:val="Szvegtrzs"/>
        <w:rPr>
          <w:b/>
        </w:rPr>
      </w:pPr>
      <w:r w:rsidRPr="00C208E4">
        <w:rPr>
          <w:noProof/>
          <w:lang w:eastAsia="hu-HU"/>
        </w:rPr>
        <w:drawing>
          <wp:anchor distT="0" distB="0" distL="0" distR="0" simplePos="0" relativeHeight="4" behindDoc="0" locked="0" layoutInCell="1" allowOverlap="1" wp14:anchorId="53F642DA" wp14:editId="53F642DB">
            <wp:simplePos x="0" y="0"/>
            <wp:positionH relativeFrom="page">
              <wp:posOffset>975722</wp:posOffset>
            </wp:positionH>
            <wp:positionV relativeFrom="paragraph">
              <wp:posOffset>176471</wp:posOffset>
            </wp:positionV>
            <wp:extent cx="5641502" cy="392049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5641502" cy="3920490"/>
                    </a:xfrm>
                    <a:prstGeom prst="rect">
                      <a:avLst/>
                    </a:prstGeom>
                  </pic:spPr>
                </pic:pic>
              </a:graphicData>
            </a:graphic>
          </wp:anchor>
        </w:drawing>
      </w:r>
    </w:p>
    <w:p w14:paraId="42103E0A" w14:textId="77777777" w:rsidR="001E7DEC" w:rsidRDefault="001E7DEC" w:rsidP="00C208E4">
      <w:pPr>
        <w:pStyle w:val="Szvegtrzs"/>
      </w:pPr>
    </w:p>
    <w:p w14:paraId="53F63B2B" w14:textId="65818B4A" w:rsidR="005B1144" w:rsidRPr="00C208E4" w:rsidRDefault="0070285B" w:rsidP="00C208E4">
      <w:pPr>
        <w:pStyle w:val="Szvegtrzs"/>
      </w:pPr>
      <w:r w:rsidRPr="00C208E4">
        <w:t xml:space="preserve">Az mITT populációban, azon betegek körében, akik elérték a CCyR-t, a válasz fenntartásának Kaplan–Meier-becslése a 4. évben 97,4% (95%-os CI: 93,9%, 98,9%) volt a bozutinib, </w:t>
      </w:r>
      <w:r w:rsidR="00601929">
        <w:t>ill.</w:t>
      </w:r>
      <w:r w:rsidRPr="00C208E4">
        <w:t xml:space="preserve"> 93,7%</w:t>
      </w:r>
      <w:r w:rsidR="00867D84" w:rsidRPr="00C208E4">
        <w:t xml:space="preserve"> </w:t>
      </w:r>
      <w:r w:rsidRPr="00C208E4">
        <w:t>(95%-os CI: 88,9%, 96,5%) volt az imatinib kezelési csoportban (HR: 0,39 [95%-os CI: 0,14; 1,13]). Azon betegek körében, akik elérték az MMR-t, a válasz fenntartásának Kaplan–Meier-becslése a</w:t>
      </w:r>
      <w:r w:rsidR="005577A4" w:rsidRPr="00C208E4">
        <w:t xml:space="preserve"> </w:t>
      </w:r>
      <w:r w:rsidRPr="00C208E4">
        <w:t xml:space="preserve">4. évben 92,2% (95%-os CI: 86,8%, 95,4%) volt a bozutinib, </w:t>
      </w:r>
      <w:r w:rsidR="00601929">
        <w:t>ill.</w:t>
      </w:r>
      <w:r w:rsidRPr="00C208E4">
        <w:t xml:space="preserve"> 92,0% (95%-os CI: 85,9%,</w:t>
      </w:r>
      <w:r w:rsidR="005577A4" w:rsidRPr="00C208E4">
        <w:t xml:space="preserve"> </w:t>
      </w:r>
      <w:r w:rsidRPr="00C208E4">
        <w:t>95,5%) volt az imatinib kezelési csoportban (HR: 1,09 [95%-os CI: 0,49; 2,44]).</w:t>
      </w:r>
    </w:p>
    <w:p w14:paraId="53F63B2C" w14:textId="77777777" w:rsidR="005B1144" w:rsidRPr="00C208E4" w:rsidRDefault="005B1144" w:rsidP="00C208E4">
      <w:pPr>
        <w:pStyle w:val="Szvegtrzs"/>
      </w:pPr>
    </w:p>
    <w:p w14:paraId="53F63B2D" w14:textId="77777777" w:rsidR="005B1144" w:rsidRPr="00C208E4" w:rsidRDefault="0070285B" w:rsidP="00C208E4">
      <w:pPr>
        <w:pStyle w:val="Szvegtrzs"/>
      </w:pPr>
      <w:r w:rsidRPr="00C208E4">
        <w:t>A 60. hónapra a bozutinibbel kezelt betegek 43,9%-ánál (95%-os CI: 37,7%, 50,1%), az imatinibbel kezelt betegek 38,6%-ánál (95%-os CI: 32,4%, 44,7%) (OR: 1,24 [95%-os CI: 0,87; 1,78]) az mITT populációban, volt tartós az MR</w:t>
      </w:r>
      <w:r w:rsidRPr="00C208E4">
        <w:rPr>
          <w:vertAlign w:val="superscript"/>
        </w:rPr>
        <w:t>4</w:t>
      </w:r>
      <w:r w:rsidRPr="00C208E4">
        <w:t xml:space="preserve"> a következő kritériumok alapján definiálva: legalább 3 évig tartó kezelés egy olyan 1 éves időszakkal, amely során minden értékelésen igazolható volt legalább az MR</w:t>
      </w:r>
      <w:r w:rsidRPr="00C208E4">
        <w:rPr>
          <w:vertAlign w:val="superscript"/>
        </w:rPr>
        <w:t>4</w:t>
      </w:r>
      <w:r w:rsidRPr="00C208E4">
        <w:t>.</w:t>
      </w:r>
    </w:p>
    <w:p w14:paraId="53F63B2E" w14:textId="77777777" w:rsidR="005B1144" w:rsidRPr="00C208E4" w:rsidRDefault="005B1144" w:rsidP="00C208E4">
      <w:pPr>
        <w:pStyle w:val="Szvegtrzs"/>
      </w:pPr>
    </w:p>
    <w:p w14:paraId="53F63B2F" w14:textId="35C9769E" w:rsidR="005B1144" w:rsidRPr="00C208E4" w:rsidRDefault="0070285B" w:rsidP="00C208E4">
      <w:pPr>
        <w:pStyle w:val="Szvegtrzs"/>
      </w:pPr>
      <w:r w:rsidRPr="00C208E4">
        <w:t xml:space="preserve">A 60. hónapban az mITT populációban, a még mindig kezelést kapó betegek körében az EFS események kumulatív </w:t>
      </w:r>
      <w:r w:rsidR="003338EA">
        <w:t>incidenciája</w:t>
      </w:r>
      <w:r w:rsidRPr="00C208E4">
        <w:t xml:space="preserve"> 6,9% (95%-os CI: 4,2%, 10,5%) volt a bozutinib kezelési karon és 10,4% (95%-os CI: 6,9%, 14,6%) volt az imatinib kezelési karon (HR: 0,64 [95%-os CI: 0,35; 1,17]).</w:t>
      </w:r>
    </w:p>
    <w:p w14:paraId="53F63B30" w14:textId="77777777" w:rsidR="005B1144" w:rsidRPr="00C208E4" w:rsidRDefault="005B1144" w:rsidP="00C208E4">
      <w:pPr>
        <w:pStyle w:val="Szvegtrzs"/>
      </w:pPr>
    </w:p>
    <w:p w14:paraId="53F63B32" w14:textId="0CD851FC" w:rsidR="005B1144" w:rsidRPr="00C208E4" w:rsidRDefault="0070285B" w:rsidP="00C208E4">
      <w:pPr>
        <w:pStyle w:val="Szvegtrzs"/>
      </w:pPr>
      <w:r w:rsidRPr="00C208E4">
        <w:t xml:space="preserve">A teljes túlélés Kaplan–Meier-becslése a 60. hónapban az mITT populációban bozutinibbel és imatinibbel kezelt betegeknél 94,9% (95%-os CI: 91,1%, 97,0%), </w:t>
      </w:r>
      <w:r w:rsidR="00601929">
        <w:t>ill.</w:t>
      </w:r>
      <w:r w:rsidRPr="00C208E4">
        <w:t xml:space="preserve"> 94,0% (95%-os CI: 90,1%,</w:t>
      </w:r>
      <w:r w:rsidR="00867D84" w:rsidRPr="00C208E4">
        <w:t xml:space="preserve"> </w:t>
      </w:r>
      <w:r w:rsidRPr="00C208E4">
        <w:t>96,4%) volt (HR: 0,80 [95%-os CI: 0,37; 1,73]).</w:t>
      </w:r>
    </w:p>
    <w:p w14:paraId="53F63B33" w14:textId="77777777" w:rsidR="005B1144" w:rsidRPr="00C208E4" w:rsidRDefault="005B1144" w:rsidP="00C208E4">
      <w:pPr>
        <w:pStyle w:val="Szvegtrzs"/>
      </w:pPr>
    </w:p>
    <w:p w14:paraId="53F63B34" w14:textId="77777777" w:rsidR="005B1144" w:rsidRPr="00C208E4" w:rsidRDefault="0070285B" w:rsidP="00C208E4">
      <w:pPr>
        <w:pStyle w:val="Szvegtrzs"/>
      </w:pPr>
      <w:r w:rsidRPr="00C208E4">
        <w:t>Az ITT populáció kiértékelhető betegeinek körében végzett retrospektív elemzés alapján a bozutinib kezelési karon több beteg (248-ból 200 [80,6%]) ért el korai molekuláris választ (BCL-ABL transzkriptumok aránya ≤ 10% a 3. hónapban) az imatinib kezelési kar betegeihez (253-ból 153 [60,5%]) képest (OR: 2,72 [95%-os CI: 1,82; 4,08]). A bozutinibbel kezelt, korai molekuláris választ mutató és nem mutató betegek 60. havi MMR és EFS eredményeinek összefoglalása a 7. táblázatban látható.</w:t>
      </w:r>
    </w:p>
    <w:p w14:paraId="55D79813" w14:textId="77777777" w:rsidR="00A1621A" w:rsidRPr="00C208E4" w:rsidRDefault="00A1621A" w:rsidP="00C208E4"/>
    <w:p w14:paraId="53F63B36" w14:textId="77777777" w:rsidR="005B1144" w:rsidRPr="00C208E4" w:rsidRDefault="0070285B" w:rsidP="00C208E4">
      <w:pPr>
        <w:pStyle w:val="Cmsor2"/>
        <w:keepNext/>
        <w:ind w:left="0"/>
      </w:pPr>
      <w:r w:rsidRPr="00C208E4">
        <w:t>7. táblázat – A 60. hónap eredményei azon bozutinibbel kezelt betegeknél, akiknél a BCR-ABL aránya vagy ≤ 10%, vagy &gt; 10% volt a 3. hónapban az ITT populációban</w:t>
      </w:r>
    </w:p>
    <w:p w14:paraId="53F63B37" w14:textId="1B5BB0EC" w:rsidR="005B1144" w:rsidRDefault="005B1144" w:rsidP="00C208E4">
      <w:pPr>
        <w:pStyle w:val="Szvegtrzs"/>
        <w:keepNext/>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6"/>
        <w:gridCol w:w="2271"/>
        <w:gridCol w:w="2271"/>
        <w:gridCol w:w="2254"/>
      </w:tblGrid>
      <w:tr w:rsidR="003338EA" w:rsidRPr="00455B18" w14:paraId="240F2E4E" w14:textId="77777777" w:rsidTr="003338EA">
        <w:tc>
          <w:tcPr>
            <w:tcW w:w="2266" w:type="dxa"/>
            <w:shd w:val="clear" w:color="auto" w:fill="auto"/>
          </w:tcPr>
          <w:p w14:paraId="3D36332B" w14:textId="77777777" w:rsidR="003338EA" w:rsidRPr="002B3C3F" w:rsidRDefault="003338EA" w:rsidP="00111B4C">
            <w:pPr>
              <w:pStyle w:val="Paragraph"/>
              <w:spacing w:after="0"/>
              <w:jc w:val="center"/>
              <w:rPr>
                <w:b/>
                <w:bCs/>
                <w:sz w:val="22"/>
                <w:szCs w:val="20"/>
              </w:rPr>
            </w:pPr>
            <w:r w:rsidRPr="002B3C3F">
              <w:rPr>
                <w:b/>
                <w:bCs/>
                <w:sz w:val="22"/>
                <w:szCs w:val="20"/>
              </w:rPr>
              <w:t>Bo</w:t>
            </w:r>
            <w:r>
              <w:rPr>
                <w:b/>
                <w:bCs/>
                <w:sz w:val="22"/>
                <w:szCs w:val="20"/>
              </w:rPr>
              <w:t>z</w:t>
            </w:r>
            <w:r w:rsidRPr="002B3C3F">
              <w:rPr>
                <w:b/>
                <w:bCs/>
                <w:sz w:val="22"/>
                <w:szCs w:val="20"/>
              </w:rPr>
              <w:t>utinib (</w:t>
            </w:r>
            <w:r>
              <w:rPr>
                <w:b/>
                <w:bCs/>
                <w:sz w:val="22"/>
                <w:szCs w:val="20"/>
              </w:rPr>
              <w:t>N </w:t>
            </w:r>
            <w:r w:rsidRPr="002B3C3F">
              <w:rPr>
                <w:b/>
                <w:bCs/>
                <w:sz w:val="22"/>
                <w:szCs w:val="20"/>
              </w:rPr>
              <w:t>=</w:t>
            </w:r>
            <w:r>
              <w:rPr>
                <w:b/>
                <w:bCs/>
                <w:sz w:val="22"/>
                <w:szCs w:val="20"/>
              </w:rPr>
              <w:t> </w:t>
            </w:r>
            <w:r w:rsidRPr="002B3C3F">
              <w:rPr>
                <w:b/>
                <w:bCs/>
                <w:sz w:val="22"/>
                <w:szCs w:val="20"/>
              </w:rPr>
              <w:t>248)</w:t>
            </w:r>
          </w:p>
        </w:tc>
        <w:tc>
          <w:tcPr>
            <w:tcW w:w="2271" w:type="dxa"/>
            <w:shd w:val="clear" w:color="auto" w:fill="auto"/>
          </w:tcPr>
          <w:p w14:paraId="6355C9D7" w14:textId="77777777" w:rsidR="003338EA" w:rsidRDefault="003338EA" w:rsidP="00111B4C">
            <w:pPr>
              <w:pStyle w:val="Paragraph"/>
              <w:spacing w:after="0"/>
              <w:jc w:val="center"/>
              <w:rPr>
                <w:b/>
                <w:bCs/>
                <w:sz w:val="22"/>
                <w:szCs w:val="20"/>
              </w:rPr>
            </w:pPr>
            <w:r>
              <w:rPr>
                <w:b/>
                <w:bCs/>
                <w:sz w:val="22"/>
                <w:szCs w:val="20"/>
              </w:rPr>
              <w:t>Betegek</w:t>
            </w:r>
            <w:r w:rsidRPr="002B3C3F">
              <w:rPr>
                <w:b/>
                <w:bCs/>
                <w:sz w:val="22"/>
                <w:szCs w:val="20"/>
              </w:rPr>
              <w:t xml:space="preserve"> ≤</w:t>
            </w:r>
            <w:r>
              <w:rPr>
                <w:b/>
                <w:bCs/>
                <w:sz w:val="22"/>
                <w:szCs w:val="20"/>
              </w:rPr>
              <w:t> </w:t>
            </w:r>
            <w:r w:rsidRPr="002B3C3F">
              <w:rPr>
                <w:b/>
                <w:bCs/>
                <w:sz w:val="22"/>
                <w:szCs w:val="20"/>
              </w:rPr>
              <w:t>10% BCR</w:t>
            </w:r>
            <w:r>
              <w:rPr>
                <w:b/>
                <w:bCs/>
                <w:sz w:val="22"/>
                <w:szCs w:val="20"/>
              </w:rPr>
              <w:noBreakHyphen/>
            </w:r>
            <w:r w:rsidRPr="002B3C3F">
              <w:rPr>
                <w:b/>
                <w:bCs/>
                <w:sz w:val="22"/>
                <w:szCs w:val="20"/>
              </w:rPr>
              <w:t>ABL</w:t>
            </w:r>
            <w:r>
              <w:rPr>
                <w:b/>
                <w:bCs/>
                <w:sz w:val="22"/>
                <w:szCs w:val="20"/>
              </w:rPr>
              <w:t xml:space="preserve"> aránnyal</w:t>
            </w:r>
            <w:r w:rsidRPr="002B3C3F">
              <w:rPr>
                <w:b/>
                <w:bCs/>
                <w:sz w:val="22"/>
                <w:szCs w:val="20"/>
              </w:rPr>
              <w:t xml:space="preserve"> </w:t>
            </w:r>
            <w:r>
              <w:rPr>
                <w:b/>
                <w:bCs/>
                <w:sz w:val="22"/>
                <w:szCs w:val="20"/>
              </w:rPr>
              <w:t>a 3. hónapban</w:t>
            </w:r>
          </w:p>
          <w:p w14:paraId="6D2D3969" w14:textId="77777777" w:rsidR="003338EA" w:rsidRPr="00DD6F70" w:rsidRDefault="003338EA" w:rsidP="00111B4C">
            <w:pPr>
              <w:pStyle w:val="Paragraph"/>
              <w:spacing w:after="0"/>
              <w:jc w:val="center"/>
              <w:rPr>
                <w:sz w:val="22"/>
                <w:szCs w:val="20"/>
              </w:rPr>
            </w:pPr>
            <w:r w:rsidRPr="00DD6F70">
              <w:rPr>
                <w:sz w:val="22"/>
                <w:szCs w:val="20"/>
              </w:rPr>
              <w:t>(N</w:t>
            </w:r>
            <w:r>
              <w:rPr>
                <w:sz w:val="22"/>
                <w:szCs w:val="20"/>
              </w:rPr>
              <w:t> </w:t>
            </w:r>
            <w:r w:rsidRPr="00DD6F70">
              <w:rPr>
                <w:sz w:val="22"/>
                <w:szCs w:val="20"/>
              </w:rPr>
              <w:t>=</w:t>
            </w:r>
            <w:r>
              <w:rPr>
                <w:sz w:val="22"/>
                <w:szCs w:val="20"/>
              </w:rPr>
              <w:t> </w:t>
            </w:r>
            <w:r w:rsidRPr="00DD6F70">
              <w:rPr>
                <w:sz w:val="22"/>
                <w:szCs w:val="20"/>
              </w:rPr>
              <w:t>200)</w:t>
            </w:r>
          </w:p>
        </w:tc>
        <w:tc>
          <w:tcPr>
            <w:tcW w:w="2271" w:type="dxa"/>
            <w:shd w:val="clear" w:color="auto" w:fill="auto"/>
          </w:tcPr>
          <w:p w14:paraId="7B005818" w14:textId="77777777" w:rsidR="003338EA" w:rsidRDefault="003338EA" w:rsidP="00111B4C">
            <w:pPr>
              <w:pStyle w:val="Paragraph"/>
              <w:spacing w:after="0"/>
              <w:jc w:val="center"/>
              <w:rPr>
                <w:b/>
                <w:bCs/>
                <w:sz w:val="22"/>
                <w:szCs w:val="20"/>
              </w:rPr>
            </w:pPr>
            <w:r>
              <w:rPr>
                <w:b/>
                <w:bCs/>
                <w:sz w:val="22"/>
                <w:szCs w:val="20"/>
              </w:rPr>
              <w:t>Betegek</w:t>
            </w:r>
            <w:r w:rsidRPr="002B3C3F">
              <w:rPr>
                <w:b/>
                <w:bCs/>
                <w:sz w:val="22"/>
                <w:szCs w:val="20"/>
              </w:rPr>
              <w:t xml:space="preserve"> &gt;</w:t>
            </w:r>
            <w:r>
              <w:rPr>
                <w:b/>
                <w:bCs/>
                <w:sz w:val="22"/>
                <w:szCs w:val="20"/>
              </w:rPr>
              <w:t> </w:t>
            </w:r>
            <w:r w:rsidRPr="002B3C3F">
              <w:rPr>
                <w:b/>
                <w:bCs/>
                <w:sz w:val="22"/>
                <w:szCs w:val="20"/>
              </w:rPr>
              <w:t>10% BCR</w:t>
            </w:r>
            <w:r>
              <w:rPr>
                <w:b/>
                <w:bCs/>
                <w:sz w:val="22"/>
                <w:szCs w:val="20"/>
              </w:rPr>
              <w:noBreakHyphen/>
            </w:r>
            <w:r w:rsidRPr="002B3C3F">
              <w:rPr>
                <w:b/>
                <w:bCs/>
                <w:sz w:val="22"/>
                <w:szCs w:val="20"/>
              </w:rPr>
              <w:t xml:space="preserve">ABL </w:t>
            </w:r>
            <w:r>
              <w:rPr>
                <w:b/>
                <w:bCs/>
                <w:sz w:val="22"/>
                <w:szCs w:val="20"/>
              </w:rPr>
              <w:t>aránnyal a 3. hónapban</w:t>
            </w:r>
          </w:p>
          <w:p w14:paraId="574080BC" w14:textId="77777777" w:rsidR="003338EA" w:rsidRPr="00DD6F70" w:rsidRDefault="003338EA" w:rsidP="00111B4C">
            <w:pPr>
              <w:pStyle w:val="Paragraph"/>
              <w:spacing w:after="0"/>
              <w:jc w:val="center"/>
              <w:rPr>
                <w:sz w:val="22"/>
                <w:szCs w:val="20"/>
              </w:rPr>
            </w:pPr>
            <w:r w:rsidRPr="00DD6F70">
              <w:rPr>
                <w:sz w:val="22"/>
                <w:szCs w:val="20"/>
              </w:rPr>
              <w:t>(N</w:t>
            </w:r>
            <w:r>
              <w:rPr>
                <w:sz w:val="22"/>
                <w:szCs w:val="20"/>
              </w:rPr>
              <w:t> </w:t>
            </w:r>
            <w:r w:rsidRPr="00DD6F70">
              <w:rPr>
                <w:sz w:val="22"/>
                <w:szCs w:val="20"/>
              </w:rPr>
              <w:t>=</w:t>
            </w:r>
            <w:r>
              <w:rPr>
                <w:sz w:val="22"/>
                <w:szCs w:val="20"/>
              </w:rPr>
              <w:t> </w:t>
            </w:r>
            <w:r w:rsidRPr="00DD6F70">
              <w:rPr>
                <w:sz w:val="22"/>
                <w:szCs w:val="20"/>
              </w:rPr>
              <w:t>48)</w:t>
            </w:r>
          </w:p>
        </w:tc>
        <w:tc>
          <w:tcPr>
            <w:tcW w:w="2254" w:type="dxa"/>
            <w:shd w:val="clear" w:color="auto" w:fill="auto"/>
          </w:tcPr>
          <w:p w14:paraId="60979B6A" w14:textId="77777777" w:rsidR="003338EA" w:rsidRPr="00712BC8" w:rsidRDefault="003338EA" w:rsidP="00111B4C">
            <w:pPr>
              <w:pStyle w:val="Paragraph"/>
              <w:spacing w:after="0"/>
              <w:jc w:val="center"/>
              <w:rPr>
                <w:b/>
                <w:bCs/>
                <w:sz w:val="22"/>
                <w:szCs w:val="20"/>
                <w:lang w:val="es-ES"/>
              </w:rPr>
            </w:pPr>
            <w:r w:rsidRPr="00712BC8">
              <w:rPr>
                <w:b/>
                <w:bCs/>
                <w:sz w:val="22"/>
                <w:szCs w:val="20"/>
                <w:lang w:val="es-ES"/>
              </w:rPr>
              <w:t>Relatív hazárd</w:t>
            </w:r>
          </w:p>
          <w:p w14:paraId="333219A9" w14:textId="77777777" w:rsidR="003338EA" w:rsidRPr="00712BC8" w:rsidRDefault="003338EA" w:rsidP="00111B4C">
            <w:pPr>
              <w:pStyle w:val="Paragraph"/>
              <w:spacing w:after="0"/>
              <w:jc w:val="center"/>
              <w:rPr>
                <w:b/>
                <w:bCs/>
                <w:sz w:val="22"/>
                <w:szCs w:val="20"/>
                <w:lang w:val="es-ES"/>
              </w:rPr>
            </w:pPr>
            <w:r w:rsidRPr="00712BC8">
              <w:rPr>
                <w:b/>
                <w:bCs/>
                <w:sz w:val="22"/>
                <w:szCs w:val="20"/>
                <w:lang w:val="es-ES"/>
              </w:rPr>
              <w:t>(95%-os CI)</w:t>
            </w:r>
            <w:r w:rsidRPr="00FB423C">
              <w:rPr>
                <w:b/>
                <w:bCs/>
                <w:vertAlign w:val="superscript"/>
                <w:lang w:val="es-ES"/>
              </w:rPr>
              <w:t>a</w:t>
            </w:r>
          </w:p>
        </w:tc>
      </w:tr>
      <w:tr w:rsidR="003338EA" w:rsidRPr="006123F9" w14:paraId="68F01B46" w14:textId="77777777" w:rsidTr="003338EA">
        <w:tc>
          <w:tcPr>
            <w:tcW w:w="2266" w:type="dxa"/>
            <w:shd w:val="clear" w:color="auto" w:fill="auto"/>
          </w:tcPr>
          <w:p w14:paraId="75702BDE" w14:textId="5D5417A0" w:rsidR="003338EA" w:rsidRPr="00712BC8" w:rsidRDefault="003338EA" w:rsidP="003338EA">
            <w:pPr>
              <w:pStyle w:val="Paragraph"/>
              <w:spacing w:after="0"/>
              <w:rPr>
                <w:sz w:val="22"/>
                <w:szCs w:val="20"/>
                <w:lang w:val="es-ES"/>
              </w:rPr>
            </w:pPr>
            <w:r w:rsidRPr="00712BC8">
              <w:rPr>
                <w:sz w:val="22"/>
                <w:szCs w:val="20"/>
                <w:lang w:val="es-ES"/>
              </w:rPr>
              <w:t xml:space="preserve">MMR kumulatív </w:t>
            </w:r>
            <w:r>
              <w:rPr>
                <w:sz w:val="22"/>
                <w:szCs w:val="20"/>
                <w:lang w:val="es-ES"/>
              </w:rPr>
              <w:t>incidenciája</w:t>
            </w:r>
            <w:r w:rsidRPr="00712BC8">
              <w:rPr>
                <w:sz w:val="22"/>
                <w:szCs w:val="20"/>
                <w:lang w:val="es-ES"/>
              </w:rPr>
              <w:t xml:space="preserve"> %, </w:t>
            </w:r>
            <w:r>
              <w:rPr>
                <w:sz w:val="22"/>
                <w:szCs w:val="20"/>
                <w:lang w:val="es-ES"/>
              </w:rPr>
              <w:t>(</w:t>
            </w:r>
            <w:r w:rsidRPr="00712BC8">
              <w:rPr>
                <w:sz w:val="22"/>
                <w:szCs w:val="20"/>
                <w:lang w:val="es-ES"/>
              </w:rPr>
              <w:t>95%-os CI)</w:t>
            </w:r>
          </w:p>
        </w:tc>
        <w:tc>
          <w:tcPr>
            <w:tcW w:w="2271" w:type="dxa"/>
            <w:shd w:val="clear" w:color="auto" w:fill="auto"/>
          </w:tcPr>
          <w:p w14:paraId="6B4FD311" w14:textId="77777777" w:rsidR="003338EA" w:rsidRPr="006123F9" w:rsidRDefault="003338EA" w:rsidP="00111B4C">
            <w:pPr>
              <w:pStyle w:val="Paragraph"/>
              <w:spacing w:after="0"/>
              <w:jc w:val="center"/>
              <w:rPr>
                <w:sz w:val="22"/>
                <w:szCs w:val="20"/>
              </w:rPr>
            </w:pPr>
            <w:r w:rsidRPr="006123F9">
              <w:rPr>
                <w:sz w:val="22"/>
                <w:szCs w:val="20"/>
              </w:rPr>
              <w:t>84</w:t>
            </w:r>
            <w:r>
              <w:rPr>
                <w:sz w:val="22"/>
                <w:szCs w:val="20"/>
              </w:rPr>
              <w:t>,</w:t>
            </w:r>
            <w:r w:rsidRPr="006123F9">
              <w:rPr>
                <w:sz w:val="22"/>
                <w:szCs w:val="20"/>
              </w:rPr>
              <w:t>0 (78</w:t>
            </w:r>
            <w:r>
              <w:rPr>
                <w:sz w:val="22"/>
                <w:szCs w:val="20"/>
              </w:rPr>
              <w:t>,</w:t>
            </w:r>
            <w:r w:rsidRPr="006123F9">
              <w:rPr>
                <w:sz w:val="22"/>
                <w:szCs w:val="20"/>
              </w:rPr>
              <w:t>1</w:t>
            </w:r>
            <w:r>
              <w:rPr>
                <w:sz w:val="22"/>
                <w:szCs w:val="20"/>
              </w:rPr>
              <w:t xml:space="preserve">; </w:t>
            </w:r>
            <w:r w:rsidRPr="006123F9">
              <w:rPr>
                <w:sz w:val="22"/>
                <w:szCs w:val="20"/>
              </w:rPr>
              <w:t>88</w:t>
            </w:r>
            <w:r>
              <w:rPr>
                <w:sz w:val="22"/>
                <w:szCs w:val="20"/>
              </w:rPr>
              <w:t>,</w:t>
            </w:r>
            <w:r w:rsidRPr="006123F9">
              <w:rPr>
                <w:sz w:val="22"/>
                <w:szCs w:val="20"/>
              </w:rPr>
              <w:t>4)</w:t>
            </w:r>
          </w:p>
        </w:tc>
        <w:tc>
          <w:tcPr>
            <w:tcW w:w="2271" w:type="dxa"/>
            <w:shd w:val="clear" w:color="auto" w:fill="auto"/>
          </w:tcPr>
          <w:p w14:paraId="706110E9" w14:textId="77777777" w:rsidR="003338EA" w:rsidRPr="006123F9" w:rsidRDefault="003338EA" w:rsidP="00111B4C">
            <w:pPr>
              <w:pStyle w:val="Paragraph"/>
              <w:spacing w:after="0"/>
              <w:jc w:val="center"/>
              <w:rPr>
                <w:sz w:val="22"/>
                <w:szCs w:val="20"/>
              </w:rPr>
            </w:pPr>
            <w:r w:rsidRPr="006123F9">
              <w:rPr>
                <w:sz w:val="22"/>
                <w:szCs w:val="20"/>
              </w:rPr>
              <w:t>56</w:t>
            </w:r>
            <w:r>
              <w:rPr>
                <w:sz w:val="22"/>
                <w:szCs w:val="20"/>
              </w:rPr>
              <w:t>,</w:t>
            </w:r>
            <w:r w:rsidRPr="006123F9">
              <w:rPr>
                <w:sz w:val="22"/>
                <w:szCs w:val="20"/>
              </w:rPr>
              <w:t>5 (41</w:t>
            </w:r>
            <w:r>
              <w:rPr>
                <w:sz w:val="22"/>
                <w:szCs w:val="20"/>
              </w:rPr>
              <w:t>,</w:t>
            </w:r>
            <w:r w:rsidRPr="006123F9">
              <w:rPr>
                <w:sz w:val="22"/>
                <w:szCs w:val="20"/>
              </w:rPr>
              <w:t>1</w:t>
            </w:r>
            <w:r>
              <w:rPr>
                <w:sz w:val="22"/>
                <w:szCs w:val="20"/>
              </w:rPr>
              <w:t xml:space="preserve">; </w:t>
            </w:r>
            <w:r w:rsidRPr="006123F9">
              <w:rPr>
                <w:sz w:val="22"/>
                <w:szCs w:val="20"/>
              </w:rPr>
              <w:t>69</w:t>
            </w:r>
            <w:r>
              <w:rPr>
                <w:sz w:val="22"/>
                <w:szCs w:val="20"/>
              </w:rPr>
              <w:t>,</w:t>
            </w:r>
            <w:r w:rsidRPr="006123F9">
              <w:rPr>
                <w:sz w:val="22"/>
                <w:szCs w:val="20"/>
              </w:rPr>
              <w:t>4)</w:t>
            </w:r>
          </w:p>
        </w:tc>
        <w:tc>
          <w:tcPr>
            <w:tcW w:w="2254" w:type="dxa"/>
            <w:shd w:val="clear" w:color="auto" w:fill="auto"/>
          </w:tcPr>
          <w:p w14:paraId="56D29D79" w14:textId="77777777" w:rsidR="003338EA" w:rsidRPr="006123F9" w:rsidRDefault="003338EA" w:rsidP="00111B4C">
            <w:pPr>
              <w:pStyle w:val="Paragraph"/>
              <w:spacing w:after="0"/>
              <w:jc w:val="center"/>
              <w:rPr>
                <w:sz w:val="22"/>
                <w:szCs w:val="20"/>
              </w:rPr>
            </w:pPr>
            <w:r w:rsidRPr="006123F9">
              <w:rPr>
                <w:sz w:val="22"/>
                <w:szCs w:val="20"/>
              </w:rPr>
              <w:t>2</w:t>
            </w:r>
            <w:r>
              <w:rPr>
                <w:sz w:val="22"/>
                <w:szCs w:val="20"/>
              </w:rPr>
              <w:t>,</w:t>
            </w:r>
            <w:r w:rsidRPr="006123F9">
              <w:rPr>
                <w:sz w:val="22"/>
                <w:szCs w:val="20"/>
              </w:rPr>
              <w:t>67 (1</w:t>
            </w:r>
            <w:r>
              <w:rPr>
                <w:sz w:val="22"/>
                <w:szCs w:val="20"/>
              </w:rPr>
              <w:t>,</w:t>
            </w:r>
            <w:r w:rsidRPr="006123F9">
              <w:rPr>
                <w:sz w:val="22"/>
                <w:szCs w:val="20"/>
              </w:rPr>
              <w:t>90</w:t>
            </w:r>
            <w:r>
              <w:rPr>
                <w:sz w:val="22"/>
                <w:szCs w:val="20"/>
              </w:rPr>
              <w:t xml:space="preserve">; </w:t>
            </w:r>
            <w:r w:rsidRPr="006123F9">
              <w:rPr>
                <w:sz w:val="22"/>
                <w:szCs w:val="20"/>
              </w:rPr>
              <w:t>3</w:t>
            </w:r>
            <w:r>
              <w:rPr>
                <w:sz w:val="22"/>
                <w:szCs w:val="20"/>
              </w:rPr>
              <w:t>,</w:t>
            </w:r>
            <w:r w:rsidRPr="006123F9">
              <w:rPr>
                <w:sz w:val="22"/>
                <w:szCs w:val="20"/>
              </w:rPr>
              <w:t>75)</w:t>
            </w:r>
          </w:p>
        </w:tc>
      </w:tr>
      <w:tr w:rsidR="003338EA" w:rsidRPr="006123F9" w14:paraId="2D949DCC" w14:textId="77777777" w:rsidTr="003338EA">
        <w:tc>
          <w:tcPr>
            <w:tcW w:w="2266" w:type="dxa"/>
            <w:shd w:val="clear" w:color="auto" w:fill="auto"/>
          </w:tcPr>
          <w:p w14:paraId="5E5330FB" w14:textId="6065AA99" w:rsidR="003338EA" w:rsidRPr="0030598E" w:rsidRDefault="003338EA" w:rsidP="00111B4C">
            <w:pPr>
              <w:pStyle w:val="Paragraph"/>
              <w:spacing w:after="0"/>
              <w:rPr>
                <w:sz w:val="22"/>
                <w:szCs w:val="20"/>
                <w:lang w:val="hu-HU"/>
              </w:rPr>
            </w:pPr>
            <w:r w:rsidRPr="0030598E">
              <w:rPr>
                <w:sz w:val="22"/>
                <w:szCs w:val="20"/>
                <w:lang w:val="hu-HU"/>
              </w:rPr>
              <w:t xml:space="preserve">EFS események kumulatív </w:t>
            </w:r>
            <w:r>
              <w:rPr>
                <w:sz w:val="22"/>
                <w:szCs w:val="20"/>
                <w:lang w:val="es-ES"/>
              </w:rPr>
              <w:t>incidenciája</w:t>
            </w:r>
            <w:r w:rsidRPr="0030598E">
              <w:rPr>
                <w:sz w:val="22"/>
                <w:szCs w:val="20"/>
                <w:lang w:val="hu-HU"/>
              </w:rPr>
              <w:t xml:space="preserve"> %, (95%-os CI)</w:t>
            </w:r>
          </w:p>
        </w:tc>
        <w:tc>
          <w:tcPr>
            <w:tcW w:w="2271" w:type="dxa"/>
            <w:shd w:val="clear" w:color="auto" w:fill="auto"/>
          </w:tcPr>
          <w:p w14:paraId="388B043F" w14:textId="77777777" w:rsidR="003338EA" w:rsidRPr="006123F9" w:rsidRDefault="003338EA" w:rsidP="00111B4C">
            <w:pPr>
              <w:pStyle w:val="Paragraph"/>
              <w:spacing w:after="0"/>
              <w:jc w:val="center"/>
              <w:rPr>
                <w:sz w:val="22"/>
                <w:szCs w:val="20"/>
              </w:rPr>
            </w:pPr>
            <w:r w:rsidRPr="006123F9">
              <w:rPr>
                <w:sz w:val="22"/>
                <w:szCs w:val="20"/>
              </w:rPr>
              <w:t>5</w:t>
            </w:r>
            <w:r>
              <w:rPr>
                <w:sz w:val="22"/>
                <w:szCs w:val="20"/>
              </w:rPr>
              <w:t>,</w:t>
            </w:r>
            <w:r w:rsidRPr="006123F9">
              <w:rPr>
                <w:sz w:val="22"/>
                <w:szCs w:val="20"/>
              </w:rPr>
              <w:t>5 (2</w:t>
            </w:r>
            <w:r>
              <w:rPr>
                <w:sz w:val="22"/>
                <w:szCs w:val="20"/>
              </w:rPr>
              <w:t>,</w:t>
            </w:r>
            <w:r w:rsidRPr="006123F9">
              <w:rPr>
                <w:sz w:val="22"/>
                <w:szCs w:val="20"/>
              </w:rPr>
              <w:t>9</w:t>
            </w:r>
            <w:r>
              <w:rPr>
                <w:sz w:val="22"/>
                <w:szCs w:val="20"/>
              </w:rPr>
              <w:t xml:space="preserve">; </w:t>
            </w:r>
            <w:r w:rsidRPr="006123F9">
              <w:rPr>
                <w:sz w:val="22"/>
                <w:szCs w:val="20"/>
              </w:rPr>
              <w:t>9</w:t>
            </w:r>
            <w:r>
              <w:rPr>
                <w:sz w:val="22"/>
                <w:szCs w:val="20"/>
              </w:rPr>
              <w:t>,</w:t>
            </w:r>
            <w:r w:rsidRPr="006123F9">
              <w:rPr>
                <w:sz w:val="22"/>
                <w:szCs w:val="20"/>
              </w:rPr>
              <w:t>3)</w:t>
            </w:r>
          </w:p>
        </w:tc>
        <w:tc>
          <w:tcPr>
            <w:tcW w:w="2271" w:type="dxa"/>
            <w:shd w:val="clear" w:color="auto" w:fill="auto"/>
          </w:tcPr>
          <w:p w14:paraId="482EB06A" w14:textId="77777777" w:rsidR="003338EA" w:rsidRPr="006123F9" w:rsidRDefault="003338EA" w:rsidP="00111B4C">
            <w:pPr>
              <w:pStyle w:val="Paragraph"/>
              <w:spacing w:after="0"/>
              <w:jc w:val="center"/>
              <w:rPr>
                <w:sz w:val="22"/>
                <w:szCs w:val="20"/>
              </w:rPr>
            </w:pPr>
            <w:r w:rsidRPr="006123F9">
              <w:rPr>
                <w:sz w:val="22"/>
                <w:szCs w:val="20"/>
              </w:rPr>
              <w:t>12</w:t>
            </w:r>
            <w:r>
              <w:rPr>
                <w:sz w:val="22"/>
                <w:szCs w:val="20"/>
              </w:rPr>
              <w:t>,</w:t>
            </w:r>
            <w:r w:rsidRPr="006123F9">
              <w:rPr>
                <w:sz w:val="22"/>
                <w:szCs w:val="20"/>
              </w:rPr>
              <w:t>5 (5</w:t>
            </w:r>
            <w:r>
              <w:rPr>
                <w:sz w:val="22"/>
                <w:szCs w:val="20"/>
              </w:rPr>
              <w:t>,</w:t>
            </w:r>
            <w:r w:rsidRPr="006123F9">
              <w:rPr>
                <w:sz w:val="22"/>
                <w:szCs w:val="20"/>
              </w:rPr>
              <w:t>1</w:t>
            </w:r>
            <w:r>
              <w:rPr>
                <w:sz w:val="22"/>
                <w:szCs w:val="20"/>
              </w:rPr>
              <w:t xml:space="preserve">; </w:t>
            </w:r>
            <w:r w:rsidRPr="006123F9">
              <w:rPr>
                <w:sz w:val="22"/>
                <w:szCs w:val="20"/>
              </w:rPr>
              <w:t>23</w:t>
            </w:r>
            <w:r>
              <w:rPr>
                <w:sz w:val="22"/>
                <w:szCs w:val="20"/>
              </w:rPr>
              <w:t>,</w:t>
            </w:r>
            <w:r w:rsidRPr="006123F9">
              <w:rPr>
                <w:sz w:val="22"/>
                <w:szCs w:val="20"/>
              </w:rPr>
              <w:t>4)</w:t>
            </w:r>
          </w:p>
        </w:tc>
        <w:tc>
          <w:tcPr>
            <w:tcW w:w="2254" w:type="dxa"/>
            <w:shd w:val="clear" w:color="auto" w:fill="auto"/>
          </w:tcPr>
          <w:p w14:paraId="4232AFF2" w14:textId="77777777" w:rsidR="003338EA" w:rsidRPr="006123F9" w:rsidRDefault="003338EA" w:rsidP="00111B4C">
            <w:pPr>
              <w:pStyle w:val="Paragraph"/>
              <w:spacing w:after="0"/>
              <w:jc w:val="center"/>
              <w:rPr>
                <w:sz w:val="22"/>
                <w:szCs w:val="20"/>
              </w:rPr>
            </w:pPr>
            <w:r w:rsidRPr="006123F9">
              <w:rPr>
                <w:sz w:val="22"/>
                <w:szCs w:val="20"/>
              </w:rPr>
              <w:t>0</w:t>
            </w:r>
            <w:r>
              <w:rPr>
                <w:sz w:val="22"/>
                <w:szCs w:val="20"/>
              </w:rPr>
              <w:t>,</w:t>
            </w:r>
            <w:r w:rsidRPr="006123F9">
              <w:rPr>
                <w:sz w:val="22"/>
                <w:szCs w:val="20"/>
              </w:rPr>
              <w:t>40 (0</w:t>
            </w:r>
            <w:r>
              <w:rPr>
                <w:sz w:val="22"/>
                <w:szCs w:val="20"/>
              </w:rPr>
              <w:t>,</w:t>
            </w:r>
            <w:r w:rsidRPr="006123F9">
              <w:rPr>
                <w:sz w:val="22"/>
                <w:szCs w:val="20"/>
              </w:rPr>
              <w:t>14</w:t>
            </w:r>
            <w:r>
              <w:rPr>
                <w:sz w:val="22"/>
                <w:szCs w:val="20"/>
              </w:rPr>
              <w:t xml:space="preserve">; </w:t>
            </w:r>
            <w:r w:rsidRPr="006123F9">
              <w:rPr>
                <w:sz w:val="22"/>
                <w:szCs w:val="20"/>
              </w:rPr>
              <w:t>1</w:t>
            </w:r>
            <w:r>
              <w:rPr>
                <w:sz w:val="22"/>
                <w:szCs w:val="20"/>
              </w:rPr>
              <w:t>,</w:t>
            </w:r>
            <w:r w:rsidRPr="006123F9">
              <w:rPr>
                <w:sz w:val="22"/>
                <w:szCs w:val="20"/>
              </w:rPr>
              <w:t>17)</w:t>
            </w:r>
          </w:p>
        </w:tc>
      </w:tr>
    </w:tbl>
    <w:p w14:paraId="53F63B4D" w14:textId="61CDE811" w:rsidR="005B1144" w:rsidRPr="0030598E" w:rsidRDefault="0070285B" w:rsidP="00C208E4">
      <w:pPr>
        <w:rPr>
          <w:sz w:val="20"/>
        </w:rPr>
      </w:pPr>
      <w:r w:rsidRPr="0030598E">
        <w:rPr>
          <w:sz w:val="20"/>
        </w:rPr>
        <w:t xml:space="preserve">Rövidítések: BCR-ABL = töréspont klaszterrégió-Abelson; CI = konfidenciaintervallum; ITT = </w:t>
      </w:r>
      <w:r w:rsidR="001E2C16" w:rsidRPr="0030598E">
        <w:rPr>
          <w:sz w:val="20"/>
        </w:rPr>
        <w:t>beválasztás szerinti</w:t>
      </w:r>
      <w:r w:rsidRPr="0030598E">
        <w:rPr>
          <w:sz w:val="20"/>
        </w:rPr>
        <w:t>; MMR = major molekuláris válasz; EFS = eseménymentes túlélés; N = alanyok száma legalább 3000 ABL-transzkriptummal a 3. hónapban.</w:t>
      </w:r>
    </w:p>
    <w:p w14:paraId="53F63B4E" w14:textId="77777777" w:rsidR="005B1144" w:rsidRPr="0030598E" w:rsidRDefault="0070285B" w:rsidP="00C208E4">
      <w:pPr>
        <w:rPr>
          <w:sz w:val="20"/>
        </w:rPr>
      </w:pPr>
      <w:r w:rsidRPr="0030598E">
        <w:rPr>
          <w:sz w:val="20"/>
          <w:vertAlign w:val="superscript"/>
        </w:rPr>
        <w:t>a</w:t>
      </w:r>
      <w:r w:rsidRPr="0030598E">
        <w:rPr>
          <w:sz w:val="20"/>
        </w:rPr>
        <w:t xml:space="preserve"> A randomizáláskor földrajzi régió és Sokal-pontszám szerint korrigálva.</w:t>
      </w:r>
    </w:p>
    <w:p w14:paraId="53F63B4F" w14:textId="77777777" w:rsidR="005B1144" w:rsidRPr="00C208E4" w:rsidRDefault="005B1144" w:rsidP="00C208E4">
      <w:pPr>
        <w:pStyle w:val="Szvegtrzs"/>
      </w:pPr>
    </w:p>
    <w:p w14:paraId="53F63B50" w14:textId="77777777" w:rsidR="005B1144" w:rsidRPr="00C208E4" w:rsidRDefault="0070285B" w:rsidP="00C208E4">
      <w:pPr>
        <w:pStyle w:val="Szvegtrzs"/>
      </w:pPr>
      <w:r w:rsidRPr="00C208E4">
        <w:t>Az mITT populációban a bozutinib kezelési csoportban kevesebb betegnél (6 [2,4%] a bozutinib és 12 [5,0%] az imatinib esetén) volt kimutatható újonnan detektálható mutáció a 60. hónapban.</w:t>
      </w:r>
    </w:p>
    <w:p w14:paraId="53F63B51" w14:textId="77777777" w:rsidR="005B1144" w:rsidRPr="00C208E4" w:rsidRDefault="005B1144" w:rsidP="00C208E4">
      <w:pPr>
        <w:pStyle w:val="Szvegtrzs"/>
      </w:pPr>
    </w:p>
    <w:p w14:paraId="668D967C" w14:textId="77777777" w:rsidR="000119A7" w:rsidRPr="00C208E4" w:rsidRDefault="0070285B" w:rsidP="00C208E4">
      <w:pPr>
        <w:rPr>
          <w:i/>
        </w:rPr>
      </w:pPr>
      <w:r w:rsidRPr="00C208E4">
        <w:rPr>
          <w:i/>
        </w:rPr>
        <w:t xml:space="preserve">I/II. fázisú klinikai vizsgálat imatinib-rezisztens vagy -intoleráns CML-ben CP, AP és BP során </w:t>
      </w:r>
      <w:r w:rsidR="00D4584D" w:rsidRPr="00C208E4">
        <w:rPr>
          <w:i/>
        </w:rPr>
        <w:t xml:space="preserve"> </w:t>
      </w:r>
    </w:p>
    <w:p w14:paraId="53F63B54" w14:textId="334CC4DE" w:rsidR="005B1144" w:rsidRPr="00C208E4" w:rsidRDefault="0070285B" w:rsidP="00C208E4">
      <w:r w:rsidRPr="00C208E4">
        <w:t>Egy egykaros, I./II. fázisú, nyílt elrendezésű, multicentrumos vizsgálatot végeztek a napi egyszeri 500</w:t>
      </w:r>
      <w:r w:rsidR="003E4027">
        <w:t> </w:t>
      </w:r>
      <w:r w:rsidRPr="00C208E4">
        <w:t>mg bozutinib hatásosságának és biztonságosságának értékelésére olyan imatinib-rezisztens vagy -intoleráns, CML-ben szenvedő betegek krónikus, akcelerált és blasztos fázisú betegségben</w:t>
      </w:r>
      <w:r w:rsidR="00867D84" w:rsidRPr="00C208E4">
        <w:t xml:space="preserve"> </w:t>
      </w:r>
      <w:r w:rsidRPr="00C208E4">
        <w:t>szenvedők különálló kohorszában, akiket előzőleg egy tirozin-kináz gátóval (tyrosine kinase inhibitor</w:t>
      </w:r>
      <w:r w:rsidR="00867D84" w:rsidRPr="00C208E4">
        <w:t xml:space="preserve"> </w:t>
      </w:r>
      <w:r w:rsidRPr="00C208E4">
        <w:t>– TKI) (imatinib) vagy egynél több TKI-vel (imatinib, utána dazatinib és/vagy nilotinib) kezeltek.</w:t>
      </w:r>
    </w:p>
    <w:p w14:paraId="53F63B55" w14:textId="77777777" w:rsidR="005B1144" w:rsidRPr="00C208E4" w:rsidRDefault="005B1144" w:rsidP="00C208E4">
      <w:pPr>
        <w:pStyle w:val="Szvegtrzs"/>
      </w:pPr>
    </w:p>
    <w:p w14:paraId="53F63B56" w14:textId="232959AF" w:rsidR="005B1144" w:rsidRPr="00C208E4" w:rsidRDefault="0070285B" w:rsidP="00C208E4">
      <w:pPr>
        <w:pStyle w:val="Szvegtrzs"/>
      </w:pPr>
      <w:r w:rsidRPr="00C208E4">
        <w:t>Ebben a vizsgálatban 570, bozutinibbel kezelt beteg vett részt, beleértve az előzetesen csak egyetlen TKI-vel (imatinib) kezelt CP CML betegeket, az előzetesen imatinibbel és legalább 1 további TKI-vel (dazatinib és/vagy nilotinib) kezelt CP CML betegeket, az előzetesen legalább egy TKI-vel (imatinib) kezelt, akcelerált vagy blasztos fázisú CML betegeket és az előzetesen legalább egy TKI-vel (imatinib) kezelt betegeket, valamint az előzetesen legalább egy TKI-vel (imatinib) kezelt Ph+ ALL betegeket.</w:t>
      </w:r>
    </w:p>
    <w:p w14:paraId="53F63B57" w14:textId="77777777" w:rsidR="005B1144" w:rsidRPr="00C208E4" w:rsidRDefault="005B1144" w:rsidP="00C208E4">
      <w:pPr>
        <w:pStyle w:val="Szvegtrzs"/>
      </w:pPr>
    </w:p>
    <w:p w14:paraId="53F63B58" w14:textId="77777777" w:rsidR="005B1144" w:rsidRPr="00C208E4" w:rsidRDefault="0070285B" w:rsidP="00C208E4">
      <w:pPr>
        <w:pStyle w:val="Szvegtrzs"/>
      </w:pPr>
      <w:r w:rsidRPr="00C208E4">
        <w:t>A vizsgálat primer hatásossági végpontja a 24. héten megfigyelt major citogenetikai válaszarány (major cytogenetic response rate – MCyR-ráta) volt a korábban csak egy TKI-vel (imatinib) kezelt imatinib-rezisztens CP CML-betegeknél. Az egyéb hatásossági végpontok magukban foglalják a kumulatív citogenetikai és molekuláris válaszarányokat, a citogenetikai és molekuláris válaszokig eltelt időt és a válaszok időtartamát, a kiindulási mutációk válaszait, az AP-be/BP-be való transzformációt, a progressziómentes túlélést és az OS-t az összes kohorszra.</w:t>
      </w:r>
    </w:p>
    <w:p w14:paraId="53F63B59" w14:textId="77777777" w:rsidR="005B1144" w:rsidRPr="00C208E4" w:rsidRDefault="005B1144" w:rsidP="00C208E4">
      <w:pPr>
        <w:pStyle w:val="Szvegtrzs"/>
      </w:pPr>
    </w:p>
    <w:p w14:paraId="53F63B5A" w14:textId="49D74F86" w:rsidR="005B1144" w:rsidRPr="00C208E4" w:rsidRDefault="0070285B" w:rsidP="00C208E4">
      <w:pPr>
        <w:pStyle w:val="Szvegtrzs"/>
      </w:pPr>
      <w:r w:rsidRPr="00C208E4">
        <w:t>Azon betegek voltak bevonhatók a kiterjesztett vizsgálatba, akik az I/II. fázisú vizsgálat végén még mindig kapták a bozutinibet, és akiknél a vizsgáló véleménye szerint a bozutinib-kezelés előnyös volt; valamint azon betegek, akik az I/II. fázisú vizsgálat részeként abbahagyták a bozutinib</w:t>
      </w:r>
      <w:r w:rsidR="003338EA">
        <w:t xml:space="preserve"> alkalmazásá</w:t>
      </w:r>
      <w:r w:rsidRPr="00C208E4">
        <w:t xml:space="preserve">t és hosszú távú, a túlélést vizsgáló utánkövetésben vettek részt; </w:t>
      </w:r>
      <w:r w:rsidR="00601929">
        <w:t>ill.</w:t>
      </w:r>
      <w:r w:rsidRPr="00C208E4">
        <w:t xml:space="preserve"> akik teljesítették az I/II. fázisú vizsgálatot. A bozutinib-kezelésben részesülő, valamint a hosszú távú túlélést vizsgáló utánkövetésben részt vevő összes beteg részt vett a kiterjesztett vizsgálatban, amíg az utolsó beteg is elérte a bozutinib első dózisának az I/II. fázisú vizsgálatban történt beadásától számított 10 éves utánkövetést.</w:t>
      </w:r>
    </w:p>
    <w:p w14:paraId="53F63B5B" w14:textId="77777777" w:rsidR="005B1144" w:rsidRPr="00C208E4" w:rsidRDefault="005B1144" w:rsidP="00C208E4">
      <w:pPr>
        <w:pStyle w:val="Szvegtrzs"/>
      </w:pPr>
    </w:p>
    <w:p w14:paraId="53F63B5C" w14:textId="3E459257" w:rsidR="005B1144" w:rsidRPr="00C208E4" w:rsidRDefault="0070285B" w:rsidP="00C208E4">
      <w:pPr>
        <w:pStyle w:val="Szvegtrzs"/>
      </w:pPr>
      <w:r w:rsidRPr="00C208E4">
        <w:t>A kiterjesztett vizsgálat hatásossági végpontjai magukba</w:t>
      </w:r>
      <w:r w:rsidR="00CE2DD1">
        <w:t>n</w:t>
      </w:r>
      <w:r w:rsidRPr="00C208E4">
        <w:t xml:space="preserve"> foglalták a citogenetikai és molekuláris válaszok időtartamát, az AP-be/BP-be való transzformációt, a progressziómentes túlélést és az OS-t.</w:t>
      </w:r>
    </w:p>
    <w:p w14:paraId="53F63B5D" w14:textId="77777777" w:rsidR="005B1144" w:rsidRPr="00C208E4" w:rsidRDefault="005B1144" w:rsidP="00C208E4">
      <w:pPr>
        <w:pStyle w:val="Szvegtrzs"/>
      </w:pPr>
    </w:p>
    <w:p w14:paraId="53F63B5E" w14:textId="77777777" w:rsidR="005B1144" w:rsidRPr="00C208E4" w:rsidRDefault="0070285B" w:rsidP="00C208E4">
      <w:pPr>
        <w:pStyle w:val="Szvegtrzs"/>
      </w:pPr>
      <w:r w:rsidRPr="00C208E4">
        <w:t>A hatásossági elemzések adatai ebből a befejezett kiterjesztett vizsgálatból származtak.</w:t>
      </w:r>
    </w:p>
    <w:p w14:paraId="79731C4C" w14:textId="77777777" w:rsidR="00867D84" w:rsidRPr="00C208E4" w:rsidRDefault="00867D84" w:rsidP="00C208E4">
      <w:pPr>
        <w:rPr>
          <w:i/>
        </w:rPr>
      </w:pPr>
    </w:p>
    <w:p w14:paraId="0DB969C3" w14:textId="77777777" w:rsidR="00D4584D" w:rsidRPr="00C208E4" w:rsidRDefault="0070285B" w:rsidP="00C208E4">
      <w:pPr>
        <w:rPr>
          <w:i/>
        </w:rPr>
      </w:pPr>
      <w:r w:rsidRPr="00C208E4">
        <w:rPr>
          <w:i/>
        </w:rPr>
        <w:t>CP CML-es betegek</w:t>
      </w:r>
    </w:p>
    <w:p w14:paraId="53F63B63" w14:textId="37B1B52C" w:rsidR="005B1144" w:rsidRPr="00C208E4" w:rsidRDefault="0070285B" w:rsidP="00C208E4">
      <w:pPr>
        <w:rPr>
          <w:i/>
        </w:rPr>
      </w:pPr>
      <w:r w:rsidRPr="00C208E4">
        <w:t xml:space="preserve">A korábban imatinibbel és legalább 1 további TKI-vel (legrövidebb követési időtartam 120 hónap, a kezelés időtartamának </w:t>
      </w:r>
      <w:r w:rsidR="006201B6">
        <w:t>mediánja</w:t>
      </w:r>
      <w:r w:rsidRPr="00C208E4">
        <w:t xml:space="preserve"> 9 hónap (tartomány: 0,23–164,28 hónap) és a 60. hónapban 20,2%, a 120. hónapban 7,6% még mindig kezelést kap) kezelt Ph+ CP CML-betegek hatásossági eredményeit és az előzetesen csak imatinibbel (legrövidebb követési időtartam 120 hónap, a kezelés időtartamának </w:t>
      </w:r>
      <w:r w:rsidR="006201B6">
        <w:t>mediánja</w:t>
      </w:r>
      <w:r w:rsidRPr="00C208E4">
        <w:t xml:space="preserve"> 26 hónap (tartomány: 0,16–170,49 hónap) és a 60. hónapban 40,5%, a</w:t>
      </w:r>
      <w:r w:rsidR="00867D84" w:rsidRPr="00C208E4">
        <w:t xml:space="preserve"> </w:t>
      </w:r>
      <w:r w:rsidRPr="00C208E4">
        <w:t>120. hónapban 19,4% még mindig kezelést kap) kezelt Ph+ CP CML-betegek eredményeit a</w:t>
      </w:r>
      <w:r w:rsidR="00867D84" w:rsidRPr="00C208E4">
        <w:t xml:space="preserve"> </w:t>
      </w:r>
      <w:r w:rsidRPr="00C208E4">
        <w:t>8. táblázat ismerteti.</w:t>
      </w:r>
    </w:p>
    <w:p w14:paraId="5F95A3E0" w14:textId="77777777" w:rsidR="00D4584D" w:rsidRPr="00C208E4" w:rsidRDefault="00D4584D" w:rsidP="00C208E4">
      <w:pPr>
        <w:rPr>
          <w:i/>
        </w:rPr>
      </w:pPr>
    </w:p>
    <w:p w14:paraId="53F63B65" w14:textId="03E76836" w:rsidR="005B1144" w:rsidRPr="00C208E4" w:rsidRDefault="0070285B" w:rsidP="00C208E4">
      <w:pPr>
        <w:rPr>
          <w:i/>
        </w:rPr>
      </w:pPr>
      <w:r w:rsidRPr="00C208E4">
        <w:rPr>
          <w:i/>
        </w:rPr>
        <w:t>AP és BP CML-es betegek</w:t>
      </w:r>
    </w:p>
    <w:p w14:paraId="53F63B66" w14:textId="4C9AB548" w:rsidR="005B1144" w:rsidRPr="00C208E4" w:rsidRDefault="0070285B" w:rsidP="00C208E4">
      <w:pPr>
        <w:pStyle w:val="Szvegtrzs"/>
      </w:pPr>
      <w:r w:rsidRPr="00C208E4">
        <w:t xml:space="preserve">Az akcelerált (legrövidebb követési időszak 120 hónap, a kezelés időtartamának </w:t>
      </w:r>
      <w:r w:rsidR="006201B6">
        <w:t>mediánja</w:t>
      </w:r>
      <w:r w:rsidRPr="00C208E4">
        <w:t xml:space="preserve"> 10 hónap [tartomány: 0,10–156,15 hónap] és a 60. hónapban 12,7%, a 120. hónapban 7,6% még mindig kezelést kap) és a blasztos fázisú (legrövidebb követési időszak 120 hónap, a kezelés időtartamának </w:t>
      </w:r>
      <w:r w:rsidR="006201B6">
        <w:t>mediánja</w:t>
      </w:r>
      <w:r w:rsidRPr="00C208E4">
        <w:t xml:space="preserve"> 2,8 hónap [tartomány: 0,03–71,38 hónap] és a 60. hónapban 3,1%, a 120. hónapban 0% még mindig kezelést kap) Ph+ CML-betegek hatásossági eredményeit a 8. táblázat ismerteti.</w:t>
      </w:r>
    </w:p>
    <w:p w14:paraId="53F63B67" w14:textId="77777777" w:rsidR="005B1144" w:rsidRPr="00C208E4" w:rsidRDefault="005B1144" w:rsidP="00C208E4">
      <w:pPr>
        <w:pStyle w:val="Szvegtrzs"/>
      </w:pPr>
    </w:p>
    <w:p w14:paraId="53F63B68" w14:textId="77777777" w:rsidR="005B1144" w:rsidRPr="00C208E4" w:rsidRDefault="0070285B" w:rsidP="00C208E4">
      <w:pPr>
        <w:pStyle w:val="Cmsor2"/>
        <w:ind w:left="0"/>
      </w:pPr>
      <w:r w:rsidRPr="00C208E4">
        <w:t>8. táblázat: Hatásossági eredmények a korábban kezelésben részesült krónikus és előrehaladott fázisú CML-betegeknél*</w:t>
      </w:r>
    </w:p>
    <w:p w14:paraId="53F63B69" w14:textId="6C1C3CEA" w:rsidR="005B1144" w:rsidRDefault="005B1144" w:rsidP="00C208E4">
      <w:pPr>
        <w:pStyle w:val="Szvegtrzs"/>
        <w:rPr>
          <w:b/>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0"/>
        <w:gridCol w:w="1607"/>
        <w:gridCol w:w="1890"/>
        <w:gridCol w:w="1724"/>
        <w:gridCol w:w="1730"/>
      </w:tblGrid>
      <w:tr w:rsidR="00CE2DD1" w:rsidRPr="008D72DB" w14:paraId="643353EE" w14:textId="77777777" w:rsidTr="0030598E">
        <w:trPr>
          <w:tblHeader/>
        </w:trPr>
        <w:tc>
          <w:tcPr>
            <w:tcW w:w="2830" w:type="dxa"/>
          </w:tcPr>
          <w:p w14:paraId="15571B41" w14:textId="77777777" w:rsidR="00CE2DD1" w:rsidRPr="0030598E" w:rsidRDefault="00CE2DD1" w:rsidP="00111B4C">
            <w:pPr>
              <w:keepNext/>
              <w:rPr>
                <w:b/>
                <w:sz w:val="20"/>
                <w:szCs w:val="20"/>
              </w:rPr>
            </w:pPr>
          </w:p>
        </w:tc>
        <w:tc>
          <w:tcPr>
            <w:tcW w:w="1607" w:type="dxa"/>
          </w:tcPr>
          <w:p w14:paraId="49BD3F6A" w14:textId="77777777" w:rsidR="00CE2DD1" w:rsidRPr="0030598E" w:rsidRDefault="00CE2DD1" w:rsidP="00111B4C">
            <w:pPr>
              <w:keepNext/>
              <w:jc w:val="center"/>
              <w:rPr>
                <w:b/>
                <w:bCs/>
                <w:sz w:val="20"/>
                <w:szCs w:val="20"/>
              </w:rPr>
            </w:pPr>
            <w:r w:rsidRPr="0030598E">
              <w:rPr>
                <w:b/>
                <w:bCs/>
                <w:sz w:val="20"/>
                <w:szCs w:val="20"/>
              </w:rPr>
              <w:t>Ph+ CP CML</w:t>
            </w:r>
          </w:p>
          <w:p w14:paraId="7C36A530" w14:textId="77777777" w:rsidR="00CE2DD1" w:rsidRPr="0030598E" w:rsidRDefault="00CE2DD1" w:rsidP="00111B4C">
            <w:pPr>
              <w:keepNext/>
              <w:jc w:val="center"/>
              <w:rPr>
                <w:b/>
                <w:bCs/>
                <w:sz w:val="20"/>
                <w:szCs w:val="20"/>
              </w:rPr>
            </w:pPr>
            <w:r w:rsidRPr="0030598E">
              <w:rPr>
                <w:b/>
                <w:bCs/>
                <w:sz w:val="20"/>
                <w:szCs w:val="20"/>
              </w:rPr>
              <w:t>korábban csak imatinib kezeléssel</w:t>
            </w:r>
          </w:p>
        </w:tc>
        <w:tc>
          <w:tcPr>
            <w:tcW w:w="1890" w:type="dxa"/>
          </w:tcPr>
          <w:p w14:paraId="576C20EA" w14:textId="77777777" w:rsidR="00CE2DD1" w:rsidRPr="0030598E" w:rsidRDefault="00CE2DD1" w:rsidP="00111B4C">
            <w:pPr>
              <w:keepNext/>
              <w:jc w:val="center"/>
              <w:rPr>
                <w:b/>
                <w:bCs/>
                <w:sz w:val="20"/>
                <w:szCs w:val="20"/>
              </w:rPr>
            </w:pPr>
            <w:r w:rsidRPr="0030598E">
              <w:rPr>
                <w:b/>
                <w:bCs/>
                <w:sz w:val="20"/>
                <w:szCs w:val="20"/>
              </w:rPr>
              <w:t>Ph+ CP CML</w:t>
            </w:r>
          </w:p>
          <w:p w14:paraId="6A37A239" w14:textId="77777777" w:rsidR="00CE2DD1" w:rsidRPr="0030598E" w:rsidRDefault="00CE2DD1" w:rsidP="00111B4C">
            <w:pPr>
              <w:keepNext/>
              <w:jc w:val="center"/>
              <w:rPr>
                <w:b/>
                <w:sz w:val="20"/>
                <w:szCs w:val="20"/>
              </w:rPr>
            </w:pPr>
            <w:r w:rsidRPr="0030598E">
              <w:rPr>
                <w:b/>
                <w:bCs/>
                <w:sz w:val="20"/>
                <w:szCs w:val="20"/>
              </w:rPr>
              <w:t>korábban imatinib és dazatinib vagy nilotinib kezeléssel</w:t>
            </w:r>
          </w:p>
        </w:tc>
        <w:tc>
          <w:tcPr>
            <w:tcW w:w="1724" w:type="dxa"/>
          </w:tcPr>
          <w:p w14:paraId="73575027" w14:textId="77777777" w:rsidR="00CE2DD1" w:rsidRPr="0030598E" w:rsidRDefault="00CE2DD1" w:rsidP="00111B4C">
            <w:pPr>
              <w:keepNext/>
              <w:jc w:val="center"/>
              <w:rPr>
                <w:b/>
                <w:sz w:val="20"/>
                <w:szCs w:val="20"/>
              </w:rPr>
            </w:pPr>
            <w:r w:rsidRPr="0030598E">
              <w:rPr>
                <w:b/>
                <w:sz w:val="20"/>
                <w:szCs w:val="20"/>
              </w:rPr>
              <w:t xml:space="preserve">Akcelerált fázis </w:t>
            </w:r>
            <w:r w:rsidRPr="0030598E">
              <w:rPr>
                <w:b/>
                <w:bCs/>
                <w:sz w:val="20"/>
                <w:szCs w:val="20"/>
              </w:rPr>
              <w:t>korábban</w:t>
            </w:r>
            <w:r w:rsidRPr="0030598E">
              <w:rPr>
                <w:b/>
                <w:sz w:val="20"/>
                <w:szCs w:val="20"/>
              </w:rPr>
              <w:t xml:space="preserve"> legalább imatinibbel végzett kezeléssel</w:t>
            </w:r>
          </w:p>
        </w:tc>
        <w:tc>
          <w:tcPr>
            <w:tcW w:w="1730" w:type="dxa"/>
          </w:tcPr>
          <w:p w14:paraId="77AAD423" w14:textId="77777777" w:rsidR="00CE2DD1" w:rsidRPr="0030598E" w:rsidRDefault="00CE2DD1" w:rsidP="00111B4C">
            <w:pPr>
              <w:keepNext/>
              <w:jc w:val="center"/>
              <w:rPr>
                <w:b/>
                <w:sz w:val="20"/>
                <w:szCs w:val="20"/>
              </w:rPr>
            </w:pPr>
            <w:r w:rsidRPr="0030598E">
              <w:rPr>
                <w:b/>
                <w:sz w:val="20"/>
                <w:szCs w:val="20"/>
              </w:rPr>
              <w:t>Blasztos fázis</w:t>
            </w:r>
          </w:p>
          <w:p w14:paraId="6F99392D" w14:textId="77777777" w:rsidR="00CE2DD1" w:rsidRPr="0030598E" w:rsidRDefault="00CE2DD1" w:rsidP="00111B4C">
            <w:pPr>
              <w:keepNext/>
              <w:jc w:val="center"/>
              <w:rPr>
                <w:b/>
                <w:sz w:val="20"/>
                <w:szCs w:val="20"/>
              </w:rPr>
            </w:pPr>
            <w:r w:rsidRPr="0030598E">
              <w:rPr>
                <w:b/>
                <w:bCs/>
                <w:sz w:val="20"/>
                <w:szCs w:val="20"/>
              </w:rPr>
              <w:t>korábban</w:t>
            </w:r>
            <w:r w:rsidRPr="0030598E">
              <w:rPr>
                <w:b/>
                <w:sz w:val="20"/>
                <w:szCs w:val="20"/>
              </w:rPr>
              <w:t xml:space="preserve"> legalább imatinibbel végzett kezeléssel</w:t>
            </w:r>
          </w:p>
        </w:tc>
      </w:tr>
      <w:tr w:rsidR="00CE2DD1" w:rsidRPr="008D72DB" w14:paraId="0638B31E" w14:textId="77777777" w:rsidTr="0030598E">
        <w:tc>
          <w:tcPr>
            <w:tcW w:w="2830" w:type="dxa"/>
          </w:tcPr>
          <w:p w14:paraId="2027B08C" w14:textId="77777777" w:rsidR="00CE2DD1" w:rsidRPr="0030598E" w:rsidRDefault="00CE2DD1" w:rsidP="0030598E">
            <w:pPr>
              <w:keepNext/>
              <w:ind w:left="32"/>
              <w:rPr>
                <w:b/>
                <w:sz w:val="20"/>
                <w:szCs w:val="20"/>
              </w:rPr>
            </w:pPr>
            <w:r w:rsidRPr="0030598E">
              <w:rPr>
                <w:b/>
                <w:sz w:val="20"/>
                <w:szCs w:val="20"/>
              </w:rPr>
              <w:t>Kumulatív citogenetikai válasz</w:t>
            </w:r>
            <w:r w:rsidRPr="0030598E">
              <w:rPr>
                <w:b/>
                <w:sz w:val="20"/>
                <w:szCs w:val="20"/>
                <w:vertAlign w:val="superscript"/>
              </w:rPr>
              <w:t>a</w:t>
            </w:r>
          </w:p>
          <w:p w14:paraId="2DACB198" w14:textId="393A5DD6" w:rsidR="00CE2DD1" w:rsidRPr="0030598E" w:rsidRDefault="00CE2DD1" w:rsidP="0030598E">
            <w:pPr>
              <w:keepNext/>
              <w:ind w:left="174" w:hanging="142"/>
              <w:rPr>
                <w:b/>
                <w:sz w:val="20"/>
                <w:szCs w:val="20"/>
              </w:rPr>
            </w:pPr>
            <w:r>
              <w:rPr>
                <w:b/>
                <w:sz w:val="20"/>
                <w:szCs w:val="20"/>
              </w:rPr>
              <w:tab/>
            </w:r>
            <w:r w:rsidRPr="0030598E">
              <w:rPr>
                <w:b/>
                <w:sz w:val="20"/>
                <w:szCs w:val="20"/>
              </w:rPr>
              <w:t>MCyR, % (95%</w:t>
            </w:r>
            <w:r w:rsidRPr="0030598E">
              <w:rPr>
                <w:b/>
                <w:sz w:val="20"/>
                <w:szCs w:val="20"/>
              </w:rPr>
              <w:noBreakHyphen/>
              <w:t>os CI)</w:t>
            </w:r>
          </w:p>
          <w:p w14:paraId="5525D9AD" w14:textId="0BEF9F88" w:rsidR="00CE2DD1" w:rsidRPr="0030598E" w:rsidRDefault="00CE2DD1" w:rsidP="0030598E">
            <w:pPr>
              <w:keepNext/>
              <w:ind w:left="174" w:hanging="142"/>
              <w:rPr>
                <w:b/>
                <w:sz w:val="20"/>
                <w:szCs w:val="20"/>
              </w:rPr>
            </w:pPr>
            <w:r>
              <w:rPr>
                <w:b/>
                <w:sz w:val="20"/>
                <w:szCs w:val="20"/>
              </w:rPr>
              <w:tab/>
            </w:r>
            <w:r w:rsidRPr="0030598E">
              <w:rPr>
                <w:b/>
                <w:sz w:val="20"/>
                <w:szCs w:val="20"/>
              </w:rPr>
              <w:t>CCyR, % (95%</w:t>
            </w:r>
            <w:r w:rsidRPr="0030598E">
              <w:rPr>
                <w:b/>
                <w:sz w:val="20"/>
                <w:szCs w:val="20"/>
              </w:rPr>
              <w:noBreakHyphen/>
              <w:t>os CI)</w:t>
            </w:r>
          </w:p>
        </w:tc>
        <w:tc>
          <w:tcPr>
            <w:tcW w:w="1607" w:type="dxa"/>
          </w:tcPr>
          <w:p w14:paraId="281CAA4D" w14:textId="77777777" w:rsidR="00CE2DD1" w:rsidRPr="0030598E" w:rsidRDefault="00CE2DD1" w:rsidP="00111B4C">
            <w:pPr>
              <w:keepNext/>
              <w:jc w:val="center"/>
              <w:rPr>
                <w:sz w:val="20"/>
                <w:szCs w:val="20"/>
              </w:rPr>
            </w:pPr>
            <w:r w:rsidRPr="0030598E">
              <w:rPr>
                <w:sz w:val="20"/>
                <w:szCs w:val="20"/>
              </w:rPr>
              <w:t>N = 262</w:t>
            </w:r>
          </w:p>
          <w:p w14:paraId="6EBE0763" w14:textId="77777777" w:rsidR="00CE2DD1" w:rsidRPr="0030598E" w:rsidRDefault="00CE2DD1" w:rsidP="00111B4C">
            <w:pPr>
              <w:keepNext/>
              <w:jc w:val="center"/>
              <w:rPr>
                <w:sz w:val="20"/>
                <w:szCs w:val="20"/>
              </w:rPr>
            </w:pPr>
            <w:r w:rsidRPr="0030598E">
              <w:rPr>
                <w:sz w:val="20"/>
                <w:szCs w:val="20"/>
              </w:rPr>
              <w:t xml:space="preserve">59,9 </w:t>
            </w:r>
          </w:p>
          <w:p w14:paraId="0B2E62BF" w14:textId="77777777" w:rsidR="00CE2DD1" w:rsidRPr="0030598E" w:rsidRDefault="00CE2DD1" w:rsidP="00111B4C">
            <w:pPr>
              <w:keepNext/>
              <w:jc w:val="center"/>
              <w:rPr>
                <w:sz w:val="20"/>
                <w:szCs w:val="20"/>
              </w:rPr>
            </w:pPr>
            <w:r w:rsidRPr="0030598E">
              <w:rPr>
                <w:sz w:val="20"/>
                <w:szCs w:val="20"/>
              </w:rPr>
              <w:t>(53,7; 65,9)</w:t>
            </w:r>
          </w:p>
          <w:p w14:paraId="0D8EDD95" w14:textId="77777777" w:rsidR="00CE2DD1" w:rsidRPr="0030598E" w:rsidRDefault="00CE2DD1" w:rsidP="00111B4C">
            <w:pPr>
              <w:keepNext/>
              <w:jc w:val="center"/>
              <w:rPr>
                <w:sz w:val="20"/>
                <w:szCs w:val="20"/>
              </w:rPr>
            </w:pPr>
            <w:r w:rsidRPr="0030598E">
              <w:rPr>
                <w:sz w:val="20"/>
                <w:szCs w:val="20"/>
              </w:rPr>
              <w:t xml:space="preserve">49,6 </w:t>
            </w:r>
          </w:p>
          <w:p w14:paraId="3CD74657" w14:textId="77777777" w:rsidR="00CE2DD1" w:rsidRPr="0030598E" w:rsidRDefault="00CE2DD1" w:rsidP="00111B4C">
            <w:pPr>
              <w:keepNext/>
              <w:jc w:val="center"/>
              <w:rPr>
                <w:sz w:val="20"/>
                <w:szCs w:val="20"/>
              </w:rPr>
            </w:pPr>
            <w:r w:rsidRPr="0030598E">
              <w:rPr>
                <w:sz w:val="20"/>
                <w:szCs w:val="20"/>
              </w:rPr>
              <w:t>(43,4; 55,8)</w:t>
            </w:r>
          </w:p>
        </w:tc>
        <w:tc>
          <w:tcPr>
            <w:tcW w:w="1890" w:type="dxa"/>
          </w:tcPr>
          <w:p w14:paraId="29B24DB3" w14:textId="77777777" w:rsidR="00CE2DD1" w:rsidRPr="0030598E" w:rsidRDefault="00CE2DD1" w:rsidP="00111B4C">
            <w:pPr>
              <w:keepNext/>
              <w:jc w:val="center"/>
              <w:rPr>
                <w:sz w:val="20"/>
                <w:szCs w:val="20"/>
              </w:rPr>
            </w:pPr>
            <w:r w:rsidRPr="0030598E">
              <w:rPr>
                <w:sz w:val="20"/>
                <w:szCs w:val="20"/>
              </w:rPr>
              <w:t>N = 112</w:t>
            </w:r>
          </w:p>
          <w:p w14:paraId="385B9A8E" w14:textId="77777777" w:rsidR="00CE2DD1" w:rsidRPr="0030598E" w:rsidRDefault="00CE2DD1" w:rsidP="00111B4C">
            <w:pPr>
              <w:keepNext/>
              <w:jc w:val="center"/>
              <w:rPr>
                <w:sz w:val="20"/>
                <w:szCs w:val="20"/>
              </w:rPr>
            </w:pPr>
            <w:r w:rsidRPr="0030598E">
              <w:rPr>
                <w:sz w:val="20"/>
                <w:szCs w:val="20"/>
              </w:rPr>
              <w:t>42,0</w:t>
            </w:r>
          </w:p>
          <w:p w14:paraId="2D44FADA" w14:textId="77777777" w:rsidR="00CE2DD1" w:rsidRPr="0030598E" w:rsidRDefault="00CE2DD1" w:rsidP="00111B4C">
            <w:pPr>
              <w:keepNext/>
              <w:jc w:val="center"/>
              <w:rPr>
                <w:sz w:val="20"/>
                <w:szCs w:val="20"/>
              </w:rPr>
            </w:pPr>
            <w:r w:rsidRPr="0030598E">
              <w:rPr>
                <w:sz w:val="20"/>
                <w:szCs w:val="20"/>
              </w:rPr>
              <w:t>(32,7; 51,7)</w:t>
            </w:r>
          </w:p>
          <w:p w14:paraId="4A5838B0" w14:textId="77777777" w:rsidR="00CE2DD1" w:rsidRPr="0030598E" w:rsidRDefault="00CE2DD1" w:rsidP="00111B4C">
            <w:pPr>
              <w:keepNext/>
              <w:jc w:val="center"/>
              <w:rPr>
                <w:sz w:val="20"/>
                <w:szCs w:val="20"/>
              </w:rPr>
            </w:pPr>
          </w:p>
          <w:p w14:paraId="35839A52" w14:textId="77777777" w:rsidR="00CE2DD1" w:rsidRPr="0030598E" w:rsidRDefault="00CE2DD1" w:rsidP="00111B4C">
            <w:pPr>
              <w:keepNext/>
              <w:jc w:val="center"/>
              <w:rPr>
                <w:sz w:val="20"/>
                <w:szCs w:val="20"/>
              </w:rPr>
            </w:pPr>
            <w:r w:rsidRPr="0030598E">
              <w:rPr>
                <w:sz w:val="20"/>
                <w:szCs w:val="20"/>
              </w:rPr>
              <w:t xml:space="preserve">32,1 </w:t>
            </w:r>
          </w:p>
          <w:p w14:paraId="14C4023A" w14:textId="77777777" w:rsidR="00CE2DD1" w:rsidRPr="0030598E" w:rsidRDefault="00CE2DD1" w:rsidP="00111B4C">
            <w:pPr>
              <w:keepNext/>
              <w:jc w:val="center"/>
              <w:rPr>
                <w:sz w:val="20"/>
                <w:szCs w:val="20"/>
              </w:rPr>
            </w:pPr>
            <w:r w:rsidRPr="0030598E">
              <w:rPr>
                <w:sz w:val="20"/>
                <w:szCs w:val="20"/>
              </w:rPr>
              <w:t>(23,6; 41,6)</w:t>
            </w:r>
          </w:p>
        </w:tc>
        <w:tc>
          <w:tcPr>
            <w:tcW w:w="1724" w:type="dxa"/>
          </w:tcPr>
          <w:p w14:paraId="3E9614A8" w14:textId="77777777" w:rsidR="00CE2DD1" w:rsidRPr="0030598E" w:rsidRDefault="00CE2DD1" w:rsidP="00111B4C">
            <w:pPr>
              <w:keepNext/>
              <w:jc w:val="center"/>
              <w:rPr>
                <w:sz w:val="20"/>
                <w:szCs w:val="20"/>
              </w:rPr>
            </w:pPr>
            <w:r w:rsidRPr="0030598E">
              <w:rPr>
                <w:sz w:val="20"/>
                <w:szCs w:val="20"/>
              </w:rPr>
              <w:t>N = 72</w:t>
            </w:r>
          </w:p>
          <w:p w14:paraId="1EA3439B" w14:textId="77777777" w:rsidR="00CE2DD1" w:rsidRPr="0030598E" w:rsidRDefault="00CE2DD1" w:rsidP="00111B4C">
            <w:pPr>
              <w:keepNext/>
              <w:jc w:val="center"/>
              <w:rPr>
                <w:sz w:val="20"/>
                <w:szCs w:val="20"/>
              </w:rPr>
            </w:pPr>
            <w:r w:rsidRPr="0030598E">
              <w:rPr>
                <w:sz w:val="20"/>
                <w:szCs w:val="20"/>
              </w:rPr>
              <w:t xml:space="preserve">40,3 </w:t>
            </w:r>
          </w:p>
          <w:p w14:paraId="78654B3A" w14:textId="77777777" w:rsidR="00CE2DD1" w:rsidRPr="0030598E" w:rsidRDefault="00CE2DD1" w:rsidP="00111B4C">
            <w:pPr>
              <w:keepNext/>
              <w:jc w:val="center"/>
              <w:rPr>
                <w:sz w:val="20"/>
                <w:szCs w:val="20"/>
              </w:rPr>
            </w:pPr>
            <w:r w:rsidRPr="0030598E">
              <w:rPr>
                <w:sz w:val="20"/>
                <w:szCs w:val="20"/>
              </w:rPr>
              <w:t>(28,9; 52,5)</w:t>
            </w:r>
          </w:p>
          <w:p w14:paraId="6103D991" w14:textId="77777777" w:rsidR="00CE2DD1" w:rsidRPr="0030598E" w:rsidRDefault="00CE2DD1" w:rsidP="00111B4C">
            <w:pPr>
              <w:keepNext/>
              <w:jc w:val="center"/>
              <w:rPr>
                <w:sz w:val="20"/>
                <w:szCs w:val="20"/>
              </w:rPr>
            </w:pPr>
          </w:p>
          <w:p w14:paraId="6BBE8649" w14:textId="77777777" w:rsidR="00CE2DD1" w:rsidRPr="0030598E" w:rsidRDefault="00CE2DD1" w:rsidP="00111B4C">
            <w:pPr>
              <w:keepNext/>
              <w:jc w:val="center"/>
              <w:rPr>
                <w:sz w:val="20"/>
                <w:szCs w:val="20"/>
              </w:rPr>
            </w:pPr>
            <w:r w:rsidRPr="0030598E">
              <w:rPr>
                <w:sz w:val="20"/>
                <w:szCs w:val="20"/>
              </w:rPr>
              <w:t xml:space="preserve">30,6 </w:t>
            </w:r>
          </w:p>
          <w:p w14:paraId="07328CF8" w14:textId="77777777" w:rsidR="00CE2DD1" w:rsidRPr="0030598E" w:rsidRDefault="00CE2DD1" w:rsidP="00111B4C">
            <w:pPr>
              <w:keepNext/>
              <w:jc w:val="center"/>
              <w:rPr>
                <w:sz w:val="20"/>
                <w:szCs w:val="20"/>
              </w:rPr>
            </w:pPr>
            <w:r w:rsidRPr="0030598E">
              <w:rPr>
                <w:sz w:val="20"/>
                <w:szCs w:val="20"/>
              </w:rPr>
              <w:t>(20,2; 42,5)</w:t>
            </w:r>
          </w:p>
        </w:tc>
        <w:tc>
          <w:tcPr>
            <w:tcW w:w="1730" w:type="dxa"/>
          </w:tcPr>
          <w:p w14:paraId="3956AFAE" w14:textId="77777777" w:rsidR="00CE2DD1" w:rsidRPr="0030598E" w:rsidRDefault="00CE2DD1" w:rsidP="00111B4C">
            <w:pPr>
              <w:keepNext/>
              <w:jc w:val="center"/>
              <w:rPr>
                <w:sz w:val="20"/>
                <w:szCs w:val="20"/>
              </w:rPr>
            </w:pPr>
            <w:r w:rsidRPr="0030598E">
              <w:rPr>
                <w:sz w:val="20"/>
                <w:szCs w:val="20"/>
              </w:rPr>
              <w:t>N = 54</w:t>
            </w:r>
          </w:p>
          <w:p w14:paraId="4D9E78C8" w14:textId="77777777" w:rsidR="00CE2DD1" w:rsidRPr="0030598E" w:rsidRDefault="00CE2DD1" w:rsidP="00111B4C">
            <w:pPr>
              <w:keepNext/>
              <w:jc w:val="center"/>
              <w:rPr>
                <w:sz w:val="20"/>
                <w:szCs w:val="20"/>
              </w:rPr>
            </w:pPr>
            <w:r w:rsidRPr="0030598E">
              <w:rPr>
                <w:sz w:val="20"/>
                <w:szCs w:val="20"/>
              </w:rPr>
              <w:t xml:space="preserve">37,0 </w:t>
            </w:r>
          </w:p>
          <w:p w14:paraId="538C70F0" w14:textId="77777777" w:rsidR="00CE2DD1" w:rsidRPr="0030598E" w:rsidRDefault="00CE2DD1" w:rsidP="00111B4C">
            <w:pPr>
              <w:keepNext/>
              <w:jc w:val="center"/>
              <w:rPr>
                <w:sz w:val="20"/>
                <w:szCs w:val="20"/>
              </w:rPr>
            </w:pPr>
            <w:r w:rsidRPr="0030598E">
              <w:rPr>
                <w:sz w:val="20"/>
                <w:szCs w:val="20"/>
              </w:rPr>
              <w:t>(24,3; 51,3)</w:t>
            </w:r>
          </w:p>
          <w:p w14:paraId="4DD590B0" w14:textId="77777777" w:rsidR="00CE2DD1" w:rsidRPr="0030598E" w:rsidRDefault="00CE2DD1" w:rsidP="00111B4C">
            <w:pPr>
              <w:keepNext/>
              <w:jc w:val="center"/>
              <w:rPr>
                <w:sz w:val="20"/>
                <w:szCs w:val="20"/>
              </w:rPr>
            </w:pPr>
          </w:p>
          <w:p w14:paraId="151C8030" w14:textId="77777777" w:rsidR="00CE2DD1" w:rsidRPr="0030598E" w:rsidRDefault="00CE2DD1" w:rsidP="00111B4C">
            <w:pPr>
              <w:keepNext/>
              <w:jc w:val="center"/>
              <w:rPr>
                <w:sz w:val="20"/>
                <w:szCs w:val="20"/>
              </w:rPr>
            </w:pPr>
            <w:r w:rsidRPr="0030598E">
              <w:rPr>
                <w:sz w:val="20"/>
                <w:szCs w:val="20"/>
              </w:rPr>
              <w:t xml:space="preserve">27,8 </w:t>
            </w:r>
          </w:p>
          <w:p w14:paraId="016E7986" w14:textId="77777777" w:rsidR="00CE2DD1" w:rsidRPr="0030598E" w:rsidRDefault="00CE2DD1" w:rsidP="00111B4C">
            <w:pPr>
              <w:keepNext/>
              <w:jc w:val="center"/>
              <w:rPr>
                <w:sz w:val="20"/>
                <w:szCs w:val="20"/>
              </w:rPr>
            </w:pPr>
            <w:r w:rsidRPr="0030598E">
              <w:rPr>
                <w:sz w:val="20"/>
                <w:szCs w:val="20"/>
              </w:rPr>
              <w:t>(16,5; 41,6)</w:t>
            </w:r>
          </w:p>
        </w:tc>
      </w:tr>
      <w:tr w:rsidR="00CE2DD1" w:rsidRPr="008D72DB" w14:paraId="11975766" w14:textId="77777777" w:rsidTr="0030598E">
        <w:tc>
          <w:tcPr>
            <w:tcW w:w="2830" w:type="dxa"/>
          </w:tcPr>
          <w:p w14:paraId="483C4A89" w14:textId="77777777" w:rsidR="00CE2DD1" w:rsidRPr="0030598E" w:rsidRDefault="00CE2DD1" w:rsidP="0030598E">
            <w:pPr>
              <w:keepNext/>
              <w:keepLines/>
              <w:ind w:left="32"/>
              <w:rPr>
                <w:b/>
                <w:sz w:val="20"/>
                <w:szCs w:val="20"/>
              </w:rPr>
            </w:pPr>
            <w:r w:rsidRPr="0030598E">
              <w:rPr>
                <w:b/>
                <w:sz w:val="20"/>
                <w:szCs w:val="20"/>
              </w:rPr>
              <w:t>Kumulatív molekuláris válasz</w:t>
            </w:r>
            <w:r w:rsidRPr="0030598E">
              <w:rPr>
                <w:b/>
                <w:sz w:val="20"/>
                <w:szCs w:val="20"/>
                <w:vertAlign w:val="superscript"/>
              </w:rPr>
              <w:t>a</w:t>
            </w:r>
          </w:p>
          <w:p w14:paraId="4C04376D" w14:textId="47E58872" w:rsidR="00CE2DD1" w:rsidRPr="0030598E" w:rsidRDefault="00CE2DD1" w:rsidP="0030598E">
            <w:pPr>
              <w:keepNext/>
              <w:keepLines/>
              <w:ind w:left="174" w:hanging="142"/>
              <w:rPr>
                <w:b/>
                <w:sz w:val="20"/>
                <w:szCs w:val="20"/>
              </w:rPr>
            </w:pPr>
            <w:r>
              <w:rPr>
                <w:b/>
                <w:sz w:val="20"/>
                <w:szCs w:val="20"/>
              </w:rPr>
              <w:tab/>
            </w:r>
            <w:r w:rsidRPr="0030598E">
              <w:rPr>
                <w:b/>
                <w:sz w:val="20"/>
                <w:szCs w:val="20"/>
              </w:rPr>
              <w:t>MMR, % (95%-os CI)</w:t>
            </w:r>
          </w:p>
          <w:p w14:paraId="58CF4064" w14:textId="4760BDAB" w:rsidR="00CE2DD1" w:rsidRPr="0030598E" w:rsidRDefault="00CE2DD1" w:rsidP="0030598E">
            <w:pPr>
              <w:keepNext/>
              <w:ind w:left="174" w:hanging="142"/>
              <w:rPr>
                <w:b/>
                <w:sz w:val="20"/>
                <w:szCs w:val="20"/>
              </w:rPr>
            </w:pPr>
            <w:r>
              <w:rPr>
                <w:b/>
                <w:sz w:val="20"/>
                <w:szCs w:val="20"/>
              </w:rPr>
              <w:tab/>
            </w:r>
            <w:r w:rsidRPr="0030598E">
              <w:rPr>
                <w:b/>
                <w:sz w:val="20"/>
                <w:szCs w:val="20"/>
              </w:rPr>
              <w:t>MR</w:t>
            </w:r>
            <w:r w:rsidRPr="0030598E">
              <w:rPr>
                <w:b/>
                <w:sz w:val="20"/>
                <w:szCs w:val="20"/>
                <w:vertAlign w:val="superscript"/>
              </w:rPr>
              <w:t>4</w:t>
            </w:r>
            <w:r w:rsidRPr="0030598E">
              <w:rPr>
                <w:b/>
                <w:sz w:val="20"/>
                <w:szCs w:val="20"/>
              </w:rPr>
              <w:t>, % (95%-os CI)</w:t>
            </w:r>
          </w:p>
        </w:tc>
        <w:tc>
          <w:tcPr>
            <w:tcW w:w="1607" w:type="dxa"/>
          </w:tcPr>
          <w:p w14:paraId="21E61678" w14:textId="77777777" w:rsidR="00CE2DD1" w:rsidRPr="0030598E" w:rsidRDefault="00CE2DD1" w:rsidP="00111B4C">
            <w:pPr>
              <w:keepNext/>
              <w:keepLines/>
              <w:jc w:val="center"/>
              <w:rPr>
                <w:sz w:val="20"/>
                <w:szCs w:val="20"/>
              </w:rPr>
            </w:pPr>
            <w:r w:rsidRPr="0030598E">
              <w:rPr>
                <w:sz w:val="20"/>
                <w:szCs w:val="20"/>
              </w:rPr>
              <w:t>N = 197</w:t>
            </w:r>
          </w:p>
          <w:p w14:paraId="12F8C0C7" w14:textId="77777777" w:rsidR="00CE2DD1" w:rsidRPr="0030598E" w:rsidRDefault="00CE2DD1" w:rsidP="00111B4C">
            <w:pPr>
              <w:keepNext/>
              <w:keepLines/>
              <w:jc w:val="center"/>
              <w:rPr>
                <w:sz w:val="20"/>
                <w:szCs w:val="20"/>
              </w:rPr>
            </w:pPr>
            <w:r w:rsidRPr="0030598E">
              <w:rPr>
                <w:sz w:val="20"/>
                <w:szCs w:val="20"/>
              </w:rPr>
              <w:t>42,1 (35,1; 49,4)</w:t>
            </w:r>
          </w:p>
          <w:p w14:paraId="6C085B32" w14:textId="77777777" w:rsidR="00CE2DD1" w:rsidRPr="0030598E" w:rsidRDefault="00CE2DD1" w:rsidP="00111B4C">
            <w:pPr>
              <w:keepNext/>
              <w:jc w:val="center"/>
              <w:rPr>
                <w:sz w:val="20"/>
                <w:szCs w:val="20"/>
              </w:rPr>
            </w:pPr>
            <w:r w:rsidRPr="0030598E">
              <w:rPr>
                <w:sz w:val="20"/>
                <w:szCs w:val="20"/>
              </w:rPr>
              <w:t>37,1 (30,3; 44,2)</w:t>
            </w:r>
          </w:p>
        </w:tc>
        <w:tc>
          <w:tcPr>
            <w:tcW w:w="1890" w:type="dxa"/>
          </w:tcPr>
          <w:p w14:paraId="179F8341" w14:textId="77777777" w:rsidR="00CE2DD1" w:rsidRPr="0030598E" w:rsidRDefault="00CE2DD1" w:rsidP="00111B4C">
            <w:pPr>
              <w:keepNext/>
              <w:keepLines/>
              <w:jc w:val="center"/>
              <w:rPr>
                <w:sz w:val="20"/>
                <w:szCs w:val="20"/>
              </w:rPr>
            </w:pPr>
            <w:r w:rsidRPr="0030598E">
              <w:rPr>
                <w:sz w:val="20"/>
                <w:szCs w:val="20"/>
              </w:rPr>
              <w:t>N = 107</w:t>
            </w:r>
          </w:p>
          <w:p w14:paraId="5D7B1247" w14:textId="77777777" w:rsidR="00CE2DD1" w:rsidRPr="0030598E" w:rsidRDefault="00CE2DD1" w:rsidP="00111B4C">
            <w:pPr>
              <w:keepNext/>
              <w:keepLines/>
              <w:jc w:val="center"/>
              <w:rPr>
                <w:sz w:val="20"/>
                <w:szCs w:val="20"/>
              </w:rPr>
            </w:pPr>
            <w:r w:rsidRPr="0030598E">
              <w:rPr>
                <w:sz w:val="20"/>
                <w:szCs w:val="20"/>
              </w:rPr>
              <w:t>17,8 (11,0; 26,3)</w:t>
            </w:r>
          </w:p>
          <w:p w14:paraId="55791A70" w14:textId="77777777" w:rsidR="00CE2DD1" w:rsidRPr="0030598E" w:rsidRDefault="00CE2DD1" w:rsidP="00111B4C">
            <w:pPr>
              <w:keepNext/>
              <w:jc w:val="center"/>
              <w:rPr>
                <w:sz w:val="20"/>
                <w:szCs w:val="20"/>
              </w:rPr>
            </w:pPr>
            <w:r w:rsidRPr="0030598E">
              <w:rPr>
                <w:sz w:val="20"/>
                <w:szCs w:val="20"/>
              </w:rPr>
              <w:t>15,0 (8,8; 23,1)</w:t>
            </w:r>
          </w:p>
        </w:tc>
        <w:tc>
          <w:tcPr>
            <w:tcW w:w="1724" w:type="dxa"/>
          </w:tcPr>
          <w:p w14:paraId="21F82311" w14:textId="77777777" w:rsidR="00CE2DD1" w:rsidRPr="0030598E" w:rsidRDefault="00CE2DD1" w:rsidP="00111B4C">
            <w:pPr>
              <w:keepNext/>
              <w:keepLines/>
              <w:jc w:val="center"/>
              <w:rPr>
                <w:sz w:val="20"/>
                <w:szCs w:val="20"/>
              </w:rPr>
            </w:pPr>
            <w:r w:rsidRPr="0030598E">
              <w:rPr>
                <w:sz w:val="20"/>
                <w:szCs w:val="20"/>
              </w:rPr>
              <w:t>N = 54</w:t>
            </w:r>
          </w:p>
          <w:p w14:paraId="4765F7A0" w14:textId="77777777" w:rsidR="00CE2DD1" w:rsidRPr="0030598E" w:rsidRDefault="00CE2DD1" w:rsidP="00111B4C">
            <w:pPr>
              <w:keepNext/>
              <w:jc w:val="center"/>
              <w:rPr>
                <w:sz w:val="20"/>
                <w:szCs w:val="20"/>
              </w:rPr>
            </w:pPr>
            <w:r w:rsidRPr="0030598E">
              <w:rPr>
                <w:sz w:val="20"/>
                <w:szCs w:val="20"/>
              </w:rPr>
              <w:t>16,7 (7,9; 29,3)</w:t>
            </w:r>
          </w:p>
          <w:p w14:paraId="2DD994A9" w14:textId="77777777" w:rsidR="00CE2DD1" w:rsidRPr="0030598E" w:rsidRDefault="00CE2DD1" w:rsidP="00111B4C">
            <w:pPr>
              <w:keepNext/>
              <w:jc w:val="center"/>
              <w:rPr>
                <w:sz w:val="20"/>
                <w:szCs w:val="20"/>
              </w:rPr>
            </w:pPr>
            <w:r w:rsidRPr="0030598E">
              <w:rPr>
                <w:sz w:val="20"/>
                <w:szCs w:val="20"/>
              </w:rPr>
              <w:t>13,0 (5,4; 24,9)</w:t>
            </w:r>
          </w:p>
        </w:tc>
        <w:tc>
          <w:tcPr>
            <w:tcW w:w="1730" w:type="dxa"/>
          </w:tcPr>
          <w:p w14:paraId="0F28E194" w14:textId="77777777" w:rsidR="00CE2DD1" w:rsidRPr="0030598E" w:rsidRDefault="00CE2DD1" w:rsidP="00111B4C">
            <w:pPr>
              <w:keepNext/>
              <w:keepLines/>
              <w:jc w:val="center"/>
              <w:rPr>
                <w:sz w:val="20"/>
                <w:szCs w:val="20"/>
              </w:rPr>
            </w:pPr>
            <w:r w:rsidRPr="0030598E">
              <w:rPr>
                <w:sz w:val="20"/>
                <w:szCs w:val="20"/>
              </w:rPr>
              <w:t>N = 48</w:t>
            </w:r>
          </w:p>
          <w:p w14:paraId="2E629780" w14:textId="77777777" w:rsidR="00CE2DD1" w:rsidRPr="0030598E" w:rsidRDefault="00CE2DD1" w:rsidP="00111B4C">
            <w:pPr>
              <w:keepNext/>
              <w:jc w:val="center"/>
              <w:rPr>
                <w:sz w:val="20"/>
                <w:szCs w:val="20"/>
              </w:rPr>
            </w:pPr>
            <w:r w:rsidRPr="0030598E">
              <w:rPr>
                <w:sz w:val="20"/>
                <w:szCs w:val="20"/>
              </w:rPr>
              <w:t>10,4 (3,5; 22,7)</w:t>
            </w:r>
          </w:p>
          <w:p w14:paraId="175ACDD6" w14:textId="77777777" w:rsidR="00CE2DD1" w:rsidRPr="0030598E" w:rsidRDefault="00CE2DD1" w:rsidP="00111B4C">
            <w:pPr>
              <w:keepNext/>
              <w:jc w:val="center"/>
              <w:rPr>
                <w:sz w:val="20"/>
                <w:szCs w:val="20"/>
              </w:rPr>
            </w:pPr>
            <w:r w:rsidRPr="0030598E">
              <w:rPr>
                <w:sz w:val="20"/>
                <w:szCs w:val="20"/>
              </w:rPr>
              <w:t>10,4 (3,5; 22,7)</w:t>
            </w:r>
          </w:p>
        </w:tc>
      </w:tr>
      <w:tr w:rsidR="00CE2DD1" w:rsidRPr="008D72DB" w14:paraId="5B6F76CA" w14:textId="77777777" w:rsidTr="0030598E">
        <w:tc>
          <w:tcPr>
            <w:tcW w:w="2830" w:type="dxa"/>
          </w:tcPr>
          <w:p w14:paraId="7600908F" w14:textId="77777777" w:rsidR="00CE2DD1" w:rsidRPr="0030598E" w:rsidRDefault="00CE2DD1" w:rsidP="00CE2DD1">
            <w:pPr>
              <w:rPr>
                <w:b/>
                <w:sz w:val="20"/>
                <w:szCs w:val="20"/>
              </w:rPr>
            </w:pPr>
            <w:r w:rsidRPr="0030598E">
              <w:rPr>
                <w:b/>
                <w:sz w:val="20"/>
                <w:szCs w:val="20"/>
              </w:rPr>
              <w:t>A McyR kialakulásáig eltelt időtartam csak a reszpondereknél</w:t>
            </w:r>
            <w:r w:rsidRPr="0030598E">
              <w:rPr>
                <w:b/>
                <w:sz w:val="20"/>
                <w:szCs w:val="20"/>
                <w:vertAlign w:val="superscript"/>
              </w:rPr>
              <w:t>b</w:t>
            </w:r>
            <w:r w:rsidRPr="0030598E">
              <w:rPr>
                <w:b/>
                <w:sz w:val="20"/>
                <w:szCs w:val="20"/>
              </w:rPr>
              <w:t>, medián (tartomány), hét</w:t>
            </w:r>
          </w:p>
        </w:tc>
        <w:tc>
          <w:tcPr>
            <w:tcW w:w="1607" w:type="dxa"/>
          </w:tcPr>
          <w:p w14:paraId="0EB6BA1C" w14:textId="77777777" w:rsidR="00CE2DD1" w:rsidRPr="0030598E" w:rsidRDefault="00CE2DD1" w:rsidP="00111B4C">
            <w:pPr>
              <w:jc w:val="center"/>
              <w:rPr>
                <w:sz w:val="20"/>
                <w:szCs w:val="20"/>
              </w:rPr>
            </w:pPr>
            <w:r w:rsidRPr="0030598E">
              <w:rPr>
                <w:sz w:val="20"/>
                <w:szCs w:val="20"/>
              </w:rPr>
              <w:t xml:space="preserve">12,3 </w:t>
            </w:r>
          </w:p>
          <w:p w14:paraId="130E76E7" w14:textId="77777777" w:rsidR="00CE2DD1" w:rsidRPr="0030598E" w:rsidRDefault="00CE2DD1" w:rsidP="00111B4C">
            <w:pPr>
              <w:jc w:val="center"/>
              <w:rPr>
                <w:sz w:val="20"/>
                <w:szCs w:val="20"/>
              </w:rPr>
            </w:pPr>
            <w:r w:rsidRPr="0030598E">
              <w:rPr>
                <w:sz w:val="20"/>
                <w:szCs w:val="20"/>
              </w:rPr>
              <w:t>(4,0; 346,0)</w:t>
            </w:r>
          </w:p>
        </w:tc>
        <w:tc>
          <w:tcPr>
            <w:tcW w:w="1890" w:type="dxa"/>
          </w:tcPr>
          <w:p w14:paraId="2CF42E45" w14:textId="77777777" w:rsidR="00CE2DD1" w:rsidRPr="0030598E" w:rsidRDefault="00CE2DD1" w:rsidP="00111B4C">
            <w:pPr>
              <w:jc w:val="center"/>
              <w:rPr>
                <w:sz w:val="20"/>
                <w:szCs w:val="20"/>
              </w:rPr>
            </w:pPr>
            <w:r w:rsidRPr="0030598E">
              <w:rPr>
                <w:sz w:val="20"/>
                <w:szCs w:val="20"/>
              </w:rPr>
              <w:t xml:space="preserve">12,3 </w:t>
            </w:r>
          </w:p>
          <w:p w14:paraId="2E9FE94E" w14:textId="77777777" w:rsidR="00CE2DD1" w:rsidRPr="0030598E" w:rsidRDefault="00CE2DD1" w:rsidP="00111B4C">
            <w:pPr>
              <w:jc w:val="center"/>
              <w:rPr>
                <w:sz w:val="20"/>
                <w:szCs w:val="20"/>
              </w:rPr>
            </w:pPr>
            <w:r w:rsidRPr="0030598E">
              <w:rPr>
                <w:sz w:val="20"/>
                <w:szCs w:val="20"/>
              </w:rPr>
              <w:t>(3,9; 550,6)</w:t>
            </w:r>
          </w:p>
        </w:tc>
        <w:tc>
          <w:tcPr>
            <w:tcW w:w="1724" w:type="dxa"/>
          </w:tcPr>
          <w:p w14:paraId="47C61FD1" w14:textId="77777777" w:rsidR="00CE2DD1" w:rsidRPr="0030598E" w:rsidRDefault="00CE2DD1" w:rsidP="00111B4C">
            <w:pPr>
              <w:jc w:val="center"/>
              <w:rPr>
                <w:sz w:val="20"/>
                <w:szCs w:val="20"/>
              </w:rPr>
            </w:pPr>
            <w:r w:rsidRPr="0030598E">
              <w:rPr>
                <w:sz w:val="20"/>
                <w:szCs w:val="20"/>
              </w:rPr>
              <w:t xml:space="preserve">12,0 </w:t>
            </w:r>
          </w:p>
          <w:p w14:paraId="16BF5D89" w14:textId="77777777" w:rsidR="00CE2DD1" w:rsidRPr="0030598E" w:rsidRDefault="00CE2DD1" w:rsidP="00111B4C">
            <w:pPr>
              <w:jc w:val="center"/>
              <w:rPr>
                <w:sz w:val="20"/>
                <w:szCs w:val="20"/>
              </w:rPr>
            </w:pPr>
            <w:r w:rsidRPr="0030598E">
              <w:rPr>
                <w:sz w:val="20"/>
                <w:szCs w:val="20"/>
              </w:rPr>
              <w:t>(3,9; 144,7)</w:t>
            </w:r>
          </w:p>
        </w:tc>
        <w:tc>
          <w:tcPr>
            <w:tcW w:w="1730" w:type="dxa"/>
          </w:tcPr>
          <w:p w14:paraId="4674049F" w14:textId="77777777" w:rsidR="00CE2DD1" w:rsidRPr="0030598E" w:rsidRDefault="00CE2DD1" w:rsidP="00111B4C">
            <w:pPr>
              <w:jc w:val="center"/>
              <w:rPr>
                <w:sz w:val="20"/>
                <w:szCs w:val="20"/>
              </w:rPr>
            </w:pPr>
            <w:r w:rsidRPr="0030598E">
              <w:rPr>
                <w:sz w:val="20"/>
                <w:szCs w:val="20"/>
              </w:rPr>
              <w:t xml:space="preserve">8,2 </w:t>
            </w:r>
          </w:p>
          <w:p w14:paraId="6BE215E9" w14:textId="77777777" w:rsidR="00CE2DD1" w:rsidRPr="0030598E" w:rsidRDefault="00CE2DD1" w:rsidP="00111B4C">
            <w:pPr>
              <w:jc w:val="center"/>
              <w:rPr>
                <w:sz w:val="20"/>
                <w:szCs w:val="20"/>
              </w:rPr>
            </w:pPr>
            <w:r w:rsidRPr="0030598E">
              <w:rPr>
                <w:sz w:val="20"/>
                <w:szCs w:val="20"/>
              </w:rPr>
              <w:t>(3,9; 25,1)</w:t>
            </w:r>
          </w:p>
        </w:tc>
      </w:tr>
      <w:tr w:rsidR="00CE2DD1" w:rsidRPr="008D72DB" w14:paraId="126DCACB" w14:textId="77777777" w:rsidTr="0030598E">
        <w:tc>
          <w:tcPr>
            <w:tcW w:w="2830" w:type="dxa"/>
          </w:tcPr>
          <w:p w14:paraId="5E2D19FE" w14:textId="77777777" w:rsidR="00CE2DD1" w:rsidRPr="0030598E" w:rsidRDefault="00CE2DD1" w:rsidP="0030598E">
            <w:pPr>
              <w:ind w:left="174" w:hanging="142"/>
              <w:rPr>
                <w:b/>
                <w:sz w:val="20"/>
                <w:szCs w:val="20"/>
              </w:rPr>
            </w:pPr>
            <w:r w:rsidRPr="0030598E">
              <w:rPr>
                <w:b/>
                <w:sz w:val="20"/>
                <w:szCs w:val="20"/>
              </w:rPr>
              <w:t>A MCyR időtartama</w:t>
            </w:r>
            <w:r w:rsidRPr="0030598E">
              <w:rPr>
                <w:b/>
                <w:sz w:val="20"/>
                <w:szCs w:val="20"/>
                <w:vertAlign w:val="superscript"/>
              </w:rPr>
              <w:t>b</w:t>
            </w:r>
          </w:p>
          <w:p w14:paraId="034B13B9" w14:textId="665BE4DF" w:rsidR="00CE2DD1" w:rsidRPr="0030598E" w:rsidRDefault="00CE2DD1" w:rsidP="0030598E">
            <w:pPr>
              <w:ind w:left="174" w:hanging="142"/>
              <w:rPr>
                <w:b/>
                <w:sz w:val="20"/>
                <w:szCs w:val="20"/>
              </w:rPr>
            </w:pPr>
            <w:r>
              <w:rPr>
                <w:b/>
                <w:sz w:val="20"/>
                <w:szCs w:val="20"/>
              </w:rPr>
              <w:tab/>
            </w:r>
            <w:r w:rsidRPr="0030598E">
              <w:rPr>
                <w:b/>
                <w:sz w:val="20"/>
                <w:szCs w:val="20"/>
              </w:rPr>
              <w:t>5 éves K-M, % (95%</w:t>
            </w:r>
            <w:r w:rsidRPr="0030598E">
              <w:rPr>
                <w:b/>
                <w:sz w:val="20"/>
                <w:szCs w:val="20"/>
              </w:rPr>
              <w:noBreakHyphen/>
              <w:t>os CI)</w:t>
            </w:r>
          </w:p>
          <w:p w14:paraId="724049A4" w14:textId="134AFEAD" w:rsidR="00CE2DD1" w:rsidRPr="0030598E" w:rsidRDefault="00CE2DD1" w:rsidP="0030598E">
            <w:pPr>
              <w:ind w:left="174" w:hanging="142"/>
              <w:rPr>
                <w:b/>
                <w:sz w:val="20"/>
                <w:szCs w:val="20"/>
                <w:vertAlign w:val="superscript"/>
              </w:rPr>
            </w:pPr>
            <w:r>
              <w:rPr>
                <w:b/>
                <w:sz w:val="20"/>
                <w:szCs w:val="20"/>
              </w:rPr>
              <w:tab/>
            </w:r>
            <w:r w:rsidRPr="0030598E">
              <w:rPr>
                <w:b/>
                <w:sz w:val="20"/>
                <w:szCs w:val="20"/>
              </w:rPr>
              <w:t>10 éves K-M, % (95%</w:t>
            </w:r>
            <w:r w:rsidRPr="0030598E">
              <w:rPr>
                <w:b/>
                <w:sz w:val="20"/>
                <w:szCs w:val="20"/>
              </w:rPr>
              <w:noBreakHyphen/>
              <w:t>os CI)</w:t>
            </w:r>
          </w:p>
          <w:p w14:paraId="27560394" w14:textId="07EA9924" w:rsidR="00CE2DD1" w:rsidRPr="0030598E" w:rsidRDefault="00CE2DD1" w:rsidP="0030598E">
            <w:pPr>
              <w:ind w:left="174" w:hanging="142"/>
              <w:rPr>
                <w:b/>
                <w:sz w:val="20"/>
                <w:szCs w:val="20"/>
              </w:rPr>
            </w:pPr>
            <w:r>
              <w:rPr>
                <w:b/>
                <w:sz w:val="20"/>
                <w:szCs w:val="20"/>
              </w:rPr>
              <w:tab/>
            </w:r>
            <w:r w:rsidRPr="0030598E">
              <w:rPr>
                <w:b/>
                <w:sz w:val="20"/>
                <w:szCs w:val="20"/>
              </w:rPr>
              <w:t>Medián, hét (95%</w:t>
            </w:r>
            <w:r w:rsidRPr="0030598E">
              <w:rPr>
                <w:b/>
                <w:sz w:val="20"/>
                <w:szCs w:val="20"/>
              </w:rPr>
              <w:noBreakHyphen/>
              <w:t>os CI)</w:t>
            </w:r>
          </w:p>
        </w:tc>
        <w:tc>
          <w:tcPr>
            <w:tcW w:w="1607" w:type="dxa"/>
          </w:tcPr>
          <w:p w14:paraId="29D41E02" w14:textId="77777777" w:rsidR="00CE2DD1" w:rsidRPr="0030598E" w:rsidRDefault="00CE2DD1" w:rsidP="00111B4C">
            <w:pPr>
              <w:jc w:val="center"/>
              <w:rPr>
                <w:sz w:val="20"/>
                <w:szCs w:val="20"/>
              </w:rPr>
            </w:pPr>
            <w:r w:rsidRPr="0030598E">
              <w:rPr>
                <w:sz w:val="20"/>
                <w:szCs w:val="20"/>
              </w:rPr>
              <w:t>N = 157</w:t>
            </w:r>
          </w:p>
          <w:p w14:paraId="498FF304" w14:textId="77777777" w:rsidR="00CE2DD1" w:rsidRPr="0030598E" w:rsidRDefault="00CE2DD1" w:rsidP="00111B4C">
            <w:pPr>
              <w:jc w:val="center"/>
              <w:rPr>
                <w:sz w:val="20"/>
                <w:szCs w:val="20"/>
              </w:rPr>
            </w:pPr>
            <w:r w:rsidRPr="0030598E">
              <w:rPr>
                <w:sz w:val="20"/>
                <w:szCs w:val="20"/>
              </w:rPr>
              <w:t>70,7</w:t>
            </w:r>
          </w:p>
          <w:p w14:paraId="326AB473" w14:textId="77777777" w:rsidR="00CE2DD1" w:rsidRPr="0030598E" w:rsidRDefault="00CE2DD1" w:rsidP="00111B4C">
            <w:pPr>
              <w:jc w:val="center"/>
              <w:rPr>
                <w:sz w:val="20"/>
                <w:szCs w:val="20"/>
              </w:rPr>
            </w:pPr>
            <w:r w:rsidRPr="0030598E">
              <w:rPr>
                <w:sz w:val="20"/>
                <w:szCs w:val="20"/>
              </w:rPr>
              <w:t>(63,1; 78,3)</w:t>
            </w:r>
          </w:p>
          <w:p w14:paraId="42996B01" w14:textId="77777777" w:rsidR="00CE2DD1" w:rsidRPr="0030598E" w:rsidRDefault="00CE2DD1" w:rsidP="00111B4C">
            <w:pPr>
              <w:jc w:val="center"/>
              <w:rPr>
                <w:sz w:val="20"/>
                <w:szCs w:val="20"/>
              </w:rPr>
            </w:pPr>
            <w:r w:rsidRPr="0030598E">
              <w:rPr>
                <w:sz w:val="20"/>
                <w:szCs w:val="20"/>
              </w:rPr>
              <w:t>65,3</w:t>
            </w:r>
          </w:p>
          <w:p w14:paraId="12AAED4B" w14:textId="77777777" w:rsidR="00CE2DD1" w:rsidRPr="0030598E" w:rsidRDefault="00CE2DD1" w:rsidP="00111B4C">
            <w:pPr>
              <w:jc w:val="center"/>
              <w:rPr>
                <w:sz w:val="20"/>
                <w:szCs w:val="20"/>
              </w:rPr>
            </w:pPr>
            <w:r w:rsidRPr="0030598E">
              <w:rPr>
                <w:sz w:val="20"/>
                <w:szCs w:val="20"/>
              </w:rPr>
              <w:t>(56,6; 74,0)</w:t>
            </w:r>
          </w:p>
          <w:p w14:paraId="425E0740" w14:textId="77777777" w:rsidR="00CE2DD1" w:rsidRPr="0030598E" w:rsidRDefault="00CE2DD1" w:rsidP="00111B4C">
            <w:pPr>
              <w:jc w:val="center"/>
              <w:rPr>
                <w:sz w:val="20"/>
                <w:szCs w:val="20"/>
              </w:rPr>
            </w:pPr>
            <w:r w:rsidRPr="0030598E">
              <w:rPr>
                <w:sz w:val="20"/>
                <w:szCs w:val="20"/>
              </w:rPr>
              <w:t>N/R</w:t>
            </w:r>
          </w:p>
        </w:tc>
        <w:tc>
          <w:tcPr>
            <w:tcW w:w="1890" w:type="dxa"/>
          </w:tcPr>
          <w:p w14:paraId="2C48F426" w14:textId="77777777" w:rsidR="00CE2DD1" w:rsidRPr="0030598E" w:rsidRDefault="00CE2DD1" w:rsidP="00111B4C">
            <w:pPr>
              <w:jc w:val="center"/>
              <w:rPr>
                <w:sz w:val="20"/>
                <w:szCs w:val="20"/>
              </w:rPr>
            </w:pPr>
            <w:r w:rsidRPr="0030598E">
              <w:rPr>
                <w:sz w:val="20"/>
                <w:szCs w:val="20"/>
              </w:rPr>
              <w:t>N = 47</w:t>
            </w:r>
          </w:p>
          <w:p w14:paraId="05CB1DBD" w14:textId="77777777" w:rsidR="00CE2DD1" w:rsidRPr="0030598E" w:rsidRDefault="00CE2DD1" w:rsidP="00111B4C">
            <w:pPr>
              <w:jc w:val="center"/>
              <w:rPr>
                <w:sz w:val="20"/>
                <w:szCs w:val="20"/>
              </w:rPr>
            </w:pPr>
            <w:r w:rsidRPr="0030598E">
              <w:rPr>
                <w:sz w:val="20"/>
                <w:szCs w:val="20"/>
              </w:rPr>
              <w:t>66,6</w:t>
            </w:r>
          </w:p>
          <w:p w14:paraId="5C409D85" w14:textId="77777777" w:rsidR="00CE2DD1" w:rsidRPr="0030598E" w:rsidRDefault="00CE2DD1" w:rsidP="00111B4C">
            <w:pPr>
              <w:jc w:val="center"/>
              <w:rPr>
                <w:sz w:val="20"/>
                <w:szCs w:val="20"/>
              </w:rPr>
            </w:pPr>
            <w:r w:rsidRPr="0030598E">
              <w:rPr>
                <w:sz w:val="20"/>
                <w:szCs w:val="20"/>
              </w:rPr>
              <w:t>(51,5; 81,7)</w:t>
            </w:r>
          </w:p>
          <w:p w14:paraId="35E7EA8F" w14:textId="77777777" w:rsidR="00CE2DD1" w:rsidRPr="0030598E" w:rsidRDefault="00CE2DD1" w:rsidP="00111B4C">
            <w:pPr>
              <w:jc w:val="center"/>
              <w:rPr>
                <w:sz w:val="20"/>
                <w:szCs w:val="20"/>
              </w:rPr>
            </w:pPr>
            <w:r w:rsidRPr="0030598E">
              <w:rPr>
                <w:sz w:val="20"/>
                <w:szCs w:val="20"/>
              </w:rPr>
              <w:t>55,3</w:t>
            </w:r>
          </w:p>
          <w:p w14:paraId="1D1E315D" w14:textId="77777777" w:rsidR="00CE2DD1" w:rsidRPr="0030598E" w:rsidRDefault="00CE2DD1" w:rsidP="00111B4C">
            <w:pPr>
              <w:jc w:val="center"/>
              <w:rPr>
                <w:sz w:val="20"/>
                <w:szCs w:val="20"/>
              </w:rPr>
            </w:pPr>
            <w:r w:rsidRPr="0030598E">
              <w:rPr>
                <w:sz w:val="20"/>
                <w:szCs w:val="20"/>
              </w:rPr>
              <w:t>(36,3; 74,4)</w:t>
            </w:r>
          </w:p>
          <w:p w14:paraId="2A588637" w14:textId="77777777" w:rsidR="00CE2DD1" w:rsidRPr="0030598E" w:rsidRDefault="00CE2DD1" w:rsidP="00111B4C">
            <w:pPr>
              <w:jc w:val="center"/>
              <w:rPr>
                <w:sz w:val="20"/>
                <w:szCs w:val="20"/>
              </w:rPr>
            </w:pPr>
            <w:r w:rsidRPr="0030598E">
              <w:rPr>
                <w:sz w:val="20"/>
                <w:szCs w:val="20"/>
              </w:rPr>
              <w:t>N/R</w:t>
            </w:r>
          </w:p>
        </w:tc>
        <w:tc>
          <w:tcPr>
            <w:tcW w:w="1724" w:type="dxa"/>
          </w:tcPr>
          <w:p w14:paraId="2121C61F" w14:textId="77777777" w:rsidR="00CE2DD1" w:rsidRPr="0030598E" w:rsidRDefault="00CE2DD1" w:rsidP="00111B4C">
            <w:pPr>
              <w:jc w:val="center"/>
              <w:rPr>
                <w:sz w:val="20"/>
                <w:szCs w:val="20"/>
              </w:rPr>
            </w:pPr>
            <w:r w:rsidRPr="0030598E">
              <w:rPr>
                <w:sz w:val="20"/>
                <w:szCs w:val="20"/>
              </w:rPr>
              <w:t>N = 29</w:t>
            </w:r>
          </w:p>
          <w:p w14:paraId="27BA5A72" w14:textId="77777777" w:rsidR="00CE2DD1" w:rsidRPr="0030598E" w:rsidRDefault="00CE2DD1" w:rsidP="00111B4C">
            <w:pPr>
              <w:jc w:val="center"/>
              <w:rPr>
                <w:sz w:val="20"/>
                <w:szCs w:val="20"/>
              </w:rPr>
            </w:pPr>
            <w:r w:rsidRPr="0030598E">
              <w:rPr>
                <w:sz w:val="20"/>
                <w:szCs w:val="20"/>
              </w:rPr>
              <w:t>40,8</w:t>
            </w:r>
          </w:p>
          <w:p w14:paraId="332C9052" w14:textId="77777777" w:rsidR="00CE2DD1" w:rsidRPr="0030598E" w:rsidRDefault="00CE2DD1" w:rsidP="00111B4C">
            <w:pPr>
              <w:jc w:val="center"/>
              <w:rPr>
                <w:sz w:val="20"/>
                <w:szCs w:val="20"/>
              </w:rPr>
            </w:pPr>
            <w:r w:rsidRPr="0030598E">
              <w:rPr>
                <w:sz w:val="20"/>
                <w:szCs w:val="20"/>
              </w:rPr>
              <w:t>(20,9; 60,7)</w:t>
            </w:r>
          </w:p>
          <w:p w14:paraId="4FA96983" w14:textId="77777777" w:rsidR="00CE2DD1" w:rsidRPr="0030598E" w:rsidRDefault="00CE2DD1" w:rsidP="00111B4C">
            <w:pPr>
              <w:jc w:val="center"/>
              <w:rPr>
                <w:sz w:val="20"/>
                <w:szCs w:val="20"/>
              </w:rPr>
            </w:pPr>
            <w:r w:rsidRPr="0030598E">
              <w:rPr>
                <w:sz w:val="20"/>
                <w:szCs w:val="20"/>
              </w:rPr>
              <w:t>40,8</w:t>
            </w:r>
          </w:p>
          <w:p w14:paraId="3141AA9F" w14:textId="77777777" w:rsidR="00CE2DD1" w:rsidRPr="0030598E" w:rsidRDefault="00CE2DD1" w:rsidP="00111B4C">
            <w:pPr>
              <w:jc w:val="center"/>
              <w:rPr>
                <w:sz w:val="20"/>
                <w:szCs w:val="20"/>
              </w:rPr>
            </w:pPr>
            <w:r w:rsidRPr="0030598E">
              <w:rPr>
                <w:sz w:val="20"/>
                <w:szCs w:val="20"/>
              </w:rPr>
              <w:t>(20,9; 60,7)</w:t>
            </w:r>
          </w:p>
          <w:p w14:paraId="3F3B5C0B" w14:textId="77777777" w:rsidR="00CE2DD1" w:rsidRPr="0030598E" w:rsidRDefault="00CE2DD1" w:rsidP="00111B4C">
            <w:pPr>
              <w:jc w:val="center"/>
              <w:rPr>
                <w:sz w:val="20"/>
                <w:szCs w:val="20"/>
              </w:rPr>
            </w:pPr>
            <w:r w:rsidRPr="0030598E">
              <w:rPr>
                <w:sz w:val="20"/>
                <w:szCs w:val="20"/>
              </w:rPr>
              <w:t>84,0</w:t>
            </w:r>
          </w:p>
          <w:p w14:paraId="6346FA5F" w14:textId="77777777" w:rsidR="00CE2DD1" w:rsidRPr="0030598E" w:rsidRDefault="00CE2DD1" w:rsidP="00111B4C">
            <w:pPr>
              <w:jc w:val="center"/>
              <w:rPr>
                <w:sz w:val="20"/>
                <w:szCs w:val="20"/>
              </w:rPr>
            </w:pPr>
            <w:r w:rsidRPr="0030598E">
              <w:rPr>
                <w:sz w:val="20"/>
                <w:szCs w:val="20"/>
              </w:rPr>
              <w:t>(24,0, N/E)</w:t>
            </w:r>
          </w:p>
        </w:tc>
        <w:tc>
          <w:tcPr>
            <w:tcW w:w="1730" w:type="dxa"/>
          </w:tcPr>
          <w:p w14:paraId="34FFE953" w14:textId="77777777" w:rsidR="00CE2DD1" w:rsidRPr="0030598E" w:rsidRDefault="00CE2DD1" w:rsidP="00111B4C">
            <w:pPr>
              <w:jc w:val="center"/>
              <w:rPr>
                <w:sz w:val="20"/>
                <w:szCs w:val="20"/>
              </w:rPr>
            </w:pPr>
            <w:r w:rsidRPr="0030598E">
              <w:rPr>
                <w:sz w:val="20"/>
                <w:szCs w:val="20"/>
              </w:rPr>
              <w:t>N = 20</w:t>
            </w:r>
          </w:p>
          <w:p w14:paraId="58A6F4AF" w14:textId="77777777" w:rsidR="00CE2DD1" w:rsidRPr="0030598E" w:rsidRDefault="00CE2DD1" w:rsidP="00111B4C">
            <w:pPr>
              <w:jc w:val="center"/>
              <w:rPr>
                <w:sz w:val="20"/>
                <w:szCs w:val="20"/>
              </w:rPr>
            </w:pPr>
            <w:r w:rsidRPr="0030598E">
              <w:rPr>
                <w:sz w:val="20"/>
                <w:szCs w:val="20"/>
              </w:rPr>
              <w:t>21,2</w:t>
            </w:r>
          </w:p>
          <w:p w14:paraId="1805CE1F" w14:textId="77777777" w:rsidR="00CE2DD1" w:rsidRPr="0030598E" w:rsidRDefault="00CE2DD1" w:rsidP="00111B4C">
            <w:pPr>
              <w:jc w:val="center"/>
              <w:rPr>
                <w:sz w:val="20"/>
                <w:szCs w:val="20"/>
              </w:rPr>
            </w:pPr>
            <w:r w:rsidRPr="0030598E">
              <w:rPr>
                <w:sz w:val="20"/>
                <w:szCs w:val="20"/>
              </w:rPr>
              <w:t>(0,1; 42,3)</w:t>
            </w:r>
          </w:p>
          <w:p w14:paraId="31C127FF" w14:textId="77777777" w:rsidR="00CE2DD1" w:rsidRPr="0030598E" w:rsidRDefault="00CE2DD1" w:rsidP="00111B4C">
            <w:pPr>
              <w:jc w:val="center"/>
              <w:rPr>
                <w:sz w:val="20"/>
                <w:szCs w:val="20"/>
              </w:rPr>
            </w:pPr>
            <w:r w:rsidRPr="0030598E">
              <w:rPr>
                <w:sz w:val="20"/>
                <w:szCs w:val="20"/>
              </w:rPr>
              <w:t>N/E</w:t>
            </w:r>
          </w:p>
          <w:p w14:paraId="5A2825F8" w14:textId="77777777" w:rsidR="00CE2DD1" w:rsidRPr="0030598E" w:rsidRDefault="00CE2DD1" w:rsidP="00111B4C">
            <w:pPr>
              <w:jc w:val="center"/>
              <w:rPr>
                <w:sz w:val="20"/>
                <w:szCs w:val="20"/>
              </w:rPr>
            </w:pPr>
          </w:p>
          <w:p w14:paraId="51458E1C" w14:textId="77777777" w:rsidR="00CE2DD1" w:rsidRPr="0030598E" w:rsidRDefault="00CE2DD1" w:rsidP="00111B4C">
            <w:pPr>
              <w:jc w:val="center"/>
              <w:rPr>
                <w:sz w:val="20"/>
                <w:szCs w:val="20"/>
              </w:rPr>
            </w:pPr>
            <w:r w:rsidRPr="0030598E">
              <w:rPr>
                <w:sz w:val="20"/>
                <w:szCs w:val="20"/>
              </w:rPr>
              <w:t>29,1</w:t>
            </w:r>
          </w:p>
          <w:p w14:paraId="74699B0A" w14:textId="77777777" w:rsidR="00CE2DD1" w:rsidRPr="0030598E" w:rsidRDefault="00CE2DD1" w:rsidP="00111B4C">
            <w:pPr>
              <w:jc w:val="center"/>
              <w:rPr>
                <w:sz w:val="20"/>
                <w:szCs w:val="20"/>
              </w:rPr>
            </w:pPr>
            <w:r w:rsidRPr="0030598E">
              <w:rPr>
                <w:sz w:val="20"/>
                <w:szCs w:val="20"/>
              </w:rPr>
              <w:t>(11,9; 38,3)</w:t>
            </w:r>
          </w:p>
        </w:tc>
      </w:tr>
      <w:tr w:rsidR="00CE2DD1" w:rsidRPr="008D72DB" w14:paraId="7FCDD5B5" w14:textId="77777777" w:rsidTr="0030598E">
        <w:tc>
          <w:tcPr>
            <w:tcW w:w="2830" w:type="dxa"/>
          </w:tcPr>
          <w:p w14:paraId="1909807A" w14:textId="77777777" w:rsidR="00CE2DD1" w:rsidRPr="0030598E" w:rsidRDefault="00CE2DD1" w:rsidP="0030598E">
            <w:pPr>
              <w:keepNext/>
              <w:keepLines/>
              <w:ind w:left="32"/>
              <w:rPr>
                <w:b/>
                <w:sz w:val="20"/>
                <w:szCs w:val="20"/>
              </w:rPr>
            </w:pPr>
            <w:r w:rsidRPr="0030598E">
              <w:rPr>
                <w:b/>
                <w:sz w:val="20"/>
                <w:szCs w:val="20"/>
              </w:rPr>
              <w:t>A CCyR kialakulásáig eltelt időtartam csak a reszpondereknél</w:t>
            </w:r>
            <w:r w:rsidRPr="0030598E">
              <w:rPr>
                <w:b/>
                <w:sz w:val="20"/>
                <w:szCs w:val="20"/>
                <w:vertAlign w:val="superscript"/>
              </w:rPr>
              <w:t>b</w:t>
            </w:r>
            <w:r w:rsidRPr="0030598E">
              <w:rPr>
                <w:b/>
                <w:sz w:val="20"/>
                <w:szCs w:val="20"/>
              </w:rPr>
              <w:t>, medián (tartomány), hét</w:t>
            </w:r>
          </w:p>
        </w:tc>
        <w:tc>
          <w:tcPr>
            <w:tcW w:w="1607" w:type="dxa"/>
          </w:tcPr>
          <w:p w14:paraId="1C927AAD" w14:textId="77777777" w:rsidR="00CE2DD1" w:rsidRPr="0030598E" w:rsidRDefault="00CE2DD1" w:rsidP="00111B4C">
            <w:pPr>
              <w:keepNext/>
              <w:keepLines/>
              <w:adjustRightInd w:val="0"/>
              <w:jc w:val="center"/>
              <w:rPr>
                <w:sz w:val="20"/>
                <w:szCs w:val="20"/>
              </w:rPr>
            </w:pPr>
            <w:r w:rsidRPr="0030598E">
              <w:rPr>
                <w:sz w:val="20"/>
                <w:szCs w:val="20"/>
              </w:rPr>
              <w:t>24,0 (7,7; 240,6)</w:t>
            </w:r>
          </w:p>
        </w:tc>
        <w:tc>
          <w:tcPr>
            <w:tcW w:w="1890" w:type="dxa"/>
          </w:tcPr>
          <w:p w14:paraId="3A78F4B9" w14:textId="77777777" w:rsidR="00CE2DD1" w:rsidRPr="0030598E" w:rsidRDefault="00CE2DD1" w:rsidP="00111B4C">
            <w:pPr>
              <w:keepNext/>
              <w:keepLines/>
              <w:adjustRightInd w:val="0"/>
              <w:jc w:val="center"/>
              <w:rPr>
                <w:sz w:val="20"/>
                <w:szCs w:val="20"/>
              </w:rPr>
            </w:pPr>
            <w:r w:rsidRPr="0030598E">
              <w:rPr>
                <w:sz w:val="20"/>
                <w:szCs w:val="20"/>
              </w:rPr>
              <w:t>24,0 (11,6; 216,0)</w:t>
            </w:r>
          </w:p>
        </w:tc>
        <w:tc>
          <w:tcPr>
            <w:tcW w:w="1724" w:type="dxa"/>
          </w:tcPr>
          <w:p w14:paraId="4D5127AF" w14:textId="77777777" w:rsidR="00CE2DD1" w:rsidRPr="0030598E" w:rsidRDefault="00CE2DD1" w:rsidP="00111B4C">
            <w:pPr>
              <w:keepNext/>
              <w:keepLines/>
              <w:jc w:val="center"/>
              <w:rPr>
                <w:sz w:val="20"/>
                <w:szCs w:val="20"/>
              </w:rPr>
            </w:pPr>
            <w:r w:rsidRPr="0030598E">
              <w:rPr>
                <w:sz w:val="20"/>
                <w:szCs w:val="20"/>
              </w:rPr>
              <w:t>23,8 (4,1; 120,0)</w:t>
            </w:r>
          </w:p>
        </w:tc>
        <w:tc>
          <w:tcPr>
            <w:tcW w:w="1730" w:type="dxa"/>
          </w:tcPr>
          <w:p w14:paraId="3D6C538B" w14:textId="77777777" w:rsidR="00CE2DD1" w:rsidRPr="0030598E" w:rsidRDefault="00CE2DD1" w:rsidP="00111B4C">
            <w:pPr>
              <w:keepNext/>
              <w:keepLines/>
              <w:jc w:val="center"/>
              <w:rPr>
                <w:sz w:val="20"/>
                <w:szCs w:val="20"/>
              </w:rPr>
            </w:pPr>
            <w:r w:rsidRPr="0030598E">
              <w:rPr>
                <w:sz w:val="20"/>
                <w:szCs w:val="20"/>
              </w:rPr>
              <w:t>8,4 (3,9; 25,1)</w:t>
            </w:r>
          </w:p>
        </w:tc>
      </w:tr>
      <w:tr w:rsidR="00CE2DD1" w:rsidRPr="008D72DB" w14:paraId="1E38DAAB" w14:textId="77777777" w:rsidTr="0030598E">
        <w:tc>
          <w:tcPr>
            <w:tcW w:w="2830" w:type="dxa"/>
          </w:tcPr>
          <w:p w14:paraId="168C7545" w14:textId="77777777" w:rsidR="00CE2DD1" w:rsidRPr="0030598E" w:rsidRDefault="00CE2DD1" w:rsidP="0030598E">
            <w:pPr>
              <w:ind w:left="174" w:hanging="142"/>
              <w:rPr>
                <w:b/>
                <w:sz w:val="20"/>
                <w:szCs w:val="20"/>
              </w:rPr>
            </w:pPr>
            <w:r w:rsidRPr="0030598E">
              <w:rPr>
                <w:b/>
                <w:sz w:val="20"/>
                <w:szCs w:val="20"/>
              </w:rPr>
              <w:t>A CCyR időtartama</w:t>
            </w:r>
            <w:r w:rsidRPr="0030598E">
              <w:rPr>
                <w:b/>
                <w:sz w:val="20"/>
                <w:szCs w:val="20"/>
                <w:vertAlign w:val="superscript"/>
              </w:rPr>
              <w:t>b</w:t>
            </w:r>
          </w:p>
          <w:p w14:paraId="257B9CED" w14:textId="262679FC" w:rsidR="00CE2DD1" w:rsidRPr="0030598E" w:rsidRDefault="00CE2DD1" w:rsidP="0030598E">
            <w:pPr>
              <w:ind w:left="174" w:hanging="142"/>
              <w:rPr>
                <w:b/>
                <w:sz w:val="20"/>
                <w:szCs w:val="20"/>
              </w:rPr>
            </w:pPr>
            <w:r>
              <w:rPr>
                <w:b/>
                <w:sz w:val="20"/>
                <w:szCs w:val="20"/>
              </w:rPr>
              <w:tab/>
            </w:r>
            <w:r w:rsidRPr="0030598E">
              <w:rPr>
                <w:b/>
                <w:sz w:val="20"/>
                <w:szCs w:val="20"/>
              </w:rPr>
              <w:t>5 éves K</w:t>
            </w:r>
            <w:r w:rsidRPr="0030598E">
              <w:rPr>
                <w:b/>
                <w:sz w:val="20"/>
                <w:szCs w:val="20"/>
              </w:rPr>
              <w:noBreakHyphen/>
              <w:t>M, % (95%-os CI)</w:t>
            </w:r>
          </w:p>
          <w:p w14:paraId="1240072B" w14:textId="1CF00FD8" w:rsidR="00CE2DD1" w:rsidRPr="0030598E" w:rsidRDefault="00CE2DD1" w:rsidP="0030598E">
            <w:pPr>
              <w:ind w:left="174" w:hanging="142"/>
              <w:rPr>
                <w:b/>
                <w:sz w:val="20"/>
                <w:szCs w:val="20"/>
              </w:rPr>
            </w:pPr>
            <w:r>
              <w:rPr>
                <w:b/>
                <w:sz w:val="20"/>
                <w:szCs w:val="20"/>
              </w:rPr>
              <w:tab/>
            </w:r>
            <w:r w:rsidRPr="0030598E">
              <w:rPr>
                <w:b/>
                <w:sz w:val="20"/>
                <w:szCs w:val="20"/>
              </w:rPr>
              <w:t>10 éves K</w:t>
            </w:r>
            <w:r w:rsidRPr="0030598E">
              <w:rPr>
                <w:b/>
                <w:sz w:val="20"/>
                <w:szCs w:val="20"/>
              </w:rPr>
              <w:noBreakHyphen/>
              <w:t>M, % (95%-os CI)</w:t>
            </w:r>
          </w:p>
          <w:p w14:paraId="3D5FB2A5" w14:textId="536DBE01" w:rsidR="00CE2DD1" w:rsidRPr="0030598E" w:rsidRDefault="00CE2DD1" w:rsidP="0030598E">
            <w:pPr>
              <w:keepNext/>
              <w:keepLines/>
              <w:ind w:left="174" w:hanging="142"/>
              <w:rPr>
                <w:b/>
                <w:sz w:val="20"/>
                <w:szCs w:val="20"/>
              </w:rPr>
            </w:pPr>
            <w:r>
              <w:rPr>
                <w:b/>
                <w:sz w:val="20"/>
                <w:szCs w:val="20"/>
              </w:rPr>
              <w:tab/>
            </w:r>
            <w:r w:rsidRPr="0030598E">
              <w:rPr>
                <w:b/>
                <w:sz w:val="20"/>
                <w:szCs w:val="20"/>
              </w:rPr>
              <w:t>Medián, hét (95%-os CI)</w:t>
            </w:r>
          </w:p>
        </w:tc>
        <w:tc>
          <w:tcPr>
            <w:tcW w:w="1607" w:type="dxa"/>
          </w:tcPr>
          <w:p w14:paraId="1B553C5C" w14:textId="77777777" w:rsidR="00CE2DD1" w:rsidRPr="0030598E" w:rsidRDefault="00CE2DD1" w:rsidP="00111B4C">
            <w:pPr>
              <w:jc w:val="center"/>
              <w:rPr>
                <w:sz w:val="20"/>
                <w:szCs w:val="20"/>
              </w:rPr>
            </w:pPr>
            <w:r w:rsidRPr="0030598E">
              <w:rPr>
                <w:sz w:val="20"/>
                <w:szCs w:val="20"/>
              </w:rPr>
              <w:t>N = 130</w:t>
            </w:r>
          </w:p>
          <w:p w14:paraId="2FF955C9" w14:textId="77777777" w:rsidR="00CE2DD1" w:rsidRPr="0030598E" w:rsidRDefault="00CE2DD1" w:rsidP="00111B4C">
            <w:pPr>
              <w:jc w:val="center"/>
              <w:rPr>
                <w:sz w:val="20"/>
                <w:szCs w:val="20"/>
              </w:rPr>
            </w:pPr>
            <w:r w:rsidRPr="0030598E">
              <w:rPr>
                <w:sz w:val="20"/>
                <w:szCs w:val="20"/>
              </w:rPr>
              <w:t xml:space="preserve">69,7 (61,3; 78,2) </w:t>
            </w:r>
          </w:p>
          <w:p w14:paraId="0B5CDAFC" w14:textId="77777777" w:rsidR="00CE2DD1" w:rsidRPr="0030598E" w:rsidRDefault="00CE2DD1" w:rsidP="00111B4C">
            <w:pPr>
              <w:keepNext/>
              <w:keepLines/>
              <w:adjustRightInd w:val="0"/>
              <w:jc w:val="center"/>
              <w:rPr>
                <w:sz w:val="20"/>
                <w:szCs w:val="20"/>
              </w:rPr>
            </w:pPr>
            <w:r w:rsidRPr="0030598E">
              <w:rPr>
                <w:sz w:val="20"/>
                <w:szCs w:val="20"/>
              </w:rPr>
              <w:t>63,4 (54,0; 72,8) N/R</w:t>
            </w:r>
          </w:p>
        </w:tc>
        <w:tc>
          <w:tcPr>
            <w:tcW w:w="1890" w:type="dxa"/>
          </w:tcPr>
          <w:p w14:paraId="0449BCA8" w14:textId="77777777" w:rsidR="00CE2DD1" w:rsidRPr="0030598E" w:rsidRDefault="00CE2DD1" w:rsidP="00111B4C">
            <w:pPr>
              <w:jc w:val="center"/>
              <w:rPr>
                <w:sz w:val="20"/>
                <w:szCs w:val="20"/>
              </w:rPr>
            </w:pPr>
            <w:r w:rsidRPr="0030598E">
              <w:rPr>
                <w:sz w:val="20"/>
                <w:szCs w:val="20"/>
              </w:rPr>
              <w:t>N = 36</w:t>
            </w:r>
          </w:p>
          <w:p w14:paraId="1BD73AF8" w14:textId="77777777" w:rsidR="00CE2DD1" w:rsidRPr="0030598E" w:rsidRDefault="00CE2DD1" w:rsidP="00111B4C">
            <w:pPr>
              <w:jc w:val="center"/>
              <w:rPr>
                <w:sz w:val="20"/>
                <w:szCs w:val="20"/>
              </w:rPr>
            </w:pPr>
            <w:r w:rsidRPr="0030598E">
              <w:rPr>
                <w:sz w:val="20"/>
                <w:szCs w:val="20"/>
              </w:rPr>
              <w:t>54,4 (36,7; 72,1)</w:t>
            </w:r>
          </w:p>
          <w:p w14:paraId="2AFE0FF1" w14:textId="77777777" w:rsidR="00CE2DD1" w:rsidRPr="0030598E" w:rsidRDefault="00CE2DD1" w:rsidP="00111B4C">
            <w:pPr>
              <w:jc w:val="center"/>
              <w:rPr>
                <w:sz w:val="20"/>
                <w:szCs w:val="20"/>
              </w:rPr>
            </w:pPr>
            <w:r w:rsidRPr="0030598E">
              <w:rPr>
                <w:sz w:val="20"/>
                <w:szCs w:val="20"/>
              </w:rPr>
              <w:t>40,8 (22,0; 59,6)</w:t>
            </w:r>
          </w:p>
          <w:p w14:paraId="6FB64DD7" w14:textId="77777777" w:rsidR="00CE2DD1" w:rsidRPr="0030598E" w:rsidRDefault="00CE2DD1" w:rsidP="00111B4C">
            <w:pPr>
              <w:keepNext/>
              <w:keepLines/>
              <w:adjustRightInd w:val="0"/>
              <w:jc w:val="center"/>
              <w:rPr>
                <w:sz w:val="20"/>
                <w:szCs w:val="20"/>
              </w:rPr>
            </w:pPr>
            <w:r w:rsidRPr="0030598E">
              <w:rPr>
                <w:sz w:val="20"/>
                <w:szCs w:val="20"/>
              </w:rPr>
              <w:t>252,0 (24,0; N/E)</w:t>
            </w:r>
          </w:p>
        </w:tc>
        <w:tc>
          <w:tcPr>
            <w:tcW w:w="1724" w:type="dxa"/>
          </w:tcPr>
          <w:p w14:paraId="3FD52146" w14:textId="77777777" w:rsidR="00CE2DD1" w:rsidRPr="0030598E" w:rsidRDefault="00CE2DD1" w:rsidP="00111B4C">
            <w:pPr>
              <w:jc w:val="center"/>
              <w:rPr>
                <w:sz w:val="20"/>
                <w:szCs w:val="20"/>
              </w:rPr>
            </w:pPr>
            <w:r w:rsidRPr="0030598E">
              <w:rPr>
                <w:sz w:val="20"/>
                <w:szCs w:val="20"/>
              </w:rPr>
              <w:t>N = 22</w:t>
            </w:r>
          </w:p>
          <w:p w14:paraId="6E6A511F" w14:textId="77777777" w:rsidR="00CE2DD1" w:rsidRPr="0030598E" w:rsidRDefault="00CE2DD1" w:rsidP="00111B4C">
            <w:pPr>
              <w:jc w:val="center"/>
              <w:rPr>
                <w:sz w:val="20"/>
                <w:szCs w:val="20"/>
              </w:rPr>
            </w:pPr>
            <w:r w:rsidRPr="0030598E">
              <w:rPr>
                <w:sz w:val="20"/>
                <w:szCs w:val="20"/>
              </w:rPr>
              <w:t>40,0 (18,5; 61,5)</w:t>
            </w:r>
          </w:p>
          <w:p w14:paraId="7FB6F22B" w14:textId="77777777" w:rsidR="00CE2DD1" w:rsidRPr="0030598E" w:rsidRDefault="00CE2DD1" w:rsidP="00111B4C">
            <w:pPr>
              <w:jc w:val="center"/>
              <w:rPr>
                <w:sz w:val="20"/>
                <w:szCs w:val="20"/>
              </w:rPr>
            </w:pPr>
            <w:r w:rsidRPr="0030598E">
              <w:rPr>
                <w:sz w:val="20"/>
                <w:szCs w:val="20"/>
              </w:rPr>
              <w:t>40,0 (18,5; 61,5)</w:t>
            </w:r>
          </w:p>
          <w:p w14:paraId="287548A5" w14:textId="77777777" w:rsidR="00CE2DD1" w:rsidRPr="0030598E" w:rsidRDefault="00CE2DD1" w:rsidP="00111B4C">
            <w:pPr>
              <w:keepNext/>
              <w:keepLines/>
              <w:jc w:val="center"/>
              <w:rPr>
                <w:sz w:val="20"/>
                <w:szCs w:val="20"/>
              </w:rPr>
            </w:pPr>
            <w:r w:rsidRPr="0030598E">
              <w:rPr>
                <w:sz w:val="20"/>
                <w:szCs w:val="20"/>
              </w:rPr>
              <w:t>72,0 (36,1; N/E)</w:t>
            </w:r>
          </w:p>
        </w:tc>
        <w:tc>
          <w:tcPr>
            <w:tcW w:w="1730" w:type="dxa"/>
          </w:tcPr>
          <w:p w14:paraId="3670A082" w14:textId="77777777" w:rsidR="00CE2DD1" w:rsidRPr="0030598E" w:rsidRDefault="00CE2DD1" w:rsidP="00111B4C">
            <w:pPr>
              <w:jc w:val="center"/>
              <w:rPr>
                <w:sz w:val="20"/>
                <w:szCs w:val="20"/>
              </w:rPr>
            </w:pPr>
            <w:r w:rsidRPr="0030598E">
              <w:rPr>
                <w:sz w:val="20"/>
                <w:szCs w:val="20"/>
              </w:rPr>
              <w:t>N = 15</w:t>
            </w:r>
          </w:p>
          <w:p w14:paraId="19CA6868" w14:textId="77777777" w:rsidR="00CE2DD1" w:rsidRPr="0030598E" w:rsidRDefault="00CE2DD1" w:rsidP="00111B4C">
            <w:pPr>
              <w:jc w:val="center"/>
              <w:rPr>
                <w:sz w:val="20"/>
                <w:szCs w:val="20"/>
              </w:rPr>
            </w:pPr>
            <w:r w:rsidRPr="0030598E">
              <w:rPr>
                <w:sz w:val="20"/>
                <w:szCs w:val="20"/>
              </w:rPr>
              <w:t>24,9 (0,9; 48,9)</w:t>
            </w:r>
          </w:p>
          <w:p w14:paraId="051414B5" w14:textId="77777777" w:rsidR="00CE2DD1" w:rsidRPr="0030598E" w:rsidRDefault="00CE2DD1" w:rsidP="00111B4C">
            <w:pPr>
              <w:jc w:val="center"/>
              <w:rPr>
                <w:sz w:val="20"/>
                <w:szCs w:val="20"/>
              </w:rPr>
            </w:pPr>
            <w:r w:rsidRPr="0030598E">
              <w:rPr>
                <w:sz w:val="20"/>
                <w:szCs w:val="20"/>
              </w:rPr>
              <w:t>N/E</w:t>
            </w:r>
          </w:p>
          <w:p w14:paraId="6E6B1CB2" w14:textId="77777777" w:rsidR="00CE2DD1" w:rsidRPr="0030598E" w:rsidRDefault="00CE2DD1" w:rsidP="00111B4C">
            <w:pPr>
              <w:keepNext/>
              <w:keepLines/>
              <w:jc w:val="center"/>
              <w:rPr>
                <w:sz w:val="20"/>
                <w:szCs w:val="20"/>
              </w:rPr>
            </w:pPr>
            <w:r w:rsidRPr="0030598E">
              <w:rPr>
                <w:sz w:val="20"/>
                <w:szCs w:val="20"/>
              </w:rPr>
              <w:t>20,0 (9,1; 29,6)</w:t>
            </w:r>
          </w:p>
        </w:tc>
      </w:tr>
      <w:tr w:rsidR="00CE2DD1" w:rsidRPr="008D72DB" w14:paraId="38B554D6" w14:textId="77777777" w:rsidTr="0030598E">
        <w:tc>
          <w:tcPr>
            <w:tcW w:w="2830" w:type="dxa"/>
          </w:tcPr>
          <w:p w14:paraId="06298B4C" w14:textId="77777777" w:rsidR="00CE2DD1" w:rsidRPr="0030598E" w:rsidRDefault="00CE2DD1" w:rsidP="0030598E">
            <w:pPr>
              <w:keepNext/>
              <w:keepLines/>
              <w:ind w:left="32"/>
              <w:rPr>
                <w:b/>
                <w:sz w:val="20"/>
                <w:szCs w:val="20"/>
              </w:rPr>
            </w:pPr>
            <w:r w:rsidRPr="0030598E">
              <w:rPr>
                <w:b/>
                <w:sz w:val="20"/>
                <w:szCs w:val="20"/>
              </w:rPr>
              <w:t>Az MMR kialakulásáig eltelt időtartam csak a reszpondereknél</w:t>
            </w:r>
            <w:r w:rsidRPr="0030598E">
              <w:rPr>
                <w:b/>
                <w:sz w:val="20"/>
                <w:szCs w:val="20"/>
                <w:vertAlign w:val="superscript"/>
              </w:rPr>
              <w:t>b</w:t>
            </w:r>
            <w:r w:rsidRPr="0030598E">
              <w:rPr>
                <w:b/>
                <w:sz w:val="20"/>
                <w:szCs w:val="20"/>
              </w:rPr>
              <w:t>, medián (tartomány), hét</w:t>
            </w:r>
          </w:p>
        </w:tc>
        <w:tc>
          <w:tcPr>
            <w:tcW w:w="1607" w:type="dxa"/>
          </w:tcPr>
          <w:p w14:paraId="02D1866E" w14:textId="77777777" w:rsidR="00CE2DD1" w:rsidRPr="0030598E" w:rsidRDefault="00CE2DD1" w:rsidP="00111B4C">
            <w:pPr>
              <w:keepNext/>
              <w:keepLines/>
              <w:adjustRightInd w:val="0"/>
              <w:jc w:val="center"/>
              <w:rPr>
                <w:sz w:val="20"/>
                <w:szCs w:val="20"/>
              </w:rPr>
            </w:pPr>
            <w:r w:rsidRPr="0030598E">
              <w:rPr>
                <w:sz w:val="20"/>
                <w:szCs w:val="20"/>
              </w:rPr>
              <w:t>35,6 (3,1; 367,1)</w:t>
            </w:r>
          </w:p>
        </w:tc>
        <w:tc>
          <w:tcPr>
            <w:tcW w:w="1890" w:type="dxa"/>
          </w:tcPr>
          <w:p w14:paraId="3B1ED6B2" w14:textId="77777777" w:rsidR="00CE2DD1" w:rsidRPr="0030598E" w:rsidRDefault="00CE2DD1" w:rsidP="00111B4C">
            <w:pPr>
              <w:keepNext/>
              <w:keepLines/>
              <w:adjustRightInd w:val="0"/>
              <w:jc w:val="center"/>
              <w:rPr>
                <w:sz w:val="20"/>
                <w:szCs w:val="20"/>
              </w:rPr>
            </w:pPr>
            <w:r w:rsidRPr="0030598E">
              <w:rPr>
                <w:sz w:val="20"/>
                <w:szCs w:val="20"/>
              </w:rPr>
              <w:t>12,4 (4,0; 171,7)</w:t>
            </w:r>
          </w:p>
        </w:tc>
        <w:tc>
          <w:tcPr>
            <w:tcW w:w="1724" w:type="dxa"/>
          </w:tcPr>
          <w:p w14:paraId="291F2F01" w14:textId="77777777" w:rsidR="00CE2DD1" w:rsidRPr="0030598E" w:rsidRDefault="00CE2DD1" w:rsidP="00111B4C">
            <w:pPr>
              <w:keepNext/>
              <w:keepLines/>
              <w:jc w:val="center"/>
              <w:rPr>
                <w:sz w:val="20"/>
                <w:szCs w:val="20"/>
              </w:rPr>
            </w:pPr>
            <w:r w:rsidRPr="0030598E">
              <w:rPr>
                <w:sz w:val="20"/>
                <w:szCs w:val="20"/>
              </w:rPr>
              <w:t>36,1 (12,1; 144,1)</w:t>
            </w:r>
          </w:p>
        </w:tc>
        <w:tc>
          <w:tcPr>
            <w:tcW w:w="1730" w:type="dxa"/>
          </w:tcPr>
          <w:p w14:paraId="2C5AF6A8" w14:textId="77777777" w:rsidR="00CE2DD1" w:rsidRPr="0030598E" w:rsidRDefault="00CE2DD1" w:rsidP="00111B4C">
            <w:pPr>
              <w:keepNext/>
              <w:keepLines/>
              <w:jc w:val="center"/>
              <w:rPr>
                <w:sz w:val="20"/>
                <w:szCs w:val="20"/>
              </w:rPr>
            </w:pPr>
            <w:r w:rsidRPr="0030598E">
              <w:rPr>
                <w:sz w:val="20"/>
                <w:szCs w:val="20"/>
              </w:rPr>
              <w:t>4,7 (3,9; 168,9)</w:t>
            </w:r>
          </w:p>
        </w:tc>
      </w:tr>
      <w:tr w:rsidR="00CE2DD1" w:rsidRPr="008D72DB" w14:paraId="18053A28" w14:textId="77777777" w:rsidTr="0030598E">
        <w:tc>
          <w:tcPr>
            <w:tcW w:w="2830" w:type="dxa"/>
          </w:tcPr>
          <w:p w14:paraId="1F846C5D" w14:textId="77777777" w:rsidR="00CE2DD1" w:rsidRPr="0030598E" w:rsidRDefault="00CE2DD1" w:rsidP="0030598E">
            <w:pPr>
              <w:ind w:left="174" w:hanging="142"/>
              <w:rPr>
                <w:b/>
                <w:sz w:val="20"/>
                <w:szCs w:val="20"/>
              </w:rPr>
            </w:pPr>
            <w:r w:rsidRPr="0030598E">
              <w:rPr>
                <w:b/>
                <w:sz w:val="20"/>
                <w:szCs w:val="20"/>
              </w:rPr>
              <w:t>Az MMR időtartama</w:t>
            </w:r>
            <w:r w:rsidRPr="0030598E">
              <w:rPr>
                <w:b/>
                <w:sz w:val="20"/>
                <w:szCs w:val="20"/>
                <w:vertAlign w:val="superscript"/>
              </w:rPr>
              <w:t>b</w:t>
            </w:r>
          </w:p>
          <w:p w14:paraId="363DDE5D" w14:textId="240478A9" w:rsidR="00CE2DD1" w:rsidRPr="0030598E" w:rsidRDefault="00CE2DD1" w:rsidP="0030598E">
            <w:pPr>
              <w:ind w:left="174" w:hanging="142"/>
              <w:rPr>
                <w:b/>
                <w:sz w:val="20"/>
                <w:szCs w:val="20"/>
              </w:rPr>
            </w:pPr>
            <w:r>
              <w:rPr>
                <w:b/>
                <w:sz w:val="20"/>
                <w:szCs w:val="20"/>
              </w:rPr>
              <w:tab/>
            </w:r>
            <w:r w:rsidRPr="0030598E">
              <w:rPr>
                <w:b/>
                <w:sz w:val="20"/>
                <w:szCs w:val="20"/>
              </w:rPr>
              <w:t>5 éves K</w:t>
            </w:r>
            <w:r w:rsidRPr="0030598E">
              <w:rPr>
                <w:b/>
                <w:sz w:val="20"/>
                <w:szCs w:val="20"/>
              </w:rPr>
              <w:noBreakHyphen/>
              <w:t>M, % (95%-os CI)</w:t>
            </w:r>
          </w:p>
          <w:p w14:paraId="7E88608F" w14:textId="3CFED484" w:rsidR="00CE2DD1" w:rsidRPr="0030598E" w:rsidRDefault="00CE2DD1" w:rsidP="0030598E">
            <w:pPr>
              <w:ind w:left="174" w:hanging="142"/>
              <w:rPr>
                <w:b/>
                <w:sz w:val="20"/>
                <w:szCs w:val="20"/>
              </w:rPr>
            </w:pPr>
            <w:r>
              <w:rPr>
                <w:b/>
                <w:sz w:val="20"/>
                <w:szCs w:val="20"/>
              </w:rPr>
              <w:tab/>
            </w:r>
            <w:r w:rsidRPr="0030598E">
              <w:rPr>
                <w:b/>
                <w:sz w:val="20"/>
                <w:szCs w:val="20"/>
              </w:rPr>
              <w:t>10 éves K</w:t>
            </w:r>
            <w:r w:rsidRPr="0030598E">
              <w:rPr>
                <w:b/>
                <w:sz w:val="20"/>
                <w:szCs w:val="20"/>
              </w:rPr>
              <w:noBreakHyphen/>
              <w:t>M, % (95%-os CI)</w:t>
            </w:r>
          </w:p>
          <w:p w14:paraId="50ED58CA" w14:textId="7E706657" w:rsidR="00CE2DD1" w:rsidRPr="0030598E" w:rsidRDefault="00CE2DD1" w:rsidP="0030598E">
            <w:pPr>
              <w:keepNext/>
              <w:keepLines/>
              <w:ind w:left="174" w:hanging="142"/>
              <w:rPr>
                <w:b/>
                <w:sz w:val="20"/>
                <w:szCs w:val="20"/>
              </w:rPr>
            </w:pPr>
            <w:r>
              <w:rPr>
                <w:b/>
                <w:sz w:val="20"/>
                <w:szCs w:val="20"/>
              </w:rPr>
              <w:tab/>
            </w:r>
            <w:r w:rsidRPr="0030598E">
              <w:rPr>
                <w:b/>
                <w:sz w:val="20"/>
                <w:szCs w:val="20"/>
              </w:rPr>
              <w:t>Medián, hét (95%-os CI)</w:t>
            </w:r>
          </w:p>
        </w:tc>
        <w:tc>
          <w:tcPr>
            <w:tcW w:w="1607" w:type="dxa"/>
          </w:tcPr>
          <w:p w14:paraId="3C742D8D" w14:textId="77777777" w:rsidR="00CE2DD1" w:rsidRPr="0030598E" w:rsidRDefault="00CE2DD1" w:rsidP="00111B4C">
            <w:pPr>
              <w:jc w:val="center"/>
              <w:rPr>
                <w:sz w:val="20"/>
                <w:szCs w:val="20"/>
              </w:rPr>
            </w:pPr>
            <w:r w:rsidRPr="0030598E">
              <w:rPr>
                <w:sz w:val="20"/>
                <w:szCs w:val="20"/>
              </w:rPr>
              <w:t>N = 83</w:t>
            </w:r>
          </w:p>
          <w:p w14:paraId="500450D7" w14:textId="77777777" w:rsidR="00CE2DD1" w:rsidRPr="0030598E" w:rsidRDefault="00CE2DD1" w:rsidP="00111B4C">
            <w:pPr>
              <w:jc w:val="center"/>
              <w:rPr>
                <w:sz w:val="20"/>
                <w:szCs w:val="20"/>
              </w:rPr>
            </w:pPr>
            <w:r w:rsidRPr="0030598E">
              <w:rPr>
                <w:sz w:val="20"/>
                <w:szCs w:val="20"/>
              </w:rPr>
              <w:t>74,1 (64,2; 83,9)</w:t>
            </w:r>
          </w:p>
          <w:p w14:paraId="509E210B" w14:textId="77777777" w:rsidR="00CE2DD1" w:rsidRPr="0030598E" w:rsidRDefault="00CE2DD1" w:rsidP="00111B4C">
            <w:pPr>
              <w:keepNext/>
              <w:keepLines/>
              <w:adjustRightInd w:val="0"/>
              <w:jc w:val="center"/>
              <w:rPr>
                <w:sz w:val="20"/>
                <w:szCs w:val="20"/>
              </w:rPr>
            </w:pPr>
            <w:r w:rsidRPr="0030598E">
              <w:rPr>
                <w:sz w:val="20"/>
                <w:szCs w:val="20"/>
              </w:rPr>
              <w:t>63,4 (50,2; 76,6) N/R</w:t>
            </w:r>
          </w:p>
        </w:tc>
        <w:tc>
          <w:tcPr>
            <w:tcW w:w="1890" w:type="dxa"/>
          </w:tcPr>
          <w:p w14:paraId="5D669423" w14:textId="77777777" w:rsidR="00CE2DD1" w:rsidRPr="0030598E" w:rsidRDefault="00CE2DD1" w:rsidP="00111B4C">
            <w:pPr>
              <w:jc w:val="center"/>
              <w:rPr>
                <w:sz w:val="20"/>
                <w:szCs w:val="20"/>
              </w:rPr>
            </w:pPr>
            <w:r w:rsidRPr="0030598E">
              <w:rPr>
                <w:sz w:val="20"/>
                <w:szCs w:val="20"/>
              </w:rPr>
              <w:t>N = 19</w:t>
            </w:r>
          </w:p>
          <w:p w14:paraId="434DE732" w14:textId="77777777" w:rsidR="00CE2DD1" w:rsidRPr="0030598E" w:rsidRDefault="00CE2DD1" w:rsidP="00111B4C">
            <w:pPr>
              <w:jc w:val="center"/>
              <w:rPr>
                <w:sz w:val="20"/>
                <w:szCs w:val="20"/>
              </w:rPr>
            </w:pPr>
            <w:r w:rsidRPr="0030598E">
              <w:rPr>
                <w:sz w:val="20"/>
                <w:szCs w:val="20"/>
              </w:rPr>
              <w:t>70,0 (47,5; 92,5)</w:t>
            </w:r>
          </w:p>
          <w:p w14:paraId="1EAB32E5" w14:textId="77777777" w:rsidR="00CE2DD1" w:rsidRPr="0030598E" w:rsidRDefault="00CE2DD1" w:rsidP="00111B4C">
            <w:pPr>
              <w:jc w:val="center"/>
              <w:rPr>
                <w:sz w:val="20"/>
                <w:szCs w:val="20"/>
              </w:rPr>
            </w:pPr>
            <w:r w:rsidRPr="0030598E">
              <w:rPr>
                <w:sz w:val="20"/>
                <w:szCs w:val="20"/>
              </w:rPr>
              <w:t>70,0 (47,5; 92,5)</w:t>
            </w:r>
          </w:p>
          <w:p w14:paraId="28CC4AD8" w14:textId="77777777" w:rsidR="00CE2DD1" w:rsidRPr="0030598E" w:rsidRDefault="00CE2DD1" w:rsidP="00111B4C">
            <w:pPr>
              <w:keepNext/>
              <w:keepLines/>
              <w:adjustRightInd w:val="0"/>
              <w:jc w:val="center"/>
              <w:rPr>
                <w:sz w:val="20"/>
                <w:szCs w:val="20"/>
              </w:rPr>
            </w:pPr>
            <w:r w:rsidRPr="0030598E">
              <w:rPr>
                <w:sz w:val="20"/>
                <w:szCs w:val="20"/>
              </w:rPr>
              <w:t>N/R</w:t>
            </w:r>
          </w:p>
        </w:tc>
        <w:tc>
          <w:tcPr>
            <w:tcW w:w="1724" w:type="dxa"/>
          </w:tcPr>
          <w:p w14:paraId="405FF72B" w14:textId="77777777" w:rsidR="00CE2DD1" w:rsidRPr="0030598E" w:rsidRDefault="00CE2DD1" w:rsidP="00111B4C">
            <w:pPr>
              <w:jc w:val="center"/>
              <w:rPr>
                <w:sz w:val="20"/>
                <w:szCs w:val="20"/>
              </w:rPr>
            </w:pPr>
            <w:r w:rsidRPr="0030598E">
              <w:rPr>
                <w:sz w:val="20"/>
                <w:szCs w:val="20"/>
              </w:rPr>
              <w:t>N = 9</w:t>
            </w:r>
          </w:p>
          <w:p w14:paraId="3C99F707" w14:textId="77777777" w:rsidR="00CE2DD1" w:rsidRPr="0030598E" w:rsidRDefault="00CE2DD1" w:rsidP="00111B4C">
            <w:pPr>
              <w:jc w:val="center"/>
              <w:rPr>
                <w:sz w:val="20"/>
                <w:szCs w:val="20"/>
              </w:rPr>
            </w:pPr>
            <w:r w:rsidRPr="0030598E">
              <w:rPr>
                <w:sz w:val="20"/>
                <w:szCs w:val="20"/>
              </w:rPr>
              <w:t>66,7 (35,9; 97,5) 66,7 (35,9; 97,5)</w:t>
            </w:r>
          </w:p>
          <w:p w14:paraId="79A6892D" w14:textId="77777777" w:rsidR="00CE2DD1" w:rsidRPr="0030598E" w:rsidRDefault="00CE2DD1" w:rsidP="00111B4C">
            <w:pPr>
              <w:keepNext/>
              <w:keepLines/>
              <w:jc w:val="center"/>
              <w:rPr>
                <w:sz w:val="20"/>
                <w:szCs w:val="20"/>
              </w:rPr>
            </w:pPr>
            <w:r w:rsidRPr="0030598E">
              <w:rPr>
                <w:sz w:val="20"/>
                <w:szCs w:val="20"/>
              </w:rPr>
              <w:t>N/R</w:t>
            </w:r>
          </w:p>
        </w:tc>
        <w:tc>
          <w:tcPr>
            <w:tcW w:w="1730" w:type="dxa"/>
          </w:tcPr>
          <w:p w14:paraId="04E9880D" w14:textId="77777777" w:rsidR="00CE2DD1" w:rsidRPr="0030598E" w:rsidRDefault="00CE2DD1" w:rsidP="00111B4C">
            <w:pPr>
              <w:jc w:val="center"/>
              <w:rPr>
                <w:sz w:val="20"/>
                <w:szCs w:val="20"/>
              </w:rPr>
            </w:pPr>
            <w:r w:rsidRPr="0030598E">
              <w:rPr>
                <w:sz w:val="20"/>
                <w:szCs w:val="20"/>
              </w:rPr>
              <w:t>N = 5</w:t>
            </w:r>
          </w:p>
          <w:p w14:paraId="0E150237" w14:textId="77777777" w:rsidR="00CE2DD1" w:rsidRPr="0030598E" w:rsidRDefault="00CE2DD1" w:rsidP="00111B4C">
            <w:pPr>
              <w:jc w:val="center"/>
              <w:rPr>
                <w:sz w:val="20"/>
                <w:szCs w:val="20"/>
              </w:rPr>
            </w:pPr>
            <w:r w:rsidRPr="0030598E">
              <w:rPr>
                <w:sz w:val="20"/>
                <w:szCs w:val="20"/>
              </w:rPr>
              <w:t>60,0 (17,1; 100,0)</w:t>
            </w:r>
          </w:p>
          <w:p w14:paraId="5702A0E4" w14:textId="77777777" w:rsidR="00CE2DD1" w:rsidRPr="0030598E" w:rsidRDefault="00CE2DD1" w:rsidP="00111B4C">
            <w:pPr>
              <w:jc w:val="center"/>
              <w:rPr>
                <w:sz w:val="20"/>
                <w:szCs w:val="20"/>
              </w:rPr>
            </w:pPr>
            <w:r w:rsidRPr="0030598E">
              <w:rPr>
                <w:sz w:val="20"/>
                <w:szCs w:val="20"/>
              </w:rPr>
              <w:t>N/E</w:t>
            </w:r>
          </w:p>
          <w:p w14:paraId="1AE32B6A" w14:textId="77777777" w:rsidR="00CE2DD1" w:rsidRPr="0030598E" w:rsidRDefault="00CE2DD1" w:rsidP="00111B4C">
            <w:pPr>
              <w:keepNext/>
              <w:keepLines/>
              <w:jc w:val="center"/>
              <w:rPr>
                <w:sz w:val="20"/>
                <w:szCs w:val="20"/>
              </w:rPr>
            </w:pPr>
            <w:r w:rsidRPr="0030598E">
              <w:rPr>
                <w:sz w:val="20"/>
                <w:szCs w:val="20"/>
              </w:rPr>
              <w:t>N/R</w:t>
            </w:r>
          </w:p>
        </w:tc>
      </w:tr>
      <w:tr w:rsidR="00CE2DD1" w:rsidRPr="008D72DB" w14:paraId="42E5BF83" w14:textId="77777777" w:rsidTr="0030598E">
        <w:tc>
          <w:tcPr>
            <w:tcW w:w="2830" w:type="dxa"/>
          </w:tcPr>
          <w:p w14:paraId="1B94D04C" w14:textId="77777777" w:rsidR="00CE2DD1" w:rsidRPr="0030598E" w:rsidRDefault="00CE2DD1" w:rsidP="0030598E">
            <w:pPr>
              <w:keepNext/>
              <w:keepLines/>
              <w:ind w:left="32"/>
              <w:rPr>
                <w:b/>
                <w:sz w:val="20"/>
                <w:szCs w:val="20"/>
              </w:rPr>
            </w:pPr>
            <w:r w:rsidRPr="0030598E">
              <w:rPr>
                <w:b/>
                <w:sz w:val="20"/>
                <w:szCs w:val="20"/>
              </w:rPr>
              <w:t>Az MR</w:t>
            </w:r>
            <w:r w:rsidRPr="0030598E">
              <w:rPr>
                <w:b/>
                <w:sz w:val="20"/>
                <w:szCs w:val="20"/>
                <w:vertAlign w:val="superscript"/>
              </w:rPr>
              <w:t>4</w:t>
            </w:r>
            <w:r w:rsidRPr="0030598E">
              <w:rPr>
                <w:b/>
                <w:sz w:val="20"/>
                <w:szCs w:val="20"/>
              </w:rPr>
              <w:t xml:space="preserve"> kialakulásáig eltelt időtartam csak a reszpondereknél</w:t>
            </w:r>
            <w:r w:rsidRPr="0030598E">
              <w:rPr>
                <w:b/>
                <w:sz w:val="20"/>
                <w:szCs w:val="20"/>
                <w:vertAlign w:val="superscript"/>
              </w:rPr>
              <w:t>b</w:t>
            </w:r>
            <w:r w:rsidRPr="0030598E">
              <w:rPr>
                <w:b/>
                <w:sz w:val="20"/>
                <w:szCs w:val="20"/>
              </w:rPr>
              <w:t>, medián (tartomány), hét</w:t>
            </w:r>
          </w:p>
        </w:tc>
        <w:tc>
          <w:tcPr>
            <w:tcW w:w="1607" w:type="dxa"/>
          </w:tcPr>
          <w:p w14:paraId="3707BD31" w14:textId="77777777" w:rsidR="00CE2DD1" w:rsidRPr="0030598E" w:rsidRDefault="00CE2DD1" w:rsidP="00111B4C">
            <w:pPr>
              <w:keepNext/>
              <w:keepLines/>
              <w:adjustRightInd w:val="0"/>
              <w:jc w:val="center"/>
              <w:rPr>
                <w:sz w:val="20"/>
                <w:szCs w:val="20"/>
              </w:rPr>
            </w:pPr>
            <w:r w:rsidRPr="0030598E">
              <w:rPr>
                <w:sz w:val="20"/>
                <w:szCs w:val="20"/>
              </w:rPr>
              <w:t>28,0 (3,1; 583,1)</w:t>
            </w:r>
          </w:p>
        </w:tc>
        <w:tc>
          <w:tcPr>
            <w:tcW w:w="1890" w:type="dxa"/>
          </w:tcPr>
          <w:p w14:paraId="3EF1C283" w14:textId="77777777" w:rsidR="00CE2DD1" w:rsidRPr="0030598E" w:rsidRDefault="00CE2DD1" w:rsidP="00111B4C">
            <w:pPr>
              <w:keepNext/>
              <w:keepLines/>
              <w:adjustRightInd w:val="0"/>
              <w:jc w:val="center"/>
              <w:rPr>
                <w:sz w:val="20"/>
                <w:szCs w:val="20"/>
              </w:rPr>
            </w:pPr>
            <w:r w:rsidRPr="0030598E">
              <w:rPr>
                <w:sz w:val="20"/>
                <w:szCs w:val="20"/>
              </w:rPr>
              <w:t>23,8 (4,0; 240,1)</w:t>
            </w:r>
          </w:p>
        </w:tc>
        <w:tc>
          <w:tcPr>
            <w:tcW w:w="1724" w:type="dxa"/>
          </w:tcPr>
          <w:p w14:paraId="5BC000E4" w14:textId="77777777" w:rsidR="00CE2DD1" w:rsidRPr="0030598E" w:rsidRDefault="00CE2DD1" w:rsidP="00111B4C">
            <w:pPr>
              <w:keepNext/>
              <w:keepLines/>
              <w:jc w:val="center"/>
              <w:rPr>
                <w:sz w:val="20"/>
                <w:szCs w:val="20"/>
              </w:rPr>
            </w:pPr>
            <w:r w:rsidRPr="0030598E">
              <w:rPr>
                <w:sz w:val="20"/>
                <w:szCs w:val="20"/>
              </w:rPr>
              <w:t>24,1 (22,9; 96,0)</w:t>
            </w:r>
          </w:p>
        </w:tc>
        <w:tc>
          <w:tcPr>
            <w:tcW w:w="1730" w:type="dxa"/>
          </w:tcPr>
          <w:p w14:paraId="6FEF1AD8" w14:textId="77777777" w:rsidR="00CE2DD1" w:rsidRPr="0030598E" w:rsidRDefault="00CE2DD1" w:rsidP="00111B4C">
            <w:pPr>
              <w:keepNext/>
              <w:keepLines/>
              <w:jc w:val="center"/>
              <w:rPr>
                <w:sz w:val="20"/>
                <w:szCs w:val="20"/>
              </w:rPr>
            </w:pPr>
            <w:r w:rsidRPr="0030598E">
              <w:rPr>
                <w:sz w:val="20"/>
                <w:szCs w:val="20"/>
              </w:rPr>
              <w:t>4,7 (3,9; 284,9)</w:t>
            </w:r>
          </w:p>
        </w:tc>
      </w:tr>
      <w:tr w:rsidR="00CE2DD1" w:rsidRPr="008D72DB" w14:paraId="3BBC13F6" w14:textId="77777777" w:rsidTr="0030598E">
        <w:tc>
          <w:tcPr>
            <w:tcW w:w="2830" w:type="dxa"/>
          </w:tcPr>
          <w:p w14:paraId="02F0E5ED" w14:textId="77777777" w:rsidR="00CE2DD1" w:rsidRPr="0030598E" w:rsidRDefault="00CE2DD1" w:rsidP="0030598E">
            <w:pPr>
              <w:ind w:left="174" w:hanging="142"/>
              <w:rPr>
                <w:b/>
                <w:sz w:val="20"/>
                <w:szCs w:val="20"/>
              </w:rPr>
            </w:pPr>
            <w:r w:rsidRPr="0030598E">
              <w:rPr>
                <w:b/>
                <w:sz w:val="20"/>
                <w:szCs w:val="20"/>
              </w:rPr>
              <w:t>Az MR időtartama</w:t>
            </w:r>
            <w:r w:rsidRPr="0030598E">
              <w:rPr>
                <w:b/>
                <w:sz w:val="20"/>
                <w:szCs w:val="20"/>
                <w:vertAlign w:val="superscript"/>
              </w:rPr>
              <w:t>4b,e</w:t>
            </w:r>
          </w:p>
          <w:p w14:paraId="6EB166B3" w14:textId="2BB91B0E" w:rsidR="00CE2DD1" w:rsidRPr="0030598E" w:rsidRDefault="00CE2DD1" w:rsidP="0030598E">
            <w:pPr>
              <w:ind w:left="174" w:hanging="142"/>
              <w:rPr>
                <w:b/>
                <w:sz w:val="20"/>
                <w:szCs w:val="20"/>
              </w:rPr>
            </w:pPr>
            <w:r>
              <w:rPr>
                <w:b/>
                <w:sz w:val="20"/>
                <w:szCs w:val="20"/>
              </w:rPr>
              <w:tab/>
            </w:r>
            <w:r w:rsidRPr="0030598E">
              <w:rPr>
                <w:b/>
                <w:sz w:val="20"/>
                <w:szCs w:val="20"/>
              </w:rPr>
              <w:t>5 éves K</w:t>
            </w:r>
            <w:r w:rsidRPr="0030598E">
              <w:rPr>
                <w:b/>
                <w:sz w:val="20"/>
                <w:szCs w:val="20"/>
              </w:rPr>
              <w:noBreakHyphen/>
              <w:t>M, % (95%-os CI)</w:t>
            </w:r>
          </w:p>
          <w:p w14:paraId="26BDC450" w14:textId="47992C3F" w:rsidR="00CE2DD1" w:rsidRPr="0030598E" w:rsidRDefault="00CE2DD1" w:rsidP="0030598E">
            <w:pPr>
              <w:ind w:left="174" w:hanging="142"/>
              <w:rPr>
                <w:b/>
                <w:sz w:val="20"/>
                <w:szCs w:val="20"/>
              </w:rPr>
            </w:pPr>
            <w:r>
              <w:rPr>
                <w:b/>
                <w:sz w:val="20"/>
                <w:szCs w:val="20"/>
              </w:rPr>
              <w:tab/>
            </w:r>
            <w:r w:rsidRPr="0030598E">
              <w:rPr>
                <w:b/>
                <w:sz w:val="20"/>
                <w:szCs w:val="20"/>
              </w:rPr>
              <w:t>10 éves K</w:t>
            </w:r>
            <w:r w:rsidRPr="0030598E">
              <w:rPr>
                <w:b/>
                <w:sz w:val="20"/>
                <w:szCs w:val="20"/>
              </w:rPr>
              <w:noBreakHyphen/>
              <w:t>M, % (95%-os CI)</w:t>
            </w:r>
          </w:p>
          <w:p w14:paraId="5920EF07" w14:textId="62DD5527" w:rsidR="00CE2DD1" w:rsidRPr="0030598E" w:rsidRDefault="00CE2DD1" w:rsidP="0030598E">
            <w:pPr>
              <w:keepNext/>
              <w:keepLines/>
              <w:ind w:left="174" w:hanging="142"/>
              <w:rPr>
                <w:b/>
                <w:sz w:val="20"/>
                <w:szCs w:val="20"/>
              </w:rPr>
            </w:pPr>
            <w:r>
              <w:rPr>
                <w:b/>
                <w:sz w:val="20"/>
                <w:szCs w:val="20"/>
              </w:rPr>
              <w:tab/>
            </w:r>
            <w:r w:rsidRPr="0030598E">
              <w:rPr>
                <w:b/>
                <w:sz w:val="20"/>
                <w:szCs w:val="20"/>
              </w:rPr>
              <w:t>Medián, hét (95%-os CI)</w:t>
            </w:r>
          </w:p>
        </w:tc>
        <w:tc>
          <w:tcPr>
            <w:tcW w:w="1607" w:type="dxa"/>
          </w:tcPr>
          <w:p w14:paraId="5F7EC1B3" w14:textId="77777777" w:rsidR="00CE2DD1" w:rsidRPr="0030598E" w:rsidRDefault="00CE2DD1" w:rsidP="00111B4C">
            <w:pPr>
              <w:jc w:val="center"/>
              <w:rPr>
                <w:sz w:val="20"/>
                <w:szCs w:val="20"/>
              </w:rPr>
            </w:pPr>
            <w:r w:rsidRPr="0030598E">
              <w:rPr>
                <w:sz w:val="20"/>
                <w:szCs w:val="20"/>
              </w:rPr>
              <w:t>N = 73</w:t>
            </w:r>
          </w:p>
          <w:p w14:paraId="1CD9C7EC" w14:textId="77777777" w:rsidR="00CE2DD1" w:rsidRPr="0030598E" w:rsidRDefault="00CE2DD1" w:rsidP="00111B4C">
            <w:pPr>
              <w:jc w:val="center"/>
              <w:rPr>
                <w:sz w:val="20"/>
                <w:szCs w:val="20"/>
              </w:rPr>
            </w:pPr>
            <w:r w:rsidRPr="0030598E">
              <w:rPr>
                <w:sz w:val="20"/>
                <w:szCs w:val="20"/>
              </w:rPr>
              <w:t>74,7 (64,2; 85,2)</w:t>
            </w:r>
          </w:p>
          <w:p w14:paraId="69D75EAE" w14:textId="77777777" w:rsidR="00CE2DD1" w:rsidRPr="0030598E" w:rsidRDefault="00CE2DD1" w:rsidP="00111B4C">
            <w:pPr>
              <w:keepNext/>
              <w:keepLines/>
              <w:adjustRightInd w:val="0"/>
              <w:jc w:val="center"/>
              <w:rPr>
                <w:sz w:val="20"/>
                <w:szCs w:val="20"/>
              </w:rPr>
            </w:pPr>
            <w:r w:rsidRPr="0030598E">
              <w:rPr>
                <w:sz w:val="20"/>
                <w:szCs w:val="20"/>
              </w:rPr>
              <w:t>60,8 (46,1; 75,4) N/R</w:t>
            </w:r>
          </w:p>
        </w:tc>
        <w:tc>
          <w:tcPr>
            <w:tcW w:w="1890" w:type="dxa"/>
          </w:tcPr>
          <w:p w14:paraId="06583106" w14:textId="77777777" w:rsidR="00CE2DD1" w:rsidRPr="0030598E" w:rsidRDefault="00CE2DD1" w:rsidP="00111B4C">
            <w:pPr>
              <w:keepNext/>
              <w:keepLines/>
              <w:adjustRightInd w:val="0"/>
              <w:jc w:val="center"/>
              <w:rPr>
                <w:sz w:val="20"/>
                <w:szCs w:val="20"/>
              </w:rPr>
            </w:pPr>
            <w:r w:rsidRPr="0030598E">
              <w:rPr>
                <w:sz w:val="20"/>
                <w:szCs w:val="20"/>
              </w:rPr>
              <w:t>N/A</w:t>
            </w:r>
          </w:p>
        </w:tc>
        <w:tc>
          <w:tcPr>
            <w:tcW w:w="1724" w:type="dxa"/>
          </w:tcPr>
          <w:p w14:paraId="005D77AB" w14:textId="77777777" w:rsidR="00CE2DD1" w:rsidRPr="0030598E" w:rsidRDefault="00CE2DD1" w:rsidP="00111B4C">
            <w:pPr>
              <w:keepNext/>
              <w:keepLines/>
              <w:jc w:val="center"/>
              <w:rPr>
                <w:sz w:val="20"/>
                <w:szCs w:val="20"/>
              </w:rPr>
            </w:pPr>
            <w:r w:rsidRPr="0030598E">
              <w:rPr>
                <w:sz w:val="20"/>
                <w:szCs w:val="20"/>
              </w:rPr>
              <w:t>N/A</w:t>
            </w:r>
          </w:p>
        </w:tc>
        <w:tc>
          <w:tcPr>
            <w:tcW w:w="1730" w:type="dxa"/>
          </w:tcPr>
          <w:p w14:paraId="1CC48F59" w14:textId="77777777" w:rsidR="00CE2DD1" w:rsidRPr="0030598E" w:rsidRDefault="00CE2DD1" w:rsidP="00111B4C">
            <w:pPr>
              <w:keepNext/>
              <w:keepLines/>
              <w:jc w:val="center"/>
              <w:rPr>
                <w:sz w:val="20"/>
                <w:szCs w:val="20"/>
              </w:rPr>
            </w:pPr>
            <w:r w:rsidRPr="0030598E">
              <w:rPr>
                <w:sz w:val="20"/>
                <w:szCs w:val="20"/>
              </w:rPr>
              <w:t>N/A</w:t>
            </w:r>
          </w:p>
        </w:tc>
      </w:tr>
      <w:tr w:rsidR="00CE2DD1" w:rsidRPr="008D72DB" w14:paraId="7EC138A9" w14:textId="77777777" w:rsidTr="0030598E">
        <w:tc>
          <w:tcPr>
            <w:tcW w:w="2830" w:type="dxa"/>
          </w:tcPr>
          <w:p w14:paraId="3956A94C" w14:textId="77777777" w:rsidR="00CE2DD1" w:rsidRPr="0030598E" w:rsidRDefault="00CE2DD1" w:rsidP="0030598E">
            <w:pPr>
              <w:keepNext/>
              <w:ind w:left="32"/>
              <w:rPr>
                <w:b/>
                <w:sz w:val="20"/>
                <w:szCs w:val="20"/>
              </w:rPr>
            </w:pPr>
            <w:r w:rsidRPr="0030598E">
              <w:rPr>
                <w:b/>
                <w:sz w:val="20"/>
                <w:szCs w:val="20"/>
              </w:rPr>
              <w:t>Transzformáció AP</w:t>
            </w:r>
            <w:r w:rsidRPr="0030598E">
              <w:rPr>
                <w:b/>
                <w:sz w:val="20"/>
                <w:szCs w:val="20"/>
              </w:rPr>
              <w:noBreakHyphen/>
              <w:t>be/BP-be</w:t>
            </w:r>
            <w:r w:rsidRPr="0030598E">
              <w:rPr>
                <w:b/>
                <w:sz w:val="20"/>
                <w:szCs w:val="20"/>
                <w:vertAlign w:val="superscript"/>
              </w:rPr>
              <w:t>c</w:t>
            </w:r>
          </w:p>
          <w:p w14:paraId="4CA995C9" w14:textId="77777777" w:rsidR="00CE2DD1" w:rsidRPr="0030598E" w:rsidRDefault="00CE2DD1" w:rsidP="0030598E">
            <w:pPr>
              <w:keepNext/>
              <w:ind w:left="32"/>
              <w:rPr>
                <w:b/>
                <w:sz w:val="20"/>
                <w:szCs w:val="20"/>
              </w:rPr>
            </w:pPr>
            <w:r w:rsidRPr="0030598E">
              <w:rPr>
                <w:b/>
                <w:sz w:val="20"/>
                <w:szCs w:val="20"/>
              </w:rPr>
              <w:t>Kezelés közbeni transzformáció, n</w:t>
            </w:r>
          </w:p>
        </w:tc>
        <w:tc>
          <w:tcPr>
            <w:tcW w:w="1607" w:type="dxa"/>
          </w:tcPr>
          <w:p w14:paraId="20E41D4F" w14:textId="77777777" w:rsidR="00CE2DD1" w:rsidRPr="0030598E" w:rsidRDefault="00CE2DD1" w:rsidP="00111B4C">
            <w:pPr>
              <w:adjustRightInd w:val="0"/>
              <w:jc w:val="center"/>
              <w:rPr>
                <w:sz w:val="20"/>
                <w:szCs w:val="20"/>
              </w:rPr>
            </w:pPr>
            <w:r w:rsidRPr="0030598E">
              <w:rPr>
                <w:sz w:val="20"/>
                <w:szCs w:val="20"/>
              </w:rPr>
              <w:t>N = 284</w:t>
            </w:r>
          </w:p>
          <w:p w14:paraId="6A4518A4" w14:textId="77777777" w:rsidR="00CE2DD1" w:rsidRPr="0030598E" w:rsidRDefault="00CE2DD1" w:rsidP="00111B4C">
            <w:pPr>
              <w:adjustRightInd w:val="0"/>
              <w:jc w:val="center"/>
              <w:rPr>
                <w:sz w:val="20"/>
                <w:szCs w:val="20"/>
              </w:rPr>
            </w:pPr>
          </w:p>
          <w:p w14:paraId="77CF4D93" w14:textId="77777777" w:rsidR="00CE2DD1" w:rsidRPr="0030598E" w:rsidRDefault="00CE2DD1" w:rsidP="00111B4C">
            <w:pPr>
              <w:adjustRightInd w:val="0"/>
              <w:jc w:val="center"/>
              <w:rPr>
                <w:sz w:val="20"/>
                <w:szCs w:val="20"/>
              </w:rPr>
            </w:pPr>
            <w:r w:rsidRPr="0030598E">
              <w:rPr>
                <w:sz w:val="20"/>
                <w:szCs w:val="20"/>
              </w:rPr>
              <w:t>15</w:t>
            </w:r>
          </w:p>
        </w:tc>
        <w:tc>
          <w:tcPr>
            <w:tcW w:w="1890" w:type="dxa"/>
          </w:tcPr>
          <w:p w14:paraId="66E00639" w14:textId="77777777" w:rsidR="00CE2DD1" w:rsidRPr="0030598E" w:rsidRDefault="00CE2DD1" w:rsidP="00111B4C">
            <w:pPr>
              <w:adjustRightInd w:val="0"/>
              <w:jc w:val="center"/>
              <w:rPr>
                <w:sz w:val="20"/>
                <w:szCs w:val="20"/>
              </w:rPr>
            </w:pPr>
            <w:r w:rsidRPr="0030598E">
              <w:rPr>
                <w:sz w:val="20"/>
                <w:szCs w:val="20"/>
              </w:rPr>
              <w:t>N = 119</w:t>
            </w:r>
          </w:p>
          <w:p w14:paraId="3B5BA26E" w14:textId="77777777" w:rsidR="00CE2DD1" w:rsidRPr="0030598E" w:rsidRDefault="00CE2DD1" w:rsidP="00111B4C">
            <w:pPr>
              <w:adjustRightInd w:val="0"/>
              <w:jc w:val="center"/>
              <w:rPr>
                <w:sz w:val="20"/>
                <w:szCs w:val="20"/>
              </w:rPr>
            </w:pPr>
          </w:p>
          <w:p w14:paraId="45733B1D" w14:textId="77777777" w:rsidR="00CE2DD1" w:rsidRPr="0030598E" w:rsidRDefault="00CE2DD1" w:rsidP="00111B4C">
            <w:pPr>
              <w:adjustRightInd w:val="0"/>
              <w:jc w:val="center"/>
              <w:rPr>
                <w:sz w:val="20"/>
                <w:szCs w:val="20"/>
              </w:rPr>
            </w:pPr>
            <w:r w:rsidRPr="0030598E">
              <w:rPr>
                <w:sz w:val="20"/>
                <w:szCs w:val="20"/>
              </w:rPr>
              <w:t>5</w:t>
            </w:r>
          </w:p>
        </w:tc>
        <w:tc>
          <w:tcPr>
            <w:tcW w:w="1724" w:type="dxa"/>
          </w:tcPr>
          <w:p w14:paraId="70AFA99D" w14:textId="77777777" w:rsidR="00CE2DD1" w:rsidRPr="0030598E" w:rsidRDefault="00CE2DD1" w:rsidP="00111B4C">
            <w:pPr>
              <w:jc w:val="center"/>
              <w:rPr>
                <w:sz w:val="20"/>
                <w:szCs w:val="20"/>
              </w:rPr>
            </w:pPr>
            <w:r w:rsidRPr="0030598E">
              <w:rPr>
                <w:sz w:val="20"/>
                <w:szCs w:val="20"/>
              </w:rPr>
              <w:t>N = 79</w:t>
            </w:r>
          </w:p>
          <w:p w14:paraId="1E0AE353" w14:textId="77777777" w:rsidR="00CE2DD1" w:rsidRPr="0030598E" w:rsidRDefault="00CE2DD1" w:rsidP="00111B4C">
            <w:pPr>
              <w:jc w:val="center"/>
              <w:rPr>
                <w:sz w:val="20"/>
                <w:szCs w:val="20"/>
              </w:rPr>
            </w:pPr>
          </w:p>
          <w:p w14:paraId="22BFA139" w14:textId="77777777" w:rsidR="00CE2DD1" w:rsidRPr="0030598E" w:rsidRDefault="00CE2DD1" w:rsidP="00111B4C">
            <w:pPr>
              <w:jc w:val="center"/>
              <w:rPr>
                <w:sz w:val="20"/>
                <w:szCs w:val="20"/>
              </w:rPr>
            </w:pPr>
            <w:r w:rsidRPr="0030598E">
              <w:rPr>
                <w:sz w:val="20"/>
                <w:szCs w:val="20"/>
              </w:rPr>
              <w:t>3</w:t>
            </w:r>
          </w:p>
        </w:tc>
        <w:tc>
          <w:tcPr>
            <w:tcW w:w="1730" w:type="dxa"/>
          </w:tcPr>
          <w:p w14:paraId="2C98D8C8" w14:textId="77777777" w:rsidR="00CE2DD1" w:rsidRPr="0030598E" w:rsidRDefault="00CE2DD1" w:rsidP="00111B4C">
            <w:pPr>
              <w:jc w:val="center"/>
              <w:rPr>
                <w:sz w:val="20"/>
                <w:szCs w:val="20"/>
              </w:rPr>
            </w:pPr>
            <w:r w:rsidRPr="0030598E">
              <w:rPr>
                <w:sz w:val="20"/>
                <w:szCs w:val="20"/>
              </w:rPr>
              <w:t>N/A</w:t>
            </w:r>
          </w:p>
        </w:tc>
      </w:tr>
      <w:tr w:rsidR="00CE2DD1" w:rsidRPr="008D72DB" w14:paraId="675425E7" w14:textId="77777777" w:rsidTr="0030598E">
        <w:tc>
          <w:tcPr>
            <w:tcW w:w="2830" w:type="dxa"/>
          </w:tcPr>
          <w:p w14:paraId="55A79A96" w14:textId="77777777" w:rsidR="00CE2DD1" w:rsidRPr="0030598E" w:rsidRDefault="00CE2DD1" w:rsidP="0030598E">
            <w:pPr>
              <w:ind w:left="174" w:hanging="142"/>
              <w:rPr>
                <w:b/>
                <w:sz w:val="20"/>
                <w:szCs w:val="20"/>
              </w:rPr>
            </w:pPr>
            <w:r w:rsidRPr="0030598E">
              <w:rPr>
                <w:b/>
                <w:sz w:val="20"/>
                <w:szCs w:val="20"/>
              </w:rPr>
              <w:t>Progressziómentes túlélés</w:t>
            </w:r>
            <w:r w:rsidRPr="0030598E">
              <w:rPr>
                <w:b/>
                <w:sz w:val="20"/>
                <w:szCs w:val="20"/>
                <w:vertAlign w:val="superscript"/>
              </w:rPr>
              <w:t>c</w:t>
            </w:r>
          </w:p>
          <w:p w14:paraId="19E25B9D" w14:textId="53F492FF" w:rsidR="00CE2DD1" w:rsidRPr="0030598E" w:rsidRDefault="00CE2DD1" w:rsidP="0030598E">
            <w:pPr>
              <w:ind w:left="174" w:hanging="142"/>
              <w:rPr>
                <w:b/>
                <w:sz w:val="20"/>
                <w:szCs w:val="20"/>
              </w:rPr>
            </w:pPr>
            <w:r>
              <w:rPr>
                <w:b/>
                <w:sz w:val="20"/>
                <w:szCs w:val="20"/>
              </w:rPr>
              <w:tab/>
            </w:r>
            <w:r w:rsidRPr="0030598E">
              <w:rPr>
                <w:b/>
                <w:sz w:val="20"/>
                <w:szCs w:val="20"/>
              </w:rPr>
              <w:t>5 éves CumInc, % (95%</w:t>
            </w:r>
            <w:r w:rsidRPr="0030598E">
              <w:rPr>
                <w:b/>
                <w:sz w:val="20"/>
                <w:szCs w:val="20"/>
              </w:rPr>
              <w:noBreakHyphen/>
              <w:t>os CI)</w:t>
            </w:r>
            <w:r w:rsidRPr="0030598E">
              <w:rPr>
                <w:b/>
                <w:sz w:val="20"/>
                <w:szCs w:val="20"/>
                <w:vertAlign w:val="superscript"/>
              </w:rPr>
              <w:t>d</w:t>
            </w:r>
            <w:r>
              <w:rPr>
                <w:b/>
                <w:sz w:val="20"/>
                <w:szCs w:val="20"/>
              </w:rPr>
              <w:tab/>
            </w:r>
          </w:p>
          <w:p w14:paraId="1BE157D3" w14:textId="75ED6BB3" w:rsidR="00CE2DD1" w:rsidRPr="0030598E" w:rsidRDefault="00CE2DD1" w:rsidP="0030598E">
            <w:pPr>
              <w:ind w:left="174" w:hanging="142"/>
              <w:rPr>
                <w:b/>
                <w:sz w:val="20"/>
                <w:szCs w:val="20"/>
              </w:rPr>
            </w:pPr>
            <w:r>
              <w:rPr>
                <w:b/>
                <w:sz w:val="20"/>
                <w:szCs w:val="20"/>
              </w:rPr>
              <w:tab/>
            </w:r>
            <w:r w:rsidRPr="0030598E">
              <w:rPr>
                <w:b/>
                <w:sz w:val="20"/>
                <w:szCs w:val="20"/>
              </w:rPr>
              <w:t>10 éves CumInc, % (95%</w:t>
            </w:r>
            <w:r w:rsidRPr="0030598E">
              <w:rPr>
                <w:b/>
                <w:sz w:val="20"/>
                <w:szCs w:val="20"/>
              </w:rPr>
              <w:noBreakHyphen/>
              <w:t>os CI)</w:t>
            </w:r>
            <w:r w:rsidRPr="0030598E">
              <w:rPr>
                <w:b/>
                <w:sz w:val="20"/>
                <w:szCs w:val="20"/>
                <w:vertAlign w:val="superscript"/>
              </w:rPr>
              <w:t>d</w:t>
            </w:r>
          </w:p>
        </w:tc>
        <w:tc>
          <w:tcPr>
            <w:tcW w:w="1607" w:type="dxa"/>
          </w:tcPr>
          <w:p w14:paraId="2EF2FF90" w14:textId="77777777" w:rsidR="00CE2DD1" w:rsidRPr="0030598E" w:rsidRDefault="00CE2DD1" w:rsidP="00111B4C">
            <w:pPr>
              <w:adjustRightInd w:val="0"/>
              <w:jc w:val="center"/>
              <w:rPr>
                <w:sz w:val="20"/>
                <w:szCs w:val="20"/>
              </w:rPr>
            </w:pPr>
            <w:r w:rsidRPr="0030598E">
              <w:rPr>
                <w:sz w:val="20"/>
                <w:szCs w:val="20"/>
              </w:rPr>
              <w:t>N = 284</w:t>
            </w:r>
          </w:p>
          <w:p w14:paraId="3B42FCD9" w14:textId="77777777" w:rsidR="00CE2DD1" w:rsidRPr="0030598E" w:rsidRDefault="00CE2DD1" w:rsidP="00111B4C">
            <w:pPr>
              <w:adjustRightInd w:val="0"/>
              <w:jc w:val="center"/>
              <w:rPr>
                <w:sz w:val="20"/>
                <w:szCs w:val="20"/>
              </w:rPr>
            </w:pPr>
            <w:r w:rsidRPr="0030598E">
              <w:rPr>
                <w:sz w:val="20"/>
                <w:szCs w:val="20"/>
              </w:rPr>
              <w:t>19,7</w:t>
            </w:r>
          </w:p>
          <w:p w14:paraId="13EAD9E4" w14:textId="77777777" w:rsidR="00CE2DD1" w:rsidRPr="0030598E" w:rsidRDefault="00CE2DD1" w:rsidP="00111B4C">
            <w:pPr>
              <w:adjustRightInd w:val="0"/>
              <w:jc w:val="center"/>
              <w:rPr>
                <w:sz w:val="20"/>
                <w:szCs w:val="20"/>
              </w:rPr>
            </w:pPr>
            <w:r w:rsidRPr="0030598E">
              <w:rPr>
                <w:sz w:val="20"/>
                <w:szCs w:val="20"/>
              </w:rPr>
              <w:t>(15,6; 24,9)</w:t>
            </w:r>
          </w:p>
          <w:p w14:paraId="33B5B720" w14:textId="77777777" w:rsidR="00CE2DD1" w:rsidRPr="0030598E" w:rsidRDefault="00CE2DD1" w:rsidP="00111B4C">
            <w:pPr>
              <w:adjustRightInd w:val="0"/>
              <w:jc w:val="center"/>
              <w:rPr>
                <w:sz w:val="20"/>
                <w:szCs w:val="20"/>
              </w:rPr>
            </w:pPr>
            <w:r w:rsidRPr="0030598E">
              <w:rPr>
                <w:sz w:val="20"/>
                <w:szCs w:val="20"/>
              </w:rPr>
              <w:t>23,9</w:t>
            </w:r>
          </w:p>
          <w:p w14:paraId="5D3F2269" w14:textId="77777777" w:rsidR="00CE2DD1" w:rsidRPr="0030598E" w:rsidRDefault="00CE2DD1" w:rsidP="00111B4C">
            <w:pPr>
              <w:adjustRightInd w:val="0"/>
              <w:jc w:val="center"/>
              <w:rPr>
                <w:sz w:val="20"/>
                <w:szCs w:val="20"/>
              </w:rPr>
            </w:pPr>
            <w:r w:rsidRPr="0030598E">
              <w:rPr>
                <w:sz w:val="20"/>
                <w:szCs w:val="20"/>
              </w:rPr>
              <w:t>(19,5; 29,5)</w:t>
            </w:r>
          </w:p>
        </w:tc>
        <w:tc>
          <w:tcPr>
            <w:tcW w:w="1890" w:type="dxa"/>
          </w:tcPr>
          <w:p w14:paraId="5A18038A" w14:textId="77777777" w:rsidR="00CE2DD1" w:rsidRPr="0030598E" w:rsidRDefault="00CE2DD1" w:rsidP="00111B4C">
            <w:pPr>
              <w:adjustRightInd w:val="0"/>
              <w:jc w:val="center"/>
              <w:rPr>
                <w:sz w:val="20"/>
                <w:szCs w:val="20"/>
              </w:rPr>
            </w:pPr>
            <w:r w:rsidRPr="0030598E">
              <w:rPr>
                <w:sz w:val="20"/>
                <w:szCs w:val="20"/>
              </w:rPr>
              <w:t>N = 119</w:t>
            </w:r>
          </w:p>
          <w:p w14:paraId="664CA676" w14:textId="77777777" w:rsidR="00CE2DD1" w:rsidRPr="0030598E" w:rsidRDefault="00CE2DD1" w:rsidP="00111B4C">
            <w:pPr>
              <w:adjustRightInd w:val="0"/>
              <w:jc w:val="center"/>
              <w:rPr>
                <w:sz w:val="20"/>
                <w:szCs w:val="20"/>
              </w:rPr>
            </w:pPr>
            <w:r w:rsidRPr="0030598E">
              <w:rPr>
                <w:sz w:val="20"/>
                <w:szCs w:val="20"/>
              </w:rPr>
              <w:t>24,4</w:t>
            </w:r>
          </w:p>
          <w:p w14:paraId="259AFB33" w14:textId="77777777" w:rsidR="00CE2DD1" w:rsidRPr="0030598E" w:rsidRDefault="00CE2DD1" w:rsidP="00111B4C">
            <w:pPr>
              <w:adjustRightInd w:val="0"/>
              <w:jc w:val="center"/>
              <w:rPr>
                <w:sz w:val="20"/>
                <w:szCs w:val="20"/>
              </w:rPr>
            </w:pPr>
            <w:r w:rsidRPr="0030598E">
              <w:rPr>
                <w:sz w:val="20"/>
                <w:szCs w:val="20"/>
              </w:rPr>
              <w:t>(17,8; 33,4)</w:t>
            </w:r>
          </w:p>
          <w:p w14:paraId="45A39072" w14:textId="77777777" w:rsidR="00CE2DD1" w:rsidRPr="0030598E" w:rsidRDefault="00CE2DD1" w:rsidP="00111B4C">
            <w:pPr>
              <w:adjustRightInd w:val="0"/>
              <w:jc w:val="center"/>
              <w:rPr>
                <w:sz w:val="20"/>
                <w:szCs w:val="20"/>
              </w:rPr>
            </w:pPr>
            <w:r w:rsidRPr="0030598E">
              <w:rPr>
                <w:sz w:val="20"/>
                <w:szCs w:val="20"/>
              </w:rPr>
              <w:t>26,9</w:t>
            </w:r>
          </w:p>
          <w:p w14:paraId="2EE932BE" w14:textId="77777777" w:rsidR="00CE2DD1" w:rsidRPr="0030598E" w:rsidRDefault="00CE2DD1" w:rsidP="00111B4C">
            <w:pPr>
              <w:adjustRightInd w:val="0"/>
              <w:jc w:val="center"/>
              <w:rPr>
                <w:sz w:val="20"/>
                <w:szCs w:val="20"/>
              </w:rPr>
            </w:pPr>
            <w:r w:rsidRPr="0030598E">
              <w:rPr>
                <w:sz w:val="20"/>
                <w:szCs w:val="20"/>
              </w:rPr>
              <w:t>(20,0; 36,2)</w:t>
            </w:r>
          </w:p>
        </w:tc>
        <w:tc>
          <w:tcPr>
            <w:tcW w:w="1724" w:type="dxa"/>
          </w:tcPr>
          <w:p w14:paraId="434C67E2" w14:textId="77777777" w:rsidR="00CE2DD1" w:rsidRPr="0030598E" w:rsidRDefault="00CE2DD1" w:rsidP="00111B4C">
            <w:pPr>
              <w:jc w:val="center"/>
              <w:rPr>
                <w:sz w:val="20"/>
                <w:szCs w:val="20"/>
              </w:rPr>
            </w:pPr>
            <w:r w:rsidRPr="0030598E">
              <w:rPr>
                <w:sz w:val="20"/>
                <w:szCs w:val="20"/>
              </w:rPr>
              <w:t>N = 79</w:t>
            </w:r>
          </w:p>
          <w:p w14:paraId="653A202B" w14:textId="77777777" w:rsidR="00CE2DD1" w:rsidRPr="0030598E" w:rsidRDefault="00CE2DD1" w:rsidP="00111B4C">
            <w:pPr>
              <w:jc w:val="center"/>
              <w:rPr>
                <w:sz w:val="20"/>
                <w:szCs w:val="20"/>
              </w:rPr>
            </w:pPr>
            <w:r w:rsidRPr="0030598E">
              <w:rPr>
                <w:sz w:val="20"/>
                <w:szCs w:val="20"/>
              </w:rPr>
              <w:t>41,8</w:t>
            </w:r>
          </w:p>
          <w:p w14:paraId="01F0EE03" w14:textId="77777777" w:rsidR="00CE2DD1" w:rsidRPr="0030598E" w:rsidRDefault="00CE2DD1" w:rsidP="00111B4C">
            <w:pPr>
              <w:jc w:val="center"/>
              <w:rPr>
                <w:sz w:val="20"/>
                <w:szCs w:val="20"/>
              </w:rPr>
            </w:pPr>
            <w:r w:rsidRPr="0030598E">
              <w:rPr>
                <w:sz w:val="20"/>
                <w:szCs w:val="20"/>
              </w:rPr>
              <w:t>(32,2; 54,2)</w:t>
            </w:r>
          </w:p>
          <w:p w14:paraId="12E79B25" w14:textId="77777777" w:rsidR="00CE2DD1" w:rsidRPr="0030598E" w:rsidRDefault="00CE2DD1" w:rsidP="00111B4C">
            <w:pPr>
              <w:jc w:val="center"/>
              <w:rPr>
                <w:sz w:val="20"/>
                <w:szCs w:val="20"/>
              </w:rPr>
            </w:pPr>
            <w:r w:rsidRPr="0030598E">
              <w:rPr>
                <w:sz w:val="20"/>
                <w:szCs w:val="20"/>
              </w:rPr>
              <w:t>41,8</w:t>
            </w:r>
          </w:p>
          <w:p w14:paraId="5A379ACE" w14:textId="77777777" w:rsidR="00CE2DD1" w:rsidRPr="0030598E" w:rsidRDefault="00CE2DD1" w:rsidP="00111B4C">
            <w:pPr>
              <w:jc w:val="center"/>
              <w:rPr>
                <w:sz w:val="20"/>
                <w:szCs w:val="20"/>
              </w:rPr>
            </w:pPr>
            <w:r w:rsidRPr="0030598E">
              <w:rPr>
                <w:sz w:val="20"/>
                <w:szCs w:val="20"/>
              </w:rPr>
              <w:t>(32,2; 54,2)</w:t>
            </w:r>
          </w:p>
        </w:tc>
        <w:tc>
          <w:tcPr>
            <w:tcW w:w="1730" w:type="dxa"/>
          </w:tcPr>
          <w:p w14:paraId="223AC2CE" w14:textId="77777777" w:rsidR="00CE2DD1" w:rsidRPr="0030598E" w:rsidRDefault="00CE2DD1" w:rsidP="00111B4C">
            <w:pPr>
              <w:jc w:val="center"/>
              <w:rPr>
                <w:sz w:val="20"/>
                <w:szCs w:val="20"/>
              </w:rPr>
            </w:pPr>
            <w:r w:rsidRPr="0030598E">
              <w:rPr>
                <w:sz w:val="20"/>
                <w:szCs w:val="20"/>
              </w:rPr>
              <w:t>N = 64</w:t>
            </w:r>
          </w:p>
          <w:p w14:paraId="435016E0" w14:textId="77777777" w:rsidR="00CE2DD1" w:rsidRPr="0030598E" w:rsidRDefault="00CE2DD1" w:rsidP="00111B4C">
            <w:pPr>
              <w:jc w:val="center"/>
              <w:rPr>
                <w:sz w:val="20"/>
                <w:szCs w:val="20"/>
              </w:rPr>
            </w:pPr>
            <w:r w:rsidRPr="0030598E">
              <w:rPr>
                <w:sz w:val="20"/>
                <w:szCs w:val="20"/>
              </w:rPr>
              <w:t>67,2</w:t>
            </w:r>
          </w:p>
          <w:p w14:paraId="728A787F" w14:textId="77777777" w:rsidR="00CE2DD1" w:rsidRPr="0030598E" w:rsidRDefault="00CE2DD1" w:rsidP="00111B4C">
            <w:pPr>
              <w:jc w:val="center"/>
              <w:rPr>
                <w:sz w:val="20"/>
                <w:szCs w:val="20"/>
              </w:rPr>
            </w:pPr>
            <w:r w:rsidRPr="0030598E">
              <w:rPr>
                <w:sz w:val="20"/>
                <w:szCs w:val="20"/>
              </w:rPr>
              <w:t>(56,6; 79,7)</w:t>
            </w:r>
          </w:p>
          <w:p w14:paraId="453D9A45" w14:textId="77777777" w:rsidR="00CE2DD1" w:rsidRPr="0030598E" w:rsidRDefault="00CE2DD1" w:rsidP="00111B4C">
            <w:pPr>
              <w:jc w:val="center"/>
              <w:rPr>
                <w:sz w:val="20"/>
                <w:szCs w:val="20"/>
              </w:rPr>
            </w:pPr>
            <w:r w:rsidRPr="0030598E">
              <w:rPr>
                <w:sz w:val="20"/>
                <w:szCs w:val="20"/>
              </w:rPr>
              <w:t>N/E</w:t>
            </w:r>
          </w:p>
        </w:tc>
      </w:tr>
      <w:tr w:rsidR="00CE2DD1" w:rsidRPr="008D72DB" w14:paraId="51F3C753" w14:textId="77777777" w:rsidTr="0030598E">
        <w:tc>
          <w:tcPr>
            <w:tcW w:w="2830" w:type="dxa"/>
          </w:tcPr>
          <w:p w14:paraId="223EEAC8" w14:textId="77777777" w:rsidR="00CE2DD1" w:rsidRPr="0030598E" w:rsidRDefault="00CE2DD1" w:rsidP="0030598E">
            <w:pPr>
              <w:ind w:left="174" w:hanging="142"/>
              <w:rPr>
                <w:b/>
                <w:sz w:val="20"/>
                <w:szCs w:val="20"/>
              </w:rPr>
            </w:pPr>
            <w:r w:rsidRPr="0030598E">
              <w:rPr>
                <w:b/>
                <w:sz w:val="20"/>
                <w:szCs w:val="20"/>
              </w:rPr>
              <w:t>Teljes túlélés</w:t>
            </w:r>
            <w:r w:rsidRPr="0030598E">
              <w:rPr>
                <w:b/>
                <w:sz w:val="20"/>
                <w:szCs w:val="20"/>
                <w:vertAlign w:val="superscript"/>
              </w:rPr>
              <w:t>c</w:t>
            </w:r>
          </w:p>
          <w:p w14:paraId="62C1C8A8" w14:textId="1B53148B" w:rsidR="00CE2DD1" w:rsidRPr="0030598E" w:rsidRDefault="00CE2DD1" w:rsidP="0030598E">
            <w:pPr>
              <w:ind w:left="174" w:hanging="142"/>
              <w:rPr>
                <w:b/>
                <w:sz w:val="20"/>
                <w:szCs w:val="20"/>
              </w:rPr>
            </w:pPr>
            <w:r>
              <w:rPr>
                <w:b/>
                <w:sz w:val="20"/>
                <w:szCs w:val="20"/>
              </w:rPr>
              <w:tab/>
            </w:r>
            <w:r w:rsidRPr="0030598E">
              <w:rPr>
                <w:b/>
                <w:sz w:val="20"/>
                <w:szCs w:val="20"/>
              </w:rPr>
              <w:t>5 éves K-M, % (95%</w:t>
            </w:r>
            <w:r w:rsidRPr="0030598E">
              <w:rPr>
                <w:b/>
                <w:sz w:val="20"/>
                <w:szCs w:val="20"/>
              </w:rPr>
              <w:noBreakHyphen/>
              <w:t>os CI)</w:t>
            </w:r>
          </w:p>
          <w:p w14:paraId="3F3BB23E" w14:textId="4097D8FD" w:rsidR="00CE2DD1" w:rsidRPr="0030598E" w:rsidRDefault="00CE2DD1" w:rsidP="0030598E">
            <w:pPr>
              <w:ind w:left="174" w:hanging="142"/>
              <w:rPr>
                <w:b/>
                <w:sz w:val="20"/>
                <w:szCs w:val="20"/>
              </w:rPr>
            </w:pPr>
            <w:r>
              <w:rPr>
                <w:b/>
                <w:sz w:val="20"/>
                <w:szCs w:val="20"/>
              </w:rPr>
              <w:tab/>
            </w:r>
            <w:r w:rsidRPr="0030598E">
              <w:rPr>
                <w:b/>
                <w:sz w:val="20"/>
                <w:szCs w:val="20"/>
              </w:rPr>
              <w:t>10 éves K-M, % (95%</w:t>
            </w:r>
            <w:r w:rsidRPr="0030598E">
              <w:rPr>
                <w:b/>
                <w:sz w:val="20"/>
                <w:szCs w:val="20"/>
              </w:rPr>
              <w:noBreakHyphen/>
              <w:t>os CI)</w:t>
            </w:r>
          </w:p>
          <w:p w14:paraId="7031CCDC" w14:textId="5A13A8DA" w:rsidR="00CE2DD1" w:rsidRPr="0030598E" w:rsidRDefault="00CE2DD1" w:rsidP="0030598E">
            <w:pPr>
              <w:ind w:left="174" w:hanging="142"/>
              <w:rPr>
                <w:b/>
                <w:sz w:val="20"/>
                <w:szCs w:val="20"/>
              </w:rPr>
            </w:pPr>
            <w:r>
              <w:rPr>
                <w:b/>
                <w:sz w:val="20"/>
                <w:szCs w:val="20"/>
              </w:rPr>
              <w:tab/>
            </w:r>
            <w:r w:rsidRPr="0030598E">
              <w:rPr>
                <w:b/>
                <w:sz w:val="20"/>
                <w:szCs w:val="20"/>
              </w:rPr>
              <w:t>Medián, hónap (95%</w:t>
            </w:r>
            <w:r w:rsidRPr="0030598E">
              <w:rPr>
                <w:b/>
                <w:sz w:val="20"/>
                <w:szCs w:val="20"/>
              </w:rPr>
              <w:noBreakHyphen/>
              <w:t>os CI)</w:t>
            </w:r>
          </w:p>
        </w:tc>
        <w:tc>
          <w:tcPr>
            <w:tcW w:w="1607" w:type="dxa"/>
          </w:tcPr>
          <w:p w14:paraId="418D1A0B" w14:textId="77777777" w:rsidR="00CE2DD1" w:rsidRPr="0030598E" w:rsidRDefault="00CE2DD1" w:rsidP="00111B4C">
            <w:pPr>
              <w:adjustRightInd w:val="0"/>
              <w:jc w:val="center"/>
              <w:rPr>
                <w:sz w:val="20"/>
                <w:szCs w:val="20"/>
              </w:rPr>
            </w:pPr>
            <w:r w:rsidRPr="0030598E">
              <w:rPr>
                <w:sz w:val="20"/>
                <w:szCs w:val="20"/>
              </w:rPr>
              <w:t>N = 284</w:t>
            </w:r>
          </w:p>
          <w:p w14:paraId="5D2CF73A" w14:textId="77777777" w:rsidR="00CE2DD1" w:rsidRPr="0030598E" w:rsidRDefault="00CE2DD1" w:rsidP="00111B4C">
            <w:pPr>
              <w:adjustRightInd w:val="0"/>
              <w:jc w:val="center"/>
              <w:rPr>
                <w:sz w:val="20"/>
                <w:szCs w:val="20"/>
              </w:rPr>
            </w:pPr>
            <w:r w:rsidRPr="0030598E">
              <w:rPr>
                <w:sz w:val="20"/>
                <w:szCs w:val="20"/>
              </w:rPr>
              <w:t>83,5</w:t>
            </w:r>
          </w:p>
          <w:p w14:paraId="2115671B" w14:textId="77777777" w:rsidR="00CE2DD1" w:rsidRPr="0030598E" w:rsidRDefault="00CE2DD1" w:rsidP="00111B4C">
            <w:pPr>
              <w:adjustRightInd w:val="0"/>
              <w:jc w:val="center"/>
              <w:rPr>
                <w:sz w:val="20"/>
                <w:szCs w:val="20"/>
              </w:rPr>
            </w:pPr>
            <w:r w:rsidRPr="0030598E">
              <w:rPr>
                <w:sz w:val="20"/>
                <w:szCs w:val="20"/>
              </w:rPr>
              <w:t>(78,7; 88,3)</w:t>
            </w:r>
          </w:p>
          <w:p w14:paraId="4D213406" w14:textId="77777777" w:rsidR="00CE2DD1" w:rsidRPr="0030598E" w:rsidRDefault="00CE2DD1" w:rsidP="00111B4C">
            <w:pPr>
              <w:adjustRightInd w:val="0"/>
              <w:jc w:val="center"/>
              <w:rPr>
                <w:sz w:val="20"/>
                <w:szCs w:val="20"/>
              </w:rPr>
            </w:pPr>
            <w:r w:rsidRPr="0030598E">
              <w:rPr>
                <w:sz w:val="20"/>
                <w:szCs w:val="20"/>
              </w:rPr>
              <w:t>71,5</w:t>
            </w:r>
          </w:p>
          <w:p w14:paraId="0DD5B362" w14:textId="77777777" w:rsidR="00CE2DD1" w:rsidRPr="0030598E" w:rsidRDefault="00CE2DD1" w:rsidP="00111B4C">
            <w:pPr>
              <w:adjustRightInd w:val="0"/>
              <w:jc w:val="center"/>
              <w:rPr>
                <w:sz w:val="20"/>
                <w:szCs w:val="20"/>
              </w:rPr>
            </w:pPr>
            <w:r w:rsidRPr="0030598E">
              <w:rPr>
                <w:sz w:val="20"/>
                <w:szCs w:val="20"/>
              </w:rPr>
              <w:t>(64,4; 78,7)</w:t>
            </w:r>
          </w:p>
          <w:p w14:paraId="5A4F6AFA" w14:textId="77777777" w:rsidR="00CE2DD1" w:rsidRPr="0030598E" w:rsidRDefault="00CE2DD1" w:rsidP="00111B4C">
            <w:pPr>
              <w:adjustRightInd w:val="0"/>
              <w:jc w:val="center"/>
              <w:rPr>
                <w:sz w:val="20"/>
                <w:szCs w:val="20"/>
              </w:rPr>
            </w:pPr>
            <w:r w:rsidRPr="0030598E">
              <w:rPr>
                <w:sz w:val="20"/>
                <w:szCs w:val="20"/>
              </w:rPr>
              <w:t>N/R</w:t>
            </w:r>
          </w:p>
        </w:tc>
        <w:tc>
          <w:tcPr>
            <w:tcW w:w="1890" w:type="dxa"/>
          </w:tcPr>
          <w:p w14:paraId="33C7D163" w14:textId="77777777" w:rsidR="00CE2DD1" w:rsidRPr="0030598E" w:rsidRDefault="00CE2DD1" w:rsidP="00111B4C">
            <w:pPr>
              <w:adjustRightInd w:val="0"/>
              <w:jc w:val="center"/>
              <w:rPr>
                <w:sz w:val="20"/>
                <w:szCs w:val="20"/>
              </w:rPr>
            </w:pPr>
            <w:r w:rsidRPr="0030598E">
              <w:rPr>
                <w:sz w:val="20"/>
                <w:szCs w:val="20"/>
              </w:rPr>
              <w:t>N = 119</w:t>
            </w:r>
          </w:p>
          <w:p w14:paraId="13B89145" w14:textId="77777777" w:rsidR="00CE2DD1" w:rsidRPr="0030598E" w:rsidRDefault="00CE2DD1" w:rsidP="00111B4C">
            <w:pPr>
              <w:adjustRightInd w:val="0"/>
              <w:jc w:val="center"/>
              <w:rPr>
                <w:sz w:val="20"/>
                <w:szCs w:val="20"/>
              </w:rPr>
            </w:pPr>
            <w:r w:rsidRPr="0030598E">
              <w:rPr>
                <w:sz w:val="20"/>
                <w:szCs w:val="20"/>
              </w:rPr>
              <w:t>74,1</w:t>
            </w:r>
          </w:p>
          <w:p w14:paraId="2AA9B06D" w14:textId="77777777" w:rsidR="00CE2DD1" w:rsidRPr="0030598E" w:rsidRDefault="00CE2DD1" w:rsidP="00111B4C">
            <w:pPr>
              <w:adjustRightInd w:val="0"/>
              <w:jc w:val="center"/>
              <w:rPr>
                <w:sz w:val="20"/>
                <w:szCs w:val="20"/>
              </w:rPr>
            </w:pPr>
            <w:r w:rsidRPr="0030598E">
              <w:rPr>
                <w:sz w:val="20"/>
                <w:szCs w:val="20"/>
              </w:rPr>
              <w:t>(64,8; 83,4)</w:t>
            </w:r>
          </w:p>
          <w:p w14:paraId="4AE20D74" w14:textId="77777777" w:rsidR="00CE2DD1" w:rsidRPr="0030598E" w:rsidRDefault="00CE2DD1" w:rsidP="00111B4C">
            <w:pPr>
              <w:adjustRightInd w:val="0"/>
              <w:jc w:val="center"/>
              <w:rPr>
                <w:sz w:val="20"/>
                <w:szCs w:val="20"/>
              </w:rPr>
            </w:pPr>
            <w:r w:rsidRPr="0030598E">
              <w:rPr>
                <w:sz w:val="20"/>
                <w:szCs w:val="20"/>
              </w:rPr>
              <w:t>60,4</w:t>
            </w:r>
          </w:p>
          <w:p w14:paraId="5D2AFC65" w14:textId="77777777" w:rsidR="00CE2DD1" w:rsidRPr="0030598E" w:rsidRDefault="00CE2DD1" w:rsidP="00111B4C">
            <w:pPr>
              <w:adjustRightInd w:val="0"/>
              <w:jc w:val="center"/>
              <w:rPr>
                <w:sz w:val="20"/>
                <w:szCs w:val="20"/>
              </w:rPr>
            </w:pPr>
            <w:r w:rsidRPr="0030598E">
              <w:rPr>
                <w:sz w:val="20"/>
                <w:szCs w:val="20"/>
              </w:rPr>
              <w:t>(47,2; 73,7)</w:t>
            </w:r>
          </w:p>
          <w:p w14:paraId="5521A60D" w14:textId="77777777" w:rsidR="00CE2DD1" w:rsidRPr="0030598E" w:rsidRDefault="00CE2DD1" w:rsidP="00111B4C">
            <w:pPr>
              <w:adjustRightInd w:val="0"/>
              <w:jc w:val="center"/>
              <w:rPr>
                <w:sz w:val="20"/>
                <w:szCs w:val="20"/>
              </w:rPr>
            </w:pPr>
            <w:r w:rsidRPr="0030598E">
              <w:rPr>
                <w:sz w:val="20"/>
                <w:szCs w:val="20"/>
              </w:rPr>
              <w:t>N/R</w:t>
            </w:r>
          </w:p>
        </w:tc>
        <w:tc>
          <w:tcPr>
            <w:tcW w:w="1724" w:type="dxa"/>
          </w:tcPr>
          <w:p w14:paraId="06EC2821" w14:textId="77777777" w:rsidR="00CE2DD1" w:rsidRPr="0030598E" w:rsidRDefault="00CE2DD1" w:rsidP="00111B4C">
            <w:pPr>
              <w:jc w:val="center"/>
              <w:rPr>
                <w:sz w:val="20"/>
                <w:szCs w:val="20"/>
              </w:rPr>
            </w:pPr>
            <w:r w:rsidRPr="0030598E">
              <w:rPr>
                <w:sz w:val="20"/>
                <w:szCs w:val="20"/>
              </w:rPr>
              <w:t>N = 7958,5</w:t>
            </w:r>
          </w:p>
          <w:p w14:paraId="2CCC2094" w14:textId="77777777" w:rsidR="00CE2DD1" w:rsidRPr="0030598E" w:rsidRDefault="00CE2DD1" w:rsidP="00111B4C">
            <w:pPr>
              <w:jc w:val="center"/>
              <w:rPr>
                <w:sz w:val="20"/>
                <w:szCs w:val="20"/>
              </w:rPr>
            </w:pPr>
            <w:r w:rsidRPr="0030598E">
              <w:rPr>
                <w:sz w:val="20"/>
                <w:szCs w:val="20"/>
              </w:rPr>
              <w:t>(46,9; 70,2)</w:t>
            </w:r>
          </w:p>
          <w:p w14:paraId="2E0A9626" w14:textId="77777777" w:rsidR="00CE2DD1" w:rsidRPr="0030598E" w:rsidRDefault="00CE2DD1" w:rsidP="00111B4C">
            <w:pPr>
              <w:jc w:val="center"/>
              <w:rPr>
                <w:sz w:val="20"/>
                <w:szCs w:val="20"/>
              </w:rPr>
            </w:pPr>
            <w:r w:rsidRPr="0030598E">
              <w:rPr>
                <w:sz w:val="20"/>
                <w:szCs w:val="20"/>
              </w:rPr>
              <w:t>50,7</w:t>
            </w:r>
          </w:p>
          <w:p w14:paraId="672EF51C" w14:textId="77777777" w:rsidR="00CE2DD1" w:rsidRPr="0030598E" w:rsidRDefault="00CE2DD1" w:rsidP="00111B4C">
            <w:pPr>
              <w:jc w:val="center"/>
              <w:rPr>
                <w:sz w:val="20"/>
                <w:szCs w:val="20"/>
              </w:rPr>
            </w:pPr>
            <w:r w:rsidRPr="0030598E">
              <w:rPr>
                <w:sz w:val="20"/>
                <w:szCs w:val="20"/>
              </w:rPr>
              <w:t>(36,5; 65,0)</w:t>
            </w:r>
          </w:p>
          <w:p w14:paraId="0F7E340D" w14:textId="77777777" w:rsidR="00CE2DD1" w:rsidRPr="0030598E" w:rsidRDefault="00CE2DD1" w:rsidP="00111B4C">
            <w:pPr>
              <w:jc w:val="center"/>
              <w:rPr>
                <w:sz w:val="20"/>
                <w:szCs w:val="20"/>
              </w:rPr>
            </w:pPr>
            <w:r w:rsidRPr="0030598E">
              <w:rPr>
                <w:sz w:val="20"/>
                <w:szCs w:val="20"/>
              </w:rPr>
              <w:t>N/R</w:t>
            </w:r>
          </w:p>
        </w:tc>
        <w:tc>
          <w:tcPr>
            <w:tcW w:w="1730" w:type="dxa"/>
          </w:tcPr>
          <w:p w14:paraId="779F9A61" w14:textId="77777777" w:rsidR="00CE2DD1" w:rsidRPr="0030598E" w:rsidRDefault="00CE2DD1" w:rsidP="00111B4C">
            <w:pPr>
              <w:jc w:val="center"/>
              <w:rPr>
                <w:sz w:val="20"/>
                <w:szCs w:val="20"/>
              </w:rPr>
            </w:pPr>
            <w:r w:rsidRPr="0030598E">
              <w:rPr>
                <w:sz w:val="20"/>
                <w:szCs w:val="20"/>
              </w:rPr>
              <w:t>N = 64</w:t>
            </w:r>
          </w:p>
          <w:p w14:paraId="40F27C44" w14:textId="77777777" w:rsidR="00CE2DD1" w:rsidRPr="0030598E" w:rsidRDefault="00CE2DD1" w:rsidP="00111B4C">
            <w:pPr>
              <w:jc w:val="center"/>
              <w:rPr>
                <w:sz w:val="20"/>
                <w:szCs w:val="20"/>
              </w:rPr>
            </w:pPr>
            <w:r w:rsidRPr="0030598E">
              <w:rPr>
                <w:sz w:val="20"/>
                <w:szCs w:val="20"/>
              </w:rPr>
              <w:t>22,5</w:t>
            </w:r>
          </w:p>
          <w:p w14:paraId="31960E73" w14:textId="77777777" w:rsidR="00CE2DD1" w:rsidRPr="0030598E" w:rsidRDefault="00CE2DD1" w:rsidP="00111B4C">
            <w:pPr>
              <w:jc w:val="center"/>
              <w:rPr>
                <w:sz w:val="20"/>
                <w:szCs w:val="20"/>
              </w:rPr>
            </w:pPr>
            <w:r w:rsidRPr="0030598E">
              <w:rPr>
                <w:sz w:val="20"/>
                <w:szCs w:val="20"/>
              </w:rPr>
              <w:t>(7,1; 37,9)</w:t>
            </w:r>
          </w:p>
          <w:p w14:paraId="64B53222" w14:textId="77777777" w:rsidR="00CE2DD1" w:rsidRPr="0030598E" w:rsidRDefault="00CE2DD1" w:rsidP="00111B4C">
            <w:pPr>
              <w:jc w:val="center"/>
              <w:rPr>
                <w:sz w:val="20"/>
                <w:szCs w:val="20"/>
              </w:rPr>
            </w:pPr>
            <w:r w:rsidRPr="0030598E">
              <w:rPr>
                <w:sz w:val="20"/>
                <w:szCs w:val="20"/>
              </w:rPr>
              <w:t>22,5</w:t>
            </w:r>
          </w:p>
          <w:p w14:paraId="165132D2" w14:textId="77777777" w:rsidR="00CE2DD1" w:rsidRPr="0030598E" w:rsidRDefault="00CE2DD1" w:rsidP="00111B4C">
            <w:pPr>
              <w:jc w:val="center"/>
              <w:rPr>
                <w:sz w:val="20"/>
                <w:szCs w:val="20"/>
              </w:rPr>
            </w:pPr>
            <w:r w:rsidRPr="0030598E">
              <w:rPr>
                <w:sz w:val="20"/>
                <w:szCs w:val="20"/>
              </w:rPr>
              <w:t>(7,1; 37,9)</w:t>
            </w:r>
          </w:p>
          <w:p w14:paraId="44176E6B" w14:textId="77777777" w:rsidR="00CE2DD1" w:rsidRPr="0030598E" w:rsidRDefault="00CE2DD1" w:rsidP="00111B4C">
            <w:pPr>
              <w:jc w:val="center"/>
              <w:rPr>
                <w:sz w:val="20"/>
                <w:szCs w:val="20"/>
              </w:rPr>
            </w:pPr>
            <w:r w:rsidRPr="0030598E">
              <w:rPr>
                <w:sz w:val="20"/>
                <w:szCs w:val="20"/>
              </w:rPr>
              <w:t>10,9 (8,7; 19,7)</w:t>
            </w:r>
          </w:p>
        </w:tc>
      </w:tr>
    </w:tbl>
    <w:p w14:paraId="5590168E" w14:textId="77777777" w:rsidR="00F15801" w:rsidRPr="0030598E" w:rsidRDefault="0070285B" w:rsidP="00C208E4">
      <w:pPr>
        <w:rPr>
          <w:sz w:val="20"/>
        </w:rPr>
      </w:pPr>
      <w:r w:rsidRPr="0030598E">
        <w:rPr>
          <w:sz w:val="20"/>
        </w:rPr>
        <w:t xml:space="preserve">Az adatgyűjtés lezárásának időpontja: I/II. fázisú vizsgálat: 2015. október 2.; </w:t>
      </w:r>
    </w:p>
    <w:p w14:paraId="53F63CFC" w14:textId="79C6AAB7" w:rsidR="005B1144" w:rsidRPr="0030598E" w:rsidRDefault="0070285B" w:rsidP="00C208E4">
      <w:pPr>
        <w:rPr>
          <w:sz w:val="20"/>
        </w:rPr>
      </w:pPr>
      <w:r w:rsidRPr="0030598E">
        <w:rPr>
          <w:sz w:val="20"/>
        </w:rPr>
        <w:t>Kiterjesztett vizsgálat:</w:t>
      </w:r>
      <w:r w:rsidR="00564F8D" w:rsidRPr="0030598E">
        <w:rPr>
          <w:sz w:val="20"/>
        </w:rPr>
        <w:t xml:space="preserve"> </w:t>
      </w:r>
      <w:r w:rsidRPr="0030598E">
        <w:rPr>
          <w:sz w:val="20"/>
        </w:rPr>
        <w:t>2020. szeptember 2.</w:t>
      </w:r>
    </w:p>
    <w:p w14:paraId="53F63CFF" w14:textId="5BEC49A1" w:rsidR="005B1144" w:rsidRPr="0030598E" w:rsidRDefault="0070285B" w:rsidP="00C208E4">
      <w:pPr>
        <w:rPr>
          <w:sz w:val="20"/>
        </w:rPr>
      </w:pPr>
      <w:r w:rsidRPr="0030598E">
        <w:rPr>
          <w:sz w:val="20"/>
        </w:rPr>
        <w:t xml:space="preserve">Citogenetikai válaszkritériumok: MCyR, benne a teljes (0% Ph+ metafázisok a csontvelőből vagy &lt; 1% pozitív sejtek a fluoreszcens in situ hibridizációból </w:t>
      </w:r>
      <w:r w:rsidR="00DC549A" w:rsidRPr="0030598E">
        <w:rPr>
          <w:sz w:val="20"/>
        </w:rPr>
        <w:t>[</w:t>
      </w:r>
      <w:r w:rsidRPr="0030598E">
        <w:rPr>
          <w:sz w:val="20"/>
        </w:rPr>
        <w:t>FISH</w:t>
      </w:r>
      <w:r w:rsidR="00DC549A" w:rsidRPr="0030598E">
        <w:rPr>
          <w:sz w:val="20"/>
        </w:rPr>
        <w:t>]</w:t>
      </w:r>
      <w:r w:rsidRPr="0030598E">
        <w:rPr>
          <w:sz w:val="20"/>
        </w:rPr>
        <w:t>) vagy a részleges (1%–35%) citogenetikai válasszal. A citogenetikai válaszok a Ph+ metafázisok százalékos arányán alapulnak a ≥ 20 metafázisos sejtek között, mindegyik csontvelőmintában. A FISH analízis (≥ 200 sejt) használható a kiindulási állapotot követő</w:t>
      </w:r>
      <w:r w:rsidR="00FB3053" w:rsidRPr="0030598E">
        <w:rPr>
          <w:sz w:val="20"/>
        </w:rPr>
        <w:t xml:space="preserve"> </w:t>
      </w:r>
      <w:r w:rsidRPr="0030598E">
        <w:rPr>
          <w:sz w:val="20"/>
        </w:rPr>
        <w:t>citogenetikai értékelésre, ha ≥ 20 metafázisos sejt nem érhető el. A kiterjesztett vizsgálatban a CCyR adatait az MMR-ből vették át, ha egy adott dátumhoz nem állt rendelkezésre érvényes citogenetikai értékelés.</w:t>
      </w:r>
    </w:p>
    <w:p w14:paraId="53F63D00" w14:textId="0A5C27B3" w:rsidR="005B1144" w:rsidRPr="0030598E" w:rsidRDefault="0070285B" w:rsidP="00C208E4">
      <w:pPr>
        <w:rPr>
          <w:sz w:val="20"/>
        </w:rPr>
      </w:pPr>
      <w:r w:rsidRPr="0030598E">
        <w:rPr>
          <w:sz w:val="20"/>
        </w:rPr>
        <w:t>A molekuláris válasz kritériumai: Az I/II. fázisú vizsgálatban az MMR/MR</w:t>
      </w:r>
      <w:r w:rsidRPr="0030598E">
        <w:rPr>
          <w:sz w:val="20"/>
          <w:vertAlign w:val="superscript"/>
        </w:rPr>
        <w:t>4</w:t>
      </w:r>
      <w:r w:rsidRPr="0030598E">
        <w:rPr>
          <w:sz w:val="20"/>
        </w:rPr>
        <w:t xml:space="preserve"> meghatározása: ≤ 0,1/0,01% BCR- ABL transzkriptum a központi laboratórium értékelése szerint (nem a nemzetközi skálán). A kiterjesztett vizsgálatban a reszpondereknél az MMR/MR</w:t>
      </w:r>
      <w:r w:rsidRPr="0030598E">
        <w:rPr>
          <w:sz w:val="20"/>
          <w:vertAlign w:val="superscript"/>
        </w:rPr>
        <w:t>4</w:t>
      </w:r>
      <w:r w:rsidRPr="0030598E">
        <w:rPr>
          <w:sz w:val="20"/>
        </w:rPr>
        <w:t xml:space="preserve"> a vizsgálati adatlapon a helyi laboratórium értékelése alapján volt feltüntetve. Rövidítések: AP = akcelerált fázis; BP = blasztos fázis; Ph+ = Philadelphia-kromoszóma-pozitív; CP = krónikus fázis; CML = krónikus myeloid leukaemia; K-M = Kaplan–Meier; N/n = betegszám; N/A = nem alkalmazható; N/R = nem került elérésre a minimális követésig; N/E = nem becsülhető meg; CI = konfiden</w:t>
      </w:r>
      <w:r w:rsidR="001E2C16" w:rsidRPr="0030598E">
        <w:rPr>
          <w:sz w:val="20"/>
        </w:rPr>
        <w:t>ciain</w:t>
      </w:r>
      <w:r w:rsidRPr="0030598E">
        <w:rPr>
          <w:sz w:val="20"/>
        </w:rPr>
        <w:t xml:space="preserve">tervallum; MCyR = major citogenetikai válasz; CCyR = teljes citogenetikai válasz; CumInc = kumulatív </w:t>
      </w:r>
      <w:r w:rsidR="003338EA" w:rsidRPr="0030598E">
        <w:rPr>
          <w:sz w:val="20"/>
        </w:rPr>
        <w:t>incidencia</w:t>
      </w:r>
      <w:r w:rsidRPr="0030598E">
        <w:rPr>
          <w:sz w:val="20"/>
        </w:rPr>
        <w:t>; MMR = major molekuláris válasz; BCR-ABL = töréspont klaszterrégió-Abelson.</w:t>
      </w:r>
    </w:p>
    <w:p w14:paraId="53F63D01" w14:textId="77777777" w:rsidR="005B1144" w:rsidRPr="0030598E" w:rsidRDefault="0070285B" w:rsidP="00C208E4">
      <w:pPr>
        <w:ind w:left="141" w:hanging="142"/>
        <w:rPr>
          <w:sz w:val="20"/>
        </w:rPr>
      </w:pPr>
      <w:r w:rsidRPr="0030598E">
        <w:rPr>
          <w:sz w:val="20"/>
          <w:vertAlign w:val="superscript"/>
        </w:rPr>
        <w:t>a.</w:t>
      </w:r>
      <w:r w:rsidRPr="0030598E">
        <w:rPr>
          <w:sz w:val="20"/>
        </w:rPr>
        <w:t xml:space="preserve"> Érvényes kiindulási citogenetikai értékeléssel,,valamint a kínai, dél-afrikai, indiai vagy oroszországi betegeken kívüli, érvényes kiindulási molekuláris értékeléssel rendelkező betegeket (N) foglal magában, mivel ez utóbbi országokban a minták nem exportálhatók a molekuláris értékeléshez. Az analízis lehetővé teszi a reszponderként való részvételt azon kiindulási reszponderek számára, akiknél a terápiás válasz fennmaradt a kiindulási időpontot követően. A legrövidebb követési időtartam (az utolsó betegnek adott első dózistól az adatok lezárásáig terjedő időtartam) 120 hónap.</w:t>
      </w:r>
    </w:p>
    <w:p w14:paraId="53F63D02" w14:textId="0C6BB4E1" w:rsidR="005B1144" w:rsidRPr="0030598E" w:rsidRDefault="0070285B" w:rsidP="00C208E4">
      <w:pPr>
        <w:rPr>
          <w:sz w:val="20"/>
        </w:rPr>
      </w:pPr>
      <w:r w:rsidRPr="0030598E">
        <w:rPr>
          <w:sz w:val="20"/>
          <w:vertAlign w:val="superscript"/>
        </w:rPr>
        <w:t>b.</w:t>
      </w:r>
      <w:r w:rsidRPr="0030598E">
        <w:rPr>
          <w:sz w:val="20"/>
        </w:rPr>
        <w:t xml:space="preserve"> Köztük a választ elérő, </w:t>
      </w:r>
      <w:r w:rsidR="00601929">
        <w:rPr>
          <w:sz w:val="20"/>
        </w:rPr>
        <w:t>ill.</w:t>
      </w:r>
      <w:r w:rsidRPr="0030598E">
        <w:rPr>
          <w:sz w:val="20"/>
        </w:rPr>
        <w:t xml:space="preserve"> fenntartó betegekkel (N).</w:t>
      </w:r>
    </w:p>
    <w:p w14:paraId="53F63D03" w14:textId="77777777" w:rsidR="005B1144" w:rsidRPr="0030598E" w:rsidRDefault="0070285B" w:rsidP="00C208E4">
      <w:pPr>
        <w:rPr>
          <w:sz w:val="20"/>
        </w:rPr>
      </w:pPr>
      <w:r w:rsidRPr="0030598E">
        <w:rPr>
          <w:sz w:val="20"/>
          <w:vertAlign w:val="superscript"/>
        </w:rPr>
        <w:t>c.</w:t>
      </w:r>
      <w:r w:rsidRPr="0030598E">
        <w:rPr>
          <w:sz w:val="20"/>
        </w:rPr>
        <w:t xml:space="preserve"> Köztük a legalább 1 dózis bozutinibet kapott betegekkel (N).</w:t>
      </w:r>
    </w:p>
    <w:p w14:paraId="53F63D04" w14:textId="1B06CDB8" w:rsidR="005B1144" w:rsidRPr="0030598E" w:rsidRDefault="0070285B" w:rsidP="00C208E4">
      <w:pPr>
        <w:ind w:left="141" w:hanging="142"/>
        <w:rPr>
          <w:sz w:val="20"/>
        </w:rPr>
      </w:pPr>
      <w:r w:rsidRPr="0030598E">
        <w:rPr>
          <w:sz w:val="20"/>
          <w:vertAlign w:val="superscript"/>
        </w:rPr>
        <w:t>d.</w:t>
      </w:r>
      <w:r w:rsidRPr="0030598E">
        <w:rPr>
          <w:sz w:val="20"/>
        </w:rPr>
        <w:t xml:space="preserve"> Kumulatívincidencia-analízis a kezelés esemény nélküli abbahagyásának versengő kockázatának figyelembevételével.</w:t>
      </w:r>
    </w:p>
    <w:p w14:paraId="53F63D05" w14:textId="77777777" w:rsidR="005B1144" w:rsidRPr="0030598E" w:rsidRDefault="0070285B" w:rsidP="00C208E4">
      <w:pPr>
        <w:rPr>
          <w:sz w:val="20"/>
        </w:rPr>
      </w:pPr>
      <w:r w:rsidRPr="0030598E">
        <w:rPr>
          <w:sz w:val="20"/>
          <w:vertAlign w:val="superscript"/>
        </w:rPr>
        <w:t>e</w:t>
      </w:r>
      <w:r w:rsidRPr="0030598E">
        <w:rPr>
          <w:sz w:val="20"/>
        </w:rPr>
        <w:t xml:space="preserve"> A korlátozott létszámú csoportok esetében nem történt elemzés.</w:t>
      </w:r>
    </w:p>
    <w:p w14:paraId="53F63D06" w14:textId="77777777" w:rsidR="005B1144" w:rsidRPr="00C208E4" w:rsidRDefault="005B1144" w:rsidP="00C208E4">
      <w:pPr>
        <w:pStyle w:val="Szvegtrzs"/>
      </w:pPr>
    </w:p>
    <w:p w14:paraId="53F63D07" w14:textId="77777777" w:rsidR="005B1144" w:rsidRPr="00C208E4" w:rsidRDefault="0070285B" w:rsidP="00C208E4">
      <w:pPr>
        <w:pStyle w:val="Szvegtrzs"/>
      </w:pPr>
      <w:r w:rsidRPr="00C208E4">
        <w:t>A CP-, AP- és BP-kohorszok esetében a teljes túlélés grafikus ábrázolása az 4. ábrán látható.</w:t>
      </w:r>
    </w:p>
    <w:p w14:paraId="53F63D08" w14:textId="77777777" w:rsidR="005B1144" w:rsidRPr="00C208E4" w:rsidRDefault="005B1144" w:rsidP="00C208E4">
      <w:pPr>
        <w:pStyle w:val="Szvegtrzs"/>
      </w:pPr>
    </w:p>
    <w:p w14:paraId="53F63D09" w14:textId="7B621C15" w:rsidR="005B1144" w:rsidRPr="00C208E4" w:rsidRDefault="00B30778" w:rsidP="00C208E4">
      <w:pPr>
        <w:pStyle w:val="Cmsor2"/>
        <w:keepNext/>
        <w:numPr>
          <w:ilvl w:val="0"/>
          <w:numId w:val="10"/>
        </w:numPr>
      </w:pPr>
      <w:r w:rsidRPr="00C208E4">
        <w:rPr>
          <w:noProof/>
          <w:lang w:eastAsia="hu-HU"/>
        </w:rPr>
        <mc:AlternateContent>
          <mc:Choice Requires="wps">
            <w:drawing>
              <wp:anchor distT="0" distB="0" distL="114300" distR="114300" simplePos="0" relativeHeight="15731712" behindDoc="0" locked="0" layoutInCell="1" allowOverlap="0" wp14:anchorId="53F642DD" wp14:editId="1BA2E655">
                <wp:simplePos x="0" y="0"/>
                <wp:positionH relativeFrom="page">
                  <wp:posOffset>630789</wp:posOffset>
                </wp:positionH>
                <wp:positionV relativeFrom="page">
                  <wp:posOffset>5711333</wp:posOffset>
                </wp:positionV>
                <wp:extent cx="165600" cy="1443600"/>
                <wp:effectExtent l="0" t="0" r="6350" b="4445"/>
                <wp:wrapNone/>
                <wp:docPr id="687717927"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0" cy="144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6435D" w14:textId="5DB81E78" w:rsidR="00111B4C" w:rsidRDefault="00111B4C">
                            <w:pPr>
                              <w:spacing w:before="10"/>
                              <w:ind w:left="20"/>
                              <w:rPr>
                                <w:sz w:val="20"/>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642DD" id="_x0000_t202" coordsize="21600,21600" o:spt="202" path="m,l,21600r21600,l21600,xe">
                <v:stroke joinstyle="miter"/>
                <v:path gradientshapeok="t" o:connecttype="rect"/>
              </v:shapetype>
              <v:shape id="docshape14" o:spid="_x0000_s1026" type="#_x0000_t202" style="position:absolute;left:0;text-align:left;margin-left:49.65pt;margin-top:449.7pt;width:13.05pt;height:113.6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" o:allowoverlap="f" filled="f" stroked="f">
                <v:textbox style="layout-flow:vertical;mso-layout-flow-alt:bottom-to-top" inset="0,0,0,0">
                  <w:txbxContent>
                    <w:p w14:paraId="53F6435D" w14:textId="5DB81E78" w:rsidR="00111B4C" w:rsidRDefault="00111B4C">
                      <w:pPr>
                        <w:spacing w:before="10"/>
                        <w:ind w:left="20"/>
                        <w:rPr>
                          <w:sz w:val="20"/>
                        </w:rPr>
                      </w:pPr>
                    </w:p>
                  </w:txbxContent>
                </v:textbox>
                <w10:wrap anchorx="page" anchory="page"/>
              </v:shape>
            </w:pict>
          </mc:Fallback>
        </mc:AlternateContent>
      </w:r>
      <w:r w:rsidR="0070285B" w:rsidRPr="00C208E4">
        <w:t>ábra – A teljes túlélés (OS) Kaplan–Meier-becslése (OS) a CP2L, CP3L, AP és BP esetében</w:t>
      </w:r>
    </w:p>
    <w:p w14:paraId="53F63D0D" w14:textId="0CC1E159" w:rsidR="005B1144" w:rsidRPr="00C208E4" w:rsidRDefault="00A379A9" w:rsidP="007F27E2">
      <w:pPr>
        <w:pStyle w:val="Cmsor2"/>
        <w:ind w:left="0"/>
      </w:pPr>
      <w:r w:rsidRPr="00C208E4">
        <w:rPr>
          <w:noProof/>
          <w:lang w:eastAsia="hu-HU"/>
        </w:rPr>
        <w:drawing>
          <wp:inline distT="0" distB="0" distL="0" distR="0" wp14:anchorId="4E2776A1" wp14:editId="6953130D">
            <wp:extent cx="6245445" cy="4424680"/>
            <wp:effectExtent l="0" t="0" r="3175" b="0"/>
            <wp:docPr id="895983297" name="Kép 1" descr="A képen szöveg, diagram, sor, Diagram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83297" name="Kép 1" descr="A képen szöveg, diagram, sor, Diagram látható&#10;&#10;Automatikusan generált leírás"/>
                    <pic:cNvPicPr/>
                  </pic:nvPicPr>
                  <pic:blipFill>
                    <a:blip r:embed="rId11"/>
                    <a:stretch>
                      <a:fillRect/>
                    </a:stretch>
                  </pic:blipFill>
                  <pic:spPr>
                    <a:xfrm>
                      <a:off x="0" y="0"/>
                      <a:ext cx="6254561" cy="4431139"/>
                    </a:xfrm>
                    <a:prstGeom prst="rect">
                      <a:avLst/>
                    </a:prstGeom>
                  </pic:spPr>
                </pic:pic>
              </a:graphicData>
            </a:graphic>
          </wp:inline>
        </w:drawing>
      </w:r>
    </w:p>
    <w:p w14:paraId="4A36BCFA" w14:textId="77777777" w:rsidR="00564F8D" w:rsidRPr="00C208E4" w:rsidRDefault="00564F8D" w:rsidP="00C208E4">
      <w:pPr>
        <w:pStyle w:val="Szvegtrzs"/>
        <w:rPr>
          <w:b/>
          <w:szCs w:val="16"/>
        </w:rPr>
      </w:pPr>
    </w:p>
    <w:p w14:paraId="53F63D47" w14:textId="69EDFAB5" w:rsidR="005B1144" w:rsidRPr="00C208E4" w:rsidRDefault="0070285B" w:rsidP="00C208E4">
      <w:pPr>
        <w:pStyle w:val="Szvegtrzs"/>
      </w:pPr>
      <w:r w:rsidRPr="00C208E4">
        <w:t>Az I/II. fázisú vizsgálatokból származó korlátozott klinikai információk alapján BCR-ABL mutációkkal rendelkező betegeknél a klinikai aktivitás néhány bizonyítékát megfigyelték (lásd</w:t>
      </w:r>
      <w:r w:rsidR="00FB3053" w:rsidRPr="00C208E4">
        <w:t xml:space="preserve"> </w:t>
      </w:r>
      <w:r w:rsidRPr="00C208E4">
        <w:t>táblázat).</w:t>
      </w:r>
    </w:p>
    <w:p w14:paraId="2E05B983" w14:textId="77777777" w:rsidR="005B1144" w:rsidRDefault="005B1144" w:rsidP="00C208E4"/>
    <w:p w14:paraId="166228F4" w14:textId="77777777" w:rsidR="00E46B9D" w:rsidRDefault="00E46B9D" w:rsidP="00C208E4"/>
    <w:p w14:paraId="6C6806B2" w14:textId="77777777" w:rsidR="00E46B9D" w:rsidRPr="00C208E4" w:rsidRDefault="00E46B9D" w:rsidP="00C208E4"/>
    <w:p w14:paraId="53F63D49" w14:textId="4DDDA69E" w:rsidR="005B1144" w:rsidRPr="00C208E4" w:rsidRDefault="00B57C75" w:rsidP="00C208E4">
      <w:pPr>
        <w:pStyle w:val="Cmsor2"/>
        <w:ind w:left="0"/>
      </w:pPr>
      <w:r w:rsidRPr="00C208E4">
        <w:t xml:space="preserve">9. </w:t>
      </w:r>
      <w:r w:rsidR="0070285B" w:rsidRPr="00C208E4">
        <w:t>táblázat - Válasz a kiindulási BCR-ABL mutációs státusz alapján CP CML-es értékelhető populációban: imatinib és dazatinib és/vagy nilotinib előtt (harmadik vonalban)</w:t>
      </w:r>
    </w:p>
    <w:p w14:paraId="53F63D4A" w14:textId="77777777" w:rsidR="005B1144" w:rsidRPr="00C208E4" w:rsidRDefault="005B1144" w:rsidP="00C208E4">
      <w:pPr>
        <w:pStyle w:val="Szvegtrzs"/>
        <w:rPr>
          <w:b/>
        </w:rPr>
      </w:pPr>
    </w:p>
    <w:tbl>
      <w:tblPr>
        <w:tblStyle w:val="TableNormal1"/>
        <w:tblW w:w="802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2237"/>
        <w:gridCol w:w="2815"/>
      </w:tblGrid>
      <w:tr w:rsidR="005B1144" w:rsidRPr="00C208E4" w14:paraId="53F63D52" w14:textId="77777777" w:rsidTr="0030598E">
        <w:trPr>
          <w:trHeight w:val="1053"/>
        </w:trPr>
        <w:tc>
          <w:tcPr>
            <w:tcW w:w="2977" w:type="dxa"/>
          </w:tcPr>
          <w:p w14:paraId="53F63D4B" w14:textId="77777777" w:rsidR="005B1144" w:rsidRPr="00C208E4" w:rsidRDefault="005B1144" w:rsidP="00C208E4">
            <w:pPr>
              <w:pStyle w:val="TableParagraph"/>
              <w:rPr>
                <w:b/>
              </w:rPr>
            </w:pPr>
          </w:p>
          <w:p w14:paraId="53F63D4C" w14:textId="77777777" w:rsidR="005B1144" w:rsidRPr="00C208E4" w:rsidRDefault="0070285B" w:rsidP="00C208E4">
            <w:pPr>
              <w:pStyle w:val="TableParagraph"/>
              <w:ind w:left="107"/>
              <w:jc w:val="center"/>
              <w:rPr>
                <w:b/>
              </w:rPr>
            </w:pPr>
            <w:r w:rsidRPr="00C208E4">
              <w:rPr>
                <w:b/>
              </w:rPr>
              <w:t>Kiindulási BCR-ABL mutációs státusz</w:t>
            </w:r>
          </w:p>
        </w:tc>
        <w:tc>
          <w:tcPr>
            <w:tcW w:w="2237" w:type="dxa"/>
          </w:tcPr>
          <w:p w14:paraId="53F63D4D" w14:textId="77777777" w:rsidR="005B1144" w:rsidRPr="00C208E4" w:rsidRDefault="005B1144" w:rsidP="00111B4C">
            <w:pPr>
              <w:pStyle w:val="TableParagraph"/>
              <w:jc w:val="center"/>
              <w:rPr>
                <w:b/>
              </w:rPr>
            </w:pPr>
          </w:p>
          <w:p w14:paraId="37EB2448" w14:textId="77777777" w:rsidR="00111B4C" w:rsidRDefault="0070285B" w:rsidP="0030598E">
            <w:pPr>
              <w:pStyle w:val="TableParagraph"/>
              <w:jc w:val="center"/>
              <w:rPr>
                <w:b/>
              </w:rPr>
            </w:pPr>
            <w:r w:rsidRPr="00C208E4">
              <w:rPr>
                <w:b/>
              </w:rPr>
              <w:t>Kiindulási incidencia</w:t>
            </w:r>
          </w:p>
          <w:p w14:paraId="53F63D4E" w14:textId="6F0EC53C" w:rsidR="005B1144" w:rsidRPr="00C208E4" w:rsidRDefault="0070285B" w:rsidP="0030598E">
            <w:pPr>
              <w:pStyle w:val="TableParagraph"/>
              <w:jc w:val="center"/>
              <w:rPr>
                <w:b/>
              </w:rPr>
            </w:pPr>
            <w:r w:rsidRPr="00C208E4">
              <w:rPr>
                <w:b/>
              </w:rPr>
              <w:t>n (%)</w:t>
            </w:r>
            <w:r w:rsidRPr="00C208E4">
              <w:rPr>
                <w:b/>
                <w:vertAlign w:val="superscript"/>
              </w:rPr>
              <w:t>a</w:t>
            </w:r>
          </w:p>
        </w:tc>
        <w:tc>
          <w:tcPr>
            <w:tcW w:w="2815" w:type="dxa"/>
          </w:tcPr>
          <w:p w14:paraId="53F63D4F" w14:textId="77777777" w:rsidR="005B1144" w:rsidRPr="00C208E4" w:rsidRDefault="0070285B" w:rsidP="0030598E">
            <w:pPr>
              <w:pStyle w:val="TableParagraph"/>
              <w:jc w:val="center"/>
              <w:rPr>
                <w:b/>
              </w:rPr>
            </w:pPr>
            <w:r w:rsidRPr="00C208E4">
              <w:rPr>
                <w:b/>
              </w:rPr>
              <w:t>Elért vagy fenntartott MCyR</w:t>
            </w:r>
          </w:p>
          <w:p w14:paraId="53F63D50" w14:textId="77777777" w:rsidR="005B1144" w:rsidRPr="00C208E4" w:rsidRDefault="0070285B" w:rsidP="0030598E">
            <w:pPr>
              <w:pStyle w:val="TableParagraph"/>
              <w:jc w:val="center"/>
              <w:rPr>
                <w:b/>
              </w:rPr>
            </w:pPr>
            <w:r w:rsidRPr="00C208E4">
              <w:rPr>
                <w:b/>
              </w:rPr>
              <w:t>Resp/Eval</w:t>
            </w:r>
            <w:r w:rsidRPr="00C208E4">
              <w:rPr>
                <w:b/>
                <w:vertAlign w:val="superscript"/>
              </w:rPr>
              <w:t>b</w:t>
            </w:r>
            <w:r w:rsidRPr="00C208E4">
              <w:rPr>
                <w:b/>
              </w:rPr>
              <w:t xml:space="preserve"> (%)</w:t>
            </w:r>
          </w:p>
          <w:p w14:paraId="53F63D51" w14:textId="24B1943F" w:rsidR="005B1144" w:rsidRPr="00C208E4" w:rsidRDefault="0070285B" w:rsidP="0030598E">
            <w:pPr>
              <w:pStyle w:val="TableParagraph"/>
              <w:jc w:val="center"/>
              <w:rPr>
                <w:b/>
              </w:rPr>
            </w:pPr>
            <w:r w:rsidRPr="00C208E4">
              <w:rPr>
                <w:b/>
              </w:rPr>
              <w:t>n=11</w:t>
            </w:r>
            <w:r w:rsidR="00111B4C">
              <w:rPr>
                <w:b/>
              </w:rPr>
              <w:t>2</w:t>
            </w:r>
          </w:p>
        </w:tc>
      </w:tr>
      <w:tr w:rsidR="005B1144" w:rsidRPr="00C208E4" w14:paraId="53F63D56" w14:textId="77777777" w:rsidTr="0030598E">
        <w:trPr>
          <w:trHeight w:val="304"/>
        </w:trPr>
        <w:tc>
          <w:tcPr>
            <w:tcW w:w="2977" w:type="dxa"/>
          </w:tcPr>
          <w:p w14:paraId="53F63D53" w14:textId="77777777" w:rsidR="005B1144" w:rsidRPr="00C208E4" w:rsidRDefault="0070285B" w:rsidP="00C208E4">
            <w:pPr>
              <w:pStyle w:val="TableParagraph"/>
              <w:ind w:left="107"/>
            </w:pPr>
            <w:r w:rsidRPr="00C208E4">
              <w:t>Értékelt mutáció</w:t>
            </w:r>
          </w:p>
        </w:tc>
        <w:tc>
          <w:tcPr>
            <w:tcW w:w="2237" w:type="dxa"/>
          </w:tcPr>
          <w:p w14:paraId="53F63D54" w14:textId="77777777" w:rsidR="005B1144" w:rsidRPr="00C208E4" w:rsidRDefault="0070285B" w:rsidP="0030598E">
            <w:pPr>
              <w:pStyle w:val="TableParagraph"/>
              <w:jc w:val="center"/>
            </w:pPr>
            <w:r w:rsidRPr="00C208E4">
              <w:t>98 (100,0)</w:t>
            </w:r>
          </w:p>
        </w:tc>
        <w:tc>
          <w:tcPr>
            <w:tcW w:w="2815" w:type="dxa"/>
          </w:tcPr>
          <w:p w14:paraId="53F63D55" w14:textId="77777777" w:rsidR="005B1144" w:rsidRPr="00C208E4" w:rsidRDefault="0070285B" w:rsidP="0030598E">
            <w:pPr>
              <w:pStyle w:val="TableParagraph"/>
              <w:jc w:val="center"/>
            </w:pPr>
            <w:r w:rsidRPr="00C208E4">
              <w:t>36/92 (39,1)</w:t>
            </w:r>
          </w:p>
        </w:tc>
      </w:tr>
      <w:tr w:rsidR="005B1144" w:rsidRPr="00C208E4" w14:paraId="53F63D5A" w14:textId="77777777" w:rsidTr="0030598E">
        <w:trPr>
          <w:trHeight w:val="323"/>
        </w:trPr>
        <w:tc>
          <w:tcPr>
            <w:tcW w:w="2977" w:type="dxa"/>
          </w:tcPr>
          <w:p w14:paraId="53F63D57" w14:textId="77777777" w:rsidR="005B1144" w:rsidRPr="00C208E4" w:rsidRDefault="0070285B" w:rsidP="00C208E4">
            <w:pPr>
              <w:pStyle w:val="TableParagraph"/>
              <w:ind w:left="287"/>
            </w:pPr>
            <w:r w:rsidRPr="00C208E4">
              <w:t>Nincs mutáció</w:t>
            </w:r>
          </w:p>
        </w:tc>
        <w:tc>
          <w:tcPr>
            <w:tcW w:w="2237" w:type="dxa"/>
          </w:tcPr>
          <w:p w14:paraId="53F63D58" w14:textId="77777777" w:rsidR="005B1144" w:rsidRPr="00C208E4" w:rsidRDefault="0070285B" w:rsidP="0030598E">
            <w:pPr>
              <w:pStyle w:val="TableParagraph"/>
              <w:jc w:val="center"/>
            </w:pPr>
            <w:r w:rsidRPr="00C208E4">
              <w:t>59 (60,2)</w:t>
            </w:r>
          </w:p>
        </w:tc>
        <w:tc>
          <w:tcPr>
            <w:tcW w:w="2815" w:type="dxa"/>
          </w:tcPr>
          <w:p w14:paraId="53F63D59" w14:textId="77777777" w:rsidR="005B1144" w:rsidRPr="00C208E4" w:rsidRDefault="0070285B" w:rsidP="0030598E">
            <w:pPr>
              <w:pStyle w:val="TableParagraph"/>
              <w:jc w:val="center"/>
            </w:pPr>
            <w:r w:rsidRPr="00C208E4">
              <w:t>23/55 (41,8)</w:t>
            </w:r>
          </w:p>
        </w:tc>
      </w:tr>
      <w:tr w:rsidR="005B1144" w:rsidRPr="00C208E4" w14:paraId="53F63D5E" w14:textId="77777777" w:rsidTr="0030598E">
        <w:trPr>
          <w:trHeight w:val="323"/>
        </w:trPr>
        <w:tc>
          <w:tcPr>
            <w:tcW w:w="2977" w:type="dxa"/>
          </w:tcPr>
          <w:p w14:paraId="53F63D5B" w14:textId="77777777" w:rsidR="005B1144" w:rsidRPr="00C208E4" w:rsidRDefault="0070285B" w:rsidP="00C208E4">
            <w:pPr>
              <w:pStyle w:val="TableParagraph"/>
              <w:ind w:left="287"/>
            </w:pPr>
            <w:r w:rsidRPr="00C208E4">
              <w:t>Legalább egy mutáció</w:t>
            </w:r>
          </w:p>
        </w:tc>
        <w:tc>
          <w:tcPr>
            <w:tcW w:w="2237" w:type="dxa"/>
          </w:tcPr>
          <w:p w14:paraId="53F63D5C" w14:textId="77777777" w:rsidR="005B1144" w:rsidRPr="00C208E4" w:rsidRDefault="0070285B" w:rsidP="0030598E">
            <w:pPr>
              <w:pStyle w:val="TableParagraph"/>
              <w:jc w:val="center"/>
            </w:pPr>
            <w:r w:rsidRPr="00C208E4">
              <w:t>39 (39,8)</w:t>
            </w:r>
          </w:p>
        </w:tc>
        <w:tc>
          <w:tcPr>
            <w:tcW w:w="2815" w:type="dxa"/>
          </w:tcPr>
          <w:p w14:paraId="53F63D5D" w14:textId="77777777" w:rsidR="005B1144" w:rsidRPr="00C208E4" w:rsidRDefault="0070285B" w:rsidP="0030598E">
            <w:pPr>
              <w:pStyle w:val="TableParagraph"/>
              <w:jc w:val="center"/>
            </w:pPr>
            <w:r w:rsidRPr="00C208E4">
              <w:t>13/37 (35,1)</w:t>
            </w:r>
          </w:p>
        </w:tc>
      </w:tr>
      <w:tr w:rsidR="005B1144" w:rsidRPr="00C208E4" w14:paraId="53F63D62" w14:textId="77777777" w:rsidTr="0030598E">
        <w:trPr>
          <w:trHeight w:val="304"/>
        </w:trPr>
        <w:tc>
          <w:tcPr>
            <w:tcW w:w="2977" w:type="dxa"/>
          </w:tcPr>
          <w:p w14:paraId="53F63D5F" w14:textId="4B90FBB2" w:rsidR="005B1144" w:rsidRPr="00C208E4" w:rsidRDefault="0070285B" w:rsidP="00C208E4">
            <w:pPr>
              <w:pStyle w:val="TableParagraph"/>
              <w:ind w:left="107"/>
            </w:pPr>
            <w:r w:rsidRPr="00C208E4">
              <w:t>Dazatinib</w:t>
            </w:r>
            <w:r w:rsidR="00111B4C">
              <w:t>-</w:t>
            </w:r>
            <w:r w:rsidRPr="00C208E4">
              <w:t>rezisztens mutációk</w:t>
            </w:r>
          </w:p>
        </w:tc>
        <w:tc>
          <w:tcPr>
            <w:tcW w:w="2237" w:type="dxa"/>
          </w:tcPr>
          <w:p w14:paraId="53F63D60" w14:textId="77777777" w:rsidR="005B1144" w:rsidRPr="00C208E4" w:rsidRDefault="0070285B" w:rsidP="0030598E">
            <w:pPr>
              <w:pStyle w:val="TableParagraph"/>
              <w:jc w:val="center"/>
            </w:pPr>
            <w:r w:rsidRPr="00C208E4">
              <w:t>10 (10,2)</w:t>
            </w:r>
          </w:p>
        </w:tc>
        <w:tc>
          <w:tcPr>
            <w:tcW w:w="2815" w:type="dxa"/>
          </w:tcPr>
          <w:p w14:paraId="53F63D61" w14:textId="77777777" w:rsidR="005B1144" w:rsidRPr="00C208E4" w:rsidRDefault="0070285B" w:rsidP="0030598E">
            <w:pPr>
              <w:pStyle w:val="TableParagraph"/>
              <w:jc w:val="center"/>
            </w:pPr>
            <w:r w:rsidRPr="00C208E4">
              <w:t>1/9 (11,1)</w:t>
            </w:r>
          </w:p>
        </w:tc>
      </w:tr>
      <w:tr w:rsidR="005B1144" w:rsidRPr="00C208E4" w14:paraId="53F63D66" w14:textId="77777777" w:rsidTr="0030598E">
        <w:trPr>
          <w:trHeight w:val="306"/>
        </w:trPr>
        <w:tc>
          <w:tcPr>
            <w:tcW w:w="2977" w:type="dxa"/>
          </w:tcPr>
          <w:p w14:paraId="53F63D63" w14:textId="77777777" w:rsidR="005B1144" w:rsidRPr="00C208E4" w:rsidRDefault="0070285B" w:rsidP="00C208E4">
            <w:pPr>
              <w:pStyle w:val="TableParagraph"/>
              <w:ind w:left="383"/>
            </w:pPr>
            <w:r w:rsidRPr="00C208E4">
              <w:t>E255K/V</w:t>
            </w:r>
          </w:p>
        </w:tc>
        <w:tc>
          <w:tcPr>
            <w:tcW w:w="2237" w:type="dxa"/>
          </w:tcPr>
          <w:p w14:paraId="53F63D64" w14:textId="77777777" w:rsidR="005B1144" w:rsidRPr="00C208E4" w:rsidRDefault="0070285B" w:rsidP="0030598E">
            <w:pPr>
              <w:pStyle w:val="TableParagraph"/>
              <w:jc w:val="center"/>
            </w:pPr>
            <w:r w:rsidRPr="00C208E4">
              <w:t>2 (2,0)</w:t>
            </w:r>
          </w:p>
        </w:tc>
        <w:tc>
          <w:tcPr>
            <w:tcW w:w="2815" w:type="dxa"/>
          </w:tcPr>
          <w:p w14:paraId="53F63D65" w14:textId="77777777" w:rsidR="005B1144" w:rsidRPr="00C208E4" w:rsidRDefault="0070285B" w:rsidP="0030598E">
            <w:pPr>
              <w:pStyle w:val="TableParagraph"/>
              <w:jc w:val="center"/>
            </w:pPr>
            <w:r w:rsidRPr="00C208E4">
              <w:t>0/2</w:t>
            </w:r>
          </w:p>
        </w:tc>
      </w:tr>
      <w:tr w:rsidR="005B1144" w:rsidRPr="00C208E4" w14:paraId="53F63D6A" w14:textId="77777777" w:rsidTr="0030598E">
        <w:trPr>
          <w:trHeight w:val="304"/>
        </w:trPr>
        <w:tc>
          <w:tcPr>
            <w:tcW w:w="2977" w:type="dxa"/>
          </w:tcPr>
          <w:p w14:paraId="53F63D67" w14:textId="77777777" w:rsidR="005B1144" w:rsidRPr="00C208E4" w:rsidRDefault="0070285B" w:rsidP="00C208E4">
            <w:pPr>
              <w:pStyle w:val="TableParagraph"/>
              <w:ind w:left="383"/>
            </w:pPr>
            <w:r w:rsidRPr="00C208E4">
              <w:t>F317L</w:t>
            </w:r>
          </w:p>
        </w:tc>
        <w:tc>
          <w:tcPr>
            <w:tcW w:w="2237" w:type="dxa"/>
          </w:tcPr>
          <w:p w14:paraId="53F63D68" w14:textId="77777777" w:rsidR="005B1144" w:rsidRPr="00C208E4" w:rsidRDefault="0070285B" w:rsidP="0030598E">
            <w:pPr>
              <w:pStyle w:val="TableParagraph"/>
              <w:jc w:val="center"/>
            </w:pPr>
            <w:r w:rsidRPr="00C208E4">
              <w:t>8 (8,2)</w:t>
            </w:r>
          </w:p>
        </w:tc>
        <w:tc>
          <w:tcPr>
            <w:tcW w:w="2815" w:type="dxa"/>
          </w:tcPr>
          <w:p w14:paraId="53F63D69" w14:textId="77777777" w:rsidR="005B1144" w:rsidRPr="00C208E4" w:rsidRDefault="0070285B" w:rsidP="0030598E">
            <w:pPr>
              <w:pStyle w:val="TableParagraph"/>
              <w:jc w:val="center"/>
            </w:pPr>
            <w:r w:rsidRPr="00C208E4">
              <w:t>1/7 (14,3)</w:t>
            </w:r>
          </w:p>
        </w:tc>
      </w:tr>
      <w:tr w:rsidR="005B1144" w:rsidRPr="00C208E4" w14:paraId="53F63D6E" w14:textId="77777777" w:rsidTr="0030598E">
        <w:trPr>
          <w:trHeight w:val="304"/>
        </w:trPr>
        <w:tc>
          <w:tcPr>
            <w:tcW w:w="2977" w:type="dxa"/>
          </w:tcPr>
          <w:p w14:paraId="53F63D6B" w14:textId="1414A818" w:rsidR="005B1144" w:rsidRPr="00C208E4" w:rsidRDefault="0070285B" w:rsidP="00C208E4">
            <w:pPr>
              <w:pStyle w:val="TableParagraph"/>
              <w:ind w:left="107"/>
            </w:pPr>
            <w:r w:rsidRPr="00C208E4">
              <w:t>Nilotinib</w:t>
            </w:r>
            <w:r w:rsidR="00111B4C">
              <w:t>-</w:t>
            </w:r>
            <w:r w:rsidRPr="00C208E4">
              <w:t>rezisztens mutációk</w:t>
            </w:r>
            <w:r w:rsidRPr="00C208E4">
              <w:rPr>
                <w:vertAlign w:val="superscript"/>
              </w:rPr>
              <w:t>c</w:t>
            </w:r>
          </w:p>
        </w:tc>
        <w:tc>
          <w:tcPr>
            <w:tcW w:w="2237" w:type="dxa"/>
          </w:tcPr>
          <w:p w14:paraId="53F63D6C" w14:textId="77777777" w:rsidR="005B1144" w:rsidRPr="00C208E4" w:rsidRDefault="0070285B" w:rsidP="0030598E">
            <w:pPr>
              <w:pStyle w:val="TableParagraph"/>
              <w:jc w:val="center"/>
            </w:pPr>
            <w:r w:rsidRPr="00C208E4">
              <w:t>13 (13,3)</w:t>
            </w:r>
          </w:p>
        </w:tc>
        <w:tc>
          <w:tcPr>
            <w:tcW w:w="2815" w:type="dxa"/>
          </w:tcPr>
          <w:p w14:paraId="53F63D6D" w14:textId="77777777" w:rsidR="005B1144" w:rsidRPr="00C208E4" w:rsidRDefault="0070285B" w:rsidP="0030598E">
            <w:pPr>
              <w:pStyle w:val="TableParagraph"/>
              <w:jc w:val="center"/>
            </w:pPr>
            <w:r w:rsidRPr="00C208E4">
              <w:t>8/13 (61,5)</w:t>
            </w:r>
          </w:p>
        </w:tc>
      </w:tr>
      <w:tr w:rsidR="005B1144" w:rsidRPr="00C208E4" w14:paraId="53F63D72" w14:textId="77777777" w:rsidTr="0030598E">
        <w:trPr>
          <w:trHeight w:val="304"/>
        </w:trPr>
        <w:tc>
          <w:tcPr>
            <w:tcW w:w="2977" w:type="dxa"/>
          </w:tcPr>
          <w:p w14:paraId="53F63D6F" w14:textId="77777777" w:rsidR="005B1144" w:rsidRPr="00C208E4" w:rsidRDefault="0070285B" w:rsidP="00C208E4">
            <w:pPr>
              <w:pStyle w:val="TableParagraph"/>
              <w:ind w:left="383"/>
            </w:pPr>
            <w:r w:rsidRPr="00C208E4">
              <w:t>Y253H</w:t>
            </w:r>
          </w:p>
        </w:tc>
        <w:tc>
          <w:tcPr>
            <w:tcW w:w="2237" w:type="dxa"/>
          </w:tcPr>
          <w:p w14:paraId="53F63D70" w14:textId="77777777" w:rsidR="005B1144" w:rsidRPr="00C208E4" w:rsidRDefault="0070285B" w:rsidP="0030598E">
            <w:pPr>
              <w:pStyle w:val="TableParagraph"/>
              <w:jc w:val="center"/>
            </w:pPr>
            <w:r w:rsidRPr="00C208E4">
              <w:t>6 (6,1)</w:t>
            </w:r>
          </w:p>
        </w:tc>
        <w:tc>
          <w:tcPr>
            <w:tcW w:w="2815" w:type="dxa"/>
          </w:tcPr>
          <w:p w14:paraId="53F63D71" w14:textId="77777777" w:rsidR="005B1144" w:rsidRPr="00C208E4" w:rsidRDefault="0070285B" w:rsidP="0030598E">
            <w:pPr>
              <w:pStyle w:val="TableParagraph"/>
              <w:jc w:val="center"/>
            </w:pPr>
            <w:r w:rsidRPr="00C208E4">
              <w:t>5/6 (83,3)</w:t>
            </w:r>
          </w:p>
        </w:tc>
      </w:tr>
      <w:tr w:rsidR="005B1144" w:rsidRPr="00C208E4" w14:paraId="53F63D76" w14:textId="77777777" w:rsidTr="0030598E">
        <w:trPr>
          <w:trHeight w:val="306"/>
        </w:trPr>
        <w:tc>
          <w:tcPr>
            <w:tcW w:w="2977" w:type="dxa"/>
          </w:tcPr>
          <w:p w14:paraId="53F63D73" w14:textId="77777777" w:rsidR="005B1144" w:rsidRPr="00C208E4" w:rsidRDefault="0070285B" w:rsidP="00C208E4">
            <w:pPr>
              <w:pStyle w:val="TableParagraph"/>
              <w:ind w:left="383"/>
            </w:pPr>
            <w:r w:rsidRPr="00C208E4">
              <w:t>E255K/V</w:t>
            </w:r>
          </w:p>
        </w:tc>
        <w:tc>
          <w:tcPr>
            <w:tcW w:w="2237" w:type="dxa"/>
          </w:tcPr>
          <w:p w14:paraId="53F63D74" w14:textId="77777777" w:rsidR="005B1144" w:rsidRPr="00C208E4" w:rsidRDefault="0070285B" w:rsidP="0030598E">
            <w:pPr>
              <w:pStyle w:val="TableParagraph"/>
              <w:jc w:val="center"/>
            </w:pPr>
            <w:r w:rsidRPr="00C208E4">
              <w:t>2 (2,0)</w:t>
            </w:r>
          </w:p>
        </w:tc>
        <w:tc>
          <w:tcPr>
            <w:tcW w:w="2815" w:type="dxa"/>
          </w:tcPr>
          <w:p w14:paraId="53F63D75" w14:textId="77777777" w:rsidR="005B1144" w:rsidRPr="00C208E4" w:rsidRDefault="0070285B" w:rsidP="0030598E">
            <w:pPr>
              <w:pStyle w:val="TableParagraph"/>
              <w:jc w:val="center"/>
            </w:pPr>
            <w:r w:rsidRPr="00C208E4">
              <w:t>0/2</w:t>
            </w:r>
          </w:p>
        </w:tc>
      </w:tr>
      <w:tr w:rsidR="005B1144" w:rsidRPr="00C208E4" w14:paraId="53F63D7A" w14:textId="77777777" w:rsidTr="0030598E">
        <w:trPr>
          <w:trHeight w:val="304"/>
        </w:trPr>
        <w:tc>
          <w:tcPr>
            <w:tcW w:w="2977" w:type="dxa"/>
          </w:tcPr>
          <w:p w14:paraId="53F63D77" w14:textId="77777777" w:rsidR="005B1144" w:rsidRPr="00C208E4" w:rsidRDefault="0070285B" w:rsidP="00C208E4">
            <w:pPr>
              <w:pStyle w:val="TableParagraph"/>
              <w:ind w:left="383"/>
            </w:pPr>
            <w:r w:rsidRPr="00C208E4">
              <w:t>F359C/I/V</w:t>
            </w:r>
          </w:p>
        </w:tc>
        <w:tc>
          <w:tcPr>
            <w:tcW w:w="2237" w:type="dxa"/>
          </w:tcPr>
          <w:p w14:paraId="53F63D78" w14:textId="77777777" w:rsidR="005B1144" w:rsidRPr="00C208E4" w:rsidRDefault="0070285B" w:rsidP="0030598E">
            <w:pPr>
              <w:pStyle w:val="TableParagraph"/>
              <w:jc w:val="center"/>
            </w:pPr>
            <w:r w:rsidRPr="00C208E4">
              <w:t>7 (7,1)</w:t>
            </w:r>
          </w:p>
        </w:tc>
        <w:tc>
          <w:tcPr>
            <w:tcW w:w="2815" w:type="dxa"/>
          </w:tcPr>
          <w:p w14:paraId="53F63D79" w14:textId="77777777" w:rsidR="005B1144" w:rsidRPr="00C208E4" w:rsidRDefault="0070285B" w:rsidP="0030598E">
            <w:pPr>
              <w:pStyle w:val="TableParagraph"/>
              <w:jc w:val="center"/>
            </w:pPr>
            <w:r w:rsidRPr="00C208E4">
              <w:t>5/7 (71,4)</w:t>
            </w:r>
          </w:p>
        </w:tc>
      </w:tr>
    </w:tbl>
    <w:p w14:paraId="0356FE54" w14:textId="77777777" w:rsidR="00435D3A" w:rsidRPr="0030598E" w:rsidRDefault="0070285B" w:rsidP="00C208E4">
      <w:pPr>
        <w:rPr>
          <w:sz w:val="20"/>
        </w:rPr>
      </w:pPr>
      <w:r w:rsidRPr="0030598E">
        <w:rPr>
          <w:sz w:val="20"/>
        </w:rPr>
        <w:t xml:space="preserve">Az adatgyűjtés lezárásának időpontja: I/II. fázisú vizsgálat: 2015. október 2.; </w:t>
      </w:r>
    </w:p>
    <w:p w14:paraId="53F63D7B" w14:textId="43CF50AE" w:rsidR="005B1144" w:rsidRPr="0030598E" w:rsidRDefault="0070285B" w:rsidP="00C208E4">
      <w:pPr>
        <w:rPr>
          <w:sz w:val="20"/>
        </w:rPr>
      </w:pPr>
      <w:r w:rsidRPr="0030598E">
        <w:rPr>
          <w:sz w:val="20"/>
        </w:rPr>
        <w:t>kiterjesztett vizsgálat: 2020. szeptember 2.</w:t>
      </w:r>
    </w:p>
    <w:p w14:paraId="53F63D7C" w14:textId="77815EAE" w:rsidR="005B1144" w:rsidRPr="0030598E" w:rsidRDefault="0070285B" w:rsidP="00C208E4">
      <w:pPr>
        <w:rPr>
          <w:sz w:val="20"/>
        </w:rPr>
      </w:pPr>
      <w:r w:rsidRPr="0030598E">
        <w:rPr>
          <w:sz w:val="20"/>
        </w:rPr>
        <w:t>Megjegyzés: A kiindulási mutációkat az előtt azonosították, mielőtt a beteg az első</w:t>
      </w:r>
      <w:r w:rsidR="000E7270" w:rsidRPr="0030598E">
        <w:rPr>
          <w:sz w:val="20"/>
        </w:rPr>
        <w:t xml:space="preserve"> dózis </w:t>
      </w:r>
      <w:r w:rsidRPr="0030598E">
        <w:rPr>
          <w:sz w:val="20"/>
        </w:rPr>
        <w:t>vizsgálati készítményt megkapta.</w:t>
      </w:r>
    </w:p>
    <w:p w14:paraId="53F63D7D" w14:textId="391A41BB" w:rsidR="005B1144" w:rsidRPr="0030598E" w:rsidRDefault="0070285B" w:rsidP="00C208E4">
      <w:pPr>
        <w:rPr>
          <w:sz w:val="20"/>
        </w:rPr>
      </w:pPr>
      <w:r w:rsidRPr="0030598E">
        <w:rPr>
          <w:sz w:val="20"/>
        </w:rPr>
        <w:t>Rövidítések: BCR</w:t>
      </w:r>
      <w:r w:rsidR="00111B4C">
        <w:rPr>
          <w:sz w:val="20"/>
        </w:rPr>
        <w:t>-</w:t>
      </w:r>
      <w:r w:rsidRPr="0030598E">
        <w:rPr>
          <w:sz w:val="20"/>
        </w:rPr>
        <w:t>ABL = töréspont klaszterrégió-Abelson; CP = krónikus fázis; CML = krónikus myeloid leukaemia; MCyR = major citogenetikai válasz; N/n = betegszám; Resp = reszponderek; Eval = értékelhetők (evaluable).</w:t>
      </w:r>
    </w:p>
    <w:p w14:paraId="53F63D7E" w14:textId="77777777" w:rsidR="005B1144" w:rsidRPr="0030598E" w:rsidRDefault="0070285B" w:rsidP="00C208E4">
      <w:pPr>
        <w:rPr>
          <w:sz w:val="20"/>
        </w:rPr>
      </w:pPr>
      <w:r w:rsidRPr="0030598E">
        <w:rPr>
          <w:sz w:val="20"/>
          <w:vertAlign w:val="superscript"/>
        </w:rPr>
        <w:t>a</w:t>
      </w:r>
      <w:r w:rsidRPr="0030598E">
        <w:rPr>
          <w:sz w:val="20"/>
        </w:rPr>
        <w:t xml:space="preserve"> A százalékos arány a kiindulási mutációértékeléssel rendelkező betegek számán alapul.</w:t>
      </w:r>
    </w:p>
    <w:p w14:paraId="53F63D7F" w14:textId="77777777" w:rsidR="005B1144" w:rsidRPr="0030598E" w:rsidRDefault="0070285B" w:rsidP="00C208E4">
      <w:pPr>
        <w:ind w:left="141" w:hanging="142"/>
        <w:rPr>
          <w:sz w:val="20"/>
        </w:rPr>
      </w:pPr>
      <w:r w:rsidRPr="0030598E">
        <w:rPr>
          <w:sz w:val="20"/>
          <w:vertAlign w:val="superscript"/>
        </w:rPr>
        <w:t>b</w:t>
      </w:r>
      <w:r w:rsidRPr="0030598E">
        <w:rPr>
          <w:sz w:val="20"/>
        </w:rPr>
        <w:t xml:space="preserve"> Az értékelhető populációba beletartoznak azok a betegek, akik érvényes kiindulási betegségértékeléssel rendelkeztek.</w:t>
      </w:r>
    </w:p>
    <w:p w14:paraId="53F63D80" w14:textId="77777777" w:rsidR="005B1144" w:rsidRPr="0030598E" w:rsidRDefault="0070285B" w:rsidP="00C208E4">
      <w:pPr>
        <w:rPr>
          <w:sz w:val="20"/>
        </w:rPr>
      </w:pPr>
      <w:r w:rsidRPr="0030598E">
        <w:rPr>
          <w:sz w:val="20"/>
          <w:vertAlign w:val="superscript"/>
        </w:rPr>
        <w:t>c</w:t>
      </w:r>
      <w:r w:rsidRPr="0030598E">
        <w:rPr>
          <w:sz w:val="20"/>
        </w:rPr>
        <w:t xml:space="preserve"> Ebben a kategóriában 2 résztvevőnek egynél több mutációja volt.</w:t>
      </w:r>
    </w:p>
    <w:p w14:paraId="53F63D81" w14:textId="77777777" w:rsidR="005B1144" w:rsidRPr="0030598E" w:rsidRDefault="005B1144" w:rsidP="00C208E4">
      <w:pPr>
        <w:pStyle w:val="Szvegtrzs"/>
        <w:rPr>
          <w:sz w:val="20"/>
        </w:rPr>
      </w:pPr>
    </w:p>
    <w:p w14:paraId="53F63D82" w14:textId="77777777" w:rsidR="005B1144" w:rsidRPr="00C208E4" w:rsidRDefault="0070285B" w:rsidP="00C208E4">
      <w:pPr>
        <w:pStyle w:val="Szvegtrzs"/>
      </w:pPr>
      <w:r w:rsidRPr="00C208E4">
        <w:t>Egy E255V mutációval rendelkező beteg, akit korábban nilotinibbel kezeltek, legjobb válaszként elérte a CHR-t.</w:t>
      </w:r>
    </w:p>
    <w:p w14:paraId="1A5033E6" w14:textId="77777777" w:rsidR="00AF61CA" w:rsidRPr="00C208E4" w:rsidRDefault="00AF61CA" w:rsidP="00C208E4">
      <w:pPr>
        <w:pStyle w:val="Szvegtrzs"/>
      </w:pPr>
    </w:p>
    <w:p w14:paraId="53F63D84" w14:textId="3F587AFA" w:rsidR="005B1144" w:rsidRPr="00C208E4" w:rsidRDefault="0070285B" w:rsidP="00C208E4">
      <w:pPr>
        <w:pStyle w:val="Szvegtrzs"/>
      </w:pPr>
      <w:r w:rsidRPr="00C208E4">
        <w:t xml:space="preserve">Az </w:t>
      </w:r>
      <w:r w:rsidRPr="00C208E4">
        <w:rPr>
          <w:i/>
        </w:rPr>
        <w:t xml:space="preserve">in vitro </w:t>
      </w:r>
      <w:r w:rsidRPr="00C208E4">
        <w:t xml:space="preserve">vizsgálatok azt jelezték, hogy a bozutinib korlátozott aktivitással rendelkezik a T315I, </w:t>
      </w:r>
      <w:r w:rsidR="00601929">
        <w:t>ill.</w:t>
      </w:r>
      <w:r w:rsidRPr="00C208E4">
        <w:t xml:space="preserve"> a V299L mutációval szemben. Ezért klinikai aktivitás ilyen mutációval rendelkező betegeknél nem várható.</w:t>
      </w:r>
    </w:p>
    <w:p w14:paraId="271E7436" w14:textId="77777777" w:rsidR="00AF61CA" w:rsidRPr="00C208E4" w:rsidRDefault="00AF61CA" w:rsidP="00C208E4">
      <w:pPr>
        <w:rPr>
          <w:i/>
        </w:rPr>
      </w:pPr>
    </w:p>
    <w:p w14:paraId="53F63D86" w14:textId="24BAA37B" w:rsidR="005B1144" w:rsidRPr="00C208E4" w:rsidRDefault="0070285B" w:rsidP="00C208E4">
      <w:pPr>
        <w:rPr>
          <w:i/>
        </w:rPr>
      </w:pPr>
      <w:r w:rsidRPr="00C208E4">
        <w:rPr>
          <w:i/>
        </w:rPr>
        <w:t>Az előzetesen 1 vagy több TKI-vel kezelt Ph+ CML-es betegek IV. fázisú klinikai vizsgálata</w:t>
      </w:r>
    </w:p>
    <w:p w14:paraId="53F63D87" w14:textId="77777777" w:rsidR="005B1144" w:rsidRPr="00C208E4" w:rsidRDefault="0070285B" w:rsidP="00C208E4">
      <w:pPr>
        <w:pStyle w:val="Szvegtrzs"/>
      </w:pPr>
      <w:r w:rsidRPr="00C208E4">
        <w:t>Egy egykaros, IV. fázisú, nyílt elrendezésű, nem randomizált, multicentrumos vizsgálatot végeztek a napi egyszeri 500 mg bozutinib hatásosságának és biztonságosságának értékelésére előzőleg 1 vagy több TKI-vel kezelt, TKI-rezisztens vagy TKI-intoleráns CML-es betegekkel, különálló kohorsszal a CP, AP vagy BP betegség tekintetében.</w:t>
      </w:r>
    </w:p>
    <w:p w14:paraId="53F63D88" w14:textId="77777777" w:rsidR="005B1144" w:rsidRPr="00C208E4" w:rsidRDefault="005B1144" w:rsidP="00C208E4">
      <w:pPr>
        <w:pStyle w:val="Szvegtrzs"/>
      </w:pPr>
    </w:p>
    <w:p w14:paraId="53F63D8A" w14:textId="306A4C61" w:rsidR="005B1144" w:rsidRPr="00C208E4" w:rsidRDefault="0070285B" w:rsidP="00C208E4">
      <w:pPr>
        <w:pStyle w:val="Szvegtrzs"/>
      </w:pPr>
      <w:r w:rsidRPr="00C208E4">
        <w:t>Ebben a vizsgálatban 163, bozutinibbel kezelt beteg vett részt, beleértve az előzetesen csak egyetlen TKI-vel (imatinib vagy dazatinib vagy nilotinib) kezelt 46 CP Ph+ CML-beteget, az előzetesen 2 TKI- vel (imatinib és/vagy dazatinib és/vagy nilotinib) kezelt 61 CP Ph+ CML-beteget, az előzetesen</w:t>
      </w:r>
      <w:r w:rsidR="00AF61CA" w:rsidRPr="00C208E4">
        <w:t xml:space="preserve"> </w:t>
      </w:r>
      <w:r w:rsidRPr="00C208E4">
        <w:t>3 TKI-vel (imatinib és dazatinib és nilotinib) kezelt 49 CP Ph+ CML-beteget, az előzetesen legalább 1 TKI-vel (2 beteget kezeltek előzetesen 2 TKI-vel és 2 beteget kezeltek előzetesen 3 TKI-vel) kezelt 4 AP Ph+ CML-beteget és az előzetesen legalább 1 TKI-vel kezelt 3 Ph– CML-beteget.</w:t>
      </w:r>
    </w:p>
    <w:p w14:paraId="53F63D8B" w14:textId="77777777" w:rsidR="005B1144" w:rsidRPr="00C208E4" w:rsidRDefault="005B1144" w:rsidP="00C208E4">
      <w:pPr>
        <w:pStyle w:val="Szvegtrzs"/>
      </w:pPr>
    </w:p>
    <w:p w14:paraId="53F63D8F" w14:textId="48211151" w:rsidR="005B1144" w:rsidRPr="00C208E4" w:rsidRDefault="0070285B" w:rsidP="00C208E4">
      <w:pPr>
        <w:pStyle w:val="Szvegtrzs"/>
      </w:pPr>
      <w:r w:rsidRPr="00C208E4">
        <w:t>A vizsgálat elsődleges hatásossági végpontja az 1 éves (52. hét) kumulatív megerősített MCyR volt a korábban 1 vagy 2 TKI-vel kezelt CP Ph+ CML-betegeknél és a korábban 3 TKI-vel kezelt</w:t>
      </w:r>
      <w:r w:rsidR="00FB3053" w:rsidRPr="00C208E4">
        <w:t xml:space="preserve"> </w:t>
      </w:r>
      <w:r w:rsidRPr="00C208E4">
        <w:t>CP Ph+ CML-betegeknél. Az előzetesen bármilyen TKI-kezelést kapott AP és BP Ph+ CML- betegeknél az elsődleges hatásossági végpont az 1 éves (52. hét) kumulatív megerősített általános</w:t>
      </w:r>
      <w:r w:rsidR="00FB3053" w:rsidRPr="00C208E4">
        <w:t xml:space="preserve"> </w:t>
      </w:r>
      <w:r w:rsidRPr="00C208E4">
        <w:t>haematológiai válasz (OHR) volt. A Ph+ CP CML-betegeknél az egyéb hatásossági végpontok magukban foglalják a kumulatív citogenetikai és molekuláris választ, a citogenetikai és molekuláris válaszok időtartamát, a kiindulási mutációk válaszait, az AP-be/BP-be való transzformációt, a progressziómentes túlélést és a teljes túlélést. A Ph+ AP/BP-kohorszban az egyéb végpontok közé tartozik a kumulatív citogenetikai és molekuláris válaszarány, a progressziómentes túlélés és a teljes túlélés.</w:t>
      </w:r>
    </w:p>
    <w:p w14:paraId="53F63D90" w14:textId="77777777" w:rsidR="005B1144" w:rsidRPr="00C208E4" w:rsidRDefault="005B1144" w:rsidP="00C208E4">
      <w:pPr>
        <w:pStyle w:val="Szvegtrzs"/>
      </w:pPr>
    </w:p>
    <w:p w14:paraId="53F63D91" w14:textId="77777777" w:rsidR="005B1144" w:rsidRPr="00C208E4" w:rsidRDefault="0070285B" w:rsidP="00C208E4">
      <w:pPr>
        <w:rPr>
          <w:i/>
        </w:rPr>
      </w:pPr>
      <w:r w:rsidRPr="00C208E4">
        <w:rPr>
          <w:i/>
        </w:rPr>
        <w:t>CP CML-betegek</w:t>
      </w:r>
    </w:p>
    <w:p w14:paraId="53F63D93" w14:textId="74A23BF7" w:rsidR="005B1144" w:rsidRPr="00C208E4" w:rsidRDefault="0070285B" w:rsidP="00C208E4">
      <w:pPr>
        <w:pStyle w:val="Szvegtrzs"/>
      </w:pPr>
      <w:r w:rsidRPr="00C208E4">
        <w:t>Az 1 éves (52 hét) kumulatív megerősített MCyR-arány (95%-os CI) elsődleges végpont</w:t>
      </w:r>
      <w:r w:rsidR="00AF61CA" w:rsidRPr="00C208E4">
        <w:t xml:space="preserve"> </w:t>
      </w:r>
      <w:r w:rsidRPr="00C208E4">
        <w:t>76,5% (66,9; 84,5) volt az előzetesen 1 vagy 2 TKI-vel kezelt betegeknél, és 62,2% (46,5; 76,2) volt az előzetesen 3 TKI-vel kezelt betegeknél.</w:t>
      </w:r>
    </w:p>
    <w:p w14:paraId="53F63D94" w14:textId="77777777" w:rsidR="005B1144" w:rsidRPr="00C208E4" w:rsidRDefault="005B1144" w:rsidP="00C208E4">
      <w:pPr>
        <w:pStyle w:val="Szvegtrzs"/>
      </w:pPr>
    </w:p>
    <w:p w14:paraId="53F63D96" w14:textId="5E71A57D" w:rsidR="005B1144" w:rsidRPr="00C208E4" w:rsidRDefault="0070285B" w:rsidP="00C208E4">
      <w:pPr>
        <w:pStyle w:val="Szvegtrzs"/>
      </w:pPr>
      <w:r w:rsidRPr="00C208E4">
        <w:t xml:space="preserve">A korábban 1 TKI-vel (a kezelés időtartamának </w:t>
      </w:r>
      <w:r w:rsidR="006201B6">
        <w:t>mediánja</w:t>
      </w:r>
      <w:r w:rsidRPr="00C208E4">
        <w:t xml:space="preserve"> 47,5 hónap [tartomány: 0,9–50,1 hónap], és 60,9% még mindig kezelést kap), a korábban 2 TKI-vel (a kezelés időtartamának </w:t>
      </w:r>
      <w:r w:rsidR="006201B6">
        <w:t>mediánja</w:t>
      </w:r>
      <w:r w:rsidR="00FB3053" w:rsidRPr="00C208E4">
        <w:t xml:space="preserve"> </w:t>
      </w:r>
      <w:r w:rsidRPr="00C208E4">
        <w:t xml:space="preserve">41,9 hónap [tartomány: 0,4–48,9 hónap], és 45,9% még mindig kezelést kap) és a korábban 3 TKI-vel (a kezelés időtartamának </w:t>
      </w:r>
      <w:r w:rsidR="006201B6">
        <w:t>mediánja</w:t>
      </w:r>
      <w:r w:rsidRPr="00C208E4">
        <w:t xml:space="preserve"> 20,0 hónap [tartomány: 0,2–48,9 hónap], és 38,8% még mindig kezelést kap) kezelt Ph+ CP CML-betegek</w:t>
      </w:r>
      <w:r w:rsidR="00111B4C">
        <w:t>nek</w:t>
      </w:r>
      <w:r w:rsidRPr="00C208E4">
        <w:t xml:space="preserve"> a vizsgálat lezárásakor, legalább 3 éves követési időtartam után kapott további hatásossági eredményeit a 10. táblázat ismerteti.</w:t>
      </w:r>
    </w:p>
    <w:p w14:paraId="53F63D97" w14:textId="77777777" w:rsidR="005B1144" w:rsidRPr="00C208E4" w:rsidRDefault="005B1144" w:rsidP="00C208E4">
      <w:pPr>
        <w:pStyle w:val="Szvegtrzs"/>
      </w:pPr>
    </w:p>
    <w:p w14:paraId="53F63D98" w14:textId="4FF18255" w:rsidR="005B1144" w:rsidRPr="00C208E4" w:rsidRDefault="009E5211" w:rsidP="00C208E4">
      <w:pPr>
        <w:pStyle w:val="Cmsor2"/>
        <w:ind w:left="0"/>
      </w:pPr>
      <w:r w:rsidRPr="00C208E4">
        <w:t xml:space="preserve">10. </w:t>
      </w:r>
      <w:r w:rsidR="0070285B" w:rsidRPr="00C208E4">
        <w:t>táblázat – A korábban kezelt, krónikus fázisú Ph+ CML-betegek hatásossági eredményei</w:t>
      </w:r>
    </w:p>
    <w:p w14:paraId="53F63D99" w14:textId="1549E717" w:rsidR="005B1144" w:rsidRDefault="005B1144" w:rsidP="00C208E4">
      <w:pPr>
        <w:pStyle w:val="Szvegtrzs"/>
        <w:keepNext/>
        <w:rPr>
          <w:b/>
        </w:rPr>
      </w:pPr>
    </w:p>
    <w:tbl>
      <w:tblPr>
        <w:tblW w:w="9630"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340"/>
        <w:gridCol w:w="1800"/>
        <w:gridCol w:w="1530"/>
        <w:gridCol w:w="1890"/>
        <w:gridCol w:w="2070"/>
      </w:tblGrid>
      <w:tr w:rsidR="00111B4C" w:rsidRPr="00111B4C" w14:paraId="55D044E3" w14:textId="77777777" w:rsidTr="00111B4C">
        <w:trPr>
          <w:trHeight w:val="818"/>
        </w:trPr>
        <w:tc>
          <w:tcPr>
            <w:tcW w:w="2340" w:type="dxa"/>
            <w:tcBorders>
              <w:bottom w:val="single" w:sz="4" w:space="0" w:color="auto"/>
            </w:tcBorders>
            <w:shd w:val="clear" w:color="auto" w:fill="auto"/>
          </w:tcPr>
          <w:p w14:paraId="25166E3C" w14:textId="77777777" w:rsidR="00111B4C" w:rsidRPr="00111B4C" w:rsidRDefault="00111B4C" w:rsidP="00111B4C">
            <w:pPr>
              <w:widowControl/>
              <w:tabs>
                <w:tab w:val="left" w:pos="567"/>
              </w:tabs>
              <w:autoSpaceDE/>
              <w:autoSpaceDN/>
              <w:spacing w:line="260" w:lineRule="exact"/>
              <w:rPr>
                <w:rFonts w:eastAsia="Calibri"/>
                <w:snapToGrid w:val="0"/>
                <w:lang w:eastAsia="zh-CN"/>
              </w:rPr>
            </w:pPr>
          </w:p>
        </w:tc>
        <w:tc>
          <w:tcPr>
            <w:tcW w:w="1800" w:type="dxa"/>
            <w:tcBorders>
              <w:bottom w:val="single" w:sz="4" w:space="0" w:color="auto"/>
            </w:tcBorders>
            <w:shd w:val="clear" w:color="auto" w:fill="auto"/>
          </w:tcPr>
          <w:p w14:paraId="688FAA45" w14:textId="77777777" w:rsidR="00111B4C" w:rsidRPr="00111B4C" w:rsidRDefault="00111B4C" w:rsidP="00111B4C">
            <w:pPr>
              <w:widowControl/>
              <w:tabs>
                <w:tab w:val="left" w:pos="567"/>
              </w:tabs>
              <w:autoSpaceDE/>
              <w:autoSpaceDN/>
              <w:spacing w:line="260" w:lineRule="exact"/>
              <w:jc w:val="center"/>
              <w:rPr>
                <w:rFonts w:eastAsia="Calibri"/>
                <w:b/>
                <w:bCs/>
                <w:snapToGrid w:val="0"/>
                <w:lang w:eastAsia="zh-CN"/>
              </w:rPr>
            </w:pPr>
            <w:r w:rsidRPr="00111B4C">
              <w:rPr>
                <w:rFonts w:eastAsia="Calibri"/>
                <w:b/>
                <w:bCs/>
                <w:snapToGrid w:val="0"/>
                <w:lang w:eastAsia="zh-CN"/>
              </w:rPr>
              <w:t>Ph+ CP CML</w:t>
            </w:r>
          </w:p>
          <w:p w14:paraId="6A83F4ED"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b/>
                <w:bCs/>
                <w:snapToGrid w:val="0"/>
                <w:lang w:eastAsia="zh-CN"/>
              </w:rPr>
              <w:t>korábban 1 TKI-vel kezelt</w:t>
            </w:r>
          </w:p>
        </w:tc>
        <w:tc>
          <w:tcPr>
            <w:tcW w:w="1530" w:type="dxa"/>
            <w:tcBorders>
              <w:bottom w:val="single" w:sz="4" w:space="0" w:color="auto"/>
            </w:tcBorders>
            <w:shd w:val="clear" w:color="auto" w:fill="auto"/>
          </w:tcPr>
          <w:p w14:paraId="63581C76" w14:textId="77777777" w:rsidR="00111B4C" w:rsidRPr="00111B4C" w:rsidRDefault="00111B4C" w:rsidP="00111B4C">
            <w:pPr>
              <w:widowControl/>
              <w:tabs>
                <w:tab w:val="left" w:pos="567"/>
              </w:tabs>
              <w:autoSpaceDE/>
              <w:autoSpaceDN/>
              <w:spacing w:line="260" w:lineRule="exact"/>
              <w:jc w:val="center"/>
              <w:rPr>
                <w:rFonts w:eastAsia="Calibri"/>
                <w:b/>
                <w:bCs/>
                <w:snapToGrid w:val="0"/>
                <w:lang w:eastAsia="zh-CN"/>
              </w:rPr>
            </w:pPr>
            <w:r w:rsidRPr="00111B4C">
              <w:rPr>
                <w:rFonts w:eastAsia="Calibri"/>
                <w:b/>
                <w:bCs/>
                <w:snapToGrid w:val="0"/>
                <w:lang w:eastAsia="zh-CN"/>
              </w:rPr>
              <w:t>Ph+ CP CML</w:t>
            </w:r>
          </w:p>
          <w:p w14:paraId="4648B814"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b/>
                <w:bCs/>
                <w:snapToGrid w:val="0"/>
                <w:lang w:eastAsia="zh-CN"/>
              </w:rPr>
              <w:t>korábban 2 TKI-vel kezelt</w:t>
            </w:r>
          </w:p>
        </w:tc>
        <w:tc>
          <w:tcPr>
            <w:tcW w:w="1890" w:type="dxa"/>
            <w:tcBorders>
              <w:bottom w:val="single" w:sz="4" w:space="0" w:color="auto"/>
            </w:tcBorders>
            <w:shd w:val="clear" w:color="auto" w:fill="auto"/>
          </w:tcPr>
          <w:p w14:paraId="6ECAAF9B" w14:textId="77777777" w:rsidR="00111B4C" w:rsidRPr="00111B4C" w:rsidRDefault="00111B4C" w:rsidP="00111B4C">
            <w:pPr>
              <w:widowControl/>
              <w:tabs>
                <w:tab w:val="left" w:pos="567"/>
              </w:tabs>
              <w:autoSpaceDE/>
              <w:autoSpaceDN/>
              <w:spacing w:line="260" w:lineRule="exact"/>
              <w:jc w:val="center"/>
              <w:rPr>
                <w:rFonts w:eastAsia="Calibri"/>
                <w:b/>
                <w:bCs/>
                <w:snapToGrid w:val="0"/>
                <w:lang w:eastAsia="zh-CN"/>
              </w:rPr>
            </w:pPr>
            <w:r w:rsidRPr="00111B4C">
              <w:rPr>
                <w:rFonts w:eastAsia="Calibri"/>
                <w:b/>
                <w:bCs/>
                <w:snapToGrid w:val="0"/>
                <w:lang w:eastAsia="zh-CN"/>
              </w:rPr>
              <w:t>Ph+ CP CML</w:t>
            </w:r>
          </w:p>
          <w:p w14:paraId="70BFAD10"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b/>
                <w:bCs/>
                <w:snapToGrid w:val="0"/>
                <w:lang w:eastAsia="zh-CN"/>
              </w:rPr>
              <w:t>korábban 3 TKI-vel kezelt</w:t>
            </w:r>
          </w:p>
        </w:tc>
        <w:tc>
          <w:tcPr>
            <w:tcW w:w="2070" w:type="dxa"/>
            <w:tcBorders>
              <w:bottom w:val="single" w:sz="4" w:space="0" w:color="auto"/>
            </w:tcBorders>
            <w:shd w:val="clear" w:color="auto" w:fill="auto"/>
          </w:tcPr>
          <w:p w14:paraId="045F446A"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bookmarkStart w:id="4" w:name="_Hlk69490162"/>
            <w:r w:rsidRPr="00111B4C">
              <w:rPr>
                <w:rFonts w:eastAsia="Calibri"/>
                <w:b/>
                <w:bCs/>
                <w:snapToGrid w:val="0"/>
                <w:lang w:eastAsia="zh-CN"/>
              </w:rPr>
              <w:t xml:space="preserve">Teljes Ph+ CP CML </w:t>
            </w:r>
            <w:bookmarkEnd w:id="4"/>
            <w:r w:rsidRPr="00111B4C">
              <w:rPr>
                <w:rFonts w:eastAsia="Calibri"/>
                <w:b/>
                <w:bCs/>
                <w:snapToGrid w:val="0"/>
                <w:lang w:eastAsia="zh-CN"/>
              </w:rPr>
              <w:t>kohorsz</w:t>
            </w:r>
          </w:p>
        </w:tc>
      </w:tr>
      <w:tr w:rsidR="00111B4C" w:rsidRPr="00111B4C" w14:paraId="57AFF75A" w14:textId="77777777" w:rsidTr="00111B4C">
        <w:trPr>
          <w:trHeight w:val="338"/>
        </w:trPr>
        <w:tc>
          <w:tcPr>
            <w:tcW w:w="2340" w:type="dxa"/>
            <w:tcBorders>
              <w:bottom w:val="nil"/>
            </w:tcBorders>
            <w:shd w:val="clear" w:color="auto" w:fill="auto"/>
          </w:tcPr>
          <w:p w14:paraId="31EFA304" w14:textId="77777777" w:rsidR="00111B4C" w:rsidRPr="00111B4C" w:rsidRDefault="00111B4C" w:rsidP="00111B4C">
            <w:pPr>
              <w:widowControl/>
              <w:tabs>
                <w:tab w:val="left" w:pos="567"/>
              </w:tabs>
              <w:autoSpaceDE/>
              <w:autoSpaceDN/>
              <w:spacing w:line="260" w:lineRule="exact"/>
              <w:rPr>
                <w:rFonts w:eastAsia="Calibri"/>
                <w:snapToGrid w:val="0"/>
                <w:lang w:eastAsia="zh-CN"/>
              </w:rPr>
            </w:pPr>
            <w:r w:rsidRPr="00111B4C">
              <w:rPr>
                <w:rFonts w:eastAsia="Calibri"/>
                <w:b/>
                <w:snapToGrid w:val="0"/>
                <w:lang w:eastAsia="zh-CN"/>
              </w:rPr>
              <w:t>Kumulatív megerősített</w:t>
            </w:r>
          </w:p>
        </w:tc>
        <w:tc>
          <w:tcPr>
            <w:tcW w:w="1800" w:type="dxa"/>
            <w:tcBorders>
              <w:bottom w:val="nil"/>
            </w:tcBorders>
            <w:shd w:val="clear" w:color="auto" w:fill="auto"/>
          </w:tcPr>
          <w:p w14:paraId="514D8F2B"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43</w:t>
            </w:r>
          </w:p>
        </w:tc>
        <w:tc>
          <w:tcPr>
            <w:tcW w:w="1530" w:type="dxa"/>
            <w:tcBorders>
              <w:bottom w:val="nil"/>
            </w:tcBorders>
            <w:shd w:val="clear" w:color="auto" w:fill="auto"/>
          </w:tcPr>
          <w:p w14:paraId="277A3FBC"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55</w:t>
            </w:r>
          </w:p>
        </w:tc>
        <w:tc>
          <w:tcPr>
            <w:tcW w:w="1890" w:type="dxa"/>
            <w:tcBorders>
              <w:bottom w:val="nil"/>
            </w:tcBorders>
            <w:shd w:val="clear" w:color="auto" w:fill="auto"/>
          </w:tcPr>
          <w:p w14:paraId="17EBE458"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45</w:t>
            </w:r>
          </w:p>
        </w:tc>
        <w:tc>
          <w:tcPr>
            <w:tcW w:w="2070" w:type="dxa"/>
            <w:tcBorders>
              <w:bottom w:val="nil"/>
            </w:tcBorders>
            <w:shd w:val="clear" w:color="auto" w:fill="auto"/>
          </w:tcPr>
          <w:p w14:paraId="4FA3BDAA"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143</w:t>
            </w:r>
          </w:p>
        </w:tc>
      </w:tr>
      <w:tr w:rsidR="00111B4C" w:rsidRPr="00111B4C" w14:paraId="390F83EA" w14:textId="77777777" w:rsidTr="00111B4C">
        <w:trPr>
          <w:trHeight w:val="336"/>
        </w:trPr>
        <w:tc>
          <w:tcPr>
            <w:tcW w:w="2340" w:type="dxa"/>
            <w:tcBorders>
              <w:top w:val="nil"/>
              <w:bottom w:val="single" w:sz="4" w:space="0" w:color="auto"/>
            </w:tcBorders>
            <w:shd w:val="clear" w:color="auto" w:fill="auto"/>
          </w:tcPr>
          <w:p w14:paraId="14B1144F" w14:textId="77777777" w:rsidR="00111B4C" w:rsidRPr="00111B4C" w:rsidRDefault="00111B4C" w:rsidP="00111B4C">
            <w:pPr>
              <w:widowControl/>
              <w:tabs>
                <w:tab w:val="left" w:pos="567"/>
              </w:tabs>
              <w:autoSpaceDE/>
              <w:autoSpaceDN/>
              <w:spacing w:line="260" w:lineRule="exact"/>
              <w:rPr>
                <w:rFonts w:eastAsia="Calibri"/>
                <w:b/>
                <w:snapToGrid w:val="0"/>
                <w:lang w:eastAsia="zh-CN"/>
              </w:rPr>
            </w:pPr>
            <w:r w:rsidRPr="00111B4C">
              <w:rPr>
                <w:rFonts w:eastAsia="Calibri"/>
                <w:b/>
                <w:snapToGrid w:val="0"/>
                <w:lang w:eastAsia="zh-CN"/>
              </w:rPr>
              <w:t>1 éves MCyR</w:t>
            </w:r>
            <w:r w:rsidRPr="00111B4C">
              <w:rPr>
                <w:rFonts w:eastAsia="Calibri"/>
                <w:b/>
                <w:snapToGrid w:val="0"/>
                <w:vertAlign w:val="superscript"/>
                <w:lang w:eastAsia="zh-CN"/>
              </w:rPr>
              <w:t>a</w:t>
            </w:r>
            <w:r w:rsidRPr="00111B4C">
              <w:rPr>
                <w:rFonts w:eastAsia="Calibri"/>
                <w:b/>
                <w:snapToGrid w:val="0"/>
                <w:lang w:eastAsia="zh-CN"/>
              </w:rPr>
              <w:t>, % (95%-os CI)</w:t>
            </w:r>
          </w:p>
        </w:tc>
        <w:tc>
          <w:tcPr>
            <w:tcW w:w="1800" w:type="dxa"/>
            <w:tcBorders>
              <w:top w:val="nil"/>
              <w:bottom w:val="single" w:sz="4" w:space="0" w:color="auto"/>
            </w:tcBorders>
            <w:shd w:val="clear" w:color="auto" w:fill="auto"/>
          </w:tcPr>
          <w:p w14:paraId="6864E1A7"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83,7 (69,3; 93,2)</w:t>
            </w:r>
          </w:p>
        </w:tc>
        <w:tc>
          <w:tcPr>
            <w:tcW w:w="1530" w:type="dxa"/>
            <w:tcBorders>
              <w:top w:val="nil"/>
              <w:bottom w:val="single" w:sz="4" w:space="0" w:color="auto"/>
            </w:tcBorders>
            <w:shd w:val="clear" w:color="auto" w:fill="auto"/>
          </w:tcPr>
          <w:p w14:paraId="0131C466"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70,9 (57,1; 82,4)</w:t>
            </w:r>
          </w:p>
        </w:tc>
        <w:tc>
          <w:tcPr>
            <w:tcW w:w="1890" w:type="dxa"/>
            <w:tcBorders>
              <w:top w:val="nil"/>
              <w:bottom w:val="single" w:sz="4" w:space="0" w:color="auto"/>
            </w:tcBorders>
            <w:shd w:val="clear" w:color="auto" w:fill="auto"/>
          </w:tcPr>
          <w:p w14:paraId="6D4832C7"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62,2 (46,5; 76,2)</w:t>
            </w:r>
          </w:p>
        </w:tc>
        <w:tc>
          <w:tcPr>
            <w:tcW w:w="2070" w:type="dxa"/>
            <w:tcBorders>
              <w:top w:val="nil"/>
              <w:bottom w:val="single" w:sz="4" w:space="0" w:color="auto"/>
            </w:tcBorders>
            <w:shd w:val="clear" w:color="auto" w:fill="auto"/>
          </w:tcPr>
          <w:p w14:paraId="05D0DF34"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72,0 (63,9; 79,2)</w:t>
            </w:r>
          </w:p>
        </w:tc>
      </w:tr>
      <w:tr w:rsidR="00111B4C" w:rsidRPr="00111B4C" w14:paraId="4E0A8FAD" w14:textId="77777777" w:rsidTr="00111B4C">
        <w:trPr>
          <w:trHeight w:val="338"/>
        </w:trPr>
        <w:tc>
          <w:tcPr>
            <w:tcW w:w="2340" w:type="dxa"/>
            <w:tcBorders>
              <w:bottom w:val="nil"/>
            </w:tcBorders>
            <w:shd w:val="clear" w:color="auto" w:fill="auto"/>
          </w:tcPr>
          <w:p w14:paraId="2344806D" w14:textId="77777777" w:rsidR="00111B4C" w:rsidRPr="00111B4C" w:rsidRDefault="00111B4C" w:rsidP="00111B4C">
            <w:pPr>
              <w:widowControl/>
              <w:autoSpaceDE/>
              <w:autoSpaceDN/>
              <w:spacing w:after="240"/>
              <w:rPr>
                <w:rFonts w:eastAsia="Calibri"/>
                <w:b/>
                <w:lang w:eastAsia="en-GB"/>
              </w:rPr>
            </w:pPr>
            <w:r w:rsidRPr="00111B4C">
              <w:rPr>
                <w:rFonts w:eastAsia="Calibri"/>
                <w:b/>
                <w:lang w:eastAsia="en-GB"/>
              </w:rPr>
              <w:t>Kumulatív citogenetikai válasz</w:t>
            </w:r>
            <w:r w:rsidRPr="00111B4C">
              <w:rPr>
                <w:rFonts w:eastAsia="Calibri"/>
                <w:b/>
                <w:vertAlign w:val="superscript"/>
                <w:lang w:eastAsia="en-GB"/>
              </w:rPr>
              <w:t>a,b</w:t>
            </w:r>
          </w:p>
        </w:tc>
        <w:tc>
          <w:tcPr>
            <w:tcW w:w="1800" w:type="dxa"/>
            <w:tcBorders>
              <w:bottom w:val="nil"/>
            </w:tcBorders>
            <w:shd w:val="clear" w:color="auto" w:fill="auto"/>
          </w:tcPr>
          <w:p w14:paraId="15FF95F7"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43</w:t>
            </w:r>
          </w:p>
        </w:tc>
        <w:tc>
          <w:tcPr>
            <w:tcW w:w="1530" w:type="dxa"/>
            <w:tcBorders>
              <w:bottom w:val="nil"/>
            </w:tcBorders>
            <w:shd w:val="clear" w:color="auto" w:fill="auto"/>
          </w:tcPr>
          <w:p w14:paraId="0928D955"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55</w:t>
            </w:r>
          </w:p>
        </w:tc>
        <w:tc>
          <w:tcPr>
            <w:tcW w:w="1890" w:type="dxa"/>
            <w:tcBorders>
              <w:bottom w:val="nil"/>
            </w:tcBorders>
            <w:shd w:val="clear" w:color="auto" w:fill="auto"/>
          </w:tcPr>
          <w:p w14:paraId="7F2658FB"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45</w:t>
            </w:r>
          </w:p>
        </w:tc>
        <w:tc>
          <w:tcPr>
            <w:tcW w:w="2070" w:type="dxa"/>
            <w:tcBorders>
              <w:bottom w:val="nil"/>
            </w:tcBorders>
            <w:shd w:val="clear" w:color="auto" w:fill="auto"/>
          </w:tcPr>
          <w:p w14:paraId="7D30A3D8"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N = 143</w:t>
            </w:r>
          </w:p>
        </w:tc>
      </w:tr>
      <w:tr w:rsidR="00111B4C" w:rsidRPr="00111B4C" w14:paraId="7706E65A" w14:textId="77777777" w:rsidTr="00111B4C">
        <w:trPr>
          <w:trHeight w:val="336"/>
        </w:trPr>
        <w:tc>
          <w:tcPr>
            <w:tcW w:w="2340" w:type="dxa"/>
            <w:tcBorders>
              <w:top w:val="nil"/>
              <w:bottom w:val="nil"/>
            </w:tcBorders>
            <w:shd w:val="clear" w:color="auto" w:fill="auto"/>
          </w:tcPr>
          <w:p w14:paraId="0636C395" w14:textId="77777777" w:rsidR="00111B4C" w:rsidRPr="00111B4C" w:rsidRDefault="00111B4C" w:rsidP="00111B4C">
            <w:pPr>
              <w:widowControl/>
              <w:autoSpaceDE/>
              <w:autoSpaceDN/>
              <w:rPr>
                <w:rFonts w:eastAsia="Calibri"/>
                <w:b/>
                <w:lang w:eastAsia="en-GB"/>
              </w:rPr>
            </w:pPr>
            <w:r w:rsidRPr="00111B4C">
              <w:rPr>
                <w:rFonts w:eastAsia="Calibri"/>
                <w:b/>
                <w:lang w:eastAsia="en-GB"/>
              </w:rPr>
              <w:t>MCyR, % (95%-os CI)</w:t>
            </w:r>
          </w:p>
        </w:tc>
        <w:tc>
          <w:tcPr>
            <w:tcW w:w="1800" w:type="dxa"/>
            <w:tcBorders>
              <w:top w:val="nil"/>
              <w:bottom w:val="nil"/>
            </w:tcBorders>
            <w:shd w:val="clear" w:color="auto" w:fill="auto"/>
          </w:tcPr>
          <w:p w14:paraId="7DF9D589"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88,4 (74,9; 96,1)</w:t>
            </w:r>
          </w:p>
        </w:tc>
        <w:tc>
          <w:tcPr>
            <w:tcW w:w="1530" w:type="dxa"/>
            <w:tcBorders>
              <w:top w:val="nil"/>
              <w:bottom w:val="nil"/>
            </w:tcBorders>
            <w:shd w:val="clear" w:color="auto" w:fill="auto"/>
          </w:tcPr>
          <w:p w14:paraId="7481E1A0"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85,5 (73,3; 93,5)</w:t>
            </w:r>
          </w:p>
        </w:tc>
        <w:tc>
          <w:tcPr>
            <w:tcW w:w="1890" w:type="dxa"/>
            <w:tcBorders>
              <w:top w:val="nil"/>
              <w:bottom w:val="nil"/>
            </w:tcBorders>
            <w:shd w:val="clear" w:color="auto" w:fill="auto"/>
          </w:tcPr>
          <w:p w14:paraId="35B9B6E1"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77,8 (62,9; 88,8)</w:t>
            </w:r>
          </w:p>
        </w:tc>
        <w:tc>
          <w:tcPr>
            <w:tcW w:w="2070" w:type="dxa"/>
            <w:tcBorders>
              <w:top w:val="nil"/>
              <w:bottom w:val="nil"/>
            </w:tcBorders>
            <w:shd w:val="clear" w:color="auto" w:fill="auto"/>
          </w:tcPr>
          <w:p w14:paraId="30A9A40A"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83,9 (76,9; 89,5)</w:t>
            </w:r>
          </w:p>
        </w:tc>
      </w:tr>
      <w:tr w:rsidR="00111B4C" w:rsidRPr="00111B4C" w14:paraId="123D11C3" w14:textId="77777777" w:rsidTr="00111B4C">
        <w:trPr>
          <w:trHeight w:val="336"/>
        </w:trPr>
        <w:tc>
          <w:tcPr>
            <w:tcW w:w="2340" w:type="dxa"/>
            <w:tcBorders>
              <w:top w:val="nil"/>
              <w:bottom w:val="single" w:sz="4" w:space="0" w:color="auto"/>
            </w:tcBorders>
            <w:shd w:val="clear" w:color="auto" w:fill="auto"/>
          </w:tcPr>
          <w:p w14:paraId="5EBFF8EA" w14:textId="77777777" w:rsidR="00111B4C" w:rsidRPr="00111B4C" w:rsidRDefault="00111B4C" w:rsidP="00111B4C">
            <w:pPr>
              <w:widowControl/>
              <w:tabs>
                <w:tab w:val="left" w:pos="567"/>
              </w:tabs>
              <w:autoSpaceDE/>
              <w:autoSpaceDN/>
              <w:spacing w:line="260" w:lineRule="exact"/>
              <w:rPr>
                <w:rFonts w:eastAsia="Calibri"/>
                <w:snapToGrid w:val="0"/>
                <w:lang w:eastAsia="zh-CN"/>
              </w:rPr>
            </w:pPr>
            <w:r w:rsidRPr="00111B4C">
              <w:rPr>
                <w:rFonts w:eastAsia="Calibri"/>
                <w:b/>
                <w:snapToGrid w:val="0"/>
                <w:lang w:eastAsia="zh-CN"/>
              </w:rPr>
              <w:t>CCyR, % (95%-os  CI)</w:t>
            </w:r>
          </w:p>
        </w:tc>
        <w:tc>
          <w:tcPr>
            <w:tcW w:w="1800" w:type="dxa"/>
            <w:tcBorders>
              <w:top w:val="nil"/>
              <w:bottom w:val="single" w:sz="4" w:space="0" w:color="auto"/>
            </w:tcBorders>
            <w:shd w:val="clear" w:color="auto" w:fill="auto"/>
          </w:tcPr>
          <w:p w14:paraId="05BD0A58"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86,0 (72,1; 94,7)</w:t>
            </w:r>
          </w:p>
        </w:tc>
        <w:tc>
          <w:tcPr>
            <w:tcW w:w="1530" w:type="dxa"/>
            <w:tcBorders>
              <w:top w:val="nil"/>
              <w:bottom w:val="single" w:sz="4" w:space="0" w:color="auto"/>
            </w:tcBorders>
            <w:shd w:val="clear" w:color="auto" w:fill="auto"/>
          </w:tcPr>
          <w:p w14:paraId="40428392"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83,6 (71,2; 92,2)</w:t>
            </w:r>
          </w:p>
        </w:tc>
        <w:tc>
          <w:tcPr>
            <w:tcW w:w="1890" w:type="dxa"/>
            <w:tcBorders>
              <w:top w:val="nil"/>
              <w:bottom w:val="single" w:sz="4" w:space="0" w:color="auto"/>
            </w:tcBorders>
            <w:shd w:val="clear" w:color="auto" w:fill="auto"/>
          </w:tcPr>
          <w:p w14:paraId="52BE5B51"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73,3 (58,1; 85,4)</w:t>
            </w:r>
          </w:p>
        </w:tc>
        <w:tc>
          <w:tcPr>
            <w:tcW w:w="2070" w:type="dxa"/>
            <w:tcBorders>
              <w:top w:val="nil"/>
              <w:bottom w:val="single" w:sz="4" w:space="0" w:color="auto"/>
            </w:tcBorders>
            <w:shd w:val="clear" w:color="auto" w:fill="auto"/>
          </w:tcPr>
          <w:p w14:paraId="6BC2261D"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81,1 (73,7; 87,2)</w:t>
            </w:r>
          </w:p>
        </w:tc>
      </w:tr>
      <w:tr w:rsidR="00111B4C" w:rsidRPr="00111B4C" w14:paraId="092A785D" w14:textId="77777777" w:rsidTr="00111B4C">
        <w:trPr>
          <w:trHeight w:val="324"/>
        </w:trPr>
        <w:tc>
          <w:tcPr>
            <w:tcW w:w="2340" w:type="dxa"/>
            <w:tcBorders>
              <w:bottom w:val="nil"/>
            </w:tcBorders>
            <w:shd w:val="clear" w:color="auto" w:fill="auto"/>
          </w:tcPr>
          <w:p w14:paraId="4BDF169E" w14:textId="77777777" w:rsidR="00111B4C" w:rsidRPr="00111B4C" w:rsidRDefault="00111B4C" w:rsidP="00111B4C">
            <w:pPr>
              <w:widowControl/>
              <w:autoSpaceDE/>
              <w:autoSpaceDN/>
              <w:spacing w:after="240"/>
              <w:rPr>
                <w:rFonts w:eastAsia="Calibri"/>
                <w:b/>
                <w:lang w:eastAsia="en-GB"/>
              </w:rPr>
            </w:pPr>
            <w:r w:rsidRPr="00111B4C">
              <w:rPr>
                <w:rFonts w:eastAsia="Calibri"/>
                <w:b/>
                <w:lang w:eastAsia="en-GB"/>
              </w:rPr>
              <w:t>Kumulatív molekuláris válasz</w:t>
            </w:r>
            <w:r w:rsidRPr="00111B4C">
              <w:rPr>
                <w:rFonts w:eastAsia="Calibri"/>
                <w:b/>
                <w:vertAlign w:val="superscript"/>
                <w:lang w:eastAsia="en-GB"/>
              </w:rPr>
              <w:t>a,b</w:t>
            </w:r>
          </w:p>
        </w:tc>
        <w:tc>
          <w:tcPr>
            <w:tcW w:w="1800" w:type="dxa"/>
            <w:tcBorders>
              <w:bottom w:val="nil"/>
            </w:tcBorders>
            <w:shd w:val="clear" w:color="auto" w:fill="auto"/>
          </w:tcPr>
          <w:p w14:paraId="48738EC1"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N = 46</w:t>
            </w:r>
          </w:p>
        </w:tc>
        <w:tc>
          <w:tcPr>
            <w:tcW w:w="1530" w:type="dxa"/>
            <w:tcBorders>
              <w:bottom w:val="nil"/>
            </w:tcBorders>
            <w:shd w:val="clear" w:color="auto" w:fill="auto"/>
          </w:tcPr>
          <w:p w14:paraId="14385669"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N = 55</w:t>
            </w:r>
          </w:p>
        </w:tc>
        <w:tc>
          <w:tcPr>
            <w:tcW w:w="1890" w:type="dxa"/>
            <w:tcBorders>
              <w:bottom w:val="nil"/>
            </w:tcBorders>
            <w:shd w:val="clear" w:color="auto" w:fill="auto"/>
          </w:tcPr>
          <w:p w14:paraId="5057BAE2"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N = 48</w:t>
            </w:r>
          </w:p>
        </w:tc>
        <w:tc>
          <w:tcPr>
            <w:tcW w:w="2070" w:type="dxa"/>
            <w:tcBorders>
              <w:bottom w:val="nil"/>
            </w:tcBorders>
            <w:shd w:val="clear" w:color="auto" w:fill="auto"/>
          </w:tcPr>
          <w:p w14:paraId="50A9478B"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N = 149</w:t>
            </w:r>
          </w:p>
        </w:tc>
      </w:tr>
      <w:tr w:rsidR="00111B4C" w:rsidRPr="00111B4C" w14:paraId="53756987" w14:textId="77777777" w:rsidTr="00111B4C">
        <w:trPr>
          <w:trHeight w:val="323"/>
        </w:trPr>
        <w:tc>
          <w:tcPr>
            <w:tcW w:w="2340" w:type="dxa"/>
            <w:tcBorders>
              <w:top w:val="nil"/>
              <w:bottom w:val="nil"/>
            </w:tcBorders>
            <w:shd w:val="clear" w:color="auto" w:fill="auto"/>
          </w:tcPr>
          <w:p w14:paraId="3D584B99" w14:textId="77777777" w:rsidR="00111B4C" w:rsidRPr="00111B4C" w:rsidRDefault="00111B4C" w:rsidP="00111B4C">
            <w:pPr>
              <w:widowControl/>
              <w:autoSpaceDE/>
              <w:autoSpaceDN/>
              <w:rPr>
                <w:rFonts w:eastAsia="Calibri"/>
                <w:b/>
                <w:lang w:eastAsia="en-GB"/>
              </w:rPr>
            </w:pPr>
            <w:r w:rsidRPr="00111B4C">
              <w:rPr>
                <w:rFonts w:eastAsia="Calibri"/>
                <w:b/>
                <w:lang w:eastAsia="en-GB"/>
              </w:rPr>
              <w:t>MMR, % (95%-os CI)</w:t>
            </w:r>
          </w:p>
        </w:tc>
        <w:tc>
          <w:tcPr>
            <w:tcW w:w="1800" w:type="dxa"/>
            <w:tcBorders>
              <w:top w:val="nil"/>
              <w:bottom w:val="nil"/>
            </w:tcBorders>
            <w:shd w:val="clear" w:color="auto" w:fill="auto"/>
          </w:tcPr>
          <w:p w14:paraId="7F58EED1"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82,6 (68,6; 92,2)</w:t>
            </w:r>
          </w:p>
        </w:tc>
        <w:tc>
          <w:tcPr>
            <w:tcW w:w="1530" w:type="dxa"/>
            <w:tcBorders>
              <w:top w:val="nil"/>
              <w:bottom w:val="nil"/>
            </w:tcBorders>
            <w:shd w:val="clear" w:color="auto" w:fill="auto"/>
          </w:tcPr>
          <w:p w14:paraId="11CEB7A6"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76,4 (63,0; 86,8)</w:t>
            </w:r>
          </w:p>
        </w:tc>
        <w:tc>
          <w:tcPr>
            <w:tcW w:w="1890" w:type="dxa"/>
            <w:tcBorders>
              <w:top w:val="nil"/>
              <w:bottom w:val="nil"/>
            </w:tcBorders>
            <w:shd w:val="clear" w:color="auto" w:fill="auto"/>
          </w:tcPr>
          <w:p w14:paraId="42680830"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56,3 (41,2; 70,5)</w:t>
            </w:r>
          </w:p>
        </w:tc>
        <w:tc>
          <w:tcPr>
            <w:tcW w:w="2070" w:type="dxa"/>
            <w:tcBorders>
              <w:top w:val="nil"/>
              <w:bottom w:val="nil"/>
            </w:tcBorders>
            <w:shd w:val="clear" w:color="auto" w:fill="auto"/>
          </w:tcPr>
          <w:p w14:paraId="2C0EEBB6"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71,8 (63,9; 78,9)</w:t>
            </w:r>
          </w:p>
        </w:tc>
      </w:tr>
      <w:tr w:rsidR="00111B4C" w:rsidRPr="00111B4C" w14:paraId="561AA5ED" w14:textId="77777777" w:rsidTr="00111B4C">
        <w:trPr>
          <w:trHeight w:val="368"/>
        </w:trPr>
        <w:tc>
          <w:tcPr>
            <w:tcW w:w="2340" w:type="dxa"/>
            <w:tcBorders>
              <w:top w:val="nil"/>
              <w:bottom w:val="nil"/>
            </w:tcBorders>
            <w:shd w:val="clear" w:color="auto" w:fill="auto"/>
          </w:tcPr>
          <w:p w14:paraId="5A5E33A9" w14:textId="77777777" w:rsidR="00111B4C" w:rsidRPr="00111B4C" w:rsidRDefault="00111B4C" w:rsidP="00111B4C">
            <w:pPr>
              <w:keepNext/>
              <w:widowControl/>
              <w:autoSpaceDE/>
              <w:autoSpaceDN/>
              <w:rPr>
                <w:rFonts w:eastAsia="Calibri"/>
                <w:b/>
                <w:lang w:eastAsia="en-GB"/>
              </w:rPr>
            </w:pPr>
            <w:r w:rsidRPr="00111B4C">
              <w:rPr>
                <w:rFonts w:eastAsia="Calibri"/>
                <w:b/>
                <w:lang w:eastAsia="en-GB"/>
              </w:rPr>
              <w:t>MR</w:t>
            </w:r>
            <w:r w:rsidRPr="00111B4C">
              <w:rPr>
                <w:rFonts w:eastAsia="Calibri"/>
                <w:b/>
                <w:vertAlign w:val="superscript"/>
                <w:lang w:eastAsia="en-GB"/>
              </w:rPr>
              <w:t>4</w:t>
            </w:r>
            <w:r w:rsidRPr="00111B4C">
              <w:rPr>
                <w:rFonts w:eastAsia="Calibri"/>
                <w:b/>
                <w:lang w:eastAsia="en-GB"/>
              </w:rPr>
              <w:t>, % (95%-os CI)</w:t>
            </w:r>
          </w:p>
        </w:tc>
        <w:tc>
          <w:tcPr>
            <w:tcW w:w="1800" w:type="dxa"/>
            <w:tcBorders>
              <w:top w:val="nil"/>
              <w:bottom w:val="nil"/>
            </w:tcBorders>
            <w:shd w:val="clear" w:color="auto" w:fill="auto"/>
          </w:tcPr>
          <w:p w14:paraId="6AF0CF81"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73,9 (58,9; 85,7)</w:t>
            </w:r>
          </w:p>
        </w:tc>
        <w:tc>
          <w:tcPr>
            <w:tcW w:w="1530" w:type="dxa"/>
            <w:tcBorders>
              <w:top w:val="nil"/>
              <w:bottom w:val="nil"/>
            </w:tcBorders>
            <w:shd w:val="clear" w:color="auto" w:fill="auto"/>
          </w:tcPr>
          <w:p w14:paraId="33558465"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63,6 (49,6; 76,2)</w:t>
            </w:r>
          </w:p>
        </w:tc>
        <w:tc>
          <w:tcPr>
            <w:tcW w:w="1890" w:type="dxa"/>
            <w:tcBorders>
              <w:top w:val="nil"/>
              <w:bottom w:val="nil"/>
            </w:tcBorders>
            <w:shd w:val="clear" w:color="auto" w:fill="auto"/>
          </w:tcPr>
          <w:p w14:paraId="72C4EC55"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41,7 (27,6; 56,8)</w:t>
            </w:r>
          </w:p>
        </w:tc>
        <w:tc>
          <w:tcPr>
            <w:tcW w:w="2070" w:type="dxa"/>
            <w:tcBorders>
              <w:top w:val="nil"/>
              <w:bottom w:val="nil"/>
            </w:tcBorders>
            <w:shd w:val="clear" w:color="auto" w:fill="auto"/>
          </w:tcPr>
          <w:p w14:paraId="07AB6A53"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59,7 (51,4; 67,7)</w:t>
            </w:r>
          </w:p>
        </w:tc>
      </w:tr>
      <w:tr w:rsidR="00111B4C" w:rsidRPr="00111B4C" w14:paraId="7FFAE574" w14:textId="77777777" w:rsidTr="00111B4C">
        <w:trPr>
          <w:trHeight w:val="160"/>
        </w:trPr>
        <w:tc>
          <w:tcPr>
            <w:tcW w:w="2340" w:type="dxa"/>
            <w:tcBorders>
              <w:top w:val="nil"/>
              <w:bottom w:val="single" w:sz="4" w:space="0" w:color="auto"/>
            </w:tcBorders>
            <w:shd w:val="clear" w:color="auto" w:fill="auto"/>
          </w:tcPr>
          <w:p w14:paraId="575C62A4" w14:textId="77777777" w:rsidR="00111B4C" w:rsidRPr="00111B4C" w:rsidRDefault="00111B4C" w:rsidP="00111B4C">
            <w:pPr>
              <w:widowControl/>
              <w:tabs>
                <w:tab w:val="left" w:pos="567"/>
              </w:tabs>
              <w:autoSpaceDE/>
              <w:autoSpaceDN/>
              <w:spacing w:line="260" w:lineRule="exact"/>
              <w:rPr>
                <w:rFonts w:eastAsia="Calibri"/>
                <w:snapToGrid w:val="0"/>
                <w:lang w:eastAsia="zh-CN"/>
              </w:rPr>
            </w:pPr>
            <w:r w:rsidRPr="00111B4C">
              <w:rPr>
                <w:rFonts w:eastAsia="Calibri"/>
                <w:b/>
                <w:snapToGrid w:val="0"/>
                <w:lang w:eastAsia="zh-CN"/>
              </w:rPr>
              <w:t>MR</w:t>
            </w:r>
            <w:r w:rsidRPr="00111B4C">
              <w:rPr>
                <w:rFonts w:eastAsia="Calibri"/>
                <w:b/>
                <w:snapToGrid w:val="0"/>
                <w:vertAlign w:val="superscript"/>
                <w:lang w:eastAsia="zh-CN"/>
              </w:rPr>
              <w:t>4,5</w:t>
            </w:r>
            <w:r w:rsidRPr="00111B4C">
              <w:rPr>
                <w:rFonts w:eastAsia="Calibri"/>
                <w:b/>
                <w:snapToGrid w:val="0"/>
                <w:lang w:eastAsia="zh-CN"/>
              </w:rPr>
              <w:t>, % (95%-os CI)</w:t>
            </w:r>
          </w:p>
        </w:tc>
        <w:tc>
          <w:tcPr>
            <w:tcW w:w="1800" w:type="dxa"/>
            <w:tcBorders>
              <w:top w:val="nil"/>
              <w:bottom w:val="single" w:sz="4" w:space="0" w:color="auto"/>
            </w:tcBorders>
            <w:shd w:val="clear" w:color="auto" w:fill="auto"/>
          </w:tcPr>
          <w:p w14:paraId="0E411CDA"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58,7 (43,2; 73,0)</w:t>
            </w:r>
          </w:p>
        </w:tc>
        <w:tc>
          <w:tcPr>
            <w:tcW w:w="1530" w:type="dxa"/>
            <w:tcBorders>
              <w:top w:val="nil"/>
              <w:bottom w:val="single" w:sz="4" w:space="0" w:color="auto"/>
            </w:tcBorders>
            <w:shd w:val="clear" w:color="auto" w:fill="auto"/>
          </w:tcPr>
          <w:p w14:paraId="72FC808E"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50,9 (37,1; 64,6)</w:t>
            </w:r>
          </w:p>
        </w:tc>
        <w:tc>
          <w:tcPr>
            <w:tcW w:w="1890" w:type="dxa"/>
            <w:tcBorders>
              <w:top w:val="nil"/>
              <w:bottom w:val="single" w:sz="4" w:space="0" w:color="auto"/>
            </w:tcBorders>
            <w:shd w:val="clear" w:color="auto" w:fill="auto"/>
          </w:tcPr>
          <w:p w14:paraId="5BDCAB9D"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35,4 (22,2; 50,5)</w:t>
            </w:r>
          </w:p>
        </w:tc>
        <w:tc>
          <w:tcPr>
            <w:tcW w:w="2070" w:type="dxa"/>
            <w:tcBorders>
              <w:top w:val="nil"/>
              <w:bottom w:val="single" w:sz="4" w:space="0" w:color="auto"/>
            </w:tcBorders>
            <w:shd w:val="clear" w:color="auto" w:fill="auto"/>
          </w:tcPr>
          <w:p w14:paraId="3BB092C2"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48,3 (40,1; 56,6)</w:t>
            </w:r>
          </w:p>
        </w:tc>
      </w:tr>
      <w:tr w:rsidR="00111B4C" w:rsidRPr="00111B4C" w14:paraId="70EFDAC5" w14:textId="77777777" w:rsidTr="00111B4C">
        <w:trPr>
          <w:trHeight w:val="715"/>
        </w:trPr>
        <w:tc>
          <w:tcPr>
            <w:tcW w:w="2340" w:type="dxa"/>
            <w:tcBorders>
              <w:bottom w:val="nil"/>
            </w:tcBorders>
            <w:shd w:val="clear" w:color="auto" w:fill="auto"/>
          </w:tcPr>
          <w:p w14:paraId="57419032" w14:textId="77777777" w:rsidR="00111B4C" w:rsidRPr="00111B4C" w:rsidRDefault="00111B4C" w:rsidP="00111B4C">
            <w:pPr>
              <w:widowControl/>
              <w:autoSpaceDE/>
              <w:autoSpaceDN/>
              <w:spacing w:after="240"/>
              <w:rPr>
                <w:rFonts w:eastAsia="Calibri"/>
                <w:b/>
                <w:lang w:eastAsia="en-GB"/>
              </w:rPr>
            </w:pPr>
            <w:r w:rsidRPr="00111B4C">
              <w:rPr>
                <w:rFonts w:eastAsia="Calibri"/>
                <w:b/>
                <w:lang w:eastAsia="en-GB"/>
              </w:rPr>
              <w:t>A citogenetikai válasz kialakulásáig eltelt időtartam csak a reszpondereknél</w:t>
            </w:r>
            <w:r w:rsidRPr="00111B4C">
              <w:rPr>
                <w:rFonts w:eastAsia="Calibri"/>
                <w:b/>
                <w:vertAlign w:val="superscript"/>
                <w:lang w:eastAsia="en-GB"/>
              </w:rPr>
              <w:t>b</w:t>
            </w:r>
            <w:r w:rsidRPr="00111B4C">
              <w:rPr>
                <w:rFonts w:eastAsia="Calibri"/>
                <w:b/>
                <w:lang w:eastAsia="en-GB"/>
              </w:rPr>
              <w:t>, medián (tartomány), hónap</w:t>
            </w:r>
          </w:p>
        </w:tc>
        <w:tc>
          <w:tcPr>
            <w:tcW w:w="1800" w:type="dxa"/>
            <w:tcBorders>
              <w:bottom w:val="nil"/>
            </w:tcBorders>
            <w:shd w:val="clear" w:color="auto" w:fill="auto"/>
          </w:tcPr>
          <w:p w14:paraId="0945AE27"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1530" w:type="dxa"/>
            <w:tcBorders>
              <w:bottom w:val="nil"/>
            </w:tcBorders>
            <w:shd w:val="clear" w:color="auto" w:fill="auto"/>
          </w:tcPr>
          <w:p w14:paraId="5136B56E"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1890" w:type="dxa"/>
            <w:tcBorders>
              <w:bottom w:val="nil"/>
            </w:tcBorders>
            <w:shd w:val="clear" w:color="auto" w:fill="auto"/>
          </w:tcPr>
          <w:p w14:paraId="3ADB1DB2"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2070" w:type="dxa"/>
            <w:tcBorders>
              <w:bottom w:val="nil"/>
            </w:tcBorders>
            <w:shd w:val="clear" w:color="auto" w:fill="auto"/>
          </w:tcPr>
          <w:p w14:paraId="030EFC40"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p>
        </w:tc>
      </w:tr>
      <w:tr w:rsidR="00111B4C" w:rsidRPr="00111B4C" w14:paraId="483BC667" w14:textId="77777777" w:rsidTr="00111B4C">
        <w:trPr>
          <w:trHeight w:val="360"/>
        </w:trPr>
        <w:tc>
          <w:tcPr>
            <w:tcW w:w="2340" w:type="dxa"/>
            <w:tcBorders>
              <w:top w:val="nil"/>
              <w:bottom w:val="nil"/>
            </w:tcBorders>
            <w:shd w:val="clear" w:color="auto" w:fill="auto"/>
          </w:tcPr>
          <w:p w14:paraId="3CA8A843" w14:textId="77777777" w:rsidR="00111B4C" w:rsidRPr="00111B4C" w:rsidRDefault="00111B4C" w:rsidP="00111B4C">
            <w:pPr>
              <w:widowControl/>
              <w:autoSpaceDE/>
              <w:autoSpaceDN/>
              <w:rPr>
                <w:rFonts w:eastAsia="Calibri"/>
                <w:b/>
                <w:lang w:eastAsia="en-GB"/>
              </w:rPr>
            </w:pPr>
            <w:r w:rsidRPr="00111B4C">
              <w:rPr>
                <w:rFonts w:eastAsia="Calibri"/>
                <w:b/>
                <w:lang w:eastAsia="en-GB"/>
              </w:rPr>
              <w:t>MCyR</w:t>
            </w:r>
          </w:p>
        </w:tc>
        <w:tc>
          <w:tcPr>
            <w:tcW w:w="1800" w:type="dxa"/>
            <w:tcBorders>
              <w:top w:val="nil"/>
              <w:bottom w:val="nil"/>
            </w:tcBorders>
            <w:shd w:val="clear" w:color="auto" w:fill="auto"/>
          </w:tcPr>
          <w:p w14:paraId="2D4BE417" w14:textId="77777777" w:rsidR="00111B4C" w:rsidRPr="00111B4C" w:rsidRDefault="00111B4C" w:rsidP="00111B4C">
            <w:pPr>
              <w:widowControl/>
              <w:autoSpaceDE/>
              <w:autoSpaceDN/>
              <w:jc w:val="center"/>
              <w:rPr>
                <w:rFonts w:eastAsia="Calibri"/>
                <w:lang w:eastAsia="en-GB"/>
              </w:rPr>
            </w:pPr>
            <w:r w:rsidRPr="00111B4C">
              <w:rPr>
                <w:rFonts w:eastAsia="Calibri"/>
                <w:lang w:eastAsia="en-GB"/>
              </w:rPr>
              <w:t>3,0 (1,0; 11,8)</w:t>
            </w:r>
          </w:p>
        </w:tc>
        <w:tc>
          <w:tcPr>
            <w:tcW w:w="1530" w:type="dxa"/>
            <w:tcBorders>
              <w:top w:val="nil"/>
              <w:bottom w:val="nil"/>
            </w:tcBorders>
            <w:shd w:val="clear" w:color="auto" w:fill="auto"/>
          </w:tcPr>
          <w:p w14:paraId="537A0059" w14:textId="77777777" w:rsidR="00111B4C" w:rsidRPr="00111B4C" w:rsidRDefault="00111B4C" w:rsidP="00111B4C">
            <w:pPr>
              <w:widowControl/>
              <w:autoSpaceDE/>
              <w:autoSpaceDN/>
              <w:jc w:val="center"/>
              <w:rPr>
                <w:rFonts w:eastAsia="Calibri"/>
                <w:lang w:eastAsia="en-GB"/>
              </w:rPr>
            </w:pPr>
            <w:r w:rsidRPr="00111B4C">
              <w:rPr>
                <w:rFonts w:eastAsia="Calibri"/>
                <w:lang w:eastAsia="en-GB"/>
              </w:rPr>
              <w:t>2,9 (0,3; 6,4)</w:t>
            </w:r>
          </w:p>
        </w:tc>
        <w:tc>
          <w:tcPr>
            <w:tcW w:w="1890" w:type="dxa"/>
            <w:tcBorders>
              <w:top w:val="nil"/>
              <w:bottom w:val="nil"/>
            </w:tcBorders>
            <w:shd w:val="clear" w:color="auto" w:fill="auto"/>
          </w:tcPr>
          <w:p w14:paraId="0A6C46CE" w14:textId="77777777" w:rsidR="00111B4C" w:rsidRPr="00111B4C" w:rsidRDefault="00111B4C" w:rsidP="00111B4C">
            <w:pPr>
              <w:widowControl/>
              <w:autoSpaceDE/>
              <w:autoSpaceDN/>
              <w:jc w:val="center"/>
              <w:rPr>
                <w:rFonts w:eastAsia="Calibri"/>
                <w:lang w:eastAsia="en-GB"/>
              </w:rPr>
            </w:pPr>
            <w:r w:rsidRPr="00111B4C">
              <w:rPr>
                <w:rFonts w:eastAsia="Calibri"/>
                <w:lang w:eastAsia="en-GB"/>
              </w:rPr>
              <w:t>3,0 (1,8; 8,8)</w:t>
            </w:r>
          </w:p>
        </w:tc>
        <w:tc>
          <w:tcPr>
            <w:tcW w:w="2070" w:type="dxa"/>
            <w:tcBorders>
              <w:top w:val="nil"/>
              <w:bottom w:val="nil"/>
            </w:tcBorders>
            <w:shd w:val="clear" w:color="auto" w:fill="auto"/>
          </w:tcPr>
          <w:p w14:paraId="76E4F299" w14:textId="77777777" w:rsidR="00111B4C" w:rsidRPr="00111B4C" w:rsidRDefault="00111B4C" w:rsidP="00111B4C">
            <w:pPr>
              <w:widowControl/>
              <w:autoSpaceDE/>
              <w:autoSpaceDN/>
              <w:jc w:val="center"/>
              <w:rPr>
                <w:rFonts w:eastAsia="Calibri"/>
                <w:lang w:eastAsia="en-GB"/>
              </w:rPr>
            </w:pPr>
            <w:r w:rsidRPr="00111B4C">
              <w:rPr>
                <w:rFonts w:eastAsia="Calibri"/>
                <w:lang w:eastAsia="en-GB"/>
              </w:rPr>
              <w:t>3,0 (0,3; 11,8)</w:t>
            </w:r>
          </w:p>
        </w:tc>
      </w:tr>
      <w:tr w:rsidR="00111B4C" w:rsidRPr="00111B4C" w14:paraId="5E0389F2" w14:textId="77777777" w:rsidTr="00111B4C">
        <w:trPr>
          <w:trHeight w:val="288"/>
        </w:trPr>
        <w:tc>
          <w:tcPr>
            <w:tcW w:w="2340" w:type="dxa"/>
            <w:tcBorders>
              <w:top w:val="nil"/>
              <w:bottom w:val="single" w:sz="4" w:space="0" w:color="auto"/>
            </w:tcBorders>
            <w:shd w:val="clear" w:color="auto" w:fill="auto"/>
          </w:tcPr>
          <w:p w14:paraId="383729C5" w14:textId="77777777" w:rsidR="00111B4C" w:rsidRPr="00111B4C" w:rsidRDefault="00111B4C" w:rsidP="00111B4C">
            <w:pPr>
              <w:widowControl/>
              <w:autoSpaceDE/>
              <w:autoSpaceDN/>
              <w:rPr>
                <w:rFonts w:eastAsia="Calibri"/>
                <w:b/>
                <w:lang w:eastAsia="en-GB"/>
              </w:rPr>
            </w:pPr>
            <w:r w:rsidRPr="00111B4C">
              <w:rPr>
                <w:rFonts w:eastAsia="Calibri"/>
                <w:b/>
                <w:lang w:eastAsia="en-GB"/>
              </w:rPr>
              <w:t>CCyR</w:t>
            </w:r>
          </w:p>
        </w:tc>
        <w:tc>
          <w:tcPr>
            <w:tcW w:w="1800" w:type="dxa"/>
            <w:tcBorders>
              <w:top w:val="nil"/>
              <w:bottom w:val="single" w:sz="4" w:space="0" w:color="auto"/>
            </w:tcBorders>
            <w:shd w:val="clear" w:color="auto" w:fill="auto"/>
          </w:tcPr>
          <w:p w14:paraId="374A47EE"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3,0 (1,0; 17,6)</w:t>
            </w:r>
          </w:p>
        </w:tc>
        <w:tc>
          <w:tcPr>
            <w:tcW w:w="1530" w:type="dxa"/>
            <w:tcBorders>
              <w:top w:val="nil"/>
              <w:bottom w:val="single" w:sz="4" w:space="0" w:color="auto"/>
            </w:tcBorders>
            <w:shd w:val="clear" w:color="auto" w:fill="auto"/>
          </w:tcPr>
          <w:p w14:paraId="37B63560"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2,9 (0,3; 6,4)</w:t>
            </w:r>
          </w:p>
        </w:tc>
        <w:tc>
          <w:tcPr>
            <w:tcW w:w="1890" w:type="dxa"/>
            <w:tcBorders>
              <w:top w:val="nil"/>
              <w:bottom w:val="single" w:sz="4" w:space="0" w:color="auto"/>
            </w:tcBorders>
            <w:shd w:val="clear" w:color="auto" w:fill="auto"/>
          </w:tcPr>
          <w:p w14:paraId="642A7B64"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3,0 (1,8; 8,8)</w:t>
            </w:r>
          </w:p>
        </w:tc>
        <w:tc>
          <w:tcPr>
            <w:tcW w:w="2070" w:type="dxa"/>
            <w:tcBorders>
              <w:top w:val="nil"/>
              <w:bottom w:val="single" w:sz="4" w:space="0" w:color="auto"/>
            </w:tcBorders>
            <w:shd w:val="clear" w:color="auto" w:fill="auto"/>
          </w:tcPr>
          <w:p w14:paraId="4CCC8B29"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3,0 (0,3; 17,6)</w:t>
            </w:r>
          </w:p>
        </w:tc>
      </w:tr>
      <w:tr w:rsidR="00111B4C" w:rsidRPr="00111B4C" w14:paraId="1F7EB28C" w14:textId="77777777" w:rsidTr="00111B4C">
        <w:trPr>
          <w:trHeight w:val="338"/>
        </w:trPr>
        <w:tc>
          <w:tcPr>
            <w:tcW w:w="2340" w:type="dxa"/>
            <w:tcBorders>
              <w:bottom w:val="nil"/>
            </w:tcBorders>
            <w:shd w:val="clear" w:color="auto" w:fill="auto"/>
          </w:tcPr>
          <w:p w14:paraId="48CFF1E3" w14:textId="77777777" w:rsidR="00111B4C" w:rsidRPr="00111B4C" w:rsidRDefault="00111B4C" w:rsidP="00111B4C">
            <w:pPr>
              <w:keepNext/>
              <w:widowControl/>
              <w:tabs>
                <w:tab w:val="left" w:pos="567"/>
              </w:tabs>
              <w:autoSpaceDE/>
              <w:autoSpaceDN/>
              <w:spacing w:after="240" w:line="260" w:lineRule="exact"/>
              <w:rPr>
                <w:rFonts w:eastAsia="Calibri"/>
                <w:b/>
                <w:snapToGrid w:val="0"/>
                <w:lang w:eastAsia="zh-CN"/>
              </w:rPr>
            </w:pPr>
            <w:r w:rsidRPr="00111B4C">
              <w:rPr>
                <w:rFonts w:eastAsia="Calibri"/>
                <w:b/>
                <w:snapToGrid w:val="0"/>
                <w:lang w:eastAsia="zh-CN"/>
              </w:rPr>
              <w:t>A citogenetikai válasz időtartama</w:t>
            </w:r>
            <w:r w:rsidRPr="00111B4C">
              <w:rPr>
                <w:rFonts w:eastAsia="Calibri"/>
                <w:b/>
                <w:snapToGrid w:val="0"/>
                <w:vertAlign w:val="superscript"/>
                <w:lang w:eastAsia="zh-CN"/>
              </w:rPr>
              <w:t>b</w:t>
            </w:r>
          </w:p>
        </w:tc>
        <w:tc>
          <w:tcPr>
            <w:tcW w:w="1800" w:type="dxa"/>
            <w:tcBorders>
              <w:bottom w:val="nil"/>
            </w:tcBorders>
            <w:shd w:val="clear" w:color="auto" w:fill="auto"/>
          </w:tcPr>
          <w:p w14:paraId="6C7F7DA9" w14:textId="77777777" w:rsidR="00111B4C" w:rsidRPr="00111B4C" w:rsidRDefault="00111B4C" w:rsidP="00111B4C">
            <w:pPr>
              <w:keepNext/>
              <w:widowControl/>
              <w:tabs>
                <w:tab w:val="left" w:pos="567"/>
              </w:tabs>
              <w:autoSpaceDE/>
              <w:autoSpaceDN/>
              <w:jc w:val="center"/>
              <w:rPr>
                <w:rFonts w:eastAsia="Calibri"/>
                <w:snapToGrid w:val="0"/>
                <w:lang w:eastAsia="zh-CN"/>
              </w:rPr>
            </w:pPr>
          </w:p>
        </w:tc>
        <w:tc>
          <w:tcPr>
            <w:tcW w:w="1530" w:type="dxa"/>
            <w:tcBorders>
              <w:bottom w:val="nil"/>
            </w:tcBorders>
            <w:shd w:val="clear" w:color="auto" w:fill="auto"/>
          </w:tcPr>
          <w:p w14:paraId="7204A152" w14:textId="77777777" w:rsidR="00111B4C" w:rsidRPr="00111B4C" w:rsidRDefault="00111B4C" w:rsidP="00111B4C">
            <w:pPr>
              <w:keepNext/>
              <w:widowControl/>
              <w:tabs>
                <w:tab w:val="left" w:pos="567"/>
              </w:tabs>
              <w:autoSpaceDE/>
              <w:autoSpaceDN/>
              <w:jc w:val="center"/>
              <w:rPr>
                <w:rFonts w:eastAsia="Calibri"/>
                <w:snapToGrid w:val="0"/>
                <w:lang w:eastAsia="zh-CN"/>
              </w:rPr>
            </w:pPr>
          </w:p>
        </w:tc>
        <w:tc>
          <w:tcPr>
            <w:tcW w:w="1890" w:type="dxa"/>
            <w:tcBorders>
              <w:bottom w:val="nil"/>
            </w:tcBorders>
            <w:shd w:val="clear" w:color="auto" w:fill="auto"/>
          </w:tcPr>
          <w:p w14:paraId="36ADBA68" w14:textId="77777777" w:rsidR="00111B4C" w:rsidRPr="00111B4C" w:rsidRDefault="00111B4C" w:rsidP="00111B4C">
            <w:pPr>
              <w:keepNext/>
              <w:widowControl/>
              <w:tabs>
                <w:tab w:val="left" w:pos="567"/>
              </w:tabs>
              <w:autoSpaceDE/>
              <w:autoSpaceDN/>
              <w:jc w:val="center"/>
              <w:rPr>
                <w:rFonts w:eastAsia="Calibri"/>
                <w:snapToGrid w:val="0"/>
                <w:lang w:eastAsia="zh-CN"/>
              </w:rPr>
            </w:pPr>
          </w:p>
        </w:tc>
        <w:tc>
          <w:tcPr>
            <w:tcW w:w="2070" w:type="dxa"/>
            <w:tcBorders>
              <w:bottom w:val="nil"/>
            </w:tcBorders>
            <w:shd w:val="clear" w:color="auto" w:fill="auto"/>
          </w:tcPr>
          <w:p w14:paraId="41D4E5BF" w14:textId="77777777" w:rsidR="00111B4C" w:rsidRPr="00111B4C" w:rsidRDefault="00111B4C" w:rsidP="00111B4C">
            <w:pPr>
              <w:keepNext/>
              <w:widowControl/>
              <w:tabs>
                <w:tab w:val="left" w:pos="567"/>
              </w:tabs>
              <w:autoSpaceDE/>
              <w:autoSpaceDN/>
              <w:spacing w:line="260" w:lineRule="exact"/>
              <w:jc w:val="center"/>
              <w:rPr>
                <w:rFonts w:eastAsia="Calibri"/>
                <w:snapToGrid w:val="0"/>
                <w:lang w:eastAsia="zh-CN"/>
              </w:rPr>
            </w:pPr>
          </w:p>
        </w:tc>
      </w:tr>
      <w:tr w:rsidR="00111B4C" w:rsidRPr="00111B4C" w14:paraId="2FA2190F" w14:textId="77777777" w:rsidTr="00111B4C">
        <w:trPr>
          <w:trHeight w:val="336"/>
        </w:trPr>
        <w:tc>
          <w:tcPr>
            <w:tcW w:w="2340" w:type="dxa"/>
            <w:tcBorders>
              <w:top w:val="nil"/>
              <w:bottom w:val="nil"/>
            </w:tcBorders>
            <w:shd w:val="clear" w:color="auto" w:fill="auto"/>
          </w:tcPr>
          <w:p w14:paraId="5A945663" w14:textId="77777777" w:rsidR="00111B4C" w:rsidRPr="00111B4C" w:rsidRDefault="00111B4C" w:rsidP="00111B4C">
            <w:pPr>
              <w:keepNext/>
              <w:widowControl/>
              <w:autoSpaceDE/>
              <w:autoSpaceDN/>
              <w:spacing w:after="240"/>
              <w:rPr>
                <w:rFonts w:eastAsia="Calibri"/>
                <w:b/>
                <w:lang w:eastAsia="en-GB"/>
              </w:rPr>
            </w:pPr>
            <w:r w:rsidRPr="00111B4C">
              <w:rPr>
                <w:rFonts w:eastAsia="Calibri"/>
                <w:b/>
                <w:lang w:eastAsia="en-GB"/>
              </w:rPr>
              <w:t>MCyR, 3 éves K-M, % (95%-os CI)</w:t>
            </w:r>
          </w:p>
        </w:tc>
        <w:tc>
          <w:tcPr>
            <w:tcW w:w="1800" w:type="dxa"/>
            <w:tcBorders>
              <w:top w:val="nil"/>
              <w:bottom w:val="nil"/>
            </w:tcBorders>
            <w:shd w:val="clear" w:color="auto" w:fill="auto"/>
          </w:tcPr>
          <w:p w14:paraId="07C2F048" w14:textId="77777777" w:rsidR="00111B4C" w:rsidRPr="00111B4C" w:rsidRDefault="00111B4C" w:rsidP="00111B4C">
            <w:pPr>
              <w:keepNext/>
              <w:widowControl/>
              <w:autoSpaceDE/>
              <w:autoSpaceDN/>
              <w:spacing w:after="240"/>
              <w:jc w:val="center"/>
              <w:rPr>
                <w:rFonts w:eastAsia="Calibri"/>
                <w:lang w:eastAsia="en-GB"/>
              </w:rPr>
            </w:pPr>
            <w:r w:rsidRPr="00111B4C">
              <w:rPr>
                <w:rFonts w:eastAsia="Calibri"/>
                <w:lang w:eastAsia="en-GB"/>
              </w:rPr>
              <w:t>96,6 (77,9; 99,5)</w:t>
            </w:r>
          </w:p>
        </w:tc>
        <w:tc>
          <w:tcPr>
            <w:tcW w:w="1530" w:type="dxa"/>
            <w:tcBorders>
              <w:top w:val="nil"/>
              <w:bottom w:val="nil"/>
            </w:tcBorders>
            <w:shd w:val="clear" w:color="auto" w:fill="auto"/>
          </w:tcPr>
          <w:p w14:paraId="5C88A53D" w14:textId="77777777" w:rsidR="00111B4C" w:rsidRPr="00111B4C" w:rsidRDefault="00111B4C" w:rsidP="00111B4C">
            <w:pPr>
              <w:keepNext/>
              <w:widowControl/>
              <w:autoSpaceDE/>
              <w:autoSpaceDN/>
              <w:spacing w:after="240"/>
              <w:jc w:val="center"/>
              <w:rPr>
                <w:rFonts w:eastAsia="Calibri"/>
                <w:lang w:eastAsia="en-GB"/>
              </w:rPr>
            </w:pPr>
            <w:r w:rsidRPr="00111B4C">
              <w:rPr>
                <w:rFonts w:eastAsia="Calibri"/>
                <w:lang w:eastAsia="en-GB"/>
              </w:rPr>
              <w:t>94,4 (79,2; 98,6)</w:t>
            </w:r>
          </w:p>
        </w:tc>
        <w:tc>
          <w:tcPr>
            <w:tcW w:w="1890" w:type="dxa"/>
            <w:tcBorders>
              <w:top w:val="nil"/>
              <w:bottom w:val="nil"/>
            </w:tcBorders>
            <w:shd w:val="clear" w:color="auto" w:fill="auto"/>
          </w:tcPr>
          <w:p w14:paraId="01380003" w14:textId="77777777" w:rsidR="00111B4C" w:rsidRPr="00111B4C" w:rsidRDefault="00111B4C" w:rsidP="00111B4C">
            <w:pPr>
              <w:keepNext/>
              <w:widowControl/>
              <w:autoSpaceDE/>
              <w:autoSpaceDN/>
              <w:spacing w:after="240"/>
              <w:jc w:val="center"/>
              <w:rPr>
                <w:rFonts w:eastAsia="Calibri"/>
                <w:lang w:eastAsia="en-GB"/>
              </w:rPr>
            </w:pPr>
            <w:r w:rsidRPr="00111B4C">
              <w:rPr>
                <w:rFonts w:eastAsia="Calibri"/>
                <w:lang w:eastAsia="en-GB"/>
              </w:rPr>
              <w:t>96,9 (79,8; 99,6)</w:t>
            </w:r>
          </w:p>
        </w:tc>
        <w:tc>
          <w:tcPr>
            <w:tcW w:w="2070" w:type="dxa"/>
            <w:tcBorders>
              <w:top w:val="nil"/>
              <w:bottom w:val="nil"/>
            </w:tcBorders>
            <w:shd w:val="clear" w:color="auto" w:fill="auto"/>
          </w:tcPr>
          <w:p w14:paraId="5C652750" w14:textId="77777777" w:rsidR="00111B4C" w:rsidRPr="00111B4C" w:rsidRDefault="00111B4C" w:rsidP="00111B4C">
            <w:pPr>
              <w:keepNext/>
              <w:widowControl/>
              <w:autoSpaceDE/>
              <w:autoSpaceDN/>
              <w:spacing w:after="240"/>
              <w:jc w:val="center"/>
              <w:rPr>
                <w:rFonts w:eastAsia="Calibri"/>
                <w:lang w:eastAsia="en-GB"/>
              </w:rPr>
            </w:pPr>
            <w:r w:rsidRPr="00111B4C">
              <w:rPr>
                <w:rFonts w:eastAsia="Calibri"/>
                <w:lang w:eastAsia="en-GB"/>
              </w:rPr>
              <w:t>95,6 (88,7; 98,4)</w:t>
            </w:r>
          </w:p>
        </w:tc>
      </w:tr>
      <w:tr w:rsidR="00111B4C" w:rsidRPr="00111B4C" w14:paraId="5DAA246B" w14:textId="77777777" w:rsidTr="00111B4C">
        <w:trPr>
          <w:trHeight w:val="336"/>
        </w:trPr>
        <w:tc>
          <w:tcPr>
            <w:tcW w:w="2340" w:type="dxa"/>
            <w:tcBorders>
              <w:top w:val="nil"/>
              <w:bottom w:val="single" w:sz="4" w:space="0" w:color="auto"/>
            </w:tcBorders>
            <w:shd w:val="clear" w:color="auto" w:fill="auto"/>
          </w:tcPr>
          <w:p w14:paraId="78A81017" w14:textId="77777777" w:rsidR="00111B4C" w:rsidRPr="00111B4C" w:rsidRDefault="00111B4C" w:rsidP="00111B4C">
            <w:pPr>
              <w:widowControl/>
              <w:tabs>
                <w:tab w:val="left" w:pos="567"/>
              </w:tabs>
              <w:autoSpaceDE/>
              <w:autoSpaceDN/>
              <w:spacing w:line="260" w:lineRule="exact"/>
              <w:rPr>
                <w:rFonts w:eastAsia="Calibri"/>
                <w:snapToGrid w:val="0"/>
                <w:lang w:eastAsia="zh-CN"/>
              </w:rPr>
            </w:pPr>
            <w:r w:rsidRPr="00111B4C">
              <w:rPr>
                <w:rFonts w:eastAsia="Calibri"/>
                <w:b/>
                <w:snapToGrid w:val="0"/>
                <w:lang w:eastAsia="zh-CN"/>
              </w:rPr>
              <w:t>CCyR, 3 éves K-M, % (95%-os CI)</w:t>
            </w:r>
          </w:p>
        </w:tc>
        <w:tc>
          <w:tcPr>
            <w:tcW w:w="1800" w:type="dxa"/>
            <w:tcBorders>
              <w:top w:val="nil"/>
              <w:bottom w:val="single" w:sz="4" w:space="0" w:color="auto"/>
            </w:tcBorders>
            <w:shd w:val="clear" w:color="auto" w:fill="auto"/>
          </w:tcPr>
          <w:p w14:paraId="627E32AC"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96,4 (77,2; 99,5)</w:t>
            </w:r>
          </w:p>
        </w:tc>
        <w:tc>
          <w:tcPr>
            <w:tcW w:w="1530" w:type="dxa"/>
            <w:tcBorders>
              <w:top w:val="nil"/>
              <w:bottom w:val="single" w:sz="4" w:space="0" w:color="auto"/>
            </w:tcBorders>
            <w:shd w:val="clear" w:color="auto" w:fill="auto"/>
          </w:tcPr>
          <w:p w14:paraId="1E6AD51E"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94,4 (79,2; 98,6)</w:t>
            </w:r>
          </w:p>
        </w:tc>
        <w:tc>
          <w:tcPr>
            <w:tcW w:w="1890" w:type="dxa"/>
            <w:tcBorders>
              <w:top w:val="nil"/>
              <w:bottom w:val="single" w:sz="4" w:space="0" w:color="auto"/>
            </w:tcBorders>
            <w:shd w:val="clear" w:color="auto" w:fill="auto"/>
          </w:tcPr>
          <w:p w14:paraId="037E9135"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100,0 (100,0; 100,0)</w:t>
            </w:r>
          </w:p>
        </w:tc>
        <w:tc>
          <w:tcPr>
            <w:tcW w:w="2070" w:type="dxa"/>
            <w:tcBorders>
              <w:top w:val="nil"/>
              <w:bottom w:val="single" w:sz="4" w:space="0" w:color="auto"/>
            </w:tcBorders>
            <w:shd w:val="clear" w:color="auto" w:fill="auto"/>
          </w:tcPr>
          <w:p w14:paraId="29953F4D"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96,5 (89,5; 98,9)</w:t>
            </w:r>
          </w:p>
        </w:tc>
      </w:tr>
      <w:tr w:rsidR="00111B4C" w:rsidRPr="00111B4C" w14:paraId="06D86BBE" w14:textId="77777777" w:rsidTr="00111B4C">
        <w:trPr>
          <w:trHeight w:val="254"/>
        </w:trPr>
        <w:tc>
          <w:tcPr>
            <w:tcW w:w="2340" w:type="dxa"/>
            <w:tcBorders>
              <w:bottom w:val="nil"/>
            </w:tcBorders>
            <w:shd w:val="clear" w:color="auto" w:fill="auto"/>
          </w:tcPr>
          <w:p w14:paraId="63440698" w14:textId="77777777" w:rsidR="00111B4C" w:rsidRPr="00111B4C" w:rsidRDefault="00111B4C" w:rsidP="00111B4C">
            <w:pPr>
              <w:keepNext/>
              <w:widowControl/>
              <w:autoSpaceDE/>
              <w:autoSpaceDN/>
              <w:spacing w:after="240"/>
              <w:rPr>
                <w:rFonts w:eastAsia="Calibri"/>
                <w:b/>
                <w:lang w:eastAsia="en-GB"/>
              </w:rPr>
            </w:pPr>
            <w:r w:rsidRPr="00111B4C">
              <w:rPr>
                <w:rFonts w:eastAsia="Calibri"/>
                <w:b/>
                <w:lang w:eastAsia="en-GB"/>
              </w:rPr>
              <w:t>A molekuláris válasz kialakulásáig eltelt időtartam csak a reszpondereknél, medián (tartomány), hónap</w:t>
            </w:r>
          </w:p>
        </w:tc>
        <w:tc>
          <w:tcPr>
            <w:tcW w:w="1800" w:type="dxa"/>
            <w:tcBorders>
              <w:bottom w:val="nil"/>
            </w:tcBorders>
            <w:shd w:val="clear" w:color="auto" w:fill="auto"/>
          </w:tcPr>
          <w:p w14:paraId="43BDDA5F"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1530" w:type="dxa"/>
            <w:tcBorders>
              <w:bottom w:val="nil"/>
            </w:tcBorders>
            <w:shd w:val="clear" w:color="auto" w:fill="auto"/>
          </w:tcPr>
          <w:p w14:paraId="656F5097"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1890" w:type="dxa"/>
            <w:tcBorders>
              <w:bottom w:val="nil"/>
            </w:tcBorders>
            <w:shd w:val="clear" w:color="auto" w:fill="auto"/>
          </w:tcPr>
          <w:p w14:paraId="7A73A823"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2070" w:type="dxa"/>
            <w:tcBorders>
              <w:bottom w:val="nil"/>
            </w:tcBorders>
            <w:shd w:val="clear" w:color="auto" w:fill="auto"/>
          </w:tcPr>
          <w:p w14:paraId="42064D83"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p>
        </w:tc>
      </w:tr>
      <w:tr w:rsidR="00111B4C" w:rsidRPr="00111B4C" w14:paraId="154EB513" w14:textId="77777777" w:rsidTr="00111B4C">
        <w:trPr>
          <w:trHeight w:val="252"/>
        </w:trPr>
        <w:tc>
          <w:tcPr>
            <w:tcW w:w="2340" w:type="dxa"/>
            <w:tcBorders>
              <w:top w:val="nil"/>
              <w:bottom w:val="nil"/>
            </w:tcBorders>
            <w:shd w:val="clear" w:color="auto" w:fill="auto"/>
          </w:tcPr>
          <w:p w14:paraId="37AA00A3" w14:textId="77777777" w:rsidR="00111B4C" w:rsidRPr="00111B4C" w:rsidRDefault="00111B4C" w:rsidP="00111B4C">
            <w:pPr>
              <w:keepNext/>
              <w:widowControl/>
              <w:autoSpaceDE/>
              <w:autoSpaceDN/>
              <w:rPr>
                <w:rFonts w:eastAsia="Calibri"/>
                <w:b/>
                <w:lang w:eastAsia="en-GB"/>
              </w:rPr>
            </w:pPr>
            <w:r w:rsidRPr="00111B4C">
              <w:rPr>
                <w:rFonts w:eastAsia="Calibri"/>
                <w:b/>
                <w:lang w:eastAsia="en-GB"/>
              </w:rPr>
              <w:t>MMR</w:t>
            </w:r>
          </w:p>
        </w:tc>
        <w:tc>
          <w:tcPr>
            <w:tcW w:w="1800" w:type="dxa"/>
            <w:tcBorders>
              <w:top w:val="nil"/>
              <w:bottom w:val="nil"/>
            </w:tcBorders>
            <w:shd w:val="clear" w:color="auto" w:fill="auto"/>
          </w:tcPr>
          <w:p w14:paraId="0FE731ED"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3,0 (2,8; 23,3)</w:t>
            </w:r>
          </w:p>
        </w:tc>
        <w:tc>
          <w:tcPr>
            <w:tcW w:w="1530" w:type="dxa"/>
            <w:tcBorders>
              <w:top w:val="nil"/>
              <w:bottom w:val="nil"/>
            </w:tcBorders>
            <w:shd w:val="clear" w:color="auto" w:fill="auto"/>
          </w:tcPr>
          <w:p w14:paraId="33731A3B"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3,0 (1,0; 35,9)</w:t>
            </w:r>
          </w:p>
        </w:tc>
        <w:tc>
          <w:tcPr>
            <w:tcW w:w="1890" w:type="dxa"/>
            <w:tcBorders>
              <w:top w:val="nil"/>
              <w:bottom w:val="nil"/>
            </w:tcBorders>
            <w:shd w:val="clear" w:color="auto" w:fill="auto"/>
          </w:tcPr>
          <w:p w14:paraId="61C207B3"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3,1 (1,8; 9,3)</w:t>
            </w:r>
          </w:p>
        </w:tc>
        <w:tc>
          <w:tcPr>
            <w:tcW w:w="2070" w:type="dxa"/>
            <w:tcBorders>
              <w:top w:val="nil"/>
              <w:bottom w:val="nil"/>
            </w:tcBorders>
            <w:shd w:val="clear" w:color="auto" w:fill="auto"/>
          </w:tcPr>
          <w:p w14:paraId="6BAE35B1"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3,0 (1,0; 35,9)</w:t>
            </w:r>
          </w:p>
        </w:tc>
      </w:tr>
      <w:tr w:rsidR="00111B4C" w:rsidRPr="00111B4C" w14:paraId="3717F0C1" w14:textId="77777777" w:rsidTr="00111B4C">
        <w:trPr>
          <w:trHeight w:val="252"/>
        </w:trPr>
        <w:tc>
          <w:tcPr>
            <w:tcW w:w="2340" w:type="dxa"/>
            <w:tcBorders>
              <w:top w:val="nil"/>
              <w:bottom w:val="nil"/>
            </w:tcBorders>
            <w:shd w:val="clear" w:color="auto" w:fill="auto"/>
          </w:tcPr>
          <w:p w14:paraId="0785516E" w14:textId="77777777" w:rsidR="00111B4C" w:rsidRPr="00111B4C" w:rsidRDefault="00111B4C" w:rsidP="00111B4C">
            <w:pPr>
              <w:keepNext/>
              <w:widowControl/>
              <w:autoSpaceDE/>
              <w:autoSpaceDN/>
              <w:rPr>
                <w:rFonts w:eastAsia="Calibri"/>
                <w:b/>
                <w:lang w:eastAsia="en-GB"/>
              </w:rPr>
            </w:pPr>
            <w:r w:rsidRPr="00111B4C">
              <w:rPr>
                <w:rFonts w:eastAsia="Calibri"/>
                <w:b/>
                <w:lang w:eastAsia="en-GB"/>
              </w:rPr>
              <w:t>MR</w:t>
            </w:r>
            <w:r w:rsidRPr="00111B4C">
              <w:rPr>
                <w:rFonts w:eastAsia="Calibri"/>
                <w:b/>
                <w:vertAlign w:val="superscript"/>
                <w:lang w:eastAsia="en-GB"/>
              </w:rPr>
              <w:t>4</w:t>
            </w:r>
          </w:p>
        </w:tc>
        <w:tc>
          <w:tcPr>
            <w:tcW w:w="1800" w:type="dxa"/>
            <w:tcBorders>
              <w:top w:val="nil"/>
              <w:bottom w:val="nil"/>
            </w:tcBorders>
            <w:shd w:val="clear" w:color="auto" w:fill="auto"/>
          </w:tcPr>
          <w:p w14:paraId="20918CEE"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6,0 (2,8; 47,4)</w:t>
            </w:r>
          </w:p>
        </w:tc>
        <w:tc>
          <w:tcPr>
            <w:tcW w:w="1530" w:type="dxa"/>
            <w:tcBorders>
              <w:top w:val="nil"/>
              <w:bottom w:val="nil"/>
            </w:tcBorders>
            <w:shd w:val="clear" w:color="auto" w:fill="auto"/>
          </w:tcPr>
          <w:p w14:paraId="0AD84122"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3,1 (1,0; 36,1)</w:t>
            </w:r>
          </w:p>
        </w:tc>
        <w:tc>
          <w:tcPr>
            <w:tcW w:w="1890" w:type="dxa"/>
            <w:tcBorders>
              <w:top w:val="nil"/>
              <w:bottom w:val="nil"/>
            </w:tcBorders>
            <w:shd w:val="clear" w:color="auto" w:fill="auto"/>
          </w:tcPr>
          <w:p w14:paraId="25477172"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3,2 (1,8; 47,9)</w:t>
            </w:r>
          </w:p>
        </w:tc>
        <w:tc>
          <w:tcPr>
            <w:tcW w:w="2070" w:type="dxa"/>
            <w:tcBorders>
              <w:top w:val="nil"/>
              <w:bottom w:val="nil"/>
            </w:tcBorders>
            <w:shd w:val="clear" w:color="auto" w:fill="auto"/>
          </w:tcPr>
          <w:p w14:paraId="40D7EFD1"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5,5 (1,0; 47,9)</w:t>
            </w:r>
          </w:p>
        </w:tc>
      </w:tr>
      <w:tr w:rsidR="00111B4C" w:rsidRPr="00111B4C" w14:paraId="2FD5CC81" w14:textId="77777777" w:rsidTr="00111B4C">
        <w:trPr>
          <w:trHeight w:val="252"/>
        </w:trPr>
        <w:tc>
          <w:tcPr>
            <w:tcW w:w="2340" w:type="dxa"/>
            <w:tcBorders>
              <w:top w:val="nil"/>
              <w:bottom w:val="single" w:sz="4" w:space="0" w:color="auto"/>
            </w:tcBorders>
            <w:shd w:val="clear" w:color="auto" w:fill="auto"/>
          </w:tcPr>
          <w:p w14:paraId="2C7BEF0F" w14:textId="77777777" w:rsidR="00111B4C" w:rsidRPr="00111B4C" w:rsidRDefault="00111B4C" w:rsidP="00111B4C">
            <w:pPr>
              <w:widowControl/>
              <w:tabs>
                <w:tab w:val="left" w:pos="567"/>
              </w:tabs>
              <w:autoSpaceDE/>
              <w:autoSpaceDN/>
              <w:spacing w:line="260" w:lineRule="exact"/>
              <w:rPr>
                <w:rFonts w:eastAsia="Calibri"/>
                <w:snapToGrid w:val="0"/>
                <w:lang w:eastAsia="zh-CN"/>
              </w:rPr>
            </w:pPr>
            <w:r w:rsidRPr="00111B4C">
              <w:rPr>
                <w:rFonts w:eastAsia="Calibri"/>
                <w:b/>
                <w:snapToGrid w:val="0"/>
                <w:lang w:eastAsia="zh-CN"/>
              </w:rPr>
              <w:t>MR</w:t>
            </w:r>
            <w:r w:rsidRPr="00111B4C">
              <w:rPr>
                <w:rFonts w:eastAsia="Calibri"/>
                <w:b/>
                <w:snapToGrid w:val="0"/>
                <w:vertAlign w:val="superscript"/>
                <w:lang w:eastAsia="zh-CN"/>
              </w:rPr>
              <w:t>4,5</w:t>
            </w:r>
          </w:p>
        </w:tc>
        <w:tc>
          <w:tcPr>
            <w:tcW w:w="1800" w:type="dxa"/>
            <w:tcBorders>
              <w:top w:val="nil"/>
              <w:bottom w:val="single" w:sz="4" w:space="0" w:color="auto"/>
            </w:tcBorders>
            <w:shd w:val="clear" w:color="auto" w:fill="auto"/>
          </w:tcPr>
          <w:p w14:paraId="298EEF36"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9,2 (2,8; 47,6)</w:t>
            </w:r>
          </w:p>
        </w:tc>
        <w:tc>
          <w:tcPr>
            <w:tcW w:w="1530" w:type="dxa"/>
            <w:tcBorders>
              <w:top w:val="nil"/>
              <w:bottom w:val="single" w:sz="4" w:space="0" w:color="auto"/>
            </w:tcBorders>
            <w:shd w:val="clear" w:color="auto" w:fill="auto"/>
          </w:tcPr>
          <w:p w14:paraId="6B7BBF82"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6,0 (2,8; 36,2)</w:t>
            </w:r>
          </w:p>
        </w:tc>
        <w:tc>
          <w:tcPr>
            <w:tcW w:w="1890" w:type="dxa"/>
            <w:tcBorders>
              <w:top w:val="nil"/>
              <w:bottom w:val="single" w:sz="4" w:space="0" w:color="auto"/>
            </w:tcBorders>
            <w:shd w:val="clear" w:color="auto" w:fill="auto"/>
          </w:tcPr>
          <w:p w14:paraId="056ED6B7"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5,8 (1,8; 18,0)</w:t>
            </w:r>
          </w:p>
        </w:tc>
        <w:tc>
          <w:tcPr>
            <w:tcW w:w="2070" w:type="dxa"/>
            <w:tcBorders>
              <w:top w:val="nil"/>
              <w:bottom w:val="single" w:sz="4" w:space="0" w:color="auto"/>
            </w:tcBorders>
            <w:shd w:val="clear" w:color="auto" w:fill="auto"/>
          </w:tcPr>
          <w:p w14:paraId="082FE0F5"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6,0 (1,8; 47,6)</w:t>
            </w:r>
          </w:p>
        </w:tc>
      </w:tr>
      <w:tr w:rsidR="00111B4C" w:rsidRPr="00111B4C" w14:paraId="3D4F0281" w14:textId="77777777" w:rsidTr="00111B4C">
        <w:trPr>
          <w:trHeight w:val="338"/>
        </w:trPr>
        <w:tc>
          <w:tcPr>
            <w:tcW w:w="2340" w:type="dxa"/>
            <w:tcBorders>
              <w:bottom w:val="nil"/>
            </w:tcBorders>
            <w:shd w:val="clear" w:color="auto" w:fill="auto"/>
          </w:tcPr>
          <w:p w14:paraId="38133EDD" w14:textId="77777777" w:rsidR="00111B4C" w:rsidRPr="00111B4C" w:rsidRDefault="00111B4C" w:rsidP="00111B4C">
            <w:pPr>
              <w:keepNext/>
              <w:widowControl/>
              <w:tabs>
                <w:tab w:val="left" w:pos="567"/>
              </w:tabs>
              <w:autoSpaceDE/>
              <w:autoSpaceDN/>
              <w:spacing w:after="240" w:line="260" w:lineRule="exact"/>
              <w:rPr>
                <w:rFonts w:eastAsia="Calibri"/>
                <w:b/>
                <w:snapToGrid w:val="0"/>
                <w:lang w:eastAsia="zh-CN"/>
              </w:rPr>
            </w:pPr>
            <w:r w:rsidRPr="00111B4C">
              <w:rPr>
                <w:rFonts w:eastAsia="Calibri"/>
                <w:b/>
                <w:snapToGrid w:val="0"/>
                <w:lang w:eastAsia="zh-CN"/>
              </w:rPr>
              <w:t>A molekuláris válasz időtartama</w:t>
            </w:r>
            <w:r w:rsidRPr="00111B4C">
              <w:rPr>
                <w:rFonts w:eastAsia="Calibri"/>
                <w:b/>
                <w:snapToGrid w:val="0"/>
                <w:vertAlign w:val="superscript"/>
                <w:lang w:eastAsia="zh-CN"/>
              </w:rPr>
              <w:t>b</w:t>
            </w:r>
          </w:p>
        </w:tc>
        <w:tc>
          <w:tcPr>
            <w:tcW w:w="1800" w:type="dxa"/>
            <w:tcBorders>
              <w:bottom w:val="nil"/>
            </w:tcBorders>
            <w:shd w:val="clear" w:color="auto" w:fill="auto"/>
          </w:tcPr>
          <w:p w14:paraId="555F817F"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1530" w:type="dxa"/>
            <w:tcBorders>
              <w:bottom w:val="nil"/>
            </w:tcBorders>
            <w:shd w:val="clear" w:color="auto" w:fill="auto"/>
          </w:tcPr>
          <w:p w14:paraId="4BF7BD7A"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1890" w:type="dxa"/>
            <w:tcBorders>
              <w:bottom w:val="nil"/>
            </w:tcBorders>
            <w:shd w:val="clear" w:color="auto" w:fill="auto"/>
          </w:tcPr>
          <w:p w14:paraId="7A2CD113" w14:textId="77777777" w:rsidR="00111B4C" w:rsidRPr="00111B4C" w:rsidRDefault="00111B4C" w:rsidP="00111B4C">
            <w:pPr>
              <w:widowControl/>
              <w:tabs>
                <w:tab w:val="left" w:pos="567"/>
              </w:tabs>
              <w:autoSpaceDE/>
              <w:autoSpaceDN/>
              <w:jc w:val="center"/>
              <w:rPr>
                <w:rFonts w:eastAsia="Calibri"/>
                <w:snapToGrid w:val="0"/>
                <w:lang w:eastAsia="zh-CN"/>
              </w:rPr>
            </w:pPr>
          </w:p>
        </w:tc>
        <w:tc>
          <w:tcPr>
            <w:tcW w:w="2070" w:type="dxa"/>
            <w:tcBorders>
              <w:bottom w:val="nil"/>
            </w:tcBorders>
            <w:shd w:val="clear" w:color="auto" w:fill="auto"/>
          </w:tcPr>
          <w:p w14:paraId="245DCB5A"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p>
        </w:tc>
      </w:tr>
      <w:tr w:rsidR="00111B4C" w:rsidRPr="00111B4C" w14:paraId="27A1CB65" w14:textId="77777777" w:rsidTr="00111B4C">
        <w:trPr>
          <w:trHeight w:val="336"/>
        </w:trPr>
        <w:tc>
          <w:tcPr>
            <w:tcW w:w="2340" w:type="dxa"/>
            <w:tcBorders>
              <w:top w:val="nil"/>
              <w:bottom w:val="nil"/>
            </w:tcBorders>
            <w:shd w:val="clear" w:color="auto" w:fill="auto"/>
          </w:tcPr>
          <w:p w14:paraId="1B1FDB4B" w14:textId="77777777" w:rsidR="00111B4C" w:rsidRPr="00111B4C" w:rsidRDefault="00111B4C" w:rsidP="00111B4C">
            <w:pPr>
              <w:keepNext/>
              <w:widowControl/>
              <w:autoSpaceDE/>
              <w:autoSpaceDN/>
              <w:spacing w:after="240"/>
              <w:rPr>
                <w:rFonts w:eastAsia="Calibri"/>
                <w:b/>
                <w:lang w:eastAsia="en-GB"/>
              </w:rPr>
            </w:pPr>
            <w:r w:rsidRPr="00111B4C">
              <w:rPr>
                <w:rFonts w:eastAsia="Calibri"/>
                <w:b/>
                <w:lang w:eastAsia="en-GB"/>
              </w:rPr>
              <w:t>MMR, 3 éves K-M, % (95%-os CI)</w:t>
            </w:r>
          </w:p>
        </w:tc>
        <w:tc>
          <w:tcPr>
            <w:tcW w:w="1800" w:type="dxa"/>
            <w:tcBorders>
              <w:top w:val="nil"/>
              <w:bottom w:val="nil"/>
            </w:tcBorders>
            <w:shd w:val="clear" w:color="auto" w:fill="auto"/>
          </w:tcPr>
          <w:p w14:paraId="302C8A37"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90,7 (73,9; 96,9)</w:t>
            </w:r>
          </w:p>
        </w:tc>
        <w:tc>
          <w:tcPr>
            <w:tcW w:w="1530" w:type="dxa"/>
            <w:tcBorders>
              <w:top w:val="nil"/>
              <w:bottom w:val="nil"/>
            </w:tcBorders>
            <w:shd w:val="clear" w:color="auto" w:fill="auto"/>
          </w:tcPr>
          <w:p w14:paraId="37BF1BC6"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81,5 (63,2; 91,3)</w:t>
            </w:r>
          </w:p>
        </w:tc>
        <w:tc>
          <w:tcPr>
            <w:tcW w:w="1890" w:type="dxa"/>
            <w:tcBorders>
              <w:top w:val="nil"/>
              <w:bottom w:val="nil"/>
            </w:tcBorders>
            <w:shd w:val="clear" w:color="auto" w:fill="auto"/>
          </w:tcPr>
          <w:p w14:paraId="399952D2"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90,2 (65,9; 97,5)</w:t>
            </w:r>
          </w:p>
        </w:tc>
        <w:tc>
          <w:tcPr>
            <w:tcW w:w="2070" w:type="dxa"/>
            <w:tcBorders>
              <w:top w:val="nil"/>
              <w:bottom w:val="nil"/>
            </w:tcBorders>
            <w:shd w:val="clear" w:color="auto" w:fill="auto"/>
          </w:tcPr>
          <w:p w14:paraId="4A0B1E9A" w14:textId="77777777" w:rsidR="00111B4C" w:rsidRPr="00111B4C" w:rsidRDefault="00111B4C" w:rsidP="00111B4C">
            <w:pPr>
              <w:widowControl/>
              <w:autoSpaceDE/>
              <w:autoSpaceDN/>
              <w:spacing w:after="240"/>
              <w:jc w:val="center"/>
              <w:rPr>
                <w:rFonts w:eastAsia="Calibri"/>
                <w:lang w:eastAsia="en-GB"/>
              </w:rPr>
            </w:pPr>
            <w:r w:rsidRPr="00111B4C">
              <w:rPr>
                <w:rFonts w:eastAsia="Calibri"/>
                <w:lang w:eastAsia="en-GB"/>
              </w:rPr>
              <w:t>87,2 (78,0; 92,7)</w:t>
            </w:r>
          </w:p>
        </w:tc>
      </w:tr>
      <w:tr w:rsidR="00111B4C" w:rsidRPr="00111B4C" w14:paraId="610CF593" w14:textId="77777777" w:rsidTr="00111B4C">
        <w:trPr>
          <w:trHeight w:val="336"/>
        </w:trPr>
        <w:tc>
          <w:tcPr>
            <w:tcW w:w="2340" w:type="dxa"/>
            <w:tcBorders>
              <w:top w:val="nil"/>
            </w:tcBorders>
            <w:shd w:val="clear" w:color="auto" w:fill="auto"/>
          </w:tcPr>
          <w:p w14:paraId="0504A62E" w14:textId="77777777" w:rsidR="00111B4C" w:rsidRPr="00111B4C" w:rsidRDefault="00111B4C" w:rsidP="00111B4C">
            <w:pPr>
              <w:keepNext/>
              <w:widowControl/>
              <w:tabs>
                <w:tab w:val="left" w:pos="567"/>
              </w:tabs>
              <w:autoSpaceDE/>
              <w:autoSpaceDN/>
              <w:spacing w:line="260" w:lineRule="exact"/>
              <w:rPr>
                <w:rFonts w:eastAsia="Calibri"/>
                <w:snapToGrid w:val="0"/>
                <w:lang w:eastAsia="zh-CN"/>
              </w:rPr>
            </w:pPr>
            <w:r w:rsidRPr="00111B4C">
              <w:rPr>
                <w:rFonts w:eastAsia="Calibri"/>
                <w:b/>
                <w:snapToGrid w:val="0"/>
                <w:lang w:eastAsia="zh-CN"/>
              </w:rPr>
              <w:t>MR</w:t>
            </w:r>
            <w:r w:rsidRPr="00111B4C">
              <w:rPr>
                <w:rFonts w:eastAsia="Calibri"/>
                <w:b/>
                <w:snapToGrid w:val="0"/>
                <w:vertAlign w:val="superscript"/>
                <w:lang w:eastAsia="zh-CN"/>
              </w:rPr>
              <w:t>4</w:t>
            </w:r>
            <w:r w:rsidRPr="00111B4C">
              <w:rPr>
                <w:rFonts w:eastAsia="Calibri"/>
                <w:b/>
                <w:snapToGrid w:val="0"/>
                <w:lang w:eastAsia="zh-CN"/>
              </w:rPr>
              <w:t>, 3 éves K-M, % (95%-os CI)</w:t>
            </w:r>
          </w:p>
        </w:tc>
        <w:tc>
          <w:tcPr>
            <w:tcW w:w="1800" w:type="dxa"/>
            <w:tcBorders>
              <w:top w:val="nil"/>
              <w:bottom w:val="single" w:sz="4" w:space="0" w:color="auto"/>
            </w:tcBorders>
            <w:shd w:val="clear" w:color="auto" w:fill="auto"/>
          </w:tcPr>
          <w:p w14:paraId="1E67E6F0"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89,5 (70,9; 96,5)</w:t>
            </w:r>
          </w:p>
        </w:tc>
        <w:tc>
          <w:tcPr>
            <w:tcW w:w="1530" w:type="dxa"/>
            <w:tcBorders>
              <w:top w:val="nil"/>
              <w:bottom w:val="single" w:sz="4" w:space="0" w:color="auto"/>
            </w:tcBorders>
            <w:shd w:val="clear" w:color="auto" w:fill="auto"/>
          </w:tcPr>
          <w:p w14:paraId="13134FD2"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68,7 (48,0; 82,5)</w:t>
            </w:r>
          </w:p>
        </w:tc>
        <w:tc>
          <w:tcPr>
            <w:tcW w:w="1890" w:type="dxa"/>
            <w:tcBorders>
              <w:top w:val="nil"/>
              <w:bottom w:val="single" w:sz="4" w:space="0" w:color="auto"/>
            </w:tcBorders>
            <w:shd w:val="clear" w:color="auto" w:fill="auto"/>
          </w:tcPr>
          <w:p w14:paraId="66E9DB77" w14:textId="77777777" w:rsidR="00111B4C" w:rsidRPr="00111B4C" w:rsidRDefault="00111B4C" w:rsidP="00111B4C">
            <w:pPr>
              <w:widowControl/>
              <w:tabs>
                <w:tab w:val="left" w:pos="567"/>
              </w:tabs>
              <w:autoSpaceDE/>
              <w:autoSpaceDN/>
              <w:jc w:val="center"/>
              <w:rPr>
                <w:rFonts w:eastAsia="Calibri"/>
                <w:snapToGrid w:val="0"/>
                <w:lang w:eastAsia="zh-CN"/>
              </w:rPr>
            </w:pPr>
            <w:r w:rsidRPr="00111B4C">
              <w:rPr>
                <w:rFonts w:eastAsia="Calibri"/>
                <w:snapToGrid w:val="0"/>
                <w:lang w:eastAsia="zh-CN"/>
              </w:rPr>
              <w:t>85,2 (51,9; 96,2)</w:t>
            </w:r>
          </w:p>
        </w:tc>
        <w:tc>
          <w:tcPr>
            <w:tcW w:w="2070" w:type="dxa"/>
            <w:tcBorders>
              <w:top w:val="nil"/>
              <w:bottom w:val="single" w:sz="4" w:space="0" w:color="auto"/>
            </w:tcBorders>
            <w:shd w:val="clear" w:color="auto" w:fill="auto"/>
          </w:tcPr>
          <w:p w14:paraId="34955C91" w14:textId="77777777" w:rsidR="00111B4C" w:rsidRPr="00111B4C" w:rsidRDefault="00111B4C" w:rsidP="00111B4C">
            <w:pPr>
              <w:widowControl/>
              <w:tabs>
                <w:tab w:val="left" w:pos="567"/>
              </w:tabs>
              <w:autoSpaceDE/>
              <w:autoSpaceDN/>
              <w:spacing w:line="260" w:lineRule="exact"/>
              <w:jc w:val="center"/>
              <w:rPr>
                <w:rFonts w:eastAsia="Calibri"/>
                <w:snapToGrid w:val="0"/>
                <w:lang w:eastAsia="zh-CN"/>
              </w:rPr>
            </w:pPr>
            <w:r w:rsidRPr="00111B4C">
              <w:rPr>
                <w:rFonts w:eastAsia="Calibri"/>
                <w:snapToGrid w:val="0"/>
                <w:lang w:eastAsia="zh-CN"/>
              </w:rPr>
              <w:t>80,7 (69,4; 88,1)</w:t>
            </w:r>
          </w:p>
        </w:tc>
      </w:tr>
      <w:tr w:rsidR="00111B4C" w:rsidRPr="00111B4C" w14:paraId="618B3406" w14:textId="77777777" w:rsidTr="00111B4C">
        <w:trPr>
          <w:trHeight w:val="1007"/>
        </w:trPr>
        <w:tc>
          <w:tcPr>
            <w:tcW w:w="9630" w:type="dxa"/>
            <w:gridSpan w:val="5"/>
            <w:shd w:val="clear" w:color="auto" w:fill="auto"/>
          </w:tcPr>
          <w:p w14:paraId="64392749" w14:textId="77777777" w:rsidR="00111B4C" w:rsidRPr="0082550D" w:rsidRDefault="00111B4C" w:rsidP="00111B4C">
            <w:pPr>
              <w:pStyle w:val="TableParagraph"/>
              <w:ind w:left="115"/>
              <w:rPr>
                <w:sz w:val="20"/>
              </w:rPr>
            </w:pPr>
            <w:r w:rsidRPr="0082550D">
              <w:rPr>
                <w:sz w:val="20"/>
              </w:rPr>
              <w:t>Az adatgyűjtés lezárásának dátuma: 2020. november 23.</w:t>
            </w:r>
          </w:p>
          <w:p w14:paraId="7FA5064A" w14:textId="77777777" w:rsidR="00111B4C" w:rsidRPr="0082550D" w:rsidRDefault="00111B4C" w:rsidP="00111B4C">
            <w:pPr>
              <w:pStyle w:val="TableParagraph"/>
              <w:ind w:left="115" w:right="410"/>
              <w:rPr>
                <w:sz w:val="20"/>
              </w:rPr>
            </w:pPr>
            <w:r w:rsidRPr="0082550D">
              <w:rPr>
                <w:sz w:val="20"/>
              </w:rPr>
              <w:t>Rövidítések: Ph+ = Philadelphia-kromoszóma-pozitív; CP = krónikus fázis; CML = krónikus myeloid leukaemia; K-M = Kaplan–Meier; N = betegszám; CI = konfidenciaintervallum; MCyR = major citogenetikai válasz;</w:t>
            </w:r>
          </w:p>
          <w:p w14:paraId="78EF3EDD" w14:textId="77777777" w:rsidR="00111B4C" w:rsidRPr="0082550D" w:rsidRDefault="00111B4C" w:rsidP="00111B4C">
            <w:pPr>
              <w:pStyle w:val="TableParagraph"/>
              <w:ind w:left="115"/>
              <w:rPr>
                <w:sz w:val="20"/>
              </w:rPr>
            </w:pPr>
            <w:r w:rsidRPr="0082550D">
              <w:rPr>
                <w:sz w:val="20"/>
              </w:rPr>
              <w:t>CCyR = teljes citogenetikai válasz; MMR = major molekuláris válasz; MR</w:t>
            </w:r>
            <w:r w:rsidRPr="0082550D">
              <w:rPr>
                <w:sz w:val="20"/>
                <w:vertAlign w:val="superscript"/>
              </w:rPr>
              <w:t>4</w:t>
            </w:r>
            <w:r w:rsidRPr="0082550D">
              <w:rPr>
                <w:sz w:val="20"/>
              </w:rPr>
              <w:t xml:space="preserve"> = ≥ 4 log csökkenés a BCR-ABL transzkriptumokban a standardizált kiindulási értékhez képest; MR</w:t>
            </w:r>
            <w:r w:rsidRPr="0082550D">
              <w:rPr>
                <w:sz w:val="20"/>
                <w:vertAlign w:val="superscript"/>
              </w:rPr>
              <w:t>4,5</w:t>
            </w:r>
            <w:r w:rsidRPr="0082550D">
              <w:rPr>
                <w:sz w:val="20"/>
              </w:rPr>
              <w:t xml:space="preserve"> = ≥ 4,5 log csökkenés a BCR-ABL transzkriptumokban a standardizált kiindulási értékhez képest.</w:t>
            </w:r>
          </w:p>
          <w:p w14:paraId="0D4B9967" w14:textId="77777777" w:rsidR="00111B4C" w:rsidRPr="0082550D" w:rsidRDefault="00111B4C" w:rsidP="00111B4C">
            <w:pPr>
              <w:pStyle w:val="TableParagraph"/>
              <w:ind w:left="115" w:right="171"/>
              <w:rPr>
                <w:sz w:val="20"/>
              </w:rPr>
            </w:pPr>
            <w:r w:rsidRPr="0082550D">
              <w:rPr>
                <w:sz w:val="20"/>
              </w:rPr>
              <w:t>A kumulatív megerősített MCyR kritériumai: A választ 2 egymást követő, legalább 28 nap különbséggel végzett értékeléssel igazolják. Azon betegek minősülnek reszpondernek, akik legalább 52 hétig fenn tudják tartani a kiindulási választ, vagy a kiinduláshoz képest javul a válaszuk. A kiinduláskor részleges citogenetikai választ (PCyR) adó betegeknek a kezelés során CCyR-t kell elérniük ahhoz, hogy citogenetikai reszpondernek minősüljenek. A legalább MMR-t és a kiindulásinál mélyebb molekuláris választ elérő betegek megerősített CCyR-t elérőknek minősülnek.</w:t>
            </w:r>
          </w:p>
          <w:p w14:paraId="2848B44D" w14:textId="77777777" w:rsidR="00111B4C" w:rsidRPr="0082550D" w:rsidRDefault="00111B4C" w:rsidP="00111B4C">
            <w:pPr>
              <w:pStyle w:val="TableParagraph"/>
              <w:ind w:left="115" w:right="116"/>
              <w:rPr>
                <w:sz w:val="20"/>
              </w:rPr>
            </w:pPr>
            <w:r w:rsidRPr="0082550D">
              <w:rPr>
                <w:sz w:val="20"/>
              </w:rPr>
              <w:t>A kumulatív citogenetikai válasz kritériumai: a major citogenetikai válasz, benne a teljes (0% Ph+ metafázis a csontvelőből vagy &lt; 1% pozitív sejtek a fluoreszcens in situ hibridizációból [FISH]) vagy a részleges (1% – 35%) citogenetikai válasszal. A citogenetikai válaszok a Ph+ metafázisok százalékos arányán alapulnak a ≥ 20 metafázisos sejtek között, mindegyik csontvelőmintában. A FISH-analízis (≥ 200 sejt) akkor volt használható a CCyR értékelésére, ha nem állt rendelkezésre ≥ 20 metafázisos sejt. Az érvényes csontvelő- vagy FISH-analízis nélküli és a legalább MMR-t elérő betegeket CCyR-t elérőként értékelték.</w:t>
            </w:r>
          </w:p>
          <w:p w14:paraId="0839A413" w14:textId="77777777" w:rsidR="00111B4C" w:rsidRPr="0082550D" w:rsidRDefault="00111B4C" w:rsidP="00111B4C">
            <w:pPr>
              <w:pStyle w:val="TableParagraph"/>
              <w:ind w:left="115"/>
              <w:rPr>
                <w:sz w:val="20"/>
              </w:rPr>
            </w:pPr>
            <w:r w:rsidRPr="0082550D">
              <w:rPr>
                <w:sz w:val="20"/>
              </w:rPr>
              <w:t>A kumulatív molekuláris válasz kritériumai: Az MMR, MR</w:t>
            </w:r>
            <w:r w:rsidRPr="0082550D">
              <w:rPr>
                <w:sz w:val="20"/>
                <w:vertAlign w:val="superscript"/>
              </w:rPr>
              <w:t>4</w:t>
            </w:r>
            <w:r w:rsidRPr="0082550D">
              <w:rPr>
                <w:sz w:val="20"/>
              </w:rPr>
              <w:t xml:space="preserve"> és MR</w:t>
            </w:r>
            <w:r w:rsidRPr="0082550D">
              <w:rPr>
                <w:sz w:val="20"/>
                <w:vertAlign w:val="superscript"/>
              </w:rPr>
              <w:t>4,5</w:t>
            </w:r>
            <w:r w:rsidRPr="0082550D">
              <w:rPr>
                <w:sz w:val="20"/>
              </w:rPr>
              <w:t xml:space="preserve"> meghatározása sorrendben ≤ 0,1%, ≤ 0,01% és ≤ 0,0032% BCR-ABL/ABL arány a nemzetközi skála szerint (ez sorrendben ≥ 3, ≥ 4 és ≥ 4,5 log csökkenésnek felel meg a standardizált kiinduláshoz képest) a központi laboratórium értékelése szerint sorrendben legalább 10 000, 10 000 és 32</w:t>
            </w:r>
            <w:r w:rsidRPr="0082550D">
              <w:rPr>
                <w:rFonts w:eastAsia="TimesNewRoman"/>
                <w:sz w:val="20"/>
                <w:lang w:eastAsia="en-GB"/>
              </w:rPr>
              <w:t> </w:t>
            </w:r>
            <w:r w:rsidRPr="0082550D">
              <w:rPr>
                <w:sz w:val="20"/>
              </w:rPr>
              <w:t>000 ABL-transzkriptummal.</w:t>
            </w:r>
          </w:p>
          <w:p w14:paraId="265825ED" w14:textId="77777777" w:rsidR="00111B4C" w:rsidRPr="0082550D" w:rsidRDefault="00111B4C" w:rsidP="00111B4C">
            <w:pPr>
              <w:ind w:left="201" w:right="391" w:hanging="92"/>
              <w:rPr>
                <w:sz w:val="20"/>
              </w:rPr>
            </w:pPr>
            <w:r w:rsidRPr="0082550D">
              <w:rPr>
                <w:sz w:val="20"/>
                <w:vertAlign w:val="superscript"/>
              </w:rPr>
              <w:t>a</w:t>
            </w:r>
            <w:r w:rsidRPr="0082550D">
              <w:rPr>
                <w:sz w:val="20"/>
              </w:rPr>
              <w:t xml:space="preserve"> Érvényes kiindulási értékeléssel rendelkező betegeket (N) foglal magában. A legrövidebb követési időtartam (az utolsó betegnek adott első dózistól az adatok lezárásáig terjedő időtartam) 36 hónap.</w:t>
            </w:r>
          </w:p>
          <w:p w14:paraId="1EB3B158" w14:textId="48E69A8E" w:rsidR="00111B4C" w:rsidRPr="0082550D" w:rsidRDefault="00111B4C" w:rsidP="00111B4C">
            <w:pPr>
              <w:ind w:left="110"/>
              <w:rPr>
                <w:sz w:val="20"/>
              </w:rPr>
            </w:pPr>
            <w:r w:rsidRPr="0082550D">
              <w:rPr>
                <w:sz w:val="20"/>
                <w:vertAlign w:val="superscript"/>
              </w:rPr>
              <w:t>b</w:t>
            </w:r>
            <w:r w:rsidRPr="0082550D">
              <w:rPr>
                <w:sz w:val="20"/>
              </w:rPr>
              <w:t xml:space="preserve"> Köztük választ elérő, </w:t>
            </w:r>
            <w:r w:rsidR="00601929">
              <w:rPr>
                <w:sz w:val="20"/>
              </w:rPr>
              <w:t>ill.</w:t>
            </w:r>
            <w:r w:rsidRPr="0082550D">
              <w:rPr>
                <w:sz w:val="20"/>
              </w:rPr>
              <w:t xml:space="preserve"> fenntartó betegekkel (N).</w:t>
            </w:r>
          </w:p>
          <w:p w14:paraId="3802E154" w14:textId="6EA731F1" w:rsidR="00111B4C" w:rsidRPr="00111B4C" w:rsidRDefault="00111B4C" w:rsidP="00111B4C">
            <w:pPr>
              <w:widowControl/>
              <w:autoSpaceDE/>
              <w:autoSpaceDN/>
              <w:spacing w:after="240"/>
              <w:rPr>
                <w:rFonts w:eastAsia="Calibri"/>
                <w:sz w:val="24"/>
                <w:lang w:eastAsia="en-GB"/>
              </w:rPr>
            </w:pPr>
            <w:r w:rsidRPr="0082550D">
              <w:rPr>
                <w:sz w:val="20"/>
                <w:vertAlign w:val="superscript"/>
              </w:rPr>
              <w:t>c</w:t>
            </w:r>
            <w:r w:rsidRPr="0082550D">
              <w:rPr>
                <w:sz w:val="20"/>
              </w:rPr>
              <w:t xml:space="preserve"> Köztük a legalább 1 dózis bozutinibet kapott betegekkel (N).</w:t>
            </w:r>
          </w:p>
        </w:tc>
      </w:tr>
    </w:tbl>
    <w:p w14:paraId="53F63EB7" w14:textId="4D583BFF" w:rsidR="005B1144" w:rsidRPr="00C208E4" w:rsidRDefault="005B1144" w:rsidP="0030598E">
      <w:pPr>
        <w:pStyle w:val="Szvegtrzs"/>
      </w:pPr>
    </w:p>
    <w:p w14:paraId="53F63EB9" w14:textId="51C413E0" w:rsidR="005B1144" w:rsidRPr="00C208E4" w:rsidRDefault="0070285B" w:rsidP="00C208E4">
      <w:pPr>
        <w:pStyle w:val="Szvegtrzs"/>
      </w:pPr>
      <w:r w:rsidRPr="00C208E4">
        <w:t>A kezelés esemény nélküli abbahagyásának versengő kockázata szerint módosított MMR, MR</w:t>
      </w:r>
      <w:r w:rsidRPr="00C208E4">
        <w:rPr>
          <w:vertAlign w:val="superscript"/>
        </w:rPr>
        <w:t>4</w:t>
      </w:r>
      <w:r w:rsidRPr="00C208E4">
        <w:t xml:space="preserve"> és MR</w:t>
      </w:r>
      <w:r w:rsidRPr="00C208E4">
        <w:rPr>
          <w:vertAlign w:val="superscript"/>
        </w:rPr>
        <w:t>4,5</w:t>
      </w:r>
      <w:r w:rsidRPr="00C208E4">
        <w:t xml:space="preserve"> kumulatív </w:t>
      </w:r>
      <w:r w:rsidR="003338EA">
        <w:t>incidenciája</w:t>
      </w:r>
      <w:r w:rsidRPr="00C208E4">
        <w:t xml:space="preserve"> a 5. ábrán látható.</w:t>
      </w:r>
    </w:p>
    <w:p w14:paraId="53F63EBA" w14:textId="77777777" w:rsidR="005B1144" w:rsidRPr="00C208E4" w:rsidRDefault="005B1144" w:rsidP="00C208E4">
      <w:pPr>
        <w:pStyle w:val="Szvegtrzs"/>
      </w:pPr>
    </w:p>
    <w:p w14:paraId="53F63EBB" w14:textId="6A3B4D7E" w:rsidR="005B1144" w:rsidRPr="00C208E4" w:rsidRDefault="0070285B" w:rsidP="00C208E4">
      <w:pPr>
        <w:pStyle w:val="Cmsor2"/>
        <w:keepNext/>
        <w:ind w:left="0"/>
      </w:pPr>
      <w:r w:rsidRPr="00C208E4">
        <w:t xml:space="preserve">5. ábra – A molekuláris válasz kumulatív </w:t>
      </w:r>
      <w:r w:rsidR="003338EA">
        <w:t>incidenciája</w:t>
      </w:r>
      <w:r w:rsidRPr="00C208E4">
        <w:t xml:space="preserve"> (CP értékelhető populáció)</w:t>
      </w:r>
    </w:p>
    <w:p w14:paraId="53F63EBC" w14:textId="77777777" w:rsidR="005B1144" w:rsidRPr="00C208E4" w:rsidRDefault="0070285B" w:rsidP="00C208E4">
      <w:pPr>
        <w:pStyle w:val="Szvegtrzs"/>
        <w:rPr>
          <w:b/>
        </w:rPr>
      </w:pPr>
      <w:r w:rsidRPr="00C208E4">
        <w:rPr>
          <w:noProof/>
          <w:lang w:eastAsia="hu-HU"/>
        </w:rPr>
        <w:drawing>
          <wp:anchor distT="0" distB="0" distL="0" distR="0" simplePos="0" relativeHeight="8" behindDoc="0" locked="0" layoutInCell="1" allowOverlap="1" wp14:anchorId="53F642E0" wp14:editId="53F642E1">
            <wp:simplePos x="0" y="0"/>
            <wp:positionH relativeFrom="page">
              <wp:posOffset>957239</wp:posOffset>
            </wp:positionH>
            <wp:positionV relativeFrom="paragraph">
              <wp:posOffset>220241</wp:posOffset>
            </wp:positionV>
            <wp:extent cx="5492750" cy="3158966"/>
            <wp:effectExtent l="0" t="0" r="0" b="0"/>
            <wp:wrapTopAndBottom/>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2" cstate="print"/>
                    <a:stretch>
                      <a:fillRect/>
                    </a:stretch>
                  </pic:blipFill>
                  <pic:spPr>
                    <a:xfrm>
                      <a:off x="0" y="0"/>
                      <a:ext cx="5492750" cy="3158966"/>
                    </a:xfrm>
                    <a:prstGeom prst="rect">
                      <a:avLst/>
                    </a:prstGeom>
                  </pic:spPr>
                </pic:pic>
              </a:graphicData>
            </a:graphic>
          </wp:anchor>
        </w:drawing>
      </w:r>
    </w:p>
    <w:p w14:paraId="1D0FB802" w14:textId="77777777" w:rsidR="00111B4C" w:rsidRDefault="00111B4C" w:rsidP="00C208E4">
      <w:pPr>
        <w:pStyle w:val="Szvegtrzs"/>
      </w:pPr>
    </w:p>
    <w:p w14:paraId="53F63EBD" w14:textId="2106CDBE" w:rsidR="005B1144" w:rsidRPr="00C208E4" w:rsidRDefault="0070285B" w:rsidP="00C208E4">
      <w:pPr>
        <w:pStyle w:val="Szvegtrzs"/>
      </w:pPr>
      <w:r w:rsidRPr="00C208E4">
        <w:t>A kezelésenként elért molekuláris válaszokat a 11. táblázat ismerteti.</w:t>
      </w:r>
    </w:p>
    <w:p w14:paraId="53F63EBE" w14:textId="77777777" w:rsidR="005B1144" w:rsidRPr="00C208E4" w:rsidRDefault="005B1144" w:rsidP="00C208E4">
      <w:pPr>
        <w:pStyle w:val="Szvegtrzs"/>
      </w:pPr>
    </w:p>
    <w:p w14:paraId="53F63EBF" w14:textId="77777777" w:rsidR="005B1144" w:rsidRPr="00C208E4" w:rsidRDefault="0070285B" w:rsidP="00C208E4">
      <w:pPr>
        <w:pStyle w:val="Cmsor2"/>
        <w:ind w:left="0"/>
      </w:pPr>
      <w:r w:rsidRPr="00C208E4">
        <w:t>11. táblázat – Elért molekuláris válaszok</w:t>
      </w:r>
    </w:p>
    <w:p w14:paraId="53F63EC0" w14:textId="68986FBA" w:rsidR="005B1144" w:rsidRDefault="005B1144" w:rsidP="00C208E4">
      <w:pPr>
        <w:pStyle w:val="Szvegtrzs"/>
        <w:rPr>
          <w:b/>
        </w:rPr>
      </w:pPr>
    </w:p>
    <w:tbl>
      <w:tblPr>
        <w:tblW w:w="9630"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520"/>
        <w:gridCol w:w="1620"/>
        <w:gridCol w:w="1620"/>
        <w:gridCol w:w="1800"/>
        <w:gridCol w:w="2070"/>
      </w:tblGrid>
      <w:tr w:rsidR="00736D80" w:rsidRPr="008D72DB" w14:paraId="3BA9A019" w14:textId="77777777" w:rsidTr="0082550D">
        <w:tc>
          <w:tcPr>
            <w:tcW w:w="2520" w:type="dxa"/>
            <w:tcBorders>
              <w:bottom w:val="single" w:sz="4" w:space="0" w:color="auto"/>
            </w:tcBorders>
            <w:shd w:val="clear" w:color="auto" w:fill="auto"/>
          </w:tcPr>
          <w:p w14:paraId="09C690E7" w14:textId="77777777" w:rsidR="00736D80" w:rsidRPr="008D72DB" w:rsidRDefault="00736D80" w:rsidP="0082550D">
            <w:pPr>
              <w:rPr>
                <w:rFonts w:eastAsia="Calibri"/>
              </w:rPr>
            </w:pPr>
          </w:p>
        </w:tc>
        <w:tc>
          <w:tcPr>
            <w:tcW w:w="1620" w:type="dxa"/>
            <w:tcBorders>
              <w:bottom w:val="single" w:sz="4" w:space="0" w:color="auto"/>
            </w:tcBorders>
            <w:shd w:val="clear" w:color="auto" w:fill="auto"/>
          </w:tcPr>
          <w:p w14:paraId="21B19FF9" w14:textId="77777777" w:rsidR="00736D80" w:rsidRPr="008D72DB" w:rsidRDefault="00736D80" w:rsidP="0082550D">
            <w:pPr>
              <w:jc w:val="center"/>
              <w:rPr>
                <w:rFonts w:eastAsia="Calibri"/>
                <w:b/>
                <w:bCs/>
              </w:rPr>
            </w:pPr>
            <w:r w:rsidRPr="008D72DB">
              <w:rPr>
                <w:rFonts w:eastAsia="Calibri"/>
                <w:b/>
                <w:bCs/>
              </w:rPr>
              <w:t>Ph+ CP CML</w:t>
            </w:r>
          </w:p>
          <w:p w14:paraId="3652D3D2" w14:textId="77777777" w:rsidR="00736D80" w:rsidRPr="008D72DB" w:rsidRDefault="00736D80" w:rsidP="0082550D">
            <w:pPr>
              <w:jc w:val="center"/>
              <w:rPr>
                <w:rFonts w:eastAsia="Calibri"/>
              </w:rPr>
            </w:pPr>
            <w:r w:rsidRPr="008D72DB">
              <w:rPr>
                <w:rFonts w:eastAsia="Calibri"/>
                <w:b/>
                <w:bCs/>
              </w:rPr>
              <w:t>korábban 1 TKI-v</w:t>
            </w:r>
            <w:r>
              <w:rPr>
                <w:rFonts w:eastAsia="Calibri"/>
                <w:b/>
                <w:bCs/>
              </w:rPr>
              <w:t>e</w:t>
            </w:r>
            <w:r w:rsidRPr="008D72DB">
              <w:rPr>
                <w:rFonts w:eastAsia="Calibri"/>
                <w:b/>
                <w:bCs/>
              </w:rPr>
              <w:t>l kezelt</w:t>
            </w:r>
          </w:p>
        </w:tc>
        <w:tc>
          <w:tcPr>
            <w:tcW w:w="1620" w:type="dxa"/>
            <w:tcBorders>
              <w:bottom w:val="single" w:sz="4" w:space="0" w:color="auto"/>
            </w:tcBorders>
            <w:shd w:val="clear" w:color="auto" w:fill="auto"/>
          </w:tcPr>
          <w:p w14:paraId="2294FA41" w14:textId="77777777" w:rsidR="00736D80" w:rsidRPr="008D72DB" w:rsidRDefault="00736D80" w:rsidP="0082550D">
            <w:pPr>
              <w:jc w:val="center"/>
              <w:rPr>
                <w:rFonts w:eastAsia="Calibri"/>
                <w:b/>
                <w:bCs/>
              </w:rPr>
            </w:pPr>
            <w:r w:rsidRPr="008D72DB">
              <w:rPr>
                <w:rFonts w:eastAsia="Calibri"/>
                <w:b/>
                <w:bCs/>
              </w:rPr>
              <w:t>Ph+ CP CML</w:t>
            </w:r>
          </w:p>
          <w:p w14:paraId="485156B8" w14:textId="77777777" w:rsidR="00736D80" w:rsidRPr="008D72DB" w:rsidRDefault="00736D80" w:rsidP="0082550D">
            <w:pPr>
              <w:jc w:val="center"/>
              <w:rPr>
                <w:rFonts w:eastAsia="Calibri"/>
              </w:rPr>
            </w:pPr>
            <w:r w:rsidRPr="008D72DB">
              <w:rPr>
                <w:rFonts w:eastAsia="Calibri"/>
                <w:b/>
                <w:bCs/>
              </w:rPr>
              <w:t>korábban 2 TKI-v</w:t>
            </w:r>
            <w:r>
              <w:rPr>
                <w:rFonts w:eastAsia="Calibri"/>
                <w:b/>
                <w:bCs/>
              </w:rPr>
              <w:t>e</w:t>
            </w:r>
            <w:r w:rsidRPr="008D72DB">
              <w:rPr>
                <w:rFonts w:eastAsia="Calibri"/>
                <w:b/>
                <w:bCs/>
              </w:rPr>
              <w:t>l kezelt</w:t>
            </w:r>
          </w:p>
        </w:tc>
        <w:tc>
          <w:tcPr>
            <w:tcW w:w="1800" w:type="dxa"/>
            <w:tcBorders>
              <w:bottom w:val="single" w:sz="4" w:space="0" w:color="auto"/>
            </w:tcBorders>
            <w:shd w:val="clear" w:color="auto" w:fill="auto"/>
          </w:tcPr>
          <w:p w14:paraId="7378B924" w14:textId="77777777" w:rsidR="00736D80" w:rsidRPr="008D72DB" w:rsidRDefault="00736D80" w:rsidP="0082550D">
            <w:pPr>
              <w:jc w:val="center"/>
              <w:rPr>
                <w:rFonts w:eastAsia="Calibri"/>
                <w:b/>
                <w:bCs/>
              </w:rPr>
            </w:pPr>
            <w:r w:rsidRPr="008D72DB">
              <w:rPr>
                <w:rFonts w:eastAsia="Calibri"/>
                <w:b/>
                <w:bCs/>
              </w:rPr>
              <w:t>Ph+ CP CML</w:t>
            </w:r>
          </w:p>
          <w:p w14:paraId="79639448" w14:textId="77777777" w:rsidR="00736D80" w:rsidRPr="008D72DB" w:rsidRDefault="00736D80" w:rsidP="0082550D">
            <w:pPr>
              <w:jc w:val="center"/>
              <w:rPr>
                <w:rFonts w:eastAsia="Calibri"/>
              </w:rPr>
            </w:pPr>
            <w:r w:rsidRPr="008D72DB">
              <w:rPr>
                <w:rFonts w:eastAsia="Calibri"/>
                <w:b/>
                <w:bCs/>
              </w:rPr>
              <w:t xml:space="preserve">korábban </w:t>
            </w:r>
            <w:r>
              <w:rPr>
                <w:rFonts w:eastAsia="Calibri"/>
                <w:b/>
                <w:bCs/>
              </w:rPr>
              <w:t>3</w:t>
            </w:r>
            <w:r w:rsidRPr="008D72DB">
              <w:rPr>
                <w:rFonts w:eastAsia="Calibri"/>
                <w:b/>
                <w:bCs/>
              </w:rPr>
              <w:t> TKI-v</w:t>
            </w:r>
            <w:r>
              <w:rPr>
                <w:rFonts w:eastAsia="Calibri"/>
                <w:b/>
                <w:bCs/>
              </w:rPr>
              <w:t>e</w:t>
            </w:r>
            <w:r w:rsidRPr="008D72DB">
              <w:rPr>
                <w:rFonts w:eastAsia="Calibri"/>
                <w:b/>
                <w:bCs/>
              </w:rPr>
              <w:t>l kezelt</w:t>
            </w:r>
          </w:p>
        </w:tc>
        <w:tc>
          <w:tcPr>
            <w:tcW w:w="2070" w:type="dxa"/>
            <w:tcBorders>
              <w:bottom w:val="single" w:sz="4" w:space="0" w:color="auto"/>
            </w:tcBorders>
            <w:shd w:val="clear" w:color="auto" w:fill="auto"/>
          </w:tcPr>
          <w:p w14:paraId="7C3C983F" w14:textId="77777777" w:rsidR="00736D80" w:rsidRPr="008D72DB" w:rsidRDefault="00736D80" w:rsidP="0082550D">
            <w:pPr>
              <w:jc w:val="center"/>
              <w:rPr>
                <w:rFonts w:eastAsia="Calibri"/>
              </w:rPr>
            </w:pPr>
            <w:r w:rsidRPr="008D72DB">
              <w:rPr>
                <w:rFonts w:eastAsia="Calibri"/>
                <w:b/>
                <w:bCs/>
              </w:rPr>
              <w:t>Teljes Ph+ CP CML kohorsz</w:t>
            </w:r>
          </w:p>
        </w:tc>
      </w:tr>
      <w:tr w:rsidR="00736D80" w:rsidRPr="008D72DB" w14:paraId="22FF0C45" w14:textId="77777777" w:rsidTr="0082550D">
        <w:trPr>
          <w:trHeight w:val="370"/>
        </w:trPr>
        <w:tc>
          <w:tcPr>
            <w:tcW w:w="2520" w:type="dxa"/>
            <w:tcBorders>
              <w:bottom w:val="nil"/>
            </w:tcBorders>
            <w:shd w:val="clear" w:color="auto" w:fill="auto"/>
          </w:tcPr>
          <w:p w14:paraId="756FB89E" w14:textId="77777777" w:rsidR="00736D80" w:rsidRPr="008D72DB" w:rsidRDefault="00736D80" w:rsidP="0082550D">
            <w:pPr>
              <w:pStyle w:val="Paragraph"/>
              <w:rPr>
                <w:rFonts w:eastAsia="Calibri"/>
                <w:b/>
                <w:sz w:val="22"/>
                <w:szCs w:val="22"/>
                <w:lang w:val="hu-HU"/>
              </w:rPr>
            </w:pPr>
            <w:r w:rsidRPr="008D72DB">
              <w:rPr>
                <w:rFonts w:eastAsia="Calibri"/>
                <w:b/>
                <w:sz w:val="22"/>
                <w:szCs w:val="22"/>
                <w:lang w:val="hu-HU"/>
              </w:rPr>
              <w:t>A kiinduláskor MMR nélküli betegek</w:t>
            </w:r>
            <w:r w:rsidRPr="008D72DB">
              <w:rPr>
                <w:rFonts w:eastAsia="Calibri"/>
                <w:b/>
                <w:sz w:val="22"/>
                <w:szCs w:val="22"/>
                <w:vertAlign w:val="superscript"/>
                <w:lang w:val="hu-HU"/>
              </w:rPr>
              <w:t>a</w:t>
            </w:r>
          </w:p>
        </w:tc>
        <w:tc>
          <w:tcPr>
            <w:tcW w:w="1620" w:type="dxa"/>
            <w:tcBorders>
              <w:bottom w:val="nil"/>
            </w:tcBorders>
            <w:shd w:val="clear" w:color="auto" w:fill="auto"/>
          </w:tcPr>
          <w:p w14:paraId="5A0A87EC"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25</w:t>
            </w:r>
          </w:p>
        </w:tc>
        <w:tc>
          <w:tcPr>
            <w:tcW w:w="1620" w:type="dxa"/>
            <w:tcBorders>
              <w:bottom w:val="nil"/>
            </w:tcBorders>
            <w:shd w:val="clear" w:color="auto" w:fill="auto"/>
          </w:tcPr>
          <w:p w14:paraId="610D52C2"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28</w:t>
            </w:r>
          </w:p>
        </w:tc>
        <w:tc>
          <w:tcPr>
            <w:tcW w:w="1800" w:type="dxa"/>
            <w:tcBorders>
              <w:bottom w:val="nil"/>
            </w:tcBorders>
            <w:shd w:val="clear" w:color="auto" w:fill="auto"/>
          </w:tcPr>
          <w:p w14:paraId="572CB724"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26</w:t>
            </w:r>
          </w:p>
        </w:tc>
        <w:tc>
          <w:tcPr>
            <w:tcW w:w="2070" w:type="dxa"/>
            <w:tcBorders>
              <w:bottom w:val="nil"/>
            </w:tcBorders>
            <w:shd w:val="clear" w:color="auto" w:fill="auto"/>
          </w:tcPr>
          <w:p w14:paraId="697AB1AC"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79</w:t>
            </w:r>
          </w:p>
        </w:tc>
      </w:tr>
      <w:tr w:rsidR="00736D80" w:rsidRPr="008D72DB" w14:paraId="3824B2CC" w14:textId="77777777" w:rsidTr="0082550D">
        <w:trPr>
          <w:trHeight w:val="333"/>
        </w:trPr>
        <w:tc>
          <w:tcPr>
            <w:tcW w:w="2520" w:type="dxa"/>
            <w:tcBorders>
              <w:top w:val="nil"/>
              <w:bottom w:val="single" w:sz="4" w:space="0" w:color="auto"/>
            </w:tcBorders>
            <w:shd w:val="clear" w:color="auto" w:fill="auto"/>
          </w:tcPr>
          <w:p w14:paraId="2D86856A" w14:textId="77777777" w:rsidR="00736D80" w:rsidRPr="008D72DB" w:rsidRDefault="00736D80" w:rsidP="0082550D">
            <w:pPr>
              <w:pStyle w:val="Paragraph"/>
              <w:spacing w:after="0"/>
              <w:rPr>
                <w:rFonts w:eastAsia="Calibri"/>
                <w:b/>
                <w:sz w:val="22"/>
                <w:szCs w:val="22"/>
                <w:lang w:val="hu-HU"/>
              </w:rPr>
            </w:pPr>
            <w:r w:rsidRPr="008D72DB">
              <w:rPr>
                <w:rFonts w:eastAsia="Calibri"/>
                <w:b/>
                <w:sz w:val="22"/>
                <w:szCs w:val="22"/>
                <w:lang w:val="hu-HU"/>
              </w:rPr>
              <w:t>MMR, % (95%-os CI)</w:t>
            </w:r>
          </w:p>
        </w:tc>
        <w:tc>
          <w:tcPr>
            <w:tcW w:w="1620" w:type="dxa"/>
            <w:tcBorders>
              <w:top w:val="nil"/>
              <w:bottom w:val="single" w:sz="4" w:space="0" w:color="auto"/>
            </w:tcBorders>
            <w:shd w:val="clear" w:color="auto" w:fill="auto"/>
          </w:tcPr>
          <w:p w14:paraId="1CB8FEE3" w14:textId="77777777" w:rsidR="00736D80" w:rsidRPr="008D72DB" w:rsidRDefault="00736D80" w:rsidP="0082550D">
            <w:pPr>
              <w:pStyle w:val="Paragraph"/>
              <w:jc w:val="center"/>
              <w:rPr>
                <w:rFonts w:eastAsia="Calibri"/>
                <w:b/>
                <w:sz w:val="22"/>
                <w:szCs w:val="22"/>
                <w:lang w:val="hu-HU"/>
              </w:rPr>
            </w:pPr>
            <w:r w:rsidRPr="008D72DB">
              <w:rPr>
                <w:rFonts w:eastAsia="Calibri"/>
                <w:color w:val="000000"/>
                <w:sz w:val="22"/>
                <w:szCs w:val="22"/>
                <w:lang w:val="hu-HU"/>
              </w:rPr>
              <w:t>76,0 (54,9; 90,6)</w:t>
            </w:r>
          </w:p>
        </w:tc>
        <w:tc>
          <w:tcPr>
            <w:tcW w:w="1620" w:type="dxa"/>
            <w:tcBorders>
              <w:top w:val="nil"/>
              <w:bottom w:val="single" w:sz="4" w:space="0" w:color="auto"/>
            </w:tcBorders>
            <w:shd w:val="clear" w:color="auto" w:fill="auto"/>
          </w:tcPr>
          <w:p w14:paraId="001719F8" w14:textId="77777777" w:rsidR="00736D80" w:rsidRPr="008D72DB" w:rsidRDefault="00736D80" w:rsidP="0082550D">
            <w:pPr>
              <w:pStyle w:val="Paragraph"/>
              <w:jc w:val="center"/>
              <w:rPr>
                <w:rFonts w:eastAsia="Calibri"/>
                <w:b/>
                <w:sz w:val="22"/>
                <w:szCs w:val="22"/>
                <w:lang w:val="hu-HU"/>
              </w:rPr>
            </w:pPr>
            <w:r w:rsidRPr="008D72DB">
              <w:rPr>
                <w:rFonts w:eastAsia="Calibri"/>
                <w:color w:val="000000"/>
                <w:sz w:val="22"/>
                <w:szCs w:val="22"/>
                <w:lang w:val="hu-HU"/>
              </w:rPr>
              <w:t>64,3 (44,1; 81,4)</w:t>
            </w:r>
          </w:p>
        </w:tc>
        <w:tc>
          <w:tcPr>
            <w:tcW w:w="1800" w:type="dxa"/>
            <w:tcBorders>
              <w:top w:val="nil"/>
              <w:bottom w:val="single" w:sz="4" w:space="0" w:color="auto"/>
            </w:tcBorders>
            <w:shd w:val="clear" w:color="auto" w:fill="auto"/>
          </w:tcPr>
          <w:p w14:paraId="114BE7DC" w14:textId="77777777" w:rsidR="00736D80" w:rsidRPr="008D72DB" w:rsidRDefault="00736D80" w:rsidP="0082550D">
            <w:pPr>
              <w:pStyle w:val="Paragraph"/>
              <w:jc w:val="center"/>
              <w:rPr>
                <w:rFonts w:eastAsia="Calibri"/>
                <w:b/>
                <w:sz w:val="22"/>
                <w:szCs w:val="22"/>
                <w:lang w:val="hu-HU"/>
              </w:rPr>
            </w:pPr>
            <w:r w:rsidRPr="008D72DB">
              <w:rPr>
                <w:rFonts w:eastAsia="Calibri"/>
                <w:color w:val="000000"/>
                <w:sz w:val="22"/>
                <w:szCs w:val="22"/>
                <w:lang w:val="hu-HU"/>
              </w:rPr>
              <w:t>38,5 (20,2; 59,4)</w:t>
            </w:r>
          </w:p>
        </w:tc>
        <w:tc>
          <w:tcPr>
            <w:tcW w:w="2070" w:type="dxa"/>
            <w:tcBorders>
              <w:top w:val="nil"/>
              <w:bottom w:val="single" w:sz="4" w:space="0" w:color="auto"/>
            </w:tcBorders>
            <w:shd w:val="clear" w:color="auto" w:fill="auto"/>
          </w:tcPr>
          <w:p w14:paraId="280A8F35" w14:textId="77777777" w:rsidR="00736D80" w:rsidRPr="008D72DB" w:rsidRDefault="00736D80" w:rsidP="0082550D">
            <w:pPr>
              <w:pStyle w:val="Paragraph"/>
              <w:jc w:val="center"/>
              <w:rPr>
                <w:rFonts w:eastAsia="Calibri"/>
                <w:b/>
                <w:sz w:val="22"/>
                <w:szCs w:val="22"/>
                <w:lang w:val="hu-HU"/>
              </w:rPr>
            </w:pPr>
            <w:r w:rsidRPr="008D72DB">
              <w:rPr>
                <w:rFonts w:eastAsia="Calibri"/>
                <w:sz w:val="22"/>
                <w:szCs w:val="22"/>
                <w:lang w:val="hu-HU"/>
              </w:rPr>
              <w:t>59,5 (47,9; 70,4)</w:t>
            </w:r>
          </w:p>
        </w:tc>
      </w:tr>
      <w:tr w:rsidR="00736D80" w:rsidRPr="008D72DB" w14:paraId="1B0FB0C9" w14:textId="77777777" w:rsidTr="0082550D">
        <w:trPr>
          <w:trHeight w:val="370"/>
        </w:trPr>
        <w:tc>
          <w:tcPr>
            <w:tcW w:w="2520" w:type="dxa"/>
            <w:tcBorders>
              <w:bottom w:val="nil"/>
            </w:tcBorders>
            <w:shd w:val="clear" w:color="auto" w:fill="auto"/>
          </w:tcPr>
          <w:p w14:paraId="72EC1BDD" w14:textId="77777777" w:rsidR="00736D80" w:rsidRPr="008D72DB" w:rsidRDefault="00736D80" w:rsidP="0082550D">
            <w:pPr>
              <w:pStyle w:val="Paragraph"/>
              <w:rPr>
                <w:rFonts w:eastAsia="Calibri"/>
                <w:b/>
                <w:sz w:val="22"/>
                <w:szCs w:val="22"/>
                <w:lang w:val="hu-HU"/>
              </w:rPr>
            </w:pPr>
            <w:r w:rsidRPr="008D72DB">
              <w:rPr>
                <w:rFonts w:eastAsia="Calibri"/>
                <w:b/>
                <w:sz w:val="22"/>
                <w:szCs w:val="22"/>
                <w:lang w:val="hu-HU"/>
              </w:rPr>
              <w:t>A kiinduláskor MR</w:t>
            </w:r>
            <w:r w:rsidRPr="008D72DB">
              <w:rPr>
                <w:rFonts w:eastAsia="Calibri"/>
                <w:b/>
                <w:sz w:val="22"/>
                <w:szCs w:val="22"/>
                <w:vertAlign w:val="superscript"/>
                <w:lang w:val="hu-HU"/>
              </w:rPr>
              <w:t xml:space="preserve">4 </w:t>
            </w:r>
            <w:r w:rsidRPr="008D72DB">
              <w:rPr>
                <w:rFonts w:eastAsia="Calibri"/>
                <w:b/>
                <w:sz w:val="22"/>
                <w:szCs w:val="22"/>
                <w:lang w:val="hu-HU"/>
              </w:rPr>
              <w:t>nélküli betegek</w:t>
            </w:r>
            <w:r w:rsidRPr="008D72DB">
              <w:rPr>
                <w:rFonts w:eastAsia="Calibri"/>
                <w:b/>
                <w:sz w:val="22"/>
                <w:szCs w:val="22"/>
                <w:vertAlign w:val="superscript"/>
                <w:lang w:val="hu-HU"/>
              </w:rPr>
              <w:t>a</w:t>
            </w:r>
          </w:p>
        </w:tc>
        <w:tc>
          <w:tcPr>
            <w:tcW w:w="1620" w:type="dxa"/>
            <w:tcBorders>
              <w:bottom w:val="nil"/>
            </w:tcBorders>
            <w:shd w:val="clear" w:color="auto" w:fill="auto"/>
          </w:tcPr>
          <w:p w14:paraId="66F5F2BB"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37</w:t>
            </w:r>
          </w:p>
        </w:tc>
        <w:tc>
          <w:tcPr>
            <w:tcW w:w="1620" w:type="dxa"/>
            <w:tcBorders>
              <w:bottom w:val="nil"/>
            </w:tcBorders>
            <w:shd w:val="clear" w:color="auto" w:fill="auto"/>
          </w:tcPr>
          <w:p w14:paraId="046DDD1C"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38</w:t>
            </w:r>
          </w:p>
        </w:tc>
        <w:tc>
          <w:tcPr>
            <w:tcW w:w="1800" w:type="dxa"/>
            <w:tcBorders>
              <w:bottom w:val="nil"/>
            </w:tcBorders>
            <w:shd w:val="clear" w:color="auto" w:fill="auto"/>
          </w:tcPr>
          <w:p w14:paraId="05C8213D"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37</w:t>
            </w:r>
          </w:p>
        </w:tc>
        <w:tc>
          <w:tcPr>
            <w:tcW w:w="2070" w:type="dxa"/>
            <w:tcBorders>
              <w:bottom w:val="nil"/>
            </w:tcBorders>
            <w:shd w:val="clear" w:color="auto" w:fill="auto"/>
          </w:tcPr>
          <w:p w14:paraId="69AFDF20"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112</w:t>
            </w:r>
          </w:p>
        </w:tc>
      </w:tr>
      <w:tr w:rsidR="00736D80" w:rsidRPr="008D72DB" w14:paraId="2F56C6C6" w14:textId="77777777" w:rsidTr="0082550D">
        <w:trPr>
          <w:trHeight w:val="370"/>
        </w:trPr>
        <w:tc>
          <w:tcPr>
            <w:tcW w:w="2520" w:type="dxa"/>
            <w:tcBorders>
              <w:top w:val="nil"/>
              <w:bottom w:val="single" w:sz="4" w:space="0" w:color="auto"/>
            </w:tcBorders>
            <w:shd w:val="clear" w:color="auto" w:fill="auto"/>
          </w:tcPr>
          <w:p w14:paraId="43FDC08C" w14:textId="77777777" w:rsidR="00736D80" w:rsidRPr="008D72DB" w:rsidRDefault="00736D80" w:rsidP="0082550D">
            <w:pPr>
              <w:pStyle w:val="Paragraph"/>
              <w:spacing w:after="0"/>
              <w:rPr>
                <w:rFonts w:eastAsia="Calibri"/>
                <w:b/>
                <w:sz w:val="22"/>
                <w:szCs w:val="22"/>
                <w:lang w:val="hu-HU"/>
              </w:rPr>
            </w:pPr>
            <w:r w:rsidRPr="008D72DB">
              <w:rPr>
                <w:rFonts w:eastAsia="Calibri"/>
                <w:b/>
                <w:sz w:val="22"/>
                <w:szCs w:val="22"/>
                <w:lang w:val="hu-HU"/>
              </w:rPr>
              <w:t>MR</w:t>
            </w:r>
            <w:r w:rsidRPr="008D72DB">
              <w:rPr>
                <w:rFonts w:eastAsia="Calibri"/>
                <w:b/>
                <w:sz w:val="22"/>
                <w:szCs w:val="22"/>
                <w:vertAlign w:val="superscript"/>
                <w:lang w:val="hu-HU"/>
              </w:rPr>
              <w:t>4</w:t>
            </w:r>
            <w:r w:rsidRPr="008D72DB">
              <w:rPr>
                <w:rFonts w:eastAsia="Calibri"/>
                <w:b/>
                <w:sz w:val="22"/>
                <w:szCs w:val="22"/>
                <w:lang w:val="hu-HU"/>
              </w:rPr>
              <w:t>, % (95%-os CI)</w:t>
            </w:r>
          </w:p>
        </w:tc>
        <w:tc>
          <w:tcPr>
            <w:tcW w:w="1620" w:type="dxa"/>
            <w:tcBorders>
              <w:top w:val="nil"/>
              <w:bottom w:val="single" w:sz="4" w:space="0" w:color="auto"/>
            </w:tcBorders>
            <w:shd w:val="clear" w:color="auto" w:fill="auto"/>
          </w:tcPr>
          <w:p w14:paraId="78D0972B"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color w:val="000000"/>
                <w:sz w:val="22"/>
                <w:szCs w:val="22"/>
                <w:lang w:val="hu-HU"/>
              </w:rPr>
              <w:t>70,3 (53,0; 84,1)</w:t>
            </w:r>
          </w:p>
        </w:tc>
        <w:tc>
          <w:tcPr>
            <w:tcW w:w="1620" w:type="dxa"/>
            <w:tcBorders>
              <w:top w:val="nil"/>
              <w:bottom w:val="single" w:sz="4" w:space="0" w:color="auto"/>
            </w:tcBorders>
            <w:shd w:val="clear" w:color="auto" w:fill="auto"/>
          </w:tcPr>
          <w:p w14:paraId="7544446E"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color w:val="000000"/>
                <w:sz w:val="22"/>
                <w:szCs w:val="22"/>
                <w:lang w:val="hu-HU"/>
              </w:rPr>
              <w:t>55,3 (38,3; 71,4)</w:t>
            </w:r>
          </w:p>
        </w:tc>
        <w:tc>
          <w:tcPr>
            <w:tcW w:w="1800" w:type="dxa"/>
            <w:tcBorders>
              <w:top w:val="nil"/>
              <w:bottom w:val="single" w:sz="4" w:space="0" w:color="auto"/>
            </w:tcBorders>
            <w:shd w:val="clear" w:color="auto" w:fill="auto"/>
          </w:tcPr>
          <w:p w14:paraId="57021AE2"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color w:val="000000"/>
                <w:sz w:val="22"/>
                <w:szCs w:val="22"/>
                <w:lang w:val="hu-HU"/>
              </w:rPr>
              <w:t>32,4 (18,0; 49,8)</w:t>
            </w:r>
          </w:p>
        </w:tc>
        <w:tc>
          <w:tcPr>
            <w:tcW w:w="2070" w:type="dxa"/>
            <w:tcBorders>
              <w:top w:val="nil"/>
              <w:bottom w:val="single" w:sz="4" w:space="0" w:color="auto"/>
            </w:tcBorders>
            <w:shd w:val="clear" w:color="auto" w:fill="auto"/>
          </w:tcPr>
          <w:p w14:paraId="06CE31BD"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sz w:val="22"/>
                <w:szCs w:val="22"/>
                <w:lang w:val="hu-HU"/>
              </w:rPr>
              <w:t>52,7 (43,0; 62,2)</w:t>
            </w:r>
          </w:p>
        </w:tc>
      </w:tr>
      <w:tr w:rsidR="00736D80" w:rsidRPr="008D72DB" w14:paraId="17A93D2E" w14:textId="77777777" w:rsidTr="0082550D">
        <w:trPr>
          <w:trHeight w:val="370"/>
        </w:trPr>
        <w:tc>
          <w:tcPr>
            <w:tcW w:w="2520" w:type="dxa"/>
            <w:tcBorders>
              <w:bottom w:val="nil"/>
            </w:tcBorders>
            <w:shd w:val="clear" w:color="auto" w:fill="auto"/>
          </w:tcPr>
          <w:p w14:paraId="2F146CBA" w14:textId="77777777" w:rsidR="00736D80" w:rsidRPr="008D72DB" w:rsidRDefault="00736D80" w:rsidP="0082550D">
            <w:pPr>
              <w:pStyle w:val="Paragraph"/>
              <w:rPr>
                <w:rFonts w:eastAsia="Calibri"/>
                <w:b/>
                <w:sz w:val="22"/>
                <w:szCs w:val="22"/>
                <w:lang w:val="hu-HU"/>
              </w:rPr>
            </w:pPr>
            <w:r w:rsidRPr="008D72DB">
              <w:rPr>
                <w:rFonts w:eastAsia="Calibri"/>
                <w:b/>
                <w:sz w:val="22"/>
                <w:szCs w:val="22"/>
                <w:lang w:val="hu-HU"/>
              </w:rPr>
              <w:t>A kiinduláskor MR</w:t>
            </w:r>
            <w:r w:rsidRPr="008D72DB">
              <w:rPr>
                <w:rFonts w:eastAsia="Calibri"/>
                <w:b/>
                <w:sz w:val="22"/>
                <w:szCs w:val="22"/>
                <w:vertAlign w:val="superscript"/>
                <w:lang w:val="hu-HU"/>
              </w:rPr>
              <w:t xml:space="preserve">4.5 </w:t>
            </w:r>
            <w:r w:rsidRPr="008D72DB">
              <w:rPr>
                <w:rFonts w:eastAsia="Calibri"/>
                <w:b/>
                <w:sz w:val="22"/>
                <w:szCs w:val="22"/>
                <w:lang w:val="hu-HU"/>
              </w:rPr>
              <w:t>nélküli betegek</w:t>
            </w:r>
            <w:r w:rsidRPr="008D72DB">
              <w:rPr>
                <w:rFonts w:eastAsia="Calibri"/>
                <w:b/>
                <w:sz w:val="22"/>
                <w:szCs w:val="22"/>
                <w:vertAlign w:val="superscript"/>
                <w:lang w:val="hu-HU"/>
              </w:rPr>
              <w:t>a</w:t>
            </w:r>
          </w:p>
        </w:tc>
        <w:tc>
          <w:tcPr>
            <w:tcW w:w="1620" w:type="dxa"/>
            <w:tcBorders>
              <w:bottom w:val="nil"/>
            </w:tcBorders>
            <w:shd w:val="clear" w:color="auto" w:fill="auto"/>
          </w:tcPr>
          <w:p w14:paraId="3D9BEA65"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42</w:t>
            </w:r>
          </w:p>
        </w:tc>
        <w:tc>
          <w:tcPr>
            <w:tcW w:w="1620" w:type="dxa"/>
            <w:tcBorders>
              <w:bottom w:val="nil"/>
            </w:tcBorders>
            <w:shd w:val="clear" w:color="auto" w:fill="auto"/>
          </w:tcPr>
          <w:p w14:paraId="217C01D4"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46</w:t>
            </w:r>
          </w:p>
        </w:tc>
        <w:tc>
          <w:tcPr>
            <w:tcW w:w="1800" w:type="dxa"/>
            <w:tcBorders>
              <w:bottom w:val="nil"/>
            </w:tcBorders>
            <w:shd w:val="clear" w:color="auto" w:fill="auto"/>
          </w:tcPr>
          <w:p w14:paraId="2D5EF364"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43</w:t>
            </w:r>
          </w:p>
        </w:tc>
        <w:tc>
          <w:tcPr>
            <w:tcW w:w="2070" w:type="dxa"/>
            <w:tcBorders>
              <w:bottom w:val="nil"/>
            </w:tcBorders>
            <w:shd w:val="clear" w:color="auto" w:fill="auto"/>
          </w:tcPr>
          <w:p w14:paraId="2EAC00D8"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131</w:t>
            </w:r>
          </w:p>
        </w:tc>
      </w:tr>
      <w:tr w:rsidR="00736D80" w:rsidRPr="008D72DB" w14:paraId="6E6981FF" w14:textId="77777777" w:rsidTr="0082550D">
        <w:trPr>
          <w:trHeight w:val="370"/>
        </w:trPr>
        <w:tc>
          <w:tcPr>
            <w:tcW w:w="2520" w:type="dxa"/>
            <w:tcBorders>
              <w:top w:val="nil"/>
              <w:bottom w:val="single" w:sz="4" w:space="0" w:color="auto"/>
            </w:tcBorders>
            <w:shd w:val="clear" w:color="auto" w:fill="auto"/>
          </w:tcPr>
          <w:p w14:paraId="529CD7F7" w14:textId="77777777" w:rsidR="00736D80" w:rsidRPr="008D72DB" w:rsidRDefault="00736D80" w:rsidP="0082550D">
            <w:pPr>
              <w:pStyle w:val="Paragraph"/>
              <w:spacing w:after="0"/>
              <w:rPr>
                <w:rFonts w:eastAsia="Calibri"/>
                <w:b/>
                <w:sz w:val="22"/>
                <w:szCs w:val="22"/>
                <w:lang w:val="hu-HU"/>
              </w:rPr>
            </w:pPr>
            <w:r w:rsidRPr="008D72DB">
              <w:rPr>
                <w:rFonts w:eastAsia="Calibri"/>
                <w:b/>
                <w:sz w:val="22"/>
                <w:szCs w:val="22"/>
                <w:lang w:val="hu-HU"/>
              </w:rPr>
              <w:t>MR</w:t>
            </w:r>
            <w:r w:rsidRPr="008D72DB">
              <w:rPr>
                <w:rFonts w:eastAsia="Calibri"/>
                <w:b/>
                <w:sz w:val="22"/>
                <w:szCs w:val="22"/>
                <w:vertAlign w:val="superscript"/>
                <w:lang w:val="hu-HU"/>
              </w:rPr>
              <w:t>4.5</w:t>
            </w:r>
            <w:r w:rsidRPr="008D72DB">
              <w:rPr>
                <w:rFonts w:eastAsia="Calibri"/>
                <w:b/>
                <w:sz w:val="22"/>
                <w:szCs w:val="22"/>
                <w:lang w:val="hu-HU"/>
              </w:rPr>
              <w:t>, % (95%-os CI)</w:t>
            </w:r>
          </w:p>
        </w:tc>
        <w:tc>
          <w:tcPr>
            <w:tcW w:w="1620" w:type="dxa"/>
            <w:tcBorders>
              <w:top w:val="nil"/>
              <w:bottom w:val="single" w:sz="4" w:space="0" w:color="auto"/>
            </w:tcBorders>
            <w:shd w:val="clear" w:color="auto" w:fill="auto"/>
          </w:tcPr>
          <w:p w14:paraId="6615F8CB"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color w:val="000000"/>
                <w:sz w:val="22"/>
                <w:szCs w:val="22"/>
                <w:lang w:val="hu-HU"/>
              </w:rPr>
              <w:t>54,8 (38,7; 70,2)</w:t>
            </w:r>
          </w:p>
        </w:tc>
        <w:tc>
          <w:tcPr>
            <w:tcW w:w="1620" w:type="dxa"/>
            <w:tcBorders>
              <w:top w:val="nil"/>
              <w:bottom w:val="single" w:sz="4" w:space="0" w:color="auto"/>
            </w:tcBorders>
            <w:shd w:val="clear" w:color="auto" w:fill="auto"/>
          </w:tcPr>
          <w:p w14:paraId="73F66A52"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color w:val="000000"/>
                <w:sz w:val="22"/>
                <w:szCs w:val="22"/>
                <w:lang w:val="hu-HU"/>
              </w:rPr>
              <w:t>43,5 (28,9; 58,9)</w:t>
            </w:r>
          </w:p>
        </w:tc>
        <w:tc>
          <w:tcPr>
            <w:tcW w:w="1800" w:type="dxa"/>
            <w:tcBorders>
              <w:top w:val="nil"/>
              <w:bottom w:val="single" w:sz="4" w:space="0" w:color="auto"/>
            </w:tcBorders>
            <w:shd w:val="clear" w:color="auto" w:fill="auto"/>
          </w:tcPr>
          <w:p w14:paraId="4F59BF2E"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color w:val="000000"/>
                <w:sz w:val="22"/>
                <w:szCs w:val="22"/>
                <w:lang w:val="hu-HU"/>
              </w:rPr>
              <w:t>30,2 (17,2; 46,1)</w:t>
            </w:r>
          </w:p>
        </w:tc>
        <w:tc>
          <w:tcPr>
            <w:tcW w:w="2070" w:type="dxa"/>
            <w:tcBorders>
              <w:top w:val="nil"/>
              <w:bottom w:val="single" w:sz="4" w:space="0" w:color="auto"/>
            </w:tcBorders>
            <w:shd w:val="clear" w:color="auto" w:fill="auto"/>
          </w:tcPr>
          <w:p w14:paraId="4108170F" w14:textId="77777777" w:rsidR="00736D80" w:rsidRPr="008D72DB" w:rsidRDefault="00736D80" w:rsidP="0082550D">
            <w:pPr>
              <w:pStyle w:val="Paragraph"/>
              <w:spacing w:after="0"/>
              <w:jc w:val="center"/>
              <w:rPr>
                <w:rFonts w:eastAsia="Calibri"/>
                <w:b/>
                <w:sz w:val="22"/>
                <w:szCs w:val="22"/>
                <w:lang w:val="hu-HU"/>
              </w:rPr>
            </w:pPr>
            <w:r w:rsidRPr="008D72DB">
              <w:rPr>
                <w:rFonts w:eastAsia="Calibri"/>
                <w:sz w:val="22"/>
                <w:szCs w:val="22"/>
                <w:lang w:val="hu-HU"/>
              </w:rPr>
              <w:t>42,7 (34,1; 51,7)</w:t>
            </w:r>
          </w:p>
        </w:tc>
      </w:tr>
      <w:tr w:rsidR="00736D80" w:rsidRPr="008D72DB" w14:paraId="0783B743" w14:textId="77777777" w:rsidTr="0082550D">
        <w:trPr>
          <w:trHeight w:val="370"/>
        </w:trPr>
        <w:tc>
          <w:tcPr>
            <w:tcW w:w="2520" w:type="dxa"/>
            <w:tcBorders>
              <w:bottom w:val="nil"/>
            </w:tcBorders>
            <w:shd w:val="clear" w:color="auto" w:fill="auto"/>
          </w:tcPr>
          <w:p w14:paraId="60AD14E3" w14:textId="77777777" w:rsidR="00736D80" w:rsidRPr="008D72DB" w:rsidRDefault="00736D80" w:rsidP="0082550D">
            <w:pPr>
              <w:pStyle w:val="Paragraph"/>
              <w:keepNext/>
              <w:rPr>
                <w:rFonts w:eastAsia="Calibri"/>
                <w:b/>
                <w:sz w:val="22"/>
                <w:szCs w:val="22"/>
                <w:lang w:val="hu-HU"/>
              </w:rPr>
            </w:pPr>
            <w:r w:rsidRPr="008D72DB">
              <w:rPr>
                <w:rFonts w:eastAsia="Calibri"/>
                <w:b/>
                <w:sz w:val="22"/>
                <w:szCs w:val="22"/>
                <w:lang w:val="hu-HU"/>
              </w:rPr>
              <w:t>A kiinduláskor MMR-rel rendelkező betegek</w:t>
            </w:r>
            <w:r w:rsidRPr="008D72DB">
              <w:rPr>
                <w:rFonts w:eastAsia="Calibri"/>
                <w:b/>
                <w:sz w:val="22"/>
                <w:szCs w:val="22"/>
                <w:vertAlign w:val="superscript"/>
                <w:lang w:val="hu-HU"/>
              </w:rPr>
              <w:t>a</w:t>
            </w:r>
          </w:p>
        </w:tc>
        <w:tc>
          <w:tcPr>
            <w:tcW w:w="1620" w:type="dxa"/>
            <w:tcBorders>
              <w:bottom w:val="nil"/>
            </w:tcBorders>
            <w:shd w:val="clear" w:color="auto" w:fill="auto"/>
          </w:tcPr>
          <w:p w14:paraId="6B072F0A"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21</w:t>
            </w:r>
          </w:p>
        </w:tc>
        <w:tc>
          <w:tcPr>
            <w:tcW w:w="1620" w:type="dxa"/>
            <w:tcBorders>
              <w:bottom w:val="nil"/>
            </w:tcBorders>
            <w:shd w:val="clear" w:color="auto" w:fill="auto"/>
          </w:tcPr>
          <w:p w14:paraId="0DA48607"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27</w:t>
            </w:r>
          </w:p>
        </w:tc>
        <w:tc>
          <w:tcPr>
            <w:tcW w:w="1800" w:type="dxa"/>
            <w:tcBorders>
              <w:bottom w:val="nil"/>
            </w:tcBorders>
            <w:shd w:val="clear" w:color="auto" w:fill="auto"/>
          </w:tcPr>
          <w:p w14:paraId="7BB66387"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22</w:t>
            </w:r>
          </w:p>
        </w:tc>
        <w:tc>
          <w:tcPr>
            <w:tcW w:w="2070" w:type="dxa"/>
            <w:tcBorders>
              <w:bottom w:val="nil"/>
            </w:tcBorders>
            <w:shd w:val="clear" w:color="auto" w:fill="auto"/>
          </w:tcPr>
          <w:p w14:paraId="1F151999" w14:textId="77777777" w:rsidR="00736D80" w:rsidRPr="008D72DB" w:rsidRDefault="00736D80" w:rsidP="0082550D">
            <w:pPr>
              <w:pStyle w:val="Paragraph"/>
              <w:jc w:val="center"/>
              <w:rPr>
                <w:rFonts w:eastAsia="Calibri"/>
                <w:sz w:val="22"/>
                <w:szCs w:val="22"/>
                <w:lang w:val="hu-HU"/>
              </w:rPr>
            </w:pPr>
            <w:r w:rsidRPr="008D72DB">
              <w:rPr>
                <w:rFonts w:eastAsia="Calibri"/>
                <w:sz w:val="22"/>
                <w:szCs w:val="22"/>
                <w:lang w:val="hu-HU"/>
              </w:rPr>
              <w:t>N = 70</w:t>
            </w:r>
          </w:p>
        </w:tc>
      </w:tr>
      <w:tr w:rsidR="00736D80" w:rsidRPr="008D72DB" w14:paraId="26B3022F" w14:textId="77777777" w:rsidTr="0082550D">
        <w:trPr>
          <w:trHeight w:val="333"/>
        </w:trPr>
        <w:tc>
          <w:tcPr>
            <w:tcW w:w="2520" w:type="dxa"/>
            <w:tcBorders>
              <w:top w:val="nil"/>
            </w:tcBorders>
            <w:shd w:val="clear" w:color="auto" w:fill="auto"/>
          </w:tcPr>
          <w:p w14:paraId="631A2D0D" w14:textId="77777777" w:rsidR="00736D80" w:rsidRPr="008D72DB" w:rsidRDefault="00736D80" w:rsidP="0082550D">
            <w:pPr>
              <w:pStyle w:val="Paragraph"/>
              <w:keepNext/>
              <w:spacing w:after="0"/>
              <w:rPr>
                <w:rFonts w:eastAsia="Calibri"/>
                <w:b/>
                <w:sz w:val="22"/>
                <w:szCs w:val="22"/>
                <w:lang w:val="hu-HU"/>
              </w:rPr>
            </w:pPr>
            <w:r w:rsidRPr="008D72DB">
              <w:rPr>
                <w:rFonts w:eastAsia="Calibri"/>
                <w:b/>
                <w:sz w:val="22"/>
                <w:szCs w:val="22"/>
                <w:lang w:val="hu-HU"/>
              </w:rPr>
              <w:t>Mélyebb MR, % (95%-os CI)</w:t>
            </w:r>
          </w:p>
        </w:tc>
        <w:tc>
          <w:tcPr>
            <w:tcW w:w="1620" w:type="dxa"/>
            <w:tcBorders>
              <w:top w:val="nil"/>
            </w:tcBorders>
            <w:shd w:val="clear" w:color="auto" w:fill="auto"/>
          </w:tcPr>
          <w:p w14:paraId="7E3F2FE6" w14:textId="77777777" w:rsidR="00736D80" w:rsidRPr="008D72DB" w:rsidRDefault="00736D80" w:rsidP="0082550D">
            <w:pPr>
              <w:pStyle w:val="Paragraph"/>
              <w:keepNext/>
              <w:spacing w:after="0"/>
              <w:jc w:val="center"/>
              <w:rPr>
                <w:rFonts w:eastAsia="Calibri"/>
                <w:b/>
                <w:sz w:val="22"/>
                <w:szCs w:val="22"/>
                <w:lang w:val="hu-HU"/>
              </w:rPr>
            </w:pPr>
            <w:r w:rsidRPr="008D72DB">
              <w:rPr>
                <w:rFonts w:eastAsia="Calibri"/>
                <w:color w:val="000000"/>
                <w:sz w:val="22"/>
                <w:szCs w:val="22"/>
                <w:lang w:val="hu-HU"/>
              </w:rPr>
              <w:t>85,7 (63,7; 97,0)</w:t>
            </w:r>
          </w:p>
        </w:tc>
        <w:tc>
          <w:tcPr>
            <w:tcW w:w="1620" w:type="dxa"/>
            <w:tcBorders>
              <w:top w:val="nil"/>
            </w:tcBorders>
            <w:shd w:val="clear" w:color="auto" w:fill="auto"/>
          </w:tcPr>
          <w:p w14:paraId="591D8523" w14:textId="77777777" w:rsidR="00736D80" w:rsidRPr="008D72DB" w:rsidRDefault="00736D80" w:rsidP="0082550D">
            <w:pPr>
              <w:pStyle w:val="Paragraph"/>
              <w:keepNext/>
              <w:spacing w:after="0"/>
              <w:jc w:val="center"/>
              <w:rPr>
                <w:rFonts w:eastAsia="Calibri"/>
                <w:b/>
                <w:sz w:val="22"/>
                <w:szCs w:val="22"/>
                <w:lang w:val="hu-HU"/>
              </w:rPr>
            </w:pPr>
            <w:r w:rsidRPr="008D72DB">
              <w:rPr>
                <w:rFonts w:eastAsia="Calibri"/>
                <w:color w:val="000000"/>
                <w:sz w:val="22"/>
                <w:szCs w:val="22"/>
                <w:lang w:val="hu-HU"/>
              </w:rPr>
              <w:t>66,7 (46,0; 83,5)</w:t>
            </w:r>
          </w:p>
        </w:tc>
        <w:tc>
          <w:tcPr>
            <w:tcW w:w="1800" w:type="dxa"/>
            <w:tcBorders>
              <w:top w:val="nil"/>
            </w:tcBorders>
            <w:shd w:val="clear" w:color="auto" w:fill="auto"/>
          </w:tcPr>
          <w:p w14:paraId="5C896FD9" w14:textId="77777777" w:rsidR="00736D80" w:rsidRPr="008D72DB" w:rsidRDefault="00736D80" w:rsidP="0082550D">
            <w:pPr>
              <w:pStyle w:val="Paragraph"/>
              <w:keepNext/>
              <w:spacing w:after="0"/>
              <w:jc w:val="center"/>
              <w:rPr>
                <w:rFonts w:eastAsia="Calibri"/>
                <w:b/>
                <w:sz w:val="22"/>
                <w:szCs w:val="22"/>
                <w:lang w:val="hu-HU"/>
              </w:rPr>
            </w:pPr>
            <w:r w:rsidRPr="008D72DB">
              <w:rPr>
                <w:rFonts w:eastAsia="Calibri"/>
                <w:color w:val="000000"/>
                <w:sz w:val="22"/>
                <w:szCs w:val="22"/>
                <w:lang w:val="hu-HU"/>
              </w:rPr>
              <w:t>63,6 (40,7; 82,8)</w:t>
            </w:r>
          </w:p>
        </w:tc>
        <w:tc>
          <w:tcPr>
            <w:tcW w:w="2070" w:type="dxa"/>
            <w:tcBorders>
              <w:top w:val="nil"/>
            </w:tcBorders>
            <w:shd w:val="clear" w:color="auto" w:fill="auto"/>
          </w:tcPr>
          <w:p w14:paraId="1F94B366" w14:textId="77777777" w:rsidR="00736D80" w:rsidRPr="008D72DB" w:rsidRDefault="00736D80" w:rsidP="0082550D">
            <w:pPr>
              <w:pStyle w:val="Paragraph"/>
              <w:keepNext/>
              <w:spacing w:after="0"/>
              <w:jc w:val="center"/>
              <w:rPr>
                <w:rFonts w:eastAsia="Calibri"/>
                <w:b/>
                <w:sz w:val="22"/>
                <w:szCs w:val="22"/>
                <w:lang w:val="hu-HU"/>
              </w:rPr>
            </w:pPr>
            <w:r w:rsidRPr="008D72DB">
              <w:rPr>
                <w:rFonts w:eastAsia="Calibri"/>
                <w:sz w:val="22"/>
                <w:szCs w:val="22"/>
                <w:lang w:val="hu-HU"/>
              </w:rPr>
              <w:t>71,4 (59,4; 81,6)</w:t>
            </w:r>
          </w:p>
        </w:tc>
      </w:tr>
      <w:tr w:rsidR="00736D80" w:rsidRPr="008D72DB" w14:paraId="3C96C43D" w14:textId="77777777" w:rsidTr="0082550D">
        <w:trPr>
          <w:trHeight w:val="370"/>
        </w:trPr>
        <w:tc>
          <w:tcPr>
            <w:tcW w:w="9630" w:type="dxa"/>
            <w:gridSpan w:val="5"/>
            <w:shd w:val="clear" w:color="auto" w:fill="auto"/>
          </w:tcPr>
          <w:p w14:paraId="3C678C68" w14:textId="77777777" w:rsidR="00736D80" w:rsidRPr="00FB423C" w:rsidRDefault="00736D80" w:rsidP="0082550D">
            <w:pPr>
              <w:pStyle w:val="Paragraph"/>
              <w:spacing w:after="0"/>
              <w:rPr>
                <w:rFonts w:eastAsia="Calibri"/>
                <w:sz w:val="20"/>
                <w:szCs w:val="20"/>
                <w:lang w:val="hu-HU"/>
              </w:rPr>
            </w:pPr>
            <w:r w:rsidRPr="00FB423C">
              <w:rPr>
                <w:rFonts w:eastAsia="Calibri"/>
                <w:sz w:val="20"/>
                <w:szCs w:val="20"/>
                <w:lang w:val="hu-HU"/>
              </w:rPr>
              <w:t>Az adatgyűjtés lezárásának dátuma: 2020. november 23.</w:t>
            </w:r>
          </w:p>
          <w:p w14:paraId="6B82489F" w14:textId="1D82036F" w:rsidR="00736D80" w:rsidRPr="00FB423C" w:rsidRDefault="00736D80" w:rsidP="0082550D">
            <w:pPr>
              <w:pStyle w:val="Paragraph"/>
              <w:spacing w:after="0"/>
              <w:rPr>
                <w:rFonts w:eastAsia="Calibri"/>
                <w:sz w:val="20"/>
                <w:szCs w:val="20"/>
                <w:lang w:val="hu-HU"/>
              </w:rPr>
            </w:pPr>
            <w:r w:rsidRPr="00FB423C">
              <w:rPr>
                <w:rFonts w:eastAsia="Calibri"/>
                <w:sz w:val="20"/>
                <w:szCs w:val="20"/>
                <w:lang w:val="hu-HU"/>
              </w:rPr>
              <w:t xml:space="preserve">Rövidítések: Ph+ = Philadelphia kromoszóma-pozitív; CP = krónikus fázis; CML = krónikus myeloid leukaemia; </w:t>
            </w:r>
            <w:r>
              <w:rPr>
                <w:rFonts w:eastAsia="Calibri"/>
                <w:sz w:val="20"/>
                <w:szCs w:val="20"/>
                <w:lang w:val="hu-HU"/>
              </w:rPr>
              <w:t>N = betegszám; CI = konfidencia</w:t>
            </w:r>
            <w:r w:rsidRPr="00FB423C">
              <w:rPr>
                <w:rFonts w:eastAsia="Calibri"/>
                <w:sz w:val="20"/>
                <w:szCs w:val="20"/>
                <w:lang w:val="hu-HU"/>
              </w:rPr>
              <w:t>intervallum; MMR = major molekuláris válasz; MR = molekuláris válasz; MR</w:t>
            </w:r>
            <w:r w:rsidRPr="00FB423C">
              <w:rPr>
                <w:rFonts w:eastAsia="Calibri"/>
                <w:sz w:val="20"/>
                <w:szCs w:val="20"/>
                <w:vertAlign w:val="superscript"/>
                <w:lang w:val="hu-HU"/>
              </w:rPr>
              <w:t>4 </w:t>
            </w:r>
            <w:r w:rsidRPr="00FB423C">
              <w:rPr>
                <w:rFonts w:eastAsia="Calibri"/>
                <w:sz w:val="20"/>
                <w:szCs w:val="20"/>
                <w:lang w:val="hu-HU"/>
              </w:rPr>
              <w:t>= ≥ 4 log csökkenés a BCR</w:t>
            </w:r>
            <w:r w:rsidRPr="00FB423C">
              <w:rPr>
                <w:rFonts w:eastAsia="Calibri"/>
                <w:sz w:val="20"/>
                <w:szCs w:val="20"/>
                <w:lang w:val="hu-HU"/>
              </w:rPr>
              <w:noBreakHyphen/>
              <w:t>ABL transzkriptumokban a standardizált kiindulási értékhez képest; MR</w:t>
            </w:r>
            <w:r w:rsidRPr="00FB423C">
              <w:rPr>
                <w:rFonts w:eastAsia="Calibri"/>
                <w:sz w:val="20"/>
                <w:szCs w:val="20"/>
                <w:vertAlign w:val="superscript"/>
                <w:lang w:val="hu-HU"/>
              </w:rPr>
              <w:t>4,5 </w:t>
            </w:r>
            <w:r w:rsidRPr="00FB423C">
              <w:rPr>
                <w:rFonts w:eastAsia="Calibri"/>
                <w:sz w:val="20"/>
                <w:szCs w:val="20"/>
                <w:lang w:val="hu-HU"/>
              </w:rPr>
              <w:t>= ≥ 4,5 log csökkenés a BCR</w:t>
            </w:r>
            <w:r w:rsidRPr="00FB423C">
              <w:rPr>
                <w:rFonts w:eastAsia="Calibri"/>
                <w:sz w:val="20"/>
                <w:szCs w:val="20"/>
                <w:lang w:val="hu-HU"/>
              </w:rPr>
              <w:noBreakHyphen/>
              <w:t>ABL transzkriptumokban a standardizált kiindulási értékhez képest.</w:t>
            </w:r>
          </w:p>
          <w:p w14:paraId="0028E99C" w14:textId="77777777" w:rsidR="00736D80" w:rsidRPr="00FB423C" w:rsidRDefault="00736D80" w:rsidP="0082550D">
            <w:pPr>
              <w:pStyle w:val="Paragraph"/>
              <w:spacing w:after="0"/>
              <w:ind w:left="90" w:hanging="90"/>
              <w:rPr>
                <w:rFonts w:eastAsia="Calibri"/>
                <w:sz w:val="20"/>
                <w:szCs w:val="20"/>
                <w:lang w:val="hu-HU"/>
              </w:rPr>
            </w:pPr>
            <w:r w:rsidRPr="00FB423C">
              <w:rPr>
                <w:rFonts w:eastAsia="Calibri"/>
                <w:sz w:val="20"/>
                <w:szCs w:val="20"/>
                <w:vertAlign w:val="superscript"/>
                <w:lang w:val="hu-HU"/>
              </w:rPr>
              <w:t xml:space="preserve">a </w:t>
            </w:r>
            <w:r w:rsidRPr="00FB423C">
              <w:rPr>
                <w:sz w:val="20"/>
                <w:lang w:val="hu-HU" w:eastAsia="en-US"/>
              </w:rPr>
              <w:t>Érvényes kiindulási értékeléssel rendelkező betegeket (N) foglal magában</w:t>
            </w:r>
            <w:r w:rsidRPr="00FB423C">
              <w:rPr>
                <w:rFonts w:eastAsia="Calibri"/>
                <w:sz w:val="20"/>
                <w:szCs w:val="20"/>
                <w:lang w:val="hu-HU"/>
              </w:rPr>
              <w:t>. Ahhoz, hogy reszpondernek minősüljön, a beteg válaszának a kiinduláshoz képest javulnia kell.</w:t>
            </w:r>
            <w:r w:rsidRPr="00FB423C">
              <w:rPr>
                <w:rFonts w:eastAsia="Calibri"/>
                <w:bCs/>
                <w:sz w:val="20"/>
                <w:szCs w:val="20"/>
                <w:lang w:val="hu-HU"/>
              </w:rPr>
              <w:t xml:space="preserve"> A molekuláris válasz kritériumai: Az MMR, MR</w:t>
            </w:r>
            <w:r w:rsidRPr="00FB423C">
              <w:rPr>
                <w:rFonts w:eastAsia="Calibri"/>
                <w:bCs/>
                <w:sz w:val="20"/>
                <w:szCs w:val="20"/>
                <w:vertAlign w:val="superscript"/>
                <w:lang w:val="hu-HU"/>
              </w:rPr>
              <w:t>4</w:t>
            </w:r>
            <w:r w:rsidRPr="00FB423C">
              <w:rPr>
                <w:rFonts w:eastAsia="Calibri"/>
                <w:bCs/>
                <w:sz w:val="20"/>
                <w:szCs w:val="20"/>
                <w:lang w:val="hu-HU"/>
              </w:rPr>
              <w:t xml:space="preserve"> és MR</w:t>
            </w:r>
            <w:r w:rsidRPr="00FB423C">
              <w:rPr>
                <w:rFonts w:eastAsia="Calibri"/>
                <w:bCs/>
                <w:sz w:val="20"/>
                <w:szCs w:val="20"/>
                <w:vertAlign w:val="superscript"/>
                <w:lang w:val="hu-HU"/>
              </w:rPr>
              <w:t>4,5</w:t>
            </w:r>
            <w:r w:rsidRPr="00FB423C">
              <w:rPr>
                <w:rFonts w:eastAsia="Calibri"/>
                <w:bCs/>
                <w:sz w:val="20"/>
                <w:szCs w:val="20"/>
                <w:lang w:val="hu-HU"/>
              </w:rPr>
              <w:t xml:space="preserve"> meghatározása sorrendben ≤ 0,1%, ≤ 0,01% és ≤ 0,0032% BCR-ABL/ABL arány a nemzetközi skála szerint (ez sorrendben ≥ 3, ≥ 4 és ≥ 4,5 log csökkenésnek felel meg a standardizált kiinduláshoz képest) a központi laboratórium értékelése szerint sorrendben legalább 10 000, 10 000 és 32 000 ABL-transzkriptummal.</w:t>
            </w:r>
          </w:p>
        </w:tc>
      </w:tr>
    </w:tbl>
    <w:p w14:paraId="4416AB18" w14:textId="77777777" w:rsidR="00AF61CA" w:rsidRPr="00C208E4" w:rsidRDefault="00AF61CA" w:rsidP="00C208E4">
      <w:pPr>
        <w:pStyle w:val="Szvegtrzs"/>
        <w:rPr>
          <w:b/>
        </w:rPr>
      </w:pPr>
    </w:p>
    <w:p w14:paraId="53F63F2F" w14:textId="77777777" w:rsidR="005B1144" w:rsidRPr="00C208E4" w:rsidRDefault="0070285B" w:rsidP="00C208E4">
      <w:pPr>
        <w:pStyle w:val="Szvegtrzs"/>
      </w:pPr>
      <w:r w:rsidRPr="00C208E4">
        <w:t>A CP-betegek állapota a kezelés során nem progrediált AP vagy BP CML-re.</w:t>
      </w:r>
    </w:p>
    <w:p w14:paraId="53F63F30" w14:textId="77777777" w:rsidR="005B1144" w:rsidRPr="00C208E4" w:rsidRDefault="005B1144" w:rsidP="00C208E4">
      <w:pPr>
        <w:pStyle w:val="Szvegtrzs"/>
      </w:pPr>
    </w:p>
    <w:p w14:paraId="53F63F31" w14:textId="77777777" w:rsidR="005B1144" w:rsidRPr="00C208E4" w:rsidRDefault="0070285B" w:rsidP="00C208E4">
      <w:pPr>
        <w:rPr>
          <w:i/>
        </w:rPr>
      </w:pPr>
      <w:r w:rsidRPr="00C208E4">
        <w:rPr>
          <w:i/>
        </w:rPr>
        <w:t>AP CML-betegek</w:t>
      </w:r>
    </w:p>
    <w:p w14:paraId="53F63F33" w14:textId="0018C1CE" w:rsidR="005B1144" w:rsidRPr="00C208E4" w:rsidRDefault="0070285B" w:rsidP="00C208E4">
      <w:pPr>
        <w:pStyle w:val="Szvegtrzs"/>
      </w:pPr>
      <w:r w:rsidRPr="00C208E4">
        <w:t xml:space="preserve">A Ph+ AP CML-betegeknél a kezelés időtartamának </w:t>
      </w:r>
      <w:r w:rsidR="006201B6">
        <w:t>mediánja</w:t>
      </w:r>
      <w:r w:rsidRPr="00C208E4">
        <w:t xml:space="preserve"> 22,1 hónap (tartomány: 1,6–50,1 hónap) volt, az 1 éves (52 hét) kumulatív megerősített OHR 75,0% (95%-os CI: 19,4; 99,4) volt, akárcsak a kumulatív CCyR-arány, és mind a 3 betegnél fennmaradt a CCyR.</w:t>
      </w:r>
    </w:p>
    <w:p w14:paraId="53F63F34" w14:textId="77777777" w:rsidR="005B1144" w:rsidRPr="00C208E4" w:rsidRDefault="005B1144" w:rsidP="00C208E4">
      <w:pPr>
        <w:pStyle w:val="Szvegtrzs"/>
      </w:pPr>
    </w:p>
    <w:p w14:paraId="53F63F35" w14:textId="77777777" w:rsidR="005B1144" w:rsidRPr="00C208E4" w:rsidRDefault="0070285B" w:rsidP="00C208E4">
      <w:pPr>
        <w:rPr>
          <w:i/>
        </w:rPr>
      </w:pPr>
      <w:r w:rsidRPr="00C208E4">
        <w:rPr>
          <w:i/>
        </w:rPr>
        <w:t>A kiindulási BCR-ABL mutációk szerinti válasz</w:t>
      </w:r>
    </w:p>
    <w:p w14:paraId="53F63F36" w14:textId="77777777" w:rsidR="005B1144" w:rsidRPr="00C208E4" w:rsidRDefault="0070285B" w:rsidP="00C208E4">
      <w:pPr>
        <w:pStyle w:val="Szvegtrzs"/>
      </w:pPr>
      <w:r w:rsidRPr="00C208E4">
        <w:t>A CP-kohorszban tíz betegnél figyeltek meg mutációkat a kiinduláskor (A365V, E453K, E255K, E255V, Q252H, L298V [mindegyik esetében n = 1], Y253F és G250E [mindkettő esetében n = 2]). A CP-kohorszban egy betegnél azonosítottak F359I mutációt a vizsgálat 8. napján. Az AP-kohorszban egy betegnél azonosítottak 2 mutációt (F311L és L387F) a kiinduláskor. A CP-kohorszban a mutációval rendelkező betegek közül molekuláris választ 4/11 (36,4%) betegnél figyeltek meg; egy E255V mutációval rendelkező beteg ért el MMR-t, és három F359I, Y253F és A365V mutációval rendelkező beteg ért el MR</w:t>
      </w:r>
      <w:r w:rsidRPr="00C208E4">
        <w:rPr>
          <w:vertAlign w:val="superscript"/>
        </w:rPr>
        <w:t>4,5</w:t>
      </w:r>
      <w:r w:rsidRPr="00C208E4">
        <w:t>-t. Az AP-kohorsz mutációkkal rendelkező betege nem ért el semmilyen választ.</w:t>
      </w:r>
    </w:p>
    <w:p w14:paraId="53F63F37" w14:textId="77777777" w:rsidR="005B1144" w:rsidRPr="00C208E4" w:rsidRDefault="005B1144" w:rsidP="00C208E4">
      <w:pPr>
        <w:pStyle w:val="Szvegtrzs"/>
      </w:pPr>
    </w:p>
    <w:p w14:paraId="53F63F38" w14:textId="77777777" w:rsidR="005B1144" w:rsidRPr="00C208E4" w:rsidRDefault="0070285B" w:rsidP="00C208E4">
      <w:pPr>
        <w:pStyle w:val="Szvegtrzs"/>
      </w:pPr>
      <w:r w:rsidRPr="00C208E4">
        <w:rPr>
          <w:u w:val="single"/>
        </w:rPr>
        <w:t>Gyermekek és serdülők</w:t>
      </w:r>
    </w:p>
    <w:p w14:paraId="53F63F39" w14:textId="491E11E7" w:rsidR="005B1144" w:rsidRPr="00C208E4" w:rsidRDefault="0070285B" w:rsidP="00C208E4">
      <w:pPr>
        <w:pStyle w:val="Szvegtrzs"/>
      </w:pPr>
      <w:r w:rsidRPr="00C208E4">
        <w:t xml:space="preserve">Az Európai Gyógyszerügynökség a gyermekek és serdülők esetén minden korosztálynál eltekint a </w:t>
      </w:r>
      <w:r w:rsidR="00A74522" w:rsidRPr="00C208E4">
        <w:t>b</w:t>
      </w:r>
      <w:r w:rsidR="006B2927" w:rsidRPr="00C208E4">
        <w:t>o</w:t>
      </w:r>
      <w:r w:rsidR="00A74522" w:rsidRPr="00C208E4">
        <w:t>z</w:t>
      </w:r>
      <w:r w:rsidR="006B2927" w:rsidRPr="00C208E4">
        <w:t>utinib</w:t>
      </w:r>
      <w:r w:rsidR="00736D80">
        <w:t>-</w:t>
      </w:r>
      <w:r w:rsidR="00A74522" w:rsidRPr="00C208E4">
        <w:t>tartalmú referenciakészítmény</w:t>
      </w:r>
      <w:r w:rsidRPr="00C208E4">
        <w:t xml:space="preserve"> vizsgálati eredményeinek benyújtási kötelezettségétől a CML kezelésében (lásd 4.2 pont, gyermekgyógyászati alkalmazásra vonatkozó információk).</w:t>
      </w:r>
    </w:p>
    <w:p w14:paraId="53F63F3A" w14:textId="77777777" w:rsidR="005B1144" w:rsidRPr="00C208E4" w:rsidRDefault="005B1144" w:rsidP="00C208E4">
      <w:pPr>
        <w:pStyle w:val="Szvegtrzs"/>
      </w:pPr>
    </w:p>
    <w:p w14:paraId="53F63F3B" w14:textId="77777777" w:rsidR="005B1144" w:rsidRPr="00C208E4" w:rsidRDefault="0070285B" w:rsidP="00C208E4">
      <w:pPr>
        <w:pStyle w:val="Cmsor2"/>
        <w:numPr>
          <w:ilvl w:val="1"/>
          <w:numId w:val="12"/>
        </w:numPr>
        <w:tabs>
          <w:tab w:val="left" w:pos="1242"/>
          <w:tab w:val="left" w:pos="1243"/>
        </w:tabs>
        <w:ind w:left="567"/>
      </w:pPr>
      <w:r w:rsidRPr="00C208E4">
        <w:t>Farmakokinetikai tulajdonságok</w:t>
      </w:r>
    </w:p>
    <w:p w14:paraId="53F63F3C" w14:textId="77777777" w:rsidR="005B1144" w:rsidRPr="00C208E4" w:rsidRDefault="005B1144" w:rsidP="00C208E4">
      <w:pPr>
        <w:pStyle w:val="Szvegtrzs"/>
        <w:rPr>
          <w:b/>
        </w:rPr>
      </w:pPr>
    </w:p>
    <w:p w14:paraId="53F63F3D" w14:textId="77777777" w:rsidR="005B1144" w:rsidRPr="00C208E4" w:rsidRDefault="0070285B" w:rsidP="00C208E4">
      <w:pPr>
        <w:pStyle w:val="Szvegtrzs"/>
      </w:pPr>
      <w:r w:rsidRPr="00C208E4">
        <w:rPr>
          <w:u w:val="single"/>
        </w:rPr>
        <w:t>Felszívódás</w:t>
      </w:r>
    </w:p>
    <w:p w14:paraId="53F63F3E" w14:textId="3AC7ED1F" w:rsidR="005B1144" w:rsidRPr="00C208E4" w:rsidRDefault="0070285B" w:rsidP="00C208E4">
      <w:pPr>
        <w:pStyle w:val="Szvegtrzs"/>
      </w:pPr>
      <w:r w:rsidRPr="00C208E4">
        <w:t xml:space="preserve">Egyszeri bozutinib (500 mg) dózis </w:t>
      </w:r>
      <w:r w:rsidR="001320AE">
        <w:t>étkezés közben</w:t>
      </w:r>
      <w:r w:rsidRPr="00C208E4">
        <w:t xml:space="preserve"> történő bevételét követően egészséges </w:t>
      </w:r>
      <w:r w:rsidR="00B44E9A">
        <w:t>vizsgálati alanyoknál</w:t>
      </w:r>
      <w:r w:rsidR="00B44E9A" w:rsidRPr="00C208E4">
        <w:t xml:space="preserve"> </w:t>
      </w:r>
      <w:r w:rsidRPr="00C208E4">
        <w:t>az abszolút biohasznosulás 34% volt. A felszívódás viszonylag lassú volt. A csúcskoncentráció kialakulásához szükséges időtartam (t</w:t>
      </w:r>
      <w:r w:rsidR="001F598A" w:rsidRPr="001F598A">
        <w:rPr>
          <w:vertAlign w:val="subscript"/>
        </w:rPr>
        <w:t>max</w:t>
      </w:r>
      <w:r w:rsidRPr="00C208E4">
        <w:t xml:space="preserve">) </w:t>
      </w:r>
      <w:r w:rsidR="006201B6">
        <w:t>mediánja</w:t>
      </w:r>
      <w:r w:rsidRPr="00C208E4">
        <w:t xml:space="preserve"> 6</w:t>
      </w:r>
      <w:r w:rsidR="004965C7">
        <w:t> </w:t>
      </w:r>
      <w:r w:rsidRPr="00C208E4">
        <w:t>óra múlva alakult ki. A bozutinib AUC- és C</w:t>
      </w:r>
      <w:r w:rsidR="001F598A" w:rsidRPr="001F598A">
        <w:rPr>
          <w:vertAlign w:val="subscript"/>
        </w:rPr>
        <w:t>max</w:t>
      </w:r>
      <w:r w:rsidRPr="00C208E4">
        <w:t>-értéke a 200–600 mg dózistartományban dózisarányos emelkedést mutat. Az étel az éhomi értékekhez képest 1,8-szeresére növeli a C</w:t>
      </w:r>
      <w:r w:rsidR="001F598A" w:rsidRPr="001F598A">
        <w:rPr>
          <w:vertAlign w:val="subscript"/>
        </w:rPr>
        <w:t>max</w:t>
      </w:r>
      <w:r w:rsidRPr="00C208E4">
        <w:t>-értéket, és 1,7-szeresére növeli az AUC-értéket.</w:t>
      </w:r>
    </w:p>
    <w:p w14:paraId="53F63F3F" w14:textId="0E955EC4" w:rsidR="005B1144" w:rsidRPr="00C208E4" w:rsidRDefault="0070285B" w:rsidP="00C208E4">
      <w:pPr>
        <w:pStyle w:val="Szvegtrzs"/>
      </w:pPr>
      <w:r w:rsidRPr="00C208E4">
        <w:t xml:space="preserve">CML-es betegeknél </w:t>
      </w:r>
      <w:r w:rsidR="00B44E9A">
        <w:t xml:space="preserve">dinamikus egyensúlyi állapotban </w:t>
      </w:r>
      <w:r w:rsidRPr="00C208E4">
        <w:t>a C</w:t>
      </w:r>
      <w:r w:rsidR="001F598A" w:rsidRPr="001F598A">
        <w:rPr>
          <w:vertAlign w:val="subscript"/>
        </w:rPr>
        <w:t>max</w:t>
      </w:r>
      <w:r w:rsidRPr="00C208E4">
        <w:t xml:space="preserve"> (mértani átlag</w:t>
      </w:r>
      <w:r w:rsidR="00B44E9A">
        <w:t>;</w:t>
      </w:r>
      <w:r w:rsidRPr="00C208E4">
        <w:t xml:space="preserve"> variációs koefficiens [CV]%</w:t>
      </w:r>
      <w:r w:rsidR="00B44E9A">
        <w:t>)</w:t>
      </w:r>
      <w:r w:rsidRPr="00C208E4">
        <w:t xml:space="preserve"> 145 (14) ng/ml, az AUC</w:t>
      </w:r>
      <w:r w:rsidRPr="0030598E">
        <w:rPr>
          <w:vertAlign w:val="subscript"/>
        </w:rPr>
        <w:t>ss</w:t>
      </w:r>
      <w:r w:rsidRPr="00C208E4">
        <w:t xml:space="preserve"> (mértani átlag, CV%) 2700 (16) ng×h/ml volt 400 mg bozutinib </w:t>
      </w:r>
      <w:r w:rsidR="001320AE">
        <w:t>étkezés közben</w:t>
      </w:r>
      <w:r w:rsidRPr="00C208E4">
        <w:t xml:space="preserve"> történő mindennapi alkalmazását követően. Napi 500 mg bozutinib </w:t>
      </w:r>
      <w:r w:rsidR="001320AE">
        <w:t>étkezés közben</w:t>
      </w:r>
      <w:r w:rsidRPr="00C208E4">
        <w:t xml:space="preserve"> történő alkalmazása után a C</w:t>
      </w:r>
      <w:r w:rsidR="001F598A" w:rsidRPr="001F598A">
        <w:rPr>
          <w:vertAlign w:val="subscript"/>
        </w:rPr>
        <w:t>max</w:t>
      </w:r>
      <w:r w:rsidRPr="00C208E4">
        <w:t xml:space="preserve"> értéke 200 (6) ng/ml, míg az AUC</w:t>
      </w:r>
      <w:r w:rsidRPr="0030598E">
        <w:rPr>
          <w:vertAlign w:val="subscript"/>
        </w:rPr>
        <w:t>ss</w:t>
      </w:r>
      <w:r w:rsidRPr="00C208E4">
        <w:t xml:space="preserve"> értéke 3640 (12) ng×h/ml volt. A bozutinib oldhatósága pH-függő, és felszívódása a gyomor pH-értékének emelkedésével csökken (lásd 4.5 pont).</w:t>
      </w:r>
    </w:p>
    <w:p w14:paraId="53F63F40" w14:textId="77777777" w:rsidR="005B1144" w:rsidRPr="00C208E4" w:rsidRDefault="005B1144" w:rsidP="00C208E4">
      <w:pPr>
        <w:pStyle w:val="Szvegtrzs"/>
      </w:pPr>
    </w:p>
    <w:p w14:paraId="53F63F41" w14:textId="77777777" w:rsidR="005B1144" w:rsidRPr="00C208E4" w:rsidRDefault="0070285B" w:rsidP="00C208E4">
      <w:pPr>
        <w:pStyle w:val="Szvegtrzs"/>
      </w:pPr>
      <w:r w:rsidRPr="00C208E4">
        <w:rPr>
          <w:u w:val="single"/>
        </w:rPr>
        <w:t>Eloszlás</w:t>
      </w:r>
    </w:p>
    <w:p w14:paraId="53F63F42" w14:textId="13614A11" w:rsidR="005B1144" w:rsidRPr="00C208E4" w:rsidRDefault="0070285B" w:rsidP="00C208E4">
      <w:pPr>
        <w:pStyle w:val="Szvegtrzs"/>
      </w:pPr>
      <w:r w:rsidRPr="00C208E4">
        <w:t xml:space="preserve">Egyszeri intravénás 120 mg bozutinib-dózis beadását követően egészséges </w:t>
      </w:r>
      <w:r w:rsidR="00B44E9A">
        <w:t>vizsgálati alanyoknál</w:t>
      </w:r>
      <w:r w:rsidR="00B44E9A" w:rsidRPr="00C208E4" w:rsidDel="00B44E9A">
        <w:t xml:space="preserve"> </w:t>
      </w:r>
      <w:r w:rsidRPr="00C208E4">
        <w:t>a bozutinib eloszlási térfogatának átlagértéke (variációs koefficiens % [CV]) 2,331 (32) l volt, amely arra utalt, hogy a bozutinib kiterjedten oszlik el az extravascularis térben.</w:t>
      </w:r>
    </w:p>
    <w:p w14:paraId="53F63F45" w14:textId="07EDF60B" w:rsidR="005B1144" w:rsidRPr="00C208E4" w:rsidRDefault="0070285B" w:rsidP="00C208E4">
      <w:r w:rsidRPr="00C208E4">
        <w:t xml:space="preserve">A bozutinib nagymértékű plazmafehérje-kötődést mutatott </w:t>
      </w:r>
      <w:r w:rsidRPr="00C208E4">
        <w:rPr>
          <w:i/>
        </w:rPr>
        <w:t xml:space="preserve">in vitro </w:t>
      </w:r>
      <w:r w:rsidRPr="00C208E4">
        <w:t xml:space="preserve">(94%) és egészséges </w:t>
      </w:r>
      <w:r w:rsidR="00B44E9A">
        <w:t>vizsgálati alanyoknál</w:t>
      </w:r>
      <w:r w:rsidR="00B44E9A" w:rsidRPr="00C208E4" w:rsidDel="00B44E9A">
        <w:t xml:space="preserve"> </w:t>
      </w:r>
      <w:r w:rsidRPr="00C208E4">
        <w:rPr>
          <w:i/>
        </w:rPr>
        <w:t xml:space="preserve">ex vivo </w:t>
      </w:r>
      <w:r w:rsidRPr="00C208E4">
        <w:t>(96%), és a kötődés mértéke nem volt koncentrációfüggő.</w:t>
      </w:r>
    </w:p>
    <w:p w14:paraId="53F63F46" w14:textId="77777777" w:rsidR="005B1144" w:rsidRPr="00C208E4" w:rsidRDefault="005B1144" w:rsidP="00C208E4">
      <w:pPr>
        <w:pStyle w:val="Szvegtrzs"/>
      </w:pPr>
    </w:p>
    <w:p w14:paraId="53F63F47" w14:textId="77777777" w:rsidR="005B1144" w:rsidRPr="00C208E4" w:rsidRDefault="0070285B" w:rsidP="00C208E4">
      <w:pPr>
        <w:pStyle w:val="Szvegtrzs"/>
      </w:pPr>
      <w:r w:rsidRPr="00C208E4">
        <w:rPr>
          <w:u w:val="single"/>
        </w:rPr>
        <w:t>Biotranszformáció</w:t>
      </w:r>
    </w:p>
    <w:p w14:paraId="53F63F48" w14:textId="77777777" w:rsidR="005B1144" w:rsidRPr="00C208E4" w:rsidRDefault="0070285B" w:rsidP="00C208E4">
      <w:pPr>
        <w:pStyle w:val="Szvegtrzs"/>
      </w:pPr>
      <w:r w:rsidRPr="00C208E4">
        <w:rPr>
          <w:i/>
        </w:rPr>
        <w:t xml:space="preserve">In vitro </w:t>
      </w:r>
      <w:r w:rsidRPr="00C208E4">
        <w:t xml:space="preserve">és </w:t>
      </w:r>
      <w:r w:rsidRPr="00C208E4">
        <w:rPr>
          <w:i/>
        </w:rPr>
        <w:t xml:space="preserve">in vivo </w:t>
      </w:r>
      <w:r w:rsidRPr="00C208E4">
        <w:t xml:space="preserve">vizsgálatok jelzik, hogy a bozutinib (intakt hatóanyag) emberben legfőképpen a májban metabolizálódik. A bozutinib egyszeri és ismételt dózisainak (400–500 mg) humán adagolását követően a fő keringő metabolitok közé tartozott az oxideklorinált (M2) és az </w:t>
      </w:r>
      <w:r w:rsidRPr="00C208E4">
        <w:rPr>
          <w:i/>
        </w:rPr>
        <w:t>N</w:t>
      </w:r>
      <w:r w:rsidRPr="00C208E4">
        <w:t xml:space="preserve">-dezmetilált (M5) bozutinib a bozutinib </w:t>
      </w:r>
      <w:r w:rsidRPr="00C208E4">
        <w:rPr>
          <w:i/>
        </w:rPr>
        <w:t>N</w:t>
      </w:r>
      <w:r w:rsidRPr="00C208E4">
        <w:t xml:space="preserve">-oxiddal (M6), mint minor keringő metabolittal. Az </w:t>
      </w:r>
      <w:r w:rsidRPr="00C208E4">
        <w:rPr>
          <w:i/>
        </w:rPr>
        <w:t>N</w:t>
      </w:r>
      <w:r w:rsidRPr="00C208E4">
        <w:t>-demetilált metabolit szisztémás expozíciója 25%-a, míg az oxideklorinált metabolité 19%-a volt az anyavegyületének.</w:t>
      </w:r>
    </w:p>
    <w:p w14:paraId="53F63F49" w14:textId="04EDD864" w:rsidR="005B1144" w:rsidRPr="00C208E4" w:rsidRDefault="0070285B" w:rsidP="00C208E4">
      <w:pPr>
        <w:pStyle w:val="Szvegtrzs"/>
      </w:pPr>
      <w:r w:rsidRPr="00C208E4">
        <w:t xml:space="preserve">Mind a 3 metabolit a bozutinib aktivitásának ≤ 5%-ával rendelkezett az Src-transzformált fibroblaszt, felületi tapadást nem mutató (anchorage independent) proliferációs vizsgálatban. A székletben a bozutinib és az </w:t>
      </w:r>
      <w:r w:rsidRPr="00C208E4">
        <w:rPr>
          <w:i/>
        </w:rPr>
        <w:t>N</w:t>
      </w:r>
      <w:r w:rsidRPr="00C208E4">
        <w:t xml:space="preserve">-dezmetil-bozutinib volt a fő gyógyszereredetű komponens. Humán májmikroszómákkal végzett </w:t>
      </w:r>
      <w:r w:rsidRPr="00C208E4">
        <w:rPr>
          <w:i/>
        </w:rPr>
        <w:t xml:space="preserve">in vitro </w:t>
      </w:r>
      <w:r w:rsidRPr="00C208E4">
        <w:t>vizsgálatok azt jelezték, hogy a bozutinib metabolizmusában szerepet játszó fő citokróm P450 izoenzim a CYP3A4, és gyógyszerkölcsönhatás</w:t>
      </w:r>
      <w:r w:rsidR="00B44E9A">
        <w:t>-</w:t>
      </w:r>
      <w:r w:rsidRPr="00C208E4">
        <w:t xml:space="preserve">vizsgálatok kimutatták, hogy a ketokonazol és a riampicin jelentős hatással van a bozutinib farmakokinetikájára (lásd 4.5 pont). A bozutinib metabolizmusát nem figyelték meg 1A2, 2A6, 2B6, 2C8, 2C9, 2C19, 2D6, 2E1, </w:t>
      </w:r>
      <w:r w:rsidR="00601929">
        <w:t>ill.</w:t>
      </w:r>
      <w:r w:rsidRPr="00C208E4">
        <w:t xml:space="preserve"> 3A5 CYP izoenzimek esetében.</w:t>
      </w:r>
    </w:p>
    <w:p w14:paraId="53F63F4A" w14:textId="77777777" w:rsidR="005B1144" w:rsidRPr="00C208E4" w:rsidRDefault="005B1144" w:rsidP="00C208E4">
      <w:pPr>
        <w:pStyle w:val="Szvegtrzs"/>
      </w:pPr>
    </w:p>
    <w:p w14:paraId="53F63F4B" w14:textId="77777777" w:rsidR="005B1144" w:rsidRPr="00C208E4" w:rsidRDefault="0070285B" w:rsidP="00C208E4">
      <w:pPr>
        <w:pStyle w:val="Szvegtrzs"/>
      </w:pPr>
      <w:r w:rsidRPr="00C208E4">
        <w:rPr>
          <w:u w:val="single"/>
        </w:rPr>
        <w:t>Elimináció</w:t>
      </w:r>
    </w:p>
    <w:p w14:paraId="53F63F4C" w14:textId="00B07AF4" w:rsidR="005B1144" w:rsidRPr="00C208E4" w:rsidRDefault="0070285B" w:rsidP="00C208E4">
      <w:pPr>
        <w:pStyle w:val="Szvegtrzs"/>
      </w:pPr>
      <w:r w:rsidRPr="00C208E4">
        <w:t>Egészséges egyéneknek egyszeri intravénás 120 mg bozutinib-dózis az átlagos (%CV) eliminációs felezési idő 35,5 (24) óra, az átlagos (%CV) clearan</w:t>
      </w:r>
      <w:r w:rsidR="001F598A">
        <w:t>ce-ér</w:t>
      </w:r>
      <w:r w:rsidRPr="00C208E4">
        <w:t xml:space="preserve">ték (61,9 (26) l/h volt. Egy </w:t>
      </w:r>
      <w:r w:rsidR="004E0BC2" w:rsidRPr="004E0BC2">
        <w:rPr>
          <w:i/>
        </w:rPr>
        <w:t>per os</w:t>
      </w:r>
      <w:r w:rsidRPr="00C208E4">
        <w:rPr>
          <w:i/>
        </w:rPr>
        <w:t xml:space="preserve"> </w:t>
      </w:r>
      <w:r w:rsidRPr="00C208E4">
        <w:t xml:space="preserve">bozutinibbel végzett tömeg-egyensúly vizsgálatban </w:t>
      </w:r>
      <w:r w:rsidR="006201B6" w:rsidRPr="00C208E4">
        <w:t xml:space="preserve">9 nap alatt </w:t>
      </w:r>
      <w:r w:rsidR="006201B6">
        <w:t xml:space="preserve">átlagosan </w:t>
      </w:r>
      <w:r w:rsidRPr="00C208E4">
        <w:t>a teljes dózis 94,6%-át nyerték vissza. A fő kiürülési út a széklet volt (a dózis 91,3%-a), míg a vizelettel a dózis 3,29%-a ürült ki. A dózis 75%-át 96 órán belül nyerték vissza. Az intakt bozutinib vizelettel történő kiürülése alacsony mértékű volt, a dózis kb. 1%-át tette ki mind egészséges alanyokban, mind előrehaladott malignus szolid tumoros betegségben szenvedőknél.</w:t>
      </w:r>
    </w:p>
    <w:p w14:paraId="53F63F4D" w14:textId="77777777" w:rsidR="005B1144" w:rsidRPr="00C208E4" w:rsidRDefault="005B1144" w:rsidP="00C208E4">
      <w:pPr>
        <w:pStyle w:val="Szvegtrzs"/>
      </w:pPr>
    </w:p>
    <w:p w14:paraId="53F63F4E" w14:textId="77777777" w:rsidR="005B1144" w:rsidRPr="00C208E4" w:rsidRDefault="0070285B" w:rsidP="00C208E4">
      <w:pPr>
        <w:pStyle w:val="Szvegtrzs"/>
      </w:pPr>
      <w:r w:rsidRPr="00C208E4">
        <w:rPr>
          <w:u w:val="single"/>
        </w:rPr>
        <w:t>Különleges betegcsoportok</w:t>
      </w:r>
    </w:p>
    <w:p w14:paraId="53F63F4F" w14:textId="77777777" w:rsidR="005B1144" w:rsidRPr="00C208E4" w:rsidRDefault="005B1144" w:rsidP="00C208E4">
      <w:pPr>
        <w:pStyle w:val="Szvegtrzs"/>
        <w:rPr>
          <w:szCs w:val="36"/>
        </w:rPr>
      </w:pPr>
    </w:p>
    <w:p w14:paraId="53F63F50" w14:textId="77777777" w:rsidR="005B1144" w:rsidRPr="00C208E4" w:rsidRDefault="0070285B" w:rsidP="00C208E4">
      <w:pPr>
        <w:rPr>
          <w:i/>
        </w:rPr>
      </w:pPr>
      <w:r w:rsidRPr="00C208E4">
        <w:rPr>
          <w:i/>
        </w:rPr>
        <w:t>Májkárosodás</w:t>
      </w:r>
    </w:p>
    <w:p w14:paraId="53F63F52" w14:textId="3534A2C9" w:rsidR="005B1144" w:rsidRPr="00C208E4" w:rsidRDefault="0070285B" w:rsidP="00C208E4">
      <w:pPr>
        <w:pStyle w:val="Szvegtrzs"/>
      </w:pPr>
      <w:r w:rsidRPr="00C208E4">
        <w:t>Egy ét</w:t>
      </w:r>
      <w:r w:rsidR="001320AE">
        <w:t>kezés közben</w:t>
      </w:r>
      <w:r w:rsidRPr="00C208E4">
        <w:t xml:space="preserve"> adott 200 mg-os bozutinib-dózist értékeltek 18, májkárosod</w:t>
      </w:r>
      <w:r w:rsidR="00B44E9A">
        <w:t>ásban szenvedő</w:t>
      </w:r>
      <w:r w:rsidRPr="00C208E4">
        <w:t xml:space="preserve"> betegből (Child–Pugh A, B és C stádium) álló kohorszban, valamint 9, illesztett paraméterekkel rendelkező egészséges alanynál. A bozutinib plazma-C</w:t>
      </w:r>
      <w:r w:rsidR="001F598A" w:rsidRPr="001F598A">
        <w:rPr>
          <w:vertAlign w:val="subscript"/>
        </w:rPr>
        <w:t>max</w:t>
      </w:r>
      <w:r w:rsidRPr="00C208E4">
        <w:t>-értéke a Child–Pugh A stádiumú betegeknél 2,4-szeresére, a Child–Pugh B stádiumú betegeknél 2-szeresére, míg a Child–Pugh C stádiumú betegeknél</w:t>
      </w:r>
      <w:r w:rsidR="00FB3053" w:rsidRPr="00C208E4">
        <w:t xml:space="preserve"> </w:t>
      </w:r>
      <w:r w:rsidRPr="00C208E4">
        <w:t>1,5-szeresére emelkedett. A bozutinib plazma-AUC-értéke az előző sorrendben 2,3-szeres, 2-szeres és 1,9-szeres mértékben emelkedett. A bozutinib t</w:t>
      </w:r>
      <w:r w:rsidRPr="0030598E">
        <w:rPr>
          <w:vertAlign w:val="subscript"/>
        </w:rPr>
        <w:t>1/2</w:t>
      </w:r>
      <w:r w:rsidRPr="00C208E4">
        <w:t>-értéke májkárosodásban szenvedő betegeknél az egészséges alanyokéhoz képest emelkedést mutatott.</w:t>
      </w:r>
    </w:p>
    <w:p w14:paraId="53F63F53" w14:textId="77777777" w:rsidR="005B1144" w:rsidRPr="00C208E4" w:rsidRDefault="005B1144" w:rsidP="00C208E4">
      <w:pPr>
        <w:pStyle w:val="Szvegtrzs"/>
      </w:pPr>
    </w:p>
    <w:p w14:paraId="53F63F54" w14:textId="77777777" w:rsidR="005B1144" w:rsidRPr="00C208E4" w:rsidRDefault="0070285B" w:rsidP="00C208E4">
      <w:pPr>
        <w:rPr>
          <w:i/>
        </w:rPr>
      </w:pPr>
      <w:r w:rsidRPr="00C208E4">
        <w:rPr>
          <w:i/>
        </w:rPr>
        <w:t>Vesekárosodás</w:t>
      </w:r>
    </w:p>
    <w:p w14:paraId="53F63F55" w14:textId="79E98308" w:rsidR="005B1144" w:rsidRPr="00C208E4" w:rsidRDefault="0070285B" w:rsidP="00C208E4">
      <w:pPr>
        <w:pStyle w:val="Szvegtrzs"/>
      </w:pPr>
      <w:r w:rsidRPr="00C208E4">
        <w:t xml:space="preserve">Egy vesekárosodásban szenvedő betegeket tanulmányozó vizsgálatban egyszeri 200 mg bozutinibet adtak étkezés közben 26, enyhe, közepesen súlyos vagy súlyos vesekárosodásban szenvedő vizsgálati alanynak, és 8, egyéb paraméterekben hozzájuk hasonló, egészséges önkéntesnek. A vesekárosodást a (Cockroft–Gault képlettel kiszámított) </w:t>
      </w:r>
      <w:r w:rsidR="00D65A47">
        <w:t>CrCl</w:t>
      </w:r>
      <w:r w:rsidRPr="00C208E4">
        <w:t xml:space="preserve"> alapján határozták meg: &lt;30 ml/perc esetén súlyos vesekárosodás, 30-50 ml/perc esetén közepesen súlyos vesekárosodás, 50-80 ml/perc esetén pedig enyhe vesekárosodás. A közepesen súlyos vesekárosodásban szenvedő vizsgálati alanyoknál az AUC 35%-kal, </w:t>
      </w:r>
      <w:r w:rsidR="00601929">
        <w:t>ill.</w:t>
      </w:r>
      <w:r w:rsidRPr="00C208E4">
        <w:t xml:space="preserve"> a súlyos vesekárosodásban szenvedő alanyoknál az AUC 60%-kal magasabb volt, mint az egészséges önkéntesek esetében. A maximális expozíció, a C</w:t>
      </w:r>
      <w:r w:rsidR="001F598A" w:rsidRPr="001F598A">
        <w:rPr>
          <w:vertAlign w:val="subscript"/>
        </w:rPr>
        <w:t>max</w:t>
      </w:r>
      <w:r w:rsidRPr="00C208E4">
        <w:t xml:space="preserve"> 28%-kal volt magasabb a közepesen súlyos, és 34%-kal volt magasabb a súlyos vesekárosodásban szenvedő csoportokban. Az enyhe vesekárosodásban szenvedő betegek esetében nem növekedett a bozutinib-expozíció. A vesekárosodásban szenvedő betegeknél a bozutinib eliminációs felezési ideje hasonló volt, mint az egészséges alanyoknál.</w:t>
      </w:r>
    </w:p>
    <w:p w14:paraId="53F63F56" w14:textId="77777777" w:rsidR="005B1144" w:rsidRPr="00C208E4" w:rsidRDefault="005B1144" w:rsidP="00C208E4">
      <w:pPr>
        <w:pStyle w:val="Szvegtrzs"/>
      </w:pPr>
    </w:p>
    <w:p w14:paraId="345377B1" w14:textId="61D4E4F4" w:rsidR="005B1144" w:rsidRPr="00C208E4" w:rsidRDefault="0070285B" w:rsidP="00C208E4">
      <w:pPr>
        <w:pStyle w:val="Szvegtrzs"/>
      </w:pPr>
      <w:r w:rsidRPr="00C208E4">
        <w:t>A vesekárosodás miatti dózismódosítások e vizsgálat eredményein, valamint a bozutinib 200–600 mg közti dózistartományában ismert lineáris farmakokinetikáján alapultak.</w:t>
      </w:r>
    </w:p>
    <w:p w14:paraId="4B1DE71E" w14:textId="77777777" w:rsidR="00F95F79" w:rsidRPr="00C208E4" w:rsidRDefault="00F95F79" w:rsidP="00C208E4"/>
    <w:p w14:paraId="53F63F59" w14:textId="77777777" w:rsidR="005B1144" w:rsidRPr="00C208E4" w:rsidRDefault="0070285B" w:rsidP="00C208E4">
      <w:pPr>
        <w:rPr>
          <w:i/>
        </w:rPr>
      </w:pPr>
      <w:r w:rsidRPr="00C208E4">
        <w:rPr>
          <w:i/>
        </w:rPr>
        <w:t>Életkor, nem, rassz</w:t>
      </w:r>
    </w:p>
    <w:p w14:paraId="53F63F5A" w14:textId="632B64C0" w:rsidR="005B1144" w:rsidRPr="00C208E4" w:rsidRDefault="0070285B" w:rsidP="00C208E4">
      <w:pPr>
        <w:pStyle w:val="Szvegtrzs"/>
      </w:pPr>
      <w:r w:rsidRPr="00C208E4">
        <w:t xml:space="preserve">Ezen demográfiai tényezők hatásainak értékelésére nem végeztek formális vizsgálatokat. A Ph+ leukaemiás, a malignus szolid tumoros betegek, </w:t>
      </w:r>
      <w:r w:rsidR="00601929">
        <w:t>ill.</w:t>
      </w:r>
      <w:r w:rsidRPr="00C208E4">
        <w:t xml:space="preserve"> az egészséges alanyok populációs farmakokinetikai analízisei azt mutatják, hogy az életkornak, a nemnek és a testtömegnek nincs klinikailag jelentős hatása. A populációs farmakokinetikai analízisek az ázsiai betegeknél 18%-kal alacsonyabb clearence-értéket mutattak, </w:t>
      </w:r>
      <w:r w:rsidR="001F598A">
        <w:t xml:space="preserve">amely </w:t>
      </w:r>
      <w:r w:rsidRPr="00C208E4">
        <w:t>a bozutinib-expozíció (AUC) kb. 25%-os növekedésének felel meg.</w:t>
      </w:r>
    </w:p>
    <w:p w14:paraId="53F63F5B" w14:textId="77777777" w:rsidR="005B1144" w:rsidRPr="00C208E4" w:rsidRDefault="005B1144" w:rsidP="00C208E4">
      <w:pPr>
        <w:pStyle w:val="Szvegtrzs"/>
      </w:pPr>
    </w:p>
    <w:p w14:paraId="53F63F5D" w14:textId="12F9B817" w:rsidR="005B1144" w:rsidRPr="00C208E4" w:rsidRDefault="0070285B" w:rsidP="00C208E4">
      <w:pPr>
        <w:rPr>
          <w:i/>
        </w:rPr>
      </w:pPr>
      <w:r w:rsidRPr="00C208E4">
        <w:rPr>
          <w:i/>
        </w:rPr>
        <w:t>Gyermekek és serdülők</w:t>
      </w:r>
    </w:p>
    <w:p w14:paraId="53F63F5E" w14:textId="11180819" w:rsidR="005B1144" w:rsidRPr="00C208E4" w:rsidRDefault="0070285B" w:rsidP="00C208E4">
      <w:pPr>
        <w:pStyle w:val="Szvegtrzs"/>
      </w:pPr>
      <w:r w:rsidRPr="00C208E4">
        <w:t xml:space="preserve">A </w:t>
      </w:r>
      <w:r w:rsidR="006B2927" w:rsidRPr="00C208E4">
        <w:t>Bosutinib Onkogen</w:t>
      </w:r>
      <w:r w:rsidRPr="00C208E4">
        <w:t>-t 18 évesnél fiatalabb gyermekeknél és serdülőknél még nem vizsgálták.</w:t>
      </w:r>
    </w:p>
    <w:p w14:paraId="53F63F5F" w14:textId="77777777" w:rsidR="005B1144" w:rsidRPr="00C208E4" w:rsidRDefault="005B1144" w:rsidP="00C208E4">
      <w:pPr>
        <w:pStyle w:val="Szvegtrzs"/>
      </w:pPr>
    </w:p>
    <w:p w14:paraId="53F63F60" w14:textId="77777777" w:rsidR="005B1144" w:rsidRPr="00C208E4" w:rsidRDefault="0070285B" w:rsidP="00C208E4">
      <w:pPr>
        <w:pStyle w:val="Cmsor2"/>
        <w:numPr>
          <w:ilvl w:val="1"/>
          <w:numId w:val="12"/>
        </w:numPr>
        <w:tabs>
          <w:tab w:val="left" w:pos="1242"/>
          <w:tab w:val="left" w:pos="1243"/>
        </w:tabs>
        <w:ind w:left="567"/>
      </w:pPr>
      <w:r w:rsidRPr="00C208E4">
        <w:t>A preklinikai biztonságossági vizsgálatok eredményei</w:t>
      </w:r>
    </w:p>
    <w:p w14:paraId="53F63F61" w14:textId="77777777" w:rsidR="005B1144" w:rsidRPr="00C208E4" w:rsidRDefault="005B1144" w:rsidP="00C208E4">
      <w:pPr>
        <w:pStyle w:val="Szvegtrzs"/>
        <w:rPr>
          <w:b/>
        </w:rPr>
      </w:pPr>
    </w:p>
    <w:p w14:paraId="53F63F62" w14:textId="77777777" w:rsidR="005B1144" w:rsidRPr="00C208E4" w:rsidRDefault="0070285B" w:rsidP="00C208E4">
      <w:pPr>
        <w:pStyle w:val="Szvegtrzs"/>
      </w:pPr>
      <w:r w:rsidRPr="00C208E4">
        <w:t>A bozutinibet biztonságossági farmakológiai, ismételt adagolású dózistoxicitási, genotoxicitási, reprodukcióra kifejtett toxicitási és fototoxicitási vizsgálatokban értékelték.</w:t>
      </w:r>
    </w:p>
    <w:p w14:paraId="53F63F63" w14:textId="77777777" w:rsidR="005B1144" w:rsidRPr="00C208E4" w:rsidRDefault="005B1144" w:rsidP="00C208E4">
      <w:pPr>
        <w:pStyle w:val="Szvegtrzs"/>
      </w:pPr>
    </w:p>
    <w:p w14:paraId="53F63F64" w14:textId="77777777" w:rsidR="005B1144" w:rsidRPr="00C208E4" w:rsidRDefault="0070285B" w:rsidP="00C208E4">
      <w:pPr>
        <w:pStyle w:val="Szvegtrzs"/>
      </w:pPr>
      <w:r w:rsidRPr="00C208E4">
        <w:rPr>
          <w:u w:val="single"/>
        </w:rPr>
        <w:t>Biztonságossági farmakológia</w:t>
      </w:r>
    </w:p>
    <w:p w14:paraId="53F63F67" w14:textId="5E7E2010" w:rsidR="005B1144" w:rsidRPr="00C208E4" w:rsidRDefault="0070285B" w:rsidP="00C208E4">
      <w:pPr>
        <w:pStyle w:val="Szvegtrzs"/>
      </w:pPr>
      <w:r w:rsidRPr="00C208E4">
        <w:t>A bozutinibnek nem volt hatása a légzésfunkciókra. Egy központi idegrendszeri vizsgálatban a bozutinibbel kezelt patkányoknál pupillaszűkűletet és a járóképesség károsodását észleltek. A pupillaméret esetében a nem észlelhető hatásszintet (NOEL) nem állapították meg, de a járóképesség károsodása esetében a NOEL a 400 mg klinikai dózisnak megfelelő humán expozíció hozzávetőlegesen 11-szeresénél és az 500 mg klinikai dózisnak megfelelő humán</w:t>
      </w:r>
      <w:r w:rsidR="0060699C" w:rsidRPr="00C208E4">
        <w:t xml:space="preserve"> </w:t>
      </w:r>
      <w:r w:rsidRPr="00C208E4">
        <w:t>expozíció 8-szorosánál jelentkezett (az adott fajoknál mért, nem kötött C</w:t>
      </w:r>
      <w:r w:rsidR="001F598A" w:rsidRPr="001F598A">
        <w:rPr>
          <w:vertAlign w:val="subscript"/>
        </w:rPr>
        <w:t>max</w:t>
      </w:r>
      <w:r w:rsidRPr="00C208E4">
        <w:t xml:space="preserve"> alapján). A bozutinib </w:t>
      </w:r>
      <w:r w:rsidRPr="00C208E4">
        <w:rPr>
          <w:i/>
        </w:rPr>
        <w:t xml:space="preserve">in vitro </w:t>
      </w:r>
      <w:r w:rsidRPr="00C208E4">
        <w:t xml:space="preserve">aktivitása a hERG vizsgálatban a kamrai repolarizáció (QTc-szakasz) megnyúlásának lehetőségére utalt. Egy kutyákon végzett </w:t>
      </w:r>
      <w:r w:rsidR="004E0BC2" w:rsidRPr="004E0BC2">
        <w:rPr>
          <w:i/>
        </w:rPr>
        <w:t>per os</w:t>
      </w:r>
      <w:r w:rsidRPr="00C208E4">
        <w:t xml:space="preserve"> bozutinib vizsgálatban a bozutinib nem idézett elő változásokat a vérnyomásban, nem okozott kóros pitvari és kamrai arrhythmiákat, </w:t>
      </w:r>
      <w:r w:rsidR="00601929">
        <w:t>ill.</w:t>
      </w:r>
      <w:r w:rsidRPr="00C208E4">
        <w:t xml:space="preserve"> nem</w:t>
      </w:r>
      <w:r w:rsidR="0060699C" w:rsidRPr="00C208E4">
        <w:t xml:space="preserve"> </w:t>
      </w:r>
      <w:r w:rsidRPr="00C208E4">
        <w:t>nyújtotta meg az EKG-ban a PR-, a QRS- vagy a QTc-szakaszt a 400 mg klinikai dózisnak megfelelő humán expozíció hozzávetőlegesen 3-szorosáig és az 500 mg-os klinikai dózisnak megfelelő humán megfigyelt expozíció 2-szereséig terjedő expozícióknál (az adott fajoknál mért, nem kötött C</w:t>
      </w:r>
      <w:r w:rsidR="001F598A" w:rsidRPr="001F598A">
        <w:rPr>
          <w:vertAlign w:val="subscript"/>
        </w:rPr>
        <w:t>max</w:t>
      </w:r>
      <w:r w:rsidRPr="00C208E4">
        <w:t xml:space="preserve"> alapján). A szívfrekvencia késleltetett emelkedését figyelték meg. Egy kutyákkal végzett intravénás vizsgálatban a szívfrekvencia átmeneti emelkedését és a vérnyomás csökkenését, valamint a QTc- szakasz minimális megnyúlását (&lt; 10 ms) észlelték a 400 mg klinikai dózisnak megfelelő humán expozíció hozzávetőlegesen 6–20-szorosánál és az 500 mg-os klinikai dózisnak megfelelő humán expozíció 4-15-szöröséig terjedő expozícióknál (az adott fajoknál mért, nem kötött C</w:t>
      </w:r>
      <w:r w:rsidR="001F598A" w:rsidRPr="001F598A">
        <w:rPr>
          <w:vertAlign w:val="subscript"/>
        </w:rPr>
        <w:t>max</w:t>
      </w:r>
      <w:r w:rsidRPr="00C208E4">
        <w:t xml:space="preserve"> alapján). A megfigyelt hatások és a gyógyszeres kezelés közötti kapcsolat nem egyértelmű.</w:t>
      </w:r>
    </w:p>
    <w:p w14:paraId="53F63F68" w14:textId="77777777" w:rsidR="005B1144" w:rsidRPr="00C208E4" w:rsidRDefault="005B1144" w:rsidP="00C208E4">
      <w:pPr>
        <w:pStyle w:val="Szvegtrzs"/>
      </w:pPr>
    </w:p>
    <w:p w14:paraId="53F63F69" w14:textId="77777777" w:rsidR="005B1144" w:rsidRPr="00C208E4" w:rsidRDefault="0070285B" w:rsidP="00C208E4">
      <w:pPr>
        <w:pStyle w:val="Szvegtrzs"/>
      </w:pPr>
      <w:r w:rsidRPr="00C208E4">
        <w:rPr>
          <w:u w:val="single"/>
        </w:rPr>
        <w:t>Ismételt adagolású dózistoxicitás</w:t>
      </w:r>
    </w:p>
    <w:p w14:paraId="53F63F6A" w14:textId="42319AA4" w:rsidR="005B1144" w:rsidRPr="00C208E4" w:rsidRDefault="0070285B" w:rsidP="00C208E4">
      <w:pPr>
        <w:pStyle w:val="Szvegtrzs"/>
      </w:pPr>
      <w:r w:rsidRPr="00C208E4">
        <w:t>Patkányokkal végzett, legfeljebb 6 hónapos, és kutyákkal végzett legfeljebb 9 hónapos időtartamú ismételt adagolású dózistoxicitási vizsgálatokban kimutatták, hogy a bozutinib toxicitásának elsődleges célszerve az emésztőrendszer. A toxicitás klinikai jelei közé tartoztak az ürülék változásai, és összefüggésben álltak</w:t>
      </w:r>
      <w:r w:rsidR="00945F67" w:rsidRPr="00C208E4">
        <w:t xml:space="preserve"> </w:t>
      </w:r>
      <w:r w:rsidRPr="00C208E4">
        <w:t>a táplálékfogyasztás és a testtömeg csökkenésével, amely esetenként halálozáshoz vagy elektív euthanasiához vezetett.</w:t>
      </w:r>
    </w:p>
    <w:p w14:paraId="53F63F6B" w14:textId="77777777" w:rsidR="005B1144" w:rsidRPr="00C208E4" w:rsidRDefault="005B1144" w:rsidP="00C208E4">
      <w:pPr>
        <w:pStyle w:val="Szvegtrzs"/>
      </w:pPr>
    </w:p>
    <w:p w14:paraId="53F63F6D" w14:textId="5756307E" w:rsidR="005B1144" w:rsidRPr="00C208E4" w:rsidRDefault="0070285B" w:rsidP="00C208E4">
      <w:pPr>
        <w:pStyle w:val="Szvegtrzs"/>
      </w:pPr>
      <w:r w:rsidRPr="00C208E4">
        <w:t>Hisztopatológiailag a tápcsatornában lumen dilatációt, kehelysejt-hyperplasiát, haemorrhagiát, erosiót és oedemát, továbbá a mesenterialis nyirokcsomókban sinus erythrocytosist és haemorrhagiát észleltek. Patkányban a májat is célszervként azonosították. A toxicitást a máj tömegének növekedése jellemezte hepatocellularis hypertrophiával együtt, amely májenzimszint-emelkedések vagy a hepatocellularis citotoxicitás mikroszkópos jelei nélkül fordult elő, és humán vonatkozásban jelentősége ismeretlen. A fajok közötti expozíciós összehasonlítás azt jelzi, hogy a patkányokban a</w:t>
      </w:r>
      <w:r w:rsidR="0060699C" w:rsidRPr="00C208E4">
        <w:t xml:space="preserve"> </w:t>
      </w:r>
      <w:r w:rsidRPr="00C208E4">
        <w:t>6 hónapos és kutyákban 9 hónapos toxicitási vizsgálatokban mellékhatást nem okozó expozíciók hasonlóak voltak a 400 mg vagy 500 mg klinikai dózisnak megfelelő humán expozícióhoz (a plazmafehérjéhez nem kötődő hatóanyag AUC-értéke alapján az adott fajoknál).</w:t>
      </w:r>
    </w:p>
    <w:p w14:paraId="331DEE74" w14:textId="77777777" w:rsidR="0060699C" w:rsidRPr="00C208E4" w:rsidRDefault="0060699C" w:rsidP="00C208E4">
      <w:pPr>
        <w:pStyle w:val="Szvegtrzs"/>
      </w:pPr>
    </w:p>
    <w:p w14:paraId="53F63F6F" w14:textId="77777777" w:rsidR="005B1144" w:rsidRPr="00C208E4" w:rsidRDefault="0070285B" w:rsidP="00C208E4">
      <w:pPr>
        <w:pStyle w:val="Szvegtrzs"/>
      </w:pPr>
      <w:r w:rsidRPr="00C208E4">
        <w:rPr>
          <w:u w:val="single"/>
        </w:rPr>
        <w:t>Genotoxicitás</w:t>
      </w:r>
    </w:p>
    <w:p w14:paraId="53F63F70" w14:textId="77777777" w:rsidR="005B1144" w:rsidRPr="00C208E4" w:rsidRDefault="0070285B" w:rsidP="00C208E4">
      <w:pPr>
        <w:pStyle w:val="Szvegtrzs"/>
      </w:pPr>
      <w:r w:rsidRPr="00C208E4">
        <w:t xml:space="preserve">A bakteriális </w:t>
      </w:r>
      <w:r w:rsidRPr="00C208E4">
        <w:rPr>
          <w:i/>
        </w:rPr>
        <w:t xml:space="preserve">in vitro </w:t>
      </w:r>
      <w:r w:rsidRPr="00C208E4">
        <w:t xml:space="preserve">rendszerekben, valamint az emlős </w:t>
      </w:r>
      <w:r w:rsidRPr="00C208E4">
        <w:rPr>
          <w:i/>
        </w:rPr>
        <w:t xml:space="preserve">in vitro </w:t>
      </w:r>
      <w:r w:rsidRPr="00C208E4">
        <w:t xml:space="preserve">és </w:t>
      </w:r>
      <w:r w:rsidRPr="00C208E4">
        <w:rPr>
          <w:i/>
        </w:rPr>
        <w:t xml:space="preserve">in vivo </w:t>
      </w:r>
      <w:r w:rsidRPr="00C208E4">
        <w:t>rendszerekben metabolikus aktivációval és a nélkül végzett genotoxicitási vizsgálatok nem mutattak semmilyen bizonyítékot a bozutinib mutagén potenciáljára.</w:t>
      </w:r>
    </w:p>
    <w:p w14:paraId="53F63F71" w14:textId="77777777" w:rsidR="005B1144" w:rsidRPr="00C208E4" w:rsidRDefault="005B1144" w:rsidP="00C208E4">
      <w:pPr>
        <w:pStyle w:val="Szvegtrzs"/>
      </w:pPr>
    </w:p>
    <w:p w14:paraId="53F63F72" w14:textId="77777777" w:rsidR="005B1144" w:rsidRPr="00C208E4" w:rsidRDefault="0070285B" w:rsidP="00C208E4">
      <w:pPr>
        <w:pStyle w:val="Szvegtrzs"/>
      </w:pPr>
      <w:r w:rsidRPr="00C208E4">
        <w:rPr>
          <w:u w:val="single"/>
        </w:rPr>
        <w:t>Reproducióra és feljődésre kifejtett toxicitás</w:t>
      </w:r>
    </w:p>
    <w:p w14:paraId="53F63F73" w14:textId="24F2ABDB" w:rsidR="005B1144" w:rsidRPr="00C208E4" w:rsidRDefault="0070285B" w:rsidP="00C208E4">
      <w:pPr>
        <w:pStyle w:val="Szvegtrzs"/>
      </w:pPr>
      <w:r w:rsidRPr="00C208E4">
        <w:t>Egy patkány termékenységi vizsgálatban a hímek termékenysége enyhén csökkent. A nőstényeknél fokozott magzat-resorptiót, valamint az implantáció és az életképes embriók számának csökkenését figyelték meg. A reproduktív mellékhatásokat nem okozó dózisszint hímeknél (30 mg</w:t>
      </w:r>
      <w:r w:rsidR="00512270">
        <w:t>/ttkg</w:t>
      </w:r>
      <w:r w:rsidRPr="00C208E4">
        <w:t>/nap) és nőstényeknél (3 mg</w:t>
      </w:r>
      <w:r w:rsidR="00512270">
        <w:t>/ttkg</w:t>
      </w:r>
      <w:r w:rsidRPr="00C208E4">
        <w:t xml:space="preserve">/nap) olyan expozíciót eredményezett, amely a 400 mg klinikai dózisnak megfelelő humán expozíció 0,6-szerese, </w:t>
      </w:r>
      <w:r w:rsidR="00601929">
        <w:t>ill.</w:t>
      </w:r>
      <w:r w:rsidRPr="00C208E4">
        <w:t xml:space="preserve"> 0,3-szerese, valamint az 500 mg-os humán klinikai dózisnak megfelelő expozíció 0,5-szerese, </w:t>
      </w:r>
      <w:r w:rsidR="00601929">
        <w:t>ill.</w:t>
      </w:r>
      <w:r w:rsidRPr="00C208E4">
        <w:t xml:space="preserve"> 0,2-szerese a megadott sorrendben (a plazmafehérjéhez nem kötődő hatóanyag AUC alapján az adott fajokban).</w:t>
      </w:r>
    </w:p>
    <w:p w14:paraId="53F63F74" w14:textId="77777777" w:rsidR="005B1144" w:rsidRPr="00C208E4" w:rsidRDefault="005B1144" w:rsidP="00C208E4">
      <w:pPr>
        <w:pStyle w:val="Szvegtrzs"/>
      </w:pPr>
    </w:p>
    <w:p w14:paraId="53F63F75" w14:textId="07323BBC" w:rsidR="005B1144" w:rsidRPr="00C208E4" w:rsidRDefault="0070285B" w:rsidP="00C208E4">
      <w:pPr>
        <w:pStyle w:val="Szvegtrzs"/>
      </w:pPr>
      <w:r w:rsidRPr="00C208E4">
        <w:t>Vemhes Sprague–Dawley patkányokon végzett placentáris transzfer vizsgálatokban a bozutinibből származó radioaktivitás magzati expozícióját igazolták a vemhesség alatt. Egy patkányokon végzett pre- és posztnatális fejlődési vizsgálatban csökkent számú utód született ≥ 30 mg</w:t>
      </w:r>
      <w:r w:rsidR="00512270">
        <w:t>/ttkg</w:t>
      </w:r>
      <w:r w:rsidRPr="00C208E4">
        <w:t xml:space="preserve">/nap dózisnál, </w:t>
      </w:r>
      <w:r w:rsidR="00601929">
        <w:t>ill.</w:t>
      </w:r>
      <w:r w:rsidRPr="00C208E4">
        <w:t xml:space="preserve"> megnövekedett a teljes alom elvesztésének incidenciája és csökkent az utódok születés utáni növekedése 70 mg/ttkg/nap dózisnál. Azon dózis, amelynél nem figyeltek meg a fejlődésre gyakorolt mellékhatást (10 mg/ttkg/nap), 1,3-szerese és 1,0-szerese volt az emberben 400 mg és 500 mg klinikai dózisnál fennálló expozíciónak (a plazmafehérjéhez nem kötődő hatóanyag AUC-érték alapján az adott fajokban). Egy nyulakon végzett fejlődési toxicitási vizsgálatban az anyai toxicitást okozó dózisnál magzati rendellenességeket (sternalis lécek összenövése, valamint 2 magzatnál különféle visceralis leletek), és a magzati testtömeg enyhe csökkenését figyelték meg. A nyulaknál vizsgált legnagyobb dózis (10 mg/ttkg/nap) mellett kialakuló expozíció, amely nem okozott káros magzati hatásokat, 0,9-szerese és 0,7-szerese volt az emberben 400 mg vagy 500 mg klinikai dózisnál fennálló expozíciónak (a plazmafehérjéhez nem kötődő hatóanyag AUC-érték alapján az adott fajokban).</w:t>
      </w:r>
    </w:p>
    <w:p w14:paraId="53F63F76" w14:textId="77777777" w:rsidR="005B1144" w:rsidRPr="00C208E4" w:rsidRDefault="005B1144" w:rsidP="00C208E4">
      <w:pPr>
        <w:pStyle w:val="Szvegtrzs"/>
      </w:pPr>
    </w:p>
    <w:p w14:paraId="53F63F77" w14:textId="4CBC4B4B" w:rsidR="005B1144" w:rsidRPr="00C208E4" w:rsidRDefault="0070285B" w:rsidP="00C208E4">
      <w:pPr>
        <w:pStyle w:val="Szvegtrzs"/>
      </w:pPr>
      <w:r w:rsidRPr="00C208E4">
        <w:t xml:space="preserve">A </w:t>
      </w:r>
      <w:r w:rsidR="00DC549A">
        <w:t>[</w:t>
      </w:r>
      <w:r w:rsidRPr="0030598E">
        <w:rPr>
          <w:vertAlign w:val="superscript"/>
        </w:rPr>
        <w:t>14</w:t>
      </w:r>
      <w:r w:rsidRPr="00C208E4">
        <w:t>C</w:t>
      </w:r>
      <w:r w:rsidR="00DC549A">
        <w:t>]</w:t>
      </w:r>
      <w:r w:rsidRPr="00C208E4">
        <w:t xml:space="preserve">-jelzett radioaktív bozutinib egyszeri </w:t>
      </w:r>
      <w:r w:rsidR="004E0BC2" w:rsidRPr="004E0BC2">
        <w:rPr>
          <w:i/>
        </w:rPr>
        <w:t>per os</w:t>
      </w:r>
      <w:r w:rsidRPr="00C208E4">
        <w:t xml:space="preserve"> (10 mg/ttkg) dózisának szoptató Sprague–Dawley patkányoknak történt beadását követően a radioaktivitás gyorsan, már 0,5 órával a beadást követően kiválasztódott a tejbe. A radiaktivitás koncentrációja a tejben akár 8-szorosan is meghaladta a plazmakoncentrációt. Ez lehetővé tette azt, hogy a szoptatott utódállatoknál a plazmában mérhető koncentrációkban jelenjen meg a radioaktivitás.</w:t>
      </w:r>
    </w:p>
    <w:p w14:paraId="53F63F78" w14:textId="77777777" w:rsidR="005B1144" w:rsidRPr="00C208E4" w:rsidRDefault="005B1144" w:rsidP="00C208E4">
      <w:pPr>
        <w:pStyle w:val="Szvegtrzs"/>
      </w:pPr>
    </w:p>
    <w:p w14:paraId="53F63F79" w14:textId="77777777" w:rsidR="005B1144" w:rsidRPr="00C208E4" w:rsidRDefault="0070285B" w:rsidP="00C208E4">
      <w:pPr>
        <w:pStyle w:val="Szvegtrzs"/>
      </w:pPr>
      <w:r w:rsidRPr="00C208E4">
        <w:rPr>
          <w:u w:val="single"/>
        </w:rPr>
        <w:t>Karcinogenitás</w:t>
      </w:r>
    </w:p>
    <w:p w14:paraId="53F63F7A" w14:textId="0035F386" w:rsidR="005B1144" w:rsidRPr="00C208E4" w:rsidRDefault="0070285B" w:rsidP="00C208E4">
      <w:pPr>
        <w:pStyle w:val="Szvegtrzs"/>
      </w:pPr>
      <w:r w:rsidRPr="00C208E4">
        <w:t>A bozutinib a 2 éves patkány- és a 6 hónapos rasH2 egér</w:t>
      </w:r>
      <w:r w:rsidR="004E0BC2">
        <w:t>-</w:t>
      </w:r>
      <w:r w:rsidRPr="00C208E4">
        <w:t>karcinogenitási vizsgálatokban nem volt karcinogén.</w:t>
      </w:r>
    </w:p>
    <w:p w14:paraId="53F63F7B" w14:textId="77777777" w:rsidR="005B1144" w:rsidRPr="00C208E4" w:rsidRDefault="005B1144" w:rsidP="00C208E4">
      <w:pPr>
        <w:pStyle w:val="Szvegtrzs"/>
      </w:pPr>
    </w:p>
    <w:p w14:paraId="53F63F7C" w14:textId="77777777" w:rsidR="005B1144" w:rsidRPr="00C208E4" w:rsidRDefault="0070285B" w:rsidP="00C208E4">
      <w:pPr>
        <w:pStyle w:val="Szvegtrzs"/>
      </w:pPr>
      <w:r w:rsidRPr="00C208E4">
        <w:rPr>
          <w:u w:val="single"/>
        </w:rPr>
        <w:t>Fototoxicitás</w:t>
      </w:r>
    </w:p>
    <w:p w14:paraId="53F63F7D" w14:textId="6EA14B98" w:rsidR="005B1144" w:rsidRPr="00C208E4" w:rsidRDefault="0070285B" w:rsidP="00C208E4">
      <w:pPr>
        <w:pStyle w:val="Szvegtrzs"/>
      </w:pPr>
      <w:r w:rsidRPr="00C208E4">
        <w:t>A bozutinibről igazolták a fényelnyelő képességet az UV-B és az UV-A tartományban, továbbá pigmentált patkányoknál azt, hogy bejut a bőrbe és a szembe. Azonban pigmentált patkányokban a bozutinib a bőrben és a szemben UV-sugárzás mellett nem mutatott fototoxicitási potenciált olyan expozíciók mellett, amelyek legfeljebb 3-szorosan és 2-szeresen haladták meg a 400 mg vagy 500 mg klinikai dózisnak megfelelő humán expozíciót (az adott fajoknál mért, nem kötött C</w:t>
      </w:r>
      <w:r w:rsidR="001F598A" w:rsidRPr="001F598A">
        <w:rPr>
          <w:vertAlign w:val="subscript"/>
        </w:rPr>
        <w:t>max</w:t>
      </w:r>
      <w:r w:rsidRPr="00C208E4">
        <w:t xml:space="preserve"> alapján).</w:t>
      </w:r>
    </w:p>
    <w:p w14:paraId="53F63F7E" w14:textId="77777777" w:rsidR="005B1144" w:rsidRPr="00C208E4" w:rsidRDefault="005B1144" w:rsidP="00C208E4">
      <w:pPr>
        <w:pStyle w:val="Szvegtrzs"/>
      </w:pPr>
    </w:p>
    <w:p w14:paraId="53F63F7F" w14:textId="77777777" w:rsidR="005B1144" w:rsidRPr="00C208E4" w:rsidRDefault="005B1144" w:rsidP="00C208E4">
      <w:pPr>
        <w:pStyle w:val="Szvegtrzs"/>
      </w:pPr>
    </w:p>
    <w:p w14:paraId="53F63F80" w14:textId="77777777" w:rsidR="005B1144" w:rsidRPr="00C208E4" w:rsidRDefault="0070285B" w:rsidP="00512270">
      <w:pPr>
        <w:pStyle w:val="Cmsor1"/>
        <w:numPr>
          <w:ilvl w:val="0"/>
          <w:numId w:val="8"/>
        </w:numPr>
        <w:tabs>
          <w:tab w:val="left" w:pos="1242"/>
          <w:tab w:val="left" w:pos="1243"/>
        </w:tabs>
        <w:spacing w:before="0"/>
        <w:ind w:left="624" w:hanging="624"/>
      </w:pPr>
      <w:r w:rsidRPr="00C208E4">
        <w:t>GYÓGYSZERÉSZETI JELLEMZŐK</w:t>
      </w:r>
    </w:p>
    <w:p w14:paraId="53F63F81" w14:textId="77777777" w:rsidR="005B1144" w:rsidRPr="00C208E4" w:rsidRDefault="005B1144" w:rsidP="00C208E4">
      <w:pPr>
        <w:pStyle w:val="Szvegtrzs"/>
        <w:rPr>
          <w:b/>
        </w:rPr>
      </w:pPr>
    </w:p>
    <w:p w14:paraId="53F63F82" w14:textId="4E2282E5" w:rsidR="005B1144" w:rsidRPr="00C208E4" w:rsidRDefault="0070285B" w:rsidP="00C208E4">
      <w:pPr>
        <w:pStyle w:val="Cmsor2"/>
        <w:numPr>
          <w:ilvl w:val="1"/>
          <w:numId w:val="8"/>
        </w:numPr>
        <w:tabs>
          <w:tab w:val="left" w:pos="1242"/>
          <w:tab w:val="left" w:pos="1243"/>
        </w:tabs>
        <w:ind w:left="567"/>
      </w:pPr>
      <w:r w:rsidRPr="00C208E4">
        <w:t>Segédanyagok felsorolása</w:t>
      </w:r>
    </w:p>
    <w:p w14:paraId="53F63F83" w14:textId="77777777" w:rsidR="005B1144" w:rsidRPr="00C208E4" w:rsidRDefault="005B1144" w:rsidP="00C208E4">
      <w:pPr>
        <w:pStyle w:val="Szvegtrzs"/>
        <w:rPr>
          <w:b/>
        </w:rPr>
      </w:pPr>
    </w:p>
    <w:p w14:paraId="53F63F84" w14:textId="77777777" w:rsidR="005B1144" w:rsidRPr="00C208E4" w:rsidRDefault="0070285B" w:rsidP="00C208E4">
      <w:pPr>
        <w:pStyle w:val="Szvegtrzs"/>
      </w:pPr>
      <w:r w:rsidRPr="00C208E4">
        <w:rPr>
          <w:u w:val="single"/>
        </w:rPr>
        <w:t>Tablettamag</w:t>
      </w:r>
    </w:p>
    <w:p w14:paraId="51D70EF7" w14:textId="3CDDEDC5" w:rsidR="00971B42" w:rsidRPr="00C208E4" w:rsidRDefault="009150FA" w:rsidP="00C208E4">
      <w:pPr>
        <w:pStyle w:val="Szvegtrzs"/>
      </w:pPr>
      <w:r>
        <w:t>m</w:t>
      </w:r>
      <w:r w:rsidR="0070285B" w:rsidRPr="00C208E4">
        <w:t xml:space="preserve">ikrokristályos cellulóz (E460) </w:t>
      </w:r>
    </w:p>
    <w:p w14:paraId="7722441B" w14:textId="28F7799B" w:rsidR="005B1144" w:rsidRPr="00C208E4" w:rsidRDefault="009150FA" w:rsidP="00C208E4">
      <w:pPr>
        <w:pStyle w:val="Szvegtrzs"/>
      </w:pPr>
      <w:r>
        <w:t>k</w:t>
      </w:r>
      <w:r w:rsidR="0070285B" w:rsidRPr="00C208E4">
        <w:t xml:space="preserve">roszkarmellóz-nátrium (E468) </w:t>
      </w:r>
    </w:p>
    <w:p w14:paraId="3ABE399E" w14:textId="3900FD62" w:rsidR="007A5651" w:rsidRPr="00C208E4" w:rsidRDefault="009150FA" w:rsidP="00C208E4">
      <w:pPr>
        <w:pStyle w:val="Szvegtrzs"/>
      </w:pPr>
      <w:r>
        <w:t>v</w:t>
      </w:r>
      <w:r w:rsidR="007A5651" w:rsidRPr="00C208E4">
        <w:t>ízmentes kolloid szilícium-dioxid</w:t>
      </w:r>
    </w:p>
    <w:p w14:paraId="6F546621" w14:textId="76057CC7" w:rsidR="00971B42" w:rsidRPr="00C208E4" w:rsidRDefault="009150FA" w:rsidP="00C208E4">
      <w:pPr>
        <w:pStyle w:val="Szvegtrzs"/>
      </w:pPr>
      <w:r>
        <w:t>m</w:t>
      </w:r>
      <w:r w:rsidR="0070285B" w:rsidRPr="00C208E4">
        <w:t xml:space="preserve">agnézium-sztearát </w:t>
      </w:r>
    </w:p>
    <w:p w14:paraId="6B56BDB8" w14:textId="77777777" w:rsidR="00971B42" w:rsidRPr="00C208E4" w:rsidRDefault="00971B42" w:rsidP="00C208E4">
      <w:pPr>
        <w:pStyle w:val="Szvegtrzs"/>
      </w:pPr>
    </w:p>
    <w:p w14:paraId="53F63F88" w14:textId="13DEF481" w:rsidR="005B1144" w:rsidRPr="00C208E4" w:rsidRDefault="0070285B" w:rsidP="00C208E4">
      <w:pPr>
        <w:pStyle w:val="Szvegtrzs"/>
      </w:pPr>
      <w:r w:rsidRPr="00C208E4">
        <w:rPr>
          <w:u w:val="single"/>
        </w:rPr>
        <w:t>Filmbevonat</w:t>
      </w:r>
    </w:p>
    <w:p w14:paraId="53F63F89" w14:textId="73398F16" w:rsidR="005B1144" w:rsidRPr="009150FA" w:rsidRDefault="006B2927" w:rsidP="00C208E4">
      <w:pPr>
        <w:rPr>
          <w:i/>
        </w:rPr>
      </w:pPr>
      <w:r w:rsidRPr="0030598E">
        <w:rPr>
          <w:i/>
        </w:rPr>
        <w:t>Bosutinib Onkogen</w:t>
      </w:r>
      <w:r w:rsidR="0070285B" w:rsidRPr="0030598E">
        <w:rPr>
          <w:i/>
        </w:rPr>
        <w:t xml:space="preserve"> 100 mg filmtabletta</w:t>
      </w:r>
    </w:p>
    <w:p w14:paraId="3977BB8C" w14:textId="4B90D8E0" w:rsidR="007A5651" w:rsidRPr="00C208E4" w:rsidRDefault="009150FA" w:rsidP="00C208E4">
      <w:pPr>
        <w:pStyle w:val="Szvegtrzs"/>
      </w:pPr>
      <w:bookmarkStart w:id="5" w:name="_Hlk179373579"/>
      <w:r>
        <w:t>p</w:t>
      </w:r>
      <w:r w:rsidR="0070285B" w:rsidRPr="00C208E4">
        <w:t>oli</w:t>
      </w:r>
      <w:r>
        <w:t>(</w:t>
      </w:r>
      <w:r w:rsidR="0070285B" w:rsidRPr="00C208E4">
        <w:t>vinil</w:t>
      </w:r>
      <w:r w:rsidR="007A5651" w:rsidRPr="00C208E4">
        <w:t>-</w:t>
      </w:r>
      <w:r w:rsidR="0070285B" w:rsidRPr="00C208E4">
        <w:t>alkohol</w:t>
      </w:r>
      <w:r>
        <w:t>)</w:t>
      </w:r>
      <w:r w:rsidR="007A5651" w:rsidRPr="00C208E4">
        <w:t xml:space="preserve"> (E1203)</w:t>
      </w:r>
    </w:p>
    <w:p w14:paraId="5C645CF3" w14:textId="0EDCE983" w:rsidR="007A5651" w:rsidRPr="00C208E4" w:rsidRDefault="009150FA" w:rsidP="00C208E4">
      <w:pPr>
        <w:pStyle w:val="Szvegtrzs"/>
      </w:pPr>
      <w:r>
        <w:t>m</w:t>
      </w:r>
      <w:r w:rsidR="0070285B" w:rsidRPr="00C208E4">
        <w:t>akrogol</w:t>
      </w:r>
    </w:p>
    <w:p w14:paraId="29B05E6A" w14:textId="4BF6FBCA" w:rsidR="007A5651" w:rsidRPr="00C208E4" w:rsidRDefault="009150FA" w:rsidP="00C208E4">
      <w:pPr>
        <w:pStyle w:val="Szvegtrzs"/>
      </w:pPr>
      <w:r>
        <w:t>t</w:t>
      </w:r>
      <w:r w:rsidR="0070285B" w:rsidRPr="00C208E4">
        <w:t>alkum (E553b</w:t>
      </w:r>
      <w:r w:rsidR="007A5651" w:rsidRPr="00C208E4">
        <w:t>)</w:t>
      </w:r>
    </w:p>
    <w:p w14:paraId="7C7E8CD7" w14:textId="5D264CDF" w:rsidR="007A5651" w:rsidRPr="00C208E4" w:rsidRDefault="009150FA" w:rsidP="00C208E4">
      <w:pPr>
        <w:pStyle w:val="Szvegtrzs"/>
      </w:pPr>
      <w:r>
        <w:t>t</w:t>
      </w:r>
      <w:r w:rsidR="007A5651" w:rsidRPr="00C208E4">
        <w:t>itán-dioxid (E171)</w:t>
      </w:r>
    </w:p>
    <w:bookmarkEnd w:id="5"/>
    <w:p w14:paraId="53F63F8A" w14:textId="215FF4B5" w:rsidR="005B1144" w:rsidRPr="00C208E4" w:rsidRDefault="009150FA" w:rsidP="00C208E4">
      <w:pPr>
        <w:pStyle w:val="Szvegtrzs"/>
      </w:pPr>
      <w:r>
        <w:t>s</w:t>
      </w:r>
      <w:r w:rsidR="0070285B" w:rsidRPr="00C208E4">
        <w:t>árga vas-oxid (E172)</w:t>
      </w:r>
    </w:p>
    <w:p w14:paraId="53F63F8F" w14:textId="77777777" w:rsidR="005B1144" w:rsidRPr="00C208E4" w:rsidRDefault="005B1144" w:rsidP="00C208E4">
      <w:pPr>
        <w:pStyle w:val="Szvegtrzs"/>
      </w:pPr>
    </w:p>
    <w:p w14:paraId="53F63F90" w14:textId="4FB793E6" w:rsidR="005B1144" w:rsidRPr="009150FA" w:rsidRDefault="006B2927" w:rsidP="00C208E4">
      <w:pPr>
        <w:rPr>
          <w:i/>
        </w:rPr>
      </w:pPr>
      <w:r w:rsidRPr="0030598E">
        <w:rPr>
          <w:i/>
        </w:rPr>
        <w:t>Bosutinib Onkogen</w:t>
      </w:r>
      <w:r w:rsidR="0070285B" w:rsidRPr="0030598E">
        <w:rPr>
          <w:i/>
        </w:rPr>
        <w:t xml:space="preserve"> 500 mg filmtabletta</w:t>
      </w:r>
    </w:p>
    <w:p w14:paraId="50AD9045" w14:textId="793B9A98" w:rsidR="007A5651" w:rsidRPr="00C208E4" w:rsidRDefault="009150FA" w:rsidP="00C208E4">
      <w:pPr>
        <w:pStyle w:val="Szvegtrzs"/>
      </w:pPr>
      <w:r>
        <w:t>p</w:t>
      </w:r>
      <w:r w:rsidR="007A5651" w:rsidRPr="00C208E4">
        <w:t>oli</w:t>
      </w:r>
      <w:r>
        <w:t>(</w:t>
      </w:r>
      <w:r w:rsidR="007A5651" w:rsidRPr="00C208E4">
        <w:t>vinil-alkohol</w:t>
      </w:r>
      <w:r>
        <w:t xml:space="preserve">) </w:t>
      </w:r>
      <w:r w:rsidR="007A5651" w:rsidRPr="00C208E4">
        <w:t>(E1203)</w:t>
      </w:r>
    </w:p>
    <w:p w14:paraId="2D849570" w14:textId="7EA6A70F" w:rsidR="007A5651" w:rsidRPr="00C208E4" w:rsidRDefault="009150FA" w:rsidP="00C208E4">
      <w:pPr>
        <w:pStyle w:val="Szvegtrzs"/>
      </w:pPr>
      <w:r>
        <w:t>m</w:t>
      </w:r>
      <w:r w:rsidR="007A5651" w:rsidRPr="00C208E4">
        <w:t>akrogol</w:t>
      </w:r>
    </w:p>
    <w:p w14:paraId="5265B284" w14:textId="5A63F5BD" w:rsidR="007A5651" w:rsidRPr="00C208E4" w:rsidRDefault="009150FA" w:rsidP="00C208E4">
      <w:pPr>
        <w:pStyle w:val="Szvegtrzs"/>
      </w:pPr>
      <w:r>
        <w:t>t</w:t>
      </w:r>
      <w:r w:rsidR="007A5651" w:rsidRPr="00C208E4">
        <w:t>alkum (E553b)</w:t>
      </w:r>
    </w:p>
    <w:p w14:paraId="6EA03ABC" w14:textId="47D74746" w:rsidR="007A5651" w:rsidRPr="00C208E4" w:rsidRDefault="009150FA" w:rsidP="00C208E4">
      <w:pPr>
        <w:pStyle w:val="Szvegtrzs"/>
      </w:pPr>
      <w:r>
        <w:t>t</w:t>
      </w:r>
      <w:r w:rsidR="007A5651" w:rsidRPr="00C208E4">
        <w:t>itán-dioxid (E171)</w:t>
      </w:r>
    </w:p>
    <w:p w14:paraId="53F63F92" w14:textId="28D62CAF" w:rsidR="005B1144" w:rsidRPr="00C208E4" w:rsidRDefault="009150FA" w:rsidP="00C208E4">
      <w:pPr>
        <w:pStyle w:val="Szvegtrzs"/>
      </w:pPr>
      <w:r>
        <w:t>v</w:t>
      </w:r>
      <w:r w:rsidR="0070285B" w:rsidRPr="00C208E4">
        <w:t>örös vas-oxid (E172)</w:t>
      </w:r>
    </w:p>
    <w:p w14:paraId="53F63F93" w14:textId="77777777" w:rsidR="005B1144" w:rsidRPr="00C208E4" w:rsidRDefault="005B1144" w:rsidP="00C208E4">
      <w:pPr>
        <w:pStyle w:val="Szvegtrzs"/>
      </w:pPr>
    </w:p>
    <w:p w14:paraId="53F63F94" w14:textId="77777777" w:rsidR="005B1144" w:rsidRPr="00C208E4" w:rsidRDefault="0070285B" w:rsidP="0030598E">
      <w:pPr>
        <w:pStyle w:val="Cmsor2"/>
        <w:keepNext/>
        <w:numPr>
          <w:ilvl w:val="1"/>
          <w:numId w:val="8"/>
        </w:numPr>
        <w:tabs>
          <w:tab w:val="left" w:pos="1242"/>
          <w:tab w:val="left" w:pos="1243"/>
        </w:tabs>
        <w:ind w:left="567"/>
      </w:pPr>
      <w:r w:rsidRPr="00C208E4">
        <w:t>Inkompatibilitások</w:t>
      </w:r>
    </w:p>
    <w:p w14:paraId="53F63F95" w14:textId="77777777" w:rsidR="005B1144" w:rsidRPr="00C208E4" w:rsidRDefault="005B1144" w:rsidP="0030598E">
      <w:pPr>
        <w:pStyle w:val="Szvegtrzs"/>
        <w:keepNext/>
        <w:rPr>
          <w:b/>
        </w:rPr>
      </w:pPr>
    </w:p>
    <w:p w14:paraId="53F63F96" w14:textId="77777777" w:rsidR="005B1144" w:rsidRPr="00C208E4" w:rsidRDefault="0070285B" w:rsidP="00C208E4">
      <w:pPr>
        <w:pStyle w:val="Szvegtrzs"/>
      </w:pPr>
      <w:r w:rsidRPr="00C208E4">
        <w:t>Nem értelmezhető.</w:t>
      </w:r>
    </w:p>
    <w:p w14:paraId="53F63F97" w14:textId="77777777" w:rsidR="005B1144" w:rsidRPr="00C208E4" w:rsidRDefault="005B1144" w:rsidP="00C208E4">
      <w:pPr>
        <w:pStyle w:val="Szvegtrzs"/>
      </w:pPr>
    </w:p>
    <w:p w14:paraId="53F63F98" w14:textId="77777777" w:rsidR="005B1144" w:rsidRPr="00C208E4" w:rsidRDefault="0070285B" w:rsidP="00C208E4">
      <w:pPr>
        <w:pStyle w:val="Cmsor2"/>
        <w:numPr>
          <w:ilvl w:val="1"/>
          <w:numId w:val="8"/>
        </w:numPr>
        <w:tabs>
          <w:tab w:val="left" w:pos="1242"/>
          <w:tab w:val="left" w:pos="1243"/>
        </w:tabs>
        <w:ind w:left="567"/>
      </w:pPr>
      <w:r w:rsidRPr="00C208E4">
        <w:t>Felhasználhatósági időtartam</w:t>
      </w:r>
    </w:p>
    <w:p w14:paraId="53F63F99" w14:textId="77777777" w:rsidR="005B1144" w:rsidRPr="00C208E4" w:rsidRDefault="005B1144" w:rsidP="00C208E4">
      <w:pPr>
        <w:pStyle w:val="Szvegtrzs"/>
        <w:rPr>
          <w:b/>
        </w:rPr>
      </w:pPr>
    </w:p>
    <w:p w14:paraId="53F63F9A" w14:textId="4F061A8C" w:rsidR="005B1144" w:rsidRPr="00C208E4" w:rsidRDefault="007A5651" w:rsidP="00C208E4">
      <w:pPr>
        <w:pStyle w:val="Szvegtrzs"/>
      </w:pPr>
      <w:r w:rsidRPr="00C208E4">
        <w:t>2</w:t>
      </w:r>
      <w:r w:rsidR="0070285B" w:rsidRPr="00C208E4">
        <w:t xml:space="preserve"> év.</w:t>
      </w:r>
    </w:p>
    <w:p w14:paraId="53F63F9B" w14:textId="77777777" w:rsidR="005B1144" w:rsidRPr="00C208E4" w:rsidRDefault="005B1144" w:rsidP="00C208E4">
      <w:pPr>
        <w:pStyle w:val="Szvegtrzs"/>
      </w:pPr>
    </w:p>
    <w:p w14:paraId="53F63F9C" w14:textId="77777777" w:rsidR="005B1144" w:rsidRPr="00C208E4" w:rsidRDefault="0070285B" w:rsidP="00C208E4">
      <w:pPr>
        <w:pStyle w:val="Cmsor2"/>
        <w:numPr>
          <w:ilvl w:val="1"/>
          <w:numId w:val="8"/>
        </w:numPr>
        <w:tabs>
          <w:tab w:val="left" w:pos="1242"/>
          <w:tab w:val="left" w:pos="1243"/>
        </w:tabs>
        <w:ind w:left="567"/>
      </w:pPr>
      <w:r w:rsidRPr="00C208E4">
        <w:t>Különleges tárolási előírások</w:t>
      </w:r>
    </w:p>
    <w:p w14:paraId="7D9CF13A" w14:textId="77777777" w:rsidR="00CD4010" w:rsidRPr="00C208E4" w:rsidRDefault="00CD4010" w:rsidP="00C208E4">
      <w:pPr>
        <w:pStyle w:val="Szvegtrzs"/>
        <w:rPr>
          <w:b/>
        </w:rPr>
      </w:pPr>
    </w:p>
    <w:p w14:paraId="53F63F9F" w14:textId="72713F79" w:rsidR="005B1144" w:rsidRPr="00C208E4" w:rsidRDefault="0070285B" w:rsidP="00C208E4">
      <w:pPr>
        <w:pStyle w:val="Szvegtrzs"/>
      </w:pPr>
      <w:r w:rsidRPr="00C208E4">
        <w:t>Ez a gyógyszer nem igényel különleges tárolást.</w:t>
      </w:r>
    </w:p>
    <w:p w14:paraId="18CD6AC9" w14:textId="77777777" w:rsidR="00C13AC0" w:rsidRPr="00C208E4" w:rsidRDefault="00C13AC0" w:rsidP="0030598E">
      <w:pPr>
        <w:pStyle w:val="Szvegtrzs"/>
      </w:pPr>
    </w:p>
    <w:p w14:paraId="53F63FA0" w14:textId="77777777" w:rsidR="005B1144" w:rsidRPr="00C208E4" w:rsidRDefault="0070285B" w:rsidP="00C208E4">
      <w:pPr>
        <w:pStyle w:val="Cmsor2"/>
        <w:numPr>
          <w:ilvl w:val="1"/>
          <w:numId w:val="8"/>
        </w:numPr>
        <w:tabs>
          <w:tab w:val="left" w:pos="1242"/>
          <w:tab w:val="left" w:pos="1243"/>
        </w:tabs>
        <w:ind w:left="567"/>
      </w:pPr>
      <w:r w:rsidRPr="00C208E4">
        <w:t>Csomagolás típusa és kiszerelése</w:t>
      </w:r>
    </w:p>
    <w:p w14:paraId="41D33B1F" w14:textId="77777777" w:rsidR="00CD4010" w:rsidRPr="00C208E4" w:rsidRDefault="00CD4010" w:rsidP="00C208E4">
      <w:pPr>
        <w:pStyle w:val="Szvegtrzs"/>
        <w:ind w:right="842"/>
      </w:pPr>
    </w:p>
    <w:p w14:paraId="44357EFD" w14:textId="47F8E4DA" w:rsidR="00EA5E89" w:rsidRPr="00C208E4" w:rsidRDefault="009150FA" w:rsidP="009150FA">
      <w:pPr>
        <w:pStyle w:val="Szvegtrzs"/>
        <w:ind w:right="4"/>
      </w:pPr>
      <w:r>
        <w:t xml:space="preserve">Filmtabletták </w:t>
      </w:r>
      <w:r w:rsidR="007A5651" w:rsidRPr="00C208E4">
        <w:t>Al</w:t>
      </w:r>
      <w:r>
        <w:t>/</w:t>
      </w:r>
      <w:r w:rsidR="007A5651" w:rsidRPr="00C208E4">
        <w:t xml:space="preserve">/PVC/Al/OPA nem perforált vagy </w:t>
      </w:r>
      <w:r>
        <w:t xml:space="preserve">adagonként </w:t>
      </w:r>
      <w:r w:rsidR="007A5651" w:rsidRPr="00C208E4">
        <w:t>perforált</w:t>
      </w:r>
      <w:r w:rsidR="0070285B" w:rsidRPr="00C208E4">
        <w:t xml:space="preserve"> buborékcsomagolás</w:t>
      </w:r>
      <w:r>
        <w:t>ban</w:t>
      </w:r>
      <w:r w:rsidR="00EA5E89" w:rsidRPr="00C208E4">
        <w:t>.</w:t>
      </w:r>
    </w:p>
    <w:p w14:paraId="53F63FA2" w14:textId="77777777" w:rsidR="005B1144" w:rsidRPr="00C208E4" w:rsidRDefault="005B1144" w:rsidP="00C208E4">
      <w:pPr>
        <w:pStyle w:val="Szvegtrzs"/>
      </w:pPr>
    </w:p>
    <w:p w14:paraId="53F63FA3" w14:textId="4B3C187D" w:rsidR="005B1144" w:rsidRPr="00C208E4" w:rsidRDefault="006B2927" w:rsidP="00C208E4">
      <w:pPr>
        <w:pStyle w:val="Szvegtrzs"/>
      </w:pPr>
      <w:r w:rsidRPr="00C208E4">
        <w:rPr>
          <w:u w:val="single"/>
        </w:rPr>
        <w:t>Bosutinib Onkogen</w:t>
      </w:r>
      <w:r w:rsidR="0070285B" w:rsidRPr="00C208E4">
        <w:rPr>
          <w:u w:val="single"/>
        </w:rPr>
        <w:t xml:space="preserve"> 100 mg filmtabletta</w:t>
      </w:r>
    </w:p>
    <w:p w14:paraId="53F63FA4" w14:textId="32705B22" w:rsidR="005B1144" w:rsidRPr="00C208E4" w:rsidRDefault="0070285B" w:rsidP="00C208E4">
      <w:pPr>
        <w:pStyle w:val="Szvegtrzs"/>
      </w:pPr>
      <w:r w:rsidRPr="00C208E4">
        <w:t>Mindegyik dobozban 28 db</w:t>
      </w:r>
      <w:r w:rsidR="00EA5E89" w:rsidRPr="00C208E4">
        <w:t xml:space="preserve"> vagy 28</w:t>
      </w:r>
      <w:r w:rsidR="009150FA">
        <w:t>×</w:t>
      </w:r>
      <w:r w:rsidR="00EA5E89" w:rsidRPr="00C208E4">
        <w:t>1</w:t>
      </w:r>
      <w:r w:rsidRPr="00C208E4">
        <w:t xml:space="preserve"> db tabletta található.</w:t>
      </w:r>
    </w:p>
    <w:p w14:paraId="53F63FA8" w14:textId="77777777" w:rsidR="005B1144" w:rsidRPr="00C208E4" w:rsidRDefault="005B1144" w:rsidP="00C208E4">
      <w:pPr>
        <w:pStyle w:val="Szvegtrzs"/>
      </w:pPr>
    </w:p>
    <w:p w14:paraId="53F63FA9" w14:textId="01146C24" w:rsidR="005B1144" w:rsidRPr="00C208E4" w:rsidRDefault="006B2927" w:rsidP="00C208E4">
      <w:pPr>
        <w:pStyle w:val="Szvegtrzs"/>
      </w:pPr>
      <w:r w:rsidRPr="00C208E4">
        <w:rPr>
          <w:u w:val="single"/>
        </w:rPr>
        <w:t>Bosutinib Onkogen</w:t>
      </w:r>
      <w:r w:rsidR="0070285B" w:rsidRPr="00C208E4">
        <w:rPr>
          <w:u w:val="single"/>
        </w:rPr>
        <w:t xml:space="preserve"> 500 mg filmtabletta</w:t>
      </w:r>
    </w:p>
    <w:p w14:paraId="71E43E99" w14:textId="0C30AEE2" w:rsidR="00EA5E89" w:rsidRPr="00C208E4" w:rsidRDefault="00EA5E89" w:rsidP="00C208E4">
      <w:pPr>
        <w:pStyle w:val="Szvegtrzs"/>
      </w:pPr>
      <w:r w:rsidRPr="00C208E4">
        <w:t>Mindegyik dobozban 28 db vagy 28</w:t>
      </w:r>
      <w:r w:rsidR="009150FA">
        <w:t>×</w:t>
      </w:r>
      <w:r w:rsidRPr="00C208E4">
        <w:t>1 db tabletta található.</w:t>
      </w:r>
    </w:p>
    <w:p w14:paraId="53F63FAB" w14:textId="77777777" w:rsidR="005B1144" w:rsidRPr="00C208E4" w:rsidRDefault="005B1144" w:rsidP="00C208E4">
      <w:pPr>
        <w:pStyle w:val="Szvegtrzs"/>
      </w:pPr>
    </w:p>
    <w:p w14:paraId="0D749FD7" w14:textId="12A9F846" w:rsidR="00EA5E89" w:rsidRPr="00C208E4" w:rsidRDefault="0070285B" w:rsidP="00C208E4">
      <w:pPr>
        <w:pStyle w:val="Szvegtrzs"/>
      </w:pPr>
      <w:r w:rsidRPr="00C208E4">
        <w:t>Nem feltétlenül mindegyik kiszerelés kerül kereskedelmi forgalomba.</w:t>
      </w:r>
    </w:p>
    <w:p w14:paraId="705B9B06" w14:textId="77777777" w:rsidR="00EA5E89" w:rsidRPr="00C208E4" w:rsidRDefault="00EA5E89" w:rsidP="00C208E4"/>
    <w:p w14:paraId="53F63FAE" w14:textId="66FAF483" w:rsidR="005B1144" w:rsidRPr="00C208E4" w:rsidRDefault="0070285B" w:rsidP="0030598E">
      <w:pPr>
        <w:pStyle w:val="Cmsor2"/>
        <w:numPr>
          <w:ilvl w:val="1"/>
          <w:numId w:val="8"/>
        </w:numPr>
        <w:tabs>
          <w:tab w:val="left" w:pos="1242"/>
          <w:tab w:val="left" w:pos="1243"/>
        </w:tabs>
        <w:ind w:left="567"/>
      </w:pPr>
      <w:r w:rsidRPr="00C208E4">
        <w:t>A megsemmisítésre vonatkozó különleges óvintézkedések</w:t>
      </w:r>
      <w:r w:rsidR="00CC660B">
        <w:t xml:space="preserve"> </w:t>
      </w:r>
      <w:r w:rsidR="00CC660B" w:rsidRPr="00CC660B">
        <w:t>és egyéb, a készítmény kezelésével kapcsolatos információk</w:t>
      </w:r>
    </w:p>
    <w:p w14:paraId="53F63FAF" w14:textId="77777777" w:rsidR="005B1144" w:rsidRPr="00C208E4" w:rsidRDefault="005B1144" w:rsidP="00C208E4">
      <w:pPr>
        <w:pStyle w:val="Szvegtrzs"/>
        <w:rPr>
          <w:b/>
        </w:rPr>
      </w:pPr>
    </w:p>
    <w:p w14:paraId="53F63FB0" w14:textId="42B1C674" w:rsidR="005B1144" w:rsidRPr="00C208E4" w:rsidRDefault="0070285B" w:rsidP="00C208E4">
      <w:pPr>
        <w:pStyle w:val="Szvegtrzs"/>
      </w:pPr>
      <w:r w:rsidRPr="00C208E4">
        <w:t xml:space="preserve">Bármilyen fel nem használt gyógyszer, </w:t>
      </w:r>
      <w:r w:rsidR="00601929">
        <w:t>ill.</w:t>
      </w:r>
      <w:r w:rsidRPr="00C208E4">
        <w:t xml:space="preserve"> hulladékanyag megsemmisítését a gyógyszerekre vonatkozó előírások szerint kell végrehajtani.</w:t>
      </w:r>
    </w:p>
    <w:p w14:paraId="53F63FB1" w14:textId="443E6A07" w:rsidR="005B1144" w:rsidRDefault="005B1144" w:rsidP="00C208E4">
      <w:pPr>
        <w:pStyle w:val="Szvegtrzs"/>
      </w:pPr>
    </w:p>
    <w:p w14:paraId="29177B3B" w14:textId="174BA35B" w:rsidR="009150FA" w:rsidRPr="0082550D" w:rsidRDefault="009150FA" w:rsidP="009150FA">
      <w:pPr>
        <w:keepNext/>
        <w:suppressAutoHyphens/>
        <w:outlineLvl w:val="3"/>
        <w:rPr>
          <w:lang w:eastAsia="hu-HU"/>
        </w:rPr>
      </w:pPr>
      <w:r w:rsidRPr="0082550D">
        <w:rPr>
          <w:b/>
          <w:bCs/>
          <w:lang w:eastAsia="hu-HU"/>
        </w:rPr>
        <w:t xml:space="preserve">Megjegyzés: </w:t>
      </w:r>
      <w:r w:rsidRPr="0082550D">
        <w:rPr>
          <w:bCs/>
          <w:lang w:eastAsia="hu-HU"/>
        </w:rPr>
        <w:sym w:font="Wingdings" w:char="F058"/>
      </w:r>
      <w:r w:rsidRPr="0082550D">
        <w:rPr>
          <w:bCs/>
          <w:lang w:eastAsia="hu-HU"/>
        </w:rPr>
        <w:sym w:font="Wingdings" w:char="F058"/>
      </w:r>
      <w:r w:rsidRPr="0082550D">
        <w:rPr>
          <w:bCs/>
          <w:lang w:eastAsia="hu-HU"/>
        </w:rPr>
        <w:t xml:space="preserve"> </w:t>
      </w:r>
      <w:r w:rsidRPr="0082550D">
        <w:rPr>
          <w:lang w:eastAsia="hu-HU"/>
        </w:rPr>
        <w:t>(</w:t>
      </w:r>
      <w:r>
        <w:rPr>
          <w:lang w:eastAsia="hu-HU"/>
        </w:rPr>
        <w:t>két</w:t>
      </w:r>
      <w:r w:rsidRPr="0082550D">
        <w:rPr>
          <w:lang w:eastAsia="hu-HU"/>
        </w:rPr>
        <w:t xml:space="preserve"> kereszt)</w:t>
      </w:r>
    </w:p>
    <w:p w14:paraId="04DF617A" w14:textId="77777777" w:rsidR="009150FA" w:rsidRPr="0082550D" w:rsidRDefault="009150FA" w:rsidP="009150FA">
      <w:pPr>
        <w:suppressAutoHyphens/>
        <w:rPr>
          <w:b/>
          <w:lang w:eastAsia="hu-HU"/>
        </w:rPr>
      </w:pPr>
      <w:r w:rsidRPr="0082550D">
        <w:rPr>
          <w:lang w:eastAsia="hu-HU"/>
        </w:rPr>
        <w:t>Osztályozás:</w:t>
      </w:r>
      <w:r w:rsidRPr="0082550D">
        <w:rPr>
          <w:b/>
          <w:lang w:eastAsia="hu-HU"/>
        </w:rPr>
        <w:t xml:space="preserve"> II./2 csoport</w:t>
      </w:r>
    </w:p>
    <w:p w14:paraId="08AB2D09" w14:textId="77777777" w:rsidR="009150FA" w:rsidRPr="00504511" w:rsidRDefault="009150FA" w:rsidP="009150FA">
      <w:r w:rsidRPr="0082550D">
        <w:rPr>
          <w:lang w:eastAsia="hu-HU"/>
        </w:rPr>
        <w:t>Korlátozott érvényű orvosi rendelvényhez kötött, szakorvosi/kórházi diagnózist követően folyamatos szakorvosi ellenőrzés mellett alkalmazható gyógyszer (Sz).</w:t>
      </w:r>
    </w:p>
    <w:p w14:paraId="29767A4B" w14:textId="77777777" w:rsidR="009150FA" w:rsidRPr="00C208E4" w:rsidRDefault="009150FA" w:rsidP="00C208E4">
      <w:pPr>
        <w:pStyle w:val="Szvegtrzs"/>
      </w:pPr>
    </w:p>
    <w:p w14:paraId="53F63FB2" w14:textId="77777777" w:rsidR="005B1144" w:rsidRPr="00C208E4" w:rsidRDefault="005B1144" w:rsidP="00C208E4">
      <w:pPr>
        <w:pStyle w:val="Szvegtrzs"/>
      </w:pPr>
    </w:p>
    <w:p w14:paraId="53F63FB3" w14:textId="77777777" w:rsidR="005B1144" w:rsidRPr="00C208E4" w:rsidRDefault="0070285B" w:rsidP="00C208E4">
      <w:pPr>
        <w:pStyle w:val="Cmsor1"/>
        <w:numPr>
          <w:ilvl w:val="0"/>
          <w:numId w:val="8"/>
        </w:numPr>
        <w:tabs>
          <w:tab w:val="left" w:pos="1242"/>
          <w:tab w:val="left" w:pos="1243"/>
        </w:tabs>
        <w:spacing w:before="0"/>
        <w:ind w:left="567"/>
      </w:pPr>
      <w:r w:rsidRPr="00C208E4">
        <w:t>A FORGALOMBAHOZATALI ENGEDÉLY JOGOSULTJA</w:t>
      </w:r>
    </w:p>
    <w:p w14:paraId="53F63FB4" w14:textId="77777777" w:rsidR="005B1144" w:rsidRPr="00C208E4" w:rsidRDefault="005B1144" w:rsidP="00C208E4">
      <w:pPr>
        <w:pStyle w:val="Szvegtrzs"/>
        <w:rPr>
          <w:b/>
        </w:rPr>
      </w:pPr>
    </w:p>
    <w:p w14:paraId="3C091345" w14:textId="77777777" w:rsidR="00E46D04" w:rsidRPr="00C208E4" w:rsidRDefault="00E46D04" w:rsidP="00C208E4">
      <w:pPr>
        <w:pStyle w:val="Szvegtrzs"/>
      </w:pPr>
      <w:r w:rsidRPr="00C208E4">
        <w:t>Onkogen Kft.</w:t>
      </w:r>
    </w:p>
    <w:p w14:paraId="43351967" w14:textId="77777777" w:rsidR="00E46D04" w:rsidRPr="00C208E4" w:rsidRDefault="00E46D04" w:rsidP="00C208E4">
      <w:pPr>
        <w:pStyle w:val="Szvegtrzs"/>
      </w:pPr>
      <w:r w:rsidRPr="00C208E4">
        <w:t>1037 Budapest, Bécsi út 77-79.</w:t>
      </w:r>
    </w:p>
    <w:p w14:paraId="53F63FB7" w14:textId="671C6E5D" w:rsidR="005B1144" w:rsidRPr="00C208E4" w:rsidRDefault="00E46D04" w:rsidP="00C208E4">
      <w:pPr>
        <w:pStyle w:val="Szvegtrzs"/>
      </w:pPr>
      <w:r w:rsidRPr="00C208E4">
        <w:t>Magyarország</w:t>
      </w:r>
    </w:p>
    <w:p w14:paraId="53F63FB8" w14:textId="77777777" w:rsidR="005B1144" w:rsidRPr="00C208E4" w:rsidRDefault="005B1144" w:rsidP="00C208E4">
      <w:pPr>
        <w:pStyle w:val="Szvegtrzs"/>
      </w:pPr>
    </w:p>
    <w:p w14:paraId="23744384" w14:textId="77777777" w:rsidR="00525E1F" w:rsidRPr="00C208E4" w:rsidRDefault="00525E1F" w:rsidP="00C208E4">
      <w:pPr>
        <w:pStyle w:val="Szvegtrzs"/>
      </w:pPr>
    </w:p>
    <w:p w14:paraId="53F63FB9" w14:textId="77777777" w:rsidR="005B1144" w:rsidRPr="00C208E4" w:rsidRDefault="0070285B" w:rsidP="00C208E4">
      <w:pPr>
        <w:pStyle w:val="Cmsor1"/>
        <w:numPr>
          <w:ilvl w:val="0"/>
          <w:numId w:val="8"/>
        </w:numPr>
        <w:tabs>
          <w:tab w:val="left" w:pos="1242"/>
          <w:tab w:val="left" w:pos="1243"/>
        </w:tabs>
        <w:spacing w:before="0"/>
        <w:ind w:left="567"/>
      </w:pPr>
      <w:r w:rsidRPr="00C208E4">
        <w:t>A FORGALOMBAHOZATALI ENGEDÉLY SZÁMA(I)</w:t>
      </w:r>
    </w:p>
    <w:p w14:paraId="53F63FBA" w14:textId="77777777" w:rsidR="005B1144" w:rsidRPr="00C208E4" w:rsidRDefault="005B1144" w:rsidP="00C208E4">
      <w:pPr>
        <w:pStyle w:val="Szvegtrzs"/>
        <w:rPr>
          <w:b/>
        </w:rPr>
      </w:pPr>
    </w:p>
    <w:p w14:paraId="53F63FBC" w14:textId="4DD2B7A8" w:rsidR="005B1144" w:rsidRPr="0030598E" w:rsidRDefault="006B2927" w:rsidP="00C208E4">
      <w:pPr>
        <w:pStyle w:val="Szvegtrzs"/>
        <w:rPr>
          <w:u w:val="single"/>
        </w:rPr>
      </w:pPr>
      <w:r w:rsidRPr="0030598E">
        <w:rPr>
          <w:u w:val="single"/>
        </w:rPr>
        <w:t>Bosutinib Onkogen</w:t>
      </w:r>
      <w:r w:rsidR="0070285B" w:rsidRPr="0030598E">
        <w:rPr>
          <w:u w:val="single"/>
        </w:rPr>
        <w:t xml:space="preserve"> 100 mg filmtabletta </w:t>
      </w:r>
    </w:p>
    <w:p w14:paraId="53F63FBE" w14:textId="2D40782C" w:rsidR="005B1144" w:rsidRDefault="00A73C9B" w:rsidP="00C208E4">
      <w:pPr>
        <w:pStyle w:val="Szvegtrzs"/>
      </w:pPr>
      <w:r w:rsidRPr="00A73C9B">
        <w:t>OGYI-T-24498/01</w:t>
      </w:r>
      <w:r>
        <w:tab/>
      </w:r>
      <w:r w:rsidRPr="00A73C9B">
        <w:t>28</w:t>
      </w:r>
      <w:r>
        <w:t>×</w:t>
      </w:r>
      <w:r>
        <w:tab/>
      </w:r>
      <w:r w:rsidRPr="00A73C9B">
        <w:t>Al//PVC/Al/OPA nem perforált buborékcsomagolásban</w:t>
      </w:r>
    </w:p>
    <w:p w14:paraId="24989678" w14:textId="77777777" w:rsidR="00A73C9B" w:rsidRPr="00C208E4" w:rsidRDefault="00A73C9B" w:rsidP="00C208E4">
      <w:pPr>
        <w:pStyle w:val="Szvegtrzs"/>
      </w:pPr>
    </w:p>
    <w:p w14:paraId="6F7791D0" w14:textId="77777777" w:rsidR="00E46D04" w:rsidRPr="0030598E" w:rsidRDefault="006B2927" w:rsidP="00C208E4">
      <w:pPr>
        <w:pStyle w:val="Szvegtrzs"/>
        <w:rPr>
          <w:u w:val="single"/>
        </w:rPr>
      </w:pPr>
      <w:r w:rsidRPr="0030598E">
        <w:rPr>
          <w:u w:val="single"/>
        </w:rPr>
        <w:t>Bosutinib Onkogen</w:t>
      </w:r>
      <w:r w:rsidR="0070285B" w:rsidRPr="0030598E">
        <w:rPr>
          <w:u w:val="single"/>
        </w:rPr>
        <w:t xml:space="preserve"> 500 mg filmtabletta </w:t>
      </w:r>
    </w:p>
    <w:p w14:paraId="53F63FC0" w14:textId="1391F7EC" w:rsidR="005B1144" w:rsidRDefault="00A73C9B" w:rsidP="00C208E4">
      <w:pPr>
        <w:pStyle w:val="Szvegtrzs"/>
      </w:pPr>
      <w:r>
        <w:t>OGYI-T-24498/02</w:t>
      </w:r>
      <w:r>
        <w:tab/>
        <w:t>28×</w:t>
      </w:r>
      <w:r>
        <w:tab/>
      </w:r>
      <w:r w:rsidRPr="00A73C9B">
        <w:t>Al//PVC/Al/OPA nem perforált buborékcsomagolásban</w:t>
      </w:r>
    </w:p>
    <w:p w14:paraId="5F107B9E" w14:textId="77777777" w:rsidR="00A73C9B" w:rsidRPr="00C208E4" w:rsidRDefault="00A73C9B" w:rsidP="00C208E4">
      <w:pPr>
        <w:pStyle w:val="Szvegtrzs"/>
      </w:pPr>
    </w:p>
    <w:p w14:paraId="53F63FC1" w14:textId="77777777" w:rsidR="005B1144" w:rsidRPr="00C208E4" w:rsidRDefault="005B1144" w:rsidP="00C208E4">
      <w:pPr>
        <w:pStyle w:val="Szvegtrzs"/>
      </w:pPr>
    </w:p>
    <w:p w14:paraId="53F63FC2" w14:textId="77777777" w:rsidR="005B1144" w:rsidRPr="00C208E4" w:rsidRDefault="0070285B" w:rsidP="00C208E4">
      <w:pPr>
        <w:pStyle w:val="Cmsor1"/>
        <w:keepNext/>
        <w:numPr>
          <w:ilvl w:val="0"/>
          <w:numId w:val="8"/>
        </w:numPr>
        <w:tabs>
          <w:tab w:val="left" w:pos="1242"/>
          <w:tab w:val="left" w:pos="1243"/>
        </w:tabs>
        <w:spacing w:before="0"/>
        <w:ind w:left="567"/>
      </w:pPr>
      <w:r w:rsidRPr="00C208E4">
        <w:t>A FORGALOMBAHOZATALI ENGEDÉLY ELSŐ KIADÁSÁNAK/ MEGÚJÍTÁSÁNAK DÁTUMA</w:t>
      </w:r>
    </w:p>
    <w:p w14:paraId="0BB13148" w14:textId="77777777" w:rsidR="00CD4010" w:rsidRPr="00C208E4" w:rsidRDefault="00CD4010" w:rsidP="00C208E4">
      <w:pPr>
        <w:pStyle w:val="Szvegtrzs"/>
        <w:keepNext/>
        <w:rPr>
          <w:b/>
        </w:rPr>
      </w:pPr>
    </w:p>
    <w:p w14:paraId="53F63FC4" w14:textId="1F971679" w:rsidR="005B1144" w:rsidRPr="00C208E4" w:rsidRDefault="0070285B" w:rsidP="00C208E4">
      <w:pPr>
        <w:pStyle w:val="Szvegtrzs"/>
      </w:pPr>
      <w:r w:rsidRPr="00C208E4">
        <w:t xml:space="preserve">A forgalombahozatali engedély első kiadásának dátuma: </w:t>
      </w:r>
      <w:r w:rsidR="00C208E4" w:rsidRPr="00C208E4">
        <w:t xml:space="preserve">2024. </w:t>
      </w:r>
      <w:r w:rsidR="00A73C9B">
        <w:t>december 9.</w:t>
      </w:r>
    </w:p>
    <w:p w14:paraId="53F63FC6" w14:textId="77777777" w:rsidR="005B1144" w:rsidRPr="00C208E4" w:rsidRDefault="005B1144" w:rsidP="00C208E4">
      <w:pPr>
        <w:pStyle w:val="Szvegtrzs"/>
      </w:pPr>
    </w:p>
    <w:p w14:paraId="53F63FC7" w14:textId="77777777" w:rsidR="005B1144" w:rsidRPr="00C208E4" w:rsidRDefault="005B1144" w:rsidP="00C208E4">
      <w:pPr>
        <w:pStyle w:val="Szvegtrzs"/>
      </w:pPr>
    </w:p>
    <w:p w14:paraId="53F63FC8" w14:textId="77777777" w:rsidR="005B1144" w:rsidRPr="00C208E4" w:rsidRDefault="0070285B" w:rsidP="00C208E4">
      <w:pPr>
        <w:pStyle w:val="Cmsor1"/>
        <w:numPr>
          <w:ilvl w:val="0"/>
          <w:numId w:val="8"/>
        </w:numPr>
        <w:tabs>
          <w:tab w:val="left" w:pos="1242"/>
          <w:tab w:val="left" w:pos="1243"/>
        </w:tabs>
        <w:spacing w:before="0"/>
        <w:ind w:left="567"/>
      </w:pPr>
      <w:r w:rsidRPr="00C208E4">
        <w:t>A SZÖVEG ELLENŐRZÉSÉNEK DÁTUMA</w:t>
      </w:r>
    </w:p>
    <w:p w14:paraId="53F63FC9" w14:textId="0C23B86C" w:rsidR="005B1144" w:rsidRPr="0030598E" w:rsidRDefault="005B1144" w:rsidP="00C208E4">
      <w:pPr>
        <w:pStyle w:val="Szvegtrzs"/>
      </w:pPr>
      <w:bookmarkStart w:id="6" w:name="_GoBack"/>
      <w:bookmarkEnd w:id="6"/>
    </w:p>
    <w:p w14:paraId="145D0A55" w14:textId="569F7795" w:rsidR="003D2ADE" w:rsidRDefault="00A73C9B" w:rsidP="00C208E4">
      <w:pPr>
        <w:pStyle w:val="Szvegtrzs"/>
      </w:pPr>
      <w:r w:rsidRPr="00C208E4">
        <w:t xml:space="preserve">2024. </w:t>
      </w:r>
      <w:r>
        <w:t>december 9.</w:t>
      </w:r>
    </w:p>
    <w:p w14:paraId="3EBB6898" w14:textId="77777777" w:rsidR="00A73C9B" w:rsidRPr="0030598E" w:rsidRDefault="00A73C9B" w:rsidP="00C208E4">
      <w:pPr>
        <w:pStyle w:val="Szvegtrzs"/>
      </w:pPr>
    </w:p>
    <w:p w14:paraId="0827635B" w14:textId="77777777" w:rsidR="00C208E4" w:rsidRPr="00C208E4" w:rsidRDefault="00C208E4" w:rsidP="00C208E4">
      <w:pPr>
        <w:pStyle w:val="Szvegtrzs"/>
        <w:rPr>
          <w:b/>
        </w:rPr>
      </w:pPr>
    </w:p>
    <w:sectPr w:rsidR="00C208E4" w:rsidRPr="00C208E4" w:rsidSect="0030598E">
      <w:headerReference w:type="even" r:id="rId13"/>
      <w:headerReference w:type="default" r:id="rId14"/>
      <w:footerReference w:type="even" r:id="rId15"/>
      <w:footerReference w:type="default" r:id="rId16"/>
      <w:headerReference w:type="first" r:id="rId17"/>
      <w:footerReference w:type="first" r:id="rId18"/>
      <w:pgSz w:w="11910" w:h="16840" w:code="9"/>
      <w:pgMar w:top="1134" w:right="1417" w:bottom="1134" w:left="1417" w:header="737" w:footer="737" w:gutter="0"/>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6A5D209" w16cex:dateUtc="2024-11-26T15: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EF81C4" w16cid:durableId="26A5D20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7E661" w14:textId="77777777" w:rsidR="00AB1050" w:rsidRDefault="00AB1050">
      <w:r>
        <w:separator/>
      </w:r>
    </w:p>
  </w:endnote>
  <w:endnote w:type="continuationSeparator" w:id="0">
    <w:p w14:paraId="4DD21EAF" w14:textId="77777777" w:rsidR="00AB1050" w:rsidRDefault="00AB1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00"/>
    <w:family w:val="roman"/>
    <w:notTrueType/>
    <w:pitch w:val="default"/>
    <w:sig w:usb0="00000083" w:usb1="080F0000" w:usb2="00000010" w:usb3="00000000" w:csb0="00120009"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9F577" w14:textId="77777777" w:rsidR="00111B4C" w:rsidRDefault="00111B4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64336" w14:textId="33221BD6" w:rsidR="00111B4C" w:rsidRDefault="00111B4C">
    <w:pPr>
      <w:pStyle w:val="Szvegtrzs"/>
      <w:spacing w:line="14" w:lineRule="auto"/>
      <w:rPr>
        <w:sz w:val="20"/>
      </w:rPr>
    </w:pPr>
    <w:r>
      <w:rPr>
        <w:noProof/>
        <w:lang w:eastAsia="hu-HU"/>
      </w:rPr>
      <mc:AlternateContent>
        <mc:Choice Requires="wps">
          <w:drawing>
            <wp:anchor distT="0" distB="0" distL="114300" distR="114300" simplePos="0" relativeHeight="251657728" behindDoc="1" locked="0" layoutInCell="1" allowOverlap="1" wp14:anchorId="53F64337" wp14:editId="1FEBC646">
              <wp:simplePos x="0" y="0"/>
              <wp:positionH relativeFrom="page">
                <wp:posOffset>3684905</wp:posOffset>
              </wp:positionH>
              <wp:positionV relativeFrom="page">
                <wp:posOffset>10088245</wp:posOffset>
              </wp:positionV>
              <wp:extent cx="201930" cy="139700"/>
              <wp:effectExtent l="0" t="0" r="0" b="0"/>
              <wp:wrapNone/>
              <wp:docPr id="211958855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643BF" w14:textId="2D0510C1" w:rsidR="00111B4C" w:rsidRDefault="00111B4C">
                          <w:pPr>
                            <w:spacing w:before="15"/>
                            <w:ind w:left="60"/>
                            <w:rPr>
                              <w:rFonts w:ascii="Arial"/>
                              <w:sz w:val="16"/>
                            </w:rPr>
                          </w:pPr>
                          <w:r>
                            <w:rPr>
                              <w:rFonts w:ascii="Arial"/>
                              <w:spacing w:val="-5"/>
                              <w:sz w:val="16"/>
                            </w:rPr>
                            <w:fldChar w:fldCharType="begin"/>
                          </w:r>
                          <w:r>
                            <w:rPr>
                              <w:rFonts w:ascii="Arial"/>
                              <w:spacing w:val="-5"/>
                              <w:sz w:val="16"/>
                            </w:rPr>
                            <w:instrText xml:space="preserve"> PAGE </w:instrText>
                          </w:r>
                          <w:r>
                            <w:rPr>
                              <w:rFonts w:ascii="Arial"/>
                              <w:spacing w:val="-5"/>
                              <w:sz w:val="16"/>
                            </w:rPr>
                            <w:fldChar w:fldCharType="separate"/>
                          </w:r>
                          <w:r w:rsidR="00A73C9B">
                            <w:rPr>
                              <w:rFonts w:ascii="Arial"/>
                              <w:noProof/>
                              <w:spacing w:val="-5"/>
                              <w:sz w:val="16"/>
                            </w:rPr>
                            <w:t>32</w:t>
                          </w:r>
                          <w:r>
                            <w:rPr>
                              <w:rFonts w:ascii="Arial"/>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64337" id="_x0000_t202" coordsize="21600,21600" o:spt="202" path="m,l,21600r21600,l21600,xe">
              <v:stroke joinstyle="miter"/>
              <v:path gradientshapeok="t" o:connecttype="rect"/>
            </v:shapetype>
            <v:shape id="docshape1" o:spid="_x0000_s1027" type="#_x0000_t202" style="position:absolute;margin-left:290.15pt;margin-top:794.35pt;width:15.9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" filled="f" stroked="f">
              <v:textbox inset="0,0,0,0">
                <w:txbxContent>
                  <w:p w14:paraId="53F643BF" w14:textId="2D0510C1" w:rsidR="00111B4C" w:rsidRDefault="00111B4C">
                    <w:pPr>
                      <w:spacing w:before="15"/>
                      <w:ind w:left="60"/>
                      <w:rPr>
                        <w:rFonts w:ascii="Arial"/>
                        <w:sz w:val="16"/>
                      </w:rPr>
                    </w:pPr>
                    <w:r>
                      <w:rPr>
                        <w:rFonts w:ascii="Arial"/>
                        <w:spacing w:val="-5"/>
                        <w:sz w:val="16"/>
                      </w:rPr>
                      <w:fldChar w:fldCharType="begin"/>
                    </w:r>
                    <w:r>
                      <w:rPr>
                        <w:rFonts w:ascii="Arial"/>
                        <w:spacing w:val="-5"/>
                        <w:sz w:val="16"/>
                      </w:rPr>
                      <w:instrText xml:space="preserve"> PAGE </w:instrText>
                    </w:r>
                    <w:r>
                      <w:rPr>
                        <w:rFonts w:ascii="Arial"/>
                        <w:spacing w:val="-5"/>
                        <w:sz w:val="16"/>
                      </w:rPr>
                      <w:fldChar w:fldCharType="separate"/>
                    </w:r>
                    <w:r w:rsidR="00A73C9B">
                      <w:rPr>
                        <w:rFonts w:ascii="Arial"/>
                        <w:noProof/>
                        <w:spacing w:val="-5"/>
                        <w:sz w:val="16"/>
                      </w:rPr>
                      <w:t>32</w:t>
                    </w:r>
                    <w:r>
                      <w:rPr>
                        <w:rFonts w:ascii="Arial"/>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4C2A0" w14:textId="650E01D6" w:rsidR="00111B4C" w:rsidRPr="0030598E" w:rsidRDefault="00111B4C">
    <w:pPr>
      <w:pStyle w:val="llb"/>
      <w:rPr>
        <w:sz w:val="18"/>
        <w:szCs w:val="18"/>
      </w:rPr>
    </w:pPr>
    <w:r w:rsidRPr="0030598E">
      <w:rPr>
        <w:sz w:val="18"/>
        <w:szCs w:val="18"/>
      </w:rPr>
      <w:t>NNGYK/GYSZ/6895/2024</w:t>
    </w:r>
  </w:p>
  <w:p w14:paraId="65696906" w14:textId="305EBD70" w:rsidR="00111B4C" w:rsidRPr="0030598E" w:rsidRDefault="00111B4C">
    <w:pPr>
      <w:pStyle w:val="llb"/>
      <w:rPr>
        <w:sz w:val="18"/>
        <w:szCs w:val="18"/>
      </w:rPr>
    </w:pPr>
    <w:r w:rsidRPr="0030598E">
      <w:rPr>
        <w:sz w:val="18"/>
        <w:szCs w:val="18"/>
      </w:rPr>
      <w:t>NNGYK/GYSZ/6896/2024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B7A9B" w14:textId="77777777" w:rsidR="00AB1050" w:rsidRDefault="00AB1050">
      <w:r>
        <w:separator/>
      </w:r>
    </w:p>
  </w:footnote>
  <w:footnote w:type="continuationSeparator" w:id="0">
    <w:p w14:paraId="2FB6D9F5" w14:textId="77777777" w:rsidR="00AB1050" w:rsidRDefault="00AB1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6BB05" w14:textId="77777777" w:rsidR="00111B4C" w:rsidRDefault="00111B4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0479C" w14:textId="77777777" w:rsidR="00111B4C" w:rsidRDefault="00111B4C">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9E40F" w14:textId="77777777" w:rsidR="00111B4C" w:rsidRDefault="00111B4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526B8"/>
    <w:multiLevelType w:val="hybridMultilevel"/>
    <w:tmpl w:val="21C4A9A0"/>
    <w:lvl w:ilvl="0" w:tplc="0D502122">
      <w:start w:val="1"/>
      <w:numFmt w:val="upperLetter"/>
      <w:lvlText w:val="%1."/>
      <w:lvlJc w:val="left"/>
      <w:pPr>
        <w:ind w:left="2245" w:hanging="576"/>
      </w:pPr>
      <w:rPr>
        <w:rFonts w:ascii="Times New Roman" w:eastAsia="Times New Roman" w:hAnsi="Times New Roman" w:cs="Times New Roman" w:hint="default"/>
        <w:b/>
        <w:bCs/>
        <w:i w:val="0"/>
        <w:iCs w:val="0"/>
        <w:spacing w:val="-2"/>
        <w:w w:val="100"/>
        <w:sz w:val="22"/>
        <w:szCs w:val="22"/>
        <w:lang w:val="hu-HU" w:eastAsia="en-US" w:bidi="ar-SA"/>
      </w:rPr>
    </w:lvl>
    <w:lvl w:ilvl="1" w:tplc="56C07244">
      <w:numFmt w:val="bullet"/>
      <w:lvlText w:val="•"/>
      <w:lvlJc w:val="left"/>
      <w:pPr>
        <w:ind w:left="3074" w:hanging="576"/>
      </w:pPr>
      <w:rPr>
        <w:rFonts w:hint="default"/>
        <w:lang w:val="hu-HU" w:eastAsia="en-US" w:bidi="ar-SA"/>
      </w:rPr>
    </w:lvl>
    <w:lvl w:ilvl="2" w:tplc="34E21116">
      <w:numFmt w:val="bullet"/>
      <w:lvlText w:val="•"/>
      <w:lvlJc w:val="left"/>
      <w:pPr>
        <w:ind w:left="3909" w:hanging="576"/>
      </w:pPr>
      <w:rPr>
        <w:rFonts w:hint="default"/>
        <w:lang w:val="hu-HU" w:eastAsia="en-US" w:bidi="ar-SA"/>
      </w:rPr>
    </w:lvl>
    <w:lvl w:ilvl="3" w:tplc="D984453C">
      <w:numFmt w:val="bullet"/>
      <w:lvlText w:val="•"/>
      <w:lvlJc w:val="left"/>
      <w:pPr>
        <w:ind w:left="4743" w:hanging="576"/>
      </w:pPr>
      <w:rPr>
        <w:rFonts w:hint="default"/>
        <w:lang w:val="hu-HU" w:eastAsia="en-US" w:bidi="ar-SA"/>
      </w:rPr>
    </w:lvl>
    <w:lvl w:ilvl="4" w:tplc="9C54CCF6">
      <w:numFmt w:val="bullet"/>
      <w:lvlText w:val="•"/>
      <w:lvlJc w:val="left"/>
      <w:pPr>
        <w:ind w:left="5578" w:hanging="576"/>
      </w:pPr>
      <w:rPr>
        <w:rFonts w:hint="default"/>
        <w:lang w:val="hu-HU" w:eastAsia="en-US" w:bidi="ar-SA"/>
      </w:rPr>
    </w:lvl>
    <w:lvl w:ilvl="5" w:tplc="83FE4FC0">
      <w:numFmt w:val="bullet"/>
      <w:lvlText w:val="•"/>
      <w:lvlJc w:val="left"/>
      <w:pPr>
        <w:ind w:left="6412" w:hanging="576"/>
      </w:pPr>
      <w:rPr>
        <w:rFonts w:hint="default"/>
        <w:lang w:val="hu-HU" w:eastAsia="en-US" w:bidi="ar-SA"/>
      </w:rPr>
    </w:lvl>
    <w:lvl w:ilvl="6" w:tplc="0E7CF57A">
      <w:numFmt w:val="bullet"/>
      <w:lvlText w:val="•"/>
      <w:lvlJc w:val="left"/>
      <w:pPr>
        <w:ind w:left="7247" w:hanging="576"/>
      </w:pPr>
      <w:rPr>
        <w:rFonts w:hint="default"/>
        <w:lang w:val="hu-HU" w:eastAsia="en-US" w:bidi="ar-SA"/>
      </w:rPr>
    </w:lvl>
    <w:lvl w:ilvl="7" w:tplc="056EB77C">
      <w:numFmt w:val="bullet"/>
      <w:lvlText w:val="•"/>
      <w:lvlJc w:val="left"/>
      <w:pPr>
        <w:ind w:left="8081" w:hanging="576"/>
      </w:pPr>
      <w:rPr>
        <w:rFonts w:hint="default"/>
        <w:lang w:val="hu-HU" w:eastAsia="en-US" w:bidi="ar-SA"/>
      </w:rPr>
    </w:lvl>
    <w:lvl w:ilvl="8" w:tplc="C780FE30">
      <w:numFmt w:val="bullet"/>
      <w:lvlText w:val="•"/>
      <w:lvlJc w:val="left"/>
      <w:pPr>
        <w:ind w:left="8916" w:hanging="576"/>
      </w:pPr>
      <w:rPr>
        <w:rFonts w:hint="default"/>
        <w:lang w:val="hu-HU" w:eastAsia="en-US" w:bidi="ar-SA"/>
      </w:rPr>
    </w:lvl>
  </w:abstractNum>
  <w:abstractNum w:abstractNumId="1" w15:restartNumberingAfterBreak="0">
    <w:nsid w:val="124D48C3"/>
    <w:multiLevelType w:val="hybridMultilevel"/>
    <w:tmpl w:val="3BA468DE"/>
    <w:lvl w:ilvl="0" w:tplc="7EDA031A">
      <w:start w:val="9"/>
      <w:numFmt w:val="decimal"/>
      <w:lvlText w:val="%1."/>
      <w:lvlJc w:val="left"/>
      <w:pPr>
        <w:ind w:left="276" w:hanging="276"/>
      </w:pPr>
      <w:rPr>
        <w:rFonts w:ascii="Times New Roman" w:eastAsia="Times New Roman" w:hAnsi="Times New Roman" w:cs="Times New Roman" w:hint="default"/>
        <w:b w:val="0"/>
        <w:bCs w:val="0"/>
        <w:i w:val="0"/>
        <w:iCs w:val="0"/>
        <w:w w:val="100"/>
        <w:sz w:val="22"/>
        <w:szCs w:val="22"/>
        <w:lang w:val="hu-HU" w:eastAsia="en-US" w:bidi="ar-SA"/>
      </w:rPr>
    </w:lvl>
    <w:lvl w:ilvl="1" w:tplc="564405B8">
      <w:start w:val="9"/>
      <w:numFmt w:val="decimal"/>
      <w:lvlText w:val="%2."/>
      <w:lvlJc w:val="left"/>
      <w:pPr>
        <w:ind w:left="108" w:hanging="221"/>
        <w:jc w:val="right"/>
      </w:pPr>
      <w:rPr>
        <w:rFonts w:ascii="Times New Roman" w:eastAsia="Times New Roman" w:hAnsi="Times New Roman" w:cs="Times New Roman" w:hint="default"/>
        <w:b/>
        <w:bCs/>
        <w:i w:val="0"/>
        <w:iCs w:val="0"/>
        <w:w w:val="100"/>
        <w:sz w:val="22"/>
        <w:szCs w:val="22"/>
        <w:lang w:val="hu-HU" w:eastAsia="en-US" w:bidi="ar-SA"/>
      </w:rPr>
    </w:lvl>
    <w:lvl w:ilvl="2" w:tplc="E17277F0">
      <w:numFmt w:val="bullet"/>
      <w:lvlText w:val="•"/>
      <w:lvlJc w:val="left"/>
      <w:pPr>
        <w:ind w:left="1353" w:hanging="221"/>
      </w:pPr>
      <w:rPr>
        <w:rFonts w:hint="default"/>
        <w:lang w:val="hu-HU" w:eastAsia="en-US" w:bidi="ar-SA"/>
      </w:rPr>
    </w:lvl>
    <w:lvl w:ilvl="3" w:tplc="9710AC18">
      <w:numFmt w:val="bullet"/>
      <w:lvlText w:val="•"/>
      <w:lvlJc w:val="left"/>
      <w:pPr>
        <w:ind w:left="2423" w:hanging="221"/>
      </w:pPr>
      <w:rPr>
        <w:rFonts w:hint="default"/>
        <w:lang w:val="hu-HU" w:eastAsia="en-US" w:bidi="ar-SA"/>
      </w:rPr>
    </w:lvl>
    <w:lvl w:ilvl="4" w:tplc="8E86231E">
      <w:numFmt w:val="bullet"/>
      <w:lvlText w:val="•"/>
      <w:lvlJc w:val="left"/>
      <w:pPr>
        <w:ind w:left="3492" w:hanging="221"/>
      </w:pPr>
      <w:rPr>
        <w:rFonts w:hint="default"/>
        <w:lang w:val="hu-HU" w:eastAsia="en-US" w:bidi="ar-SA"/>
      </w:rPr>
    </w:lvl>
    <w:lvl w:ilvl="5" w:tplc="8A5098A6">
      <w:numFmt w:val="bullet"/>
      <w:lvlText w:val="•"/>
      <w:lvlJc w:val="left"/>
      <w:pPr>
        <w:ind w:left="4561" w:hanging="221"/>
      </w:pPr>
      <w:rPr>
        <w:rFonts w:hint="default"/>
        <w:lang w:val="hu-HU" w:eastAsia="en-US" w:bidi="ar-SA"/>
      </w:rPr>
    </w:lvl>
    <w:lvl w:ilvl="6" w:tplc="86A043EC">
      <w:numFmt w:val="bullet"/>
      <w:lvlText w:val="•"/>
      <w:lvlJc w:val="left"/>
      <w:pPr>
        <w:ind w:left="5631" w:hanging="221"/>
      </w:pPr>
      <w:rPr>
        <w:rFonts w:hint="default"/>
        <w:lang w:val="hu-HU" w:eastAsia="en-US" w:bidi="ar-SA"/>
      </w:rPr>
    </w:lvl>
    <w:lvl w:ilvl="7" w:tplc="02D63500">
      <w:numFmt w:val="bullet"/>
      <w:lvlText w:val="•"/>
      <w:lvlJc w:val="left"/>
      <w:pPr>
        <w:ind w:left="6700" w:hanging="221"/>
      </w:pPr>
      <w:rPr>
        <w:rFonts w:hint="default"/>
        <w:lang w:val="hu-HU" w:eastAsia="en-US" w:bidi="ar-SA"/>
      </w:rPr>
    </w:lvl>
    <w:lvl w:ilvl="8" w:tplc="D37E25D6">
      <w:numFmt w:val="bullet"/>
      <w:lvlText w:val="•"/>
      <w:lvlJc w:val="left"/>
      <w:pPr>
        <w:ind w:left="7770" w:hanging="221"/>
      </w:pPr>
      <w:rPr>
        <w:rFonts w:hint="default"/>
        <w:lang w:val="hu-HU" w:eastAsia="en-US" w:bidi="ar-SA"/>
      </w:rPr>
    </w:lvl>
  </w:abstractNum>
  <w:abstractNum w:abstractNumId="2" w15:restartNumberingAfterBreak="0">
    <w:nsid w:val="134F6BC2"/>
    <w:multiLevelType w:val="hybridMultilevel"/>
    <w:tmpl w:val="8C482EEC"/>
    <w:lvl w:ilvl="0" w:tplc="6A50E52A">
      <w:start w:val="2"/>
      <w:numFmt w:val="decimal"/>
      <w:lvlText w:val="%1."/>
      <w:lvlJc w:val="left"/>
      <w:pPr>
        <w:ind w:left="676" w:hanging="221"/>
      </w:pPr>
      <w:rPr>
        <w:rFonts w:ascii="Times New Roman" w:eastAsia="Times New Roman" w:hAnsi="Times New Roman" w:cs="Times New Roman" w:hint="default"/>
        <w:b w:val="0"/>
        <w:bCs w:val="0"/>
        <w:i w:val="0"/>
        <w:iCs w:val="0"/>
        <w:w w:val="100"/>
        <w:sz w:val="22"/>
        <w:szCs w:val="22"/>
        <w:lang w:val="hu-HU" w:eastAsia="en-US" w:bidi="ar-SA"/>
      </w:rPr>
    </w:lvl>
    <w:lvl w:ilvl="1" w:tplc="346EB666">
      <w:numFmt w:val="bullet"/>
      <w:lvlText w:val="•"/>
      <w:lvlJc w:val="left"/>
      <w:pPr>
        <w:ind w:left="1670" w:hanging="221"/>
      </w:pPr>
      <w:rPr>
        <w:rFonts w:hint="default"/>
        <w:lang w:val="hu-HU" w:eastAsia="en-US" w:bidi="ar-SA"/>
      </w:rPr>
    </w:lvl>
    <w:lvl w:ilvl="2" w:tplc="1CD6B4BE">
      <w:numFmt w:val="bullet"/>
      <w:lvlText w:val="•"/>
      <w:lvlJc w:val="left"/>
      <w:pPr>
        <w:ind w:left="2661" w:hanging="221"/>
      </w:pPr>
      <w:rPr>
        <w:rFonts w:hint="default"/>
        <w:lang w:val="hu-HU" w:eastAsia="en-US" w:bidi="ar-SA"/>
      </w:rPr>
    </w:lvl>
    <w:lvl w:ilvl="3" w:tplc="534AC68C">
      <w:numFmt w:val="bullet"/>
      <w:lvlText w:val="•"/>
      <w:lvlJc w:val="left"/>
      <w:pPr>
        <w:ind w:left="3651" w:hanging="221"/>
      </w:pPr>
      <w:rPr>
        <w:rFonts w:hint="default"/>
        <w:lang w:val="hu-HU" w:eastAsia="en-US" w:bidi="ar-SA"/>
      </w:rPr>
    </w:lvl>
    <w:lvl w:ilvl="4" w:tplc="9468E846">
      <w:numFmt w:val="bullet"/>
      <w:lvlText w:val="•"/>
      <w:lvlJc w:val="left"/>
      <w:pPr>
        <w:ind w:left="4642" w:hanging="221"/>
      </w:pPr>
      <w:rPr>
        <w:rFonts w:hint="default"/>
        <w:lang w:val="hu-HU" w:eastAsia="en-US" w:bidi="ar-SA"/>
      </w:rPr>
    </w:lvl>
    <w:lvl w:ilvl="5" w:tplc="8A5C5A34">
      <w:numFmt w:val="bullet"/>
      <w:lvlText w:val="•"/>
      <w:lvlJc w:val="left"/>
      <w:pPr>
        <w:ind w:left="5632" w:hanging="221"/>
      </w:pPr>
      <w:rPr>
        <w:rFonts w:hint="default"/>
        <w:lang w:val="hu-HU" w:eastAsia="en-US" w:bidi="ar-SA"/>
      </w:rPr>
    </w:lvl>
    <w:lvl w:ilvl="6" w:tplc="DE701AE4">
      <w:numFmt w:val="bullet"/>
      <w:lvlText w:val="•"/>
      <w:lvlJc w:val="left"/>
      <w:pPr>
        <w:ind w:left="6623" w:hanging="221"/>
      </w:pPr>
      <w:rPr>
        <w:rFonts w:hint="default"/>
        <w:lang w:val="hu-HU" w:eastAsia="en-US" w:bidi="ar-SA"/>
      </w:rPr>
    </w:lvl>
    <w:lvl w:ilvl="7" w:tplc="EB90715A">
      <w:numFmt w:val="bullet"/>
      <w:lvlText w:val="•"/>
      <w:lvlJc w:val="left"/>
      <w:pPr>
        <w:ind w:left="7613" w:hanging="221"/>
      </w:pPr>
      <w:rPr>
        <w:rFonts w:hint="default"/>
        <w:lang w:val="hu-HU" w:eastAsia="en-US" w:bidi="ar-SA"/>
      </w:rPr>
    </w:lvl>
    <w:lvl w:ilvl="8" w:tplc="1A6CFC7C">
      <w:numFmt w:val="bullet"/>
      <w:lvlText w:val="•"/>
      <w:lvlJc w:val="left"/>
      <w:pPr>
        <w:ind w:left="8604" w:hanging="221"/>
      </w:pPr>
      <w:rPr>
        <w:rFonts w:hint="default"/>
        <w:lang w:val="hu-HU" w:eastAsia="en-US" w:bidi="ar-SA"/>
      </w:rPr>
    </w:lvl>
  </w:abstractNum>
  <w:abstractNum w:abstractNumId="3" w15:restartNumberingAfterBreak="0">
    <w:nsid w:val="1A6A1CF3"/>
    <w:multiLevelType w:val="hybridMultilevel"/>
    <w:tmpl w:val="77A430CE"/>
    <w:lvl w:ilvl="0" w:tplc="BC4E8E2A">
      <w:start w:val="3"/>
      <w:numFmt w:val="decimal"/>
      <w:lvlText w:val="%1."/>
      <w:lvlJc w:val="left"/>
      <w:pPr>
        <w:ind w:left="676" w:hanging="221"/>
      </w:pPr>
      <w:rPr>
        <w:rFonts w:ascii="Times New Roman" w:eastAsia="Times New Roman" w:hAnsi="Times New Roman" w:cs="Times New Roman" w:hint="default"/>
        <w:b/>
        <w:bCs/>
        <w:i w:val="0"/>
        <w:iCs w:val="0"/>
        <w:w w:val="100"/>
        <w:sz w:val="22"/>
        <w:szCs w:val="22"/>
        <w:lang w:val="hu-HU" w:eastAsia="en-US" w:bidi="ar-SA"/>
      </w:rPr>
    </w:lvl>
    <w:lvl w:ilvl="1" w:tplc="7ABE7198">
      <w:numFmt w:val="bullet"/>
      <w:lvlText w:val="•"/>
      <w:lvlJc w:val="left"/>
      <w:pPr>
        <w:ind w:left="1670" w:hanging="221"/>
      </w:pPr>
      <w:rPr>
        <w:rFonts w:hint="default"/>
        <w:lang w:val="hu-HU" w:eastAsia="en-US" w:bidi="ar-SA"/>
      </w:rPr>
    </w:lvl>
    <w:lvl w:ilvl="2" w:tplc="6FB01B34">
      <w:numFmt w:val="bullet"/>
      <w:lvlText w:val="•"/>
      <w:lvlJc w:val="left"/>
      <w:pPr>
        <w:ind w:left="2661" w:hanging="221"/>
      </w:pPr>
      <w:rPr>
        <w:rFonts w:hint="default"/>
        <w:lang w:val="hu-HU" w:eastAsia="en-US" w:bidi="ar-SA"/>
      </w:rPr>
    </w:lvl>
    <w:lvl w:ilvl="3" w:tplc="22160DF8">
      <w:numFmt w:val="bullet"/>
      <w:lvlText w:val="•"/>
      <w:lvlJc w:val="left"/>
      <w:pPr>
        <w:ind w:left="3651" w:hanging="221"/>
      </w:pPr>
      <w:rPr>
        <w:rFonts w:hint="default"/>
        <w:lang w:val="hu-HU" w:eastAsia="en-US" w:bidi="ar-SA"/>
      </w:rPr>
    </w:lvl>
    <w:lvl w:ilvl="4" w:tplc="5AF25C52">
      <w:numFmt w:val="bullet"/>
      <w:lvlText w:val="•"/>
      <w:lvlJc w:val="left"/>
      <w:pPr>
        <w:ind w:left="4642" w:hanging="221"/>
      </w:pPr>
      <w:rPr>
        <w:rFonts w:hint="default"/>
        <w:lang w:val="hu-HU" w:eastAsia="en-US" w:bidi="ar-SA"/>
      </w:rPr>
    </w:lvl>
    <w:lvl w:ilvl="5" w:tplc="0C78919A">
      <w:numFmt w:val="bullet"/>
      <w:lvlText w:val="•"/>
      <w:lvlJc w:val="left"/>
      <w:pPr>
        <w:ind w:left="5632" w:hanging="221"/>
      </w:pPr>
      <w:rPr>
        <w:rFonts w:hint="default"/>
        <w:lang w:val="hu-HU" w:eastAsia="en-US" w:bidi="ar-SA"/>
      </w:rPr>
    </w:lvl>
    <w:lvl w:ilvl="6" w:tplc="308AA674">
      <w:numFmt w:val="bullet"/>
      <w:lvlText w:val="•"/>
      <w:lvlJc w:val="left"/>
      <w:pPr>
        <w:ind w:left="6623" w:hanging="221"/>
      </w:pPr>
      <w:rPr>
        <w:rFonts w:hint="default"/>
        <w:lang w:val="hu-HU" w:eastAsia="en-US" w:bidi="ar-SA"/>
      </w:rPr>
    </w:lvl>
    <w:lvl w:ilvl="7" w:tplc="5C48BF52">
      <w:numFmt w:val="bullet"/>
      <w:lvlText w:val="•"/>
      <w:lvlJc w:val="left"/>
      <w:pPr>
        <w:ind w:left="7613" w:hanging="221"/>
      </w:pPr>
      <w:rPr>
        <w:rFonts w:hint="default"/>
        <w:lang w:val="hu-HU" w:eastAsia="en-US" w:bidi="ar-SA"/>
      </w:rPr>
    </w:lvl>
    <w:lvl w:ilvl="8" w:tplc="20BAEA92">
      <w:numFmt w:val="bullet"/>
      <w:lvlText w:val="•"/>
      <w:lvlJc w:val="left"/>
      <w:pPr>
        <w:ind w:left="8604" w:hanging="221"/>
      </w:pPr>
      <w:rPr>
        <w:rFonts w:hint="default"/>
        <w:lang w:val="hu-HU" w:eastAsia="en-US" w:bidi="ar-SA"/>
      </w:rPr>
    </w:lvl>
  </w:abstractNum>
  <w:abstractNum w:abstractNumId="4" w15:restartNumberingAfterBreak="0">
    <w:nsid w:val="1D2A0D54"/>
    <w:multiLevelType w:val="hybridMultilevel"/>
    <w:tmpl w:val="E67CA8CC"/>
    <w:lvl w:ilvl="0" w:tplc="4DAC4D4A">
      <w:numFmt w:val="bullet"/>
      <w:lvlText w:val=""/>
      <w:lvlJc w:val="left"/>
      <w:pPr>
        <w:ind w:left="1242" w:hanging="360"/>
      </w:pPr>
      <w:rPr>
        <w:rFonts w:ascii="Symbol" w:eastAsia="Symbol" w:hAnsi="Symbol" w:cs="Symbol" w:hint="default"/>
        <w:b w:val="0"/>
        <w:bCs w:val="0"/>
        <w:i w:val="0"/>
        <w:iCs w:val="0"/>
        <w:w w:val="100"/>
        <w:sz w:val="22"/>
        <w:szCs w:val="22"/>
        <w:lang w:val="hu-HU" w:eastAsia="en-US" w:bidi="ar-SA"/>
      </w:rPr>
    </w:lvl>
    <w:lvl w:ilvl="1" w:tplc="89945E18">
      <w:numFmt w:val="bullet"/>
      <w:lvlText w:val="•"/>
      <w:lvlJc w:val="left"/>
      <w:pPr>
        <w:ind w:left="2174" w:hanging="360"/>
      </w:pPr>
      <w:rPr>
        <w:rFonts w:hint="default"/>
        <w:lang w:val="hu-HU" w:eastAsia="en-US" w:bidi="ar-SA"/>
      </w:rPr>
    </w:lvl>
    <w:lvl w:ilvl="2" w:tplc="3656CEF6">
      <w:numFmt w:val="bullet"/>
      <w:lvlText w:val="•"/>
      <w:lvlJc w:val="left"/>
      <w:pPr>
        <w:ind w:left="3109" w:hanging="360"/>
      </w:pPr>
      <w:rPr>
        <w:rFonts w:hint="default"/>
        <w:lang w:val="hu-HU" w:eastAsia="en-US" w:bidi="ar-SA"/>
      </w:rPr>
    </w:lvl>
    <w:lvl w:ilvl="3" w:tplc="53B48972">
      <w:numFmt w:val="bullet"/>
      <w:lvlText w:val="•"/>
      <w:lvlJc w:val="left"/>
      <w:pPr>
        <w:ind w:left="4043" w:hanging="360"/>
      </w:pPr>
      <w:rPr>
        <w:rFonts w:hint="default"/>
        <w:lang w:val="hu-HU" w:eastAsia="en-US" w:bidi="ar-SA"/>
      </w:rPr>
    </w:lvl>
    <w:lvl w:ilvl="4" w:tplc="4106DC32">
      <w:numFmt w:val="bullet"/>
      <w:lvlText w:val="•"/>
      <w:lvlJc w:val="left"/>
      <w:pPr>
        <w:ind w:left="4978" w:hanging="360"/>
      </w:pPr>
      <w:rPr>
        <w:rFonts w:hint="default"/>
        <w:lang w:val="hu-HU" w:eastAsia="en-US" w:bidi="ar-SA"/>
      </w:rPr>
    </w:lvl>
    <w:lvl w:ilvl="5" w:tplc="F65E3678">
      <w:numFmt w:val="bullet"/>
      <w:lvlText w:val="•"/>
      <w:lvlJc w:val="left"/>
      <w:pPr>
        <w:ind w:left="5912" w:hanging="360"/>
      </w:pPr>
      <w:rPr>
        <w:rFonts w:hint="default"/>
        <w:lang w:val="hu-HU" w:eastAsia="en-US" w:bidi="ar-SA"/>
      </w:rPr>
    </w:lvl>
    <w:lvl w:ilvl="6" w:tplc="1D84CFD2">
      <w:numFmt w:val="bullet"/>
      <w:lvlText w:val="•"/>
      <w:lvlJc w:val="left"/>
      <w:pPr>
        <w:ind w:left="6847" w:hanging="360"/>
      </w:pPr>
      <w:rPr>
        <w:rFonts w:hint="default"/>
        <w:lang w:val="hu-HU" w:eastAsia="en-US" w:bidi="ar-SA"/>
      </w:rPr>
    </w:lvl>
    <w:lvl w:ilvl="7" w:tplc="34BEEE98">
      <w:numFmt w:val="bullet"/>
      <w:lvlText w:val="•"/>
      <w:lvlJc w:val="left"/>
      <w:pPr>
        <w:ind w:left="7781" w:hanging="360"/>
      </w:pPr>
      <w:rPr>
        <w:rFonts w:hint="default"/>
        <w:lang w:val="hu-HU" w:eastAsia="en-US" w:bidi="ar-SA"/>
      </w:rPr>
    </w:lvl>
    <w:lvl w:ilvl="8" w:tplc="DF9281AA">
      <w:numFmt w:val="bullet"/>
      <w:lvlText w:val="•"/>
      <w:lvlJc w:val="left"/>
      <w:pPr>
        <w:ind w:left="8716" w:hanging="360"/>
      </w:pPr>
      <w:rPr>
        <w:rFonts w:hint="default"/>
        <w:lang w:val="hu-HU" w:eastAsia="en-US" w:bidi="ar-SA"/>
      </w:rPr>
    </w:lvl>
  </w:abstractNum>
  <w:abstractNum w:abstractNumId="5" w15:restartNumberingAfterBreak="0">
    <w:nsid w:val="1EAF60EE"/>
    <w:multiLevelType w:val="hybridMultilevel"/>
    <w:tmpl w:val="8B5852D6"/>
    <w:lvl w:ilvl="0" w:tplc="3A0E8F24">
      <w:start w:val="1"/>
      <w:numFmt w:val="upperRoman"/>
      <w:lvlText w:val="%1."/>
      <w:lvlJc w:val="left"/>
      <w:pPr>
        <w:ind w:left="3858" w:hanging="196"/>
        <w:jc w:val="right"/>
      </w:pPr>
      <w:rPr>
        <w:rFonts w:ascii="Times New Roman" w:eastAsia="Times New Roman" w:hAnsi="Times New Roman" w:cs="Times New Roman" w:hint="default"/>
        <w:b/>
        <w:bCs/>
        <w:i w:val="0"/>
        <w:iCs w:val="0"/>
        <w:spacing w:val="-1"/>
        <w:w w:val="100"/>
        <w:sz w:val="22"/>
        <w:szCs w:val="22"/>
        <w:lang w:val="hu-HU" w:eastAsia="en-US" w:bidi="ar-SA"/>
      </w:rPr>
    </w:lvl>
    <w:lvl w:ilvl="1" w:tplc="E4F4F932">
      <w:numFmt w:val="bullet"/>
      <w:lvlText w:val="•"/>
      <w:lvlJc w:val="left"/>
      <w:pPr>
        <w:ind w:left="4532" w:hanging="196"/>
      </w:pPr>
      <w:rPr>
        <w:rFonts w:hint="default"/>
        <w:lang w:val="hu-HU" w:eastAsia="en-US" w:bidi="ar-SA"/>
      </w:rPr>
    </w:lvl>
    <w:lvl w:ilvl="2" w:tplc="B7CEC95C">
      <w:numFmt w:val="bullet"/>
      <w:lvlText w:val="•"/>
      <w:lvlJc w:val="left"/>
      <w:pPr>
        <w:ind w:left="5205" w:hanging="196"/>
      </w:pPr>
      <w:rPr>
        <w:rFonts w:hint="default"/>
        <w:lang w:val="hu-HU" w:eastAsia="en-US" w:bidi="ar-SA"/>
      </w:rPr>
    </w:lvl>
    <w:lvl w:ilvl="3" w:tplc="54105A10">
      <w:numFmt w:val="bullet"/>
      <w:lvlText w:val="•"/>
      <w:lvlJc w:val="left"/>
      <w:pPr>
        <w:ind w:left="5877" w:hanging="196"/>
      </w:pPr>
      <w:rPr>
        <w:rFonts w:hint="default"/>
        <w:lang w:val="hu-HU" w:eastAsia="en-US" w:bidi="ar-SA"/>
      </w:rPr>
    </w:lvl>
    <w:lvl w:ilvl="4" w:tplc="79C02DBA">
      <w:numFmt w:val="bullet"/>
      <w:lvlText w:val="•"/>
      <w:lvlJc w:val="left"/>
      <w:pPr>
        <w:ind w:left="6550" w:hanging="196"/>
      </w:pPr>
      <w:rPr>
        <w:rFonts w:hint="default"/>
        <w:lang w:val="hu-HU" w:eastAsia="en-US" w:bidi="ar-SA"/>
      </w:rPr>
    </w:lvl>
    <w:lvl w:ilvl="5" w:tplc="BFE2DD42">
      <w:numFmt w:val="bullet"/>
      <w:lvlText w:val="•"/>
      <w:lvlJc w:val="left"/>
      <w:pPr>
        <w:ind w:left="7222" w:hanging="196"/>
      </w:pPr>
      <w:rPr>
        <w:rFonts w:hint="default"/>
        <w:lang w:val="hu-HU" w:eastAsia="en-US" w:bidi="ar-SA"/>
      </w:rPr>
    </w:lvl>
    <w:lvl w:ilvl="6" w:tplc="E7147DB2">
      <w:numFmt w:val="bullet"/>
      <w:lvlText w:val="•"/>
      <w:lvlJc w:val="left"/>
      <w:pPr>
        <w:ind w:left="7895" w:hanging="196"/>
      </w:pPr>
      <w:rPr>
        <w:rFonts w:hint="default"/>
        <w:lang w:val="hu-HU" w:eastAsia="en-US" w:bidi="ar-SA"/>
      </w:rPr>
    </w:lvl>
    <w:lvl w:ilvl="7" w:tplc="964A26C8">
      <w:numFmt w:val="bullet"/>
      <w:lvlText w:val="•"/>
      <w:lvlJc w:val="left"/>
      <w:pPr>
        <w:ind w:left="8567" w:hanging="196"/>
      </w:pPr>
      <w:rPr>
        <w:rFonts w:hint="default"/>
        <w:lang w:val="hu-HU" w:eastAsia="en-US" w:bidi="ar-SA"/>
      </w:rPr>
    </w:lvl>
    <w:lvl w:ilvl="8" w:tplc="387A1F42">
      <w:numFmt w:val="bullet"/>
      <w:lvlText w:val="•"/>
      <w:lvlJc w:val="left"/>
      <w:pPr>
        <w:ind w:left="9240" w:hanging="196"/>
      </w:pPr>
      <w:rPr>
        <w:rFonts w:hint="default"/>
        <w:lang w:val="hu-HU" w:eastAsia="en-US" w:bidi="ar-SA"/>
      </w:rPr>
    </w:lvl>
  </w:abstractNum>
  <w:abstractNum w:abstractNumId="6" w15:restartNumberingAfterBreak="0">
    <w:nsid w:val="20DA70AE"/>
    <w:multiLevelType w:val="hybridMultilevel"/>
    <w:tmpl w:val="448038DC"/>
    <w:lvl w:ilvl="0" w:tplc="B14EA6DA">
      <w:numFmt w:val="bullet"/>
      <w:lvlText w:val="-"/>
      <w:lvlJc w:val="left"/>
      <w:pPr>
        <w:ind w:left="1242" w:hanging="567"/>
      </w:pPr>
      <w:rPr>
        <w:rFonts w:ascii="Times New Roman" w:eastAsia="Times New Roman" w:hAnsi="Times New Roman" w:cs="Times New Roman" w:hint="default"/>
        <w:b w:val="0"/>
        <w:bCs w:val="0"/>
        <w:i w:val="0"/>
        <w:iCs w:val="0"/>
        <w:w w:val="100"/>
        <w:sz w:val="22"/>
        <w:szCs w:val="22"/>
        <w:lang w:val="hu-HU" w:eastAsia="en-US" w:bidi="ar-SA"/>
      </w:rPr>
    </w:lvl>
    <w:lvl w:ilvl="1" w:tplc="85CA08F6">
      <w:numFmt w:val="bullet"/>
      <w:lvlText w:val="•"/>
      <w:lvlJc w:val="left"/>
      <w:pPr>
        <w:ind w:left="2174" w:hanging="567"/>
      </w:pPr>
      <w:rPr>
        <w:rFonts w:hint="default"/>
        <w:lang w:val="hu-HU" w:eastAsia="en-US" w:bidi="ar-SA"/>
      </w:rPr>
    </w:lvl>
    <w:lvl w:ilvl="2" w:tplc="2C0C2BBE">
      <w:numFmt w:val="bullet"/>
      <w:lvlText w:val="•"/>
      <w:lvlJc w:val="left"/>
      <w:pPr>
        <w:ind w:left="3109" w:hanging="567"/>
      </w:pPr>
      <w:rPr>
        <w:rFonts w:hint="default"/>
        <w:lang w:val="hu-HU" w:eastAsia="en-US" w:bidi="ar-SA"/>
      </w:rPr>
    </w:lvl>
    <w:lvl w:ilvl="3" w:tplc="99549F28">
      <w:numFmt w:val="bullet"/>
      <w:lvlText w:val="•"/>
      <w:lvlJc w:val="left"/>
      <w:pPr>
        <w:ind w:left="4043" w:hanging="567"/>
      </w:pPr>
      <w:rPr>
        <w:rFonts w:hint="default"/>
        <w:lang w:val="hu-HU" w:eastAsia="en-US" w:bidi="ar-SA"/>
      </w:rPr>
    </w:lvl>
    <w:lvl w:ilvl="4" w:tplc="51963E22">
      <w:numFmt w:val="bullet"/>
      <w:lvlText w:val="•"/>
      <w:lvlJc w:val="left"/>
      <w:pPr>
        <w:ind w:left="4978" w:hanging="567"/>
      </w:pPr>
      <w:rPr>
        <w:rFonts w:hint="default"/>
        <w:lang w:val="hu-HU" w:eastAsia="en-US" w:bidi="ar-SA"/>
      </w:rPr>
    </w:lvl>
    <w:lvl w:ilvl="5" w:tplc="192C0D02">
      <w:numFmt w:val="bullet"/>
      <w:lvlText w:val="•"/>
      <w:lvlJc w:val="left"/>
      <w:pPr>
        <w:ind w:left="5912" w:hanging="567"/>
      </w:pPr>
      <w:rPr>
        <w:rFonts w:hint="default"/>
        <w:lang w:val="hu-HU" w:eastAsia="en-US" w:bidi="ar-SA"/>
      </w:rPr>
    </w:lvl>
    <w:lvl w:ilvl="6" w:tplc="70C230AE">
      <w:numFmt w:val="bullet"/>
      <w:lvlText w:val="•"/>
      <w:lvlJc w:val="left"/>
      <w:pPr>
        <w:ind w:left="6847" w:hanging="567"/>
      </w:pPr>
      <w:rPr>
        <w:rFonts w:hint="default"/>
        <w:lang w:val="hu-HU" w:eastAsia="en-US" w:bidi="ar-SA"/>
      </w:rPr>
    </w:lvl>
    <w:lvl w:ilvl="7" w:tplc="D4BCCFC4">
      <w:numFmt w:val="bullet"/>
      <w:lvlText w:val="•"/>
      <w:lvlJc w:val="left"/>
      <w:pPr>
        <w:ind w:left="7781" w:hanging="567"/>
      </w:pPr>
      <w:rPr>
        <w:rFonts w:hint="default"/>
        <w:lang w:val="hu-HU" w:eastAsia="en-US" w:bidi="ar-SA"/>
      </w:rPr>
    </w:lvl>
    <w:lvl w:ilvl="8" w:tplc="31B65BD8">
      <w:numFmt w:val="bullet"/>
      <w:lvlText w:val="•"/>
      <w:lvlJc w:val="left"/>
      <w:pPr>
        <w:ind w:left="8716" w:hanging="567"/>
      </w:pPr>
      <w:rPr>
        <w:rFonts w:hint="default"/>
        <w:lang w:val="hu-HU" w:eastAsia="en-US" w:bidi="ar-SA"/>
      </w:rPr>
    </w:lvl>
  </w:abstractNum>
  <w:abstractNum w:abstractNumId="7" w15:restartNumberingAfterBreak="0">
    <w:nsid w:val="27D26A27"/>
    <w:multiLevelType w:val="hybridMultilevel"/>
    <w:tmpl w:val="499C4888"/>
    <w:lvl w:ilvl="0" w:tplc="E83E1C94">
      <w:start w:val="1"/>
      <w:numFmt w:val="decimal"/>
      <w:lvlText w:val="%1."/>
      <w:lvlJc w:val="left"/>
      <w:pPr>
        <w:ind w:left="1249" w:hanging="574"/>
      </w:pPr>
      <w:rPr>
        <w:rFonts w:ascii="Times New Roman" w:eastAsia="Times New Roman" w:hAnsi="Times New Roman" w:cs="Times New Roman" w:hint="default"/>
        <w:b/>
        <w:bCs/>
        <w:i w:val="0"/>
        <w:iCs w:val="0"/>
        <w:w w:val="100"/>
        <w:sz w:val="22"/>
        <w:szCs w:val="22"/>
        <w:lang w:val="hu-HU" w:eastAsia="en-US" w:bidi="ar-SA"/>
      </w:rPr>
    </w:lvl>
    <w:lvl w:ilvl="1" w:tplc="9A320314">
      <w:numFmt w:val="bullet"/>
      <w:lvlText w:val="•"/>
      <w:lvlJc w:val="left"/>
      <w:pPr>
        <w:ind w:left="2174" w:hanging="574"/>
      </w:pPr>
      <w:rPr>
        <w:rFonts w:hint="default"/>
        <w:lang w:val="hu-HU" w:eastAsia="en-US" w:bidi="ar-SA"/>
      </w:rPr>
    </w:lvl>
    <w:lvl w:ilvl="2" w:tplc="6040D11C">
      <w:numFmt w:val="bullet"/>
      <w:lvlText w:val="•"/>
      <w:lvlJc w:val="left"/>
      <w:pPr>
        <w:ind w:left="3109" w:hanging="574"/>
      </w:pPr>
      <w:rPr>
        <w:rFonts w:hint="default"/>
        <w:lang w:val="hu-HU" w:eastAsia="en-US" w:bidi="ar-SA"/>
      </w:rPr>
    </w:lvl>
    <w:lvl w:ilvl="3" w:tplc="C0B20190">
      <w:numFmt w:val="bullet"/>
      <w:lvlText w:val="•"/>
      <w:lvlJc w:val="left"/>
      <w:pPr>
        <w:ind w:left="4043" w:hanging="574"/>
      </w:pPr>
      <w:rPr>
        <w:rFonts w:hint="default"/>
        <w:lang w:val="hu-HU" w:eastAsia="en-US" w:bidi="ar-SA"/>
      </w:rPr>
    </w:lvl>
    <w:lvl w:ilvl="4" w:tplc="42D439B2">
      <w:numFmt w:val="bullet"/>
      <w:lvlText w:val="•"/>
      <w:lvlJc w:val="left"/>
      <w:pPr>
        <w:ind w:left="4978" w:hanging="574"/>
      </w:pPr>
      <w:rPr>
        <w:rFonts w:hint="default"/>
        <w:lang w:val="hu-HU" w:eastAsia="en-US" w:bidi="ar-SA"/>
      </w:rPr>
    </w:lvl>
    <w:lvl w:ilvl="5" w:tplc="D5549606">
      <w:numFmt w:val="bullet"/>
      <w:lvlText w:val="•"/>
      <w:lvlJc w:val="left"/>
      <w:pPr>
        <w:ind w:left="5912" w:hanging="574"/>
      </w:pPr>
      <w:rPr>
        <w:rFonts w:hint="default"/>
        <w:lang w:val="hu-HU" w:eastAsia="en-US" w:bidi="ar-SA"/>
      </w:rPr>
    </w:lvl>
    <w:lvl w:ilvl="6" w:tplc="D28E0794">
      <w:numFmt w:val="bullet"/>
      <w:lvlText w:val="•"/>
      <w:lvlJc w:val="left"/>
      <w:pPr>
        <w:ind w:left="6847" w:hanging="574"/>
      </w:pPr>
      <w:rPr>
        <w:rFonts w:hint="default"/>
        <w:lang w:val="hu-HU" w:eastAsia="en-US" w:bidi="ar-SA"/>
      </w:rPr>
    </w:lvl>
    <w:lvl w:ilvl="7" w:tplc="383A8DA4">
      <w:numFmt w:val="bullet"/>
      <w:lvlText w:val="•"/>
      <w:lvlJc w:val="left"/>
      <w:pPr>
        <w:ind w:left="7781" w:hanging="574"/>
      </w:pPr>
      <w:rPr>
        <w:rFonts w:hint="default"/>
        <w:lang w:val="hu-HU" w:eastAsia="en-US" w:bidi="ar-SA"/>
      </w:rPr>
    </w:lvl>
    <w:lvl w:ilvl="8" w:tplc="32C05686">
      <w:numFmt w:val="bullet"/>
      <w:lvlText w:val="•"/>
      <w:lvlJc w:val="left"/>
      <w:pPr>
        <w:ind w:left="8716" w:hanging="574"/>
      </w:pPr>
      <w:rPr>
        <w:rFonts w:hint="default"/>
        <w:lang w:val="hu-HU" w:eastAsia="en-US" w:bidi="ar-SA"/>
      </w:rPr>
    </w:lvl>
  </w:abstractNum>
  <w:abstractNum w:abstractNumId="8" w15:restartNumberingAfterBreak="0">
    <w:nsid w:val="2842342B"/>
    <w:multiLevelType w:val="hybridMultilevel"/>
    <w:tmpl w:val="289EA788"/>
    <w:lvl w:ilvl="0" w:tplc="B61E4CE8">
      <w:start w:val="1"/>
      <w:numFmt w:val="decimal"/>
      <w:lvlText w:val="%1."/>
      <w:lvlJc w:val="left"/>
      <w:pPr>
        <w:ind w:left="221" w:hanging="221"/>
      </w:pPr>
      <w:rPr>
        <w:rFonts w:ascii="Times New Roman" w:eastAsia="Times New Roman" w:hAnsi="Times New Roman" w:cs="Times New Roman" w:hint="default"/>
        <w:b/>
        <w:bCs/>
        <w:i w:val="0"/>
        <w:iCs w:val="0"/>
        <w:w w:val="100"/>
        <w:sz w:val="22"/>
        <w:szCs w:val="22"/>
        <w:lang w:val="hu-HU" w:eastAsia="en-US" w:bidi="ar-SA"/>
      </w:rPr>
    </w:lvl>
    <w:lvl w:ilvl="1" w:tplc="D6F4FFD0">
      <w:numFmt w:val="bullet"/>
      <w:lvlText w:val="•"/>
      <w:lvlJc w:val="left"/>
      <w:pPr>
        <w:ind w:left="1193" w:hanging="221"/>
      </w:pPr>
      <w:rPr>
        <w:rFonts w:hint="default"/>
        <w:lang w:val="hu-HU" w:eastAsia="en-US" w:bidi="ar-SA"/>
      </w:rPr>
    </w:lvl>
    <w:lvl w:ilvl="2" w:tplc="77324068">
      <w:numFmt w:val="bullet"/>
      <w:lvlText w:val="•"/>
      <w:lvlJc w:val="left"/>
      <w:pPr>
        <w:ind w:left="2162" w:hanging="221"/>
      </w:pPr>
      <w:rPr>
        <w:rFonts w:hint="default"/>
        <w:lang w:val="hu-HU" w:eastAsia="en-US" w:bidi="ar-SA"/>
      </w:rPr>
    </w:lvl>
    <w:lvl w:ilvl="3" w:tplc="67AA8340">
      <w:numFmt w:val="bullet"/>
      <w:lvlText w:val="•"/>
      <w:lvlJc w:val="left"/>
      <w:pPr>
        <w:ind w:left="3130" w:hanging="221"/>
      </w:pPr>
      <w:rPr>
        <w:rFonts w:hint="default"/>
        <w:lang w:val="hu-HU" w:eastAsia="en-US" w:bidi="ar-SA"/>
      </w:rPr>
    </w:lvl>
    <w:lvl w:ilvl="4" w:tplc="A920B886">
      <w:numFmt w:val="bullet"/>
      <w:lvlText w:val="•"/>
      <w:lvlJc w:val="left"/>
      <w:pPr>
        <w:ind w:left="4099" w:hanging="221"/>
      </w:pPr>
      <w:rPr>
        <w:rFonts w:hint="default"/>
        <w:lang w:val="hu-HU" w:eastAsia="en-US" w:bidi="ar-SA"/>
      </w:rPr>
    </w:lvl>
    <w:lvl w:ilvl="5" w:tplc="7FAEADAC">
      <w:numFmt w:val="bullet"/>
      <w:lvlText w:val="•"/>
      <w:lvlJc w:val="left"/>
      <w:pPr>
        <w:ind w:left="5067" w:hanging="221"/>
      </w:pPr>
      <w:rPr>
        <w:rFonts w:hint="default"/>
        <w:lang w:val="hu-HU" w:eastAsia="en-US" w:bidi="ar-SA"/>
      </w:rPr>
    </w:lvl>
    <w:lvl w:ilvl="6" w:tplc="4560DD78">
      <w:numFmt w:val="bullet"/>
      <w:lvlText w:val="•"/>
      <w:lvlJc w:val="left"/>
      <w:pPr>
        <w:ind w:left="6036" w:hanging="221"/>
      </w:pPr>
      <w:rPr>
        <w:rFonts w:hint="default"/>
        <w:lang w:val="hu-HU" w:eastAsia="en-US" w:bidi="ar-SA"/>
      </w:rPr>
    </w:lvl>
    <w:lvl w:ilvl="7" w:tplc="CC325614">
      <w:numFmt w:val="bullet"/>
      <w:lvlText w:val="•"/>
      <w:lvlJc w:val="left"/>
      <w:pPr>
        <w:ind w:left="7004" w:hanging="221"/>
      </w:pPr>
      <w:rPr>
        <w:rFonts w:hint="default"/>
        <w:lang w:val="hu-HU" w:eastAsia="en-US" w:bidi="ar-SA"/>
      </w:rPr>
    </w:lvl>
    <w:lvl w:ilvl="8" w:tplc="A4DACDA8">
      <w:numFmt w:val="bullet"/>
      <w:lvlText w:val="•"/>
      <w:lvlJc w:val="left"/>
      <w:pPr>
        <w:ind w:left="7973" w:hanging="221"/>
      </w:pPr>
      <w:rPr>
        <w:rFonts w:hint="default"/>
        <w:lang w:val="hu-HU" w:eastAsia="en-US" w:bidi="ar-SA"/>
      </w:rPr>
    </w:lvl>
  </w:abstractNum>
  <w:abstractNum w:abstractNumId="9" w15:restartNumberingAfterBreak="0">
    <w:nsid w:val="34F60ACF"/>
    <w:multiLevelType w:val="multilevel"/>
    <w:tmpl w:val="D7A683A4"/>
    <w:lvl w:ilvl="0">
      <w:start w:val="5"/>
      <w:numFmt w:val="decimal"/>
      <w:lvlText w:val="%1."/>
      <w:lvlJc w:val="left"/>
      <w:pPr>
        <w:ind w:left="1242" w:hanging="567"/>
      </w:pPr>
      <w:rPr>
        <w:rFonts w:ascii="Times New Roman" w:eastAsia="Times New Roman" w:hAnsi="Times New Roman" w:cs="Times New Roman" w:hint="default"/>
        <w:b/>
        <w:bCs/>
        <w:i w:val="0"/>
        <w:iCs w:val="0"/>
        <w:w w:val="100"/>
        <w:sz w:val="22"/>
        <w:szCs w:val="22"/>
        <w:lang w:val="hu-HU" w:eastAsia="en-US" w:bidi="ar-SA"/>
      </w:rPr>
    </w:lvl>
    <w:lvl w:ilvl="1">
      <w:start w:val="1"/>
      <w:numFmt w:val="decimal"/>
      <w:lvlText w:val="%1.%2"/>
      <w:lvlJc w:val="left"/>
      <w:pPr>
        <w:ind w:left="1242" w:hanging="567"/>
      </w:pPr>
      <w:rPr>
        <w:rFonts w:ascii="Times New Roman" w:eastAsia="Times New Roman" w:hAnsi="Times New Roman" w:cs="Times New Roman" w:hint="default"/>
        <w:b/>
        <w:bCs/>
        <w:i w:val="0"/>
        <w:iCs w:val="0"/>
        <w:w w:val="100"/>
        <w:sz w:val="22"/>
        <w:szCs w:val="22"/>
        <w:lang w:val="hu-HU" w:eastAsia="en-US" w:bidi="ar-SA"/>
      </w:rPr>
    </w:lvl>
    <w:lvl w:ilvl="2">
      <w:numFmt w:val="bullet"/>
      <w:lvlText w:val="•"/>
      <w:lvlJc w:val="left"/>
      <w:pPr>
        <w:ind w:left="3109" w:hanging="567"/>
      </w:pPr>
      <w:rPr>
        <w:rFonts w:hint="default"/>
        <w:lang w:val="hu-HU" w:eastAsia="en-US" w:bidi="ar-SA"/>
      </w:rPr>
    </w:lvl>
    <w:lvl w:ilvl="3">
      <w:numFmt w:val="bullet"/>
      <w:lvlText w:val="•"/>
      <w:lvlJc w:val="left"/>
      <w:pPr>
        <w:ind w:left="4043" w:hanging="567"/>
      </w:pPr>
      <w:rPr>
        <w:rFonts w:hint="default"/>
        <w:lang w:val="hu-HU" w:eastAsia="en-US" w:bidi="ar-SA"/>
      </w:rPr>
    </w:lvl>
    <w:lvl w:ilvl="4">
      <w:numFmt w:val="bullet"/>
      <w:lvlText w:val="•"/>
      <w:lvlJc w:val="left"/>
      <w:pPr>
        <w:ind w:left="4978" w:hanging="567"/>
      </w:pPr>
      <w:rPr>
        <w:rFonts w:hint="default"/>
        <w:lang w:val="hu-HU" w:eastAsia="en-US" w:bidi="ar-SA"/>
      </w:rPr>
    </w:lvl>
    <w:lvl w:ilvl="5">
      <w:numFmt w:val="bullet"/>
      <w:lvlText w:val="•"/>
      <w:lvlJc w:val="left"/>
      <w:pPr>
        <w:ind w:left="5912" w:hanging="567"/>
      </w:pPr>
      <w:rPr>
        <w:rFonts w:hint="default"/>
        <w:lang w:val="hu-HU" w:eastAsia="en-US" w:bidi="ar-SA"/>
      </w:rPr>
    </w:lvl>
    <w:lvl w:ilvl="6">
      <w:numFmt w:val="bullet"/>
      <w:lvlText w:val="•"/>
      <w:lvlJc w:val="left"/>
      <w:pPr>
        <w:ind w:left="6847" w:hanging="567"/>
      </w:pPr>
      <w:rPr>
        <w:rFonts w:hint="default"/>
        <w:lang w:val="hu-HU" w:eastAsia="en-US" w:bidi="ar-SA"/>
      </w:rPr>
    </w:lvl>
    <w:lvl w:ilvl="7">
      <w:numFmt w:val="bullet"/>
      <w:lvlText w:val="•"/>
      <w:lvlJc w:val="left"/>
      <w:pPr>
        <w:ind w:left="7781" w:hanging="567"/>
      </w:pPr>
      <w:rPr>
        <w:rFonts w:hint="default"/>
        <w:lang w:val="hu-HU" w:eastAsia="en-US" w:bidi="ar-SA"/>
      </w:rPr>
    </w:lvl>
    <w:lvl w:ilvl="8">
      <w:numFmt w:val="bullet"/>
      <w:lvlText w:val="•"/>
      <w:lvlJc w:val="left"/>
      <w:pPr>
        <w:ind w:left="8716" w:hanging="567"/>
      </w:pPr>
      <w:rPr>
        <w:rFonts w:hint="default"/>
        <w:lang w:val="hu-HU" w:eastAsia="en-US" w:bidi="ar-SA"/>
      </w:rPr>
    </w:lvl>
  </w:abstractNum>
  <w:abstractNum w:abstractNumId="10" w15:restartNumberingAfterBreak="0">
    <w:nsid w:val="48065662"/>
    <w:multiLevelType w:val="multilevel"/>
    <w:tmpl w:val="7AB26B66"/>
    <w:lvl w:ilvl="0">
      <w:start w:val="1"/>
      <w:numFmt w:val="decimal"/>
      <w:lvlText w:val="%1."/>
      <w:lvlJc w:val="left"/>
      <w:pPr>
        <w:ind w:left="1242" w:hanging="567"/>
      </w:pPr>
      <w:rPr>
        <w:rFonts w:ascii="Times New Roman" w:eastAsia="Times New Roman" w:hAnsi="Times New Roman" w:cs="Times New Roman" w:hint="default"/>
        <w:b/>
        <w:bCs/>
        <w:i w:val="0"/>
        <w:iCs w:val="0"/>
        <w:w w:val="100"/>
        <w:sz w:val="22"/>
        <w:szCs w:val="22"/>
        <w:lang w:val="hu-HU" w:eastAsia="en-US" w:bidi="ar-SA"/>
      </w:rPr>
    </w:lvl>
    <w:lvl w:ilvl="1">
      <w:start w:val="1"/>
      <w:numFmt w:val="decimal"/>
      <w:lvlText w:val="%1.%2"/>
      <w:lvlJc w:val="left"/>
      <w:pPr>
        <w:ind w:left="1242" w:hanging="567"/>
      </w:pPr>
      <w:rPr>
        <w:rFonts w:ascii="Times New Roman" w:eastAsia="Times New Roman" w:hAnsi="Times New Roman" w:cs="Times New Roman" w:hint="default"/>
        <w:b/>
        <w:bCs/>
        <w:i w:val="0"/>
        <w:iCs w:val="0"/>
        <w:w w:val="100"/>
        <w:sz w:val="22"/>
        <w:szCs w:val="22"/>
        <w:lang w:val="hu-HU" w:eastAsia="en-US" w:bidi="ar-SA"/>
      </w:rPr>
    </w:lvl>
    <w:lvl w:ilvl="2">
      <w:numFmt w:val="bullet"/>
      <w:lvlText w:val=""/>
      <w:lvlJc w:val="left"/>
      <w:pPr>
        <w:ind w:left="1396" w:hanging="293"/>
      </w:pPr>
      <w:rPr>
        <w:rFonts w:ascii="Symbol" w:eastAsia="Symbol" w:hAnsi="Symbol" w:cs="Symbol" w:hint="default"/>
        <w:b w:val="0"/>
        <w:bCs w:val="0"/>
        <w:i w:val="0"/>
        <w:iCs w:val="0"/>
        <w:w w:val="100"/>
        <w:sz w:val="22"/>
        <w:szCs w:val="22"/>
        <w:lang w:val="hu-HU" w:eastAsia="en-US" w:bidi="ar-SA"/>
      </w:rPr>
    </w:lvl>
    <w:lvl w:ilvl="3">
      <w:numFmt w:val="bullet"/>
      <w:lvlText w:val="•"/>
      <w:lvlJc w:val="left"/>
      <w:pPr>
        <w:ind w:left="3441" w:hanging="293"/>
      </w:pPr>
      <w:rPr>
        <w:rFonts w:hint="default"/>
        <w:lang w:val="hu-HU" w:eastAsia="en-US" w:bidi="ar-SA"/>
      </w:rPr>
    </w:lvl>
    <w:lvl w:ilvl="4">
      <w:numFmt w:val="bullet"/>
      <w:lvlText w:val="•"/>
      <w:lvlJc w:val="left"/>
      <w:pPr>
        <w:ind w:left="4461" w:hanging="293"/>
      </w:pPr>
      <w:rPr>
        <w:rFonts w:hint="default"/>
        <w:lang w:val="hu-HU" w:eastAsia="en-US" w:bidi="ar-SA"/>
      </w:rPr>
    </w:lvl>
    <w:lvl w:ilvl="5">
      <w:numFmt w:val="bullet"/>
      <w:lvlText w:val="•"/>
      <w:lvlJc w:val="left"/>
      <w:pPr>
        <w:ind w:left="5482" w:hanging="293"/>
      </w:pPr>
      <w:rPr>
        <w:rFonts w:hint="default"/>
        <w:lang w:val="hu-HU" w:eastAsia="en-US" w:bidi="ar-SA"/>
      </w:rPr>
    </w:lvl>
    <w:lvl w:ilvl="6">
      <w:numFmt w:val="bullet"/>
      <w:lvlText w:val="•"/>
      <w:lvlJc w:val="left"/>
      <w:pPr>
        <w:ind w:left="6503" w:hanging="293"/>
      </w:pPr>
      <w:rPr>
        <w:rFonts w:hint="default"/>
        <w:lang w:val="hu-HU" w:eastAsia="en-US" w:bidi="ar-SA"/>
      </w:rPr>
    </w:lvl>
    <w:lvl w:ilvl="7">
      <w:numFmt w:val="bullet"/>
      <w:lvlText w:val="•"/>
      <w:lvlJc w:val="left"/>
      <w:pPr>
        <w:ind w:left="7523" w:hanging="293"/>
      </w:pPr>
      <w:rPr>
        <w:rFonts w:hint="default"/>
        <w:lang w:val="hu-HU" w:eastAsia="en-US" w:bidi="ar-SA"/>
      </w:rPr>
    </w:lvl>
    <w:lvl w:ilvl="8">
      <w:numFmt w:val="bullet"/>
      <w:lvlText w:val="•"/>
      <w:lvlJc w:val="left"/>
      <w:pPr>
        <w:ind w:left="8544" w:hanging="293"/>
      </w:pPr>
      <w:rPr>
        <w:rFonts w:hint="default"/>
        <w:lang w:val="hu-HU" w:eastAsia="en-US" w:bidi="ar-SA"/>
      </w:rPr>
    </w:lvl>
  </w:abstractNum>
  <w:abstractNum w:abstractNumId="11" w15:restartNumberingAfterBreak="0">
    <w:nsid w:val="484842A0"/>
    <w:multiLevelType w:val="multilevel"/>
    <w:tmpl w:val="726C115C"/>
    <w:lvl w:ilvl="0">
      <w:start w:val="1"/>
      <w:numFmt w:val="decimal"/>
      <w:lvlText w:val="%1"/>
      <w:lvlJc w:val="left"/>
      <w:pPr>
        <w:ind w:left="676" w:hanging="497"/>
      </w:pPr>
      <w:rPr>
        <w:rFonts w:hint="default"/>
        <w:lang w:val="hu-HU" w:eastAsia="en-US" w:bidi="ar-SA"/>
      </w:rPr>
    </w:lvl>
    <w:lvl w:ilvl="1">
      <w:start w:val="8"/>
      <w:numFmt w:val="decimal"/>
      <w:lvlText w:val="%1.%2"/>
      <w:lvlJc w:val="left"/>
      <w:pPr>
        <w:ind w:left="676" w:hanging="497"/>
      </w:pPr>
      <w:rPr>
        <w:rFonts w:hint="default"/>
        <w:lang w:val="hu-HU" w:eastAsia="en-US" w:bidi="ar-SA"/>
      </w:rPr>
    </w:lvl>
    <w:lvl w:ilvl="2">
      <w:start w:val="2"/>
      <w:numFmt w:val="decimal"/>
      <w:lvlText w:val="%1.%2.%3"/>
      <w:lvlJc w:val="left"/>
      <w:pPr>
        <w:ind w:left="676" w:hanging="497"/>
      </w:pPr>
      <w:rPr>
        <w:rFonts w:ascii="Times New Roman" w:eastAsia="Times New Roman" w:hAnsi="Times New Roman" w:cs="Times New Roman" w:hint="default"/>
        <w:b w:val="0"/>
        <w:bCs w:val="0"/>
        <w:i w:val="0"/>
        <w:iCs w:val="0"/>
        <w:w w:val="100"/>
        <w:sz w:val="22"/>
        <w:szCs w:val="22"/>
        <w:lang w:val="hu-HU" w:eastAsia="en-US" w:bidi="ar-SA"/>
      </w:rPr>
    </w:lvl>
    <w:lvl w:ilvl="3">
      <w:start w:val="1"/>
      <w:numFmt w:val="upperLetter"/>
      <w:lvlText w:val="%4."/>
      <w:lvlJc w:val="left"/>
      <w:pPr>
        <w:ind w:left="4501" w:hanging="269"/>
        <w:jc w:val="right"/>
      </w:pPr>
      <w:rPr>
        <w:rFonts w:ascii="Times New Roman" w:eastAsia="Times New Roman" w:hAnsi="Times New Roman" w:cs="Times New Roman" w:hint="default"/>
        <w:b/>
        <w:bCs/>
        <w:i w:val="0"/>
        <w:iCs w:val="0"/>
        <w:spacing w:val="-1"/>
        <w:w w:val="100"/>
        <w:sz w:val="22"/>
        <w:szCs w:val="22"/>
        <w:lang w:val="hu-HU" w:eastAsia="en-US" w:bidi="ar-SA"/>
      </w:rPr>
    </w:lvl>
    <w:lvl w:ilvl="4">
      <w:numFmt w:val="bullet"/>
      <w:lvlText w:val="•"/>
      <w:lvlJc w:val="left"/>
      <w:pPr>
        <w:ind w:left="6528" w:hanging="269"/>
      </w:pPr>
      <w:rPr>
        <w:rFonts w:hint="default"/>
        <w:lang w:val="hu-HU" w:eastAsia="en-US" w:bidi="ar-SA"/>
      </w:rPr>
    </w:lvl>
    <w:lvl w:ilvl="5">
      <w:numFmt w:val="bullet"/>
      <w:lvlText w:val="•"/>
      <w:lvlJc w:val="left"/>
      <w:pPr>
        <w:ind w:left="7204" w:hanging="269"/>
      </w:pPr>
      <w:rPr>
        <w:rFonts w:hint="default"/>
        <w:lang w:val="hu-HU" w:eastAsia="en-US" w:bidi="ar-SA"/>
      </w:rPr>
    </w:lvl>
    <w:lvl w:ilvl="6">
      <w:numFmt w:val="bullet"/>
      <w:lvlText w:val="•"/>
      <w:lvlJc w:val="left"/>
      <w:pPr>
        <w:ind w:left="7880" w:hanging="269"/>
      </w:pPr>
      <w:rPr>
        <w:rFonts w:hint="default"/>
        <w:lang w:val="hu-HU" w:eastAsia="en-US" w:bidi="ar-SA"/>
      </w:rPr>
    </w:lvl>
    <w:lvl w:ilvl="7">
      <w:numFmt w:val="bullet"/>
      <w:lvlText w:val="•"/>
      <w:lvlJc w:val="left"/>
      <w:pPr>
        <w:ind w:left="8556" w:hanging="269"/>
      </w:pPr>
      <w:rPr>
        <w:rFonts w:hint="default"/>
        <w:lang w:val="hu-HU" w:eastAsia="en-US" w:bidi="ar-SA"/>
      </w:rPr>
    </w:lvl>
    <w:lvl w:ilvl="8">
      <w:numFmt w:val="bullet"/>
      <w:lvlText w:val="•"/>
      <w:lvlJc w:val="left"/>
      <w:pPr>
        <w:ind w:left="9233" w:hanging="269"/>
      </w:pPr>
      <w:rPr>
        <w:rFonts w:hint="default"/>
        <w:lang w:val="hu-HU" w:eastAsia="en-US" w:bidi="ar-SA"/>
      </w:rPr>
    </w:lvl>
  </w:abstractNum>
  <w:abstractNum w:abstractNumId="12" w15:restartNumberingAfterBreak="0">
    <w:nsid w:val="4BBB1B81"/>
    <w:multiLevelType w:val="hybridMultilevel"/>
    <w:tmpl w:val="A2287C54"/>
    <w:lvl w:ilvl="0" w:tplc="26A273CE">
      <w:start w:val="1"/>
      <w:numFmt w:val="upperLetter"/>
      <w:lvlText w:val="%1."/>
      <w:lvlJc w:val="left"/>
      <w:pPr>
        <w:ind w:left="1242" w:hanging="567"/>
      </w:pPr>
      <w:rPr>
        <w:rFonts w:ascii="Times New Roman" w:eastAsia="Times New Roman" w:hAnsi="Times New Roman" w:cs="Times New Roman" w:hint="default"/>
        <w:b/>
        <w:bCs/>
        <w:i w:val="0"/>
        <w:iCs w:val="0"/>
        <w:spacing w:val="-2"/>
        <w:w w:val="100"/>
        <w:sz w:val="22"/>
        <w:szCs w:val="22"/>
        <w:lang w:val="hu-HU" w:eastAsia="en-US" w:bidi="ar-SA"/>
      </w:rPr>
    </w:lvl>
    <w:lvl w:ilvl="1" w:tplc="47B0B43A">
      <w:numFmt w:val="bullet"/>
      <w:lvlText w:val="•"/>
      <w:lvlJc w:val="left"/>
      <w:pPr>
        <w:ind w:left="2174" w:hanging="567"/>
      </w:pPr>
      <w:rPr>
        <w:rFonts w:hint="default"/>
        <w:lang w:val="hu-HU" w:eastAsia="en-US" w:bidi="ar-SA"/>
      </w:rPr>
    </w:lvl>
    <w:lvl w:ilvl="2" w:tplc="9CCCD45E">
      <w:numFmt w:val="bullet"/>
      <w:lvlText w:val="•"/>
      <w:lvlJc w:val="left"/>
      <w:pPr>
        <w:ind w:left="3109" w:hanging="567"/>
      </w:pPr>
      <w:rPr>
        <w:rFonts w:hint="default"/>
        <w:lang w:val="hu-HU" w:eastAsia="en-US" w:bidi="ar-SA"/>
      </w:rPr>
    </w:lvl>
    <w:lvl w:ilvl="3" w:tplc="B030CCDA">
      <w:numFmt w:val="bullet"/>
      <w:lvlText w:val="•"/>
      <w:lvlJc w:val="left"/>
      <w:pPr>
        <w:ind w:left="4043" w:hanging="567"/>
      </w:pPr>
      <w:rPr>
        <w:rFonts w:hint="default"/>
        <w:lang w:val="hu-HU" w:eastAsia="en-US" w:bidi="ar-SA"/>
      </w:rPr>
    </w:lvl>
    <w:lvl w:ilvl="4" w:tplc="70782300">
      <w:numFmt w:val="bullet"/>
      <w:lvlText w:val="•"/>
      <w:lvlJc w:val="left"/>
      <w:pPr>
        <w:ind w:left="4978" w:hanging="567"/>
      </w:pPr>
      <w:rPr>
        <w:rFonts w:hint="default"/>
        <w:lang w:val="hu-HU" w:eastAsia="en-US" w:bidi="ar-SA"/>
      </w:rPr>
    </w:lvl>
    <w:lvl w:ilvl="5" w:tplc="3B6AA4DC">
      <w:numFmt w:val="bullet"/>
      <w:lvlText w:val="•"/>
      <w:lvlJc w:val="left"/>
      <w:pPr>
        <w:ind w:left="5912" w:hanging="567"/>
      </w:pPr>
      <w:rPr>
        <w:rFonts w:hint="default"/>
        <w:lang w:val="hu-HU" w:eastAsia="en-US" w:bidi="ar-SA"/>
      </w:rPr>
    </w:lvl>
    <w:lvl w:ilvl="6" w:tplc="0186EF58">
      <w:numFmt w:val="bullet"/>
      <w:lvlText w:val="•"/>
      <w:lvlJc w:val="left"/>
      <w:pPr>
        <w:ind w:left="6847" w:hanging="567"/>
      </w:pPr>
      <w:rPr>
        <w:rFonts w:hint="default"/>
        <w:lang w:val="hu-HU" w:eastAsia="en-US" w:bidi="ar-SA"/>
      </w:rPr>
    </w:lvl>
    <w:lvl w:ilvl="7" w:tplc="8E748A4C">
      <w:numFmt w:val="bullet"/>
      <w:lvlText w:val="•"/>
      <w:lvlJc w:val="left"/>
      <w:pPr>
        <w:ind w:left="7781" w:hanging="567"/>
      </w:pPr>
      <w:rPr>
        <w:rFonts w:hint="default"/>
        <w:lang w:val="hu-HU" w:eastAsia="en-US" w:bidi="ar-SA"/>
      </w:rPr>
    </w:lvl>
    <w:lvl w:ilvl="8" w:tplc="036810B2">
      <w:numFmt w:val="bullet"/>
      <w:lvlText w:val="•"/>
      <w:lvlJc w:val="left"/>
      <w:pPr>
        <w:ind w:left="8716" w:hanging="567"/>
      </w:pPr>
      <w:rPr>
        <w:rFonts w:hint="default"/>
        <w:lang w:val="hu-HU" w:eastAsia="en-US" w:bidi="ar-SA"/>
      </w:rPr>
    </w:lvl>
  </w:abstractNum>
  <w:abstractNum w:abstractNumId="13" w15:restartNumberingAfterBreak="0">
    <w:nsid w:val="4EB11819"/>
    <w:multiLevelType w:val="hybridMultilevel"/>
    <w:tmpl w:val="4DB6CE56"/>
    <w:lvl w:ilvl="0" w:tplc="55368660">
      <w:start w:val="1"/>
      <w:numFmt w:val="decimal"/>
      <w:lvlText w:val="%1."/>
      <w:lvlJc w:val="left"/>
      <w:pPr>
        <w:ind w:left="896" w:hanging="221"/>
      </w:pPr>
      <w:rPr>
        <w:rFonts w:ascii="Times New Roman" w:eastAsia="Times New Roman" w:hAnsi="Times New Roman" w:cs="Times New Roman" w:hint="default"/>
        <w:b/>
        <w:bCs/>
        <w:i w:val="0"/>
        <w:iCs w:val="0"/>
        <w:w w:val="100"/>
        <w:sz w:val="22"/>
        <w:szCs w:val="22"/>
        <w:lang w:val="hu-HU" w:eastAsia="en-US" w:bidi="ar-SA"/>
      </w:rPr>
    </w:lvl>
    <w:lvl w:ilvl="1" w:tplc="A7DE607E">
      <w:numFmt w:val="bullet"/>
      <w:lvlText w:val="•"/>
      <w:lvlJc w:val="left"/>
      <w:pPr>
        <w:ind w:left="1868" w:hanging="221"/>
      </w:pPr>
      <w:rPr>
        <w:rFonts w:hint="default"/>
        <w:lang w:val="hu-HU" w:eastAsia="en-US" w:bidi="ar-SA"/>
      </w:rPr>
    </w:lvl>
    <w:lvl w:ilvl="2" w:tplc="4DFC25D0">
      <w:numFmt w:val="bullet"/>
      <w:lvlText w:val="•"/>
      <w:lvlJc w:val="left"/>
      <w:pPr>
        <w:ind w:left="2837" w:hanging="221"/>
      </w:pPr>
      <w:rPr>
        <w:rFonts w:hint="default"/>
        <w:lang w:val="hu-HU" w:eastAsia="en-US" w:bidi="ar-SA"/>
      </w:rPr>
    </w:lvl>
    <w:lvl w:ilvl="3" w:tplc="18F863FC">
      <w:numFmt w:val="bullet"/>
      <w:lvlText w:val="•"/>
      <w:lvlJc w:val="left"/>
      <w:pPr>
        <w:ind w:left="3805" w:hanging="221"/>
      </w:pPr>
      <w:rPr>
        <w:rFonts w:hint="default"/>
        <w:lang w:val="hu-HU" w:eastAsia="en-US" w:bidi="ar-SA"/>
      </w:rPr>
    </w:lvl>
    <w:lvl w:ilvl="4" w:tplc="2E1AFF8E">
      <w:numFmt w:val="bullet"/>
      <w:lvlText w:val="•"/>
      <w:lvlJc w:val="left"/>
      <w:pPr>
        <w:ind w:left="4774" w:hanging="221"/>
      </w:pPr>
      <w:rPr>
        <w:rFonts w:hint="default"/>
        <w:lang w:val="hu-HU" w:eastAsia="en-US" w:bidi="ar-SA"/>
      </w:rPr>
    </w:lvl>
    <w:lvl w:ilvl="5" w:tplc="A8C05D44">
      <w:numFmt w:val="bullet"/>
      <w:lvlText w:val="•"/>
      <w:lvlJc w:val="left"/>
      <w:pPr>
        <w:ind w:left="5742" w:hanging="221"/>
      </w:pPr>
      <w:rPr>
        <w:rFonts w:hint="default"/>
        <w:lang w:val="hu-HU" w:eastAsia="en-US" w:bidi="ar-SA"/>
      </w:rPr>
    </w:lvl>
    <w:lvl w:ilvl="6" w:tplc="92F65FE4">
      <w:numFmt w:val="bullet"/>
      <w:lvlText w:val="•"/>
      <w:lvlJc w:val="left"/>
      <w:pPr>
        <w:ind w:left="6711" w:hanging="221"/>
      </w:pPr>
      <w:rPr>
        <w:rFonts w:hint="default"/>
        <w:lang w:val="hu-HU" w:eastAsia="en-US" w:bidi="ar-SA"/>
      </w:rPr>
    </w:lvl>
    <w:lvl w:ilvl="7" w:tplc="29D2D6C6">
      <w:numFmt w:val="bullet"/>
      <w:lvlText w:val="•"/>
      <w:lvlJc w:val="left"/>
      <w:pPr>
        <w:ind w:left="7679" w:hanging="221"/>
      </w:pPr>
      <w:rPr>
        <w:rFonts w:hint="default"/>
        <w:lang w:val="hu-HU" w:eastAsia="en-US" w:bidi="ar-SA"/>
      </w:rPr>
    </w:lvl>
    <w:lvl w:ilvl="8" w:tplc="FD740B74">
      <w:numFmt w:val="bullet"/>
      <w:lvlText w:val="•"/>
      <w:lvlJc w:val="left"/>
      <w:pPr>
        <w:ind w:left="8648" w:hanging="221"/>
      </w:pPr>
      <w:rPr>
        <w:rFonts w:hint="default"/>
        <w:lang w:val="hu-HU" w:eastAsia="en-US" w:bidi="ar-SA"/>
      </w:rPr>
    </w:lvl>
  </w:abstractNum>
  <w:abstractNum w:abstractNumId="14" w15:restartNumberingAfterBreak="0">
    <w:nsid w:val="5D043E91"/>
    <w:multiLevelType w:val="hybridMultilevel"/>
    <w:tmpl w:val="10563AB0"/>
    <w:lvl w:ilvl="0" w:tplc="EBDE450E">
      <w:start w:val="1"/>
      <w:numFmt w:val="decimal"/>
      <w:lvlText w:val="%1."/>
      <w:lvlJc w:val="left"/>
      <w:pPr>
        <w:ind w:left="1242" w:hanging="567"/>
      </w:pPr>
      <w:rPr>
        <w:rFonts w:ascii="Times New Roman" w:eastAsia="Times New Roman" w:hAnsi="Times New Roman" w:cs="Times New Roman" w:hint="default"/>
        <w:b w:val="0"/>
        <w:bCs w:val="0"/>
        <w:i w:val="0"/>
        <w:iCs w:val="0"/>
        <w:w w:val="100"/>
        <w:sz w:val="22"/>
        <w:szCs w:val="22"/>
        <w:lang w:val="hu-HU" w:eastAsia="en-US" w:bidi="ar-SA"/>
      </w:rPr>
    </w:lvl>
    <w:lvl w:ilvl="1" w:tplc="8ECCB5FC">
      <w:numFmt w:val="bullet"/>
      <w:lvlText w:val="•"/>
      <w:lvlJc w:val="left"/>
      <w:pPr>
        <w:ind w:left="2174" w:hanging="567"/>
      </w:pPr>
      <w:rPr>
        <w:rFonts w:hint="default"/>
        <w:lang w:val="hu-HU" w:eastAsia="en-US" w:bidi="ar-SA"/>
      </w:rPr>
    </w:lvl>
    <w:lvl w:ilvl="2" w:tplc="223CA8C4">
      <w:numFmt w:val="bullet"/>
      <w:lvlText w:val="•"/>
      <w:lvlJc w:val="left"/>
      <w:pPr>
        <w:ind w:left="3109" w:hanging="567"/>
      </w:pPr>
      <w:rPr>
        <w:rFonts w:hint="default"/>
        <w:lang w:val="hu-HU" w:eastAsia="en-US" w:bidi="ar-SA"/>
      </w:rPr>
    </w:lvl>
    <w:lvl w:ilvl="3" w:tplc="D9A4E638">
      <w:numFmt w:val="bullet"/>
      <w:lvlText w:val="•"/>
      <w:lvlJc w:val="left"/>
      <w:pPr>
        <w:ind w:left="4043" w:hanging="567"/>
      </w:pPr>
      <w:rPr>
        <w:rFonts w:hint="default"/>
        <w:lang w:val="hu-HU" w:eastAsia="en-US" w:bidi="ar-SA"/>
      </w:rPr>
    </w:lvl>
    <w:lvl w:ilvl="4" w:tplc="A6627DD4">
      <w:numFmt w:val="bullet"/>
      <w:lvlText w:val="•"/>
      <w:lvlJc w:val="left"/>
      <w:pPr>
        <w:ind w:left="4978" w:hanging="567"/>
      </w:pPr>
      <w:rPr>
        <w:rFonts w:hint="default"/>
        <w:lang w:val="hu-HU" w:eastAsia="en-US" w:bidi="ar-SA"/>
      </w:rPr>
    </w:lvl>
    <w:lvl w:ilvl="5" w:tplc="A93E4A72">
      <w:numFmt w:val="bullet"/>
      <w:lvlText w:val="•"/>
      <w:lvlJc w:val="left"/>
      <w:pPr>
        <w:ind w:left="5912" w:hanging="567"/>
      </w:pPr>
      <w:rPr>
        <w:rFonts w:hint="default"/>
        <w:lang w:val="hu-HU" w:eastAsia="en-US" w:bidi="ar-SA"/>
      </w:rPr>
    </w:lvl>
    <w:lvl w:ilvl="6" w:tplc="6FBC2114">
      <w:numFmt w:val="bullet"/>
      <w:lvlText w:val="•"/>
      <w:lvlJc w:val="left"/>
      <w:pPr>
        <w:ind w:left="6847" w:hanging="567"/>
      </w:pPr>
      <w:rPr>
        <w:rFonts w:hint="default"/>
        <w:lang w:val="hu-HU" w:eastAsia="en-US" w:bidi="ar-SA"/>
      </w:rPr>
    </w:lvl>
    <w:lvl w:ilvl="7" w:tplc="5AF629AC">
      <w:numFmt w:val="bullet"/>
      <w:lvlText w:val="•"/>
      <w:lvlJc w:val="left"/>
      <w:pPr>
        <w:ind w:left="7781" w:hanging="567"/>
      </w:pPr>
      <w:rPr>
        <w:rFonts w:hint="default"/>
        <w:lang w:val="hu-HU" w:eastAsia="en-US" w:bidi="ar-SA"/>
      </w:rPr>
    </w:lvl>
    <w:lvl w:ilvl="8" w:tplc="18362D76">
      <w:numFmt w:val="bullet"/>
      <w:lvlText w:val="•"/>
      <w:lvlJc w:val="left"/>
      <w:pPr>
        <w:ind w:left="8716" w:hanging="567"/>
      </w:pPr>
      <w:rPr>
        <w:rFonts w:hint="default"/>
        <w:lang w:val="hu-HU" w:eastAsia="en-US" w:bidi="ar-SA"/>
      </w:rPr>
    </w:lvl>
  </w:abstractNum>
  <w:abstractNum w:abstractNumId="15" w15:restartNumberingAfterBreak="0">
    <w:nsid w:val="676E3002"/>
    <w:multiLevelType w:val="multilevel"/>
    <w:tmpl w:val="1054DD22"/>
    <w:lvl w:ilvl="0">
      <w:start w:val="4"/>
      <w:numFmt w:val="decimal"/>
      <w:lvlText w:val="%1"/>
      <w:lvlJc w:val="left"/>
      <w:pPr>
        <w:ind w:left="708" w:hanging="567"/>
      </w:pPr>
      <w:rPr>
        <w:rFonts w:hint="default"/>
        <w:lang w:val="hu-HU" w:eastAsia="en-US" w:bidi="ar-SA"/>
      </w:rPr>
    </w:lvl>
    <w:lvl w:ilvl="1">
      <w:start w:val="5"/>
      <w:numFmt w:val="decimal"/>
      <w:lvlText w:val="%1.%2"/>
      <w:lvlJc w:val="left"/>
      <w:pPr>
        <w:ind w:left="1242" w:hanging="567"/>
      </w:pPr>
      <w:rPr>
        <w:rFonts w:ascii="Times New Roman" w:eastAsia="Times New Roman" w:hAnsi="Times New Roman" w:cs="Times New Roman" w:hint="default"/>
        <w:b/>
        <w:bCs/>
        <w:i w:val="0"/>
        <w:iCs w:val="0"/>
        <w:w w:val="100"/>
        <w:sz w:val="22"/>
        <w:szCs w:val="22"/>
        <w:lang w:val="hu-HU" w:eastAsia="en-US" w:bidi="ar-SA"/>
      </w:rPr>
    </w:lvl>
    <w:lvl w:ilvl="2">
      <w:numFmt w:val="bullet"/>
      <w:lvlText w:val="•"/>
      <w:lvlJc w:val="left"/>
      <w:pPr>
        <w:ind w:left="3109" w:hanging="567"/>
      </w:pPr>
      <w:rPr>
        <w:rFonts w:hint="default"/>
        <w:lang w:val="hu-HU" w:eastAsia="en-US" w:bidi="ar-SA"/>
      </w:rPr>
    </w:lvl>
    <w:lvl w:ilvl="3">
      <w:numFmt w:val="bullet"/>
      <w:lvlText w:val="•"/>
      <w:lvlJc w:val="left"/>
      <w:pPr>
        <w:ind w:left="4043" w:hanging="567"/>
      </w:pPr>
      <w:rPr>
        <w:rFonts w:hint="default"/>
        <w:lang w:val="hu-HU" w:eastAsia="en-US" w:bidi="ar-SA"/>
      </w:rPr>
    </w:lvl>
    <w:lvl w:ilvl="4">
      <w:numFmt w:val="bullet"/>
      <w:lvlText w:val="•"/>
      <w:lvlJc w:val="left"/>
      <w:pPr>
        <w:ind w:left="4978" w:hanging="567"/>
      </w:pPr>
      <w:rPr>
        <w:rFonts w:hint="default"/>
        <w:lang w:val="hu-HU" w:eastAsia="en-US" w:bidi="ar-SA"/>
      </w:rPr>
    </w:lvl>
    <w:lvl w:ilvl="5">
      <w:numFmt w:val="bullet"/>
      <w:lvlText w:val="•"/>
      <w:lvlJc w:val="left"/>
      <w:pPr>
        <w:ind w:left="5912" w:hanging="567"/>
      </w:pPr>
      <w:rPr>
        <w:rFonts w:hint="default"/>
        <w:lang w:val="hu-HU" w:eastAsia="en-US" w:bidi="ar-SA"/>
      </w:rPr>
    </w:lvl>
    <w:lvl w:ilvl="6">
      <w:numFmt w:val="bullet"/>
      <w:lvlText w:val="•"/>
      <w:lvlJc w:val="left"/>
      <w:pPr>
        <w:ind w:left="6847" w:hanging="567"/>
      </w:pPr>
      <w:rPr>
        <w:rFonts w:hint="default"/>
        <w:lang w:val="hu-HU" w:eastAsia="en-US" w:bidi="ar-SA"/>
      </w:rPr>
    </w:lvl>
    <w:lvl w:ilvl="7">
      <w:numFmt w:val="bullet"/>
      <w:lvlText w:val="•"/>
      <w:lvlJc w:val="left"/>
      <w:pPr>
        <w:ind w:left="7781" w:hanging="567"/>
      </w:pPr>
      <w:rPr>
        <w:rFonts w:hint="default"/>
        <w:lang w:val="hu-HU" w:eastAsia="en-US" w:bidi="ar-SA"/>
      </w:rPr>
    </w:lvl>
    <w:lvl w:ilvl="8">
      <w:numFmt w:val="bullet"/>
      <w:lvlText w:val="•"/>
      <w:lvlJc w:val="left"/>
      <w:pPr>
        <w:ind w:left="8716" w:hanging="567"/>
      </w:pPr>
      <w:rPr>
        <w:rFonts w:hint="default"/>
        <w:lang w:val="hu-HU" w:eastAsia="en-US" w:bidi="ar-SA"/>
      </w:rPr>
    </w:lvl>
  </w:abstractNum>
  <w:abstractNum w:abstractNumId="16" w15:restartNumberingAfterBreak="0">
    <w:nsid w:val="6B6E375F"/>
    <w:multiLevelType w:val="multilevel"/>
    <w:tmpl w:val="E486983E"/>
    <w:lvl w:ilvl="0">
      <w:start w:val="6"/>
      <w:numFmt w:val="decimal"/>
      <w:lvlText w:val="%1."/>
      <w:lvlJc w:val="left"/>
      <w:pPr>
        <w:ind w:left="1242" w:hanging="567"/>
      </w:pPr>
      <w:rPr>
        <w:rFonts w:ascii="Times New Roman" w:eastAsia="Times New Roman" w:hAnsi="Times New Roman" w:cs="Times New Roman" w:hint="default"/>
        <w:b/>
        <w:bCs/>
        <w:i w:val="0"/>
        <w:iCs w:val="0"/>
        <w:w w:val="100"/>
        <w:sz w:val="22"/>
        <w:szCs w:val="22"/>
        <w:lang w:val="hu-HU" w:eastAsia="en-US" w:bidi="ar-SA"/>
      </w:rPr>
    </w:lvl>
    <w:lvl w:ilvl="1">
      <w:start w:val="1"/>
      <w:numFmt w:val="decimal"/>
      <w:lvlText w:val="%1.%2"/>
      <w:lvlJc w:val="left"/>
      <w:pPr>
        <w:ind w:left="1242" w:hanging="567"/>
      </w:pPr>
      <w:rPr>
        <w:rFonts w:ascii="Times New Roman" w:eastAsia="Times New Roman" w:hAnsi="Times New Roman" w:cs="Times New Roman" w:hint="default"/>
        <w:b/>
        <w:bCs/>
        <w:i w:val="0"/>
        <w:iCs w:val="0"/>
        <w:w w:val="100"/>
        <w:sz w:val="22"/>
        <w:szCs w:val="22"/>
        <w:lang w:val="hu-HU" w:eastAsia="en-US" w:bidi="ar-SA"/>
      </w:rPr>
    </w:lvl>
    <w:lvl w:ilvl="2">
      <w:numFmt w:val="bullet"/>
      <w:lvlText w:val="•"/>
      <w:lvlJc w:val="left"/>
      <w:pPr>
        <w:ind w:left="3109" w:hanging="567"/>
      </w:pPr>
      <w:rPr>
        <w:rFonts w:hint="default"/>
        <w:lang w:val="hu-HU" w:eastAsia="en-US" w:bidi="ar-SA"/>
      </w:rPr>
    </w:lvl>
    <w:lvl w:ilvl="3">
      <w:numFmt w:val="bullet"/>
      <w:lvlText w:val="•"/>
      <w:lvlJc w:val="left"/>
      <w:pPr>
        <w:ind w:left="4043" w:hanging="567"/>
      </w:pPr>
      <w:rPr>
        <w:rFonts w:hint="default"/>
        <w:lang w:val="hu-HU" w:eastAsia="en-US" w:bidi="ar-SA"/>
      </w:rPr>
    </w:lvl>
    <w:lvl w:ilvl="4">
      <w:numFmt w:val="bullet"/>
      <w:lvlText w:val="•"/>
      <w:lvlJc w:val="left"/>
      <w:pPr>
        <w:ind w:left="4978" w:hanging="567"/>
      </w:pPr>
      <w:rPr>
        <w:rFonts w:hint="default"/>
        <w:lang w:val="hu-HU" w:eastAsia="en-US" w:bidi="ar-SA"/>
      </w:rPr>
    </w:lvl>
    <w:lvl w:ilvl="5">
      <w:numFmt w:val="bullet"/>
      <w:lvlText w:val="•"/>
      <w:lvlJc w:val="left"/>
      <w:pPr>
        <w:ind w:left="5912" w:hanging="567"/>
      </w:pPr>
      <w:rPr>
        <w:rFonts w:hint="default"/>
        <w:lang w:val="hu-HU" w:eastAsia="en-US" w:bidi="ar-SA"/>
      </w:rPr>
    </w:lvl>
    <w:lvl w:ilvl="6">
      <w:numFmt w:val="bullet"/>
      <w:lvlText w:val="•"/>
      <w:lvlJc w:val="left"/>
      <w:pPr>
        <w:ind w:left="6847" w:hanging="567"/>
      </w:pPr>
      <w:rPr>
        <w:rFonts w:hint="default"/>
        <w:lang w:val="hu-HU" w:eastAsia="en-US" w:bidi="ar-SA"/>
      </w:rPr>
    </w:lvl>
    <w:lvl w:ilvl="7">
      <w:numFmt w:val="bullet"/>
      <w:lvlText w:val="•"/>
      <w:lvlJc w:val="left"/>
      <w:pPr>
        <w:ind w:left="7781" w:hanging="567"/>
      </w:pPr>
      <w:rPr>
        <w:rFonts w:hint="default"/>
        <w:lang w:val="hu-HU" w:eastAsia="en-US" w:bidi="ar-SA"/>
      </w:rPr>
    </w:lvl>
    <w:lvl w:ilvl="8">
      <w:numFmt w:val="bullet"/>
      <w:lvlText w:val="•"/>
      <w:lvlJc w:val="left"/>
      <w:pPr>
        <w:ind w:left="8716" w:hanging="567"/>
      </w:pPr>
      <w:rPr>
        <w:rFonts w:hint="default"/>
        <w:lang w:val="hu-HU" w:eastAsia="en-US" w:bidi="ar-SA"/>
      </w:rPr>
    </w:lvl>
  </w:abstractNum>
  <w:num w:numId="1">
    <w:abstractNumId w:val="7"/>
  </w:num>
  <w:num w:numId="2">
    <w:abstractNumId w:val="14"/>
  </w:num>
  <w:num w:numId="3">
    <w:abstractNumId w:val="6"/>
  </w:num>
  <w:num w:numId="4">
    <w:abstractNumId w:val="11"/>
  </w:num>
  <w:num w:numId="5">
    <w:abstractNumId w:val="4"/>
  </w:num>
  <w:num w:numId="6">
    <w:abstractNumId w:val="12"/>
  </w:num>
  <w:num w:numId="7">
    <w:abstractNumId w:val="0"/>
  </w:num>
  <w:num w:numId="8">
    <w:abstractNumId w:val="16"/>
  </w:num>
  <w:num w:numId="9">
    <w:abstractNumId w:val="1"/>
  </w:num>
  <w:num w:numId="10">
    <w:abstractNumId w:val="8"/>
  </w:num>
  <w:num w:numId="11">
    <w:abstractNumId w:val="3"/>
  </w:num>
  <w:num w:numId="12">
    <w:abstractNumId w:val="9"/>
  </w:num>
  <w:num w:numId="13">
    <w:abstractNumId w:val="2"/>
  </w:num>
  <w:num w:numId="14">
    <w:abstractNumId w:val="15"/>
  </w:num>
  <w:num w:numId="15">
    <w:abstractNumId w:val="13"/>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144"/>
    <w:rsid w:val="000119A7"/>
    <w:rsid w:val="0002623F"/>
    <w:rsid w:val="0004464F"/>
    <w:rsid w:val="00050643"/>
    <w:rsid w:val="00067EDC"/>
    <w:rsid w:val="000725AF"/>
    <w:rsid w:val="00073B36"/>
    <w:rsid w:val="00080E62"/>
    <w:rsid w:val="000A3C2B"/>
    <w:rsid w:val="000B51FC"/>
    <w:rsid w:val="000B70D5"/>
    <w:rsid w:val="000B7E5C"/>
    <w:rsid w:val="000C5E32"/>
    <w:rsid w:val="000C661E"/>
    <w:rsid w:val="000C663D"/>
    <w:rsid w:val="000C72B5"/>
    <w:rsid w:val="000E7270"/>
    <w:rsid w:val="000F3286"/>
    <w:rsid w:val="000F3AA6"/>
    <w:rsid w:val="001027F5"/>
    <w:rsid w:val="00111B4C"/>
    <w:rsid w:val="001221C3"/>
    <w:rsid w:val="001320AE"/>
    <w:rsid w:val="0013699B"/>
    <w:rsid w:val="00143C7E"/>
    <w:rsid w:val="00153DFC"/>
    <w:rsid w:val="0015719D"/>
    <w:rsid w:val="001608D3"/>
    <w:rsid w:val="00160F38"/>
    <w:rsid w:val="00164644"/>
    <w:rsid w:val="00175FB4"/>
    <w:rsid w:val="00186EA0"/>
    <w:rsid w:val="001977FC"/>
    <w:rsid w:val="001A08F9"/>
    <w:rsid w:val="001A7C19"/>
    <w:rsid w:val="001C4A33"/>
    <w:rsid w:val="001C661A"/>
    <w:rsid w:val="001D28F1"/>
    <w:rsid w:val="001E2C16"/>
    <w:rsid w:val="001E7DEC"/>
    <w:rsid w:val="001F598A"/>
    <w:rsid w:val="002130C9"/>
    <w:rsid w:val="00225D2C"/>
    <w:rsid w:val="00237B2B"/>
    <w:rsid w:val="002462C9"/>
    <w:rsid w:val="0024643B"/>
    <w:rsid w:val="00295B52"/>
    <w:rsid w:val="002A01D5"/>
    <w:rsid w:val="002A363E"/>
    <w:rsid w:val="002C08C1"/>
    <w:rsid w:val="002D38C5"/>
    <w:rsid w:val="00301625"/>
    <w:rsid w:val="0030598E"/>
    <w:rsid w:val="0031106E"/>
    <w:rsid w:val="003148EC"/>
    <w:rsid w:val="00322414"/>
    <w:rsid w:val="003338EA"/>
    <w:rsid w:val="00363BEF"/>
    <w:rsid w:val="003936B9"/>
    <w:rsid w:val="00396B9F"/>
    <w:rsid w:val="003B69DB"/>
    <w:rsid w:val="003C0107"/>
    <w:rsid w:val="003C75E5"/>
    <w:rsid w:val="003D2ADE"/>
    <w:rsid w:val="003E087B"/>
    <w:rsid w:val="003E4027"/>
    <w:rsid w:val="00402A08"/>
    <w:rsid w:val="004132F0"/>
    <w:rsid w:val="00430C15"/>
    <w:rsid w:val="0043218A"/>
    <w:rsid w:val="00435D3A"/>
    <w:rsid w:val="00440F87"/>
    <w:rsid w:val="00444604"/>
    <w:rsid w:val="004454FB"/>
    <w:rsid w:val="004506EF"/>
    <w:rsid w:val="00492596"/>
    <w:rsid w:val="00492E29"/>
    <w:rsid w:val="004965C7"/>
    <w:rsid w:val="004E0A48"/>
    <w:rsid w:val="004E0BC2"/>
    <w:rsid w:val="004E2B55"/>
    <w:rsid w:val="00512270"/>
    <w:rsid w:val="00514AFC"/>
    <w:rsid w:val="00517D3D"/>
    <w:rsid w:val="00525E1F"/>
    <w:rsid w:val="00543B4D"/>
    <w:rsid w:val="0054540F"/>
    <w:rsid w:val="005517B7"/>
    <w:rsid w:val="00552CE7"/>
    <w:rsid w:val="005569FD"/>
    <w:rsid w:val="005577A4"/>
    <w:rsid w:val="00564F8D"/>
    <w:rsid w:val="005859C1"/>
    <w:rsid w:val="0059685B"/>
    <w:rsid w:val="005A31B9"/>
    <w:rsid w:val="005B1144"/>
    <w:rsid w:val="005E177C"/>
    <w:rsid w:val="00601929"/>
    <w:rsid w:val="006046BD"/>
    <w:rsid w:val="0060699C"/>
    <w:rsid w:val="0061033A"/>
    <w:rsid w:val="006165BE"/>
    <w:rsid w:val="006201B6"/>
    <w:rsid w:val="00623442"/>
    <w:rsid w:val="00626355"/>
    <w:rsid w:val="00654925"/>
    <w:rsid w:val="00657011"/>
    <w:rsid w:val="0066379D"/>
    <w:rsid w:val="00663BFC"/>
    <w:rsid w:val="00686A91"/>
    <w:rsid w:val="006A0B95"/>
    <w:rsid w:val="006A15B0"/>
    <w:rsid w:val="006A2C10"/>
    <w:rsid w:val="006A69C0"/>
    <w:rsid w:val="006B2927"/>
    <w:rsid w:val="006D33BC"/>
    <w:rsid w:val="006D67FB"/>
    <w:rsid w:val="006E194C"/>
    <w:rsid w:val="006E3DE2"/>
    <w:rsid w:val="0070285B"/>
    <w:rsid w:val="00736D80"/>
    <w:rsid w:val="0074669B"/>
    <w:rsid w:val="00764CDB"/>
    <w:rsid w:val="007656C2"/>
    <w:rsid w:val="00777351"/>
    <w:rsid w:val="007A0EC5"/>
    <w:rsid w:val="007A5651"/>
    <w:rsid w:val="007B7D1F"/>
    <w:rsid w:val="007E700B"/>
    <w:rsid w:val="007F27E2"/>
    <w:rsid w:val="00832C13"/>
    <w:rsid w:val="008458F3"/>
    <w:rsid w:val="00867D84"/>
    <w:rsid w:val="00885FF0"/>
    <w:rsid w:val="008B2E93"/>
    <w:rsid w:val="008C46C4"/>
    <w:rsid w:val="008E070B"/>
    <w:rsid w:val="008E3358"/>
    <w:rsid w:val="008E6FC8"/>
    <w:rsid w:val="008F1B4C"/>
    <w:rsid w:val="008F7A02"/>
    <w:rsid w:val="00903D6F"/>
    <w:rsid w:val="00907761"/>
    <w:rsid w:val="009150FA"/>
    <w:rsid w:val="009248D7"/>
    <w:rsid w:val="00932BCA"/>
    <w:rsid w:val="00937985"/>
    <w:rsid w:val="00945F67"/>
    <w:rsid w:val="00946E1E"/>
    <w:rsid w:val="00962495"/>
    <w:rsid w:val="00967E83"/>
    <w:rsid w:val="00971598"/>
    <w:rsid w:val="00971B42"/>
    <w:rsid w:val="009777D8"/>
    <w:rsid w:val="00980615"/>
    <w:rsid w:val="0099562E"/>
    <w:rsid w:val="009A5BCA"/>
    <w:rsid w:val="009B5AE4"/>
    <w:rsid w:val="009C0CA8"/>
    <w:rsid w:val="009D298E"/>
    <w:rsid w:val="009D518F"/>
    <w:rsid w:val="009E5211"/>
    <w:rsid w:val="00A1621A"/>
    <w:rsid w:val="00A264F5"/>
    <w:rsid w:val="00A31A06"/>
    <w:rsid w:val="00A379A9"/>
    <w:rsid w:val="00A73C9B"/>
    <w:rsid w:val="00A74522"/>
    <w:rsid w:val="00A74714"/>
    <w:rsid w:val="00A92324"/>
    <w:rsid w:val="00A9406E"/>
    <w:rsid w:val="00A95BD5"/>
    <w:rsid w:val="00AB0DEF"/>
    <w:rsid w:val="00AB1050"/>
    <w:rsid w:val="00AC5179"/>
    <w:rsid w:val="00AE7742"/>
    <w:rsid w:val="00AF61CA"/>
    <w:rsid w:val="00B11E51"/>
    <w:rsid w:val="00B1583B"/>
    <w:rsid w:val="00B22645"/>
    <w:rsid w:val="00B2309C"/>
    <w:rsid w:val="00B24932"/>
    <w:rsid w:val="00B30778"/>
    <w:rsid w:val="00B40E3C"/>
    <w:rsid w:val="00B44E9A"/>
    <w:rsid w:val="00B54D02"/>
    <w:rsid w:val="00B57C75"/>
    <w:rsid w:val="00B86400"/>
    <w:rsid w:val="00BA1EA5"/>
    <w:rsid w:val="00BA4246"/>
    <w:rsid w:val="00BA7F19"/>
    <w:rsid w:val="00BB74A3"/>
    <w:rsid w:val="00BC15AE"/>
    <w:rsid w:val="00BC45A6"/>
    <w:rsid w:val="00C13AC0"/>
    <w:rsid w:val="00C208E4"/>
    <w:rsid w:val="00C2163C"/>
    <w:rsid w:val="00C25B93"/>
    <w:rsid w:val="00C46CC3"/>
    <w:rsid w:val="00C5177D"/>
    <w:rsid w:val="00C76BF4"/>
    <w:rsid w:val="00C86739"/>
    <w:rsid w:val="00CA3D18"/>
    <w:rsid w:val="00CC2CAE"/>
    <w:rsid w:val="00CC2FEE"/>
    <w:rsid w:val="00CC660B"/>
    <w:rsid w:val="00CD20F0"/>
    <w:rsid w:val="00CD4010"/>
    <w:rsid w:val="00CE2DD1"/>
    <w:rsid w:val="00D14177"/>
    <w:rsid w:val="00D4584D"/>
    <w:rsid w:val="00D56A5B"/>
    <w:rsid w:val="00D60586"/>
    <w:rsid w:val="00D65A47"/>
    <w:rsid w:val="00D73B5C"/>
    <w:rsid w:val="00D76C11"/>
    <w:rsid w:val="00D81947"/>
    <w:rsid w:val="00D8540A"/>
    <w:rsid w:val="00D85520"/>
    <w:rsid w:val="00D95FA4"/>
    <w:rsid w:val="00DA2EFA"/>
    <w:rsid w:val="00DA4A18"/>
    <w:rsid w:val="00DC2EBB"/>
    <w:rsid w:val="00DC549A"/>
    <w:rsid w:val="00DF0809"/>
    <w:rsid w:val="00DF6BA7"/>
    <w:rsid w:val="00E004B2"/>
    <w:rsid w:val="00E0415B"/>
    <w:rsid w:val="00E2441E"/>
    <w:rsid w:val="00E3606C"/>
    <w:rsid w:val="00E46B9D"/>
    <w:rsid w:val="00E46D04"/>
    <w:rsid w:val="00E543F0"/>
    <w:rsid w:val="00E573E2"/>
    <w:rsid w:val="00E7201C"/>
    <w:rsid w:val="00E91410"/>
    <w:rsid w:val="00EA5E89"/>
    <w:rsid w:val="00EA63E7"/>
    <w:rsid w:val="00EB083B"/>
    <w:rsid w:val="00EB759C"/>
    <w:rsid w:val="00EC2437"/>
    <w:rsid w:val="00EC68B9"/>
    <w:rsid w:val="00ED1ABD"/>
    <w:rsid w:val="00ED55FC"/>
    <w:rsid w:val="00ED6580"/>
    <w:rsid w:val="00ED7FC5"/>
    <w:rsid w:val="00F1362C"/>
    <w:rsid w:val="00F13EAF"/>
    <w:rsid w:val="00F15801"/>
    <w:rsid w:val="00F5765D"/>
    <w:rsid w:val="00F76AAE"/>
    <w:rsid w:val="00F95F79"/>
    <w:rsid w:val="00FA3158"/>
    <w:rsid w:val="00FB3053"/>
    <w:rsid w:val="00FB35D6"/>
    <w:rsid w:val="00FD205E"/>
    <w:rsid w:val="00FD4119"/>
    <w:rsid w:val="00FD65BB"/>
    <w:rsid w:val="00FE5929"/>
    <w:rsid w:val="00FE771F"/>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6381A"/>
  <w15:docId w15:val="{6E713658-C74A-43DE-9E5C-F12C4B80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lang w:val="hu-HU"/>
    </w:rPr>
  </w:style>
  <w:style w:type="paragraph" w:styleId="Cmsor1">
    <w:name w:val="heading 1"/>
    <w:basedOn w:val="Norml"/>
    <w:uiPriority w:val="9"/>
    <w:qFormat/>
    <w:pPr>
      <w:spacing w:before="22"/>
      <w:ind w:left="107"/>
      <w:outlineLvl w:val="0"/>
    </w:pPr>
    <w:rPr>
      <w:b/>
      <w:bCs/>
    </w:rPr>
  </w:style>
  <w:style w:type="paragraph" w:styleId="Cmsor2">
    <w:name w:val="heading 2"/>
    <w:basedOn w:val="Norml"/>
    <w:uiPriority w:val="9"/>
    <w:unhideWhenUsed/>
    <w:qFormat/>
    <w:pPr>
      <w:ind w:left="676"/>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1242" w:hanging="567"/>
    </w:pPr>
  </w:style>
  <w:style w:type="paragraph" w:customStyle="1" w:styleId="TableParagraph">
    <w:name w:val="Table Paragraph"/>
    <w:basedOn w:val="Norml"/>
    <w:uiPriority w:val="1"/>
    <w:qFormat/>
  </w:style>
  <w:style w:type="paragraph" w:styleId="Buborkszveg">
    <w:name w:val="Balloon Text"/>
    <w:basedOn w:val="Norml"/>
    <w:link w:val="BuborkszvegChar"/>
    <w:uiPriority w:val="99"/>
    <w:semiHidden/>
    <w:unhideWhenUsed/>
    <w:rsid w:val="008E6FC8"/>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E6FC8"/>
    <w:rPr>
      <w:rFonts w:ascii="Segoe UI" w:eastAsia="Times New Roman" w:hAnsi="Segoe UI" w:cs="Segoe UI"/>
      <w:sz w:val="18"/>
      <w:szCs w:val="18"/>
      <w:lang w:val="hu-HU"/>
    </w:rPr>
  </w:style>
  <w:style w:type="paragraph" w:styleId="lfej">
    <w:name w:val="header"/>
    <w:basedOn w:val="Norml"/>
    <w:link w:val="lfejChar"/>
    <w:uiPriority w:val="99"/>
    <w:unhideWhenUsed/>
    <w:rsid w:val="00363BEF"/>
    <w:pPr>
      <w:tabs>
        <w:tab w:val="center" w:pos="4536"/>
        <w:tab w:val="right" w:pos="9072"/>
      </w:tabs>
    </w:pPr>
  </w:style>
  <w:style w:type="character" w:customStyle="1" w:styleId="lfejChar">
    <w:name w:val="Élőfej Char"/>
    <w:basedOn w:val="Bekezdsalapbettpusa"/>
    <w:link w:val="lfej"/>
    <w:uiPriority w:val="99"/>
    <w:rsid w:val="00363BEF"/>
    <w:rPr>
      <w:rFonts w:ascii="Times New Roman" w:eastAsia="Times New Roman" w:hAnsi="Times New Roman" w:cs="Times New Roman"/>
      <w:lang w:val="hu-HU"/>
    </w:rPr>
  </w:style>
  <w:style w:type="paragraph" w:styleId="llb">
    <w:name w:val="footer"/>
    <w:basedOn w:val="Norml"/>
    <w:link w:val="llbChar"/>
    <w:uiPriority w:val="99"/>
    <w:unhideWhenUsed/>
    <w:rsid w:val="00363BEF"/>
    <w:pPr>
      <w:tabs>
        <w:tab w:val="center" w:pos="4536"/>
        <w:tab w:val="right" w:pos="9072"/>
      </w:tabs>
    </w:pPr>
  </w:style>
  <w:style w:type="character" w:customStyle="1" w:styleId="llbChar">
    <w:name w:val="Élőláb Char"/>
    <w:basedOn w:val="Bekezdsalapbettpusa"/>
    <w:link w:val="llb"/>
    <w:uiPriority w:val="99"/>
    <w:rsid w:val="00363BEF"/>
    <w:rPr>
      <w:rFonts w:ascii="Times New Roman" w:eastAsia="Times New Roman" w:hAnsi="Times New Roman" w:cs="Times New Roman"/>
      <w:lang w:val="hu-HU"/>
    </w:rPr>
  </w:style>
  <w:style w:type="character" w:styleId="Jegyzethivatkozs">
    <w:name w:val="annotation reference"/>
    <w:basedOn w:val="Bekezdsalapbettpusa"/>
    <w:uiPriority w:val="99"/>
    <w:semiHidden/>
    <w:unhideWhenUsed/>
    <w:rsid w:val="004E2B55"/>
    <w:rPr>
      <w:sz w:val="16"/>
      <w:szCs w:val="16"/>
    </w:rPr>
  </w:style>
  <w:style w:type="paragraph" w:styleId="Jegyzetszveg">
    <w:name w:val="annotation text"/>
    <w:basedOn w:val="Norml"/>
    <w:link w:val="JegyzetszvegChar"/>
    <w:uiPriority w:val="99"/>
    <w:unhideWhenUsed/>
    <w:rsid w:val="004E2B55"/>
    <w:rPr>
      <w:sz w:val="20"/>
      <w:szCs w:val="20"/>
    </w:rPr>
  </w:style>
  <w:style w:type="character" w:customStyle="1" w:styleId="JegyzetszvegChar">
    <w:name w:val="Jegyzetszöveg Char"/>
    <w:basedOn w:val="Bekezdsalapbettpusa"/>
    <w:link w:val="Jegyzetszveg"/>
    <w:uiPriority w:val="99"/>
    <w:rsid w:val="004E2B55"/>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4E2B55"/>
    <w:rPr>
      <w:b/>
      <w:bCs/>
    </w:rPr>
  </w:style>
  <w:style w:type="character" w:customStyle="1" w:styleId="MegjegyzstrgyaChar">
    <w:name w:val="Megjegyzés tárgya Char"/>
    <w:basedOn w:val="JegyzetszvegChar"/>
    <w:link w:val="Megjegyzstrgya"/>
    <w:uiPriority w:val="99"/>
    <w:semiHidden/>
    <w:rsid w:val="004E2B55"/>
    <w:rPr>
      <w:rFonts w:ascii="Times New Roman" w:eastAsia="Times New Roman" w:hAnsi="Times New Roman" w:cs="Times New Roman"/>
      <w:b/>
      <w:bCs/>
      <w:sz w:val="20"/>
      <w:szCs w:val="20"/>
      <w:lang w:val="hu-HU"/>
    </w:rPr>
  </w:style>
  <w:style w:type="character" w:styleId="Hiperhivatkozs">
    <w:name w:val="Hyperlink"/>
    <w:rsid w:val="00CC660B"/>
    <w:rPr>
      <w:rFonts w:cs="Times New Roman"/>
      <w:color w:val="0000FF"/>
      <w:u w:val="single"/>
    </w:rPr>
  </w:style>
  <w:style w:type="paragraph" w:styleId="Vltozat">
    <w:name w:val="Revision"/>
    <w:hidden/>
    <w:uiPriority w:val="99"/>
    <w:semiHidden/>
    <w:rsid w:val="00D65A47"/>
    <w:pPr>
      <w:widowControl/>
      <w:autoSpaceDE/>
      <w:autoSpaceDN/>
    </w:pPr>
    <w:rPr>
      <w:rFonts w:ascii="Times New Roman" w:eastAsia="Times New Roman" w:hAnsi="Times New Roman" w:cs="Times New Roman"/>
      <w:lang w:val="hu-HU"/>
    </w:rPr>
  </w:style>
  <w:style w:type="table" w:styleId="Rcsostblzat">
    <w:name w:val="Table Grid"/>
    <w:basedOn w:val="Normltblzat"/>
    <w:rsid w:val="00D65A47"/>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link w:val="ParagraphChar"/>
    <w:rsid w:val="003338EA"/>
    <w:pPr>
      <w:widowControl/>
      <w:autoSpaceDE/>
      <w:autoSpaceDN/>
      <w:spacing w:after="240"/>
    </w:pPr>
    <w:rPr>
      <w:rFonts w:ascii="Times New Roman" w:eastAsia="Times New Roman" w:hAnsi="Times New Roman" w:cs="Times New Roman"/>
      <w:sz w:val="24"/>
      <w:szCs w:val="24"/>
      <w:lang w:val="en-GB" w:eastAsia="en-GB"/>
    </w:rPr>
  </w:style>
  <w:style w:type="character" w:customStyle="1" w:styleId="ParagraphChar">
    <w:name w:val="Paragraph Char"/>
    <w:link w:val="Paragraph"/>
    <w:rsid w:val="003338EA"/>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32</Pages>
  <Words>12130</Words>
  <Characters>83702</Characters>
  <Application>Microsoft Office Word</Application>
  <DocSecurity>0</DocSecurity>
  <Lines>697</Lines>
  <Paragraphs>191</Paragraphs>
  <ScaleCrop>false</ScaleCrop>
  <HeadingPairs>
    <vt:vector size="2" baseType="variant">
      <vt:variant>
        <vt:lpstr>Cím</vt:lpstr>
      </vt:variant>
      <vt:variant>
        <vt:i4>1</vt:i4>
      </vt:variant>
    </vt:vector>
  </HeadingPairs>
  <TitlesOfParts>
    <vt:vector size="1" baseType="lpstr">
      <vt:lpstr>Bosulif, INN-bosutinib</vt:lpstr>
    </vt:vector>
  </TitlesOfParts>
  <Company/>
  <LinksUpToDate>false</LinksUpToDate>
  <CharactersWithSpaces>95641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Bosulif, INN-bosutinib</dc:title>
  <dc:subject>EPAR</dc:subject>
  <dc:creator>CHMP</dc:creator>
  <cp:keywords>Bosulif, INN-bosutinib</cp:keywords>
  <dc:description/>
  <cp:lastModifiedBy>HU_OGYI_56.1</cp:lastModifiedBy>
  <cp:revision>27</cp:revision>
  <dcterms:created xsi:type="dcterms:W3CDTF">2024-11-25T14:23:00Z</dcterms:created>
  <dcterms:modified xsi:type="dcterms:W3CDTF">2024-12-09T15:49:00Z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2023-04-27T00:00:00Z</vt:filetime>
  </property>
  <property fmtid="{D5CDD505-2E9C-101B-9397-08002B2CF9AE}" pid="3" name="LastSaved">
    <vt:filetime>2024-01-24T00:00:00Z</vt:filetime>
  </property>
</Properties>
</file>