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00257" w14:textId="77777777" w:rsidR="004C11B6" w:rsidRDefault="00F05A0C" w:rsidP="00A76DBD">
      <w:pPr>
        <w:pStyle w:val="Cmsor1"/>
        <w:numPr>
          <w:ilvl w:val="0"/>
          <w:numId w:val="54"/>
        </w:numPr>
        <w:spacing w:before="68"/>
        <w:ind w:left="0" w:firstLine="0"/>
      </w:pP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NEVE</w:t>
      </w:r>
    </w:p>
    <w:p w14:paraId="12A6B889" w14:textId="77777777" w:rsidR="004C11B6" w:rsidRDefault="004C11B6" w:rsidP="00A76DBD">
      <w:pPr>
        <w:pStyle w:val="Szvegtrzs"/>
        <w:spacing w:before="4"/>
        <w:rPr>
          <w:b/>
          <w:sz w:val="20"/>
        </w:rPr>
      </w:pPr>
    </w:p>
    <w:p w14:paraId="0D009777" w14:textId="664C4CAA" w:rsidR="00A76DBD" w:rsidRDefault="007F630D" w:rsidP="00A76DBD">
      <w:pPr>
        <w:pStyle w:val="Szvegtrzs"/>
      </w:pPr>
      <w:r>
        <w:t xml:space="preserve">Apixaban </w:t>
      </w:r>
      <w:r w:rsidR="00142607">
        <w:t>Supremex</w:t>
      </w:r>
      <w:r>
        <w:t xml:space="preserve"> </w:t>
      </w:r>
      <w:r w:rsidR="00F05A0C">
        <w:t>5</w:t>
      </w:r>
      <w:r w:rsidR="00773930">
        <w:rPr>
          <w:spacing w:val="-4"/>
        </w:rPr>
        <w:t> </w:t>
      </w:r>
      <w:r w:rsidR="00F05A0C">
        <w:t>mg</w:t>
      </w:r>
      <w:r w:rsidR="00F05A0C">
        <w:rPr>
          <w:spacing w:val="-2"/>
        </w:rPr>
        <w:t xml:space="preserve"> </w:t>
      </w:r>
      <w:r w:rsidR="00F05A0C">
        <w:t>filmtabletta</w:t>
      </w:r>
    </w:p>
    <w:p w14:paraId="4EBC61C2" w14:textId="77777777" w:rsidR="00A76DBD" w:rsidRDefault="00A76DBD" w:rsidP="00A76DBD">
      <w:pPr>
        <w:pStyle w:val="Szvegtrzs"/>
      </w:pPr>
    </w:p>
    <w:p w14:paraId="762042C2" w14:textId="77777777" w:rsidR="00A76DBD" w:rsidRDefault="00A76DBD" w:rsidP="00A76DBD">
      <w:pPr>
        <w:pStyle w:val="Szvegtrzs"/>
      </w:pPr>
    </w:p>
    <w:p w14:paraId="1ACBD513" w14:textId="0AC4020C" w:rsidR="004C11B6" w:rsidRPr="00A76DBD" w:rsidRDefault="00F05A0C" w:rsidP="00A76DBD">
      <w:pPr>
        <w:pStyle w:val="Szvegtrzs"/>
        <w:numPr>
          <w:ilvl w:val="0"/>
          <w:numId w:val="54"/>
        </w:numPr>
        <w:ind w:left="567"/>
        <w:rPr>
          <w:b/>
          <w:bCs/>
        </w:rPr>
      </w:pPr>
      <w:r w:rsidRPr="00A76DBD">
        <w:rPr>
          <w:b/>
          <w:bCs/>
        </w:rPr>
        <w:t>MINŐSÉGI</w:t>
      </w:r>
      <w:r w:rsidRPr="00A76DBD">
        <w:rPr>
          <w:b/>
          <w:bCs/>
          <w:spacing w:val="-4"/>
        </w:rPr>
        <w:t xml:space="preserve"> </w:t>
      </w:r>
      <w:r w:rsidRPr="00A76DBD">
        <w:rPr>
          <w:b/>
          <w:bCs/>
        </w:rPr>
        <w:t>ÉS</w:t>
      </w:r>
      <w:r w:rsidRPr="00A76DBD">
        <w:rPr>
          <w:b/>
          <w:bCs/>
          <w:spacing w:val="-4"/>
        </w:rPr>
        <w:t xml:space="preserve"> </w:t>
      </w:r>
      <w:r w:rsidRPr="00A76DBD">
        <w:rPr>
          <w:b/>
          <w:bCs/>
        </w:rPr>
        <w:t>MENNYISÉGI</w:t>
      </w:r>
      <w:r w:rsidRPr="00A76DBD">
        <w:rPr>
          <w:b/>
          <w:bCs/>
          <w:spacing w:val="-3"/>
        </w:rPr>
        <w:t xml:space="preserve"> </w:t>
      </w:r>
      <w:r w:rsidRPr="00A76DBD">
        <w:rPr>
          <w:b/>
          <w:bCs/>
        </w:rPr>
        <w:t>ÖSSZETÉTEL</w:t>
      </w:r>
    </w:p>
    <w:p w14:paraId="18B9FEC4" w14:textId="77777777" w:rsidR="004C11B6" w:rsidRDefault="004C11B6" w:rsidP="00A76DBD">
      <w:pPr>
        <w:pStyle w:val="Szvegtrzs"/>
        <w:spacing w:before="4"/>
        <w:rPr>
          <w:b/>
          <w:sz w:val="20"/>
        </w:rPr>
      </w:pPr>
    </w:p>
    <w:p w14:paraId="6DE5305E" w14:textId="18784853" w:rsidR="00A76DBD" w:rsidRDefault="00F05A0C" w:rsidP="00A76DBD">
      <w:pPr>
        <w:pStyle w:val="Szvegtrzs"/>
        <w:spacing w:line="463" w:lineRule="auto"/>
        <w:ind w:right="2"/>
      </w:pPr>
      <w:r>
        <w:t>5</w:t>
      </w:r>
      <w:r w:rsidR="00773930">
        <w:t> </w:t>
      </w:r>
      <w:r>
        <w:t>mg apixabán</w:t>
      </w:r>
      <w:r w:rsidR="003A4506">
        <w:t>t tartalmaz</w:t>
      </w:r>
      <w:r>
        <w:t xml:space="preserve"> </w:t>
      </w:r>
      <w:r w:rsidR="00A76DBD">
        <w:t>f</w:t>
      </w:r>
      <w:r>
        <w:t>ilmtablettánként.</w:t>
      </w:r>
    </w:p>
    <w:p w14:paraId="326F55E8" w14:textId="597B525F" w:rsidR="004C11B6" w:rsidRDefault="00F05A0C" w:rsidP="00A76DBD">
      <w:pPr>
        <w:pStyle w:val="Szvegtrzs"/>
        <w:ind w:right="2"/>
      </w:pPr>
      <w:r>
        <w:rPr>
          <w:spacing w:val="-52"/>
        </w:rPr>
        <w:t xml:space="preserve"> </w:t>
      </w:r>
      <w:r>
        <w:rPr>
          <w:u w:val="single"/>
        </w:rPr>
        <w:t>Ismert</w:t>
      </w:r>
      <w:r>
        <w:rPr>
          <w:spacing w:val="-3"/>
          <w:u w:val="single"/>
        </w:rPr>
        <w:t xml:space="preserve"> </w:t>
      </w:r>
      <w:r>
        <w:rPr>
          <w:u w:val="single"/>
        </w:rPr>
        <w:t>hatású</w:t>
      </w:r>
      <w:r>
        <w:rPr>
          <w:spacing w:val="-2"/>
          <w:u w:val="single"/>
        </w:rPr>
        <w:t xml:space="preserve"> </w:t>
      </w:r>
      <w:r>
        <w:rPr>
          <w:u w:val="single"/>
        </w:rPr>
        <w:t>segédanya</w:t>
      </w:r>
      <w:r w:rsidR="003C14D8">
        <w:rPr>
          <w:u w:val="single"/>
        </w:rPr>
        <w:t>g:</w:t>
      </w:r>
    </w:p>
    <w:p w14:paraId="475893DA" w14:textId="7332B011" w:rsidR="00A76DBD" w:rsidRDefault="00F05A0C" w:rsidP="00A76DBD">
      <w:pPr>
        <w:pStyle w:val="Szvegtrzs"/>
        <w:ind w:right="2"/>
        <w:rPr>
          <w:spacing w:val="-52"/>
        </w:rPr>
      </w:pPr>
      <w:r w:rsidRPr="00C82210">
        <w:t>9</w:t>
      </w:r>
      <w:r w:rsidR="00C43B64" w:rsidRPr="00C82210">
        <w:t>6</w:t>
      </w:r>
      <w:r w:rsidR="00773930">
        <w:t> </w:t>
      </w:r>
      <w:r w:rsidRPr="00C82210">
        <w:t>mg laktóz</w:t>
      </w:r>
      <w:r w:rsidR="003C14D8">
        <w:t xml:space="preserve">t </w:t>
      </w:r>
      <w:r w:rsidR="003C14D8" w:rsidRPr="00C82210">
        <w:t>(</w:t>
      </w:r>
      <w:r w:rsidR="003C14D8">
        <w:t>monohidrát formájában)</w:t>
      </w:r>
      <w:r w:rsidRPr="00C82210">
        <w:t xml:space="preserve"> </w:t>
      </w:r>
      <w:r w:rsidR="00C43B64" w:rsidRPr="00C82210">
        <w:t xml:space="preserve">tartalmaz </w:t>
      </w:r>
      <w:r w:rsidRPr="00C82210">
        <w:t>5</w:t>
      </w:r>
      <w:r w:rsidR="00773930">
        <w:t> </w:t>
      </w:r>
      <w:r w:rsidRPr="00C82210">
        <w:t>mg-os filmtablettánként (lásd 4.4 pont).</w:t>
      </w:r>
      <w:r>
        <w:rPr>
          <w:spacing w:val="-52"/>
        </w:rPr>
        <w:t xml:space="preserve"> </w:t>
      </w:r>
    </w:p>
    <w:p w14:paraId="109B9616" w14:textId="77777777" w:rsidR="003C14D8" w:rsidRDefault="003C14D8" w:rsidP="00A76DBD">
      <w:pPr>
        <w:pStyle w:val="Szvegtrzs"/>
        <w:ind w:right="2"/>
        <w:rPr>
          <w:spacing w:val="-52"/>
        </w:rPr>
      </w:pPr>
    </w:p>
    <w:p w14:paraId="743F81AA" w14:textId="0C7D8B60" w:rsidR="004C11B6" w:rsidRDefault="00F05A0C" w:rsidP="00A76DBD">
      <w:pPr>
        <w:pStyle w:val="Szvegtrzs"/>
        <w:ind w:right="2"/>
      </w:pPr>
      <w:r>
        <w:t>A</w:t>
      </w:r>
      <w:r>
        <w:rPr>
          <w:spacing w:val="-2"/>
        </w:rPr>
        <w:t xml:space="preserve"> </w:t>
      </w:r>
      <w:r>
        <w:t>segédanyagok</w:t>
      </w:r>
      <w:r>
        <w:rPr>
          <w:spacing w:val="-2"/>
        </w:rPr>
        <w:t xml:space="preserve"> </w:t>
      </w:r>
      <w:r>
        <w:t>teljes</w:t>
      </w:r>
      <w:r>
        <w:rPr>
          <w:spacing w:val="-2"/>
        </w:rPr>
        <w:t xml:space="preserve"> </w:t>
      </w:r>
      <w:r>
        <w:t>listáját</w:t>
      </w:r>
      <w:r>
        <w:rPr>
          <w:spacing w:val="-2"/>
        </w:rPr>
        <w:t xml:space="preserve"> </w:t>
      </w:r>
      <w:r>
        <w:t>lásd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6.1</w:t>
      </w:r>
      <w:r>
        <w:rPr>
          <w:spacing w:val="-2"/>
        </w:rPr>
        <w:t xml:space="preserve"> </w:t>
      </w:r>
      <w:r>
        <w:t>pontban.</w:t>
      </w:r>
    </w:p>
    <w:p w14:paraId="435E5589" w14:textId="352669FD" w:rsidR="004C11B6" w:rsidRDefault="004C11B6" w:rsidP="00A76DBD">
      <w:pPr>
        <w:pStyle w:val="Szvegtrzs"/>
        <w:spacing w:before="8"/>
        <w:ind w:right="2"/>
        <w:rPr>
          <w:sz w:val="20"/>
        </w:rPr>
      </w:pPr>
    </w:p>
    <w:p w14:paraId="1DBCE442" w14:textId="77777777" w:rsidR="00A76DBD" w:rsidRDefault="00A76DBD" w:rsidP="00A76DBD">
      <w:pPr>
        <w:pStyle w:val="Szvegtrzs"/>
        <w:spacing w:before="8"/>
        <w:ind w:right="2"/>
        <w:rPr>
          <w:sz w:val="20"/>
        </w:rPr>
      </w:pPr>
    </w:p>
    <w:p w14:paraId="15044F80" w14:textId="77777777" w:rsidR="004C11B6" w:rsidRDefault="00F05A0C" w:rsidP="00A76DBD">
      <w:pPr>
        <w:pStyle w:val="Cmsor1"/>
        <w:numPr>
          <w:ilvl w:val="0"/>
          <w:numId w:val="54"/>
        </w:numPr>
        <w:spacing w:before="1"/>
        <w:ind w:left="0" w:right="2" w:firstLine="0"/>
      </w:pPr>
      <w:r>
        <w:t>GYÓGYSZERFORMA</w:t>
      </w:r>
    </w:p>
    <w:p w14:paraId="616A9619" w14:textId="77777777" w:rsidR="004C11B6" w:rsidRDefault="004C11B6" w:rsidP="00A76DBD">
      <w:pPr>
        <w:pStyle w:val="Szvegtrzs"/>
        <w:spacing w:before="4"/>
        <w:ind w:right="2"/>
        <w:rPr>
          <w:b/>
          <w:sz w:val="20"/>
        </w:rPr>
      </w:pPr>
    </w:p>
    <w:p w14:paraId="510D2A8D" w14:textId="77777777" w:rsidR="004C11B6" w:rsidRDefault="00F05A0C" w:rsidP="00A76DBD">
      <w:pPr>
        <w:pStyle w:val="Szvegtrzs"/>
        <w:spacing w:line="249" w:lineRule="exact"/>
        <w:ind w:right="2"/>
      </w:pPr>
      <w:r>
        <w:t>Filmtabletta</w:t>
      </w:r>
      <w:r>
        <w:rPr>
          <w:spacing w:val="-8"/>
        </w:rPr>
        <w:t xml:space="preserve"> </w:t>
      </w:r>
      <w:r>
        <w:t>(tabletta)</w:t>
      </w:r>
    </w:p>
    <w:p w14:paraId="008414CD" w14:textId="4EBD653C" w:rsidR="008B7781" w:rsidRPr="00F162CB" w:rsidRDefault="008B7781" w:rsidP="008B7781">
      <w:pPr>
        <w:pStyle w:val="Szvegtrzs"/>
        <w:spacing w:before="4" w:line="230" w:lineRule="auto"/>
        <w:ind w:right="2"/>
      </w:pPr>
      <w:r w:rsidRPr="00F162CB">
        <w:t>Rózsaszín, ovális, mindkét oldalán domború felületű, egyik oldalán mélynyomású „5” jelzéssel</w:t>
      </w:r>
      <w:r w:rsidRPr="00F162CB">
        <w:rPr>
          <w:spacing w:val="-2"/>
        </w:rPr>
        <w:t xml:space="preserve"> </w:t>
      </w:r>
      <w:r w:rsidRPr="00F162CB">
        <w:t>ellátott, a másik oldalon sima, 5,0-</w:t>
      </w:r>
      <w:r w:rsidRPr="008B7781">
        <w:t>5,7</w:t>
      </w:r>
      <w:r>
        <w:t> </w:t>
      </w:r>
      <w:r w:rsidRPr="00F162CB">
        <w:t>mm széles é</w:t>
      </w:r>
      <w:r w:rsidRPr="008B7781">
        <w:t>s 9,6-10,3</w:t>
      </w:r>
      <w:r>
        <w:t> </w:t>
      </w:r>
      <w:r w:rsidRPr="00F162CB">
        <w:t>mm hosszú</w:t>
      </w:r>
      <w:r w:rsidRPr="00F162CB">
        <w:rPr>
          <w:spacing w:val="-1"/>
        </w:rPr>
        <w:t xml:space="preserve"> film</w:t>
      </w:r>
      <w:r w:rsidRPr="00F162CB">
        <w:t>tabletta.</w:t>
      </w:r>
    </w:p>
    <w:p w14:paraId="352C2787" w14:textId="77777777" w:rsidR="004C11B6" w:rsidRPr="00A76DBD" w:rsidRDefault="004C11B6" w:rsidP="00A76DBD">
      <w:pPr>
        <w:pStyle w:val="Szvegtrzs"/>
        <w:spacing w:before="8"/>
        <w:rPr>
          <w:sz w:val="20"/>
        </w:rPr>
      </w:pPr>
    </w:p>
    <w:p w14:paraId="79F52355" w14:textId="77777777" w:rsidR="004C11B6" w:rsidRDefault="00F05A0C" w:rsidP="00A76DBD">
      <w:pPr>
        <w:pStyle w:val="Cmsor1"/>
        <w:numPr>
          <w:ilvl w:val="0"/>
          <w:numId w:val="54"/>
        </w:numPr>
        <w:spacing w:before="205"/>
        <w:ind w:left="0" w:firstLine="0"/>
      </w:pPr>
      <w:r>
        <w:t>KLINIKAI</w:t>
      </w:r>
      <w:r>
        <w:rPr>
          <w:spacing w:val="-4"/>
        </w:rPr>
        <w:t xml:space="preserve"> </w:t>
      </w:r>
      <w:r>
        <w:t>JELLEMZŐK</w:t>
      </w:r>
    </w:p>
    <w:p w14:paraId="4C596F8C" w14:textId="77777777" w:rsidR="004C11B6" w:rsidRDefault="004C11B6" w:rsidP="00A76DBD">
      <w:pPr>
        <w:pStyle w:val="Szvegtrzs"/>
        <w:spacing w:before="4"/>
        <w:rPr>
          <w:b/>
          <w:sz w:val="20"/>
        </w:rPr>
      </w:pPr>
    </w:p>
    <w:p w14:paraId="1E19333D" w14:textId="77777777" w:rsidR="004C11B6" w:rsidRDefault="00F05A0C" w:rsidP="00A76DBD">
      <w:pPr>
        <w:pStyle w:val="Cmsor2"/>
        <w:numPr>
          <w:ilvl w:val="1"/>
          <w:numId w:val="54"/>
        </w:numPr>
        <w:ind w:left="0" w:firstLine="0"/>
      </w:pPr>
      <w:r>
        <w:t>Terápiás</w:t>
      </w:r>
      <w:r>
        <w:rPr>
          <w:spacing w:val="-6"/>
        </w:rPr>
        <w:t xml:space="preserve"> </w:t>
      </w:r>
      <w:r>
        <w:t>javallatok</w:t>
      </w:r>
    </w:p>
    <w:p w14:paraId="47CF7BC8" w14:textId="77777777" w:rsidR="004C11B6" w:rsidRDefault="004C11B6" w:rsidP="00A76DBD">
      <w:pPr>
        <w:pStyle w:val="Szvegtrzs"/>
        <w:spacing w:before="4"/>
        <w:rPr>
          <w:b/>
          <w:sz w:val="21"/>
        </w:rPr>
      </w:pPr>
    </w:p>
    <w:p w14:paraId="378F1865" w14:textId="0E5EFBEF" w:rsidR="0076661B" w:rsidRDefault="0076661B" w:rsidP="00A76DBD">
      <w:pPr>
        <w:pStyle w:val="Szvegtrzs"/>
        <w:spacing w:before="7"/>
      </w:pPr>
      <w:r w:rsidRPr="0076661B">
        <w:t xml:space="preserve">Stroke és a szisztémás embolizáció megelőzése nem valvuláris pitvarfibrillációban (NVPF) szenvedő, olyan felnőtt betegeknél, akiknél egy vagy több kockázati tényező áll fenn, például korábbi </w:t>
      </w:r>
      <w:r w:rsidR="00F162CB">
        <w:t>stroke vagy tranz</w:t>
      </w:r>
      <w:r w:rsidRPr="0076661B">
        <w:t>iens ischaemiás attak (TIA), 75 éves vagy annál idősebb, hypertonia, diabetes mellitus, valamint tünetekkel járó szívelégtelenség (NYHA stádium ≥ II).</w:t>
      </w:r>
    </w:p>
    <w:p w14:paraId="2C201953" w14:textId="77777777" w:rsidR="004C11B6" w:rsidRDefault="004C11B6" w:rsidP="00A76DBD">
      <w:pPr>
        <w:pStyle w:val="Szvegtrzs"/>
        <w:spacing w:before="7"/>
        <w:rPr>
          <w:sz w:val="20"/>
        </w:rPr>
      </w:pPr>
    </w:p>
    <w:p w14:paraId="66784BCF" w14:textId="32B39B1A" w:rsidR="004C11B6" w:rsidRDefault="0076661B" w:rsidP="00A76DBD">
      <w:pPr>
        <w:pStyle w:val="Szvegtrzs"/>
        <w:spacing w:line="230" w:lineRule="auto"/>
        <w:ind w:right="2"/>
      </w:pPr>
      <w:r>
        <w:t>M</w:t>
      </w:r>
      <w:r w:rsidR="00F05A0C">
        <w:t>élyvénás thrombosis (MVT) és a pulmonalis embolia (PE) kezelése, valamint az MVT és a PE</w:t>
      </w:r>
      <w:r w:rsidR="00F05A0C">
        <w:rPr>
          <w:spacing w:val="-52"/>
        </w:rPr>
        <w:t xml:space="preserve"> </w:t>
      </w:r>
      <w:r w:rsidR="00F05A0C">
        <w:t>kiújulásának</w:t>
      </w:r>
      <w:r w:rsidR="00F05A0C">
        <w:rPr>
          <w:spacing w:val="-5"/>
        </w:rPr>
        <w:t xml:space="preserve"> </w:t>
      </w:r>
      <w:r w:rsidR="00F05A0C">
        <w:t>megelőzése</w:t>
      </w:r>
      <w:r w:rsidR="00F05A0C">
        <w:rPr>
          <w:spacing w:val="-5"/>
        </w:rPr>
        <w:t xml:space="preserve"> </w:t>
      </w:r>
      <w:r w:rsidR="00F05A0C">
        <w:t>felnőtteknél</w:t>
      </w:r>
      <w:r w:rsidR="00F05A0C">
        <w:rPr>
          <w:spacing w:val="-5"/>
        </w:rPr>
        <w:t xml:space="preserve"> </w:t>
      </w:r>
      <w:r w:rsidR="00F05A0C">
        <w:t>(a</w:t>
      </w:r>
      <w:r w:rsidR="00F05A0C">
        <w:rPr>
          <w:spacing w:val="-5"/>
        </w:rPr>
        <w:t xml:space="preserve"> </w:t>
      </w:r>
      <w:r w:rsidR="00F05A0C">
        <w:t>hemodinamikailag</w:t>
      </w:r>
      <w:r w:rsidR="00F05A0C">
        <w:rPr>
          <w:spacing w:val="-5"/>
        </w:rPr>
        <w:t xml:space="preserve"> </w:t>
      </w:r>
      <w:r w:rsidR="00F05A0C">
        <w:t>instabil</w:t>
      </w:r>
      <w:r w:rsidR="00F05A0C">
        <w:rPr>
          <w:spacing w:val="-5"/>
        </w:rPr>
        <w:t xml:space="preserve"> </w:t>
      </w:r>
      <w:r w:rsidR="00F05A0C">
        <w:t>tüdőembóliás</w:t>
      </w:r>
      <w:r w:rsidR="00F05A0C">
        <w:rPr>
          <w:spacing w:val="-5"/>
        </w:rPr>
        <w:t xml:space="preserve"> </w:t>
      </w:r>
      <w:r w:rsidR="00F05A0C">
        <w:t>betegeket</w:t>
      </w:r>
      <w:r w:rsidR="00F05A0C">
        <w:rPr>
          <w:spacing w:val="-5"/>
        </w:rPr>
        <w:t xml:space="preserve"> </w:t>
      </w:r>
      <w:r w:rsidR="00F05A0C">
        <w:t>lásd</w:t>
      </w:r>
      <w:r w:rsidR="00F05A0C">
        <w:rPr>
          <w:spacing w:val="-5"/>
        </w:rPr>
        <w:t xml:space="preserve"> </w:t>
      </w:r>
      <w:r w:rsidR="00F05A0C">
        <w:t>a</w:t>
      </w:r>
    </w:p>
    <w:p w14:paraId="3001290E" w14:textId="77777777" w:rsidR="004C11B6" w:rsidRDefault="00F05A0C" w:rsidP="00A76DBD">
      <w:pPr>
        <w:pStyle w:val="Szvegtrzs"/>
        <w:spacing w:line="246" w:lineRule="exact"/>
      </w:pPr>
      <w:r>
        <w:t>4.4</w:t>
      </w:r>
      <w:r>
        <w:rPr>
          <w:spacing w:val="-3"/>
        </w:rPr>
        <w:t xml:space="preserve"> </w:t>
      </w:r>
      <w:r>
        <w:t>pontban).</w:t>
      </w:r>
    </w:p>
    <w:p w14:paraId="3790C44B" w14:textId="77777777" w:rsidR="004C11B6" w:rsidRDefault="004C11B6" w:rsidP="00A76DBD">
      <w:pPr>
        <w:pStyle w:val="Szvegtrzs"/>
        <w:spacing w:before="10"/>
        <w:rPr>
          <w:sz w:val="21"/>
        </w:rPr>
      </w:pPr>
    </w:p>
    <w:p w14:paraId="47C752A7" w14:textId="77777777" w:rsidR="004C11B6" w:rsidRDefault="00F05A0C" w:rsidP="00A76DBD">
      <w:pPr>
        <w:pStyle w:val="Cmsor2"/>
        <w:ind w:left="0"/>
      </w:pPr>
      <w:r>
        <w:t>4.2</w:t>
      </w:r>
      <w:r>
        <w:tab/>
        <w:t>Adagolás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alkalmazás</w:t>
      </w:r>
    </w:p>
    <w:p w14:paraId="44BAAF9A" w14:textId="77777777" w:rsidR="004C11B6" w:rsidRDefault="004C11B6" w:rsidP="00A76DBD">
      <w:pPr>
        <w:pStyle w:val="Szvegtrzs"/>
        <w:spacing w:before="4"/>
        <w:rPr>
          <w:b/>
          <w:sz w:val="20"/>
        </w:rPr>
      </w:pPr>
    </w:p>
    <w:p w14:paraId="48EF861B" w14:textId="77777777" w:rsidR="004C11B6" w:rsidRDefault="00F05A0C" w:rsidP="00A76DBD">
      <w:pPr>
        <w:pStyle w:val="Szvegtrzs"/>
      </w:pPr>
      <w:r>
        <w:rPr>
          <w:u w:val="single"/>
        </w:rPr>
        <w:t>Adagolás</w:t>
      </w:r>
    </w:p>
    <w:p w14:paraId="27F88783" w14:textId="77777777" w:rsidR="004C11B6" w:rsidRDefault="004C11B6" w:rsidP="00A76DBD">
      <w:pPr>
        <w:pStyle w:val="Szvegtrzs"/>
        <w:spacing w:before="1"/>
        <w:rPr>
          <w:sz w:val="21"/>
        </w:rPr>
      </w:pPr>
    </w:p>
    <w:p w14:paraId="04736DEE" w14:textId="792EC15F" w:rsidR="004C11B6" w:rsidRDefault="00FA46D0" w:rsidP="00A76DBD">
      <w:pPr>
        <w:spacing w:line="230" w:lineRule="auto"/>
        <w:rPr>
          <w:i/>
        </w:rPr>
      </w:pPr>
      <w:r>
        <w:rPr>
          <w:i/>
          <w:u w:val="single"/>
        </w:rPr>
        <w:t>S</w:t>
      </w:r>
      <w:r w:rsidR="00F05A0C">
        <w:rPr>
          <w:i/>
          <w:u w:val="single"/>
        </w:rPr>
        <w:t xml:space="preserve">troke és a szisztémás embolizáció megelőzése nem </w:t>
      </w:r>
      <w:r w:rsidRPr="00A21724">
        <w:rPr>
          <w:i/>
          <w:w w:val="105"/>
          <w:u w:val="single"/>
        </w:rPr>
        <w:t xml:space="preserve">valvuláris pitvarfibrillációban </w:t>
      </w:r>
      <w:r w:rsidR="00F05A0C">
        <w:rPr>
          <w:i/>
          <w:u w:val="single"/>
        </w:rPr>
        <w:t>(NVPF)</w:t>
      </w:r>
      <w:r w:rsidR="00F05A0C" w:rsidRPr="00363C37">
        <w:rPr>
          <w:i/>
          <w:u w:val="single"/>
        </w:rPr>
        <w:t xml:space="preserve"> </w:t>
      </w:r>
      <w:r w:rsidR="00F05A0C">
        <w:rPr>
          <w:i/>
          <w:u w:val="single"/>
        </w:rPr>
        <w:t>szenvedő</w:t>
      </w:r>
      <w:r w:rsidR="00F05A0C">
        <w:rPr>
          <w:i/>
          <w:spacing w:val="-2"/>
          <w:u w:val="single"/>
        </w:rPr>
        <w:t xml:space="preserve"> </w:t>
      </w:r>
      <w:r w:rsidR="00F05A0C">
        <w:rPr>
          <w:i/>
          <w:u w:val="single"/>
        </w:rPr>
        <w:t>betegeknél</w:t>
      </w:r>
    </w:p>
    <w:p w14:paraId="5B4D05EC" w14:textId="0A71ABC1" w:rsidR="004C11B6" w:rsidRDefault="00F05A0C" w:rsidP="00A76DBD">
      <w:pPr>
        <w:pStyle w:val="Szvegtrzs"/>
        <w:spacing w:line="246" w:lineRule="exact"/>
      </w:pP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5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adagja</w:t>
      </w:r>
      <w:r>
        <w:rPr>
          <w:spacing w:val="-3"/>
        </w:rPr>
        <w:t xml:space="preserve"> </w:t>
      </w:r>
      <w:r>
        <w:t>naponta</w:t>
      </w:r>
      <w:r>
        <w:rPr>
          <w:spacing w:val="-4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5</w:t>
      </w:r>
      <w:r w:rsidR="00897ECC">
        <w:rPr>
          <w:spacing w:val="-4"/>
        </w:rPr>
        <w:t> </w:t>
      </w:r>
      <w:r>
        <w:t>mg,</w:t>
      </w:r>
      <w:r>
        <w:rPr>
          <w:spacing w:val="-2"/>
        </w:rPr>
        <w:t xml:space="preserve"> </w:t>
      </w:r>
      <w:r>
        <w:t>szájon</w:t>
      </w:r>
      <w:r>
        <w:rPr>
          <w:spacing w:val="-3"/>
        </w:rPr>
        <w:t xml:space="preserve"> </w:t>
      </w:r>
      <w:r>
        <w:t>át</w:t>
      </w:r>
      <w:r>
        <w:rPr>
          <w:spacing w:val="-1"/>
        </w:rPr>
        <w:t xml:space="preserve"> </w:t>
      </w:r>
      <w:r>
        <w:t>alkalmazva.</w:t>
      </w:r>
    </w:p>
    <w:p w14:paraId="34E90CFF" w14:textId="77777777" w:rsidR="004C11B6" w:rsidRDefault="004C11B6" w:rsidP="00A76DBD">
      <w:pPr>
        <w:pStyle w:val="Szvegtrzs"/>
        <w:spacing w:before="4"/>
        <w:rPr>
          <w:sz w:val="20"/>
        </w:rPr>
      </w:pPr>
    </w:p>
    <w:p w14:paraId="6BA45971" w14:textId="77777777" w:rsidR="004C11B6" w:rsidRDefault="00F05A0C" w:rsidP="00A76DBD">
      <w:pPr>
        <w:spacing w:line="248" w:lineRule="exact"/>
        <w:rPr>
          <w:i/>
        </w:rPr>
      </w:pPr>
      <w:r>
        <w:rPr>
          <w:i/>
        </w:rPr>
        <w:t>Dóziscsökkentés</w:t>
      </w:r>
    </w:p>
    <w:p w14:paraId="6B2A50EA" w14:textId="5D49AE54" w:rsidR="00300222" w:rsidRDefault="00300222" w:rsidP="00A76DBD">
      <w:pPr>
        <w:pStyle w:val="Szvegtrzs"/>
        <w:spacing w:before="4"/>
      </w:pPr>
      <w:r w:rsidRPr="00300222">
        <w:t>Az apixabán javasolt adagja naponta kétszer 2,5</w:t>
      </w:r>
      <w:r w:rsidR="00897ECC">
        <w:t> </w:t>
      </w:r>
      <w:r w:rsidRPr="00300222">
        <w:t>mg, szájon át alkalmazva azoknál a nem valvuláris pitvarfibrillációban szenvedő betegeknél, akiknél az alábbi jellemzők közül legalább kettő megtalálható: életkor ≥ 80 év, testtömeg ≤ 60 kg vagy a szérum kreatininszint ≥ 1,5</w:t>
      </w:r>
      <w:r w:rsidR="00897ECC">
        <w:t> </w:t>
      </w:r>
      <w:r w:rsidRPr="00300222">
        <w:t>mg/dl (133</w:t>
      </w:r>
      <w:r w:rsidR="00897ECC">
        <w:t> </w:t>
      </w:r>
      <w:r w:rsidRPr="00300222">
        <w:t>mikromol/l).</w:t>
      </w:r>
    </w:p>
    <w:p w14:paraId="3FF9167B" w14:textId="77777777" w:rsidR="004C11B6" w:rsidRDefault="004C11B6" w:rsidP="00A76DBD">
      <w:pPr>
        <w:pStyle w:val="Szvegtrzs"/>
        <w:spacing w:before="4"/>
        <w:rPr>
          <w:sz w:val="20"/>
        </w:rPr>
      </w:pPr>
    </w:p>
    <w:p w14:paraId="51E04493" w14:textId="77777777" w:rsidR="004C11B6" w:rsidRDefault="00F05A0C" w:rsidP="00A76DBD">
      <w:pPr>
        <w:pStyle w:val="Szvegtrzs"/>
        <w:spacing w:before="1"/>
      </w:pPr>
      <w:r>
        <w:t>A</w:t>
      </w:r>
      <w:r>
        <w:rPr>
          <w:spacing w:val="-5"/>
        </w:rPr>
        <w:t xml:space="preserve"> </w:t>
      </w:r>
      <w:r>
        <w:t>kezelést</w:t>
      </w:r>
      <w:r>
        <w:rPr>
          <w:spacing w:val="-4"/>
        </w:rPr>
        <w:t xml:space="preserve"> </w:t>
      </w:r>
      <w:r>
        <w:t>hosszú</w:t>
      </w:r>
      <w:r>
        <w:rPr>
          <w:spacing w:val="-4"/>
        </w:rPr>
        <w:t xml:space="preserve"> </w:t>
      </w:r>
      <w:r>
        <w:t>időn</w:t>
      </w:r>
      <w:r>
        <w:rPr>
          <w:spacing w:val="-4"/>
        </w:rPr>
        <w:t xml:space="preserve"> </w:t>
      </w:r>
      <w:r>
        <w:t>keresztül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folytatni.</w:t>
      </w:r>
    </w:p>
    <w:p w14:paraId="23B397B7" w14:textId="77777777" w:rsidR="004C11B6" w:rsidRDefault="004C11B6" w:rsidP="00A76DBD">
      <w:pPr>
        <w:pStyle w:val="Szvegtrzs"/>
        <w:spacing w:before="4"/>
        <w:rPr>
          <w:sz w:val="20"/>
        </w:rPr>
      </w:pPr>
    </w:p>
    <w:p w14:paraId="3BD018EE" w14:textId="18F3B2FB" w:rsidR="004C11B6" w:rsidRDefault="00F05A0C" w:rsidP="00A76DBD">
      <w:pPr>
        <w:spacing w:line="248" w:lineRule="exact"/>
        <w:rPr>
          <w:i/>
        </w:rPr>
      </w:pPr>
      <w:r>
        <w:rPr>
          <w:i/>
          <w:u w:val="single"/>
        </w:rPr>
        <w:t>Az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MVT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kezelése,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kezelése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az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MVT</w:t>
      </w:r>
      <w:r>
        <w:rPr>
          <w:i/>
          <w:spacing w:val="-3"/>
          <w:u w:val="single"/>
        </w:rPr>
        <w:t xml:space="preserve"> </w:t>
      </w:r>
      <w:r w:rsidR="00F302B9">
        <w:rPr>
          <w:i/>
          <w:u w:val="single"/>
        </w:rPr>
        <w:t>valamint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kiújulásának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megelőzése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(együtt: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VTEt)</w:t>
      </w:r>
    </w:p>
    <w:p w14:paraId="395926F2" w14:textId="2704E3F5" w:rsidR="004C11B6" w:rsidRDefault="00F05A0C" w:rsidP="00A76DBD">
      <w:pPr>
        <w:pStyle w:val="Szvegtrzs"/>
        <w:spacing w:before="3" w:line="230" w:lineRule="auto"/>
      </w:pPr>
      <w:r>
        <w:t xml:space="preserve">Az apixabán javasolt adagja akut mélyvénás thrombosis </w:t>
      </w:r>
      <w:r w:rsidR="0004584C">
        <w:t xml:space="preserve">(MVT) </w:t>
      </w:r>
      <w:r>
        <w:t>kezelésére és pulmonalis embolia</w:t>
      </w:r>
      <w:r w:rsidR="0004584C">
        <w:t xml:space="preserve"> (PE)</w:t>
      </w:r>
      <w:r>
        <w:t xml:space="preserve"> kezelésére</w:t>
      </w:r>
      <w:r w:rsidR="0004584C">
        <w:t xml:space="preserve"> </w:t>
      </w:r>
      <w:r>
        <w:rPr>
          <w:spacing w:val="-52"/>
        </w:rPr>
        <w:t xml:space="preserve"> </w:t>
      </w:r>
      <w:r w:rsidR="00300222" w:rsidRPr="00A21724">
        <w:t>naponta kétszer 10 mg szájon át alkalmazva az első 7 napon, majd azt követően naponta kétszer 5 mg</w:t>
      </w:r>
      <w:r w:rsidR="00300222" w:rsidDel="00300222">
        <w:t xml:space="preserve"> </w:t>
      </w:r>
      <w:r>
        <w:t>szájon át alkalmazva. A rendelkezésre álló orvosi irányelvek szerint a rövid időtartamú</w:t>
      </w:r>
      <w:r w:rsidR="00300222">
        <w:t xml:space="preserve"> (legalább 3 hónap</w:t>
      </w:r>
      <w:r w:rsidR="0004584C">
        <w:t>os</w:t>
      </w:r>
      <w:r w:rsidR="00300222">
        <w:t>)</w:t>
      </w:r>
      <w:r>
        <w:t xml:space="preserve"> terápiának</w:t>
      </w:r>
      <w:r>
        <w:rPr>
          <w:spacing w:val="1"/>
        </w:rPr>
        <w:t xml:space="preserve"> </w:t>
      </w:r>
      <w:r>
        <w:t>az átmeneti kockázati tényezőkön (pl. nemrégiben lezajlott műtét, trauma,</w:t>
      </w:r>
      <w:r>
        <w:rPr>
          <w:spacing w:val="1"/>
        </w:rPr>
        <w:t xml:space="preserve"> </w:t>
      </w:r>
      <w:r>
        <w:t>immobilizáció)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alapulnia.</w:t>
      </w:r>
    </w:p>
    <w:p w14:paraId="7AE9CFFD" w14:textId="6EB1B530" w:rsidR="007964B8" w:rsidRPr="00A21724" w:rsidRDefault="007964B8" w:rsidP="007964B8">
      <w:pPr>
        <w:pStyle w:val="Nincstrkz"/>
        <w:rPr>
          <w:rFonts w:cs="Times New Roman"/>
        </w:rPr>
      </w:pPr>
      <w:r w:rsidRPr="00A21724">
        <w:rPr>
          <w:rFonts w:cs="Times New Roman"/>
        </w:rPr>
        <w:t>MVT és PE kiújulásának megelőzésére az apixabán javasolt adagja naponta kétszer 2,5 mg, szájon át alkalmazva. MVT és PE kiújulásának megelőzés</w:t>
      </w:r>
      <w:r w:rsidR="00897ECC">
        <w:rPr>
          <w:rFonts w:cs="Times New Roman"/>
        </w:rPr>
        <w:t>ére</w:t>
      </w:r>
      <w:r w:rsidRPr="00A21724">
        <w:rPr>
          <w:rFonts w:cs="Times New Roman"/>
        </w:rPr>
        <w:t xml:space="preserve"> a naponta kétszer 2,5 mg</w:t>
      </w:r>
      <w:r w:rsidRPr="00A21724">
        <w:rPr>
          <w:rFonts w:cs="Times New Roman"/>
        </w:rPr>
        <w:noBreakHyphen/>
        <w:t xml:space="preserve">os dózist a 6 hónapig </w:t>
      </w:r>
      <w:r w:rsidRPr="00A21724">
        <w:rPr>
          <w:rFonts w:cs="Times New Roman"/>
        </w:rPr>
        <w:lastRenderedPageBreak/>
        <w:t>tartó, naponta kétszer 5 mg apixabánnal vagy más antikoagulánssal végzett kezelés befejezése után kell elkezdeni, amint azt az alábbi, 1. táblázat mutatja (lásd még 5.1 pont).</w:t>
      </w:r>
    </w:p>
    <w:p w14:paraId="6081C078" w14:textId="77777777" w:rsidR="004C11B6" w:rsidRDefault="004C11B6" w:rsidP="00425B13">
      <w:pPr>
        <w:pStyle w:val="Szvegtrzs"/>
        <w:spacing w:before="4"/>
        <w:rPr>
          <w:sz w:val="20"/>
        </w:rPr>
      </w:pPr>
    </w:p>
    <w:p w14:paraId="6CC1B7D3" w14:textId="615921C8" w:rsidR="004C11B6" w:rsidRDefault="00F05A0C" w:rsidP="00C66AF7">
      <w:pPr>
        <w:pStyle w:val="Cmsor2"/>
        <w:numPr>
          <w:ilvl w:val="0"/>
          <w:numId w:val="69"/>
        </w:numPr>
        <w:ind w:left="284" w:hanging="284"/>
      </w:pPr>
      <w:r>
        <w:t>táblázat:</w:t>
      </w:r>
      <w:r>
        <w:rPr>
          <w:spacing w:val="-3"/>
        </w:rPr>
        <w:t xml:space="preserve"> </w:t>
      </w:r>
      <w:r>
        <w:t>Ajánlott</w:t>
      </w:r>
      <w:r>
        <w:rPr>
          <w:spacing w:val="-4"/>
        </w:rPr>
        <w:t xml:space="preserve"> </w:t>
      </w:r>
      <w:r>
        <w:t>adagolás</w:t>
      </w:r>
      <w:r>
        <w:rPr>
          <w:spacing w:val="-6"/>
        </w:rPr>
        <w:t xml:space="preserve"> </w:t>
      </w:r>
      <w:r>
        <w:t>(VTEt)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9"/>
        <w:gridCol w:w="3398"/>
        <w:gridCol w:w="2025"/>
      </w:tblGrid>
      <w:tr w:rsidR="004C11B6" w14:paraId="6B878794" w14:textId="77777777" w:rsidTr="00425B13">
        <w:trPr>
          <w:trHeight w:val="412"/>
        </w:trPr>
        <w:tc>
          <w:tcPr>
            <w:tcW w:w="3649" w:type="dxa"/>
          </w:tcPr>
          <w:p w14:paraId="5EB5F9A2" w14:textId="77777777" w:rsidR="004C11B6" w:rsidRDefault="004C11B6" w:rsidP="00425B13">
            <w:pPr>
              <w:pStyle w:val="TableParagraph"/>
            </w:pPr>
          </w:p>
        </w:tc>
        <w:tc>
          <w:tcPr>
            <w:tcW w:w="3398" w:type="dxa"/>
          </w:tcPr>
          <w:p w14:paraId="0636AFEB" w14:textId="77777777" w:rsidR="004C11B6" w:rsidRDefault="00F05A0C" w:rsidP="00425B13">
            <w:pPr>
              <w:pStyle w:val="TableParagraph"/>
              <w:spacing w:line="244" w:lineRule="exact"/>
            </w:pPr>
            <w:r>
              <w:t>Adagolási</w:t>
            </w:r>
            <w:r>
              <w:rPr>
                <w:spacing w:val="-5"/>
              </w:rPr>
              <w:t xml:space="preserve"> </w:t>
            </w:r>
            <w:r>
              <w:t>rend</w:t>
            </w:r>
          </w:p>
        </w:tc>
        <w:tc>
          <w:tcPr>
            <w:tcW w:w="2025" w:type="dxa"/>
          </w:tcPr>
          <w:p w14:paraId="7B078BB5" w14:textId="77777777" w:rsidR="004C11B6" w:rsidRDefault="00F05A0C" w:rsidP="00425B13">
            <w:pPr>
              <w:pStyle w:val="TableParagraph"/>
              <w:spacing w:line="244" w:lineRule="exact"/>
            </w:pPr>
            <w:r>
              <w:t>Maximális</w:t>
            </w:r>
            <w:r>
              <w:rPr>
                <w:spacing w:val="-4"/>
              </w:rPr>
              <w:t xml:space="preserve"> </w:t>
            </w:r>
            <w:r>
              <w:t>napi</w:t>
            </w:r>
            <w:r>
              <w:rPr>
                <w:spacing w:val="-4"/>
              </w:rPr>
              <w:t xml:space="preserve"> </w:t>
            </w:r>
            <w:r>
              <w:t>adag</w:t>
            </w:r>
          </w:p>
        </w:tc>
      </w:tr>
      <w:tr w:rsidR="004C11B6" w14:paraId="29ADE6B0" w14:textId="77777777" w:rsidTr="00425B13">
        <w:trPr>
          <w:trHeight w:val="414"/>
        </w:trPr>
        <w:tc>
          <w:tcPr>
            <w:tcW w:w="3649" w:type="dxa"/>
            <w:vMerge w:val="restart"/>
          </w:tcPr>
          <w:p w14:paraId="4969171A" w14:textId="77777777" w:rsidR="004C11B6" w:rsidRDefault="00F05A0C" w:rsidP="00425B13">
            <w:pPr>
              <w:pStyle w:val="TableParagraph"/>
              <w:spacing w:line="244" w:lineRule="exact"/>
            </w:pPr>
            <w:r>
              <w:t>MVT</w:t>
            </w:r>
            <w:r>
              <w:rPr>
                <w:spacing w:val="-3"/>
              </w:rPr>
              <w:t xml:space="preserve"> </w:t>
            </w:r>
            <w:r>
              <w:t>vagy</w:t>
            </w:r>
            <w:r>
              <w:rPr>
                <w:spacing w:val="-3"/>
              </w:rPr>
              <w:t xml:space="preserve"> </w:t>
            </w:r>
            <w:r>
              <w:t>PE</w:t>
            </w:r>
            <w:r>
              <w:rPr>
                <w:spacing w:val="-2"/>
              </w:rPr>
              <w:t xml:space="preserve"> </w:t>
            </w:r>
            <w:r>
              <w:t>kezelése</w:t>
            </w:r>
          </w:p>
        </w:tc>
        <w:tc>
          <w:tcPr>
            <w:tcW w:w="3398" w:type="dxa"/>
          </w:tcPr>
          <w:p w14:paraId="5FA80E4B" w14:textId="3280E920" w:rsidR="004C11B6" w:rsidRDefault="00F05A0C" w:rsidP="00425B13">
            <w:pPr>
              <w:pStyle w:val="TableParagraph"/>
              <w:spacing w:line="244" w:lineRule="exact"/>
            </w:pPr>
            <w:r>
              <w:t>naponta</w:t>
            </w:r>
            <w:r>
              <w:rPr>
                <w:spacing w:val="-1"/>
              </w:rPr>
              <w:t xml:space="preserve"> </w:t>
            </w:r>
            <w:r>
              <w:t>2 ×</w:t>
            </w:r>
            <w:r>
              <w:rPr>
                <w:spacing w:val="-2"/>
              </w:rPr>
              <w:t xml:space="preserve"> </w:t>
            </w:r>
            <w:r>
              <w:t>10</w:t>
            </w:r>
            <w:r w:rsidR="00897ECC">
              <w:t> </w:t>
            </w:r>
            <w:r>
              <w:t>mg</w:t>
            </w:r>
            <w:r>
              <w:rPr>
                <w:spacing w:val="-4"/>
              </w:rPr>
              <w:t xml:space="preserve"> </w:t>
            </w:r>
            <w:r>
              <w:t>az</w:t>
            </w:r>
            <w:r>
              <w:rPr>
                <w:spacing w:val="-1"/>
              </w:rPr>
              <w:t xml:space="preserve"> </w:t>
            </w:r>
            <w:r>
              <w:t>első</w:t>
            </w:r>
            <w:r>
              <w:rPr>
                <w:spacing w:val="-1"/>
              </w:rPr>
              <w:t xml:space="preserve"> </w:t>
            </w:r>
            <w:r>
              <w:t>7</w:t>
            </w:r>
            <w:r>
              <w:rPr>
                <w:spacing w:val="-1"/>
              </w:rPr>
              <w:t xml:space="preserve"> </w:t>
            </w:r>
            <w:r>
              <w:t>nap</w:t>
            </w:r>
            <w:r w:rsidR="007964B8">
              <w:t>on</w:t>
            </w:r>
          </w:p>
        </w:tc>
        <w:tc>
          <w:tcPr>
            <w:tcW w:w="2025" w:type="dxa"/>
          </w:tcPr>
          <w:p w14:paraId="4D3948E2" w14:textId="167C3FAD" w:rsidR="004C11B6" w:rsidRDefault="00F05A0C" w:rsidP="00425B13">
            <w:pPr>
              <w:pStyle w:val="TableParagraph"/>
              <w:spacing w:line="244" w:lineRule="exact"/>
            </w:pPr>
            <w:r>
              <w:t>20</w:t>
            </w:r>
            <w:r w:rsidR="00897ECC">
              <w:rPr>
                <w:spacing w:val="-1"/>
              </w:rPr>
              <w:t> </w:t>
            </w:r>
            <w:r>
              <w:t>mg</w:t>
            </w:r>
          </w:p>
        </w:tc>
      </w:tr>
      <w:tr w:rsidR="004C11B6" w14:paraId="7F8DD0CF" w14:textId="77777777" w:rsidTr="00425B13">
        <w:trPr>
          <w:trHeight w:val="429"/>
        </w:trPr>
        <w:tc>
          <w:tcPr>
            <w:tcW w:w="3649" w:type="dxa"/>
            <w:vMerge/>
            <w:tcBorders>
              <w:top w:val="nil"/>
            </w:tcBorders>
          </w:tcPr>
          <w:p w14:paraId="0F77A696" w14:textId="77777777" w:rsidR="004C11B6" w:rsidRDefault="004C11B6" w:rsidP="00425B13">
            <w:pPr>
              <w:rPr>
                <w:sz w:val="2"/>
                <w:szCs w:val="2"/>
              </w:rPr>
            </w:pPr>
          </w:p>
        </w:tc>
        <w:tc>
          <w:tcPr>
            <w:tcW w:w="3398" w:type="dxa"/>
          </w:tcPr>
          <w:p w14:paraId="7C3E8841" w14:textId="37A39B87" w:rsidR="004C11B6" w:rsidRDefault="00F05A0C" w:rsidP="00425B13">
            <w:pPr>
              <w:pStyle w:val="TableParagraph"/>
              <w:spacing w:line="242" w:lineRule="exact"/>
            </w:pPr>
            <w:r>
              <w:t>utána</w:t>
            </w:r>
            <w:r>
              <w:rPr>
                <w:spacing w:val="-2"/>
              </w:rPr>
              <w:t xml:space="preserve"> </w:t>
            </w:r>
            <w:r>
              <w:t>naponta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×</w:t>
            </w:r>
            <w:r>
              <w:rPr>
                <w:spacing w:val="-2"/>
              </w:rPr>
              <w:t xml:space="preserve"> </w:t>
            </w:r>
            <w:r>
              <w:t>5</w:t>
            </w:r>
            <w:r w:rsidR="00897ECC">
              <w:rPr>
                <w:spacing w:val="-2"/>
              </w:rPr>
              <w:t> </w:t>
            </w:r>
            <w:r>
              <w:t>mg</w:t>
            </w:r>
          </w:p>
        </w:tc>
        <w:tc>
          <w:tcPr>
            <w:tcW w:w="2025" w:type="dxa"/>
          </w:tcPr>
          <w:p w14:paraId="05FE158F" w14:textId="1A924F0E" w:rsidR="004C11B6" w:rsidRDefault="00F05A0C" w:rsidP="00425B13">
            <w:pPr>
              <w:pStyle w:val="TableParagraph"/>
              <w:spacing w:line="242" w:lineRule="exact"/>
            </w:pPr>
            <w:r>
              <w:t>10</w:t>
            </w:r>
            <w:r w:rsidR="00897ECC">
              <w:rPr>
                <w:spacing w:val="-1"/>
              </w:rPr>
              <w:t> </w:t>
            </w:r>
            <w:r>
              <w:t>mg</w:t>
            </w:r>
          </w:p>
        </w:tc>
      </w:tr>
      <w:tr w:rsidR="004C11B6" w14:paraId="23083840" w14:textId="77777777" w:rsidTr="00425B13">
        <w:trPr>
          <w:trHeight w:val="976"/>
        </w:trPr>
        <w:tc>
          <w:tcPr>
            <w:tcW w:w="3649" w:type="dxa"/>
          </w:tcPr>
          <w:p w14:paraId="09CF189E" w14:textId="76533063" w:rsidR="004C11B6" w:rsidRDefault="007964B8" w:rsidP="00425B13">
            <w:pPr>
              <w:pStyle w:val="TableParagraph"/>
              <w:spacing w:line="228" w:lineRule="exact"/>
            </w:pPr>
            <w:r w:rsidRPr="00A21724">
              <w:rPr>
                <w:w w:val="105"/>
                <w:lang w:val="hu-HU"/>
              </w:rPr>
              <w:t>MVT és/vagy PE kiújulásának megelőzése, az MVT vagy a PE 6 hónapig tartó kezelésének befejezése után</w:t>
            </w:r>
          </w:p>
        </w:tc>
        <w:tc>
          <w:tcPr>
            <w:tcW w:w="3398" w:type="dxa"/>
          </w:tcPr>
          <w:p w14:paraId="68F01679" w14:textId="79EF8AB9" w:rsidR="004C11B6" w:rsidRDefault="00F05A0C" w:rsidP="00425B13">
            <w:pPr>
              <w:pStyle w:val="TableParagraph"/>
              <w:spacing w:line="244" w:lineRule="exact"/>
            </w:pPr>
            <w:r>
              <w:t>naponta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×</w:t>
            </w:r>
            <w:r>
              <w:rPr>
                <w:spacing w:val="-3"/>
              </w:rPr>
              <w:t xml:space="preserve"> </w:t>
            </w:r>
            <w:r>
              <w:t>2,5</w:t>
            </w:r>
            <w:r w:rsidR="00897ECC">
              <w:rPr>
                <w:spacing w:val="-2"/>
              </w:rPr>
              <w:t> </w:t>
            </w:r>
            <w:r>
              <w:t>mg</w:t>
            </w:r>
          </w:p>
        </w:tc>
        <w:tc>
          <w:tcPr>
            <w:tcW w:w="2025" w:type="dxa"/>
          </w:tcPr>
          <w:p w14:paraId="5D9B1F2F" w14:textId="75A9D5B6" w:rsidR="004C11B6" w:rsidRDefault="00F05A0C" w:rsidP="00425B13">
            <w:pPr>
              <w:pStyle w:val="TableParagraph"/>
              <w:spacing w:line="244" w:lineRule="exact"/>
            </w:pPr>
            <w:r>
              <w:t>5</w:t>
            </w:r>
            <w:r w:rsidR="00897ECC">
              <w:rPr>
                <w:spacing w:val="-2"/>
              </w:rPr>
              <w:t> </w:t>
            </w:r>
            <w:r>
              <w:t>mg</w:t>
            </w:r>
          </w:p>
        </w:tc>
      </w:tr>
    </w:tbl>
    <w:p w14:paraId="0D62B17D" w14:textId="77777777" w:rsidR="004C11B6" w:rsidRDefault="004C11B6">
      <w:pPr>
        <w:pStyle w:val="Szvegtrzs"/>
        <w:spacing w:before="11"/>
        <w:rPr>
          <w:b/>
        </w:rPr>
      </w:pPr>
    </w:p>
    <w:p w14:paraId="1E3FD1C4" w14:textId="02467573" w:rsidR="004C11B6" w:rsidRDefault="00F05A0C" w:rsidP="00B013D5">
      <w:pPr>
        <w:pStyle w:val="Szvegtrzs"/>
        <w:spacing w:line="244" w:lineRule="auto"/>
        <w:ind w:right="2"/>
      </w:pPr>
      <w:r>
        <w:t>A kezelés teljes időtartamát a kezelés előnyének és a vérzés kockázatának</w:t>
      </w:r>
      <w:r w:rsidR="006B1E44">
        <w:t xml:space="preserve"> </w:t>
      </w:r>
      <w:r>
        <w:rPr>
          <w:spacing w:val="-52"/>
        </w:rPr>
        <w:t xml:space="preserve"> </w:t>
      </w:r>
      <w:r>
        <w:t>gondos</w:t>
      </w:r>
      <w:r>
        <w:rPr>
          <w:spacing w:val="-2"/>
        </w:rPr>
        <w:t xml:space="preserve"> </w:t>
      </w:r>
      <w:r>
        <w:t>mérlegelését</w:t>
      </w:r>
      <w:r>
        <w:rPr>
          <w:spacing w:val="-2"/>
        </w:rPr>
        <w:t xml:space="preserve"> </w:t>
      </w:r>
      <w:r>
        <w:t>követően</w:t>
      </w:r>
      <w:r>
        <w:rPr>
          <w:spacing w:val="-2"/>
        </w:rPr>
        <w:t xml:space="preserve"> </w:t>
      </w:r>
      <w:r w:rsidR="006B1E44">
        <w:t>egyénenként</w:t>
      </w:r>
      <w:r w:rsidR="006B1E44"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meghatározni</w:t>
      </w:r>
      <w:r>
        <w:rPr>
          <w:spacing w:val="-3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4.4</w:t>
      </w:r>
      <w:r>
        <w:rPr>
          <w:spacing w:val="-1"/>
        </w:rPr>
        <w:t xml:space="preserve"> </w:t>
      </w:r>
      <w:r>
        <w:t>pont).</w:t>
      </w:r>
    </w:p>
    <w:p w14:paraId="115F1F60" w14:textId="77777777" w:rsidR="004C11B6" w:rsidRDefault="004C11B6" w:rsidP="00B013D5">
      <w:pPr>
        <w:pStyle w:val="Szvegtrzs"/>
        <w:spacing w:before="5"/>
        <w:ind w:right="2"/>
        <w:rPr>
          <w:sz w:val="20"/>
        </w:rPr>
      </w:pPr>
    </w:p>
    <w:p w14:paraId="0943712E" w14:textId="77777777" w:rsidR="004C11B6" w:rsidRDefault="00F05A0C" w:rsidP="00B013D5">
      <w:pPr>
        <w:ind w:right="2"/>
        <w:rPr>
          <w:i/>
        </w:rPr>
      </w:pPr>
      <w:r>
        <w:rPr>
          <w:i/>
          <w:u w:val="single"/>
        </w:rPr>
        <w:t>Kihagyott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adag</w:t>
      </w:r>
    </w:p>
    <w:p w14:paraId="7B59BA3D" w14:textId="05457126" w:rsidR="004C11B6" w:rsidRDefault="00F05A0C" w:rsidP="00B013D5">
      <w:pPr>
        <w:pStyle w:val="Szvegtrzs"/>
        <w:spacing w:before="4" w:line="244" w:lineRule="auto"/>
        <w:ind w:right="2"/>
      </w:pPr>
      <w:r>
        <w:t xml:space="preserve">Ha egy adag kimarad, akkor a betegnek azonnal be kell vennie az </w:t>
      </w:r>
      <w:r w:rsidR="006F0001">
        <w:t xml:space="preserve">Apixaban </w:t>
      </w:r>
      <w:r w:rsidR="00142607">
        <w:t>Supremex-et</w:t>
      </w:r>
      <w:r>
        <w:t>, majd a napi kétszeri</w:t>
      </w:r>
      <w:r w:rsidRPr="009960E5">
        <w:t xml:space="preserve"> </w:t>
      </w:r>
      <w:r w:rsidR="00E774E6">
        <w:t>alkalmazást</w:t>
      </w:r>
      <w:r w:rsidR="00E774E6" w:rsidRPr="009960E5">
        <w:t xml:space="preserve"> </w:t>
      </w:r>
      <w:r>
        <w:t>a</w:t>
      </w:r>
      <w:r>
        <w:rPr>
          <w:spacing w:val="-1"/>
        </w:rPr>
        <w:t xml:space="preserve"> </w:t>
      </w:r>
      <w:r>
        <w:t>korábbiaknak</w:t>
      </w:r>
      <w:r>
        <w:rPr>
          <w:spacing w:val="-1"/>
        </w:rPr>
        <w:t xml:space="preserve"> </w:t>
      </w:r>
      <w:r>
        <w:t>megfelelően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folytatnia.</w:t>
      </w:r>
    </w:p>
    <w:p w14:paraId="3C4AAFC5" w14:textId="77777777" w:rsidR="004C11B6" w:rsidRDefault="004C11B6" w:rsidP="00B013D5">
      <w:pPr>
        <w:pStyle w:val="Szvegtrzs"/>
        <w:spacing w:before="2"/>
        <w:ind w:right="2"/>
        <w:rPr>
          <w:sz w:val="20"/>
        </w:rPr>
      </w:pPr>
    </w:p>
    <w:p w14:paraId="1845EAEA" w14:textId="77777777" w:rsidR="004C11B6" w:rsidRDefault="00F05A0C" w:rsidP="00B013D5">
      <w:pPr>
        <w:ind w:right="2"/>
        <w:rPr>
          <w:i/>
        </w:rPr>
      </w:pPr>
      <w:r>
        <w:rPr>
          <w:i/>
          <w:u w:val="single"/>
        </w:rPr>
        <w:t>Átállítás</w:t>
      </w:r>
    </w:p>
    <w:p w14:paraId="4D51DE63" w14:textId="6585A57F" w:rsidR="004C11B6" w:rsidRDefault="00375385" w:rsidP="00B013D5">
      <w:pPr>
        <w:pStyle w:val="Szvegtrzs"/>
        <w:tabs>
          <w:tab w:val="left" w:pos="9072"/>
        </w:tabs>
        <w:spacing w:before="4" w:line="247" w:lineRule="auto"/>
        <w:ind w:right="2"/>
      </w:pPr>
      <w:r w:rsidRPr="00A21724">
        <w:t>A kezelés parenterális antikoagulánsokról</w:t>
      </w:r>
      <w:r w:rsidDel="00375385">
        <w:t xml:space="preserve"> </w:t>
      </w:r>
      <w:r w:rsidR="006F0001">
        <w:t xml:space="preserve">Apixaban </w:t>
      </w:r>
      <w:r w:rsidR="00142607">
        <w:t>Supremex</w:t>
      </w:r>
      <w:r w:rsidR="00F05A0C">
        <w:t>-r</w:t>
      </w:r>
      <w:r w:rsidR="00142607">
        <w:t>e</w:t>
      </w:r>
      <w:r w:rsidR="00F05A0C">
        <w:t xml:space="preserve"> (és fordítva)</w:t>
      </w:r>
      <w:r>
        <w:t xml:space="preserve"> történő átállítását</w:t>
      </w:r>
      <w:r w:rsidR="00F05A0C">
        <w:t xml:space="preserve"> a</w:t>
      </w:r>
      <w:r w:rsidR="00F05A0C" w:rsidRPr="00F631B5">
        <w:t xml:space="preserve"> </w:t>
      </w:r>
      <w:r w:rsidR="00F05A0C">
        <w:t xml:space="preserve">következő előírt adag </w:t>
      </w:r>
      <w:r>
        <w:t xml:space="preserve">beadásának </w:t>
      </w:r>
      <w:r w:rsidR="00F05A0C">
        <w:t>időpontjában</w:t>
      </w:r>
      <w:r>
        <w:t xml:space="preserve"> lehet elvégezni</w:t>
      </w:r>
      <w:r w:rsidR="00F05A0C">
        <w:t xml:space="preserve"> (lásd 4.5 pont). Ezeket a gyógyszereket nem szabad egyidejűleg</w:t>
      </w:r>
      <w:r w:rsidR="00F05A0C">
        <w:rPr>
          <w:spacing w:val="1"/>
        </w:rPr>
        <w:t xml:space="preserve"> </w:t>
      </w:r>
      <w:r w:rsidR="00F05A0C">
        <w:t>alkalmazni.</w:t>
      </w:r>
    </w:p>
    <w:p w14:paraId="58CD4B76" w14:textId="77777777" w:rsidR="004C11B6" w:rsidRDefault="004C11B6" w:rsidP="00B013D5">
      <w:pPr>
        <w:pStyle w:val="Szvegtrzs"/>
        <w:spacing w:before="10"/>
        <w:ind w:right="2"/>
        <w:rPr>
          <w:sz w:val="19"/>
        </w:rPr>
      </w:pPr>
    </w:p>
    <w:p w14:paraId="56D4E35B" w14:textId="2DB009B3" w:rsidR="004C11B6" w:rsidRDefault="00F05A0C" w:rsidP="00B013D5">
      <w:pPr>
        <w:spacing w:line="249" w:lineRule="exact"/>
        <w:ind w:right="2"/>
        <w:rPr>
          <w:i/>
        </w:rPr>
      </w:pPr>
      <w:r>
        <w:rPr>
          <w:i/>
          <w:u w:val="single"/>
        </w:rPr>
        <w:t>Átállítás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K-vitamin</w:t>
      </w:r>
      <w:r w:rsidR="00BE5854">
        <w:rPr>
          <w:i/>
          <w:spacing w:val="-5"/>
          <w:u w:val="single"/>
        </w:rPr>
        <w:t>-</w:t>
      </w:r>
      <w:r>
        <w:rPr>
          <w:i/>
          <w:u w:val="single"/>
        </w:rPr>
        <w:t>antagonista</w:t>
      </w:r>
      <w:r w:rsidR="00BE5854">
        <w:rPr>
          <w:i/>
          <w:spacing w:val="-5"/>
          <w:u w:val="single"/>
        </w:rPr>
        <w:t>-</w:t>
      </w:r>
      <w:r>
        <w:rPr>
          <w:i/>
          <w:u w:val="single"/>
        </w:rPr>
        <w:t>kezelésről</w:t>
      </w:r>
      <w:r>
        <w:rPr>
          <w:i/>
          <w:spacing w:val="-6"/>
          <w:u w:val="single"/>
        </w:rPr>
        <w:t xml:space="preserve"> </w:t>
      </w:r>
      <w:r w:rsidR="006F0001">
        <w:rPr>
          <w:i/>
          <w:u w:val="single"/>
        </w:rPr>
        <w:t xml:space="preserve">Apixaban </w:t>
      </w:r>
      <w:r w:rsidR="00142607">
        <w:rPr>
          <w:i/>
          <w:u w:val="single"/>
        </w:rPr>
        <w:t>Supremex</w:t>
      </w:r>
      <w:r>
        <w:rPr>
          <w:i/>
          <w:u w:val="single"/>
        </w:rPr>
        <w:t>-r</w:t>
      </w:r>
      <w:r w:rsidR="00142607">
        <w:rPr>
          <w:i/>
          <w:u w:val="single"/>
        </w:rPr>
        <w:t>e</w:t>
      </w:r>
    </w:p>
    <w:p w14:paraId="4022ECB4" w14:textId="6A06A416" w:rsidR="004C11B6" w:rsidRDefault="00F05A0C" w:rsidP="00B013D5">
      <w:pPr>
        <w:pStyle w:val="Szvegtrzs"/>
        <w:spacing w:before="5" w:line="230" w:lineRule="auto"/>
        <w:ind w:right="2"/>
      </w:pPr>
      <w:r>
        <w:t>Amikor a betegeket K-vitamin</w:t>
      </w:r>
      <w:r w:rsidR="00BE5854">
        <w:t>-</w:t>
      </w:r>
      <w:r>
        <w:t>antagonista</w:t>
      </w:r>
      <w:r w:rsidR="00BE5854">
        <w:t>-</w:t>
      </w:r>
      <w:r>
        <w:t xml:space="preserve">kezelésről </w:t>
      </w:r>
      <w:r w:rsidR="006F0001">
        <w:t xml:space="preserve">Apixaban </w:t>
      </w:r>
      <w:r w:rsidR="00142607">
        <w:t>Supremex</w:t>
      </w:r>
      <w:r>
        <w:t>-r</w:t>
      </w:r>
      <w:r w:rsidR="00142607">
        <w:t>e</w:t>
      </w:r>
      <w:r>
        <w:t xml:space="preserve"> állítják át, akkor abba kell hagyni a</w:t>
      </w:r>
      <w:r w:rsidRPr="00904532">
        <w:t xml:space="preserve"> </w:t>
      </w:r>
      <w:r>
        <w:t>warfarin- vagy más K-vitamin</w:t>
      </w:r>
      <w:r w:rsidR="00BE5854">
        <w:t>-</w:t>
      </w:r>
      <w:r>
        <w:t xml:space="preserve">antagonista-kezelést, és az </w:t>
      </w:r>
      <w:r w:rsidR="006F0001">
        <w:t xml:space="preserve">Apixaban </w:t>
      </w:r>
      <w:r w:rsidR="00142607">
        <w:t>Supremex-et</w:t>
      </w:r>
      <w:r>
        <w:t xml:space="preserve"> akkor kell elkezdeni, amikor a</w:t>
      </w:r>
      <w:r>
        <w:rPr>
          <w:spacing w:val="1"/>
        </w:rPr>
        <w:t xml:space="preserve"> </w:t>
      </w:r>
      <w:r>
        <w:t>nemzetközi</w:t>
      </w:r>
      <w:r>
        <w:rPr>
          <w:spacing w:val="-2"/>
        </w:rPr>
        <w:t xml:space="preserve"> </w:t>
      </w:r>
      <w:r>
        <w:t>normalizált</w:t>
      </w:r>
      <w:r>
        <w:rPr>
          <w:spacing w:val="-1"/>
        </w:rPr>
        <w:t xml:space="preserve"> </w:t>
      </w:r>
      <w:r>
        <w:t>arány</w:t>
      </w:r>
      <w:r>
        <w:rPr>
          <w:spacing w:val="-1"/>
        </w:rPr>
        <w:t xml:space="preserve"> </w:t>
      </w:r>
      <w:r>
        <w:t>(INR)</w:t>
      </w:r>
      <w:r>
        <w:rPr>
          <w:spacing w:val="-1"/>
        </w:rPr>
        <w:t xml:space="preserve"> </w:t>
      </w:r>
      <w:r>
        <w:t>&lt;</w:t>
      </w:r>
      <w:r w:rsidR="00BE5854">
        <w:t> </w:t>
      </w:r>
      <w:r>
        <w:t>2.</w:t>
      </w:r>
    </w:p>
    <w:p w14:paraId="16DF9CA5" w14:textId="77777777" w:rsidR="004C11B6" w:rsidRDefault="004C11B6" w:rsidP="00B013D5">
      <w:pPr>
        <w:pStyle w:val="Szvegtrzs"/>
        <w:spacing w:before="7"/>
        <w:ind w:right="2"/>
        <w:rPr>
          <w:sz w:val="20"/>
        </w:rPr>
      </w:pPr>
    </w:p>
    <w:p w14:paraId="1B8924F5" w14:textId="5AB890AF" w:rsidR="004C11B6" w:rsidRDefault="00F05A0C" w:rsidP="00B013D5">
      <w:pPr>
        <w:spacing w:line="249" w:lineRule="exact"/>
        <w:ind w:right="2"/>
        <w:rPr>
          <w:i/>
        </w:rPr>
      </w:pPr>
      <w:r>
        <w:rPr>
          <w:i/>
          <w:u w:val="single"/>
        </w:rPr>
        <w:t>Átállítás</w:t>
      </w:r>
      <w:r>
        <w:rPr>
          <w:i/>
          <w:spacing w:val="-7"/>
          <w:u w:val="single"/>
        </w:rPr>
        <w:t xml:space="preserve"> </w:t>
      </w:r>
      <w:r w:rsidR="006F0001">
        <w:rPr>
          <w:i/>
          <w:u w:val="single"/>
        </w:rPr>
        <w:t xml:space="preserve">Apixaban </w:t>
      </w:r>
      <w:r w:rsidR="00142607">
        <w:rPr>
          <w:i/>
          <w:u w:val="single"/>
        </w:rPr>
        <w:t>Supremex</w:t>
      </w:r>
      <w:r>
        <w:rPr>
          <w:i/>
          <w:u w:val="single"/>
        </w:rPr>
        <w:t>-r</w:t>
      </w:r>
      <w:r w:rsidR="00142607">
        <w:rPr>
          <w:i/>
          <w:u w:val="single"/>
        </w:rPr>
        <w:t>ő</w:t>
      </w:r>
      <w:r>
        <w:rPr>
          <w:i/>
          <w:u w:val="single"/>
        </w:rPr>
        <w:t>l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K-vitamin</w:t>
      </w:r>
      <w:r w:rsidR="00BE5854">
        <w:rPr>
          <w:i/>
          <w:spacing w:val="-6"/>
          <w:u w:val="single"/>
        </w:rPr>
        <w:t>-</w:t>
      </w:r>
      <w:r>
        <w:rPr>
          <w:i/>
          <w:u w:val="single"/>
        </w:rPr>
        <w:t>antagonista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kezelésre</w:t>
      </w:r>
    </w:p>
    <w:p w14:paraId="775B9BA0" w14:textId="0E620D86" w:rsidR="004C11B6" w:rsidRDefault="00F05A0C" w:rsidP="00B013D5">
      <w:pPr>
        <w:pStyle w:val="Szvegtrzs"/>
        <w:spacing w:before="4" w:line="230" w:lineRule="auto"/>
        <w:ind w:right="2"/>
      </w:pPr>
      <w:r>
        <w:t xml:space="preserve">Amikor a betegeket </w:t>
      </w:r>
      <w:r w:rsidR="006F0001">
        <w:t xml:space="preserve">Apixaban </w:t>
      </w:r>
      <w:r w:rsidR="00142607">
        <w:t>Supremex</w:t>
      </w:r>
      <w:r>
        <w:t>-r</w:t>
      </w:r>
      <w:r w:rsidR="00142607">
        <w:t>ő</w:t>
      </w:r>
      <w:r>
        <w:t>l K-vitamin</w:t>
      </w:r>
      <w:r w:rsidR="00BE5854">
        <w:t>-</w:t>
      </w:r>
      <w:r>
        <w:t>antagonista</w:t>
      </w:r>
      <w:r w:rsidR="00BE5854">
        <w:t>-</w:t>
      </w:r>
      <w:r>
        <w:t>kezelésre állítják át, akkor a K-vitamin</w:t>
      </w:r>
      <w:r>
        <w:rPr>
          <w:spacing w:val="1"/>
        </w:rPr>
        <w:t xml:space="preserve"> </w:t>
      </w:r>
      <w:r>
        <w:t>antagonista-kezelés elkezdése után</w:t>
      </w:r>
      <w:r w:rsidR="00B9530F">
        <w:t xml:space="preserve"> még</w:t>
      </w:r>
      <w:r>
        <w:t xml:space="preserve"> legalább 2 napig folytatni kell 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 xml:space="preserve">adását. 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és a</w:t>
      </w:r>
      <w:r w:rsidRPr="00803C29">
        <w:t xml:space="preserve"> </w:t>
      </w:r>
      <w:r>
        <w:t>K-vitamin</w:t>
      </w:r>
      <w:r w:rsidR="00B9530F">
        <w:t>-</w:t>
      </w:r>
      <w:r>
        <w:t xml:space="preserve">antagonista-kezelés 2 napos egyidejű alkalmazása után 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következő, tervezett</w:t>
      </w:r>
      <w:r>
        <w:rPr>
          <w:spacing w:val="1"/>
        </w:rPr>
        <w:t xml:space="preserve"> </w:t>
      </w:r>
      <w:r>
        <w:t xml:space="preserve">dózisa előtt meg kell mérni az INR-értéket. 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és K-vitamin</w:t>
      </w:r>
      <w:r w:rsidR="00B9530F">
        <w:t>-</w:t>
      </w:r>
      <w:r>
        <w:t>antagonista-kezelés egyidejű</w:t>
      </w:r>
      <w:r>
        <w:rPr>
          <w:spacing w:val="1"/>
        </w:rPr>
        <w:t xml:space="preserve"> </w:t>
      </w:r>
      <w:r>
        <w:t>alkalmazását</w:t>
      </w:r>
      <w:r>
        <w:rPr>
          <w:spacing w:val="-2"/>
        </w:rPr>
        <w:t xml:space="preserve"> </w:t>
      </w:r>
      <w:r>
        <w:t>addig</w:t>
      </w:r>
      <w:r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folytatni,</w:t>
      </w:r>
      <w:r>
        <w:rPr>
          <w:spacing w:val="-1"/>
        </w:rPr>
        <w:t xml:space="preserve"> </w:t>
      </w:r>
      <w:r>
        <w:t>amíg</w:t>
      </w:r>
      <w:r>
        <w:rPr>
          <w:spacing w:val="-2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INR</w:t>
      </w:r>
      <w:r w:rsidR="00B9530F">
        <w:rPr>
          <w:spacing w:val="-3"/>
        </w:rPr>
        <w:t> </w:t>
      </w:r>
      <w:r>
        <w:t>≥</w:t>
      </w:r>
      <w:r w:rsidR="00B9530F">
        <w:rPr>
          <w:spacing w:val="1"/>
        </w:rPr>
        <w:t> </w:t>
      </w:r>
      <w:r>
        <w:t>2,0.</w:t>
      </w:r>
    </w:p>
    <w:p w14:paraId="106E340D" w14:textId="77777777" w:rsidR="004C11B6" w:rsidRDefault="004C11B6" w:rsidP="00B013D5">
      <w:pPr>
        <w:pStyle w:val="Szvegtrzs"/>
        <w:spacing w:before="9"/>
        <w:ind w:right="2"/>
        <w:rPr>
          <w:sz w:val="20"/>
        </w:rPr>
      </w:pPr>
    </w:p>
    <w:p w14:paraId="6ECF91FD" w14:textId="77777777" w:rsidR="004C11B6" w:rsidRDefault="00F05A0C" w:rsidP="00B013D5">
      <w:pPr>
        <w:spacing w:line="248" w:lineRule="exact"/>
        <w:ind w:right="2"/>
        <w:rPr>
          <w:i/>
        </w:rPr>
      </w:pPr>
      <w:r>
        <w:rPr>
          <w:i/>
          <w:u w:val="single"/>
        </w:rPr>
        <w:t>Idősek</w:t>
      </w:r>
    </w:p>
    <w:p w14:paraId="2C208AC0" w14:textId="77777777" w:rsidR="004C11B6" w:rsidRDefault="00F05A0C" w:rsidP="00B013D5">
      <w:pPr>
        <w:pStyle w:val="Szvegtrzs"/>
        <w:spacing w:line="248" w:lineRule="exact"/>
        <w:ind w:right="2"/>
      </w:pPr>
      <w:r>
        <w:t>VTEt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módosítása</w:t>
      </w:r>
      <w:r>
        <w:rPr>
          <w:spacing w:val="-2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szükséges</w:t>
      </w:r>
      <w:r>
        <w:rPr>
          <w:spacing w:val="-2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4.4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5.2</w:t>
      </w:r>
      <w:r>
        <w:rPr>
          <w:spacing w:val="-2"/>
        </w:rPr>
        <w:t xml:space="preserve"> </w:t>
      </w:r>
      <w:r>
        <w:t>pont).</w:t>
      </w:r>
    </w:p>
    <w:p w14:paraId="47421B6D" w14:textId="77777777" w:rsidR="004C11B6" w:rsidRDefault="00F05A0C" w:rsidP="00B013D5">
      <w:pPr>
        <w:pStyle w:val="Szvegtrzs"/>
        <w:spacing w:line="232" w:lineRule="auto"/>
        <w:ind w:right="2"/>
      </w:pPr>
      <w:r>
        <w:t>NVPF – A dózis módosítása nem szükséges, kivéve, ha a dózis csökkentésének kritériumai teljesülnek</w:t>
      </w:r>
      <w:r>
        <w:rPr>
          <w:spacing w:val="-5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rPr>
          <w:i/>
        </w:rPr>
        <w:t xml:space="preserve">Dóziscsökkentés </w:t>
      </w:r>
      <w:r>
        <w:t>a</w:t>
      </w:r>
      <w:r>
        <w:rPr>
          <w:spacing w:val="-2"/>
        </w:rPr>
        <w:t xml:space="preserve"> </w:t>
      </w:r>
      <w:r>
        <w:t>4.2</w:t>
      </w:r>
      <w:r>
        <w:rPr>
          <w:spacing w:val="-3"/>
        </w:rPr>
        <w:t xml:space="preserve"> </w:t>
      </w:r>
      <w:r>
        <w:t>pont</w:t>
      </w:r>
      <w:r>
        <w:rPr>
          <w:spacing w:val="1"/>
        </w:rPr>
        <w:t xml:space="preserve"> </w:t>
      </w:r>
      <w:r>
        <w:t>elején).</w:t>
      </w:r>
    </w:p>
    <w:p w14:paraId="4E22F9A4" w14:textId="77777777" w:rsidR="004C11B6" w:rsidRDefault="004C11B6" w:rsidP="00B013D5">
      <w:pPr>
        <w:pStyle w:val="Szvegtrzs"/>
        <w:spacing w:before="5"/>
        <w:ind w:right="2"/>
        <w:rPr>
          <w:sz w:val="20"/>
        </w:rPr>
      </w:pPr>
    </w:p>
    <w:p w14:paraId="2ECFE8A3" w14:textId="77777777" w:rsidR="004C11B6" w:rsidRDefault="00F05A0C" w:rsidP="00B013D5">
      <w:pPr>
        <w:spacing w:line="248" w:lineRule="exact"/>
        <w:ind w:right="2"/>
        <w:rPr>
          <w:i/>
        </w:rPr>
      </w:pPr>
      <w:r>
        <w:rPr>
          <w:i/>
          <w:u w:val="single"/>
        </w:rPr>
        <w:t>Vesekárosodás</w:t>
      </w:r>
    </w:p>
    <w:p w14:paraId="378F32C7" w14:textId="581BB751" w:rsidR="00F2291C" w:rsidRDefault="00F05A0C" w:rsidP="00F2291C">
      <w:pPr>
        <w:pStyle w:val="Szvegtrzs"/>
        <w:spacing w:before="1" w:line="233" w:lineRule="auto"/>
      </w:pPr>
      <w:r>
        <w:t>Az enyhe, illetve közepes fokú vesekárosodásban szenvedő betegekre az alábbi ajánlások</w:t>
      </w:r>
      <w:r w:rsidRPr="00F2291C">
        <w:t xml:space="preserve"> </w:t>
      </w:r>
      <w:r>
        <w:t>vonatkoznak:</w:t>
      </w:r>
    </w:p>
    <w:p w14:paraId="5D0F4085" w14:textId="77777777" w:rsidR="004C11B6" w:rsidRDefault="00F05A0C" w:rsidP="00B93A73">
      <w:pPr>
        <w:pStyle w:val="Listaszerbekezds"/>
        <w:numPr>
          <w:ilvl w:val="0"/>
          <w:numId w:val="64"/>
        </w:numPr>
        <w:spacing w:before="1" w:line="230" w:lineRule="auto"/>
        <w:ind w:left="567" w:right="2" w:hanging="567"/>
      </w:pPr>
      <w:r>
        <w:t>az MVT kezeléséhez, a PE kezeléséhez és az MVT és a PE kiújulásának megelőzéséhez (VTEt)</w:t>
      </w:r>
      <w:r>
        <w:rPr>
          <w:spacing w:val="-52"/>
        </w:rPr>
        <w:t xml:space="preserve"> </w:t>
      </w:r>
      <w:r>
        <w:t>nincs</w:t>
      </w:r>
      <w:r>
        <w:rPr>
          <w:spacing w:val="-2"/>
        </w:rPr>
        <w:t xml:space="preserve"> </w:t>
      </w:r>
      <w:r>
        <w:t>szükség</w:t>
      </w:r>
      <w:r>
        <w:rPr>
          <w:spacing w:val="-1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adagolás</w:t>
      </w:r>
      <w:r>
        <w:rPr>
          <w:spacing w:val="-2"/>
        </w:rPr>
        <w:t xml:space="preserve"> </w:t>
      </w:r>
      <w:r>
        <w:t>módosítására</w:t>
      </w:r>
      <w:r>
        <w:rPr>
          <w:spacing w:val="-3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5.2</w:t>
      </w:r>
      <w:r>
        <w:rPr>
          <w:spacing w:val="-1"/>
        </w:rPr>
        <w:t xml:space="preserve"> </w:t>
      </w:r>
      <w:r>
        <w:t>pont).</w:t>
      </w:r>
    </w:p>
    <w:p w14:paraId="2D2B08AE" w14:textId="77777777" w:rsidR="004C11B6" w:rsidRDefault="004C11B6" w:rsidP="00B013D5">
      <w:pPr>
        <w:pStyle w:val="Szvegtrzs"/>
        <w:spacing w:before="2"/>
        <w:ind w:right="2"/>
        <w:rPr>
          <w:sz w:val="21"/>
        </w:rPr>
      </w:pPr>
    </w:p>
    <w:p w14:paraId="77B2943A" w14:textId="77777777" w:rsidR="0028297D" w:rsidRPr="00A21724" w:rsidRDefault="0028297D" w:rsidP="0028297D">
      <w:pPr>
        <w:pStyle w:val="Nincstrkz"/>
        <w:numPr>
          <w:ilvl w:val="0"/>
          <w:numId w:val="70"/>
        </w:numPr>
        <w:ind w:left="567" w:hanging="567"/>
        <w:rPr>
          <w:rFonts w:cs="Times New Roman"/>
        </w:rPr>
      </w:pPr>
      <w:r w:rsidRPr="00A21724">
        <w:rPr>
          <w:rFonts w:cs="Times New Roman"/>
          <w:w w:val="105"/>
        </w:rPr>
        <w:t>stroke</w:t>
      </w:r>
      <w:r w:rsidRPr="00A21724">
        <w:rPr>
          <w:rFonts w:cs="Times New Roman"/>
          <w:spacing w:val="-12"/>
          <w:w w:val="105"/>
        </w:rPr>
        <w:t xml:space="preserve"> </w:t>
      </w:r>
      <w:r w:rsidRPr="00A21724">
        <w:rPr>
          <w:rFonts w:cs="Times New Roman"/>
          <w:w w:val="105"/>
        </w:rPr>
        <w:t>és</w:t>
      </w:r>
      <w:r w:rsidRPr="00A21724">
        <w:rPr>
          <w:rFonts w:cs="Times New Roman"/>
          <w:spacing w:val="-12"/>
          <w:w w:val="105"/>
        </w:rPr>
        <w:t xml:space="preserve"> </w:t>
      </w:r>
      <w:r w:rsidRPr="00A21724">
        <w:rPr>
          <w:rFonts w:cs="Times New Roman"/>
          <w:w w:val="105"/>
        </w:rPr>
        <w:t>szisztémás</w:t>
      </w:r>
      <w:r w:rsidRPr="00A21724">
        <w:rPr>
          <w:rFonts w:cs="Times New Roman"/>
          <w:spacing w:val="-13"/>
          <w:w w:val="105"/>
        </w:rPr>
        <w:t xml:space="preserve"> </w:t>
      </w:r>
      <w:r w:rsidRPr="00A21724">
        <w:rPr>
          <w:rFonts w:cs="Times New Roman"/>
          <w:w w:val="105"/>
        </w:rPr>
        <w:t>embolizáció</w:t>
      </w:r>
      <w:r w:rsidRPr="00A21724">
        <w:rPr>
          <w:rFonts w:cs="Times New Roman"/>
          <w:spacing w:val="-11"/>
          <w:w w:val="105"/>
        </w:rPr>
        <w:t xml:space="preserve"> </w:t>
      </w:r>
      <w:r w:rsidRPr="00A21724">
        <w:rPr>
          <w:rFonts w:cs="Times New Roman"/>
          <w:w w:val="105"/>
        </w:rPr>
        <w:t>prevenciójára alkalmazva</w:t>
      </w:r>
      <w:r w:rsidRPr="00A21724">
        <w:rPr>
          <w:rFonts w:cs="Times New Roman"/>
          <w:spacing w:val="-12"/>
          <w:w w:val="105"/>
        </w:rPr>
        <w:t xml:space="preserve"> </w:t>
      </w:r>
      <w:r w:rsidRPr="00A21724">
        <w:rPr>
          <w:rFonts w:cs="Times New Roman"/>
          <w:w w:val="105"/>
        </w:rPr>
        <w:t>a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fentiekben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leírtaknak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megfelelő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adagcsökkentésre van szükség a nem</w:t>
      </w:r>
      <w:r w:rsidRPr="00A21724">
        <w:rPr>
          <w:rFonts w:cs="Times New Roman"/>
          <w:spacing w:val="-12"/>
          <w:w w:val="105"/>
        </w:rPr>
        <w:t xml:space="preserve"> valvuláris </w:t>
      </w:r>
      <w:r w:rsidRPr="00A21724">
        <w:rPr>
          <w:rFonts w:cs="Times New Roman"/>
          <w:w w:val="105"/>
        </w:rPr>
        <w:t>pitvarfibrillációban</w:t>
      </w:r>
      <w:r w:rsidRPr="00A21724">
        <w:rPr>
          <w:rFonts w:cs="Times New Roman"/>
          <w:spacing w:val="-12"/>
          <w:w w:val="105"/>
        </w:rPr>
        <w:t xml:space="preserve"> </w:t>
      </w:r>
      <w:r w:rsidRPr="00A21724">
        <w:rPr>
          <w:rFonts w:cs="Times New Roman"/>
          <w:w w:val="105"/>
        </w:rPr>
        <w:t>szenvedő olyan betegeknél,</w:t>
      </w:r>
      <w:r w:rsidRPr="00A21724">
        <w:rPr>
          <w:rFonts w:cs="Times New Roman"/>
          <w:spacing w:val="-11"/>
          <w:w w:val="105"/>
        </w:rPr>
        <w:t xml:space="preserve"> </w:t>
      </w:r>
      <w:r w:rsidRPr="00A21724">
        <w:rPr>
          <w:rFonts w:cs="Times New Roman"/>
          <w:w w:val="105"/>
        </w:rPr>
        <w:t>akiknek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szérum</w:t>
      </w:r>
      <w:r w:rsidRPr="00A21724">
        <w:rPr>
          <w:rFonts w:cs="Times New Roman"/>
          <w:spacing w:val="-11"/>
          <w:w w:val="105"/>
        </w:rPr>
        <w:t xml:space="preserve"> </w:t>
      </w:r>
      <w:r w:rsidRPr="00A21724">
        <w:rPr>
          <w:rFonts w:cs="Times New Roman"/>
          <w:w w:val="105"/>
        </w:rPr>
        <w:t>kreatininszintje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≥ 1,5</w:t>
      </w:r>
      <w:r w:rsidRPr="00A21724">
        <w:rPr>
          <w:rFonts w:cs="Times New Roman"/>
          <w:spacing w:val="-10"/>
          <w:w w:val="105"/>
        </w:rPr>
        <w:t> mg</w:t>
      </w:r>
      <w:r w:rsidRPr="00A21724">
        <w:rPr>
          <w:rFonts w:cs="Times New Roman"/>
          <w:w w:val="105"/>
        </w:rPr>
        <w:t>/dl</w:t>
      </w:r>
      <w:r w:rsidRPr="00A21724">
        <w:rPr>
          <w:rFonts w:cs="Times New Roman"/>
          <w:spacing w:val="-9"/>
          <w:w w:val="105"/>
        </w:rPr>
        <w:t xml:space="preserve"> </w:t>
      </w:r>
      <w:r w:rsidRPr="00A21724">
        <w:rPr>
          <w:rFonts w:cs="Times New Roman"/>
          <w:w w:val="105"/>
        </w:rPr>
        <w:t>(133 mikromol/l),</w:t>
      </w:r>
      <w:r w:rsidRPr="00A21724">
        <w:rPr>
          <w:rFonts w:cs="Times New Roman"/>
          <w:spacing w:val="-9"/>
          <w:w w:val="105"/>
        </w:rPr>
        <w:t xml:space="preserve"> </w:t>
      </w:r>
      <w:r w:rsidRPr="00A21724">
        <w:rPr>
          <w:rFonts w:cs="Times New Roman"/>
          <w:w w:val="105"/>
        </w:rPr>
        <w:t>életkoruk ≥ 80 év</w:t>
      </w:r>
      <w:r w:rsidRPr="00A21724">
        <w:rPr>
          <w:rFonts w:cs="Times New Roman"/>
          <w:spacing w:val="-10"/>
          <w:w w:val="105"/>
        </w:rPr>
        <w:t xml:space="preserve"> </w:t>
      </w:r>
      <w:r w:rsidRPr="00A21724">
        <w:rPr>
          <w:rFonts w:cs="Times New Roman"/>
          <w:w w:val="105"/>
        </w:rPr>
        <w:t>vagy</w:t>
      </w:r>
      <w:r w:rsidRPr="00A21724">
        <w:rPr>
          <w:rFonts w:cs="Times New Roman"/>
          <w:spacing w:val="-7"/>
          <w:w w:val="105"/>
        </w:rPr>
        <w:t xml:space="preserve"> </w:t>
      </w:r>
      <w:r w:rsidRPr="00A21724">
        <w:rPr>
          <w:rFonts w:cs="Times New Roman"/>
          <w:w w:val="105"/>
        </w:rPr>
        <w:t>testtömegük</w:t>
      </w:r>
      <w:r w:rsidRPr="00A21724">
        <w:rPr>
          <w:rFonts w:cs="Times New Roman"/>
          <w:spacing w:val="-9"/>
          <w:w w:val="105"/>
        </w:rPr>
        <w:t xml:space="preserve"> </w:t>
      </w:r>
      <w:r w:rsidRPr="00A21724">
        <w:rPr>
          <w:rFonts w:cs="Times New Roman"/>
          <w:w w:val="105"/>
        </w:rPr>
        <w:t>≤ 60</w:t>
      </w:r>
      <w:r w:rsidRPr="00A21724">
        <w:rPr>
          <w:rFonts w:cs="Times New Roman"/>
          <w:spacing w:val="-10"/>
          <w:w w:val="105"/>
        </w:rPr>
        <w:t> kg</w:t>
      </w:r>
      <w:r w:rsidRPr="00A21724">
        <w:rPr>
          <w:rFonts w:cs="Times New Roman"/>
          <w:w w:val="105"/>
        </w:rPr>
        <w:t>. Az adagcsökkentés egyéb kritériumainak (életkor, testtömeg) hiányában nincs szükség dózismódosításra (lásd 5.2</w:t>
      </w:r>
      <w:r w:rsidRPr="00A21724">
        <w:rPr>
          <w:rFonts w:cs="Times New Roman"/>
          <w:spacing w:val="-15"/>
          <w:w w:val="105"/>
        </w:rPr>
        <w:t> pont</w:t>
      </w:r>
      <w:r w:rsidRPr="00A21724">
        <w:rPr>
          <w:rFonts w:cs="Times New Roman"/>
          <w:w w:val="105"/>
        </w:rPr>
        <w:t>).</w:t>
      </w:r>
    </w:p>
    <w:p w14:paraId="5823F303" w14:textId="77777777" w:rsidR="004C11B6" w:rsidRDefault="004C11B6" w:rsidP="00245F98">
      <w:pPr>
        <w:pStyle w:val="Szvegtrzs"/>
        <w:spacing w:before="3"/>
        <w:ind w:right="2"/>
      </w:pPr>
    </w:p>
    <w:p w14:paraId="7446FF1F" w14:textId="0F78A6B9" w:rsidR="004C11B6" w:rsidRDefault="00F05A0C" w:rsidP="00C34120">
      <w:pPr>
        <w:pStyle w:val="Szvegtrzs"/>
        <w:spacing w:line="232" w:lineRule="auto"/>
        <w:ind w:right="2"/>
      </w:pPr>
      <w:r>
        <w:t xml:space="preserve">A </w:t>
      </w:r>
      <w:r w:rsidR="0028297D">
        <w:t>súlyos fokú vesekárosodásban</w:t>
      </w:r>
      <w:r>
        <w:t xml:space="preserve"> (kreatinin-clearance 15</w:t>
      </w:r>
      <w:r w:rsidR="00897ECC">
        <w:t>–</w:t>
      </w:r>
      <w:r>
        <w:t>29 ml/perc)</w:t>
      </w:r>
      <w:r w:rsidR="0028297D">
        <w:t xml:space="preserve"> szenvedő betegekre</w:t>
      </w:r>
      <w:r>
        <w:t xml:space="preserve"> az alábbi ajánlások</w:t>
      </w:r>
      <w:r w:rsidRPr="00363C37">
        <w:t xml:space="preserve"> </w:t>
      </w:r>
      <w:r>
        <w:t>vonatkoznak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4.4 és</w:t>
      </w:r>
      <w:r>
        <w:rPr>
          <w:spacing w:val="-2"/>
        </w:rPr>
        <w:t xml:space="preserve"> </w:t>
      </w:r>
      <w:r>
        <w:t>5.2 pont):</w:t>
      </w:r>
    </w:p>
    <w:p w14:paraId="0412A57C" w14:textId="52653F10" w:rsidR="004C11B6" w:rsidRPr="00363C37" w:rsidRDefault="00F05A0C" w:rsidP="00773930">
      <w:pPr>
        <w:pStyle w:val="Listaszerbekezds"/>
        <w:numPr>
          <w:ilvl w:val="0"/>
          <w:numId w:val="64"/>
        </w:numPr>
        <w:spacing w:before="2" w:line="230" w:lineRule="auto"/>
        <w:ind w:left="567" w:right="2" w:hanging="567"/>
        <w:rPr>
          <w:sz w:val="21"/>
        </w:rPr>
      </w:pPr>
      <w:r>
        <w:lastRenderedPageBreak/>
        <w:t>az MVT kezelésére, a PE kezelésére és az MVT és a PE kiújulásának megelőzésére (VTEt) az</w:t>
      </w:r>
      <w:r w:rsidRPr="00C34120">
        <w:rPr>
          <w:spacing w:val="-52"/>
        </w:rPr>
        <w:t xml:space="preserve"> </w:t>
      </w:r>
      <w:r>
        <w:t>apixabánt</w:t>
      </w:r>
      <w:r w:rsidRPr="00C34120">
        <w:rPr>
          <w:spacing w:val="-2"/>
        </w:rPr>
        <w:t xml:space="preserve"> </w:t>
      </w:r>
      <w:r>
        <w:t>óvatosan</w:t>
      </w:r>
      <w:r w:rsidRPr="00C34120">
        <w:rPr>
          <w:spacing w:val="-1"/>
        </w:rPr>
        <w:t xml:space="preserve"> </w:t>
      </w:r>
      <w:r>
        <w:t>kell</w:t>
      </w:r>
      <w:r w:rsidRPr="00C34120">
        <w:rPr>
          <w:spacing w:val="-1"/>
        </w:rPr>
        <w:t xml:space="preserve"> </w:t>
      </w:r>
      <w:r>
        <w:t>alkalmazni;</w:t>
      </w:r>
    </w:p>
    <w:p w14:paraId="11313756" w14:textId="77777777" w:rsidR="0028297D" w:rsidRPr="00C34120" w:rsidRDefault="0028297D" w:rsidP="00363C37">
      <w:pPr>
        <w:pStyle w:val="Listaszerbekezds"/>
        <w:spacing w:before="2" w:line="230" w:lineRule="auto"/>
        <w:ind w:left="567" w:right="2" w:firstLine="0"/>
        <w:rPr>
          <w:sz w:val="21"/>
        </w:rPr>
      </w:pPr>
    </w:p>
    <w:p w14:paraId="5A633434" w14:textId="22A0C793" w:rsidR="004C11B6" w:rsidRDefault="00F05A0C" w:rsidP="00B93A73">
      <w:pPr>
        <w:pStyle w:val="Listaszerbekezds"/>
        <w:numPr>
          <w:ilvl w:val="0"/>
          <w:numId w:val="64"/>
        </w:numPr>
        <w:spacing w:line="230" w:lineRule="auto"/>
        <w:ind w:left="567" w:right="2" w:hanging="567"/>
      </w:pPr>
      <w:r>
        <w:t xml:space="preserve">stroke és a szisztémás embolizáció prevenciója esetén a nem </w:t>
      </w:r>
      <w:r w:rsidR="0028297D" w:rsidRPr="00A21724">
        <w:rPr>
          <w:w w:val="105"/>
        </w:rPr>
        <w:t>valvuláris</w:t>
      </w:r>
      <w:r w:rsidR="0028297D" w:rsidDel="0028297D">
        <w:t xml:space="preserve"> </w:t>
      </w:r>
      <w:r>
        <w:t>pitvarfibrillációban szenvedő betegeknek alacsonyabb, naponta kétszer 2,5</w:t>
      </w:r>
      <w:r w:rsidR="00897ECC">
        <w:t> </w:t>
      </w:r>
      <w:r>
        <w:t>mg-os</w:t>
      </w:r>
      <w:r w:rsidR="0028297D">
        <w:t xml:space="preserve"> </w:t>
      </w:r>
      <w:r>
        <w:rPr>
          <w:spacing w:val="-52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dózist</w:t>
      </w:r>
      <w:r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kapniuk.</w:t>
      </w:r>
    </w:p>
    <w:p w14:paraId="2AD68489" w14:textId="77777777" w:rsidR="004C11B6" w:rsidRDefault="004C11B6" w:rsidP="00245F98">
      <w:pPr>
        <w:pStyle w:val="Szvegtrzs"/>
        <w:spacing w:before="6"/>
        <w:ind w:right="2"/>
        <w:rPr>
          <w:sz w:val="21"/>
        </w:rPr>
      </w:pPr>
    </w:p>
    <w:p w14:paraId="02A746DA" w14:textId="4E2D52DA" w:rsidR="004C11B6" w:rsidRDefault="0028297D" w:rsidP="00245F98">
      <w:pPr>
        <w:pStyle w:val="Szvegtrzs"/>
        <w:spacing w:before="1" w:line="230" w:lineRule="auto"/>
        <w:ind w:right="2"/>
      </w:pPr>
      <w:r w:rsidRPr="0028297D">
        <w:t>Nincsenek klinikai tapasztala</w:t>
      </w:r>
      <w:r>
        <w:t>tok olyan betegekre vonatkozóan</w:t>
      </w:r>
      <w:r w:rsidR="00F05A0C">
        <w:t>, akiknek a kreatinin-clearence-e &lt;</w:t>
      </w:r>
      <w:r>
        <w:t> </w:t>
      </w:r>
      <w:r w:rsidR="00F05A0C">
        <w:t>15</w:t>
      </w:r>
      <w:r>
        <w:t> </w:t>
      </w:r>
      <w:r w:rsidR="00F05A0C">
        <w:t>ml/perc, vagy</w:t>
      </w:r>
      <w:r w:rsidR="00F05A0C">
        <w:rPr>
          <w:spacing w:val="1"/>
        </w:rPr>
        <w:t xml:space="preserve"> </w:t>
      </w:r>
      <w:r w:rsidR="00F05A0C">
        <w:t>dialízis-kezelés</w:t>
      </w:r>
      <w:r w:rsidR="00F05A0C">
        <w:rPr>
          <w:spacing w:val="-4"/>
        </w:rPr>
        <w:t xml:space="preserve"> </w:t>
      </w:r>
      <w:r w:rsidR="00F05A0C">
        <w:t>alatt</w:t>
      </w:r>
      <w:r w:rsidR="00F05A0C">
        <w:rPr>
          <w:spacing w:val="-3"/>
        </w:rPr>
        <w:t xml:space="preserve"> </w:t>
      </w:r>
      <w:r w:rsidR="00F05A0C">
        <w:t>állnak,</w:t>
      </w:r>
      <w:r w:rsidR="00F05A0C">
        <w:rPr>
          <w:spacing w:val="-4"/>
        </w:rPr>
        <w:t xml:space="preserve"> </w:t>
      </w:r>
      <w:r w:rsidR="00F05A0C">
        <w:t>ezért</w:t>
      </w:r>
      <w:r w:rsidR="00F05A0C">
        <w:rPr>
          <w:spacing w:val="-3"/>
        </w:rPr>
        <w:t xml:space="preserve"> </w:t>
      </w:r>
      <w:r w:rsidR="00F05A0C">
        <w:t>az</w:t>
      </w:r>
      <w:r w:rsidR="00F05A0C">
        <w:rPr>
          <w:spacing w:val="-5"/>
        </w:rPr>
        <w:t xml:space="preserve"> </w:t>
      </w:r>
      <w:r w:rsidR="00F05A0C">
        <w:t>apixabán</w:t>
      </w:r>
      <w:r w:rsidR="00F05A0C">
        <w:rPr>
          <w:spacing w:val="-3"/>
        </w:rPr>
        <w:t xml:space="preserve"> </w:t>
      </w:r>
      <w:r w:rsidR="00F05A0C">
        <w:t>ezeknél</w:t>
      </w:r>
      <w:r w:rsidR="00F05A0C">
        <w:rPr>
          <w:spacing w:val="-4"/>
        </w:rPr>
        <w:t xml:space="preserve"> </w:t>
      </w:r>
      <w:r w:rsidR="00F05A0C">
        <w:t>a</w:t>
      </w:r>
      <w:r w:rsidR="00F05A0C">
        <w:rPr>
          <w:spacing w:val="-3"/>
        </w:rPr>
        <w:t xml:space="preserve"> </w:t>
      </w:r>
      <w:r w:rsidR="00F05A0C">
        <w:t>betegeknél</w:t>
      </w:r>
      <w:r w:rsidR="00F05A0C">
        <w:rPr>
          <w:spacing w:val="-4"/>
        </w:rPr>
        <w:t xml:space="preserve"> </w:t>
      </w:r>
      <w:r w:rsidR="00F05A0C">
        <w:t>nem</w:t>
      </w:r>
      <w:r w:rsidR="00F05A0C">
        <w:rPr>
          <w:spacing w:val="-3"/>
        </w:rPr>
        <w:t xml:space="preserve"> </w:t>
      </w:r>
      <w:r w:rsidR="00F05A0C">
        <w:t>javasolt</w:t>
      </w:r>
      <w:r w:rsidR="00F05A0C">
        <w:rPr>
          <w:spacing w:val="-4"/>
        </w:rPr>
        <w:t xml:space="preserve"> </w:t>
      </w:r>
      <w:r w:rsidR="00F05A0C">
        <w:t>(lásd</w:t>
      </w:r>
      <w:r w:rsidR="00F05A0C">
        <w:rPr>
          <w:spacing w:val="-3"/>
        </w:rPr>
        <w:t xml:space="preserve"> </w:t>
      </w:r>
      <w:r w:rsidR="00F05A0C">
        <w:t>4.4</w:t>
      </w:r>
      <w:r w:rsidR="00F05A0C">
        <w:rPr>
          <w:spacing w:val="-4"/>
        </w:rPr>
        <w:t xml:space="preserve"> </w:t>
      </w:r>
      <w:r w:rsidR="00F05A0C">
        <w:t>és</w:t>
      </w:r>
      <w:r w:rsidR="00F05A0C">
        <w:rPr>
          <w:spacing w:val="-3"/>
        </w:rPr>
        <w:t xml:space="preserve"> </w:t>
      </w:r>
      <w:r w:rsidR="00F05A0C">
        <w:t>5.2</w:t>
      </w:r>
      <w:r w:rsidR="00F05A0C">
        <w:rPr>
          <w:spacing w:val="-3"/>
        </w:rPr>
        <w:t xml:space="preserve"> </w:t>
      </w:r>
      <w:r w:rsidR="00F05A0C">
        <w:t>pont).</w:t>
      </w:r>
    </w:p>
    <w:p w14:paraId="6655CCD2" w14:textId="77777777" w:rsidR="004C11B6" w:rsidRDefault="004C11B6" w:rsidP="00245F98">
      <w:pPr>
        <w:pStyle w:val="Szvegtrzs"/>
        <w:spacing w:before="5"/>
        <w:ind w:right="2"/>
        <w:rPr>
          <w:sz w:val="20"/>
        </w:rPr>
      </w:pPr>
    </w:p>
    <w:p w14:paraId="049F73E7" w14:textId="77777777" w:rsidR="004C11B6" w:rsidRDefault="00F05A0C" w:rsidP="00245F98">
      <w:pPr>
        <w:spacing w:line="249" w:lineRule="exact"/>
        <w:ind w:right="2"/>
        <w:rPr>
          <w:i/>
        </w:rPr>
      </w:pPr>
      <w:r>
        <w:rPr>
          <w:i/>
          <w:u w:val="single"/>
        </w:rPr>
        <w:t>Májkárosodás</w:t>
      </w:r>
    </w:p>
    <w:p w14:paraId="742E26B4" w14:textId="62AD81E7" w:rsidR="004C11B6" w:rsidRDefault="00F05A0C" w:rsidP="00245F98">
      <w:pPr>
        <w:pStyle w:val="Szvegtrzs"/>
        <w:spacing w:before="4" w:line="230" w:lineRule="auto"/>
        <w:ind w:right="2"/>
      </w:pPr>
      <w:r>
        <w:t xml:space="preserve">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ellenjavallt véralvadási zavarral és klinikailag jelentős vérzési kockázattal járó</w:t>
      </w:r>
      <w:r>
        <w:rPr>
          <w:spacing w:val="-52"/>
        </w:rPr>
        <w:t xml:space="preserve"> </w:t>
      </w:r>
      <w:r>
        <w:t>májbetegségben</w:t>
      </w:r>
      <w:r>
        <w:rPr>
          <w:spacing w:val="-2"/>
        </w:rPr>
        <w:t xml:space="preserve"> </w:t>
      </w:r>
      <w:r>
        <w:t>szenvedő</w:t>
      </w:r>
      <w:r>
        <w:rPr>
          <w:spacing w:val="-1"/>
        </w:rPr>
        <w:t xml:space="preserve"> </w:t>
      </w:r>
      <w:r>
        <w:t>betegeknél</w:t>
      </w:r>
      <w:r>
        <w:rPr>
          <w:spacing w:val="1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4.3 pont).</w:t>
      </w:r>
    </w:p>
    <w:p w14:paraId="298FB3AA" w14:textId="77777777" w:rsidR="004C11B6" w:rsidRDefault="004C11B6" w:rsidP="00245F98">
      <w:pPr>
        <w:pStyle w:val="Szvegtrzs"/>
        <w:spacing w:before="6"/>
        <w:ind w:right="2"/>
        <w:rPr>
          <w:sz w:val="20"/>
        </w:rPr>
      </w:pPr>
    </w:p>
    <w:p w14:paraId="08EC465F" w14:textId="3BD06178" w:rsidR="004C11B6" w:rsidRDefault="00F05A0C" w:rsidP="00245F98">
      <w:pPr>
        <w:pStyle w:val="Szvegtrzs"/>
        <w:ind w:right="2"/>
      </w:pPr>
      <w:r>
        <w:t>Súlyos</w:t>
      </w:r>
      <w:r>
        <w:rPr>
          <w:spacing w:val="-4"/>
        </w:rPr>
        <w:t xml:space="preserve"> </w:t>
      </w:r>
      <w:r>
        <w:t>májkárosodásban</w:t>
      </w:r>
      <w:r>
        <w:rPr>
          <w:spacing w:val="-4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betegek</w:t>
      </w:r>
      <w:r w:rsidR="00157F1A">
        <w:t xml:space="preserve"> számára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ajánlott</w:t>
      </w:r>
      <w:r>
        <w:rPr>
          <w:spacing w:val="-3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4.4</w:t>
      </w:r>
      <w:r>
        <w:rPr>
          <w:spacing w:val="-7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5.2</w:t>
      </w:r>
      <w:r>
        <w:rPr>
          <w:spacing w:val="-6"/>
        </w:rPr>
        <w:t xml:space="preserve"> </w:t>
      </w:r>
      <w:r>
        <w:t>pont).</w:t>
      </w:r>
    </w:p>
    <w:p w14:paraId="6B54542B" w14:textId="77777777" w:rsidR="004C11B6" w:rsidRDefault="004C11B6" w:rsidP="00245F98">
      <w:pPr>
        <w:pStyle w:val="Szvegtrzs"/>
        <w:spacing w:before="1"/>
        <w:ind w:right="2"/>
        <w:rPr>
          <w:sz w:val="21"/>
        </w:rPr>
      </w:pPr>
    </w:p>
    <w:p w14:paraId="1D2DF587" w14:textId="0D150701" w:rsidR="004C11B6" w:rsidRDefault="00F05A0C" w:rsidP="00245F98">
      <w:pPr>
        <w:pStyle w:val="Szvegtrzs"/>
        <w:spacing w:line="230" w:lineRule="auto"/>
        <w:ind w:right="2"/>
      </w:pPr>
      <w:r>
        <w:t>Enyhe vagy közepesen súlyos májkárosodásban</w:t>
      </w:r>
      <w:r w:rsidR="00157F1A">
        <w:t xml:space="preserve"> (Child</w:t>
      </w:r>
      <w:r w:rsidR="00897ECC">
        <w:t>-</w:t>
      </w:r>
      <w:r w:rsidR="00157F1A">
        <w:t>Pugh A vagy B stádium)</w:t>
      </w:r>
      <w:r>
        <w:t xml:space="preserve"> szenvedő betegeknél óvatosan kell alkalmazni. Enyhe vagy közepesen súlyos májkárosodásban szenvedő betegeknél a dózis</w:t>
      </w:r>
      <w:r>
        <w:rPr>
          <w:spacing w:val="-52"/>
        </w:rPr>
        <w:t xml:space="preserve"> </w:t>
      </w:r>
      <w:r>
        <w:t>módosítása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szükséges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4.4</w:t>
      </w:r>
      <w:r>
        <w:rPr>
          <w:spacing w:val="-3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5.2</w:t>
      </w:r>
      <w:r>
        <w:rPr>
          <w:spacing w:val="-3"/>
        </w:rPr>
        <w:t xml:space="preserve"> </w:t>
      </w:r>
      <w:r>
        <w:t>pont).</w:t>
      </w:r>
    </w:p>
    <w:p w14:paraId="0730F1EC" w14:textId="77777777" w:rsidR="004C11B6" w:rsidRDefault="004C11B6" w:rsidP="00245F98">
      <w:pPr>
        <w:pStyle w:val="Szvegtrzs"/>
        <w:spacing w:before="4"/>
        <w:ind w:right="2"/>
        <w:rPr>
          <w:sz w:val="21"/>
        </w:rPr>
      </w:pPr>
    </w:p>
    <w:p w14:paraId="321E09CD" w14:textId="3A3A420B" w:rsidR="004C11B6" w:rsidRDefault="00157F1A" w:rsidP="00245F98">
      <w:pPr>
        <w:pStyle w:val="Szvegtrzs"/>
        <w:spacing w:line="230" w:lineRule="auto"/>
        <w:ind w:right="2"/>
      </w:pPr>
      <w:r w:rsidRPr="00A21724">
        <w:t>Kizárták a klinikai vizsgálatokból azokat a betegeket, akiknél a glutamát</w:t>
      </w:r>
      <w:r w:rsidRPr="00A21724">
        <w:noBreakHyphen/>
        <w:t>piruvát</w:t>
      </w:r>
      <w:r w:rsidRPr="00A21724">
        <w:noBreakHyphen/>
        <w:t>transzamináz (GPT)/glutamát</w:t>
      </w:r>
      <w:r w:rsidRPr="00A21724">
        <w:noBreakHyphen/>
        <w:t>oxálacetát</w:t>
      </w:r>
      <w:r w:rsidRPr="00A21724">
        <w:noBreakHyphen/>
        <w:t>aminotranszferáz (GOT) májenzimek szintjének emelkedése meghaladta a normálérték felső határának 2</w:t>
      </w:r>
      <w:r w:rsidRPr="00A21724">
        <w:noBreakHyphen/>
        <w:t>szeresét, vagy az összbilirubin szintje ≥ 1,5</w:t>
      </w:r>
      <w:r w:rsidRPr="00A21724">
        <w:noBreakHyphen/>
        <w:t xml:space="preserve">szer magasabb volt, mint a normálérték felső határa. </w:t>
      </w:r>
      <w:r w:rsidR="00F05A0C">
        <w:t>Ezért</w:t>
      </w:r>
      <w:r w:rsidR="00F05A0C">
        <w:rPr>
          <w:spacing w:val="-3"/>
        </w:rPr>
        <w:t xml:space="preserve"> </w:t>
      </w:r>
      <w:r w:rsidR="00F05A0C">
        <w:t>a</w:t>
      </w:r>
      <w:r w:rsidR="00F05A0C">
        <w:rPr>
          <w:spacing w:val="-3"/>
        </w:rPr>
        <w:t xml:space="preserve"> </w:t>
      </w:r>
      <w:r w:rsidR="006F0001">
        <w:t xml:space="preserve">Apixaban </w:t>
      </w:r>
      <w:r w:rsidR="00142607">
        <w:t>Supremex-et</w:t>
      </w:r>
      <w:r w:rsidR="00F05A0C">
        <w:rPr>
          <w:spacing w:val="-2"/>
        </w:rPr>
        <w:t xml:space="preserve"> </w:t>
      </w:r>
      <w:r w:rsidR="00F05A0C">
        <w:t>ebben</w:t>
      </w:r>
      <w:r w:rsidR="00F05A0C">
        <w:rPr>
          <w:spacing w:val="-2"/>
        </w:rPr>
        <w:t xml:space="preserve"> </w:t>
      </w:r>
      <w:r w:rsidR="00F05A0C">
        <w:t>a</w:t>
      </w:r>
      <w:r w:rsidR="00F05A0C">
        <w:rPr>
          <w:spacing w:val="-2"/>
        </w:rPr>
        <w:t xml:space="preserve"> </w:t>
      </w:r>
      <w:r w:rsidR="00F05A0C">
        <w:t>betegcsoportban</w:t>
      </w:r>
      <w:r w:rsidR="00F05A0C">
        <w:rPr>
          <w:spacing w:val="-3"/>
        </w:rPr>
        <w:t xml:space="preserve"> </w:t>
      </w:r>
      <w:r w:rsidR="00F05A0C">
        <w:t>óvatosan</w:t>
      </w:r>
      <w:r w:rsidR="00F05A0C">
        <w:rPr>
          <w:spacing w:val="-3"/>
        </w:rPr>
        <w:t xml:space="preserve"> </w:t>
      </w:r>
      <w:r w:rsidR="00F05A0C">
        <w:t>kell</w:t>
      </w:r>
      <w:r w:rsidR="00F05A0C">
        <w:rPr>
          <w:spacing w:val="-3"/>
        </w:rPr>
        <w:t xml:space="preserve"> </w:t>
      </w:r>
      <w:r w:rsidR="00F05A0C">
        <w:t>alkalmazni</w:t>
      </w:r>
      <w:r w:rsidR="00F05A0C">
        <w:rPr>
          <w:spacing w:val="-3"/>
        </w:rPr>
        <w:t xml:space="preserve"> </w:t>
      </w:r>
      <w:r w:rsidR="00F05A0C">
        <w:t>(lásd</w:t>
      </w:r>
      <w:r w:rsidR="00F05A0C">
        <w:rPr>
          <w:spacing w:val="-2"/>
        </w:rPr>
        <w:t xml:space="preserve"> </w:t>
      </w:r>
      <w:r w:rsidR="00F05A0C">
        <w:t>4.4</w:t>
      </w:r>
      <w:r w:rsidR="00F05A0C">
        <w:rPr>
          <w:spacing w:val="-6"/>
        </w:rPr>
        <w:t xml:space="preserve"> </w:t>
      </w:r>
      <w:r w:rsidR="00F05A0C">
        <w:t>és</w:t>
      </w:r>
      <w:r w:rsidR="00B602C9">
        <w:t xml:space="preserve"> </w:t>
      </w:r>
      <w:r w:rsidR="00F05A0C">
        <w:t>pont).</w:t>
      </w:r>
      <w:r w:rsidR="00F05A0C">
        <w:rPr>
          <w:spacing w:val="-4"/>
        </w:rPr>
        <w:t xml:space="preserve"> </w:t>
      </w:r>
      <w:r w:rsidR="00F05A0C">
        <w:t>Az</w:t>
      </w:r>
      <w:r w:rsidR="00F05A0C">
        <w:rPr>
          <w:spacing w:val="-6"/>
        </w:rPr>
        <w:t xml:space="preserve">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 w:rsidR="00F05A0C">
        <w:t>elkezdése</w:t>
      </w:r>
      <w:r w:rsidR="00F05A0C">
        <w:rPr>
          <w:spacing w:val="-5"/>
        </w:rPr>
        <w:t xml:space="preserve"> </w:t>
      </w:r>
      <w:r w:rsidR="00F05A0C">
        <w:t>előtt</w:t>
      </w:r>
      <w:r w:rsidR="00F05A0C">
        <w:rPr>
          <w:spacing w:val="-4"/>
        </w:rPr>
        <w:t xml:space="preserve"> </w:t>
      </w:r>
      <w:r w:rsidR="00F05A0C">
        <w:t>májfunkciós</w:t>
      </w:r>
      <w:r w:rsidR="00F05A0C">
        <w:rPr>
          <w:spacing w:val="-5"/>
        </w:rPr>
        <w:t xml:space="preserve"> </w:t>
      </w:r>
      <w:r w:rsidR="00F05A0C">
        <w:t>vizsgálatot</w:t>
      </w:r>
      <w:r w:rsidR="00F05A0C">
        <w:rPr>
          <w:spacing w:val="-5"/>
        </w:rPr>
        <w:t xml:space="preserve"> </w:t>
      </w:r>
      <w:r w:rsidR="00F05A0C">
        <w:t>kell</w:t>
      </w:r>
      <w:r w:rsidR="00F05A0C">
        <w:rPr>
          <w:spacing w:val="-4"/>
        </w:rPr>
        <w:t xml:space="preserve"> </w:t>
      </w:r>
      <w:r w:rsidR="00F05A0C">
        <w:t>végezni.</w:t>
      </w:r>
    </w:p>
    <w:p w14:paraId="456AD7C3" w14:textId="77777777" w:rsidR="004C11B6" w:rsidRDefault="004C11B6" w:rsidP="00245F98">
      <w:pPr>
        <w:pStyle w:val="Szvegtrzs"/>
        <w:spacing w:before="5"/>
        <w:ind w:right="2"/>
        <w:rPr>
          <w:sz w:val="20"/>
        </w:rPr>
      </w:pPr>
    </w:p>
    <w:p w14:paraId="2EE428F6" w14:textId="77777777" w:rsidR="004C11B6" w:rsidRDefault="00F05A0C" w:rsidP="00245F98">
      <w:pPr>
        <w:spacing w:line="249" w:lineRule="exact"/>
        <w:ind w:right="2"/>
        <w:rPr>
          <w:i/>
        </w:rPr>
      </w:pPr>
      <w:r>
        <w:rPr>
          <w:i/>
          <w:u w:val="single"/>
        </w:rPr>
        <w:t>Testtömeg</w:t>
      </w:r>
    </w:p>
    <w:p w14:paraId="02042609" w14:textId="77777777" w:rsidR="004C11B6" w:rsidRDefault="00F05A0C" w:rsidP="00245F98">
      <w:pPr>
        <w:pStyle w:val="Szvegtrzs"/>
        <w:spacing w:line="244" w:lineRule="exact"/>
        <w:ind w:right="2"/>
      </w:pPr>
      <w:r>
        <w:t>VTEt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módosítása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4.4</w:t>
      </w:r>
      <w:r>
        <w:rPr>
          <w:spacing w:val="-1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5.2</w:t>
      </w:r>
      <w:r>
        <w:rPr>
          <w:spacing w:val="-1"/>
        </w:rPr>
        <w:t xml:space="preserve"> </w:t>
      </w:r>
      <w:r>
        <w:t>pont).</w:t>
      </w:r>
    </w:p>
    <w:p w14:paraId="7433D160" w14:textId="77777777" w:rsidR="004C11B6" w:rsidRDefault="00F05A0C" w:rsidP="00245F98">
      <w:pPr>
        <w:pStyle w:val="Szvegtrzs"/>
        <w:spacing w:before="1" w:line="232" w:lineRule="auto"/>
        <w:ind w:right="2"/>
      </w:pPr>
      <w:r>
        <w:t>NVPF –A dózis módosítása nem szükséges, kivéve, ha a dózis csökkentésének kritériumai teljesülnek</w:t>
      </w:r>
      <w:r>
        <w:rPr>
          <w:spacing w:val="-5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rPr>
          <w:i/>
        </w:rPr>
        <w:t xml:space="preserve">Dóziscsökkentés </w:t>
      </w:r>
      <w:r>
        <w:t>a</w:t>
      </w:r>
      <w:r>
        <w:rPr>
          <w:spacing w:val="-2"/>
        </w:rPr>
        <w:t xml:space="preserve"> </w:t>
      </w:r>
      <w:r>
        <w:t>4.2</w:t>
      </w:r>
      <w:r>
        <w:rPr>
          <w:spacing w:val="-3"/>
        </w:rPr>
        <w:t xml:space="preserve"> </w:t>
      </w:r>
      <w:r>
        <w:t>pont</w:t>
      </w:r>
      <w:r>
        <w:rPr>
          <w:spacing w:val="1"/>
        </w:rPr>
        <w:t xml:space="preserve"> </w:t>
      </w:r>
      <w:r>
        <w:t>elején).</w:t>
      </w:r>
    </w:p>
    <w:p w14:paraId="02F4533B" w14:textId="77777777" w:rsidR="004C11B6" w:rsidRDefault="004C11B6" w:rsidP="00245F98">
      <w:pPr>
        <w:pStyle w:val="Szvegtrzs"/>
        <w:spacing w:before="4"/>
        <w:ind w:right="2"/>
        <w:rPr>
          <w:sz w:val="20"/>
        </w:rPr>
      </w:pPr>
    </w:p>
    <w:p w14:paraId="7229B282" w14:textId="77777777" w:rsidR="004C11B6" w:rsidRDefault="00F05A0C" w:rsidP="00245F98">
      <w:pPr>
        <w:spacing w:before="1" w:line="248" w:lineRule="exact"/>
        <w:ind w:right="2"/>
        <w:rPr>
          <w:i/>
        </w:rPr>
      </w:pPr>
      <w:r>
        <w:rPr>
          <w:i/>
          <w:u w:val="single"/>
        </w:rPr>
        <w:t>Nemek</w:t>
      </w:r>
    </w:p>
    <w:p w14:paraId="44B20849" w14:textId="77777777" w:rsidR="004C11B6" w:rsidRDefault="00F05A0C" w:rsidP="00245F98">
      <w:pPr>
        <w:pStyle w:val="Szvegtrzs"/>
        <w:spacing w:line="248" w:lineRule="exact"/>
        <w:ind w:right="2"/>
      </w:pPr>
      <w:r>
        <w:t>A</w:t>
      </w:r>
      <w:r>
        <w:rPr>
          <w:spacing w:val="-4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módosítása</w:t>
      </w:r>
      <w:r>
        <w:rPr>
          <w:spacing w:val="-4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szükséges</w:t>
      </w:r>
      <w:r>
        <w:rPr>
          <w:spacing w:val="-4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5.2</w:t>
      </w:r>
      <w:r>
        <w:rPr>
          <w:spacing w:val="-3"/>
        </w:rPr>
        <w:t xml:space="preserve"> </w:t>
      </w:r>
      <w:r>
        <w:t>pont).</w:t>
      </w:r>
    </w:p>
    <w:p w14:paraId="7CF4A804" w14:textId="77777777" w:rsidR="004C11B6" w:rsidRDefault="004C11B6" w:rsidP="00245F98">
      <w:pPr>
        <w:pStyle w:val="Szvegtrzs"/>
        <w:spacing w:before="4"/>
        <w:ind w:right="2"/>
        <w:rPr>
          <w:sz w:val="20"/>
        </w:rPr>
      </w:pPr>
    </w:p>
    <w:p w14:paraId="50DE96F1" w14:textId="599469D3" w:rsidR="004C11B6" w:rsidRDefault="00F05A0C" w:rsidP="00245F98">
      <w:pPr>
        <w:spacing w:line="249" w:lineRule="exact"/>
        <w:ind w:right="2"/>
        <w:rPr>
          <w:i/>
        </w:rPr>
      </w:pPr>
      <w:r>
        <w:rPr>
          <w:i/>
          <w:u w:val="single"/>
        </w:rPr>
        <w:t>Katéteres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ablációban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részesülő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betegek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(NV</w:t>
      </w:r>
      <w:r w:rsidR="00D16F84">
        <w:rPr>
          <w:i/>
          <w:u w:val="single"/>
        </w:rPr>
        <w:t>P</w:t>
      </w:r>
      <w:r>
        <w:rPr>
          <w:i/>
          <w:u w:val="single"/>
        </w:rPr>
        <w:t>F)</w:t>
      </w:r>
    </w:p>
    <w:p w14:paraId="06516E33" w14:textId="77777777" w:rsidR="004C11B6" w:rsidRDefault="00F05A0C" w:rsidP="00245F98">
      <w:pPr>
        <w:pStyle w:val="Szvegtrzs"/>
        <w:spacing w:line="249" w:lineRule="exact"/>
        <w:ind w:right="2"/>
      </w:pPr>
      <w:r>
        <w:t>Az</w:t>
      </w:r>
      <w:r>
        <w:rPr>
          <w:spacing w:val="-6"/>
        </w:rPr>
        <w:t xml:space="preserve"> </w:t>
      </w:r>
      <w:r>
        <w:t>apixabán-kezelés</w:t>
      </w:r>
      <w:r>
        <w:rPr>
          <w:spacing w:val="-4"/>
        </w:rPr>
        <w:t xml:space="preserve"> </w:t>
      </w:r>
      <w:r>
        <w:t>folytatható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katéteres</w:t>
      </w:r>
      <w:r>
        <w:rPr>
          <w:spacing w:val="-4"/>
        </w:rPr>
        <w:t xml:space="preserve"> </w:t>
      </w:r>
      <w:r>
        <w:t>ablációban</w:t>
      </w:r>
      <w:r>
        <w:rPr>
          <w:spacing w:val="-4"/>
        </w:rPr>
        <w:t xml:space="preserve"> </w:t>
      </w:r>
      <w:r>
        <w:t>részesülő</w:t>
      </w:r>
      <w:r>
        <w:rPr>
          <w:spacing w:val="-4"/>
        </w:rPr>
        <w:t xml:space="preserve"> </w:t>
      </w:r>
      <w:r>
        <w:t>betegeknél</w:t>
      </w:r>
      <w:r>
        <w:rPr>
          <w:spacing w:val="-4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4.3,</w:t>
      </w:r>
      <w:r>
        <w:rPr>
          <w:spacing w:val="-5"/>
        </w:rPr>
        <w:t xml:space="preserve"> </w:t>
      </w:r>
      <w:r>
        <w:t>4.4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4.5</w:t>
      </w:r>
      <w:r>
        <w:rPr>
          <w:spacing w:val="-4"/>
        </w:rPr>
        <w:t xml:space="preserve"> </w:t>
      </w:r>
      <w:r>
        <w:t>pont).</w:t>
      </w:r>
    </w:p>
    <w:p w14:paraId="7CFD5B69" w14:textId="77777777" w:rsidR="004C11B6" w:rsidRDefault="004C11B6" w:rsidP="00245F98">
      <w:pPr>
        <w:pStyle w:val="Szvegtrzs"/>
        <w:spacing w:before="4"/>
        <w:ind w:right="2"/>
        <w:rPr>
          <w:sz w:val="20"/>
        </w:rPr>
      </w:pPr>
    </w:p>
    <w:p w14:paraId="1EA8D6E3" w14:textId="26B63D0A" w:rsidR="004C11B6" w:rsidRDefault="00F05A0C" w:rsidP="00245F98">
      <w:pPr>
        <w:spacing w:line="248" w:lineRule="exact"/>
        <w:ind w:right="2"/>
        <w:rPr>
          <w:i/>
        </w:rPr>
      </w:pPr>
      <w:r>
        <w:rPr>
          <w:i/>
          <w:u w:val="single"/>
        </w:rPr>
        <w:t>Kardioverzió</w:t>
      </w:r>
      <w:r w:rsidR="00BF3DB3">
        <w:rPr>
          <w:i/>
          <w:u w:val="single"/>
        </w:rPr>
        <w:t>n áteső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betegek</w:t>
      </w:r>
    </w:p>
    <w:p w14:paraId="2FD37235" w14:textId="7E491964" w:rsidR="00BF3DB3" w:rsidRPr="00A21724" w:rsidRDefault="00BF3DB3" w:rsidP="00BF3DB3">
      <w:pPr>
        <w:pStyle w:val="Nincstrkz"/>
        <w:rPr>
          <w:rFonts w:cs="Times New Roman"/>
        </w:rPr>
      </w:pPr>
      <w:r w:rsidRPr="00A21724">
        <w:rPr>
          <w:rFonts w:cs="Times New Roman"/>
        </w:rPr>
        <w:t>Az apixabán</w:t>
      </w:r>
      <w:r w:rsidRPr="00A21724">
        <w:rPr>
          <w:rFonts w:cs="Times New Roman"/>
        </w:rPr>
        <w:noBreakHyphen/>
        <w:t>kezelés elkezdhető vagy folytatható azoknál a nem valvuláris pitvarfibrillációban szenvedő betegeknél</w:t>
      </w:r>
      <w:r w:rsidR="00562618">
        <w:rPr>
          <w:rFonts w:cs="Times New Roman"/>
        </w:rPr>
        <w:t xml:space="preserve"> (NVPF)</w:t>
      </w:r>
      <w:r w:rsidRPr="00A21724">
        <w:rPr>
          <w:rFonts w:cs="Times New Roman"/>
        </w:rPr>
        <w:t>, akiknél kardioverzióra lehet szükség.</w:t>
      </w:r>
    </w:p>
    <w:p w14:paraId="51427DC9" w14:textId="77777777" w:rsidR="004C11B6" w:rsidRDefault="004C11B6" w:rsidP="00245F98">
      <w:pPr>
        <w:pStyle w:val="Szvegtrzs"/>
        <w:spacing w:before="2"/>
        <w:ind w:right="2"/>
        <w:rPr>
          <w:sz w:val="21"/>
        </w:rPr>
      </w:pPr>
    </w:p>
    <w:p w14:paraId="5EE78D1A" w14:textId="77777777" w:rsidR="000A7EA4" w:rsidRPr="00A21724" w:rsidRDefault="000A7EA4" w:rsidP="000A7EA4">
      <w:pPr>
        <w:pStyle w:val="Nincstrkz"/>
        <w:rPr>
          <w:rFonts w:cs="Times New Roman"/>
        </w:rPr>
      </w:pPr>
      <w:r w:rsidRPr="00A21724">
        <w:rPr>
          <w:rFonts w:cs="Times New Roman"/>
        </w:rPr>
        <w:t>A korábban antikoagulánsokkal nem kezelt betegeknél a bal pitvari thrombus kizárása érdekében a kardioverzió előtt meg kell fontolni egy képalkotó eljárással végzett vizsgálat (pl. transoesophagealis echokardiográfia [TEE] vagy komputertomográfia [CT]) elvégzését a megalapozott egészségügyi irányelvekkel összhangban.</w:t>
      </w:r>
    </w:p>
    <w:p w14:paraId="01A10064" w14:textId="77777777" w:rsidR="004C11B6" w:rsidRDefault="004C11B6" w:rsidP="00245F98">
      <w:pPr>
        <w:pStyle w:val="Szvegtrzs"/>
        <w:spacing w:before="6"/>
        <w:ind w:right="2"/>
        <w:rPr>
          <w:sz w:val="21"/>
        </w:rPr>
      </w:pPr>
    </w:p>
    <w:p w14:paraId="1898A983" w14:textId="5EAC7BE4" w:rsidR="004C11B6" w:rsidRDefault="00F05A0C" w:rsidP="00245F98">
      <w:pPr>
        <w:pStyle w:val="Szvegtrzs"/>
        <w:spacing w:line="230" w:lineRule="auto"/>
        <w:ind w:right="2"/>
      </w:pPr>
      <w:r>
        <w:t>Az apixabán-kezeléssel kezdő betegeknek naponta kétszer 5</w:t>
      </w:r>
      <w:r w:rsidR="00897ECC">
        <w:t> </w:t>
      </w:r>
      <w:r>
        <w:t>mg-ot kell adni legalább 2,5 napon</w:t>
      </w:r>
      <w:r>
        <w:rPr>
          <w:spacing w:val="1"/>
        </w:rPr>
        <w:t xml:space="preserve"> </w:t>
      </w:r>
      <w:r>
        <w:t>keresztül (5 egyszeri adag) a kardioverzió előtt, hogy biztosított legyen a megfelelő mértékű</w:t>
      </w:r>
      <w:r>
        <w:rPr>
          <w:spacing w:val="1"/>
        </w:rPr>
        <w:t xml:space="preserve"> </w:t>
      </w:r>
      <w:r>
        <w:t>antikoagulálás (lásd 5.1 pont). Az adagolást napi kétszer 2,5</w:t>
      </w:r>
      <w:r w:rsidR="00897ECC">
        <w:t> </w:t>
      </w:r>
      <w:r>
        <w:t>mg apixabánra kell csökkenteni és azt</w:t>
      </w:r>
      <w:r>
        <w:rPr>
          <w:spacing w:val="1"/>
        </w:rPr>
        <w:t xml:space="preserve"> </w:t>
      </w:r>
      <w:r>
        <w:t>legalább 2,5 napon keresztül (5 egyszeri adag) kell alkalmazni, ha a beteg megfelel a dóziscsökkentés</w:t>
      </w:r>
      <w:r>
        <w:rPr>
          <w:spacing w:val="-52"/>
        </w:rPr>
        <w:t xml:space="preserve"> </w:t>
      </w:r>
      <w:r>
        <w:t>feltételeinek</w:t>
      </w:r>
      <w:r>
        <w:rPr>
          <w:spacing w:val="-4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a fenti</w:t>
      </w:r>
      <w:r>
        <w:rPr>
          <w:spacing w:val="-1"/>
        </w:rPr>
        <w:t xml:space="preserve"> </w:t>
      </w:r>
      <w:r w:rsidRPr="00363C37">
        <w:rPr>
          <w:i/>
        </w:rPr>
        <w:t>Dóziscsökkentés</w:t>
      </w:r>
      <w:r>
        <w:rPr>
          <w:spacing w:val="1"/>
        </w:rPr>
        <w:t xml:space="preserve"> </w:t>
      </w:r>
      <w:r>
        <w:t>és</w:t>
      </w:r>
      <w:r>
        <w:rPr>
          <w:spacing w:val="-5"/>
        </w:rPr>
        <w:t xml:space="preserve"> </w:t>
      </w:r>
      <w:r w:rsidRPr="00363C37">
        <w:rPr>
          <w:i/>
        </w:rPr>
        <w:t>Vesekárosodás</w:t>
      </w:r>
      <w:r>
        <w:rPr>
          <w:spacing w:val="-2"/>
        </w:rPr>
        <w:t xml:space="preserve"> </w:t>
      </w:r>
      <w:r>
        <w:t>részt).</w:t>
      </w:r>
    </w:p>
    <w:p w14:paraId="6118F84D" w14:textId="480F8DE7" w:rsidR="004C11B6" w:rsidRDefault="00F05A0C" w:rsidP="00E01E5A">
      <w:pPr>
        <w:pStyle w:val="Szvegtrzs"/>
        <w:spacing w:before="76" w:line="230" w:lineRule="auto"/>
        <w:ind w:right="2"/>
      </w:pPr>
      <w:r>
        <w:t>Ha azelőtt van szükség kardioverzióra, hogy a beteg 5 adag apixabánt kaphatott, 10</w:t>
      </w:r>
      <w:r w:rsidR="00FB49A8">
        <w:t> </w:t>
      </w:r>
      <w:r>
        <w:t>mg feltöltő dózist</w:t>
      </w:r>
      <w:r>
        <w:rPr>
          <w:spacing w:val="-52"/>
        </w:rPr>
        <w:t xml:space="preserve"> </w:t>
      </w:r>
      <w:r>
        <w:t>kell kapnia, majd naponta kétszer 5</w:t>
      </w:r>
      <w:r w:rsidR="00FB49A8">
        <w:t> </w:t>
      </w:r>
      <w:r>
        <w:t>mg-ot. Az adagolást le kell csökkenteni 5 mg feltöltő dózisra,</w:t>
      </w:r>
      <w:r>
        <w:rPr>
          <w:spacing w:val="1"/>
        </w:rPr>
        <w:t xml:space="preserve"> </w:t>
      </w:r>
      <w:r>
        <w:t>majd naponta kétszer 2,5</w:t>
      </w:r>
      <w:r w:rsidR="00FB49A8">
        <w:t> </w:t>
      </w:r>
      <w:r>
        <w:t>mg-ra, ha a beteg megfelel a dóziscsökkentés feltételeinek (lásd a fenti</w:t>
      </w:r>
      <w:r>
        <w:rPr>
          <w:spacing w:val="1"/>
        </w:rPr>
        <w:t xml:space="preserve"> </w:t>
      </w:r>
      <w:r w:rsidRPr="00363C37">
        <w:rPr>
          <w:i/>
        </w:rPr>
        <w:t>Dóziscsökkentés</w:t>
      </w:r>
      <w:r>
        <w:t xml:space="preserve"> és </w:t>
      </w:r>
      <w:r w:rsidRPr="00363C37">
        <w:rPr>
          <w:i/>
        </w:rPr>
        <w:t>Vesekárosodás</w:t>
      </w:r>
      <w:r>
        <w:t xml:space="preserve"> részt). A feltöltő dózist legalább 2 órával a kardioverzió előtt kell</w:t>
      </w:r>
      <w:r>
        <w:rPr>
          <w:spacing w:val="1"/>
        </w:rPr>
        <w:t xml:space="preserve"> </w:t>
      </w:r>
      <w:r>
        <w:t>beadni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5.1</w:t>
      </w:r>
      <w:r>
        <w:rPr>
          <w:spacing w:val="-1"/>
        </w:rPr>
        <w:t xml:space="preserve"> </w:t>
      </w:r>
      <w:r>
        <w:t>pont).</w:t>
      </w:r>
    </w:p>
    <w:p w14:paraId="15FA85BE" w14:textId="77777777" w:rsidR="004C11B6" w:rsidRDefault="004C11B6" w:rsidP="00E01E5A">
      <w:pPr>
        <w:pStyle w:val="Szvegtrzs"/>
        <w:spacing w:before="6"/>
        <w:ind w:right="2"/>
        <w:rPr>
          <w:sz w:val="21"/>
        </w:rPr>
      </w:pPr>
    </w:p>
    <w:p w14:paraId="46E98B10" w14:textId="79EEF5F9" w:rsidR="004C11B6" w:rsidRDefault="00F05A0C" w:rsidP="00E01E5A">
      <w:pPr>
        <w:pStyle w:val="Szvegtrzs"/>
        <w:spacing w:line="230" w:lineRule="auto"/>
        <w:ind w:right="2"/>
      </w:pPr>
      <w:r>
        <w:t>A kardioverzióban részesülő összes betegnél a kardioverzió előtt meg kell győződni arról, hogy a</w:t>
      </w:r>
      <w:r>
        <w:rPr>
          <w:spacing w:val="1"/>
        </w:rPr>
        <w:t xml:space="preserve"> </w:t>
      </w:r>
      <w:r>
        <w:t xml:space="preserve">beteg a felírtak szerint bevette az apixabánt. A kezelés megkezdésére és a kezelés </w:t>
      </w:r>
      <w:r w:rsidR="00DB7C48">
        <w:t xml:space="preserve">időtartamára </w:t>
      </w:r>
      <w:r>
        <w:t>vonatkozó</w:t>
      </w:r>
      <w:r w:rsidRPr="00363C37">
        <w:t xml:space="preserve"> </w:t>
      </w:r>
      <w:r>
        <w:t>döntésnél figyelembe kell venni a kardioverzión áteső betegek</w:t>
      </w:r>
      <w:r w:rsidR="008950A9">
        <w:t>re vonatkozó</w:t>
      </w:r>
      <w:r>
        <w:t xml:space="preserve"> antikoagulációs kezelés</w:t>
      </w:r>
      <w:r>
        <w:rPr>
          <w:spacing w:val="1"/>
        </w:rPr>
        <w:t xml:space="preserve"> </w:t>
      </w:r>
      <w:r w:rsidR="008950A9">
        <w:t>érvényben lévő</w:t>
      </w:r>
      <w:r w:rsidR="008950A9">
        <w:rPr>
          <w:spacing w:val="-2"/>
        </w:rPr>
        <w:t xml:space="preserve"> </w:t>
      </w:r>
      <w:r>
        <w:t>irányelveinek</w:t>
      </w:r>
      <w:r>
        <w:rPr>
          <w:spacing w:val="-1"/>
        </w:rPr>
        <w:t xml:space="preserve"> </w:t>
      </w:r>
      <w:r>
        <w:t>java</w:t>
      </w:r>
      <w:r w:rsidR="008950A9">
        <w:t>sl</w:t>
      </w:r>
      <w:r>
        <w:t>atait.</w:t>
      </w:r>
    </w:p>
    <w:p w14:paraId="0888B1C4" w14:textId="77777777" w:rsidR="004C11B6" w:rsidRDefault="004C11B6" w:rsidP="00E01E5A">
      <w:pPr>
        <w:pStyle w:val="Szvegtrzs"/>
        <w:spacing w:before="6"/>
        <w:ind w:right="2"/>
        <w:rPr>
          <w:sz w:val="21"/>
        </w:rPr>
      </w:pPr>
    </w:p>
    <w:p w14:paraId="0CCE93D5" w14:textId="3156EC9D" w:rsidR="00A45475" w:rsidRDefault="00A45475" w:rsidP="00E01E5A">
      <w:pPr>
        <w:spacing w:line="230" w:lineRule="auto"/>
        <w:ind w:right="2"/>
        <w:rPr>
          <w:i/>
          <w:spacing w:val="1"/>
        </w:rPr>
      </w:pPr>
      <w:r w:rsidRPr="00C968C6">
        <w:rPr>
          <w:i/>
          <w:iCs/>
          <w:u w:val="single"/>
        </w:rPr>
        <w:t xml:space="preserve">Nem valvuláris pitvarfibrillációban </w:t>
      </w:r>
      <w:r>
        <w:rPr>
          <w:i/>
          <w:iCs/>
          <w:u w:val="single"/>
        </w:rPr>
        <w:t>(</w:t>
      </w:r>
      <w:r w:rsidR="00F05A0C">
        <w:rPr>
          <w:i/>
          <w:u w:val="single"/>
        </w:rPr>
        <w:t>NV</w:t>
      </w:r>
      <w:r w:rsidR="00BE0CC3">
        <w:rPr>
          <w:i/>
          <w:u w:val="single"/>
        </w:rPr>
        <w:t>P</w:t>
      </w:r>
      <w:r w:rsidR="00F05A0C">
        <w:rPr>
          <w:i/>
          <w:u w:val="single"/>
        </w:rPr>
        <w:t>F</w:t>
      </w:r>
      <w:r>
        <w:rPr>
          <w:i/>
          <w:u w:val="single"/>
        </w:rPr>
        <w:t>)</w:t>
      </w:r>
      <w:r w:rsidR="00F05A0C">
        <w:rPr>
          <w:i/>
          <w:u w:val="single"/>
        </w:rPr>
        <w:t xml:space="preserve"> </w:t>
      </w:r>
      <w:r>
        <w:rPr>
          <w:i/>
          <w:u w:val="single"/>
        </w:rPr>
        <w:t>és</w:t>
      </w:r>
      <w:r w:rsidR="00F05A0C">
        <w:rPr>
          <w:i/>
          <w:u w:val="single"/>
        </w:rPr>
        <w:t xml:space="preserve"> akut coronaria szindrómá</w:t>
      </w:r>
      <w:r>
        <w:rPr>
          <w:i/>
          <w:u w:val="single"/>
        </w:rPr>
        <w:t>ban</w:t>
      </w:r>
      <w:r w:rsidR="00F05A0C">
        <w:rPr>
          <w:i/>
          <w:u w:val="single"/>
        </w:rPr>
        <w:t xml:space="preserve"> (ACS) </w:t>
      </w:r>
      <w:r>
        <w:rPr>
          <w:i/>
          <w:u w:val="single"/>
        </w:rPr>
        <w:t xml:space="preserve">szenvedő </w:t>
      </w:r>
      <w:r w:rsidR="00F05A0C">
        <w:rPr>
          <w:i/>
          <w:u w:val="single"/>
        </w:rPr>
        <w:t>és/vagy perkután coronaria intervenció</w:t>
      </w:r>
      <w:r>
        <w:rPr>
          <w:i/>
          <w:u w:val="single"/>
        </w:rPr>
        <w:t>ban</w:t>
      </w:r>
      <w:r w:rsidR="00F05A0C">
        <w:rPr>
          <w:i/>
          <w:u w:val="single"/>
        </w:rPr>
        <w:t xml:space="preserve"> (PCI)</w:t>
      </w:r>
      <w:r w:rsidR="00F32B97">
        <w:rPr>
          <w:i/>
          <w:u w:val="single"/>
        </w:rPr>
        <w:t xml:space="preserve"> részesülő betegek</w:t>
      </w:r>
      <w:r w:rsidR="00F05A0C">
        <w:rPr>
          <w:i/>
          <w:spacing w:val="1"/>
        </w:rPr>
        <w:t xml:space="preserve"> </w:t>
      </w:r>
    </w:p>
    <w:p w14:paraId="683D63CC" w14:textId="586BCE37" w:rsidR="004C11B6" w:rsidRDefault="00F05A0C" w:rsidP="00363C37">
      <w:pPr>
        <w:spacing w:line="230" w:lineRule="auto"/>
        <w:ind w:right="2"/>
      </w:pPr>
      <w:r>
        <w:t>Korlátozottak a rendelkezésre álló tapasztalatok az apixabán NV</w:t>
      </w:r>
      <w:r w:rsidR="00BE0CC3">
        <w:t>P</w:t>
      </w:r>
      <w:r>
        <w:t>F</w:t>
      </w:r>
      <w:r w:rsidR="00BE0CC3">
        <w:t>-ben szenvedő</w:t>
      </w:r>
      <w:r>
        <w:t xml:space="preserve"> betegek kezelésében ajánlott</w:t>
      </w:r>
      <w:r>
        <w:rPr>
          <w:spacing w:val="1"/>
        </w:rPr>
        <w:t xml:space="preserve"> </w:t>
      </w:r>
      <w:r>
        <w:t>dózisáról olyan esetben, amikor thrombocyta-aggregáció-gátló szerekkel együttesen alkalmazzák</w:t>
      </w:r>
      <w:r>
        <w:rPr>
          <w:spacing w:val="1"/>
        </w:rPr>
        <w:t xml:space="preserve"> </w:t>
      </w:r>
      <w:r>
        <w:t>ACS-ben</w:t>
      </w:r>
      <w:r>
        <w:rPr>
          <w:spacing w:val="-5"/>
        </w:rPr>
        <w:t xml:space="preserve"> </w:t>
      </w:r>
      <w:r>
        <w:t>szenvedő</w:t>
      </w:r>
      <w:r>
        <w:rPr>
          <w:spacing w:val="-5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és/vagy</w:t>
      </w:r>
      <w:r>
        <w:rPr>
          <w:spacing w:val="-5"/>
        </w:rPr>
        <w:t xml:space="preserve"> </w:t>
      </w:r>
      <w:r>
        <w:t>PCI-n</w:t>
      </w:r>
      <w:r>
        <w:rPr>
          <w:spacing w:val="-5"/>
        </w:rPr>
        <w:t xml:space="preserve"> </w:t>
      </w:r>
      <w:r>
        <w:t>átesett</w:t>
      </w:r>
      <w:r>
        <w:rPr>
          <w:spacing w:val="-4"/>
        </w:rPr>
        <w:t xml:space="preserve"> </w:t>
      </w:r>
      <w:r>
        <w:t>betegeknél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haemostasis</w:t>
      </w:r>
      <w:r>
        <w:rPr>
          <w:spacing w:val="-4"/>
        </w:rPr>
        <w:t xml:space="preserve"> </w:t>
      </w:r>
      <w:r>
        <w:t>helyreállása</w:t>
      </w:r>
      <w:r>
        <w:rPr>
          <w:spacing w:val="-5"/>
        </w:rPr>
        <w:t xml:space="preserve"> </w:t>
      </w:r>
      <w:r>
        <w:t>után</w:t>
      </w:r>
      <w:r>
        <w:rPr>
          <w:spacing w:val="-5"/>
        </w:rPr>
        <w:t xml:space="preserve"> </w:t>
      </w:r>
      <w:r>
        <w:t>(lásd</w:t>
      </w:r>
      <w:r w:rsidR="00BE0CC3">
        <w:t xml:space="preserve"> </w:t>
      </w:r>
      <w:r>
        <w:t>4.4</w:t>
      </w:r>
      <w:r>
        <w:rPr>
          <w:spacing w:val="-3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5.1</w:t>
      </w:r>
      <w:r>
        <w:rPr>
          <w:spacing w:val="-3"/>
        </w:rPr>
        <w:t xml:space="preserve"> </w:t>
      </w:r>
      <w:r>
        <w:t>pont).</w:t>
      </w:r>
    </w:p>
    <w:p w14:paraId="162A8A10" w14:textId="77777777" w:rsidR="004C11B6" w:rsidRDefault="004C11B6" w:rsidP="00E01E5A">
      <w:pPr>
        <w:pStyle w:val="Szvegtrzs"/>
        <w:spacing w:before="4"/>
        <w:ind w:right="2"/>
        <w:rPr>
          <w:sz w:val="20"/>
        </w:rPr>
      </w:pPr>
    </w:p>
    <w:p w14:paraId="78FF5270" w14:textId="77777777" w:rsidR="004C11B6" w:rsidRDefault="00F05A0C" w:rsidP="00E01E5A">
      <w:pPr>
        <w:spacing w:line="248" w:lineRule="exact"/>
        <w:ind w:right="2"/>
        <w:rPr>
          <w:i/>
        </w:rPr>
      </w:pPr>
      <w:r>
        <w:rPr>
          <w:i/>
          <w:u w:val="single"/>
        </w:rPr>
        <w:t>Gyermekek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serdülők</w:t>
      </w:r>
    </w:p>
    <w:p w14:paraId="760A8F97" w14:textId="38F24493" w:rsidR="004C11B6" w:rsidRDefault="00F05A0C" w:rsidP="00651EC3">
      <w:pPr>
        <w:pStyle w:val="Szvegtrzs"/>
        <w:spacing w:before="1" w:line="232" w:lineRule="auto"/>
        <w:ind w:right="2"/>
      </w:pPr>
      <w:r>
        <w:t xml:space="preserve">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 xml:space="preserve">biztonságosságát és hatásosságát gyermekek és 18 évesnél fiatalabb </w:t>
      </w:r>
      <w:r w:rsidR="00FB49A8">
        <w:t xml:space="preserve">gyermekek és </w:t>
      </w:r>
      <w:r>
        <w:t>serdülők esetében nem</w:t>
      </w:r>
      <w:r w:rsidRPr="00660AC7">
        <w:t xml:space="preserve"> </w:t>
      </w:r>
      <w:r>
        <w:t>igazolták.</w:t>
      </w:r>
      <w:r>
        <w:rPr>
          <w:spacing w:val="-2"/>
        </w:rPr>
        <w:t xml:space="preserve"> </w:t>
      </w:r>
      <w:r w:rsidR="00651EC3" w:rsidRPr="00651EC3">
        <w:rPr>
          <w:spacing w:val="-2"/>
        </w:rPr>
        <w:t>A thromboembolia megelőzésével kapcsolatos jelenleg rendelkezésre álló adatok leírása az</w:t>
      </w:r>
      <w:r w:rsidR="00651EC3">
        <w:rPr>
          <w:spacing w:val="-2"/>
        </w:rPr>
        <w:t xml:space="preserve"> </w:t>
      </w:r>
      <w:r w:rsidR="00651EC3" w:rsidRPr="00651EC3">
        <w:rPr>
          <w:spacing w:val="-2"/>
        </w:rPr>
        <w:t>5.1 pontban található, de az adagolásra vonatkozóan nem adható ajánlás.</w:t>
      </w:r>
    </w:p>
    <w:p w14:paraId="0E338C45" w14:textId="77777777" w:rsidR="004C11B6" w:rsidRDefault="004C11B6" w:rsidP="00E01E5A">
      <w:pPr>
        <w:pStyle w:val="Szvegtrzs"/>
        <w:spacing w:before="5"/>
        <w:ind w:right="2"/>
        <w:rPr>
          <w:sz w:val="20"/>
        </w:rPr>
      </w:pPr>
    </w:p>
    <w:p w14:paraId="6A98E2A5" w14:textId="77777777" w:rsidR="004C11B6" w:rsidRDefault="00F05A0C" w:rsidP="00E01E5A">
      <w:pPr>
        <w:pStyle w:val="Szvegtrzs"/>
        <w:ind w:right="2"/>
      </w:pPr>
      <w:r>
        <w:rPr>
          <w:u w:val="single"/>
        </w:rPr>
        <w:t>Az</w:t>
      </w:r>
      <w:r>
        <w:rPr>
          <w:spacing w:val="-4"/>
          <w:u w:val="single"/>
        </w:rPr>
        <w:t xml:space="preserve"> </w:t>
      </w:r>
      <w:r>
        <w:rPr>
          <w:u w:val="single"/>
        </w:rPr>
        <w:t>alkalmazás</w:t>
      </w:r>
      <w:r>
        <w:rPr>
          <w:spacing w:val="-4"/>
          <w:u w:val="single"/>
        </w:rPr>
        <w:t xml:space="preserve"> </w:t>
      </w:r>
      <w:r>
        <w:rPr>
          <w:u w:val="single"/>
        </w:rPr>
        <w:t>módja</w:t>
      </w:r>
    </w:p>
    <w:p w14:paraId="3C7DACB2" w14:textId="77777777" w:rsidR="004C11B6" w:rsidRDefault="00F05A0C" w:rsidP="00E01E5A">
      <w:pPr>
        <w:pStyle w:val="Szvegtrzs"/>
        <w:spacing w:before="1" w:line="248" w:lineRule="exact"/>
        <w:ind w:right="2"/>
      </w:pPr>
      <w:r>
        <w:t>Szájon</w:t>
      </w:r>
      <w:r>
        <w:rPr>
          <w:spacing w:val="-4"/>
        </w:rPr>
        <w:t xml:space="preserve"> </w:t>
      </w:r>
      <w:r>
        <w:t>át</w:t>
      </w:r>
      <w:r>
        <w:rPr>
          <w:spacing w:val="-4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alkalmazásra.</w:t>
      </w:r>
    </w:p>
    <w:p w14:paraId="3C5709C6" w14:textId="14ABB890" w:rsidR="004C11B6" w:rsidRDefault="00F05A0C" w:rsidP="00E01E5A">
      <w:pPr>
        <w:pStyle w:val="Szvegtrzs"/>
        <w:spacing w:line="248" w:lineRule="exact"/>
        <w:ind w:right="2"/>
      </w:pPr>
      <w:r>
        <w:t>Az</w:t>
      </w:r>
      <w:r>
        <w:rPr>
          <w:spacing w:val="-5"/>
        </w:rPr>
        <w:t xml:space="preserve"> </w:t>
      </w:r>
      <w:r w:rsidR="006F0001">
        <w:t xml:space="preserve">Apixaban </w:t>
      </w:r>
      <w:r w:rsidR="00142607">
        <w:t>Supremex-et</w:t>
      </w:r>
      <w:r>
        <w:rPr>
          <w:spacing w:val="-4"/>
        </w:rPr>
        <w:t xml:space="preserve"> </w:t>
      </w:r>
      <w:r>
        <w:t>étkezés</w:t>
      </w:r>
      <w:r>
        <w:rPr>
          <w:spacing w:val="-4"/>
        </w:rPr>
        <w:t xml:space="preserve"> </w:t>
      </w:r>
      <w:r>
        <w:t>közben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attól</w:t>
      </w:r>
      <w:r>
        <w:rPr>
          <w:spacing w:val="-4"/>
        </w:rPr>
        <w:t xml:space="preserve"> </w:t>
      </w:r>
      <w:r>
        <w:t>függetlenül,</w:t>
      </w:r>
      <w:r>
        <w:rPr>
          <w:spacing w:val="-4"/>
        </w:rPr>
        <w:t xml:space="preserve"> </w:t>
      </w:r>
      <w:r>
        <w:t>vízzel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bevenni.</w:t>
      </w:r>
    </w:p>
    <w:p w14:paraId="721EB3FD" w14:textId="77777777" w:rsidR="004C11B6" w:rsidRDefault="004C11B6" w:rsidP="00E01E5A">
      <w:pPr>
        <w:pStyle w:val="Szvegtrzs"/>
        <w:ind w:right="2"/>
        <w:rPr>
          <w:sz w:val="21"/>
        </w:rPr>
      </w:pPr>
    </w:p>
    <w:p w14:paraId="5A1273F0" w14:textId="413D9671" w:rsidR="004C11B6" w:rsidRDefault="00F05A0C" w:rsidP="00E01E5A">
      <w:pPr>
        <w:pStyle w:val="Szvegtrzs"/>
        <w:spacing w:before="1" w:line="230" w:lineRule="auto"/>
        <w:ind w:right="2"/>
      </w:pPr>
      <w:r>
        <w:t xml:space="preserve">Az olyan betegek számára, akik nem képesek lenyelni a tablettákat egészben, 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tablettákat</w:t>
      </w:r>
      <w:r>
        <w:rPr>
          <w:spacing w:val="1"/>
        </w:rPr>
        <w:t xml:space="preserve"> </w:t>
      </w:r>
      <w:r>
        <w:t>porrá lehet törni, és szuszpendálni lehet vízben, glükóz 5%-os vizes olda</w:t>
      </w:r>
      <w:r w:rsidRPr="0000686B">
        <w:t>tában</w:t>
      </w:r>
      <w:r w:rsidR="00C07CF4" w:rsidRPr="0000686B">
        <w:t xml:space="preserve"> (G5W)</w:t>
      </w:r>
      <w:r w:rsidRPr="0000686B">
        <w:t>,</w:t>
      </w:r>
      <w:r>
        <w:t xml:space="preserve"> almalében, vagy hozzá</w:t>
      </w:r>
      <w:r w:rsidRPr="00303786">
        <w:t xml:space="preserve"> </w:t>
      </w:r>
      <w:r>
        <w:t>lehet keverni almapüréhez, és azonnal be kell adni szájon át (lásd 5.2 pont). Másik megoldásként az</w:t>
      </w:r>
      <w:r>
        <w:rPr>
          <w:spacing w:val="1"/>
        </w:rPr>
        <w:t xml:space="preserve">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tablettákat porrá lehet törni és szuszpendálni 60</w:t>
      </w:r>
      <w:r w:rsidR="00FB49A8">
        <w:t> </w:t>
      </w:r>
      <w:r>
        <w:t>ml vízben vagy 5%-os glükóz</w:t>
      </w:r>
      <w:r w:rsidR="00F1779D">
        <w:t xml:space="preserve"> </w:t>
      </w:r>
      <w:r>
        <w:t>oldatban</w:t>
      </w:r>
      <w:r w:rsidR="00944A5B">
        <w:t xml:space="preserve"> </w:t>
      </w:r>
      <w:r w:rsidR="00944A5B" w:rsidRPr="0000686B">
        <w:t>(G5W)</w:t>
      </w:r>
      <w:r w:rsidRPr="0000686B">
        <w:t>, majd</w:t>
      </w:r>
      <w:r w:rsidRPr="0000686B">
        <w:rPr>
          <w:spacing w:val="1"/>
        </w:rPr>
        <w:t xml:space="preserve"> </w:t>
      </w:r>
      <w:r w:rsidRPr="0000686B">
        <w:t>nasogastricus</w:t>
      </w:r>
      <w:r w:rsidRPr="0000686B">
        <w:rPr>
          <w:spacing w:val="-2"/>
        </w:rPr>
        <w:t xml:space="preserve"> </w:t>
      </w:r>
      <w:r w:rsidRPr="0000686B">
        <w:t>szondán</w:t>
      </w:r>
      <w:r w:rsidRPr="0000686B">
        <w:rPr>
          <w:spacing w:val="-1"/>
        </w:rPr>
        <w:t xml:space="preserve"> </w:t>
      </w:r>
      <w:r w:rsidRPr="0000686B">
        <w:t>át</w:t>
      </w:r>
      <w:r w:rsidRPr="0000686B">
        <w:rPr>
          <w:spacing w:val="-1"/>
        </w:rPr>
        <w:t xml:space="preserve"> </w:t>
      </w:r>
      <w:r w:rsidRPr="0000686B">
        <w:t>azonnal</w:t>
      </w:r>
      <w:r w:rsidRPr="0000686B">
        <w:rPr>
          <w:spacing w:val="-1"/>
        </w:rPr>
        <w:t xml:space="preserve"> </w:t>
      </w:r>
      <w:r w:rsidRPr="0000686B">
        <w:t>be</w:t>
      </w:r>
      <w:r w:rsidRPr="0000686B">
        <w:rPr>
          <w:spacing w:val="-2"/>
        </w:rPr>
        <w:t xml:space="preserve"> </w:t>
      </w:r>
      <w:r w:rsidRPr="0000686B">
        <w:t>kell</w:t>
      </w:r>
      <w:r w:rsidRPr="0000686B">
        <w:rPr>
          <w:spacing w:val="-1"/>
        </w:rPr>
        <w:t xml:space="preserve"> </w:t>
      </w:r>
      <w:r w:rsidRPr="0000686B">
        <w:t>adni</w:t>
      </w:r>
      <w:r w:rsidRPr="0000686B">
        <w:rPr>
          <w:spacing w:val="-1"/>
        </w:rPr>
        <w:t xml:space="preserve"> </w:t>
      </w:r>
      <w:r w:rsidRPr="0000686B">
        <w:t>(lásd</w:t>
      </w:r>
      <w:r w:rsidRPr="0000686B">
        <w:rPr>
          <w:spacing w:val="-2"/>
        </w:rPr>
        <w:t xml:space="preserve"> </w:t>
      </w:r>
      <w:r w:rsidRPr="0000686B">
        <w:t>5.2</w:t>
      </w:r>
      <w:r w:rsidRPr="0000686B">
        <w:rPr>
          <w:spacing w:val="-3"/>
        </w:rPr>
        <w:t xml:space="preserve"> </w:t>
      </w:r>
      <w:r w:rsidRPr="0000686B">
        <w:t>pont).</w:t>
      </w:r>
      <w:r w:rsidR="00944A5B" w:rsidRPr="0000686B">
        <w:t xml:space="preserve"> </w:t>
      </w:r>
      <w:r w:rsidRPr="0000686B">
        <w:t xml:space="preserve">A porrá tört </w:t>
      </w:r>
      <w:r w:rsidR="007F630D" w:rsidRPr="0000686B">
        <w:t xml:space="preserve">Apixaban </w:t>
      </w:r>
      <w:r w:rsidR="00142607">
        <w:t>Supremex</w:t>
      </w:r>
      <w:r w:rsidR="007F630D" w:rsidRPr="0000686B">
        <w:t xml:space="preserve"> </w:t>
      </w:r>
      <w:r w:rsidRPr="0000686B">
        <w:t>tabletták vízben, 5%-os glükóz</w:t>
      </w:r>
      <w:r w:rsidR="00F1779D">
        <w:t xml:space="preserve"> </w:t>
      </w:r>
      <w:r w:rsidRPr="0000686B">
        <w:t>oldatban</w:t>
      </w:r>
      <w:r w:rsidR="00873823" w:rsidRPr="0000686B">
        <w:t xml:space="preserve"> (G5W)</w:t>
      </w:r>
      <w:r w:rsidRPr="0000686B">
        <w:t>, almalében és</w:t>
      </w:r>
      <w:r>
        <w:t xml:space="preserve"> almapürében legfeljebb</w:t>
      </w:r>
      <w:r w:rsidRPr="00873823">
        <w:t xml:space="preserve"> </w:t>
      </w:r>
      <w:r>
        <w:t>4</w:t>
      </w:r>
      <w:r w:rsidRPr="00873823">
        <w:t xml:space="preserve"> </w:t>
      </w:r>
      <w:r>
        <w:t>órán</w:t>
      </w:r>
      <w:r>
        <w:rPr>
          <w:spacing w:val="-1"/>
        </w:rPr>
        <w:t xml:space="preserve"> </w:t>
      </w:r>
      <w:r>
        <w:t>keresztül</w:t>
      </w:r>
      <w:r>
        <w:rPr>
          <w:spacing w:val="-1"/>
        </w:rPr>
        <w:t xml:space="preserve"> </w:t>
      </w:r>
      <w:r>
        <w:t>stabilak.</w:t>
      </w:r>
    </w:p>
    <w:p w14:paraId="10F69B8D" w14:textId="77777777" w:rsidR="004C11B6" w:rsidRDefault="004C11B6" w:rsidP="00E01E5A">
      <w:pPr>
        <w:pStyle w:val="Szvegtrzs"/>
        <w:spacing w:before="5"/>
        <w:ind w:right="2"/>
        <w:rPr>
          <w:sz w:val="20"/>
        </w:rPr>
      </w:pPr>
    </w:p>
    <w:p w14:paraId="5FBA3023" w14:textId="77777777" w:rsidR="004C11B6" w:rsidRDefault="00F05A0C" w:rsidP="00E01E5A">
      <w:pPr>
        <w:pStyle w:val="Cmsor2"/>
        <w:numPr>
          <w:ilvl w:val="1"/>
          <w:numId w:val="51"/>
        </w:numPr>
        <w:tabs>
          <w:tab w:val="left" w:pos="802"/>
          <w:tab w:val="left" w:pos="803"/>
        </w:tabs>
        <w:ind w:left="0" w:right="2" w:firstLine="0"/>
      </w:pPr>
      <w:r>
        <w:t>Ellenjavallatok</w:t>
      </w:r>
    </w:p>
    <w:p w14:paraId="04D5863C" w14:textId="77777777" w:rsidR="004C11B6" w:rsidRDefault="004C11B6" w:rsidP="00E01E5A">
      <w:pPr>
        <w:pStyle w:val="Szvegtrzs"/>
        <w:spacing w:before="1"/>
        <w:ind w:right="2"/>
        <w:rPr>
          <w:b/>
        </w:rPr>
      </w:pPr>
    </w:p>
    <w:p w14:paraId="0E8B6545" w14:textId="77777777" w:rsidR="004C11B6" w:rsidRDefault="00F05A0C" w:rsidP="00E01E5A">
      <w:pPr>
        <w:pStyle w:val="Listaszerbekezds"/>
        <w:numPr>
          <w:ilvl w:val="0"/>
          <w:numId w:val="62"/>
        </w:numPr>
        <w:spacing w:line="230" w:lineRule="auto"/>
        <w:ind w:left="567" w:right="2" w:hanging="567"/>
        <w:rPr>
          <w:rFonts w:ascii="Symbol" w:hAnsi="Symbol"/>
        </w:rPr>
      </w:pPr>
      <w:r>
        <w:t>A készítmény hatóanyagával vagy a 6.1 pontban felsorolt bármely segédanyagával szembeni</w:t>
      </w:r>
      <w:r>
        <w:rPr>
          <w:spacing w:val="-52"/>
        </w:rPr>
        <w:t xml:space="preserve"> </w:t>
      </w:r>
      <w:r>
        <w:t>túlérzékenység.</w:t>
      </w:r>
    </w:p>
    <w:p w14:paraId="14B8C7C2" w14:textId="77777777" w:rsidR="004C11B6" w:rsidRDefault="00F05A0C" w:rsidP="00E01E5A">
      <w:pPr>
        <w:pStyle w:val="Listaszerbekezds"/>
        <w:numPr>
          <w:ilvl w:val="0"/>
          <w:numId w:val="62"/>
        </w:numPr>
        <w:spacing w:before="1" w:line="269" w:lineRule="exact"/>
        <w:ind w:left="567" w:right="2" w:hanging="567"/>
        <w:rPr>
          <w:rFonts w:ascii="Symbol" w:hAnsi="Symbol"/>
        </w:rPr>
      </w:pPr>
      <w:r>
        <w:t>Aktív,</w:t>
      </w:r>
      <w:r>
        <w:rPr>
          <w:spacing w:val="-6"/>
        </w:rPr>
        <w:t xml:space="preserve"> </w:t>
      </w:r>
      <w:r>
        <w:t>klinikailag</w:t>
      </w:r>
      <w:r>
        <w:rPr>
          <w:spacing w:val="-5"/>
        </w:rPr>
        <w:t xml:space="preserve"> </w:t>
      </w:r>
      <w:r>
        <w:t>jelentős</w:t>
      </w:r>
      <w:r>
        <w:rPr>
          <w:spacing w:val="-5"/>
        </w:rPr>
        <w:t xml:space="preserve"> </w:t>
      </w:r>
      <w:r>
        <w:t>vérzés.</w:t>
      </w:r>
    </w:p>
    <w:p w14:paraId="0FD42017" w14:textId="77777777" w:rsidR="004C11B6" w:rsidRDefault="00F05A0C" w:rsidP="00E01E5A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spacing w:line="269" w:lineRule="exact"/>
        <w:ind w:left="567" w:right="2" w:hanging="567"/>
        <w:rPr>
          <w:rFonts w:ascii="Symbol" w:hAnsi="Symbol"/>
        </w:rPr>
      </w:pPr>
      <w:r>
        <w:t>Véralvadási</w:t>
      </w:r>
      <w:r>
        <w:rPr>
          <w:spacing w:val="-5"/>
        </w:rPr>
        <w:t xml:space="preserve"> </w:t>
      </w:r>
      <w:r>
        <w:t>zavarral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klinikailag</w:t>
      </w:r>
      <w:r>
        <w:rPr>
          <w:spacing w:val="-5"/>
        </w:rPr>
        <w:t xml:space="preserve"> </w:t>
      </w:r>
      <w:r>
        <w:t>jelentős</w:t>
      </w:r>
      <w:r>
        <w:rPr>
          <w:spacing w:val="-5"/>
        </w:rPr>
        <w:t xml:space="preserve"> </w:t>
      </w:r>
      <w:r>
        <w:t>vérzési</w:t>
      </w:r>
      <w:r>
        <w:rPr>
          <w:spacing w:val="-5"/>
        </w:rPr>
        <w:t xml:space="preserve"> </w:t>
      </w:r>
      <w:r>
        <w:t>kockázattal</w:t>
      </w:r>
      <w:r>
        <w:rPr>
          <w:spacing w:val="-5"/>
        </w:rPr>
        <w:t xml:space="preserve"> </w:t>
      </w:r>
      <w:r>
        <w:t>járó</w:t>
      </w:r>
      <w:r>
        <w:rPr>
          <w:spacing w:val="-4"/>
        </w:rPr>
        <w:t xml:space="preserve"> </w:t>
      </w:r>
      <w:r>
        <w:t>májbetegség</w:t>
      </w:r>
      <w:r>
        <w:rPr>
          <w:spacing w:val="-5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5.2</w:t>
      </w:r>
      <w:r>
        <w:rPr>
          <w:spacing w:val="-9"/>
        </w:rPr>
        <w:t xml:space="preserve"> </w:t>
      </w:r>
      <w:r>
        <w:t>pont).</w:t>
      </w:r>
    </w:p>
    <w:p w14:paraId="57DFD830" w14:textId="55B28421" w:rsidR="004C11B6" w:rsidRDefault="00F05A0C" w:rsidP="00E01E5A">
      <w:pPr>
        <w:pStyle w:val="Listaszerbekezds"/>
        <w:numPr>
          <w:ilvl w:val="0"/>
          <w:numId w:val="62"/>
        </w:numPr>
        <w:spacing w:before="8" w:line="230" w:lineRule="auto"/>
        <w:ind w:left="567" w:right="2" w:hanging="567"/>
        <w:rPr>
          <w:rFonts w:ascii="Symbol" w:hAnsi="Symbol"/>
        </w:rPr>
      </w:pPr>
      <w:r>
        <w:t>Léziók vagy</w:t>
      </w:r>
      <w:r w:rsidR="00F1779D">
        <w:t xml:space="preserve"> bizonyos</w:t>
      </w:r>
      <w:r>
        <w:t xml:space="preserve"> állapotok, </w:t>
      </w:r>
      <w:r w:rsidR="00F1779D">
        <w:t xml:space="preserve">ha ezek </w:t>
      </w:r>
      <w:r>
        <w:t>a nagyfokú vérzés jelentős rizikófaktorának tekinthetők. Ide</w:t>
      </w:r>
      <w:r>
        <w:rPr>
          <w:spacing w:val="1"/>
        </w:rPr>
        <w:t xml:space="preserve"> </w:t>
      </w:r>
      <w:r>
        <w:t>tartozhat az aktuálisan fennálló vagy nemrégiben lezajlott gastrointestinalis fekély, a vérzés</w:t>
      </w:r>
      <w:r>
        <w:rPr>
          <w:spacing w:val="1"/>
        </w:rPr>
        <w:t xml:space="preserve"> </w:t>
      </w:r>
      <w:r>
        <w:t xml:space="preserve">magasabb kockázatával járó malignus daganatok </w:t>
      </w:r>
      <w:r w:rsidR="00F1779D">
        <w:t>jelenléte</w:t>
      </w:r>
      <w:r>
        <w:t>, friss agy</w:t>
      </w:r>
      <w:r w:rsidR="00F1779D">
        <w:t>-</w:t>
      </w:r>
      <w:r>
        <w:t xml:space="preserve"> vagy gerincsérülés,</w:t>
      </w:r>
      <w:r>
        <w:rPr>
          <w:spacing w:val="1"/>
        </w:rPr>
        <w:t xml:space="preserve"> </w:t>
      </w:r>
      <w:r>
        <w:t>nemrégiben lezajlott agy-, gerinc- vagy szemműtét, nemrégiben lezajlott intracranialis vérzés,</w:t>
      </w:r>
      <w:r>
        <w:rPr>
          <w:spacing w:val="-52"/>
        </w:rPr>
        <w:t xml:space="preserve"> </w:t>
      </w:r>
      <w:r>
        <w:t xml:space="preserve">ismert vagy feltételezett </w:t>
      </w:r>
      <w:r w:rsidR="00F1779D" w:rsidRPr="00A21724">
        <w:t>oesophagealis varix</w:t>
      </w:r>
      <w:r>
        <w:t>, arteriovenosus malformatiók, vascularis</w:t>
      </w:r>
      <w:r>
        <w:rPr>
          <w:spacing w:val="1"/>
        </w:rPr>
        <w:t xml:space="preserve"> </w:t>
      </w:r>
      <w:r>
        <w:t>aneurysmák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nagyobb</w:t>
      </w:r>
      <w:r>
        <w:rPr>
          <w:spacing w:val="-4"/>
        </w:rPr>
        <w:t xml:space="preserve"> </w:t>
      </w:r>
      <w:r>
        <w:t>intraspinalis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intracerebralis</w:t>
      </w:r>
      <w:r>
        <w:rPr>
          <w:spacing w:val="-4"/>
        </w:rPr>
        <w:t xml:space="preserve"> </w:t>
      </w:r>
      <w:r>
        <w:t>vascularis</w:t>
      </w:r>
      <w:r>
        <w:rPr>
          <w:spacing w:val="-3"/>
        </w:rPr>
        <w:t xml:space="preserve"> </w:t>
      </w:r>
      <w:r>
        <w:t>rendellenességek.</w:t>
      </w:r>
    </w:p>
    <w:p w14:paraId="41758E5E" w14:textId="27402439" w:rsidR="004C11B6" w:rsidRDefault="00F05A0C" w:rsidP="00E01E5A">
      <w:pPr>
        <w:pStyle w:val="Listaszerbekezds"/>
        <w:numPr>
          <w:ilvl w:val="0"/>
          <w:numId w:val="62"/>
        </w:numPr>
        <w:spacing w:before="15" w:line="230" w:lineRule="auto"/>
        <w:ind w:left="567" w:right="2" w:hanging="567"/>
        <w:rPr>
          <w:rFonts w:ascii="Symbol" w:hAnsi="Symbol"/>
        </w:rPr>
      </w:pPr>
      <w:r>
        <w:t>Bármilyen más antikoaguláns szerrel, pl. nem frakcionált heparinnal (</w:t>
      </w:r>
      <w:r w:rsidR="009972A1">
        <w:t>N</w:t>
      </w:r>
      <w:r>
        <w:t>FH), kis</w:t>
      </w:r>
      <w:r>
        <w:rPr>
          <w:spacing w:val="1"/>
        </w:rPr>
        <w:t xml:space="preserve"> </w:t>
      </w:r>
      <w:r>
        <w:t>molekulatömegű heparinokkal (enoxaparin, dalteparin, stb.), heparinszármazékokkal</w:t>
      </w:r>
      <w:r>
        <w:rPr>
          <w:spacing w:val="1"/>
        </w:rPr>
        <w:t xml:space="preserve"> </w:t>
      </w:r>
      <w:r>
        <w:t>(fondaparinux, stb.), oralis antikoagulánsokkal (warfarin, rivaroxabán, dabigatrán, stb.) történő</w:t>
      </w:r>
      <w:r>
        <w:rPr>
          <w:spacing w:val="-52"/>
        </w:rPr>
        <w:t xml:space="preserve"> </w:t>
      </w:r>
      <w:r>
        <w:t>egyidejű kezelés, kivé</w:t>
      </w:r>
      <w:r w:rsidRPr="00435933">
        <w:t>ve azokat a specifik</w:t>
      </w:r>
      <w:r>
        <w:t>us körülményeket, amikor a beteget az egyik</w:t>
      </w:r>
      <w:r>
        <w:rPr>
          <w:spacing w:val="1"/>
        </w:rPr>
        <w:t xml:space="preserve"> </w:t>
      </w:r>
      <w:r>
        <w:t>antikoaguláns kezelésről egy másikra állítják át (lásd 4.2 pont), amikor a nem frakcionált</w:t>
      </w:r>
      <w:r>
        <w:rPr>
          <w:spacing w:val="1"/>
        </w:rPr>
        <w:t xml:space="preserve"> </w:t>
      </w:r>
      <w:r>
        <w:t>heparint a centrális vénás vagy artériás kanül átjárhatóságának fenntartásához szükséges</w:t>
      </w:r>
      <w:r>
        <w:rPr>
          <w:spacing w:val="1"/>
        </w:rPr>
        <w:t xml:space="preserve"> </w:t>
      </w:r>
      <w:r>
        <w:t>dózisokban adják vagy amikor nem frakcionált heparint adnak pitvarfibrilláció miatti katéteres</w:t>
      </w:r>
      <w:r>
        <w:rPr>
          <w:spacing w:val="-52"/>
        </w:rPr>
        <w:t xml:space="preserve"> </w:t>
      </w:r>
      <w:r>
        <w:t>abláció</w:t>
      </w:r>
      <w:r>
        <w:rPr>
          <w:spacing w:val="-2"/>
        </w:rPr>
        <w:t xml:space="preserve"> </w:t>
      </w:r>
      <w:r>
        <w:t>alatt (lásd</w:t>
      </w:r>
      <w:r>
        <w:rPr>
          <w:spacing w:val="-3"/>
        </w:rPr>
        <w:t xml:space="preserve"> </w:t>
      </w:r>
      <w:r>
        <w:t>4.4</w:t>
      </w:r>
      <w:r>
        <w:rPr>
          <w:spacing w:val="-1"/>
        </w:rPr>
        <w:t xml:space="preserve"> </w:t>
      </w:r>
      <w:r>
        <w:t>és 4.5</w:t>
      </w:r>
      <w:r>
        <w:rPr>
          <w:spacing w:val="-3"/>
        </w:rPr>
        <w:t xml:space="preserve"> </w:t>
      </w:r>
      <w:r>
        <w:t>pont).</w:t>
      </w:r>
    </w:p>
    <w:p w14:paraId="3B6FD396" w14:textId="77777777" w:rsidR="00E01E5A" w:rsidRDefault="00E01E5A" w:rsidP="00E01E5A">
      <w:pPr>
        <w:pStyle w:val="Cmsor2"/>
        <w:spacing w:before="68"/>
        <w:ind w:left="0"/>
      </w:pPr>
    </w:p>
    <w:p w14:paraId="12B24271" w14:textId="5A098CEA" w:rsidR="004C11B6" w:rsidRDefault="00F05A0C" w:rsidP="006F5D0D">
      <w:pPr>
        <w:pStyle w:val="Cmsor2"/>
        <w:numPr>
          <w:ilvl w:val="1"/>
          <w:numId w:val="51"/>
        </w:numPr>
        <w:spacing w:before="68"/>
        <w:ind w:left="0" w:firstLine="0"/>
      </w:pPr>
      <w:r>
        <w:t>Különleges</w:t>
      </w:r>
      <w:r>
        <w:rPr>
          <w:spacing w:val="-7"/>
        </w:rPr>
        <w:t xml:space="preserve"> </w:t>
      </w:r>
      <w:r>
        <w:t>figyelmeztetések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alkalmazással</w:t>
      </w:r>
      <w:r>
        <w:rPr>
          <w:spacing w:val="-6"/>
        </w:rPr>
        <w:t xml:space="preserve"> </w:t>
      </w:r>
      <w:r>
        <w:t>kapcsolatos</w:t>
      </w:r>
      <w:r>
        <w:rPr>
          <w:spacing w:val="-6"/>
        </w:rPr>
        <w:t xml:space="preserve"> </w:t>
      </w:r>
      <w:r>
        <w:t>óvintézkedések</w:t>
      </w:r>
    </w:p>
    <w:p w14:paraId="5BABA1FF" w14:textId="77777777" w:rsidR="004C11B6" w:rsidRDefault="004C11B6" w:rsidP="006F5D0D">
      <w:pPr>
        <w:pStyle w:val="Szvegtrzs"/>
        <w:spacing w:before="4"/>
        <w:rPr>
          <w:b/>
          <w:sz w:val="20"/>
        </w:rPr>
      </w:pPr>
    </w:p>
    <w:p w14:paraId="6007B4C9" w14:textId="77777777" w:rsidR="008411E7" w:rsidRPr="00A21724" w:rsidRDefault="008411E7" w:rsidP="008411E7">
      <w:pPr>
        <w:pStyle w:val="Nincstrkz"/>
        <w:rPr>
          <w:rFonts w:cs="Times New Roman"/>
          <w:u w:val="single"/>
        </w:rPr>
      </w:pPr>
      <w:r w:rsidRPr="00A21724">
        <w:rPr>
          <w:rFonts w:cs="Times New Roman"/>
          <w:u w:val="single"/>
        </w:rPr>
        <w:t>Haemorrhagia kockázata</w:t>
      </w:r>
    </w:p>
    <w:p w14:paraId="7AD8A109" w14:textId="77777777" w:rsidR="004C11B6" w:rsidRDefault="00F05A0C" w:rsidP="00363C37">
      <w:pPr>
        <w:pStyle w:val="Szvegtrzs"/>
        <w:spacing w:line="230" w:lineRule="auto"/>
      </w:pPr>
      <w:r>
        <w:t>Más antikoagulánsokhoz hasonlóan az apixabánt szedő betegeknél gondosan figyelni kell a vérzésre</w:t>
      </w:r>
      <w:r>
        <w:rPr>
          <w:spacing w:val="-52"/>
        </w:rPr>
        <w:t xml:space="preserve"> </w:t>
      </w:r>
      <w:r>
        <w:t>utaló jeleket. Óvatos alkalmazása ajánlott fokozott vérzésveszéllyel járó állapotokban. Súlyos vérzés</w:t>
      </w:r>
      <w:r>
        <w:rPr>
          <w:spacing w:val="-52"/>
        </w:rPr>
        <w:t xml:space="preserve"> </w:t>
      </w:r>
      <w:r>
        <w:t>jelentkezésekor</w:t>
      </w:r>
      <w:r>
        <w:rPr>
          <w:spacing w:val="-2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alkalmazását</w:t>
      </w:r>
      <w:r>
        <w:rPr>
          <w:spacing w:val="-2"/>
        </w:rPr>
        <w:t xml:space="preserve"> </w:t>
      </w:r>
      <w:r>
        <w:t>abba</w:t>
      </w:r>
      <w:r>
        <w:rPr>
          <w:spacing w:val="-1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hagyni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4.8</w:t>
      </w:r>
      <w:r>
        <w:rPr>
          <w:spacing w:val="-5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4.9</w:t>
      </w:r>
      <w:r>
        <w:rPr>
          <w:spacing w:val="-1"/>
        </w:rPr>
        <w:t xml:space="preserve"> </w:t>
      </w:r>
      <w:r>
        <w:t>pont).</w:t>
      </w:r>
    </w:p>
    <w:p w14:paraId="63A6D3D9" w14:textId="77777777" w:rsidR="004C11B6" w:rsidRDefault="004C11B6" w:rsidP="006F5D0D">
      <w:pPr>
        <w:pStyle w:val="Szvegtrzs"/>
        <w:spacing w:before="4"/>
        <w:rPr>
          <w:sz w:val="21"/>
        </w:rPr>
      </w:pPr>
    </w:p>
    <w:p w14:paraId="121A1629" w14:textId="77777777" w:rsidR="004C11B6" w:rsidRDefault="00F05A0C" w:rsidP="006F5D0D">
      <w:pPr>
        <w:pStyle w:val="Szvegtrzs"/>
        <w:spacing w:line="230" w:lineRule="auto"/>
      </w:pPr>
      <w:r>
        <w:t>Bár az apixabán-kezelés nem teszi szükségessé az expozíció rutinszerű monitorozását, azokban a</w:t>
      </w:r>
      <w:r>
        <w:rPr>
          <w:spacing w:val="1"/>
        </w:rPr>
        <w:t xml:space="preserve"> </w:t>
      </w:r>
      <w:r>
        <w:t>kivételes helyzetekben, amikor az apixabán-expozíció ismerete segíthet információt nyújtani a klinikai</w:t>
      </w:r>
      <w:r>
        <w:rPr>
          <w:spacing w:val="-52"/>
        </w:rPr>
        <w:t xml:space="preserve"> </w:t>
      </w:r>
      <w:r>
        <w:t>döntéshez, mint például a túladagolás és a sürgős műtét, egy kalibrált, mennyiségi meghatározásra</w:t>
      </w:r>
      <w:r>
        <w:rPr>
          <w:spacing w:val="1"/>
        </w:rPr>
        <w:t xml:space="preserve"> </w:t>
      </w:r>
      <w:r>
        <w:t>alkalmas</w:t>
      </w:r>
      <w:r>
        <w:rPr>
          <w:spacing w:val="-2"/>
        </w:rPr>
        <w:t xml:space="preserve"> </w:t>
      </w:r>
      <w:r>
        <w:t>anti-Xa</w:t>
      </w:r>
      <w:r>
        <w:rPr>
          <w:spacing w:val="-1"/>
        </w:rPr>
        <w:t xml:space="preserve"> </w:t>
      </w:r>
      <w:r>
        <w:t>faktor</w:t>
      </w:r>
      <w:r>
        <w:rPr>
          <w:spacing w:val="-1"/>
        </w:rPr>
        <w:t xml:space="preserve"> </w:t>
      </w:r>
      <w:r>
        <w:t>assay</w:t>
      </w:r>
      <w:r>
        <w:rPr>
          <w:spacing w:val="-2"/>
        </w:rPr>
        <w:t xml:space="preserve"> </w:t>
      </w:r>
      <w:r>
        <w:t>hasznos</w:t>
      </w:r>
      <w:r>
        <w:rPr>
          <w:spacing w:val="-1"/>
        </w:rPr>
        <w:t xml:space="preserve"> </w:t>
      </w:r>
      <w:r>
        <w:t>lehet</w:t>
      </w:r>
      <w:r>
        <w:rPr>
          <w:spacing w:val="-1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5.1</w:t>
      </w:r>
      <w:r>
        <w:rPr>
          <w:spacing w:val="-1"/>
        </w:rPr>
        <w:t xml:space="preserve"> </w:t>
      </w:r>
      <w:r>
        <w:t>pont).</w:t>
      </w:r>
    </w:p>
    <w:p w14:paraId="0DD0CCB5" w14:textId="77777777" w:rsidR="004C11B6" w:rsidRDefault="004C11B6" w:rsidP="006F5D0D">
      <w:pPr>
        <w:pStyle w:val="Szvegtrzs"/>
        <w:spacing w:before="10"/>
        <w:rPr>
          <w:sz w:val="20"/>
        </w:rPr>
      </w:pPr>
    </w:p>
    <w:p w14:paraId="2499D941" w14:textId="77777777" w:rsidR="00DE175B" w:rsidRDefault="00F05A0C" w:rsidP="006F5D0D">
      <w:pPr>
        <w:pStyle w:val="Szvegtrzs"/>
        <w:rPr>
          <w:spacing w:val="-52"/>
        </w:rPr>
      </w:pPr>
      <w:r>
        <w:t>Rendelkezésre áll egy szer az apixabán Xa faktor-ellenes aktivitásának visszafordítására.</w:t>
      </w:r>
      <w:r>
        <w:rPr>
          <w:spacing w:val="-52"/>
        </w:rPr>
        <w:t xml:space="preserve"> </w:t>
      </w:r>
    </w:p>
    <w:p w14:paraId="03678AB7" w14:textId="77777777" w:rsidR="00DE175B" w:rsidRDefault="00DE175B" w:rsidP="006F5D0D">
      <w:pPr>
        <w:pStyle w:val="Szvegtrzs"/>
        <w:rPr>
          <w:spacing w:val="-52"/>
        </w:rPr>
      </w:pPr>
    </w:p>
    <w:p w14:paraId="19B8FACC" w14:textId="3D305CDE" w:rsidR="00DE175B" w:rsidRDefault="00F05A0C" w:rsidP="006F5D0D">
      <w:pPr>
        <w:pStyle w:val="Szvegtrzs"/>
        <w:rPr>
          <w:u w:val="single"/>
        </w:rPr>
      </w:pPr>
      <w:r>
        <w:rPr>
          <w:u w:val="single"/>
        </w:rPr>
        <w:t>Kölcsönhatás</w:t>
      </w:r>
      <w:r>
        <w:rPr>
          <w:spacing w:val="-2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haemostasist</w:t>
      </w:r>
      <w:r>
        <w:rPr>
          <w:spacing w:val="-1"/>
          <w:u w:val="single"/>
        </w:rPr>
        <w:t xml:space="preserve"> </w:t>
      </w:r>
      <w:r>
        <w:rPr>
          <w:u w:val="single"/>
        </w:rPr>
        <w:t>befolyásoló</w:t>
      </w:r>
      <w:r>
        <w:rPr>
          <w:spacing w:val="-2"/>
          <w:u w:val="single"/>
        </w:rPr>
        <w:t xml:space="preserve"> </w:t>
      </w:r>
      <w:r>
        <w:rPr>
          <w:u w:val="single"/>
        </w:rPr>
        <w:t>egyéb</w:t>
      </w:r>
      <w:r>
        <w:rPr>
          <w:spacing w:val="-2"/>
          <w:u w:val="single"/>
        </w:rPr>
        <w:t xml:space="preserve"> </w:t>
      </w:r>
      <w:r>
        <w:rPr>
          <w:u w:val="single"/>
        </w:rPr>
        <w:t>gyógyszerekkel</w:t>
      </w:r>
    </w:p>
    <w:p w14:paraId="1776A492" w14:textId="1D95DFD7" w:rsidR="004C11B6" w:rsidRDefault="00F05A0C" w:rsidP="006F5D0D">
      <w:pPr>
        <w:pStyle w:val="Szvegtrzs"/>
      </w:pPr>
      <w:r>
        <w:t>A vérzés fokozott kockázata miatt bármilyen más antikoagulánssal végezett egyidejű kezelés</w:t>
      </w:r>
      <w:r w:rsidRPr="004A3BA1">
        <w:t xml:space="preserve"> </w:t>
      </w:r>
      <w:r>
        <w:t>ellenjavallt</w:t>
      </w:r>
      <w:r w:rsidRPr="004A3BA1">
        <w:t xml:space="preserve"> </w:t>
      </w:r>
      <w:r>
        <w:t>(lásd</w:t>
      </w:r>
      <w:r>
        <w:rPr>
          <w:spacing w:val="-1"/>
        </w:rPr>
        <w:t xml:space="preserve"> </w:t>
      </w:r>
      <w:r>
        <w:t>4.3</w:t>
      </w:r>
      <w:r>
        <w:rPr>
          <w:spacing w:val="-1"/>
        </w:rPr>
        <w:t xml:space="preserve"> </w:t>
      </w:r>
      <w:r>
        <w:t>pont).</w:t>
      </w:r>
    </w:p>
    <w:p w14:paraId="3D94394D" w14:textId="77777777" w:rsidR="004C11B6" w:rsidRDefault="004C11B6" w:rsidP="006F5D0D">
      <w:pPr>
        <w:pStyle w:val="Szvegtrzs"/>
        <w:rPr>
          <w:sz w:val="21"/>
        </w:rPr>
      </w:pPr>
    </w:p>
    <w:p w14:paraId="7A6704A7" w14:textId="77777777" w:rsidR="004C11B6" w:rsidRDefault="00F05A0C" w:rsidP="006F5D0D">
      <w:pPr>
        <w:pStyle w:val="Szvegtrzs"/>
        <w:spacing w:line="232" w:lineRule="auto"/>
      </w:pPr>
      <w:r>
        <w:t>Az apixabán és a thrombocyta-aggregáció-gátló szerek egyidejű alkalmazása növeli a vérzés</w:t>
      </w:r>
      <w:r>
        <w:rPr>
          <w:spacing w:val="-52"/>
        </w:rPr>
        <w:t xml:space="preserve"> </w:t>
      </w:r>
      <w:r>
        <w:t>kockázatát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4.5</w:t>
      </w:r>
      <w:r>
        <w:rPr>
          <w:spacing w:val="-3"/>
        </w:rPr>
        <w:t xml:space="preserve"> </w:t>
      </w:r>
      <w:r>
        <w:t>pont).</w:t>
      </w:r>
    </w:p>
    <w:p w14:paraId="5D2A7806" w14:textId="77777777" w:rsidR="004C11B6" w:rsidRDefault="004C11B6" w:rsidP="006F5D0D">
      <w:pPr>
        <w:pStyle w:val="Szvegtrzs"/>
        <w:spacing w:before="2"/>
        <w:rPr>
          <w:sz w:val="21"/>
        </w:rPr>
      </w:pPr>
    </w:p>
    <w:p w14:paraId="414B53AC" w14:textId="77777777" w:rsidR="004C11B6" w:rsidRDefault="00F05A0C" w:rsidP="006F5D0D">
      <w:pPr>
        <w:pStyle w:val="Szvegtrzs"/>
        <w:spacing w:line="230" w:lineRule="auto"/>
      </w:pPr>
      <w:r>
        <w:t>Elővigyázatosság szükséges, ha a betegeket egyidejűleg szelektív szerotonin-visszavételt gátló</w:t>
      </w:r>
      <w:r>
        <w:rPr>
          <w:spacing w:val="-52"/>
        </w:rPr>
        <w:t xml:space="preserve"> </w:t>
      </w:r>
      <w:r>
        <w:t>szerekkel (SSRI-k) vagy szerotonin-noradrenalin-visszavételt gátló szerekkel (SNRI-k) vagy</w:t>
      </w:r>
      <w:r>
        <w:rPr>
          <w:spacing w:val="1"/>
        </w:rPr>
        <w:t xml:space="preserve"> </w:t>
      </w:r>
      <w:r>
        <w:t>nem-szteroid</w:t>
      </w:r>
      <w:r>
        <w:rPr>
          <w:spacing w:val="-6"/>
        </w:rPr>
        <w:t xml:space="preserve"> </w:t>
      </w:r>
      <w:r>
        <w:t>gyulladáscsökkentő</w:t>
      </w:r>
      <w:r>
        <w:rPr>
          <w:spacing w:val="-5"/>
        </w:rPr>
        <w:t xml:space="preserve"> </w:t>
      </w:r>
      <w:r>
        <w:t>gyógyszerekkel</w:t>
      </w:r>
      <w:r>
        <w:rPr>
          <w:spacing w:val="-5"/>
        </w:rPr>
        <w:t xml:space="preserve"> </w:t>
      </w:r>
      <w:r>
        <w:t>kezelik,</w:t>
      </w:r>
      <w:r>
        <w:rPr>
          <w:spacing w:val="-5"/>
        </w:rPr>
        <w:t xml:space="preserve"> </w:t>
      </w:r>
      <w:r>
        <w:t>beleértve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acetilszalicilsavat</w:t>
      </w:r>
      <w:r>
        <w:rPr>
          <w:spacing w:val="-5"/>
        </w:rPr>
        <w:t xml:space="preserve"> </w:t>
      </w:r>
      <w:r>
        <w:t>is.</w:t>
      </w:r>
    </w:p>
    <w:p w14:paraId="01D5D0FE" w14:textId="77777777" w:rsidR="004C11B6" w:rsidRDefault="004C11B6" w:rsidP="006F5D0D">
      <w:pPr>
        <w:pStyle w:val="Szvegtrzs"/>
        <w:spacing w:before="4"/>
        <w:rPr>
          <w:sz w:val="21"/>
        </w:rPr>
      </w:pPr>
    </w:p>
    <w:p w14:paraId="02BF5C25" w14:textId="4ADAD27C" w:rsidR="004C11B6" w:rsidRDefault="00C21B08" w:rsidP="006F5D0D">
      <w:pPr>
        <w:pStyle w:val="Szvegtrzs"/>
        <w:spacing w:before="1" w:line="230" w:lineRule="auto"/>
      </w:pPr>
      <w:r>
        <w:t>M</w:t>
      </w:r>
      <w:r w:rsidR="00F05A0C">
        <w:t>űtét után más thrombocyta-aggregáció-gátlók apixabánnal történő egyidejű alkalmazása nem</w:t>
      </w:r>
      <w:r w:rsidR="00F05A0C">
        <w:rPr>
          <w:spacing w:val="-52"/>
        </w:rPr>
        <w:t xml:space="preserve"> </w:t>
      </w:r>
      <w:r w:rsidR="00F05A0C">
        <w:t>javasolt</w:t>
      </w:r>
      <w:r w:rsidR="00F05A0C">
        <w:rPr>
          <w:spacing w:val="-1"/>
        </w:rPr>
        <w:t xml:space="preserve"> </w:t>
      </w:r>
      <w:r w:rsidR="00F05A0C">
        <w:t>(lásd</w:t>
      </w:r>
      <w:r w:rsidR="00F05A0C">
        <w:rPr>
          <w:spacing w:val="-1"/>
        </w:rPr>
        <w:t xml:space="preserve"> </w:t>
      </w:r>
      <w:r w:rsidR="00F05A0C">
        <w:t>4.5</w:t>
      </w:r>
      <w:r w:rsidR="00F05A0C">
        <w:rPr>
          <w:spacing w:val="-1"/>
        </w:rPr>
        <w:t xml:space="preserve"> </w:t>
      </w:r>
      <w:r w:rsidR="00F05A0C">
        <w:t>pont).</w:t>
      </w:r>
    </w:p>
    <w:p w14:paraId="023EAFF2" w14:textId="77777777" w:rsidR="004C11B6" w:rsidRDefault="004C11B6" w:rsidP="006F5D0D">
      <w:pPr>
        <w:pStyle w:val="Szvegtrzs"/>
        <w:spacing w:before="2"/>
        <w:rPr>
          <w:sz w:val="21"/>
        </w:rPr>
      </w:pPr>
    </w:p>
    <w:p w14:paraId="39F07961" w14:textId="13F74F4D" w:rsidR="004C11B6" w:rsidRDefault="00F05A0C" w:rsidP="006F5D0D">
      <w:pPr>
        <w:pStyle w:val="Szvegtrzs"/>
        <w:spacing w:line="230" w:lineRule="auto"/>
      </w:pPr>
      <w:r>
        <w:t>A pitvarfibrillációban és olyan állapotokban szenvedő betegeknél, akiknél ez egy vagy két szerből</w:t>
      </w:r>
      <w:r>
        <w:rPr>
          <w:spacing w:val="1"/>
        </w:rPr>
        <w:t xml:space="preserve"> </w:t>
      </w:r>
      <w:r>
        <w:t xml:space="preserve">kombinált thrombocyta-aggregáció-gátló kezelést tesz indokolttá, ennek a kezelésnek az </w:t>
      </w:r>
      <w:r w:rsidR="006F0001">
        <w:t xml:space="preserve">Apixaban </w:t>
      </w:r>
      <w:r w:rsidR="00142607">
        <w:t>Supremex-szel</w:t>
      </w:r>
      <w:r>
        <w:t>l</w:t>
      </w:r>
      <w:r w:rsidRPr="00435933">
        <w:t xml:space="preserve"> </w:t>
      </w:r>
      <w:r>
        <w:t>történő kombinálása előtt a kezelés potenciális előnyeit gondosan mérlegelni kell a potenciális</w:t>
      </w:r>
      <w:r>
        <w:rPr>
          <w:spacing w:val="1"/>
        </w:rPr>
        <w:t xml:space="preserve"> </w:t>
      </w:r>
      <w:r>
        <w:t>kockázatokkal</w:t>
      </w:r>
      <w:r>
        <w:rPr>
          <w:spacing w:val="-2"/>
        </w:rPr>
        <w:t xml:space="preserve"> </w:t>
      </w:r>
      <w:r>
        <w:t>szemben.</w:t>
      </w:r>
    </w:p>
    <w:p w14:paraId="596D3F5E" w14:textId="77777777" w:rsidR="004C11B6" w:rsidRDefault="004C11B6" w:rsidP="006F5D0D">
      <w:pPr>
        <w:pStyle w:val="Szvegtrzs"/>
        <w:spacing w:before="6"/>
        <w:rPr>
          <w:sz w:val="21"/>
        </w:rPr>
      </w:pPr>
    </w:p>
    <w:p w14:paraId="4F24D48F" w14:textId="72C13B20" w:rsidR="004C11B6" w:rsidRDefault="00F05A0C" w:rsidP="006F5D0D">
      <w:pPr>
        <w:pStyle w:val="Szvegtrzs"/>
        <w:spacing w:line="230" w:lineRule="auto"/>
      </w:pPr>
      <w:r>
        <w:t>Egy pitvarfibrillációban szenvedő betegekkel végzett klinikai vizsgálatban az acetilszalicilsav</w:t>
      </w:r>
      <w:r>
        <w:rPr>
          <w:spacing w:val="1"/>
        </w:rPr>
        <w:t xml:space="preserve"> </w:t>
      </w:r>
      <w:r>
        <w:t>egyidejű alkalmazása az apixabánt kapó betegeknél az évenkénti 1,8%-ról évenként 3,4%-ra növelte a</w:t>
      </w:r>
      <w:r w:rsidR="000775AF">
        <w:t xml:space="preserve"> </w:t>
      </w:r>
      <w:r>
        <w:rPr>
          <w:spacing w:val="-52"/>
        </w:rPr>
        <w:t xml:space="preserve"> </w:t>
      </w:r>
      <w:r>
        <w:t>nagyfokú vérzés kockázatát, a warfarint kapó betegeknél az évenkénti 2,7%-ról évenként 4,6%-ra</w:t>
      </w:r>
      <w:r>
        <w:rPr>
          <w:spacing w:val="1"/>
        </w:rPr>
        <w:t xml:space="preserve"> </w:t>
      </w:r>
      <w:r>
        <w:t>növelte a vérzés kockázatát. Ebben a klinikai vizsgálatban az egyidejűleg alkalmazott kettős</w:t>
      </w:r>
      <w:r>
        <w:rPr>
          <w:spacing w:val="1"/>
        </w:rPr>
        <w:t xml:space="preserve"> </w:t>
      </w:r>
      <w:r>
        <w:t>thrombocyta-aggregáció-gátló</w:t>
      </w:r>
      <w:r w:rsidR="00FB49A8">
        <w:rPr>
          <w:spacing w:val="-3"/>
        </w:rPr>
        <w:t>-</w:t>
      </w:r>
      <w:r>
        <w:t>kezelés</w:t>
      </w:r>
      <w:r>
        <w:rPr>
          <w:spacing w:val="-3"/>
        </w:rPr>
        <w:t xml:space="preserve"> </w:t>
      </w:r>
      <w:r>
        <w:t>alkalmazása</w:t>
      </w:r>
      <w:r>
        <w:rPr>
          <w:spacing w:val="-2"/>
        </w:rPr>
        <w:t xml:space="preserve"> </w:t>
      </w:r>
      <w:r>
        <w:t>korlátozott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(2,1%)</w:t>
      </w:r>
      <w:r>
        <w:rPr>
          <w:spacing w:val="-2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5.1</w:t>
      </w:r>
      <w:r>
        <w:rPr>
          <w:spacing w:val="-2"/>
        </w:rPr>
        <w:t xml:space="preserve"> </w:t>
      </w:r>
      <w:r>
        <w:t>pont).</w:t>
      </w:r>
    </w:p>
    <w:p w14:paraId="52FB62DE" w14:textId="77777777" w:rsidR="004C11B6" w:rsidRDefault="004C11B6" w:rsidP="006F5D0D">
      <w:pPr>
        <w:pStyle w:val="Szvegtrzs"/>
        <w:spacing w:before="6"/>
        <w:rPr>
          <w:sz w:val="21"/>
        </w:rPr>
      </w:pPr>
    </w:p>
    <w:p w14:paraId="110CAE3A" w14:textId="7A061ECD" w:rsidR="004C11B6" w:rsidRDefault="00F05A0C" w:rsidP="00363C37">
      <w:pPr>
        <w:pStyle w:val="Szvegtrzs"/>
        <w:spacing w:line="230" w:lineRule="auto"/>
      </w:pPr>
      <w:r>
        <w:t>Egy klinikai vizsgálatba olyan pitvarfibrillációban szenvedő betegeket vontak be, akiknek akut</w:t>
      </w:r>
      <w:r>
        <w:rPr>
          <w:spacing w:val="1"/>
        </w:rPr>
        <w:t xml:space="preserve"> </w:t>
      </w:r>
      <w:r>
        <w:t>coronaria szindrómájuk volt és/vagy PCI-n estek át, és tervezetten P2Y12-gátló</w:t>
      </w:r>
      <w:r w:rsidR="00FB49A8">
        <w:t>-</w:t>
      </w:r>
      <w:r>
        <w:t>kezelést kaptak</w:t>
      </w:r>
      <w:r>
        <w:rPr>
          <w:spacing w:val="-52"/>
        </w:rPr>
        <w:t xml:space="preserve"> </w:t>
      </w:r>
      <w:r>
        <w:t>acetilszalicilsavval</w:t>
      </w:r>
      <w:r>
        <w:rPr>
          <w:spacing w:val="-4"/>
        </w:rPr>
        <w:t xml:space="preserve"> </w:t>
      </w:r>
      <w:r>
        <w:t>együtt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anélkül,</w:t>
      </w:r>
      <w:r>
        <w:rPr>
          <w:spacing w:val="-3"/>
        </w:rPr>
        <w:t xml:space="preserve"> </w:t>
      </w:r>
      <w:r>
        <w:t>valamint</w:t>
      </w:r>
      <w:r>
        <w:rPr>
          <w:spacing w:val="-3"/>
        </w:rPr>
        <w:t xml:space="preserve"> </w:t>
      </w:r>
      <w:r>
        <w:t>orális</w:t>
      </w:r>
      <w:r>
        <w:rPr>
          <w:spacing w:val="-3"/>
        </w:rPr>
        <w:t xml:space="preserve"> </w:t>
      </w:r>
      <w:r>
        <w:t>antikoagulánst</w:t>
      </w:r>
      <w:r>
        <w:rPr>
          <w:spacing w:val="-4"/>
        </w:rPr>
        <w:t xml:space="preserve"> </w:t>
      </w:r>
      <w:r>
        <w:t>(apixabán</w:t>
      </w:r>
      <w:r>
        <w:rPr>
          <w:spacing w:val="-3"/>
        </w:rPr>
        <w:t xml:space="preserve"> </w:t>
      </w:r>
      <w:r>
        <w:t>vagy</w:t>
      </w:r>
    </w:p>
    <w:p w14:paraId="2E8496CD" w14:textId="77777777" w:rsidR="004C11B6" w:rsidRDefault="00F05A0C" w:rsidP="000775AF">
      <w:pPr>
        <w:pStyle w:val="Szvegtrzs"/>
        <w:spacing w:before="4" w:line="230" w:lineRule="auto"/>
      </w:pPr>
      <w:r>
        <w:t>K-vitamin-antagonista) 6 hónapig. Az acetilszalicilsav együttes alkalmazása évente 16,4%-ról évente</w:t>
      </w:r>
      <w:r>
        <w:rPr>
          <w:spacing w:val="-52"/>
        </w:rPr>
        <w:t xml:space="preserve"> </w:t>
      </w:r>
      <w:r>
        <w:t>33,1%-ra növelte az ISTH (Nemzetközi Thrombosis és Haemostasis Társaság) definíciója szerinti</w:t>
      </w:r>
      <w:r>
        <w:rPr>
          <w:spacing w:val="1"/>
        </w:rPr>
        <w:t xml:space="preserve"> </w:t>
      </w:r>
      <w:r>
        <w:t>nagyfokú vagy CRNM (klinikailag releváns, nem nagyfokú) vérzés kockázatát az apixabánnal kezelt</w:t>
      </w:r>
      <w:r>
        <w:rPr>
          <w:spacing w:val="-52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5.1</w:t>
      </w:r>
      <w:r>
        <w:rPr>
          <w:spacing w:val="-3"/>
        </w:rPr>
        <w:t xml:space="preserve"> </w:t>
      </w:r>
      <w:r>
        <w:t>pont).</w:t>
      </w:r>
    </w:p>
    <w:p w14:paraId="2F9A0500" w14:textId="77777777" w:rsidR="004C11B6" w:rsidRDefault="004C11B6" w:rsidP="006F5D0D">
      <w:pPr>
        <w:pStyle w:val="Szvegtrzs"/>
        <w:spacing w:before="3"/>
        <w:rPr>
          <w:sz w:val="21"/>
        </w:rPr>
      </w:pPr>
    </w:p>
    <w:p w14:paraId="42BE9243" w14:textId="77777777" w:rsidR="004C11B6" w:rsidRDefault="00F05A0C" w:rsidP="006F5D0D">
      <w:pPr>
        <w:pStyle w:val="Szvegtrzs"/>
        <w:spacing w:line="230" w:lineRule="auto"/>
      </w:pPr>
      <w:r>
        <w:t>Egy nagy kockázatú poszt-akut coronaria szindrómás, pitvarfibrillációban nem szenvedő betegekkel</w:t>
      </w:r>
      <w:r>
        <w:rPr>
          <w:spacing w:val="1"/>
        </w:rPr>
        <w:t xml:space="preserve"> </w:t>
      </w:r>
      <w:r>
        <w:t>végzett klinikai vizsgálatban, ahol a betegeket többszörös cardialis és nem cardialis kísérőbetegségek</w:t>
      </w:r>
      <w:r>
        <w:rPr>
          <w:spacing w:val="-52"/>
        </w:rPr>
        <w:t xml:space="preserve"> </w:t>
      </w:r>
      <w:r>
        <w:t>jellemezték, és acetilszalicilsavat vagy acetilszalicilsav és klopidogrel kombinációt kaptak, az ISTH</w:t>
      </w:r>
      <w:r>
        <w:rPr>
          <w:spacing w:val="1"/>
        </w:rPr>
        <w:t xml:space="preserve"> </w:t>
      </w:r>
      <w:r>
        <w:t>definíciója szerinti nagyfokú vérzés kockázatának jelentős emelkedéséről számoltak be az apixabán</w:t>
      </w:r>
      <w:r>
        <w:rPr>
          <w:spacing w:val="1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(5,13% évente)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placebóhoz</w:t>
      </w:r>
      <w:r>
        <w:rPr>
          <w:spacing w:val="-1"/>
        </w:rPr>
        <w:t xml:space="preserve"> </w:t>
      </w:r>
      <w:r>
        <w:t>képest</w:t>
      </w:r>
      <w:r>
        <w:rPr>
          <w:spacing w:val="-1"/>
        </w:rPr>
        <w:t xml:space="preserve"> </w:t>
      </w:r>
      <w:r>
        <w:t>(2,04%</w:t>
      </w:r>
      <w:r>
        <w:rPr>
          <w:spacing w:val="-3"/>
        </w:rPr>
        <w:t xml:space="preserve"> </w:t>
      </w:r>
      <w:r>
        <w:t>évente).</w:t>
      </w:r>
    </w:p>
    <w:p w14:paraId="23FDF633" w14:textId="77777777" w:rsidR="004C11B6" w:rsidRDefault="004C11B6" w:rsidP="006F5D0D">
      <w:pPr>
        <w:pStyle w:val="Szvegtrzs"/>
        <w:spacing w:before="9"/>
        <w:rPr>
          <w:sz w:val="20"/>
        </w:rPr>
      </w:pPr>
    </w:p>
    <w:p w14:paraId="60DABE8B" w14:textId="09259D98" w:rsidR="004C11B6" w:rsidRPr="0000686B" w:rsidRDefault="000775AF" w:rsidP="006F5D0D">
      <w:pPr>
        <w:pStyle w:val="Szvegtrzs"/>
        <w:spacing w:before="1"/>
      </w:pPr>
      <w:r w:rsidRPr="00A21724">
        <w:rPr>
          <w:u w:val="single"/>
        </w:rPr>
        <w:t>Thrombol</w:t>
      </w:r>
      <w:r w:rsidR="00612816">
        <w:rPr>
          <w:u w:val="single"/>
        </w:rPr>
        <w:t>y</w:t>
      </w:r>
      <w:r w:rsidRPr="00A21724">
        <w:rPr>
          <w:u w:val="single"/>
        </w:rPr>
        <w:t>ti</w:t>
      </w:r>
      <w:r w:rsidR="00612816">
        <w:rPr>
          <w:u w:val="single"/>
        </w:rPr>
        <w:t>c</w:t>
      </w:r>
      <w:r w:rsidRPr="00A21724">
        <w:rPr>
          <w:u w:val="single"/>
        </w:rPr>
        <w:t>us</w:t>
      </w:r>
      <w:r w:rsidR="00F05A0C" w:rsidRPr="0000686B">
        <w:rPr>
          <w:spacing w:val="-6"/>
          <w:u w:val="single"/>
        </w:rPr>
        <w:t xml:space="preserve"> </w:t>
      </w:r>
      <w:r w:rsidR="00F05A0C" w:rsidRPr="0000686B">
        <w:rPr>
          <w:u w:val="single"/>
        </w:rPr>
        <w:t>szerek</w:t>
      </w:r>
      <w:r w:rsidR="00F05A0C" w:rsidRPr="0000686B">
        <w:rPr>
          <w:spacing w:val="-5"/>
          <w:u w:val="single"/>
        </w:rPr>
        <w:t xml:space="preserve"> </w:t>
      </w:r>
      <w:r w:rsidR="00F05A0C" w:rsidRPr="0000686B">
        <w:rPr>
          <w:u w:val="single"/>
        </w:rPr>
        <w:t>alkalmazása</w:t>
      </w:r>
      <w:r w:rsidR="00F05A0C" w:rsidRPr="0000686B">
        <w:rPr>
          <w:spacing w:val="-5"/>
          <w:u w:val="single"/>
        </w:rPr>
        <w:t xml:space="preserve"> </w:t>
      </w:r>
      <w:r w:rsidR="00F05A0C" w:rsidRPr="0000686B">
        <w:rPr>
          <w:u w:val="single"/>
        </w:rPr>
        <w:t>az</w:t>
      </w:r>
      <w:r w:rsidR="00F05A0C" w:rsidRPr="0000686B">
        <w:rPr>
          <w:spacing w:val="-5"/>
          <w:u w:val="single"/>
        </w:rPr>
        <w:t xml:space="preserve"> </w:t>
      </w:r>
      <w:r w:rsidR="00F05A0C" w:rsidRPr="0000686B">
        <w:rPr>
          <w:u w:val="single"/>
        </w:rPr>
        <w:t>akut</w:t>
      </w:r>
      <w:r w:rsidR="00F05A0C" w:rsidRPr="0000686B">
        <w:rPr>
          <w:spacing w:val="-5"/>
          <w:u w:val="single"/>
        </w:rPr>
        <w:t xml:space="preserve"> </w:t>
      </w:r>
      <w:r w:rsidR="00F05A0C" w:rsidRPr="0000686B">
        <w:rPr>
          <w:u w:val="single"/>
        </w:rPr>
        <w:t>ischaemiás</w:t>
      </w:r>
      <w:r w:rsidR="00F05A0C" w:rsidRPr="0000686B">
        <w:rPr>
          <w:spacing w:val="-5"/>
          <w:u w:val="single"/>
        </w:rPr>
        <w:t xml:space="preserve"> </w:t>
      </w:r>
      <w:r w:rsidR="00F05A0C" w:rsidRPr="0000686B">
        <w:rPr>
          <w:u w:val="single"/>
        </w:rPr>
        <w:t>stroke</w:t>
      </w:r>
      <w:r w:rsidR="00F05A0C" w:rsidRPr="0000686B">
        <w:rPr>
          <w:spacing w:val="-5"/>
          <w:u w:val="single"/>
        </w:rPr>
        <w:t xml:space="preserve"> </w:t>
      </w:r>
      <w:r w:rsidR="00F05A0C" w:rsidRPr="0000686B">
        <w:rPr>
          <w:u w:val="single"/>
        </w:rPr>
        <w:t>kezelésére</w:t>
      </w:r>
    </w:p>
    <w:p w14:paraId="45065832" w14:textId="77777777" w:rsidR="004C11B6" w:rsidRDefault="00F05A0C" w:rsidP="006F5D0D">
      <w:pPr>
        <w:pStyle w:val="Szvegtrzs"/>
        <w:spacing w:line="232" w:lineRule="auto"/>
      </w:pPr>
      <w:r w:rsidRPr="0000686B">
        <w:t>Az apixabánt kapó betegeknél az aku</w:t>
      </w:r>
      <w:r>
        <w:t>t ischaemiás stroke kezelése esetén nagyon korlátozott a</w:t>
      </w:r>
      <w:r>
        <w:rPr>
          <w:spacing w:val="-52"/>
        </w:rPr>
        <w:t xml:space="preserve"> </w:t>
      </w:r>
      <w:r>
        <w:t>tapasztalat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thrombolyticus</w:t>
      </w:r>
      <w:r>
        <w:rPr>
          <w:spacing w:val="-1"/>
        </w:rPr>
        <w:t xml:space="preserve"> </w:t>
      </w:r>
      <w:r>
        <w:t>szerek</w:t>
      </w:r>
      <w:r>
        <w:rPr>
          <w:spacing w:val="-2"/>
        </w:rPr>
        <w:t xml:space="preserve"> </w:t>
      </w:r>
      <w:r>
        <w:t>alkalmazásával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4.5</w:t>
      </w:r>
      <w:r>
        <w:rPr>
          <w:spacing w:val="-1"/>
        </w:rPr>
        <w:t xml:space="preserve"> </w:t>
      </w:r>
      <w:r>
        <w:t>pont).</w:t>
      </w:r>
    </w:p>
    <w:p w14:paraId="4D21E7EC" w14:textId="77777777" w:rsidR="00D37EE1" w:rsidRDefault="00D37EE1" w:rsidP="00D37EE1">
      <w:pPr>
        <w:pStyle w:val="Szvegtrzs"/>
        <w:spacing w:before="9"/>
        <w:rPr>
          <w:u w:val="single"/>
        </w:rPr>
      </w:pPr>
    </w:p>
    <w:p w14:paraId="7E5D3494" w14:textId="534304F4" w:rsidR="004C11B6" w:rsidRDefault="00F05A0C" w:rsidP="006F5D0D">
      <w:pPr>
        <w:pStyle w:val="Szvegtrzs"/>
        <w:spacing w:before="73"/>
      </w:pPr>
      <w:r>
        <w:rPr>
          <w:u w:val="single"/>
        </w:rPr>
        <w:t>Billentyű-protézises</w:t>
      </w:r>
      <w:r>
        <w:rPr>
          <w:spacing w:val="-5"/>
          <w:u w:val="single"/>
        </w:rPr>
        <w:t xml:space="preserve"> </w:t>
      </w:r>
      <w:r>
        <w:rPr>
          <w:u w:val="single"/>
        </w:rPr>
        <w:t>betegek</w:t>
      </w:r>
    </w:p>
    <w:p w14:paraId="7ED22FF3" w14:textId="77777777" w:rsidR="004C11B6" w:rsidRDefault="00F05A0C" w:rsidP="006F5D0D">
      <w:pPr>
        <w:pStyle w:val="Szvegtrzs"/>
        <w:spacing w:before="1" w:line="230" w:lineRule="auto"/>
      </w:pPr>
      <w:r>
        <w:t>Az apixabán biztonságosságát és hatásosságát billentyű-protézises, pitvarfibrilláló, vagy nem</w:t>
      </w:r>
      <w:r>
        <w:rPr>
          <w:spacing w:val="1"/>
        </w:rPr>
        <w:t xml:space="preserve"> </w:t>
      </w:r>
      <w:r>
        <w:t>pitvarfibrilláló betegeknél nem vizsgálták. Ezért az apixabán alkalmazása ebben az esetben nem</w:t>
      </w:r>
      <w:r>
        <w:rPr>
          <w:spacing w:val="-52"/>
        </w:rPr>
        <w:t xml:space="preserve"> </w:t>
      </w:r>
      <w:r>
        <w:t>javasolt.</w:t>
      </w:r>
    </w:p>
    <w:p w14:paraId="60866BB8" w14:textId="77777777" w:rsidR="004C11B6" w:rsidRDefault="004C11B6" w:rsidP="006F5D0D">
      <w:pPr>
        <w:pStyle w:val="Szvegtrzs"/>
        <w:spacing w:before="7"/>
        <w:rPr>
          <w:sz w:val="20"/>
        </w:rPr>
      </w:pPr>
    </w:p>
    <w:p w14:paraId="1FDF6828" w14:textId="77777777" w:rsidR="004C11B6" w:rsidRDefault="00F05A0C" w:rsidP="006F5D0D">
      <w:pPr>
        <w:pStyle w:val="Szvegtrzs"/>
      </w:pPr>
      <w:r>
        <w:rPr>
          <w:u w:val="single"/>
        </w:rPr>
        <w:t>Antifoszfolipid</w:t>
      </w:r>
      <w:r>
        <w:rPr>
          <w:spacing w:val="-7"/>
          <w:u w:val="single"/>
        </w:rPr>
        <w:t xml:space="preserve"> </w:t>
      </w:r>
      <w:r>
        <w:rPr>
          <w:u w:val="single"/>
        </w:rPr>
        <w:t>szindrómában</w:t>
      </w:r>
      <w:r>
        <w:rPr>
          <w:spacing w:val="-7"/>
          <w:u w:val="single"/>
        </w:rPr>
        <w:t xml:space="preserve"> </w:t>
      </w:r>
      <w:r>
        <w:rPr>
          <w:u w:val="single"/>
        </w:rPr>
        <w:t>szenvedő</w:t>
      </w:r>
      <w:r>
        <w:rPr>
          <w:spacing w:val="-6"/>
          <w:u w:val="single"/>
        </w:rPr>
        <w:t xml:space="preserve"> </w:t>
      </w:r>
      <w:r>
        <w:rPr>
          <w:u w:val="single"/>
        </w:rPr>
        <w:t>betegek</w:t>
      </w:r>
    </w:p>
    <w:p w14:paraId="4A1D5ABA" w14:textId="031B7709" w:rsidR="004C11B6" w:rsidRDefault="00F05A0C" w:rsidP="006F5D0D">
      <w:pPr>
        <w:pStyle w:val="Szvegtrzs"/>
        <w:spacing w:line="230" w:lineRule="auto"/>
      </w:pPr>
      <w:r>
        <w:t>A direkt hatású orális antikoagulánsok (DOAC), köztük az apixabán, nem javasoltak olyan, korábban</w:t>
      </w:r>
      <w:r>
        <w:rPr>
          <w:spacing w:val="1"/>
        </w:rPr>
        <w:t xml:space="preserve"> </w:t>
      </w:r>
      <w:r>
        <w:t>thrombosison átesett betegeknél, akiknél antifoszfolipid szindrómát diagnosztizáltak. Különösen tripla</w:t>
      </w:r>
      <w:r>
        <w:rPr>
          <w:spacing w:val="-52"/>
        </w:rPr>
        <w:t xml:space="preserve"> </w:t>
      </w:r>
      <w:r>
        <w:t>pozitív betegeknél (lupusz antikoaguláns, antikardiolipin antitestek és anti-béta-2-glikoprotein-I</w:t>
      </w:r>
      <w:r>
        <w:rPr>
          <w:spacing w:val="1"/>
        </w:rPr>
        <w:t xml:space="preserve"> </w:t>
      </w:r>
      <w:r>
        <w:t>antitestek) a DOAC-kezelés visszatérő thromboticus események magasabb gyakoriságával társulhat a</w:t>
      </w:r>
      <w:r>
        <w:rPr>
          <w:spacing w:val="1"/>
        </w:rPr>
        <w:t xml:space="preserve"> </w:t>
      </w:r>
      <w:r>
        <w:t>K-vitamin</w:t>
      </w:r>
      <w:r w:rsidR="006D5884">
        <w:rPr>
          <w:spacing w:val="-2"/>
        </w:rPr>
        <w:t>-</w:t>
      </w:r>
      <w:r>
        <w:t>antagonistákhoz</w:t>
      </w:r>
      <w:r>
        <w:rPr>
          <w:spacing w:val="-1"/>
        </w:rPr>
        <w:t xml:space="preserve"> </w:t>
      </w:r>
      <w:r>
        <w:t>képest.</w:t>
      </w:r>
    </w:p>
    <w:p w14:paraId="632E7B11" w14:textId="77777777" w:rsidR="004C11B6" w:rsidRDefault="004C11B6" w:rsidP="006F5D0D">
      <w:pPr>
        <w:pStyle w:val="Szvegtrzs"/>
        <w:spacing w:before="9"/>
        <w:rPr>
          <w:sz w:val="20"/>
        </w:rPr>
      </w:pPr>
    </w:p>
    <w:p w14:paraId="093431CA" w14:textId="77777777" w:rsidR="004C11B6" w:rsidRDefault="00F05A0C" w:rsidP="006F5D0D">
      <w:pPr>
        <w:pStyle w:val="Szvegtrzs"/>
      </w:pPr>
      <w:r>
        <w:rPr>
          <w:u w:val="single"/>
        </w:rPr>
        <w:t>Műtét</w:t>
      </w:r>
      <w:r>
        <w:rPr>
          <w:spacing w:val="-5"/>
          <w:u w:val="single"/>
        </w:rPr>
        <w:t xml:space="preserve"> </w:t>
      </w:r>
      <w:r>
        <w:rPr>
          <w:u w:val="single"/>
        </w:rPr>
        <w:t>és</w:t>
      </w:r>
      <w:r>
        <w:rPr>
          <w:spacing w:val="-4"/>
          <w:u w:val="single"/>
        </w:rPr>
        <w:t xml:space="preserve"> </w:t>
      </w:r>
      <w:r>
        <w:rPr>
          <w:u w:val="single"/>
        </w:rPr>
        <w:t>invazív</w:t>
      </w:r>
      <w:r>
        <w:rPr>
          <w:spacing w:val="-4"/>
          <w:u w:val="single"/>
        </w:rPr>
        <w:t xml:space="preserve"> </w:t>
      </w:r>
      <w:r>
        <w:rPr>
          <w:u w:val="single"/>
        </w:rPr>
        <w:t>beavatkozások</w:t>
      </w:r>
    </w:p>
    <w:p w14:paraId="2ED7D708" w14:textId="77777777" w:rsidR="004C11B6" w:rsidRDefault="00F05A0C" w:rsidP="006F5D0D">
      <w:pPr>
        <w:pStyle w:val="Szvegtrzs"/>
        <w:spacing w:line="230" w:lineRule="auto"/>
      </w:pPr>
      <w:r>
        <w:t>Elektív műtét vagy invazív beavatkozások előtt az apixabán adását legalább 48 órával korábban abba</w:t>
      </w:r>
      <w:r>
        <w:rPr>
          <w:spacing w:val="-52"/>
        </w:rPr>
        <w:t xml:space="preserve"> </w:t>
      </w:r>
      <w:r>
        <w:t>kell hagyni. Ezek közé olyan beavatkozások tartoznak, amelyeknél a klinikailag jelentős vérzés</w:t>
      </w:r>
      <w:r>
        <w:rPr>
          <w:spacing w:val="1"/>
        </w:rPr>
        <w:t xml:space="preserve"> </w:t>
      </w:r>
      <w:r>
        <w:t>kockázata</w:t>
      </w:r>
      <w:r>
        <w:rPr>
          <w:spacing w:val="-3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zárható</w:t>
      </w:r>
      <w:r>
        <w:rPr>
          <w:spacing w:val="-2"/>
        </w:rPr>
        <w:t xml:space="preserve"> </w:t>
      </w:r>
      <w:r>
        <w:t>ki,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amelyeknél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vérzés</w:t>
      </w:r>
      <w:r>
        <w:rPr>
          <w:spacing w:val="-2"/>
        </w:rPr>
        <w:t xml:space="preserve"> </w:t>
      </w:r>
      <w:r>
        <w:t>kockázata</w:t>
      </w:r>
      <w:r>
        <w:rPr>
          <w:spacing w:val="-2"/>
        </w:rPr>
        <w:t xml:space="preserve"> </w:t>
      </w:r>
      <w:r>
        <w:t>elfogadhatatlan</w:t>
      </w:r>
      <w:r>
        <w:rPr>
          <w:spacing w:val="-2"/>
        </w:rPr>
        <w:t xml:space="preserve"> </w:t>
      </w:r>
      <w:r>
        <w:t>lehet.</w:t>
      </w:r>
    </w:p>
    <w:p w14:paraId="2961128B" w14:textId="77777777" w:rsidR="004C11B6" w:rsidRDefault="004C11B6" w:rsidP="006F5D0D">
      <w:pPr>
        <w:pStyle w:val="Szvegtrzs"/>
        <w:spacing w:before="4"/>
        <w:rPr>
          <w:sz w:val="21"/>
        </w:rPr>
      </w:pPr>
    </w:p>
    <w:p w14:paraId="0C1120A9" w14:textId="77777777" w:rsidR="004C11B6" w:rsidRDefault="00F05A0C" w:rsidP="006F5D0D">
      <w:pPr>
        <w:pStyle w:val="Szvegtrzs"/>
        <w:spacing w:before="1" w:line="230" w:lineRule="auto"/>
        <w:jc w:val="both"/>
      </w:pPr>
      <w:r>
        <w:t>Alacsony vérzési kockázattal járó elektív műtét vagy invazív beavatkozások előtt az apixabán adását</w:t>
      </w:r>
      <w:r>
        <w:rPr>
          <w:spacing w:val="1"/>
        </w:rPr>
        <w:t xml:space="preserve"> </w:t>
      </w:r>
      <w:r>
        <w:t>legalább 24 órával korábban abba kell hagyni. Ezek közé olyan beavatkozások tartoznak, amelyeknél</w:t>
      </w:r>
      <w:r>
        <w:rPr>
          <w:spacing w:val="-52"/>
        </w:rPr>
        <w:t xml:space="preserve"> </w:t>
      </w:r>
      <w:r>
        <w:t>bármilyen</w:t>
      </w:r>
      <w:r>
        <w:rPr>
          <w:spacing w:val="-3"/>
        </w:rPr>
        <w:t xml:space="preserve"> </w:t>
      </w:r>
      <w:r>
        <w:t>előforduló</w:t>
      </w:r>
      <w:r>
        <w:rPr>
          <w:spacing w:val="-3"/>
        </w:rPr>
        <w:t xml:space="preserve"> </w:t>
      </w:r>
      <w:r>
        <w:t>vérzés</w:t>
      </w:r>
      <w:r>
        <w:rPr>
          <w:spacing w:val="-2"/>
        </w:rPr>
        <w:t xml:space="preserve"> </w:t>
      </w:r>
      <w:r>
        <w:t>várhatóan</w:t>
      </w:r>
      <w:r>
        <w:rPr>
          <w:spacing w:val="-3"/>
        </w:rPr>
        <w:t xml:space="preserve"> </w:t>
      </w:r>
      <w:r>
        <w:t>minimális,</w:t>
      </w:r>
      <w:r>
        <w:rPr>
          <w:spacing w:val="-2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kritikus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könnyen</w:t>
      </w:r>
      <w:r>
        <w:rPr>
          <w:spacing w:val="-2"/>
        </w:rPr>
        <w:t xml:space="preserve"> </w:t>
      </w:r>
      <w:r>
        <w:t>kontrollálható.</w:t>
      </w:r>
    </w:p>
    <w:p w14:paraId="081EB5C9" w14:textId="77777777" w:rsidR="004C11B6" w:rsidRDefault="004C11B6" w:rsidP="006F5D0D">
      <w:pPr>
        <w:pStyle w:val="Szvegtrzs"/>
        <w:spacing w:before="4"/>
        <w:rPr>
          <w:sz w:val="21"/>
        </w:rPr>
      </w:pPr>
    </w:p>
    <w:p w14:paraId="1D3090F3" w14:textId="77777777" w:rsidR="004C11B6" w:rsidRDefault="00F05A0C" w:rsidP="006F5D0D">
      <w:pPr>
        <w:pStyle w:val="Szvegtrzs"/>
        <w:spacing w:line="230" w:lineRule="auto"/>
      </w:pPr>
      <w:r>
        <w:t>Ha a műtét vagy az invazív beavatkozások nem halaszthatók, megfelelő elővigyázatosság szükséges,</w:t>
      </w:r>
      <w:r>
        <w:rPr>
          <w:spacing w:val="-52"/>
        </w:rPr>
        <w:t xml:space="preserve"> </w:t>
      </w:r>
      <w:r>
        <w:t>és a vérzés fokozott kockázatát tekintetbe kell venni. A vérzés kockázatát mérlegelni kell a</w:t>
      </w:r>
      <w:r>
        <w:rPr>
          <w:spacing w:val="1"/>
        </w:rPr>
        <w:t xml:space="preserve"> </w:t>
      </w:r>
      <w:r>
        <w:t>beavatkozás</w:t>
      </w:r>
      <w:r>
        <w:rPr>
          <w:spacing w:val="-2"/>
        </w:rPr>
        <w:t xml:space="preserve"> </w:t>
      </w:r>
      <w:r>
        <w:t>sürgősségével</w:t>
      </w:r>
      <w:r>
        <w:rPr>
          <w:spacing w:val="-1"/>
        </w:rPr>
        <w:t xml:space="preserve"> </w:t>
      </w:r>
      <w:r>
        <w:t>szemben.</w:t>
      </w:r>
    </w:p>
    <w:p w14:paraId="6B358534" w14:textId="77777777" w:rsidR="004C11B6" w:rsidRDefault="004C11B6" w:rsidP="006F5D0D">
      <w:pPr>
        <w:pStyle w:val="Szvegtrzs"/>
        <w:spacing w:before="4"/>
        <w:rPr>
          <w:sz w:val="21"/>
        </w:rPr>
      </w:pPr>
    </w:p>
    <w:p w14:paraId="7F440E4D" w14:textId="77777777" w:rsidR="004C11B6" w:rsidRDefault="00F05A0C" w:rsidP="006F5D0D">
      <w:pPr>
        <w:pStyle w:val="Szvegtrzs"/>
        <w:spacing w:line="230" w:lineRule="auto"/>
      </w:pPr>
      <w:r>
        <w:t>Az invazív beavatkozás vagy sebészi beavatkozás után az apixabánt amilyen hamar csak lehet, újra el</w:t>
      </w:r>
      <w:r>
        <w:rPr>
          <w:spacing w:val="-52"/>
        </w:rPr>
        <w:t xml:space="preserve"> </w:t>
      </w:r>
      <w:r>
        <w:t>kell kezdeni, feltételezve, hogy azt a klinikai szituáció lehetővé teszi, és az adekvát haemostasis</w:t>
      </w:r>
      <w:r>
        <w:rPr>
          <w:spacing w:val="1"/>
        </w:rPr>
        <w:t xml:space="preserve"> </w:t>
      </w:r>
      <w:r>
        <w:t>elérésre</w:t>
      </w:r>
      <w:r>
        <w:rPr>
          <w:spacing w:val="-2"/>
        </w:rPr>
        <w:t xml:space="preserve"> </w:t>
      </w:r>
      <w:r>
        <w:t>került</w:t>
      </w:r>
      <w:r>
        <w:rPr>
          <w:spacing w:val="-2"/>
        </w:rPr>
        <w:t xml:space="preserve"> </w:t>
      </w:r>
      <w:r>
        <w:t>(kardioverzióra</w:t>
      </w:r>
      <w:r>
        <w:rPr>
          <w:spacing w:val="-1"/>
        </w:rPr>
        <w:t xml:space="preserve"> </w:t>
      </w:r>
      <w:r>
        <w:t>vonatkozóan</w:t>
      </w:r>
      <w:r>
        <w:rPr>
          <w:spacing w:val="-2"/>
        </w:rPr>
        <w:t xml:space="preserve"> </w:t>
      </w:r>
      <w:r>
        <w:t>lásd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4.2</w:t>
      </w:r>
      <w:r>
        <w:rPr>
          <w:spacing w:val="-4"/>
        </w:rPr>
        <w:t xml:space="preserve"> </w:t>
      </w:r>
      <w:r>
        <w:t>pontot).</w:t>
      </w:r>
    </w:p>
    <w:p w14:paraId="70E5AE42" w14:textId="77777777" w:rsidR="004C11B6" w:rsidRDefault="004C11B6" w:rsidP="006F5D0D">
      <w:pPr>
        <w:pStyle w:val="Szvegtrzs"/>
        <w:spacing w:before="4"/>
        <w:rPr>
          <w:sz w:val="21"/>
        </w:rPr>
      </w:pPr>
    </w:p>
    <w:p w14:paraId="365B17C8" w14:textId="77777777" w:rsidR="004C11B6" w:rsidRDefault="00F05A0C" w:rsidP="006F5D0D">
      <w:pPr>
        <w:pStyle w:val="Szvegtrzs"/>
        <w:spacing w:before="1" w:line="230" w:lineRule="auto"/>
      </w:pPr>
      <w:r>
        <w:t>Pitvarfibrilláció miatt katéteres ablációban részesülő betegeknél nincs szükség az apixabán-kezelés</w:t>
      </w:r>
      <w:r>
        <w:rPr>
          <w:spacing w:val="-52"/>
        </w:rPr>
        <w:t xml:space="preserve"> </w:t>
      </w:r>
      <w:r>
        <w:t>megszakítására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4.2, 4.3 és 4.5</w:t>
      </w:r>
      <w:r>
        <w:rPr>
          <w:spacing w:val="-4"/>
        </w:rPr>
        <w:t xml:space="preserve"> </w:t>
      </w:r>
      <w:r>
        <w:t>pont).</w:t>
      </w:r>
    </w:p>
    <w:p w14:paraId="5FAC2C98" w14:textId="77777777" w:rsidR="004C11B6" w:rsidRDefault="004C11B6" w:rsidP="006F5D0D">
      <w:pPr>
        <w:pStyle w:val="Szvegtrzs"/>
        <w:spacing w:before="8"/>
        <w:rPr>
          <w:sz w:val="20"/>
        </w:rPr>
      </w:pPr>
    </w:p>
    <w:p w14:paraId="6B37B45C" w14:textId="77777777" w:rsidR="004C11B6" w:rsidRDefault="00F05A0C" w:rsidP="006F5D0D">
      <w:pPr>
        <w:pStyle w:val="Szvegtrzs"/>
      </w:pP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kezelés</w:t>
      </w:r>
      <w:r>
        <w:rPr>
          <w:spacing w:val="-5"/>
          <w:u w:val="single"/>
        </w:rPr>
        <w:t xml:space="preserve"> </w:t>
      </w:r>
      <w:r>
        <w:rPr>
          <w:u w:val="single"/>
        </w:rPr>
        <w:t>átmeneti</w:t>
      </w:r>
      <w:r>
        <w:rPr>
          <w:spacing w:val="-5"/>
          <w:u w:val="single"/>
        </w:rPr>
        <w:t xml:space="preserve"> </w:t>
      </w:r>
      <w:r>
        <w:rPr>
          <w:u w:val="single"/>
        </w:rPr>
        <w:t>felfüggesztése</w:t>
      </w:r>
    </w:p>
    <w:p w14:paraId="10CDE166" w14:textId="7C4BA47D" w:rsidR="005044DF" w:rsidRPr="00A21724" w:rsidRDefault="005044DF" w:rsidP="005044DF">
      <w:pPr>
        <w:pStyle w:val="Nincstrkz"/>
        <w:rPr>
          <w:rFonts w:cs="Times New Roman"/>
        </w:rPr>
      </w:pPr>
      <w:r w:rsidRPr="00A21724">
        <w:rPr>
          <w:rFonts w:cs="Times New Roman"/>
        </w:rPr>
        <w:t>Az aktív vérzés, elektív műtét vagy invazív beavatkozások végzésekor adott antikoagulánsok, köztük az</w:t>
      </w:r>
      <w:r w:rsidR="00533559">
        <w:rPr>
          <w:rFonts w:cs="Times New Roman"/>
        </w:rPr>
        <w:t xml:space="preserve"> </w:t>
      </w:r>
      <w:r w:rsidRPr="00A21724">
        <w:rPr>
          <w:rFonts w:cs="Times New Roman"/>
        </w:rPr>
        <w:t xml:space="preserve">apixabán leállítása a beteget a thrombosis fokozott kockázatának teszi ki. El kell kerülni, hogy ezeket a terápiákat a tervezettnél később végezzék el, és ha az </w:t>
      </w:r>
      <w:r w:rsidRPr="0000686B">
        <w:t xml:space="preserve">Apixaban </w:t>
      </w:r>
      <w:r w:rsidR="00142607">
        <w:t>Supremex</w:t>
      </w:r>
      <w:r>
        <w:t>-</w:t>
      </w:r>
      <w:r w:rsidR="00142607">
        <w:t>szel</w:t>
      </w:r>
      <w:r w:rsidR="00142607" w:rsidRPr="00A21724">
        <w:rPr>
          <w:rFonts w:cs="Times New Roman"/>
        </w:rPr>
        <w:t xml:space="preserve"> </w:t>
      </w:r>
      <w:r w:rsidRPr="00A21724">
        <w:rPr>
          <w:rFonts w:cs="Times New Roman"/>
        </w:rPr>
        <w:t>végzett antikoagulálást bármilyen okból átmenetileg le kell állítani, a kezelést amilyen hamar csak lehet, újra el kell kezdeni.</w:t>
      </w:r>
    </w:p>
    <w:p w14:paraId="0A0C53D4" w14:textId="77777777" w:rsidR="004C11B6" w:rsidRDefault="004C11B6" w:rsidP="006F5D0D">
      <w:pPr>
        <w:pStyle w:val="Szvegtrzs"/>
        <w:spacing w:before="1"/>
        <w:rPr>
          <w:sz w:val="21"/>
        </w:rPr>
      </w:pPr>
    </w:p>
    <w:p w14:paraId="15F89E98" w14:textId="77777777" w:rsidR="004C11B6" w:rsidRPr="004B3C78" w:rsidRDefault="00F05A0C" w:rsidP="006F5D0D">
      <w:pPr>
        <w:pStyle w:val="Szvegtrzs"/>
        <w:rPr>
          <w:u w:val="single"/>
        </w:rPr>
      </w:pPr>
      <w:r>
        <w:rPr>
          <w:u w:val="single"/>
        </w:rPr>
        <w:t>Hemodinamikailag instabil tüdőembóliás, továbbá thrombolysist vagy pulmonalis embolectomiát</w:t>
      </w:r>
      <w:r w:rsidRPr="004B3C78">
        <w:rPr>
          <w:u w:val="single"/>
        </w:rPr>
        <w:t xml:space="preserve"> </w:t>
      </w:r>
      <w:r>
        <w:rPr>
          <w:u w:val="single"/>
        </w:rPr>
        <w:t>igénylő</w:t>
      </w:r>
      <w:r w:rsidRPr="004B3C78">
        <w:rPr>
          <w:u w:val="single"/>
        </w:rPr>
        <w:t xml:space="preserve"> </w:t>
      </w:r>
      <w:r>
        <w:rPr>
          <w:u w:val="single"/>
        </w:rPr>
        <w:t>betegek</w:t>
      </w:r>
    </w:p>
    <w:p w14:paraId="6D7ED61D" w14:textId="77777777" w:rsidR="004C11B6" w:rsidRPr="004B3C78" w:rsidRDefault="00F05A0C" w:rsidP="006F5D0D">
      <w:pPr>
        <w:pStyle w:val="Szvegtrzs"/>
      </w:pPr>
      <w:r w:rsidRPr="004B3C78">
        <w:t>A hemodinamikailag instabil tüdőembóliás betegeknél, vagy a várhatóan thrombolysissel vagy</w:t>
      </w:r>
      <w:r w:rsidRPr="004B3C78">
        <w:rPr>
          <w:spacing w:val="1"/>
        </w:rPr>
        <w:t xml:space="preserve"> </w:t>
      </w:r>
      <w:r w:rsidRPr="004B3C78">
        <w:t>pulmonalis embolectomiával kezelendő betegeknél az apixabán nem javasolt a nem frakcionált</w:t>
      </w:r>
      <w:r w:rsidRPr="004B3C78">
        <w:rPr>
          <w:spacing w:val="1"/>
        </w:rPr>
        <w:t xml:space="preserve"> </w:t>
      </w:r>
      <w:r w:rsidRPr="004B3C78">
        <w:t>heparin alternatívájaként, mivel az apixabán biztonságosságát és hatásosságát ezekben a klinikai</w:t>
      </w:r>
      <w:r w:rsidRPr="004B3C78">
        <w:rPr>
          <w:spacing w:val="-52"/>
        </w:rPr>
        <w:t xml:space="preserve"> </w:t>
      </w:r>
      <w:r w:rsidRPr="004B3C78">
        <w:t>helyzetekben</w:t>
      </w:r>
      <w:r w:rsidRPr="004B3C78">
        <w:rPr>
          <w:spacing w:val="-2"/>
        </w:rPr>
        <w:t xml:space="preserve"> </w:t>
      </w:r>
      <w:r w:rsidRPr="004B3C78">
        <w:t>nem</w:t>
      </w:r>
      <w:r w:rsidRPr="004B3C78">
        <w:rPr>
          <w:spacing w:val="-1"/>
        </w:rPr>
        <w:t xml:space="preserve"> </w:t>
      </w:r>
      <w:r w:rsidRPr="004B3C78">
        <w:t>igazolták.</w:t>
      </w:r>
    </w:p>
    <w:p w14:paraId="35E906B4" w14:textId="77777777" w:rsidR="004C11B6" w:rsidRDefault="004C11B6" w:rsidP="006F5D0D">
      <w:pPr>
        <w:pStyle w:val="Szvegtrzs"/>
        <w:spacing w:before="9"/>
        <w:rPr>
          <w:sz w:val="19"/>
        </w:rPr>
      </w:pPr>
    </w:p>
    <w:p w14:paraId="47B2FE15" w14:textId="6F836B0E" w:rsidR="004C11B6" w:rsidRPr="004B3C78" w:rsidRDefault="00F05A0C" w:rsidP="006F5D0D">
      <w:pPr>
        <w:pStyle w:val="Szvegtrzs"/>
        <w:rPr>
          <w:u w:val="single"/>
        </w:rPr>
      </w:pPr>
      <w:r>
        <w:rPr>
          <w:u w:val="single"/>
        </w:rPr>
        <w:t>Aktív</w:t>
      </w:r>
      <w:r w:rsidRPr="004B3C78">
        <w:rPr>
          <w:u w:val="single"/>
        </w:rPr>
        <w:t xml:space="preserve"> </w:t>
      </w:r>
      <w:r>
        <w:rPr>
          <w:u w:val="single"/>
        </w:rPr>
        <w:t>t</w:t>
      </w:r>
      <w:r w:rsidR="00DD5527">
        <w:rPr>
          <w:u w:val="single"/>
        </w:rPr>
        <w:t>umorban szenvedő</w:t>
      </w:r>
      <w:r w:rsidRPr="004B3C78">
        <w:rPr>
          <w:u w:val="single"/>
        </w:rPr>
        <w:t xml:space="preserve"> </w:t>
      </w:r>
      <w:r>
        <w:rPr>
          <w:u w:val="single"/>
        </w:rPr>
        <w:t>betegek</w:t>
      </w:r>
    </w:p>
    <w:p w14:paraId="23474567" w14:textId="5E34D5B0" w:rsidR="00A6255E" w:rsidRDefault="00A6255E" w:rsidP="006F5D0D">
      <w:pPr>
        <w:pStyle w:val="Szvegtrzs"/>
      </w:pPr>
      <w:bookmarkStart w:id="0" w:name="_Hlk76460902"/>
      <w:r w:rsidRPr="00E309DD">
        <w:t>Az aktív tumoros betegek számára mind a vénás tromboembólia, mind a vérzési események nagy kockázatúak</w:t>
      </w:r>
      <w:r w:rsidR="00E309DD" w:rsidRPr="00E309DD">
        <w:t xml:space="preserve"> lehetnek</w:t>
      </w:r>
      <w:r w:rsidRPr="00E309DD">
        <w:t>. Amennyiben tumoros betegeknél fontolóra veszik az apixabán</w:t>
      </w:r>
      <w:r w:rsidR="004A3BA1" w:rsidRPr="00E309DD">
        <w:t xml:space="preserve"> alkalmazását</w:t>
      </w:r>
      <w:r w:rsidRPr="00E309DD">
        <w:t xml:space="preserve"> </w:t>
      </w:r>
      <w:r w:rsidR="004A3BA1" w:rsidRPr="00E309DD">
        <w:t>M</w:t>
      </w:r>
      <w:r w:rsidRPr="00E309DD">
        <w:t xml:space="preserve">VT- vagy PE-kezelésére, gondosan </w:t>
      </w:r>
      <w:r w:rsidR="004A3BA1" w:rsidRPr="00E309DD">
        <w:t>mérlegelni</w:t>
      </w:r>
      <w:r w:rsidRPr="00E309DD">
        <w:t xml:space="preserve"> kell a</w:t>
      </w:r>
      <w:r w:rsidR="004A3BA1" w:rsidRPr="00E309DD">
        <w:t xml:space="preserve"> </w:t>
      </w:r>
      <w:r w:rsidR="00E309DD" w:rsidRPr="00E309DD">
        <w:t>kezelés</w:t>
      </w:r>
      <w:r w:rsidRPr="00E309DD">
        <w:t xml:space="preserve"> előny</w:t>
      </w:r>
      <w:r w:rsidR="004A3BA1" w:rsidRPr="00E309DD">
        <w:t>e</w:t>
      </w:r>
      <w:r w:rsidR="00E309DD" w:rsidRPr="00E309DD">
        <w:t>i</w:t>
      </w:r>
      <w:r w:rsidR="004A3BA1" w:rsidRPr="00E309DD">
        <w:t>t</w:t>
      </w:r>
      <w:r w:rsidRPr="00E309DD">
        <w:t xml:space="preserve"> és kockázata</w:t>
      </w:r>
      <w:r w:rsidR="00E309DD" w:rsidRPr="00E309DD">
        <w:t>i</w:t>
      </w:r>
      <w:r w:rsidRPr="00E309DD">
        <w:t>t (lásd</w:t>
      </w:r>
      <w:r w:rsidRPr="00E309DD">
        <w:rPr>
          <w:spacing w:val="-2"/>
        </w:rPr>
        <w:t xml:space="preserve"> </w:t>
      </w:r>
      <w:r w:rsidRPr="00E309DD">
        <w:t>4.3</w:t>
      </w:r>
      <w:r w:rsidRPr="00E309DD">
        <w:rPr>
          <w:spacing w:val="-1"/>
        </w:rPr>
        <w:t xml:space="preserve"> </w:t>
      </w:r>
      <w:r w:rsidRPr="00E309DD">
        <w:t>pont).</w:t>
      </w:r>
    </w:p>
    <w:bookmarkEnd w:id="0"/>
    <w:p w14:paraId="51EA50DD" w14:textId="77777777" w:rsidR="00A6255E" w:rsidRDefault="00A6255E" w:rsidP="006F5D0D">
      <w:pPr>
        <w:pStyle w:val="Szvegtrzs"/>
        <w:rPr>
          <w:u w:val="single"/>
        </w:rPr>
      </w:pPr>
    </w:p>
    <w:p w14:paraId="6573B75E" w14:textId="437872A1" w:rsidR="004C11B6" w:rsidRPr="009E5763" w:rsidRDefault="00F05A0C" w:rsidP="006F5D0D">
      <w:pPr>
        <w:pStyle w:val="Szvegtrzs"/>
        <w:rPr>
          <w:u w:val="single"/>
        </w:rPr>
      </w:pPr>
      <w:r>
        <w:rPr>
          <w:u w:val="single"/>
        </w:rPr>
        <w:t>Vesekárosodás</w:t>
      </w:r>
      <w:bookmarkStart w:id="1" w:name="_Hlk79406806"/>
      <w:r>
        <w:rPr>
          <w:u w:val="single"/>
        </w:rPr>
        <w:t>ban</w:t>
      </w:r>
      <w:r w:rsidRPr="009E5763">
        <w:rPr>
          <w:u w:val="single"/>
        </w:rPr>
        <w:t xml:space="preserve"> </w:t>
      </w:r>
      <w:r>
        <w:rPr>
          <w:u w:val="single"/>
        </w:rPr>
        <w:t>szenvedő</w:t>
      </w:r>
      <w:r w:rsidRPr="009E5763">
        <w:rPr>
          <w:u w:val="single"/>
        </w:rPr>
        <w:t xml:space="preserve"> </w:t>
      </w:r>
      <w:r>
        <w:rPr>
          <w:u w:val="single"/>
        </w:rPr>
        <w:t>betegek</w:t>
      </w:r>
    </w:p>
    <w:bookmarkEnd w:id="1"/>
    <w:p w14:paraId="138D9086" w14:textId="282DB7DE" w:rsidR="004C11B6" w:rsidRDefault="00F05A0C" w:rsidP="006F5D0D">
      <w:pPr>
        <w:pStyle w:val="Szvegtrzs"/>
      </w:pPr>
      <w:r w:rsidRPr="009E5763">
        <w:t>A korlátozott mennyiségű klinikai adat azt mutatja, hogy az apixabán plazmakoncentrációja a</w:t>
      </w:r>
      <w:r w:rsidRPr="009E5763">
        <w:rPr>
          <w:spacing w:val="1"/>
        </w:rPr>
        <w:t xml:space="preserve"> </w:t>
      </w:r>
      <w:r w:rsidRPr="009E5763">
        <w:t>súlyos</w:t>
      </w:r>
      <w:r w:rsidR="002E3BBC">
        <w:t xml:space="preserve"> </w:t>
      </w:r>
      <w:r w:rsidR="00FB49A8">
        <w:t xml:space="preserve">fokú </w:t>
      </w:r>
      <w:r w:rsidR="002E3BBC">
        <w:t xml:space="preserve">vesekárosodásban szenvedő </w:t>
      </w:r>
      <w:r w:rsidRPr="009E5763">
        <w:t>betegeknél</w:t>
      </w:r>
      <w:r w:rsidR="002E3BBC">
        <w:t xml:space="preserve"> </w:t>
      </w:r>
      <w:r w:rsidR="002E3BBC" w:rsidRPr="009E5763">
        <w:t>(kreatinin-clearance 15</w:t>
      </w:r>
      <w:r w:rsidR="00FB49A8">
        <w:t>–</w:t>
      </w:r>
      <w:r w:rsidR="002E3BBC" w:rsidRPr="009E5763">
        <w:t>29</w:t>
      </w:r>
      <w:r w:rsidR="00FB49A8">
        <w:t> </w:t>
      </w:r>
      <w:r w:rsidR="002E3BBC" w:rsidRPr="009E5763">
        <w:t xml:space="preserve">ml/perc) </w:t>
      </w:r>
      <w:r w:rsidRPr="009E5763">
        <w:t>emelkedett, ami</w:t>
      </w:r>
      <w:r w:rsidRPr="009E5763">
        <w:rPr>
          <w:spacing w:val="1"/>
        </w:rPr>
        <w:t xml:space="preserve"> </w:t>
      </w:r>
      <w:r w:rsidRPr="009E5763">
        <w:t>megnövekedett vérzési kockázathoz vezethet. A súlyos</w:t>
      </w:r>
      <w:r w:rsidR="002E3BBC">
        <w:t xml:space="preserve"> vesekárosodásban szenvedő</w:t>
      </w:r>
      <w:r w:rsidRPr="009E5763">
        <w:t xml:space="preserve"> betegeknél</w:t>
      </w:r>
      <w:r w:rsidRPr="009E5763">
        <w:rPr>
          <w:spacing w:val="1"/>
        </w:rPr>
        <w:t xml:space="preserve"> </w:t>
      </w:r>
      <w:r w:rsidRPr="009E5763">
        <w:t>(kreatinin-clearance 15</w:t>
      </w:r>
      <w:r w:rsidR="00FB49A8">
        <w:t>–</w:t>
      </w:r>
      <w:r w:rsidRPr="009E5763">
        <w:t>29</w:t>
      </w:r>
      <w:r w:rsidR="00FB49A8">
        <w:t> </w:t>
      </w:r>
      <w:r w:rsidRPr="009E5763">
        <w:t>ml/perc) a vénás thromboembolia megelőzésére elektív csípő- vagy</w:t>
      </w:r>
      <w:r w:rsidRPr="009E5763">
        <w:rPr>
          <w:spacing w:val="1"/>
        </w:rPr>
        <w:t xml:space="preserve"> </w:t>
      </w:r>
      <w:r w:rsidRPr="009E5763">
        <w:t>térdprotézis műtét esetén (VTEp), valamint az MVT kezelésére, a PE kezelésére é</w:t>
      </w:r>
      <w:r>
        <w:t>s az MVT és a PE</w:t>
      </w:r>
      <w:r w:rsidRPr="00082664">
        <w:t xml:space="preserve"> </w:t>
      </w:r>
      <w:r>
        <w:t>kiújulásának</w:t>
      </w:r>
      <w:r>
        <w:rPr>
          <w:spacing w:val="-3"/>
        </w:rPr>
        <w:t xml:space="preserve"> </w:t>
      </w:r>
      <w:r>
        <w:t>megelőzésére</w:t>
      </w:r>
      <w:r>
        <w:rPr>
          <w:spacing w:val="-3"/>
        </w:rPr>
        <w:t xml:space="preserve"> </w:t>
      </w:r>
      <w:r>
        <w:t>(VTEt)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apixabánt</w:t>
      </w:r>
      <w:r>
        <w:rPr>
          <w:spacing w:val="-3"/>
        </w:rPr>
        <w:t xml:space="preserve"> </w:t>
      </w:r>
      <w:r>
        <w:t>óvatosan</w:t>
      </w:r>
      <w:r>
        <w:rPr>
          <w:spacing w:val="-2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alkalmazni</w:t>
      </w:r>
      <w:r>
        <w:rPr>
          <w:spacing w:val="-3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4.2</w:t>
      </w:r>
      <w:r>
        <w:rPr>
          <w:spacing w:val="-6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5.2</w:t>
      </w:r>
      <w:r>
        <w:rPr>
          <w:spacing w:val="-1"/>
        </w:rPr>
        <w:t xml:space="preserve"> </w:t>
      </w:r>
      <w:r>
        <w:t>pont).</w:t>
      </w:r>
    </w:p>
    <w:p w14:paraId="38EE1D7A" w14:textId="77777777" w:rsidR="004C11B6" w:rsidRDefault="004C11B6" w:rsidP="006F5D0D">
      <w:pPr>
        <w:pStyle w:val="Szvegtrzs"/>
        <w:spacing w:before="5"/>
      </w:pPr>
    </w:p>
    <w:p w14:paraId="7E5C783F" w14:textId="70F304CD" w:rsidR="002E3BBC" w:rsidRPr="00A21724" w:rsidRDefault="002E3BBC" w:rsidP="002E3BBC">
      <w:pPr>
        <w:pStyle w:val="Nincstrkz"/>
        <w:rPr>
          <w:rFonts w:cs="Times New Roman"/>
        </w:rPr>
      </w:pPr>
      <w:r w:rsidRPr="00A21724">
        <w:rPr>
          <w:rFonts w:cs="Times New Roman"/>
        </w:rPr>
        <w:t xml:space="preserve">Stroke és szisztémás embolizáció prevenciójában kisebb, naponta kétszer 2,5 mg apixabán dózist kell kapniuk a nem valvuláris pitvarfibrillációban szenvedő betegeknek, a súlyos </w:t>
      </w:r>
      <w:r w:rsidR="00FB49A8">
        <w:rPr>
          <w:rFonts w:cs="Times New Roman"/>
        </w:rPr>
        <w:t xml:space="preserve">fokú </w:t>
      </w:r>
      <w:r w:rsidRPr="00A21724">
        <w:rPr>
          <w:rFonts w:cs="Times New Roman"/>
        </w:rPr>
        <w:t>vesekárosodásban (kreatinin-clearance 15</w:t>
      </w:r>
      <w:r w:rsidRPr="00A21724">
        <w:rPr>
          <w:rFonts w:cs="Times New Roman"/>
        </w:rPr>
        <w:noBreakHyphen/>
        <w:t>29 ml/perc) szenvedőknek és azoknak a betegeknek, akiknek a szérum kreatininszintje ≥</w:t>
      </w:r>
      <w:r>
        <w:rPr>
          <w:rFonts w:cs="Times New Roman"/>
        </w:rPr>
        <w:t xml:space="preserve"> </w:t>
      </w:r>
      <w:r w:rsidRPr="00A21724">
        <w:rPr>
          <w:rFonts w:cs="Times New Roman"/>
        </w:rPr>
        <w:t>1,5 mg/dl (133 mikromol/l) továbbá azoknak, akiknek életkora ≥</w:t>
      </w:r>
      <w:r>
        <w:rPr>
          <w:rFonts w:cs="Times New Roman"/>
        </w:rPr>
        <w:t xml:space="preserve"> </w:t>
      </w:r>
      <w:r w:rsidRPr="00A21724">
        <w:rPr>
          <w:rFonts w:cs="Times New Roman"/>
        </w:rPr>
        <w:t>80 év vagy testtömege ≤</w:t>
      </w:r>
      <w:r>
        <w:rPr>
          <w:rFonts w:cs="Times New Roman"/>
        </w:rPr>
        <w:t xml:space="preserve"> </w:t>
      </w:r>
      <w:r w:rsidRPr="00A21724">
        <w:rPr>
          <w:rFonts w:cs="Times New Roman"/>
        </w:rPr>
        <w:t>60 kg (lásd 4.2 pont).</w:t>
      </w:r>
    </w:p>
    <w:p w14:paraId="1609DA8E" w14:textId="77777777" w:rsidR="004C11B6" w:rsidRDefault="004C11B6" w:rsidP="00032340">
      <w:pPr>
        <w:pStyle w:val="Szvegtrzs"/>
        <w:spacing w:before="11"/>
        <w:ind w:right="2"/>
      </w:pPr>
    </w:p>
    <w:p w14:paraId="13124065" w14:textId="7CF383D4" w:rsidR="004C11B6" w:rsidRDefault="00F05A0C" w:rsidP="00032340">
      <w:pPr>
        <w:pStyle w:val="Szvegtrzs"/>
        <w:spacing w:line="244" w:lineRule="auto"/>
        <w:ind w:right="2"/>
      </w:pPr>
      <w:r>
        <w:t>Nincs klinikai tapasztalat az olyan betegekkel, akiknek a kreatinin-clearence-e &lt; 15</w:t>
      </w:r>
      <w:r w:rsidR="00FB49A8">
        <w:t> </w:t>
      </w:r>
      <w:r>
        <w:t>ml/perc, vagy</w:t>
      </w:r>
      <w:r>
        <w:rPr>
          <w:spacing w:val="1"/>
        </w:rPr>
        <w:t xml:space="preserve"> </w:t>
      </w:r>
      <w:r>
        <w:t>dialízis-kezelés</w:t>
      </w:r>
      <w:r>
        <w:rPr>
          <w:spacing w:val="-4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állnak,</w:t>
      </w:r>
      <w:r>
        <w:rPr>
          <w:spacing w:val="-4"/>
        </w:rPr>
        <w:t xml:space="preserve"> </w:t>
      </w:r>
      <w:r>
        <w:t>ezért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ezeknél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betegeknél</w:t>
      </w:r>
      <w:r>
        <w:rPr>
          <w:spacing w:val="-4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4.2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5.2</w:t>
      </w:r>
      <w:r>
        <w:rPr>
          <w:spacing w:val="-3"/>
        </w:rPr>
        <w:t xml:space="preserve"> </w:t>
      </w:r>
      <w:r>
        <w:t>pont).</w:t>
      </w:r>
    </w:p>
    <w:p w14:paraId="3E3D2F1E" w14:textId="77777777" w:rsidR="004C11B6" w:rsidRDefault="004C11B6" w:rsidP="00032340">
      <w:pPr>
        <w:pStyle w:val="Szvegtrzs"/>
        <w:spacing w:before="3"/>
        <w:ind w:right="2"/>
        <w:rPr>
          <w:sz w:val="20"/>
        </w:rPr>
      </w:pPr>
    </w:p>
    <w:p w14:paraId="4C45763A" w14:textId="77777777" w:rsidR="004C11B6" w:rsidRDefault="00F05A0C" w:rsidP="00032340">
      <w:pPr>
        <w:pStyle w:val="Szvegtrzs"/>
        <w:ind w:right="2"/>
      </w:pPr>
      <w:r>
        <w:rPr>
          <w:u w:val="single"/>
        </w:rPr>
        <w:t>Idősek</w:t>
      </w:r>
    </w:p>
    <w:p w14:paraId="5A6595F6" w14:textId="77777777" w:rsidR="004C11B6" w:rsidRDefault="00F05A0C" w:rsidP="00032340">
      <w:pPr>
        <w:pStyle w:val="Szvegtrzs"/>
        <w:ind w:right="2"/>
      </w:pPr>
      <w:r>
        <w:t>Az</w:t>
      </w:r>
      <w:r>
        <w:rPr>
          <w:spacing w:val="-5"/>
        </w:rPr>
        <w:t xml:space="preserve"> </w:t>
      </w:r>
      <w:r>
        <w:t>életkor</w:t>
      </w:r>
      <w:r>
        <w:rPr>
          <w:spacing w:val="-4"/>
        </w:rPr>
        <w:t xml:space="preserve"> </w:t>
      </w:r>
      <w:r>
        <w:t>előrehaladásával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vérzési</w:t>
      </w:r>
      <w:r>
        <w:rPr>
          <w:spacing w:val="-4"/>
        </w:rPr>
        <w:t xml:space="preserve"> </w:t>
      </w:r>
      <w:r>
        <w:t>kockázat</w:t>
      </w:r>
      <w:r>
        <w:rPr>
          <w:spacing w:val="-4"/>
        </w:rPr>
        <w:t xml:space="preserve"> </w:t>
      </w:r>
      <w:r>
        <w:t>fokozódhat</w:t>
      </w:r>
      <w:r>
        <w:rPr>
          <w:spacing w:val="-5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5.2</w:t>
      </w:r>
      <w:r>
        <w:rPr>
          <w:spacing w:val="-8"/>
        </w:rPr>
        <w:t xml:space="preserve"> </w:t>
      </w:r>
      <w:r>
        <w:t>pont).</w:t>
      </w:r>
    </w:p>
    <w:p w14:paraId="0636DAAF" w14:textId="77777777" w:rsidR="004C11B6" w:rsidRDefault="00F05A0C" w:rsidP="00032340">
      <w:pPr>
        <w:pStyle w:val="Szvegtrzs"/>
        <w:spacing w:before="4" w:line="247" w:lineRule="auto"/>
        <w:ind w:right="2"/>
      </w:pPr>
      <w:r>
        <w:t>Ezen kívül a potenciálisan magasabb vérzési kockázat miatt idős betegeknél az apixabán és</w:t>
      </w:r>
      <w:r>
        <w:rPr>
          <w:spacing w:val="-52"/>
        </w:rPr>
        <w:t xml:space="preserve"> </w:t>
      </w:r>
      <w:r>
        <w:t>acetilszalicilsav</w:t>
      </w:r>
      <w:r>
        <w:rPr>
          <w:spacing w:val="-2"/>
        </w:rPr>
        <w:t xml:space="preserve"> </w:t>
      </w:r>
      <w:r>
        <w:t>kombinációt</w:t>
      </w:r>
      <w:r>
        <w:rPr>
          <w:spacing w:val="-1"/>
        </w:rPr>
        <w:t xml:space="preserve"> </w:t>
      </w:r>
      <w:r>
        <w:t>óvatosan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alkalmazni.</w:t>
      </w:r>
    </w:p>
    <w:p w14:paraId="017016AA" w14:textId="77777777" w:rsidR="004C11B6" w:rsidRDefault="004C11B6" w:rsidP="00032340">
      <w:pPr>
        <w:pStyle w:val="Szvegtrzs"/>
        <w:spacing w:before="3"/>
        <w:ind w:right="2"/>
        <w:rPr>
          <w:sz w:val="21"/>
        </w:rPr>
      </w:pPr>
    </w:p>
    <w:p w14:paraId="442215E1" w14:textId="77777777" w:rsidR="004C11B6" w:rsidRDefault="00F05A0C" w:rsidP="00032340">
      <w:pPr>
        <w:pStyle w:val="Szvegtrzs"/>
        <w:ind w:right="2"/>
      </w:pPr>
      <w:r>
        <w:rPr>
          <w:u w:val="single"/>
        </w:rPr>
        <w:t>Testtömeg</w:t>
      </w:r>
    </w:p>
    <w:p w14:paraId="7592E7E4" w14:textId="25156776" w:rsidR="005E1664" w:rsidRDefault="00F05A0C" w:rsidP="00032340">
      <w:pPr>
        <w:pStyle w:val="Szvegtrzs"/>
        <w:ind w:right="2"/>
        <w:rPr>
          <w:spacing w:val="-52"/>
        </w:rPr>
      </w:pPr>
      <w:r>
        <w:t>A</w:t>
      </w:r>
      <w:r w:rsidR="00137660">
        <w:t>z alacsony</w:t>
      </w:r>
      <w:r>
        <w:t xml:space="preserve"> testtömeg (&lt; 60</w:t>
      </w:r>
      <w:r w:rsidR="00FB49A8">
        <w:t> </w:t>
      </w:r>
      <w:r>
        <w:t>kg) növelheti a vérzési kockázatot (lásd 5.2 pont).</w:t>
      </w:r>
      <w:r>
        <w:rPr>
          <w:spacing w:val="-52"/>
        </w:rPr>
        <w:t xml:space="preserve"> </w:t>
      </w:r>
    </w:p>
    <w:p w14:paraId="1A5DD81B" w14:textId="77777777" w:rsidR="005E1664" w:rsidRDefault="005E1664" w:rsidP="00032340">
      <w:pPr>
        <w:pStyle w:val="Szvegtrzs"/>
        <w:ind w:right="2"/>
        <w:rPr>
          <w:spacing w:val="-52"/>
        </w:rPr>
      </w:pPr>
    </w:p>
    <w:p w14:paraId="37F3F39C" w14:textId="1FD71C1A" w:rsidR="004C11B6" w:rsidRPr="005E1664" w:rsidRDefault="00F05A0C" w:rsidP="00032340">
      <w:pPr>
        <w:pStyle w:val="Szvegtrzs"/>
        <w:ind w:right="2"/>
        <w:rPr>
          <w:u w:val="single"/>
        </w:rPr>
      </w:pPr>
      <w:r>
        <w:rPr>
          <w:u w:val="single"/>
        </w:rPr>
        <w:t>Májkárosodás</w:t>
      </w:r>
    </w:p>
    <w:p w14:paraId="24D57633" w14:textId="77777777" w:rsidR="004C11B6" w:rsidRDefault="00F05A0C" w:rsidP="00032340">
      <w:pPr>
        <w:pStyle w:val="Szvegtrzs"/>
        <w:ind w:right="2"/>
      </w:pPr>
      <w:r w:rsidRPr="005E1664">
        <w:t>Az apixabán ellenjavallt véralvadási zavarral és klinikailag jelentős vérzési kockázattal járó</w:t>
      </w:r>
      <w:r w:rsidRPr="0012081C">
        <w:t xml:space="preserve"> </w:t>
      </w:r>
      <w:r w:rsidRPr="005E1664">
        <w:t>májbetegségben</w:t>
      </w:r>
      <w:r w:rsidRPr="005E1664">
        <w:rPr>
          <w:spacing w:val="-1"/>
        </w:rPr>
        <w:t xml:space="preserve"> </w:t>
      </w:r>
      <w:r w:rsidRPr="005E1664">
        <w:t>szenvedő</w:t>
      </w:r>
      <w:r w:rsidRPr="005E1664">
        <w:rPr>
          <w:spacing w:val="-1"/>
        </w:rPr>
        <w:t xml:space="preserve"> </w:t>
      </w:r>
      <w:r w:rsidRPr="005E1664">
        <w:t>betegeknél</w:t>
      </w:r>
      <w:r w:rsidRPr="005E1664">
        <w:rPr>
          <w:spacing w:val="-2"/>
        </w:rPr>
        <w:t xml:space="preserve"> </w:t>
      </w:r>
      <w:r w:rsidRPr="005E1664">
        <w:t>(lásd</w:t>
      </w:r>
      <w:r w:rsidRPr="005E1664">
        <w:rPr>
          <w:spacing w:val="-1"/>
        </w:rPr>
        <w:t xml:space="preserve"> </w:t>
      </w:r>
      <w:r w:rsidRPr="005E1664">
        <w:t xml:space="preserve">4.3 </w:t>
      </w:r>
      <w:r>
        <w:t>pont).</w:t>
      </w:r>
    </w:p>
    <w:p w14:paraId="2C2443CB" w14:textId="77777777" w:rsidR="004C11B6" w:rsidRDefault="004C11B6" w:rsidP="00032340">
      <w:pPr>
        <w:pStyle w:val="Szvegtrzs"/>
        <w:spacing w:before="4"/>
        <w:ind w:right="2"/>
        <w:rPr>
          <w:sz w:val="19"/>
        </w:rPr>
      </w:pPr>
    </w:p>
    <w:p w14:paraId="06497E3E" w14:textId="77777777" w:rsidR="004C11B6" w:rsidRDefault="00F05A0C" w:rsidP="00032340">
      <w:pPr>
        <w:pStyle w:val="Szvegtrzs"/>
        <w:ind w:right="2"/>
      </w:pPr>
      <w:r>
        <w:t>Súlyos</w:t>
      </w:r>
      <w:r>
        <w:rPr>
          <w:spacing w:val="-5"/>
        </w:rPr>
        <w:t xml:space="preserve"> </w:t>
      </w:r>
      <w:r>
        <w:t>májkárosodásban</w:t>
      </w:r>
      <w:r>
        <w:rPr>
          <w:spacing w:val="-5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betegeknél</w:t>
      </w:r>
      <w:r>
        <w:rPr>
          <w:spacing w:val="-5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ajánlott</w:t>
      </w:r>
      <w:r>
        <w:rPr>
          <w:spacing w:val="-4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5.2</w:t>
      </w:r>
      <w:r>
        <w:rPr>
          <w:spacing w:val="-7"/>
        </w:rPr>
        <w:t xml:space="preserve"> </w:t>
      </w:r>
      <w:r>
        <w:t>pont).</w:t>
      </w:r>
    </w:p>
    <w:p w14:paraId="4C7CCC8A" w14:textId="77777777" w:rsidR="004C11B6" w:rsidRDefault="004C11B6" w:rsidP="00032340">
      <w:pPr>
        <w:pStyle w:val="Szvegtrzs"/>
        <w:spacing w:before="10"/>
        <w:ind w:right="2"/>
        <w:rPr>
          <w:sz w:val="20"/>
        </w:rPr>
      </w:pPr>
    </w:p>
    <w:p w14:paraId="6ABFB6ED" w14:textId="412ECEB1" w:rsidR="004C11B6" w:rsidRDefault="00F05A0C" w:rsidP="00032340">
      <w:pPr>
        <w:pStyle w:val="Szvegtrzs"/>
        <w:spacing w:before="1" w:line="232" w:lineRule="auto"/>
        <w:ind w:right="2"/>
      </w:pPr>
      <w:r>
        <w:t>Enyhe vagy közepesen súlyos májkárosodásban szenvedő betegeknél (Child</w:t>
      </w:r>
      <w:r w:rsidR="00FB49A8">
        <w:t>-</w:t>
      </w:r>
      <w:r>
        <w:t>Pugh A vagy B stádium)</w:t>
      </w:r>
      <w:r>
        <w:rPr>
          <w:spacing w:val="-52"/>
        </w:rPr>
        <w:t xml:space="preserve"> </w:t>
      </w:r>
      <w:r>
        <w:t>óvatosan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alkamazni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4.2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5.2 pont).</w:t>
      </w:r>
    </w:p>
    <w:p w14:paraId="57D99869" w14:textId="77777777" w:rsidR="004C11B6" w:rsidRDefault="004C11B6" w:rsidP="00032340">
      <w:pPr>
        <w:pStyle w:val="Szvegtrzs"/>
        <w:spacing w:before="4"/>
        <w:ind w:right="2"/>
        <w:rPr>
          <w:sz w:val="20"/>
        </w:rPr>
      </w:pPr>
    </w:p>
    <w:p w14:paraId="7F79A43A" w14:textId="77777777" w:rsidR="006E37FD" w:rsidRPr="00A21724" w:rsidRDefault="006E37FD" w:rsidP="006E37FD">
      <w:pPr>
        <w:pStyle w:val="Nincstrkz"/>
        <w:rPr>
          <w:rFonts w:cs="Times New Roman"/>
        </w:rPr>
      </w:pPr>
      <w:r w:rsidRPr="00A21724">
        <w:rPr>
          <w:rFonts w:cs="Times New Roman"/>
        </w:rPr>
        <w:t>Kizárták a klinikai vizsgálatokból azokat a betegeket, akiknél a májenzimek, GPT/GOT szintjének emelkedése meghaladta a normálérték felső határának kétszeresét, vagy az összbilirubin szintje a normálérték felső határának ≥1,5</w:t>
      </w:r>
      <w:r w:rsidRPr="00A21724">
        <w:rPr>
          <w:rFonts w:cs="Times New Roman"/>
        </w:rPr>
        <w:noBreakHyphen/>
        <w:t>szerese volt. Ezért az apixab</w:t>
      </w:r>
      <w:r>
        <w:rPr>
          <w:rFonts w:cs="Times New Roman"/>
        </w:rPr>
        <w:t>á</w:t>
      </w:r>
      <w:r w:rsidRPr="00A21724">
        <w:rPr>
          <w:rFonts w:cs="Times New Roman"/>
        </w:rPr>
        <w:t>n ebben a betegcsoportban kellő elővigyázatossággal alkalmazandó (lásd 5.2 pont). Az apixab</w:t>
      </w:r>
      <w:r>
        <w:rPr>
          <w:rFonts w:cs="Times New Roman"/>
        </w:rPr>
        <w:t>á</w:t>
      </w:r>
      <w:r w:rsidRPr="00A21724">
        <w:rPr>
          <w:rFonts w:cs="Times New Roman"/>
        </w:rPr>
        <w:t>n elkezdése előtt májfunkciós vizsgálatot kell végezni.</w:t>
      </w:r>
    </w:p>
    <w:p w14:paraId="42573457" w14:textId="77777777" w:rsidR="004C11B6" w:rsidRDefault="004C11B6" w:rsidP="00032340">
      <w:pPr>
        <w:pStyle w:val="Szvegtrzs"/>
        <w:spacing w:before="6"/>
        <w:ind w:right="2"/>
        <w:rPr>
          <w:sz w:val="21"/>
        </w:rPr>
      </w:pPr>
    </w:p>
    <w:p w14:paraId="267FBDDB" w14:textId="77777777" w:rsidR="004C11B6" w:rsidRPr="008877FF" w:rsidRDefault="00F05A0C" w:rsidP="00032340">
      <w:pPr>
        <w:pStyle w:val="Szvegtrzs"/>
        <w:ind w:right="2"/>
        <w:rPr>
          <w:u w:val="single"/>
        </w:rPr>
      </w:pPr>
      <w:r>
        <w:rPr>
          <w:u w:val="single"/>
        </w:rPr>
        <w:t>Kölcsönhatás a citokróm P450 3A4-et (CYP3A4) és a P-glikoproteint (P-gp) egyaránt gátló</w:t>
      </w:r>
      <w:r w:rsidRPr="008877FF">
        <w:rPr>
          <w:u w:val="single"/>
        </w:rPr>
        <w:t xml:space="preserve"> </w:t>
      </w:r>
      <w:r>
        <w:rPr>
          <w:u w:val="single"/>
        </w:rPr>
        <w:t>inhibitorokkal</w:t>
      </w:r>
    </w:p>
    <w:p w14:paraId="4B405D60" w14:textId="072ADB85" w:rsidR="004C11B6" w:rsidRDefault="00F05A0C" w:rsidP="00032340">
      <w:pPr>
        <w:pStyle w:val="Szvegtrzs"/>
        <w:ind w:right="2"/>
      </w:pPr>
      <w:r w:rsidRPr="008877FF">
        <w:t>Az apixabán alkalmazása nem javasolt olyan betegeknél, akik a CYP3A4-et és a P-gp-t egyaránt</w:t>
      </w:r>
      <w:r w:rsidRPr="008877FF">
        <w:rPr>
          <w:spacing w:val="1"/>
        </w:rPr>
        <w:t xml:space="preserve"> </w:t>
      </w:r>
      <w:r w:rsidRPr="008877FF">
        <w:t>erősen gátló szerekkel végzett szisztémás kezel</w:t>
      </w:r>
      <w:r>
        <w:t>ést kapnak egyidejűleg, mint amilyenek az azol-típusú</w:t>
      </w:r>
      <w:r>
        <w:rPr>
          <w:spacing w:val="-52"/>
        </w:rPr>
        <w:t xml:space="preserve"> </w:t>
      </w:r>
      <w:r>
        <w:t>antimikotikumok (pl. ketokonazol, itrakonazol, vorikonazol, valamint a pozakonazol) és a HIV</w:t>
      </w:r>
      <w:r>
        <w:rPr>
          <w:spacing w:val="1"/>
        </w:rPr>
        <w:t xml:space="preserve"> </w:t>
      </w:r>
      <w:r>
        <w:t>proteáz-gátlók (pl. ritonavir). Ezek a gyógyszerek az apixabán expozícióját kétszeresére növelhetik</w:t>
      </w:r>
      <w:r>
        <w:rPr>
          <w:spacing w:val="1"/>
        </w:rPr>
        <w:t xml:space="preserve"> </w:t>
      </w:r>
      <w:r>
        <w:t>(lásd 4.5 pont) vagy egyéb, olyan tényezők jelenlétében, amelyek az apixabán-expozíciót növelik (pl.</w:t>
      </w:r>
      <w:r>
        <w:rPr>
          <w:spacing w:val="-52"/>
        </w:rPr>
        <w:t xml:space="preserve"> </w:t>
      </w:r>
      <w:r>
        <w:t>súlyos</w:t>
      </w:r>
      <w:r>
        <w:rPr>
          <w:spacing w:val="-2"/>
        </w:rPr>
        <w:t xml:space="preserve"> </w:t>
      </w:r>
      <w:r w:rsidR="00FB49A8">
        <w:rPr>
          <w:spacing w:val="-2"/>
        </w:rPr>
        <w:t xml:space="preserve">fokú </w:t>
      </w:r>
      <w:r>
        <w:t>vesekárosodás)</w:t>
      </w:r>
      <w:r>
        <w:rPr>
          <w:spacing w:val="-1"/>
        </w:rPr>
        <w:t xml:space="preserve"> </w:t>
      </w:r>
      <w:r>
        <w:t>ennél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nagyobbra.</w:t>
      </w:r>
    </w:p>
    <w:p w14:paraId="7F4B16DE" w14:textId="77777777" w:rsidR="004C11B6" w:rsidRDefault="004C11B6" w:rsidP="00032340">
      <w:pPr>
        <w:pStyle w:val="Szvegtrzs"/>
        <w:ind w:right="2"/>
        <w:rPr>
          <w:sz w:val="21"/>
        </w:rPr>
      </w:pPr>
    </w:p>
    <w:p w14:paraId="7EB95188" w14:textId="77777777" w:rsidR="004C11B6" w:rsidRPr="00103D01" w:rsidRDefault="00F05A0C" w:rsidP="00032340">
      <w:pPr>
        <w:pStyle w:val="Szvegtrzs"/>
        <w:ind w:right="2"/>
        <w:rPr>
          <w:u w:val="single"/>
        </w:rPr>
      </w:pPr>
      <w:r>
        <w:rPr>
          <w:u w:val="single"/>
        </w:rPr>
        <w:t>Kölcsönhatás</w:t>
      </w:r>
      <w:r w:rsidRPr="00103D01">
        <w:rPr>
          <w:u w:val="single"/>
        </w:rPr>
        <w:t xml:space="preserve"> </w:t>
      </w:r>
      <w:r>
        <w:rPr>
          <w:u w:val="single"/>
        </w:rPr>
        <w:t>a</w:t>
      </w:r>
      <w:r w:rsidRPr="00103D01">
        <w:rPr>
          <w:u w:val="single"/>
        </w:rPr>
        <w:t xml:space="preserve"> </w:t>
      </w:r>
      <w:r>
        <w:rPr>
          <w:u w:val="single"/>
        </w:rPr>
        <w:t>CYP3A4-ra</w:t>
      </w:r>
      <w:r w:rsidRPr="00103D01">
        <w:rPr>
          <w:u w:val="single"/>
        </w:rPr>
        <w:t xml:space="preserve"> </w:t>
      </w:r>
      <w:r>
        <w:rPr>
          <w:u w:val="single"/>
        </w:rPr>
        <w:t>és</w:t>
      </w:r>
      <w:r w:rsidRPr="00103D01">
        <w:rPr>
          <w:u w:val="single"/>
        </w:rPr>
        <w:t xml:space="preserve"> </w:t>
      </w:r>
      <w:r>
        <w:rPr>
          <w:u w:val="single"/>
        </w:rPr>
        <w:t>a</w:t>
      </w:r>
      <w:r w:rsidRPr="00103D01">
        <w:rPr>
          <w:u w:val="single"/>
        </w:rPr>
        <w:t xml:space="preserve"> </w:t>
      </w:r>
      <w:r>
        <w:rPr>
          <w:u w:val="single"/>
        </w:rPr>
        <w:t>P-gp-re</w:t>
      </w:r>
      <w:r w:rsidRPr="00103D01">
        <w:rPr>
          <w:u w:val="single"/>
        </w:rPr>
        <w:t xml:space="preserve"> </w:t>
      </w:r>
      <w:r>
        <w:rPr>
          <w:u w:val="single"/>
        </w:rPr>
        <w:t>egyaránt</w:t>
      </w:r>
      <w:r w:rsidRPr="00103D01">
        <w:rPr>
          <w:u w:val="single"/>
        </w:rPr>
        <w:t xml:space="preserve"> </w:t>
      </w:r>
      <w:r>
        <w:rPr>
          <w:u w:val="single"/>
        </w:rPr>
        <w:t>ható</w:t>
      </w:r>
      <w:r w:rsidRPr="00103D01">
        <w:rPr>
          <w:u w:val="single"/>
        </w:rPr>
        <w:t xml:space="preserve"> </w:t>
      </w:r>
      <w:r>
        <w:rPr>
          <w:u w:val="single"/>
        </w:rPr>
        <w:t>induktorokkal</w:t>
      </w:r>
    </w:p>
    <w:p w14:paraId="5C713717" w14:textId="49C5C737" w:rsidR="004C11B6" w:rsidRDefault="00F05A0C" w:rsidP="00032340">
      <w:pPr>
        <w:pStyle w:val="Szvegtrzs"/>
        <w:ind w:right="2"/>
      </w:pPr>
      <w:r w:rsidRPr="00103D01">
        <w:t>Az apixabán egyidejű alkalmazása a CYP3A4 és P-gp erős induktoraival [pl. rifampicin, fenitoin, karbamazepin, fenobarbitál vagy közönséges</w:t>
      </w:r>
      <w:r w:rsidRPr="00103D01">
        <w:rPr>
          <w:spacing w:val="-1"/>
        </w:rPr>
        <w:t xml:space="preserve"> </w:t>
      </w:r>
      <w:r w:rsidRPr="00103D01">
        <w:t>orbá</w:t>
      </w:r>
      <w:r>
        <w:t>ncfű</w:t>
      </w:r>
      <w:r>
        <w:rPr>
          <w:spacing w:val="-3"/>
        </w:rPr>
        <w:t xml:space="preserve"> </w:t>
      </w:r>
      <w:r>
        <w:t>(</w:t>
      </w:r>
      <w:r>
        <w:rPr>
          <w:i/>
        </w:rPr>
        <w:t>Hypericum</w:t>
      </w:r>
      <w:r>
        <w:rPr>
          <w:i/>
          <w:spacing w:val="-2"/>
        </w:rPr>
        <w:t xml:space="preserve"> </w:t>
      </w:r>
      <w:r>
        <w:rPr>
          <w:i/>
        </w:rPr>
        <w:t>perforatum</w:t>
      </w:r>
      <w:r>
        <w:t>)]</w:t>
      </w:r>
      <w:r>
        <w:rPr>
          <w:spacing w:val="-3"/>
        </w:rPr>
        <w:t xml:space="preserve"> </w:t>
      </w:r>
      <w:r>
        <w:t>az</w:t>
      </w:r>
      <w:r w:rsidR="00103D01">
        <w:t xml:space="preserve"> </w:t>
      </w:r>
      <w:r>
        <w:t>apixabán-expozíció közel 50%-os csökkenéséhez vezethet. Egy pitvarfibrilláló betegekkel végzett</w:t>
      </w:r>
      <w:r>
        <w:rPr>
          <w:spacing w:val="1"/>
        </w:rPr>
        <w:t xml:space="preserve"> </w:t>
      </w:r>
      <w:r>
        <w:t>klinikai vizsgálatban az önmagában adott apixabánhoz képest csökkent hatásosságot és a vérzés</w:t>
      </w:r>
      <w:r>
        <w:rPr>
          <w:spacing w:val="1"/>
        </w:rPr>
        <w:t xml:space="preserve"> </w:t>
      </w:r>
      <w:r>
        <w:t>magasabb kockázatát figyelték meg, ha az apixabánt a CYP3A4 és a P-gp egyaránt erős induktoraival</w:t>
      </w:r>
      <w:r w:rsidRPr="00103D01">
        <w:t xml:space="preserve"> </w:t>
      </w:r>
      <w:r>
        <w:t>együtt</w:t>
      </w:r>
      <w:r w:rsidRPr="00103D01">
        <w:t xml:space="preserve"> </w:t>
      </w:r>
      <w:r>
        <w:t>adták.</w:t>
      </w:r>
    </w:p>
    <w:p w14:paraId="7E5B520E" w14:textId="77777777" w:rsidR="004C11B6" w:rsidRDefault="004C11B6" w:rsidP="00032340">
      <w:pPr>
        <w:pStyle w:val="Szvegtrzs"/>
        <w:spacing w:before="6"/>
        <w:ind w:right="2"/>
        <w:rPr>
          <w:sz w:val="21"/>
        </w:rPr>
      </w:pPr>
    </w:p>
    <w:p w14:paraId="7D3F5759" w14:textId="1643DC4D" w:rsidR="004C11B6" w:rsidRDefault="00F05A0C" w:rsidP="00032340">
      <w:pPr>
        <w:pStyle w:val="Szvegtrzs"/>
        <w:spacing w:line="230" w:lineRule="auto"/>
        <w:ind w:right="2"/>
        <w:rPr>
          <w:sz w:val="21"/>
        </w:rPr>
      </w:pPr>
      <w:r>
        <w:t>Azoknál a betegeknél, akik a CYP3A4 és a P-gp egyaránt erős induktoraival végzett szisztémás</w:t>
      </w:r>
      <w:r>
        <w:rPr>
          <w:spacing w:val="-52"/>
        </w:rPr>
        <w:t xml:space="preserve"> </w:t>
      </w:r>
      <w:r>
        <w:t>kezelést</w:t>
      </w:r>
      <w:r>
        <w:rPr>
          <w:spacing w:val="-3"/>
        </w:rPr>
        <w:t xml:space="preserve"> </w:t>
      </w:r>
      <w:r>
        <w:t>kapnak</w:t>
      </w:r>
      <w:r>
        <w:rPr>
          <w:spacing w:val="-2"/>
        </w:rPr>
        <w:t xml:space="preserve"> </w:t>
      </w:r>
      <w:r>
        <w:t>egyidejűleg,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alábbi</w:t>
      </w:r>
      <w:r>
        <w:rPr>
          <w:spacing w:val="-2"/>
        </w:rPr>
        <w:t xml:space="preserve"> </w:t>
      </w:r>
      <w:r>
        <w:t>ajánlásokat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betartani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4.5</w:t>
      </w:r>
      <w:r>
        <w:rPr>
          <w:spacing w:val="-3"/>
        </w:rPr>
        <w:t xml:space="preserve"> </w:t>
      </w:r>
      <w:r>
        <w:t>pont):</w:t>
      </w:r>
    </w:p>
    <w:p w14:paraId="0206FCDA" w14:textId="36F359E7" w:rsidR="004C11B6" w:rsidRDefault="00F05A0C" w:rsidP="0048577B">
      <w:pPr>
        <w:pStyle w:val="Listaszerbekezds"/>
        <w:numPr>
          <w:ilvl w:val="0"/>
          <w:numId w:val="64"/>
        </w:numPr>
        <w:spacing w:line="230" w:lineRule="auto"/>
        <w:ind w:left="567" w:right="2" w:hanging="567"/>
      </w:pPr>
      <w:r>
        <w:t>vénás thromboembolia megelőzésére elektív csípő- vagy térdprotézis műtét esetén, a stroke és a</w:t>
      </w:r>
      <w:r>
        <w:rPr>
          <w:spacing w:val="-52"/>
        </w:rPr>
        <w:t xml:space="preserve"> </w:t>
      </w:r>
      <w:r>
        <w:t xml:space="preserve">szisztémás embolizáció prevenciójára a nem </w:t>
      </w:r>
      <w:r w:rsidR="00E0063B" w:rsidRPr="00A27CEC">
        <w:t>valvuláris</w:t>
      </w:r>
      <w:r w:rsidR="00E0063B">
        <w:t xml:space="preserve"> </w:t>
      </w:r>
      <w:r>
        <w:t>pitvarfibrillációban szenvedő</w:t>
      </w:r>
      <w:r>
        <w:rPr>
          <w:spacing w:val="1"/>
        </w:rPr>
        <w:t xml:space="preserve"> </w:t>
      </w:r>
      <w:r>
        <w:t>betegeknél, és az MVT és a PE kiújulásának megelőzésére az apixabánt óvatosan kell</w:t>
      </w:r>
      <w:r>
        <w:rPr>
          <w:spacing w:val="1"/>
        </w:rPr>
        <w:t xml:space="preserve"> </w:t>
      </w:r>
      <w:r>
        <w:t>alkalmazni;</w:t>
      </w:r>
    </w:p>
    <w:p w14:paraId="7B5F8BAC" w14:textId="77777777" w:rsidR="004C11B6" w:rsidRDefault="00F05A0C" w:rsidP="0048577B">
      <w:pPr>
        <w:pStyle w:val="Listaszerbekezds"/>
        <w:numPr>
          <w:ilvl w:val="0"/>
          <w:numId w:val="64"/>
        </w:numPr>
        <w:spacing w:line="230" w:lineRule="auto"/>
        <w:ind w:left="567" w:right="2" w:hanging="567"/>
      </w:pPr>
      <w:r>
        <w:t>az MVT kezelésére és a pulmonalis embolia kezelésére az apixabán nem alkalmazható, mivel a</w:t>
      </w:r>
      <w:r>
        <w:rPr>
          <w:spacing w:val="-52"/>
        </w:rPr>
        <w:t xml:space="preserve"> </w:t>
      </w:r>
      <w:r>
        <w:t>hatásosság</w:t>
      </w:r>
      <w:r>
        <w:rPr>
          <w:spacing w:val="-2"/>
        </w:rPr>
        <w:t xml:space="preserve"> </w:t>
      </w:r>
      <w:r>
        <w:t>romolhat.</w:t>
      </w:r>
    </w:p>
    <w:p w14:paraId="1B7E34AE" w14:textId="77777777" w:rsidR="004C11B6" w:rsidRDefault="004C11B6" w:rsidP="00032340">
      <w:pPr>
        <w:pStyle w:val="Szvegtrzs"/>
        <w:spacing w:before="6"/>
        <w:ind w:right="2"/>
        <w:rPr>
          <w:sz w:val="20"/>
        </w:rPr>
      </w:pPr>
    </w:p>
    <w:p w14:paraId="53B7BFF7" w14:textId="77777777" w:rsidR="004C11B6" w:rsidRPr="00D87238" w:rsidRDefault="00F05A0C" w:rsidP="00032340">
      <w:pPr>
        <w:pStyle w:val="Szvegtrzs"/>
        <w:ind w:right="2"/>
        <w:rPr>
          <w:u w:val="single"/>
        </w:rPr>
      </w:pPr>
      <w:r>
        <w:rPr>
          <w:u w:val="single"/>
        </w:rPr>
        <w:t>Laboratóriumi</w:t>
      </w:r>
      <w:r w:rsidRPr="00D87238">
        <w:rPr>
          <w:u w:val="single"/>
        </w:rPr>
        <w:t xml:space="preserve"> </w:t>
      </w:r>
      <w:r>
        <w:rPr>
          <w:u w:val="single"/>
        </w:rPr>
        <w:t>paraméterek</w:t>
      </w:r>
    </w:p>
    <w:p w14:paraId="497AFA02" w14:textId="77777777" w:rsidR="004C11B6" w:rsidRDefault="00F05A0C" w:rsidP="00032340">
      <w:pPr>
        <w:pStyle w:val="Szvegtrzs"/>
        <w:ind w:right="2"/>
      </w:pPr>
      <w:r w:rsidRPr="00D87238">
        <w:t>A véralvadási vizsgálatokat – pl. prothrombinidő (PI), INR és aktivált parciális thromboplastinidő</w:t>
      </w:r>
      <w:r w:rsidRPr="00D87238">
        <w:rPr>
          <w:spacing w:val="1"/>
        </w:rPr>
        <w:t xml:space="preserve"> </w:t>
      </w:r>
      <w:r w:rsidRPr="00D87238">
        <w:t>(aPTI) – az apixabán a hatásmechanizm</w:t>
      </w:r>
      <w:r>
        <w:t>usa alapján várható módon befolyásolja. A várható terápiás</w:t>
      </w:r>
      <w:r w:rsidRPr="00567C40">
        <w:t xml:space="preserve"> </w:t>
      </w:r>
      <w:r>
        <w:t>adagolás mellett végzett véralvadási vizsgálatok során tapasztalt változások csekélyek, és nagyfokú</w:t>
      </w:r>
      <w:r>
        <w:rPr>
          <w:spacing w:val="-52"/>
        </w:rPr>
        <w:t xml:space="preserve"> </w:t>
      </w:r>
      <w:r>
        <w:t>variabilitást</w:t>
      </w:r>
      <w:r>
        <w:rPr>
          <w:spacing w:val="-2"/>
        </w:rPr>
        <w:t xml:space="preserve"> </w:t>
      </w:r>
      <w:r>
        <w:t>mutatnak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5.1</w:t>
      </w:r>
      <w:r>
        <w:rPr>
          <w:spacing w:val="-1"/>
        </w:rPr>
        <w:t xml:space="preserve"> </w:t>
      </w:r>
      <w:r>
        <w:t>pont).</w:t>
      </w:r>
    </w:p>
    <w:p w14:paraId="0DD60AA0" w14:textId="77777777" w:rsidR="004C11B6" w:rsidRDefault="004C11B6" w:rsidP="00032340">
      <w:pPr>
        <w:pStyle w:val="Szvegtrzs"/>
        <w:spacing w:before="9"/>
        <w:ind w:right="2"/>
        <w:rPr>
          <w:sz w:val="20"/>
        </w:rPr>
      </w:pPr>
    </w:p>
    <w:p w14:paraId="6762652E" w14:textId="77777777" w:rsidR="004C11B6" w:rsidRDefault="00F05A0C" w:rsidP="00032340">
      <w:pPr>
        <w:pStyle w:val="Szvegtrzs"/>
        <w:ind w:right="2"/>
      </w:pPr>
      <w:r>
        <w:rPr>
          <w:u w:val="single"/>
        </w:rPr>
        <w:t>Segédanyagokra</w:t>
      </w:r>
      <w:r>
        <w:rPr>
          <w:spacing w:val="-7"/>
          <w:u w:val="single"/>
        </w:rPr>
        <w:t xml:space="preserve"> </w:t>
      </w:r>
      <w:r>
        <w:rPr>
          <w:u w:val="single"/>
        </w:rPr>
        <w:t>vonatkozó</w:t>
      </w:r>
      <w:r>
        <w:rPr>
          <w:spacing w:val="-7"/>
          <w:u w:val="single"/>
        </w:rPr>
        <w:t xml:space="preserve"> </w:t>
      </w:r>
      <w:r>
        <w:rPr>
          <w:u w:val="single"/>
        </w:rPr>
        <w:t>információ</w:t>
      </w:r>
    </w:p>
    <w:p w14:paraId="44D0735F" w14:textId="77777777" w:rsidR="004C11B6" w:rsidRDefault="004C11B6" w:rsidP="00032340">
      <w:pPr>
        <w:pStyle w:val="Szvegtrzs"/>
        <w:spacing w:before="1"/>
        <w:ind w:right="2"/>
        <w:rPr>
          <w:sz w:val="21"/>
        </w:rPr>
      </w:pPr>
    </w:p>
    <w:p w14:paraId="0BE6DF4D" w14:textId="7CF2444B" w:rsidR="004C11B6" w:rsidRDefault="00F05A0C" w:rsidP="00032340">
      <w:pPr>
        <w:pStyle w:val="Szvegtrzs"/>
        <w:spacing w:line="230" w:lineRule="auto"/>
        <w:ind w:right="2"/>
      </w:pPr>
      <w:r>
        <w:t xml:space="preserve">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laktózt tartalmaz. Ritkán előforduló, örökletes galaktózintoleranciában, teljes</w:t>
      </w:r>
      <w:r>
        <w:rPr>
          <w:spacing w:val="-52"/>
        </w:rPr>
        <w:t xml:space="preserve"> </w:t>
      </w:r>
      <w:r>
        <w:t>laktáz-hiányban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glükóz-galaktóz</w:t>
      </w:r>
      <w:r>
        <w:rPr>
          <w:spacing w:val="-4"/>
        </w:rPr>
        <w:t xml:space="preserve"> </w:t>
      </w:r>
      <w:r>
        <w:t>malabszorpcióban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5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szedhető.</w:t>
      </w:r>
    </w:p>
    <w:p w14:paraId="2BF998ED" w14:textId="77777777" w:rsidR="0048577B" w:rsidRDefault="0048577B" w:rsidP="00032340">
      <w:pPr>
        <w:pStyle w:val="Szvegtrzs"/>
        <w:spacing w:line="230" w:lineRule="auto"/>
        <w:ind w:right="2"/>
      </w:pPr>
    </w:p>
    <w:p w14:paraId="33115401" w14:textId="77777777" w:rsidR="004C11B6" w:rsidRDefault="00F05A0C" w:rsidP="00032340">
      <w:pPr>
        <w:pStyle w:val="Szvegtrzs"/>
        <w:spacing w:line="241" w:lineRule="exact"/>
        <w:ind w:right="2"/>
      </w:pP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4"/>
        </w:rPr>
        <w:t xml:space="preserve"> </w:t>
      </w:r>
      <w:r>
        <w:t>kevesebb</w:t>
      </w:r>
      <w:r>
        <w:rPr>
          <w:spacing w:val="-4"/>
        </w:rPr>
        <w:t xml:space="preserve"> </w:t>
      </w:r>
      <w:r>
        <w:t>mint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mmol</w:t>
      </w:r>
      <w:r>
        <w:rPr>
          <w:spacing w:val="-4"/>
        </w:rPr>
        <w:t xml:space="preserve"> </w:t>
      </w:r>
      <w:r>
        <w:t>(23</w:t>
      </w:r>
      <w:r>
        <w:rPr>
          <w:spacing w:val="-4"/>
        </w:rPr>
        <w:t xml:space="preserve"> </w:t>
      </w:r>
      <w:r>
        <w:t>mg)</w:t>
      </w:r>
      <w:r>
        <w:rPr>
          <w:spacing w:val="-3"/>
        </w:rPr>
        <w:t xml:space="preserve"> </w:t>
      </w:r>
      <w:r>
        <w:t>nátriumot</w:t>
      </w:r>
      <w:r>
        <w:rPr>
          <w:spacing w:val="-4"/>
        </w:rPr>
        <w:t xml:space="preserve"> </w:t>
      </w:r>
      <w:r>
        <w:t>tartalmaz</w:t>
      </w:r>
      <w:r>
        <w:rPr>
          <w:spacing w:val="-4"/>
        </w:rPr>
        <w:t xml:space="preserve"> </w:t>
      </w:r>
      <w:r>
        <w:t>tablettánként,</w:t>
      </w:r>
      <w:r>
        <w:rPr>
          <w:spacing w:val="-4"/>
        </w:rPr>
        <w:t xml:space="preserve"> </w:t>
      </w:r>
      <w:r>
        <w:t>azaz</w:t>
      </w:r>
      <w:r>
        <w:rPr>
          <w:spacing w:val="-4"/>
        </w:rPr>
        <w:t xml:space="preserve"> </w:t>
      </w:r>
      <w:r>
        <w:t>gyakorlatilag</w:t>
      </w:r>
    </w:p>
    <w:p w14:paraId="3AD08BB2" w14:textId="77777777" w:rsidR="004C11B6" w:rsidRDefault="00F05A0C" w:rsidP="00032340">
      <w:pPr>
        <w:pStyle w:val="Szvegtrzs"/>
        <w:spacing w:line="248" w:lineRule="exact"/>
        <w:ind w:right="2"/>
      </w:pPr>
      <w:r>
        <w:t>„nátriummentes”.</w:t>
      </w:r>
    </w:p>
    <w:p w14:paraId="6D8C03A1" w14:textId="77777777" w:rsidR="004C11B6" w:rsidRDefault="004C11B6">
      <w:pPr>
        <w:pStyle w:val="Szvegtrzs"/>
        <w:spacing w:before="4"/>
        <w:rPr>
          <w:sz w:val="20"/>
        </w:rPr>
      </w:pPr>
    </w:p>
    <w:p w14:paraId="2F741AC5" w14:textId="77777777" w:rsidR="004C11B6" w:rsidRDefault="00F05A0C" w:rsidP="0048577B">
      <w:pPr>
        <w:pStyle w:val="Cmsor2"/>
        <w:numPr>
          <w:ilvl w:val="1"/>
          <w:numId w:val="51"/>
        </w:numPr>
        <w:spacing w:before="1"/>
        <w:ind w:left="0" w:firstLine="0"/>
      </w:pPr>
      <w:r>
        <w:t>Gyógyszerkölcsönhatások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egyéb</w:t>
      </w:r>
      <w:r>
        <w:rPr>
          <w:spacing w:val="-8"/>
        </w:rPr>
        <w:t xml:space="preserve"> </w:t>
      </w:r>
      <w:r>
        <w:t>interakciók</w:t>
      </w:r>
    </w:p>
    <w:p w14:paraId="1433C4F8" w14:textId="77777777" w:rsidR="004C11B6" w:rsidRDefault="004C11B6" w:rsidP="0048577B">
      <w:pPr>
        <w:pStyle w:val="Szvegtrzs"/>
        <w:spacing w:before="4"/>
        <w:rPr>
          <w:b/>
          <w:sz w:val="20"/>
        </w:rPr>
      </w:pPr>
    </w:p>
    <w:p w14:paraId="211829EC" w14:textId="3BBC3850" w:rsidR="004C11B6" w:rsidRDefault="00F05A0C" w:rsidP="0048577B">
      <w:pPr>
        <w:pStyle w:val="Szvegtrzs"/>
      </w:pPr>
      <w:r>
        <w:rPr>
          <w:u w:val="single"/>
        </w:rPr>
        <w:t>CYP3A4</w:t>
      </w:r>
      <w:r w:rsidR="00FB49A8">
        <w:rPr>
          <w:u w:val="single"/>
        </w:rPr>
        <w:t>-</w:t>
      </w:r>
      <w:r>
        <w:rPr>
          <w:spacing w:val="-4"/>
          <w:u w:val="single"/>
        </w:rPr>
        <w:t xml:space="preserve"> </w:t>
      </w:r>
      <w:r>
        <w:rPr>
          <w:u w:val="single"/>
        </w:rPr>
        <w:t>és</w:t>
      </w:r>
      <w:r>
        <w:rPr>
          <w:spacing w:val="-4"/>
          <w:u w:val="single"/>
        </w:rPr>
        <w:t xml:space="preserve"> </w:t>
      </w:r>
      <w:r>
        <w:rPr>
          <w:u w:val="single"/>
        </w:rPr>
        <w:t>P-gp</w:t>
      </w:r>
      <w:r w:rsidR="00FB49A8">
        <w:rPr>
          <w:spacing w:val="-4"/>
          <w:u w:val="single"/>
        </w:rPr>
        <w:t>-</w:t>
      </w:r>
      <w:r>
        <w:rPr>
          <w:u w:val="single"/>
        </w:rPr>
        <w:t>inhibitorok</w:t>
      </w:r>
    </w:p>
    <w:p w14:paraId="0C0590FA" w14:textId="3EC93100" w:rsidR="004C11B6" w:rsidRDefault="00F05A0C" w:rsidP="0048577B">
      <w:pPr>
        <w:pStyle w:val="Szvegtrzs"/>
        <w:spacing w:line="249" w:lineRule="exact"/>
      </w:pP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5"/>
        </w:rPr>
        <w:t xml:space="preserve"> </w:t>
      </w:r>
      <w:r>
        <w:t>együttes</w:t>
      </w:r>
      <w:r>
        <w:rPr>
          <w:spacing w:val="-3"/>
        </w:rPr>
        <w:t xml:space="preserve"> </w:t>
      </w:r>
      <w:r>
        <w:t>adása</w:t>
      </w:r>
      <w:r>
        <w:rPr>
          <w:spacing w:val="-3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egyszer</w:t>
      </w:r>
      <w:r>
        <w:rPr>
          <w:spacing w:val="-3"/>
        </w:rPr>
        <w:t xml:space="preserve"> </w:t>
      </w:r>
      <w:r>
        <w:t>400</w:t>
      </w:r>
      <w:r w:rsidR="00FB49A8">
        <w:rPr>
          <w:spacing w:val="-4"/>
        </w:rPr>
        <w:t> </w:t>
      </w:r>
      <w:r>
        <w:t>mg</w:t>
      </w:r>
      <w:r>
        <w:rPr>
          <w:spacing w:val="-3"/>
        </w:rPr>
        <w:t xml:space="preserve"> </w:t>
      </w:r>
      <w:r>
        <w:t>ketokonazollal,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CYP3A4-nek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</w:p>
    <w:p w14:paraId="4C97755A" w14:textId="77777777" w:rsidR="004C11B6" w:rsidRDefault="00F05A0C" w:rsidP="0048577B">
      <w:pPr>
        <w:pStyle w:val="Szvegtrzs"/>
        <w:spacing w:before="2" w:line="232" w:lineRule="auto"/>
      </w:pPr>
      <w:r>
        <w:t>P-gp-nek egyaránt erős inhibitora, az apixabán átlagos AUC-értékének kétszeres és az apixabán</w:t>
      </w:r>
      <w:r w:rsidRPr="00363C37">
        <w:t xml:space="preserve"> átlagos C</w:t>
      </w:r>
      <w:r w:rsidRPr="00363C37">
        <w:rPr>
          <w:vertAlign w:val="subscript"/>
        </w:rPr>
        <w:t>max</w:t>
      </w:r>
      <w:r w:rsidRPr="00363C37">
        <w:t>-értékének 1,6-szeres növekedéséhez vezetett.</w:t>
      </w:r>
    </w:p>
    <w:p w14:paraId="697DCFD1" w14:textId="77777777" w:rsidR="004C11B6" w:rsidRDefault="004C11B6" w:rsidP="0048577B">
      <w:pPr>
        <w:pStyle w:val="Szvegtrzs"/>
        <w:spacing w:before="10"/>
        <w:rPr>
          <w:sz w:val="20"/>
        </w:rPr>
      </w:pPr>
    </w:p>
    <w:p w14:paraId="1A9A61C4" w14:textId="77777777" w:rsidR="004C11B6" w:rsidRDefault="00F05A0C" w:rsidP="0048577B">
      <w:pPr>
        <w:pStyle w:val="Szvegtrzs"/>
        <w:spacing w:before="1" w:line="230" w:lineRule="auto"/>
      </w:pPr>
      <w:r>
        <w:t>Az apixabán alkalmazása nem javasolt olyan betegeknél, akik a CYP3A4-et és a P-gp-t egyaránt</w:t>
      </w:r>
      <w:r>
        <w:rPr>
          <w:spacing w:val="1"/>
        </w:rPr>
        <w:t xml:space="preserve"> </w:t>
      </w:r>
      <w:r>
        <w:t>erősen gátló szerekkel végzett szisztémás kezelést kapnak egyidejűleg, mint amilyenek az azol-típusú</w:t>
      </w:r>
      <w:r>
        <w:rPr>
          <w:spacing w:val="-52"/>
        </w:rPr>
        <w:t xml:space="preserve"> </w:t>
      </w:r>
      <w:r>
        <w:t>antimikotikumok (pl. ketokonazol, itrakonazol, vorikonazol, valamint a pozakonazol) és a HIV</w:t>
      </w:r>
      <w:r>
        <w:rPr>
          <w:spacing w:val="1"/>
        </w:rPr>
        <w:t xml:space="preserve"> </w:t>
      </w:r>
      <w:r>
        <w:t>proteáz-gátlók</w:t>
      </w:r>
      <w:r>
        <w:rPr>
          <w:spacing w:val="-2"/>
        </w:rPr>
        <w:t xml:space="preserve"> </w:t>
      </w:r>
      <w:r>
        <w:t>(pl.</w:t>
      </w:r>
      <w:r>
        <w:rPr>
          <w:spacing w:val="-1"/>
        </w:rPr>
        <w:t xml:space="preserve"> </w:t>
      </w:r>
      <w:r>
        <w:t>ritonavir)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4.4 pont).</w:t>
      </w:r>
    </w:p>
    <w:p w14:paraId="2FA551B4" w14:textId="77777777" w:rsidR="004C11B6" w:rsidRDefault="004C11B6" w:rsidP="0048577B">
      <w:pPr>
        <w:pStyle w:val="Szvegtrzs"/>
        <w:spacing w:before="1"/>
        <w:rPr>
          <w:sz w:val="21"/>
        </w:rPr>
      </w:pPr>
    </w:p>
    <w:p w14:paraId="743C3463" w14:textId="77777777" w:rsidR="004C11B6" w:rsidRDefault="00F05A0C" w:rsidP="0048577B">
      <w:pPr>
        <w:pStyle w:val="Szvegtrzs"/>
        <w:spacing w:line="232" w:lineRule="auto"/>
      </w:pPr>
      <w:r>
        <w:t>Azok a hatóanyagok, amelyeket nem tekintenek a CYP3A4 és a P-gp egyaránt erős inhibitorainak</w:t>
      </w:r>
      <w:r>
        <w:rPr>
          <w:spacing w:val="1"/>
        </w:rPr>
        <w:t xml:space="preserve"> </w:t>
      </w:r>
      <w:r>
        <w:t>(pl.</w:t>
      </w:r>
      <w:r>
        <w:rPr>
          <w:spacing w:val="-8"/>
        </w:rPr>
        <w:t xml:space="preserve"> </w:t>
      </w:r>
      <w:r>
        <w:t>amiodaron,</w:t>
      </w:r>
      <w:r>
        <w:rPr>
          <w:spacing w:val="-6"/>
        </w:rPr>
        <w:t xml:space="preserve"> </w:t>
      </w:r>
      <w:r>
        <w:t>klaritromicin,</w:t>
      </w:r>
      <w:r>
        <w:rPr>
          <w:spacing w:val="-5"/>
        </w:rPr>
        <w:t xml:space="preserve"> </w:t>
      </w:r>
      <w:r>
        <w:t>diltiazem,</w:t>
      </w:r>
      <w:r>
        <w:rPr>
          <w:spacing w:val="-5"/>
        </w:rPr>
        <w:t xml:space="preserve"> </w:t>
      </w:r>
      <w:r>
        <w:t>flukonazol,</w:t>
      </w:r>
      <w:r>
        <w:rPr>
          <w:spacing w:val="-5"/>
        </w:rPr>
        <w:t xml:space="preserve"> </w:t>
      </w:r>
      <w:r>
        <w:t>naproxén,</w:t>
      </w:r>
      <w:r>
        <w:rPr>
          <w:spacing w:val="-5"/>
        </w:rPr>
        <w:t xml:space="preserve"> </w:t>
      </w:r>
      <w:r>
        <w:t>kinidin,</w:t>
      </w:r>
      <w:r>
        <w:rPr>
          <w:spacing w:val="-5"/>
        </w:rPr>
        <w:t xml:space="preserve"> </w:t>
      </w:r>
      <w:r>
        <w:t>verapamil),</w:t>
      </w:r>
      <w:r>
        <w:rPr>
          <w:spacing w:val="-6"/>
        </w:rPr>
        <w:t xml:space="preserve"> </w:t>
      </w:r>
      <w:r>
        <w:t>várhatóan</w:t>
      </w:r>
      <w:r>
        <w:rPr>
          <w:spacing w:val="-5"/>
        </w:rPr>
        <w:t xml:space="preserve"> </w:t>
      </w:r>
      <w:r>
        <w:t>kisebb</w:t>
      </w:r>
    </w:p>
    <w:p w14:paraId="44B2BD8A" w14:textId="4769A1F8" w:rsidR="004C11B6" w:rsidRDefault="00F05A0C" w:rsidP="0048577B">
      <w:pPr>
        <w:pStyle w:val="Szvegtrzs"/>
        <w:spacing w:line="230" w:lineRule="auto"/>
      </w:pPr>
      <w:r>
        <w:t>mértékben emelik az apixabán plazmakoncentrációját. Nincs szükség az apixabán dózismódosítására a</w:t>
      </w:r>
      <w:r>
        <w:rPr>
          <w:spacing w:val="-52"/>
        </w:rPr>
        <w:t xml:space="preserve"> </w:t>
      </w:r>
      <w:r>
        <w:t>CYP3A4 és a P-gp nem erős inhibitoraival végzett egyidejű kezelés esetén. Így például a diltiazem</w:t>
      </w:r>
      <w:r>
        <w:rPr>
          <w:spacing w:val="1"/>
        </w:rPr>
        <w:t xml:space="preserve"> </w:t>
      </w:r>
      <w:r>
        <w:t>(naponta egyszer 360 mg), mely a CYP3A4-nek közepesen erős és a P-gp-nek gyenge inhibitora, az</w:t>
      </w:r>
      <w:r>
        <w:rPr>
          <w:spacing w:val="1"/>
        </w:rPr>
        <w:t xml:space="preserve"> </w:t>
      </w:r>
      <w:r>
        <w:rPr>
          <w:position w:val="2"/>
        </w:rPr>
        <w:t>apixabán átlagos AUC-értékének 1,4-szeres és a C</w:t>
      </w:r>
      <w:r>
        <w:rPr>
          <w:sz w:val="14"/>
        </w:rPr>
        <w:t>max</w:t>
      </w:r>
      <w:r>
        <w:rPr>
          <w:position w:val="2"/>
        </w:rPr>
        <w:t>-értékének 1,3-szeres növekedését okozta. A</w:t>
      </w:r>
      <w:r>
        <w:rPr>
          <w:spacing w:val="1"/>
          <w:position w:val="2"/>
        </w:rPr>
        <w:t xml:space="preserve"> </w:t>
      </w:r>
      <w:r>
        <w:t>naproxén, ami csak a P-gp inhibitora, de a CYP3A4-nek nem, egyszeri 500</w:t>
      </w:r>
      <w:r w:rsidR="00DE0877">
        <w:t> </w:t>
      </w:r>
      <w:r>
        <w:t>mg-os dózisban az</w:t>
      </w:r>
      <w:r>
        <w:rPr>
          <w:spacing w:val="1"/>
        </w:rPr>
        <w:t xml:space="preserve"> </w:t>
      </w:r>
      <w:r>
        <w:rPr>
          <w:position w:val="2"/>
        </w:rPr>
        <w:t>apixabán átlagos AUC-értékének 1,5-szeres, a C</w:t>
      </w:r>
      <w:r>
        <w:rPr>
          <w:sz w:val="14"/>
        </w:rPr>
        <w:t>max</w:t>
      </w:r>
      <w:r>
        <w:rPr>
          <w:position w:val="2"/>
        </w:rPr>
        <w:t>-értékének 1,6-szeres növekedését idézte elő. A</w:t>
      </w:r>
      <w:r>
        <w:rPr>
          <w:spacing w:val="1"/>
          <w:position w:val="2"/>
        </w:rPr>
        <w:t xml:space="preserve"> </w:t>
      </w:r>
      <w:r>
        <w:t>klaritromicin (naponta kétszer 500 mg), ami a P-gp inhibitora és a CYP3A4 erős inhibitora, az</w:t>
      </w:r>
      <w:r>
        <w:rPr>
          <w:spacing w:val="1"/>
        </w:rPr>
        <w:t xml:space="preserve"> </w:t>
      </w:r>
      <w:r>
        <w:rPr>
          <w:position w:val="2"/>
        </w:rPr>
        <w:t>apixabán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átlagos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AUC-értékének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1,6-szeres,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C</w:t>
      </w:r>
      <w:r>
        <w:rPr>
          <w:sz w:val="14"/>
        </w:rPr>
        <w:t>max</w:t>
      </w:r>
      <w:r>
        <w:rPr>
          <w:position w:val="2"/>
        </w:rPr>
        <w:t>-értékének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1,3-szeres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növekedését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idézte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elő.</w:t>
      </w:r>
    </w:p>
    <w:p w14:paraId="181E2F7A" w14:textId="77777777" w:rsidR="004C11B6" w:rsidRDefault="004C11B6" w:rsidP="0048577B">
      <w:pPr>
        <w:pStyle w:val="Szvegtrzs"/>
        <w:spacing w:before="3"/>
        <w:rPr>
          <w:sz w:val="20"/>
        </w:rPr>
      </w:pPr>
    </w:p>
    <w:p w14:paraId="74349602" w14:textId="3A77802F" w:rsidR="0048577B" w:rsidRDefault="00F05A0C" w:rsidP="0048577B">
      <w:pPr>
        <w:pStyle w:val="Szvegtrzs"/>
        <w:rPr>
          <w:u w:val="single"/>
        </w:rPr>
      </w:pPr>
      <w:r>
        <w:rPr>
          <w:u w:val="single"/>
        </w:rPr>
        <w:t>CYP3A4</w:t>
      </w:r>
      <w:r w:rsidR="00DE0877">
        <w:rPr>
          <w:u w:val="single"/>
        </w:rPr>
        <w:t>-</w:t>
      </w:r>
      <w:r>
        <w:rPr>
          <w:spacing w:val="-4"/>
          <w:u w:val="single"/>
        </w:rPr>
        <w:t xml:space="preserve"> </w:t>
      </w:r>
      <w:r>
        <w:rPr>
          <w:u w:val="single"/>
        </w:rPr>
        <w:t>és</w:t>
      </w:r>
      <w:r>
        <w:rPr>
          <w:spacing w:val="-4"/>
          <w:u w:val="single"/>
        </w:rPr>
        <w:t xml:space="preserve"> </w:t>
      </w:r>
      <w:r>
        <w:rPr>
          <w:u w:val="single"/>
        </w:rPr>
        <w:t>P-gp</w:t>
      </w:r>
      <w:r w:rsidR="00DE0877">
        <w:rPr>
          <w:spacing w:val="-3"/>
          <w:u w:val="single"/>
        </w:rPr>
        <w:t>-</w:t>
      </w:r>
      <w:r>
        <w:rPr>
          <w:u w:val="single"/>
        </w:rPr>
        <w:t>induktorok</w:t>
      </w:r>
    </w:p>
    <w:p w14:paraId="2C4B7469" w14:textId="638804FF" w:rsidR="004C11B6" w:rsidRDefault="00F05A0C" w:rsidP="0048577B">
      <w:pPr>
        <w:pStyle w:val="Szvegtrzs"/>
      </w:pPr>
      <w:r>
        <w:t>Az apixabán egyidejű alkalmazása rifampicinnel, ami a CYP3A4-nek és a P-gp-nek egyaránt erős</w:t>
      </w:r>
      <w:r>
        <w:rPr>
          <w:spacing w:val="-52"/>
        </w:rPr>
        <w:t xml:space="preserve"> </w:t>
      </w:r>
      <w:r>
        <w:rPr>
          <w:position w:val="2"/>
        </w:rPr>
        <w:t>induktora, az apixabán átlagos AUC-értékének 54%-os és a C</w:t>
      </w:r>
      <w:r>
        <w:rPr>
          <w:sz w:val="14"/>
        </w:rPr>
        <w:t>max</w:t>
      </w:r>
      <w:r>
        <w:rPr>
          <w:position w:val="2"/>
        </w:rPr>
        <w:t>-értékének 42%-os csökkenését</w:t>
      </w:r>
      <w:r>
        <w:rPr>
          <w:spacing w:val="1"/>
          <w:position w:val="2"/>
        </w:rPr>
        <w:t xml:space="preserve"> </w:t>
      </w:r>
      <w:r>
        <w:t>okozta.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együttes</w:t>
      </w:r>
      <w:r>
        <w:rPr>
          <w:spacing w:val="-4"/>
        </w:rPr>
        <w:t xml:space="preserve"> </w:t>
      </w:r>
      <w:r>
        <w:t>alkalmazása</w:t>
      </w:r>
      <w:r>
        <w:rPr>
          <w:spacing w:val="-3"/>
        </w:rPr>
        <w:t xml:space="preserve"> </w:t>
      </w:r>
      <w:r>
        <w:t>más</w:t>
      </w:r>
      <w:r>
        <w:rPr>
          <w:spacing w:val="-4"/>
        </w:rPr>
        <w:t xml:space="preserve"> </w:t>
      </w:r>
      <w:r>
        <w:t>erős</w:t>
      </w:r>
      <w:r>
        <w:rPr>
          <w:spacing w:val="-3"/>
        </w:rPr>
        <w:t xml:space="preserve"> </w:t>
      </w:r>
      <w:r>
        <w:t>CYP3A4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P-gp</w:t>
      </w:r>
      <w:r>
        <w:rPr>
          <w:spacing w:val="-4"/>
        </w:rPr>
        <w:t xml:space="preserve"> </w:t>
      </w:r>
      <w:r>
        <w:t>induktorokkal</w:t>
      </w:r>
      <w:r>
        <w:rPr>
          <w:spacing w:val="-4"/>
        </w:rPr>
        <w:t xml:space="preserve"> </w:t>
      </w:r>
      <w:r>
        <w:t>[pl.</w:t>
      </w:r>
      <w:r>
        <w:rPr>
          <w:spacing w:val="-3"/>
        </w:rPr>
        <w:t xml:space="preserve"> </w:t>
      </w:r>
      <w:r>
        <w:t>fenitoin,</w:t>
      </w:r>
    </w:p>
    <w:p w14:paraId="3786ED65" w14:textId="5A2F96B9" w:rsidR="004C11B6" w:rsidRDefault="00F05A0C" w:rsidP="0048577B">
      <w:pPr>
        <w:pStyle w:val="Szvegtrzs"/>
        <w:spacing w:before="80" w:line="247" w:lineRule="auto"/>
      </w:pPr>
      <w:r>
        <w:t>karbamazepin, fenobarbitál vagy közönséges orbáncfű (</w:t>
      </w:r>
      <w:r>
        <w:rPr>
          <w:i/>
        </w:rPr>
        <w:t>Hypericum perforatum</w:t>
      </w:r>
      <w:r>
        <w:t>)] szintén az apixabán</w:t>
      </w:r>
      <w:r>
        <w:rPr>
          <w:spacing w:val="-52"/>
        </w:rPr>
        <w:t xml:space="preserve"> </w:t>
      </w:r>
      <w:r>
        <w:t>plazmakoncentrációjának csökkenéséhez vezethet. Az ilyen gyógyszerekkel való együttes kezelés</w:t>
      </w:r>
      <w:r>
        <w:rPr>
          <w:spacing w:val="1"/>
        </w:rPr>
        <w:t xml:space="preserve"> </w:t>
      </w:r>
      <w:r>
        <w:t>esetén az apixabán dózismódosítása nem szükséges, ugyanakkor azoknál a betegeknél, akik a</w:t>
      </w:r>
      <w:r>
        <w:rPr>
          <w:spacing w:val="1"/>
        </w:rPr>
        <w:t xml:space="preserve"> </w:t>
      </w:r>
      <w:r>
        <w:t>CYP3A4 és a P-gp egyaránt erős induktoraival végzett szisztémás kezelést kapnak egyidejűleg, az</w:t>
      </w:r>
      <w:r>
        <w:rPr>
          <w:spacing w:val="1"/>
        </w:rPr>
        <w:t xml:space="preserve"> </w:t>
      </w:r>
      <w:r>
        <w:t>apixabánt óvatosan kell alkalmazni a vénás thromboembolia megelőzésére elektív csípő- vagy</w:t>
      </w:r>
      <w:r>
        <w:rPr>
          <w:spacing w:val="1"/>
        </w:rPr>
        <w:t xml:space="preserve"> </w:t>
      </w:r>
      <w:r>
        <w:t xml:space="preserve">térdprotézis műtét esetén, a stroke és a szisztémás embolizáció prevenciójára a nem </w:t>
      </w:r>
      <w:r w:rsidR="00E0063B" w:rsidRPr="00A27CEC">
        <w:t>valvuláris</w:t>
      </w:r>
      <w:r w:rsidR="00E0063B">
        <w:t xml:space="preserve"> </w:t>
      </w:r>
      <w:r>
        <w:t>pitvarfibrillációban szenvedő betegeknél, valamint az MVT és a PE kiújulásának megelőzésére. Az</w:t>
      </w:r>
      <w:r>
        <w:rPr>
          <w:spacing w:val="1"/>
        </w:rPr>
        <w:t xml:space="preserve"> </w:t>
      </w:r>
      <w:r>
        <w:t>apixabán nem javasolt az MVT és a PE kezelésére azoknál a betegeknél, akik a CYP3A4 és a P-gp</w:t>
      </w:r>
      <w:r>
        <w:rPr>
          <w:spacing w:val="1"/>
        </w:rPr>
        <w:t xml:space="preserve"> </w:t>
      </w:r>
      <w:r>
        <w:t>egyaránt erős induktoraival végzett szisztémás kezelést kapnak egyidejűleg, mivel a hatásossága</w:t>
      </w:r>
      <w:r>
        <w:rPr>
          <w:spacing w:val="1"/>
        </w:rPr>
        <w:t xml:space="preserve"> </w:t>
      </w:r>
      <w:r>
        <w:t>csökkenhet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4.4 pont).</w:t>
      </w:r>
    </w:p>
    <w:p w14:paraId="4E4E1D79" w14:textId="77777777" w:rsidR="004C11B6" w:rsidRDefault="004C11B6" w:rsidP="0048577B">
      <w:pPr>
        <w:pStyle w:val="Szvegtrzs"/>
        <w:spacing w:before="4"/>
        <w:rPr>
          <w:sz w:val="20"/>
        </w:rPr>
      </w:pPr>
    </w:p>
    <w:p w14:paraId="25CD865F" w14:textId="066A18A0" w:rsidR="004C11B6" w:rsidRDefault="00F05A0C" w:rsidP="0048577B">
      <w:pPr>
        <w:pStyle w:val="Szvegtrzs"/>
        <w:spacing w:line="230" w:lineRule="auto"/>
      </w:pPr>
      <w:r>
        <w:rPr>
          <w:u w:val="single"/>
        </w:rPr>
        <w:t>Antikoagulánsok, thrombocyta-aggregáció-gátlók, SSRI-k/SNRI-k és nem-szteroid</w:t>
      </w:r>
      <w:r w:rsidR="00DE0877">
        <w:rPr>
          <w:u w:val="single"/>
        </w:rPr>
        <w:t xml:space="preserve"> </w:t>
      </w:r>
      <w:r w:rsidR="00F95AC9">
        <w:rPr>
          <w:u w:val="single"/>
        </w:rPr>
        <w:t>gyulladás</w:t>
      </w:r>
      <w:r w:rsidR="007D44B5">
        <w:rPr>
          <w:u w:val="single"/>
        </w:rPr>
        <w:t>csökkentők</w:t>
      </w:r>
    </w:p>
    <w:p w14:paraId="5B371CC0" w14:textId="77777777" w:rsidR="004C11B6" w:rsidRDefault="00F05A0C" w:rsidP="0048577B">
      <w:pPr>
        <w:pStyle w:val="Szvegtrzs"/>
        <w:spacing w:line="230" w:lineRule="auto"/>
      </w:pPr>
      <w:r>
        <w:t>A vérzés fokozott kockázata miatt bármilyen más antikoagulánssal végezett egyidejű kezelés</w:t>
      </w:r>
      <w:r>
        <w:rPr>
          <w:spacing w:val="1"/>
        </w:rPr>
        <w:t xml:space="preserve"> </w:t>
      </w:r>
      <w:r>
        <w:t>ellenjavallt, kivéve azokat a specifikus körülményeket, amikor a beteget az egyik antikoaguláns</w:t>
      </w:r>
      <w:r>
        <w:rPr>
          <w:spacing w:val="1"/>
        </w:rPr>
        <w:t xml:space="preserve"> </w:t>
      </w:r>
      <w:r>
        <w:t>kezelésről állítják át egy másikra amikor a nem frakcionált heparint a centrális vénás vagy artériás</w:t>
      </w:r>
      <w:r>
        <w:rPr>
          <w:spacing w:val="-52"/>
        </w:rPr>
        <w:t xml:space="preserve"> </w:t>
      </w:r>
      <w:r>
        <w:t>kanül átjárhatóságának fenntartásához szükséges dózisokban adják vagy amikor nem frakcionált</w:t>
      </w:r>
      <w:r>
        <w:rPr>
          <w:spacing w:val="1"/>
        </w:rPr>
        <w:t xml:space="preserve"> </w:t>
      </w:r>
      <w:r>
        <w:t>heparint</w:t>
      </w:r>
      <w:r>
        <w:rPr>
          <w:spacing w:val="-2"/>
        </w:rPr>
        <w:t xml:space="preserve"> </w:t>
      </w:r>
      <w:r>
        <w:t>adnak</w:t>
      </w:r>
      <w:r>
        <w:rPr>
          <w:spacing w:val="-2"/>
        </w:rPr>
        <w:t xml:space="preserve"> </w:t>
      </w:r>
      <w:r>
        <w:t>pitvarfibrilláció</w:t>
      </w:r>
      <w:r>
        <w:rPr>
          <w:spacing w:val="-2"/>
        </w:rPr>
        <w:t xml:space="preserve"> </w:t>
      </w:r>
      <w:r>
        <w:t>miatti</w:t>
      </w:r>
      <w:r>
        <w:rPr>
          <w:spacing w:val="-1"/>
        </w:rPr>
        <w:t xml:space="preserve"> </w:t>
      </w:r>
      <w:r>
        <w:t>katéteres</w:t>
      </w:r>
      <w:r>
        <w:rPr>
          <w:spacing w:val="-2"/>
        </w:rPr>
        <w:t xml:space="preserve"> </w:t>
      </w:r>
      <w:r>
        <w:t>abláció</w:t>
      </w:r>
      <w:r>
        <w:rPr>
          <w:spacing w:val="-2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4.3</w:t>
      </w:r>
      <w:r>
        <w:rPr>
          <w:spacing w:val="-1"/>
        </w:rPr>
        <w:t xml:space="preserve"> </w:t>
      </w:r>
      <w:r>
        <w:t>pont).</w:t>
      </w:r>
    </w:p>
    <w:p w14:paraId="6C56C7D7" w14:textId="77777777" w:rsidR="004C11B6" w:rsidRDefault="004C11B6">
      <w:pPr>
        <w:pStyle w:val="Szvegtrzs"/>
        <w:spacing w:before="3"/>
        <w:rPr>
          <w:sz w:val="21"/>
        </w:rPr>
      </w:pPr>
    </w:p>
    <w:p w14:paraId="583D77FE" w14:textId="2BDC5121" w:rsidR="004C11B6" w:rsidRDefault="00F05A0C" w:rsidP="0048577B">
      <w:pPr>
        <w:pStyle w:val="Szvegtrzs"/>
        <w:spacing w:before="1" w:line="232" w:lineRule="auto"/>
        <w:ind w:right="2"/>
      </w:pPr>
      <w:r>
        <w:t>Az enoxaparin (40</w:t>
      </w:r>
      <w:r w:rsidR="00DE0877">
        <w:t> </w:t>
      </w:r>
      <w:r>
        <w:t>mg egyszeri adag) apixabánnal (5</w:t>
      </w:r>
      <w:r w:rsidR="00DE0877">
        <w:t> </w:t>
      </w:r>
      <w:r>
        <w:t>mg egyszeri adag) történő kombinált</w:t>
      </w:r>
      <w:r w:rsidR="00F95AC9">
        <w:t xml:space="preserve"> </w:t>
      </w:r>
      <w:r>
        <w:t>alkalmazása</w:t>
      </w:r>
      <w:r>
        <w:rPr>
          <w:spacing w:val="-4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anti-Xa-faktor</w:t>
      </w:r>
      <w:r>
        <w:rPr>
          <w:spacing w:val="-3"/>
        </w:rPr>
        <w:t xml:space="preserve"> </w:t>
      </w:r>
      <w:r>
        <w:t>aktivitásra</w:t>
      </w:r>
      <w:r>
        <w:rPr>
          <w:spacing w:val="-4"/>
        </w:rPr>
        <w:t xml:space="preserve"> </w:t>
      </w:r>
      <w:r>
        <w:t>gyakorolt</w:t>
      </w:r>
      <w:r>
        <w:rPr>
          <w:spacing w:val="-3"/>
        </w:rPr>
        <w:t xml:space="preserve"> </w:t>
      </w:r>
      <w:r>
        <w:t>additív</w:t>
      </w:r>
      <w:r>
        <w:rPr>
          <w:spacing w:val="-4"/>
        </w:rPr>
        <w:t xml:space="preserve"> </w:t>
      </w:r>
      <w:r>
        <w:t>hatást</w:t>
      </w:r>
      <w:r>
        <w:rPr>
          <w:spacing w:val="-3"/>
        </w:rPr>
        <w:t xml:space="preserve"> </w:t>
      </w:r>
      <w:r>
        <w:t>figyeltek</w:t>
      </w:r>
      <w:r>
        <w:rPr>
          <w:spacing w:val="-3"/>
        </w:rPr>
        <w:t xml:space="preserve"> </w:t>
      </w:r>
      <w:r>
        <w:t>meg.</w:t>
      </w:r>
    </w:p>
    <w:p w14:paraId="493132E6" w14:textId="77777777" w:rsidR="004C11B6" w:rsidRDefault="004C11B6" w:rsidP="0048577B">
      <w:pPr>
        <w:pStyle w:val="Szvegtrzs"/>
        <w:spacing w:before="11"/>
        <w:ind w:right="2"/>
        <w:rPr>
          <w:sz w:val="20"/>
        </w:rPr>
      </w:pPr>
    </w:p>
    <w:p w14:paraId="7F7A8368" w14:textId="3E213934" w:rsidR="004C11B6" w:rsidRDefault="00F05A0C" w:rsidP="0048577B">
      <w:pPr>
        <w:pStyle w:val="Szvegtrzs"/>
        <w:spacing w:line="232" w:lineRule="auto"/>
        <w:ind w:right="2"/>
      </w:pPr>
      <w:r>
        <w:t>Naponta egyszeri 325</w:t>
      </w:r>
      <w:r w:rsidR="00DE0877">
        <w:t> </w:t>
      </w:r>
      <w:r>
        <w:t>mg acetilszalicilsavval való együttes kezelés során nem voltak nyilvánvaló</w:t>
      </w:r>
      <w:r>
        <w:rPr>
          <w:spacing w:val="-52"/>
        </w:rPr>
        <w:t xml:space="preserve"> </w:t>
      </w:r>
      <w:r>
        <w:t>farmakokinetikai</w:t>
      </w:r>
      <w:r>
        <w:rPr>
          <w:spacing w:val="-2"/>
        </w:rPr>
        <w:t xml:space="preserve"> </w:t>
      </w:r>
      <w:r>
        <w:t>vagy</w:t>
      </w:r>
      <w:r>
        <w:rPr>
          <w:spacing w:val="-1"/>
        </w:rPr>
        <w:t xml:space="preserve"> </w:t>
      </w:r>
      <w:r>
        <w:t>farmakodinámiás</w:t>
      </w:r>
      <w:r>
        <w:rPr>
          <w:spacing w:val="-2"/>
        </w:rPr>
        <w:t xml:space="preserve"> </w:t>
      </w:r>
      <w:r>
        <w:t>kölcsönhatások.</w:t>
      </w:r>
    </w:p>
    <w:p w14:paraId="1A103587" w14:textId="77777777" w:rsidR="004C11B6" w:rsidRDefault="004C11B6">
      <w:pPr>
        <w:pStyle w:val="Szvegtrzs"/>
        <w:spacing w:before="1"/>
        <w:rPr>
          <w:sz w:val="21"/>
        </w:rPr>
      </w:pPr>
    </w:p>
    <w:p w14:paraId="7AE2428C" w14:textId="25F08FCE" w:rsidR="004C11B6" w:rsidRDefault="00F05A0C" w:rsidP="0048577B">
      <w:pPr>
        <w:pStyle w:val="Szvegtrzs"/>
        <w:spacing w:before="1" w:line="230" w:lineRule="auto"/>
        <w:ind w:right="2"/>
      </w:pPr>
      <w:r>
        <w:t>Az apixabánnal együtt adott klopidogrel (naponta egyszer 75</w:t>
      </w:r>
      <w:r w:rsidR="00DE0877">
        <w:t> </w:t>
      </w:r>
      <w:r>
        <w:t>mg) vagy a 75</w:t>
      </w:r>
      <w:r w:rsidR="00DE0877">
        <w:t> </w:t>
      </w:r>
      <w:r>
        <w:t>mg klopidogrel és a</w:t>
      </w:r>
      <w:r>
        <w:rPr>
          <w:spacing w:val="1"/>
        </w:rPr>
        <w:t xml:space="preserve"> </w:t>
      </w:r>
      <w:r>
        <w:t>naponta egyszer adott 162</w:t>
      </w:r>
      <w:r w:rsidR="00DE0877">
        <w:t> </w:t>
      </w:r>
      <w:r>
        <w:t>mg acetilszalicilsav vagy a prazugrel (60</w:t>
      </w:r>
      <w:r w:rsidR="00DE0877">
        <w:t> </w:t>
      </w:r>
      <w:r>
        <w:t>mg, majd naponta egyszer 10</w:t>
      </w:r>
      <w:r w:rsidR="00DE0877">
        <w:t> </w:t>
      </w:r>
      <w:r>
        <w:t>mg)</w:t>
      </w:r>
      <w:r>
        <w:rPr>
          <w:spacing w:val="-52"/>
        </w:rPr>
        <w:t xml:space="preserve"> </w:t>
      </w:r>
      <w:r>
        <w:t>kombinációja</w:t>
      </w:r>
      <w:r>
        <w:rPr>
          <w:spacing w:val="-2"/>
        </w:rPr>
        <w:t xml:space="preserve"> </w:t>
      </w:r>
      <w:r>
        <w:t>a</w:t>
      </w:r>
      <w:r w:rsidR="00F9122D">
        <w:t>z</w:t>
      </w:r>
      <w:r>
        <w:rPr>
          <w:spacing w:val="-2"/>
        </w:rPr>
        <w:t xml:space="preserve"> </w:t>
      </w:r>
      <w:r>
        <w:t>I</w:t>
      </w:r>
      <w:r w:rsidR="00F9122D">
        <w:t>. fázisú</w:t>
      </w:r>
      <w:r>
        <w:rPr>
          <w:spacing w:val="-3"/>
        </w:rPr>
        <w:t xml:space="preserve"> </w:t>
      </w:r>
      <w:r>
        <w:t>vizsgálatokban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járt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mintaként</w:t>
      </w:r>
      <w:r>
        <w:rPr>
          <w:spacing w:val="-2"/>
        </w:rPr>
        <w:t xml:space="preserve"> </w:t>
      </w:r>
      <w:r>
        <w:t>szolgáló</w:t>
      </w:r>
      <w:r>
        <w:rPr>
          <w:spacing w:val="-2"/>
        </w:rPr>
        <w:t xml:space="preserve"> </w:t>
      </w:r>
      <w:r>
        <w:t>vérzési</w:t>
      </w:r>
      <w:r>
        <w:rPr>
          <w:spacing w:val="-1"/>
        </w:rPr>
        <w:t xml:space="preserve"> </w:t>
      </w:r>
      <w:r>
        <w:t>idő,</w:t>
      </w:r>
      <w:r>
        <w:rPr>
          <w:spacing w:val="-2"/>
        </w:rPr>
        <w:t xml:space="preserve"> </w:t>
      </w:r>
      <w:r>
        <w:t>a</w:t>
      </w:r>
    </w:p>
    <w:p w14:paraId="551FF223" w14:textId="77777777" w:rsidR="004C11B6" w:rsidRDefault="00F05A0C" w:rsidP="0048577B">
      <w:pPr>
        <w:pStyle w:val="Szvegtrzs"/>
        <w:spacing w:line="242" w:lineRule="exact"/>
        <w:ind w:right="2"/>
      </w:pPr>
      <w:r>
        <w:t>thrombocyta-aggregáció</w:t>
      </w:r>
      <w:r>
        <w:rPr>
          <w:spacing w:val="-6"/>
        </w:rPr>
        <w:t xml:space="preserve"> </w:t>
      </w:r>
      <w:r>
        <w:t>további</w:t>
      </w:r>
      <w:r>
        <w:rPr>
          <w:spacing w:val="-6"/>
        </w:rPr>
        <w:t xml:space="preserve"> </w:t>
      </w:r>
      <w:r>
        <w:t>gátlásának</w:t>
      </w:r>
      <w:r>
        <w:rPr>
          <w:spacing w:val="-6"/>
        </w:rPr>
        <w:t xml:space="preserve"> </w:t>
      </w:r>
      <w:r>
        <w:t>jelentős</w:t>
      </w:r>
      <w:r>
        <w:rPr>
          <w:spacing w:val="-6"/>
        </w:rPr>
        <w:t xml:space="preserve"> </w:t>
      </w:r>
      <w:r>
        <w:t>növekedésével,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azokat</w:t>
      </w:r>
      <w:r>
        <w:rPr>
          <w:spacing w:val="-6"/>
        </w:rPr>
        <w:t xml:space="preserve"> </w:t>
      </w:r>
      <w:r>
        <w:t>a</w:t>
      </w:r>
    </w:p>
    <w:p w14:paraId="45991D87" w14:textId="77777777" w:rsidR="004C11B6" w:rsidRDefault="00F05A0C" w:rsidP="0048577B">
      <w:pPr>
        <w:pStyle w:val="Szvegtrzs"/>
        <w:spacing w:before="4" w:line="230" w:lineRule="auto"/>
        <w:ind w:right="2"/>
      </w:pPr>
      <w:r>
        <w:t>thrombocyta-aggregációt gátló szerek apixabán nélküli alkalmazásával hasonlították össze. A</w:t>
      </w:r>
      <w:r>
        <w:rPr>
          <w:spacing w:val="-52"/>
        </w:rPr>
        <w:t xml:space="preserve"> </w:t>
      </w:r>
      <w:r>
        <w:t>véralvadási</w:t>
      </w:r>
      <w:r>
        <w:rPr>
          <w:spacing w:val="-4"/>
        </w:rPr>
        <w:t xml:space="preserve"> </w:t>
      </w:r>
      <w:r>
        <w:t>vizsgálatok</w:t>
      </w:r>
      <w:r>
        <w:rPr>
          <w:spacing w:val="-3"/>
        </w:rPr>
        <w:t xml:space="preserve"> </w:t>
      </w:r>
      <w:r>
        <w:t>(PT,</w:t>
      </w:r>
      <w:r>
        <w:rPr>
          <w:spacing w:val="-4"/>
        </w:rPr>
        <w:t xml:space="preserve"> </w:t>
      </w:r>
      <w:r>
        <w:t>INR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aPTT)</w:t>
      </w:r>
      <w:r>
        <w:rPr>
          <w:spacing w:val="-4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hatásaival</w:t>
      </w:r>
      <w:r>
        <w:rPr>
          <w:spacing w:val="-3"/>
        </w:rPr>
        <w:t xml:space="preserve"> </w:t>
      </w:r>
      <w:r>
        <w:t>voltak</w:t>
      </w:r>
      <w:r>
        <w:rPr>
          <w:spacing w:val="-4"/>
        </w:rPr>
        <w:t xml:space="preserve"> </w:t>
      </w:r>
      <w:r>
        <w:t>összhangban.</w:t>
      </w:r>
    </w:p>
    <w:p w14:paraId="1E0EA4B4" w14:textId="77777777" w:rsidR="004C11B6" w:rsidRDefault="004C11B6" w:rsidP="0048577B">
      <w:pPr>
        <w:pStyle w:val="Szvegtrzs"/>
        <w:spacing w:before="2"/>
        <w:ind w:right="2"/>
        <w:rPr>
          <w:sz w:val="21"/>
        </w:rPr>
      </w:pPr>
    </w:p>
    <w:p w14:paraId="32D14D02" w14:textId="18C995B9" w:rsidR="004C11B6" w:rsidRDefault="00F05A0C" w:rsidP="0048577B">
      <w:pPr>
        <w:pStyle w:val="Szvegtrzs"/>
        <w:spacing w:line="230" w:lineRule="auto"/>
        <w:ind w:right="2"/>
      </w:pPr>
      <w:r>
        <w:rPr>
          <w:position w:val="2"/>
        </w:rPr>
        <w:t>A P-gp-t gátló naproxén (500 mg) alkalmazása az apixabán átlagos AUC- és C</w:t>
      </w:r>
      <w:r>
        <w:rPr>
          <w:sz w:val="14"/>
        </w:rPr>
        <w:t>max</w:t>
      </w:r>
      <w:r>
        <w:rPr>
          <w:position w:val="2"/>
        </w:rPr>
        <w:t>-értékének</w:t>
      </w:r>
      <w:r>
        <w:rPr>
          <w:spacing w:val="1"/>
          <w:position w:val="2"/>
        </w:rPr>
        <w:t xml:space="preserve"> </w:t>
      </w:r>
      <w:r>
        <w:t>sorrendben 1,5-szeres, illetve 1,6-szeres növekedéséhez vezetett. A véralvadási vizsgálatok</w:t>
      </w:r>
      <w:r>
        <w:rPr>
          <w:spacing w:val="1"/>
        </w:rPr>
        <w:t xml:space="preserve"> </w:t>
      </w:r>
      <w:r>
        <w:t>eredményei ennek megfelelő növekedést mutattak az apixabán esetében. Az apixabán és naproxén</w:t>
      </w:r>
      <w:r>
        <w:rPr>
          <w:spacing w:val="1"/>
        </w:rPr>
        <w:t xml:space="preserve"> </w:t>
      </w:r>
      <w:r>
        <w:t>együttes alkalmazása esetén nem figyeltek meg változást a naproxén arachidonsav</w:t>
      </w:r>
      <w:r w:rsidR="00DE0877">
        <w:t>-</w:t>
      </w:r>
      <w:r>
        <w:t>indukálta</w:t>
      </w:r>
      <w:r>
        <w:rPr>
          <w:spacing w:val="1"/>
        </w:rPr>
        <w:t xml:space="preserve"> </w:t>
      </w:r>
      <w:r>
        <w:t>thrombocyta-aggregációra kifejtett hatásában, és a vérzési idő klinikailag releváns meghosszabbodása</w:t>
      </w:r>
      <w:r>
        <w:rPr>
          <w:spacing w:val="-52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kimutatható.</w:t>
      </w:r>
    </w:p>
    <w:p w14:paraId="2284015F" w14:textId="77777777" w:rsidR="004C11B6" w:rsidRDefault="004C11B6" w:rsidP="0048577B">
      <w:pPr>
        <w:pStyle w:val="Szvegtrzs"/>
        <w:spacing w:before="5"/>
        <w:ind w:right="2"/>
        <w:rPr>
          <w:sz w:val="21"/>
        </w:rPr>
      </w:pPr>
    </w:p>
    <w:p w14:paraId="3D356377" w14:textId="77777777" w:rsidR="004C11B6" w:rsidRDefault="00F05A0C" w:rsidP="0048577B">
      <w:pPr>
        <w:pStyle w:val="Szvegtrzs"/>
        <w:spacing w:line="230" w:lineRule="auto"/>
        <w:ind w:right="2"/>
      </w:pPr>
      <w:r>
        <w:t>A fenti eredmények ellenére lehetnek olyan egyének, akik kifejezettebb farmakodinámiás válasszal</w:t>
      </w:r>
      <w:r>
        <w:rPr>
          <w:spacing w:val="-52"/>
        </w:rPr>
        <w:t xml:space="preserve"> </w:t>
      </w:r>
      <w:r>
        <w:t>reagálnak thrombocyta-aggregációt gátló szer és apixabán együttes adása esetén. Az apixabánt</w:t>
      </w:r>
      <w:r>
        <w:rPr>
          <w:spacing w:val="1"/>
        </w:rPr>
        <w:t xml:space="preserve"> </w:t>
      </w:r>
      <w:r>
        <w:t>óvatosan kell alkalmazni, ha SSRI-kel/SNRI-kel, nem-szteroid gyulladáscsökkentőkkel,</w:t>
      </w:r>
      <w:r>
        <w:rPr>
          <w:spacing w:val="1"/>
        </w:rPr>
        <w:t xml:space="preserve"> </w:t>
      </w:r>
      <w:r>
        <w:t>acetilszalicilsavval és/vagy P2Y12-gátlókkal adják egyidejűleg, mert ezek a gyógyszerek jellemző</w:t>
      </w:r>
      <w:r>
        <w:rPr>
          <w:spacing w:val="1"/>
        </w:rPr>
        <w:t xml:space="preserve"> </w:t>
      </w:r>
      <w:r>
        <w:t>módon</w:t>
      </w:r>
      <w:r>
        <w:rPr>
          <w:spacing w:val="-2"/>
        </w:rPr>
        <w:t xml:space="preserve"> </w:t>
      </w:r>
      <w:r>
        <w:t>növelik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vérzés</w:t>
      </w:r>
      <w:r>
        <w:rPr>
          <w:spacing w:val="-1"/>
        </w:rPr>
        <w:t xml:space="preserve"> </w:t>
      </w:r>
      <w:r>
        <w:t>kockázatát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4.4 pont).</w:t>
      </w:r>
    </w:p>
    <w:p w14:paraId="4435B0C9" w14:textId="77777777" w:rsidR="004C11B6" w:rsidRDefault="004C11B6" w:rsidP="0048577B">
      <w:pPr>
        <w:pStyle w:val="Szvegtrzs"/>
        <w:spacing w:before="6"/>
        <w:ind w:right="2"/>
        <w:rPr>
          <w:sz w:val="21"/>
        </w:rPr>
      </w:pPr>
    </w:p>
    <w:p w14:paraId="5ACBDFB7" w14:textId="77777777" w:rsidR="004C11B6" w:rsidRDefault="00F05A0C" w:rsidP="0048577B">
      <w:pPr>
        <w:pStyle w:val="Szvegtrzs"/>
        <w:spacing w:line="230" w:lineRule="auto"/>
        <w:ind w:right="2"/>
      </w:pPr>
      <w:r>
        <w:t>Korlátozottak a rendelkezésre álló</w:t>
      </w:r>
      <w:r>
        <w:rPr>
          <w:spacing w:val="1"/>
        </w:rPr>
        <w:t xml:space="preserve"> </w:t>
      </w:r>
      <w:r>
        <w:t>tapasztalatok más thrombocyta-aggregáció-gátlókkal (pl.</w:t>
      </w:r>
      <w:r>
        <w:rPr>
          <w:spacing w:val="1"/>
        </w:rPr>
        <w:t xml:space="preserve"> </w:t>
      </w:r>
      <w:r>
        <w:t>GPIIb/IIIa-receptor-antagonisták, dipiridamol, dextrán és szulfinpirazon) vagy thrombolyticus</w:t>
      </w:r>
      <w:r>
        <w:rPr>
          <w:spacing w:val="-52"/>
        </w:rPr>
        <w:t xml:space="preserve"> </w:t>
      </w:r>
      <w:r>
        <w:t>szerekkel. Mivel az ilyen szerek megnövelik a vérzés kockázatát, ezeknek a gyógyszereknek</w:t>
      </w:r>
      <w:r>
        <w:rPr>
          <w:spacing w:val="1"/>
        </w:rPr>
        <w:t xml:space="preserve"> </w:t>
      </w:r>
      <w:r>
        <w:t>apixabánnal</w:t>
      </w:r>
      <w:r>
        <w:rPr>
          <w:spacing w:val="-2"/>
        </w:rPr>
        <w:t xml:space="preserve"> </w:t>
      </w:r>
      <w:r>
        <w:t>történő</w:t>
      </w:r>
      <w:r>
        <w:rPr>
          <w:spacing w:val="-2"/>
        </w:rPr>
        <w:t xml:space="preserve"> </w:t>
      </w:r>
      <w:r>
        <w:t>egyidejű</w:t>
      </w:r>
      <w:r>
        <w:rPr>
          <w:spacing w:val="-1"/>
        </w:rPr>
        <w:t xml:space="preserve"> </w:t>
      </w:r>
      <w:r>
        <w:t>alkalmazása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4.4</w:t>
      </w:r>
      <w:r>
        <w:rPr>
          <w:spacing w:val="-3"/>
        </w:rPr>
        <w:t xml:space="preserve"> </w:t>
      </w:r>
      <w:r>
        <w:t>pont).</w:t>
      </w:r>
    </w:p>
    <w:p w14:paraId="5A52615F" w14:textId="77777777" w:rsidR="004C11B6" w:rsidRDefault="004C11B6" w:rsidP="0048577B">
      <w:pPr>
        <w:pStyle w:val="Szvegtrzs"/>
        <w:spacing w:before="7"/>
        <w:ind w:right="2"/>
        <w:rPr>
          <w:sz w:val="20"/>
        </w:rPr>
      </w:pPr>
    </w:p>
    <w:p w14:paraId="256E56F3" w14:textId="77777777" w:rsidR="004C11B6" w:rsidRDefault="00F05A0C" w:rsidP="0048577B">
      <w:pPr>
        <w:pStyle w:val="Szvegtrzs"/>
        <w:ind w:right="2"/>
      </w:pPr>
      <w:r>
        <w:rPr>
          <w:u w:val="single"/>
        </w:rPr>
        <w:t>Egyéb</w:t>
      </w:r>
      <w:r>
        <w:rPr>
          <w:spacing w:val="-6"/>
          <w:u w:val="single"/>
        </w:rPr>
        <w:t xml:space="preserve"> </w:t>
      </w:r>
      <w:r>
        <w:rPr>
          <w:u w:val="single"/>
        </w:rPr>
        <w:t>egyidejűleg</w:t>
      </w:r>
      <w:r>
        <w:rPr>
          <w:spacing w:val="-6"/>
          <w:u w:val="single"/>
        </w:rPr>
        <w:t xml:space="preserve"> </w:t>
      </w:r>
      <w:r>
        <w:rPr>
          <w:u w:val="single"/>
        </w:rPr>
        <w:t>alkalmazott</w:t>
      </w:r>
      <w:r>
        <w:rPr>
          <w:spacing w:val="-6"/>
          <w:u w:val="single"/>
        </w:rPr>
        <w:t xml:space="preserve"> </w:t>
      </w:r>
      <w:r>
        <w:rPr>
          <w:u w:val="single"/>
        </w:rPr>
        <w:t>kezelések</w:t>
      </w:r>
    </w:p>
    <w:p w14:paraId="4C574B4A" w14:textId="7066DEBD" w:rsidR="004C11B6" w:rsidRDefault="00F05A0C" w:rsidP="0048577B">
      <w:pPr>
        <w:pStyle w:val="Szvegtrzs"/>
        <w:spacing w:line="230" w:lineRule="auto"/>
        <w:ind w:right="2"/>
      </w:pPr>
      <w:r>
        <w:t>Az apixabán atenolollal vagy famotidinnel történő együttes alkalmazásakor nem észleltek klinikailag</w:t>
      </w:r>
      <w:r>
        <w:rPr>
          <w:spacing w:val="1"/>
        </w:rPr>
        <w:t xml:space="preserve"> </w:t>
      </w:r>
      <w:r>
        <w:t xml:space="preserve">jelentős farmakokinetikai vagy farmakodinámiás kölcsönhatásokat. </w:t>
      </w:r>
      <w:r w:rsidR="00DE0877">
        <w:t>10 mg</w:t>
      </w:r>
      <w:r>
        <w:t xml:space="preserve"> apixabán 100</w:t>
      </w:r>
      <w:r w:rsidR="00DE0877">
        <w:t> </w:t>
      </w:r>
      <w:r>
        <w:t>mg</w:t>
      </w:r>
      <w:r>
        <w:rPr>
          <w:spacing w:val="-52"/>
        </w:rPr>
        <w:t xml:space="preserve"> </w:t>
      </w:r>
      <w:r>
        <w:t>atenolollal való együttes adásának nem volt klinikailag jelentős hatása az apixabán farmakokinetikai</w:t>
      </w:r>
      <w:r>
        <w:rPr>
          <w:spacing w:val="1"/>
        </w:rPr>
        <w:t xml:space="preserve"> </w:t>
      </w:r>
      <w:r>
        <w:t>jellemzőire.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két</w:t>
      </w:r>
      <w:r>
        <w:rPr>
          <w:spacing w:val="-2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együttes</w:t>
      </w:r>
      <w:r>
        <w:rPr>
          <w:spacing w:val="-2"/>
        </w:rPr>
        <w:t xml:space="preserve"> </w:t>
      </w:r>
      <w:r>
        <w:t>adása</w:t>
      </w:r>
      <w:r>
        <w:rPr>
          <w:spacing w:val="-2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átlagos</w:t>
      </w:r>
      <w:r>
        <w:rPr>
          <w:spacing w:val="-2"/>
        </w:rPr>
        <w:t xml:space="preserve"> </w:t>
      </w:r>
      <w:r>
        <w:t>AUC-értéke</w:t>
      </w:r>
      <w:r>
        <w:rPr>
          <w:spacing w:val="-1"/>
        </w:rPr>
        <w:t xml:space="preserve"> </w:t>
      </w:r>
      <w:r>
        <w:t>15%-kal,</w:t>
      </w:r>
      <w:r>
        <w:rPr>
          <w:spacing w:val="-1"/>
        </w:rPr>
        <w:t xml:space="preserve"> </w:t>
      </w:r>
      <w:r>
        <w:t>a</w:t>
      </w:r>
    </w:p>
    <w:p w14:paraId="4BF03617" w14:textId="357BF292" w:rsidR="004C11B6" w:rsidRDefault="00F05A0C" w:rsidP="0048577B">
      <w:pPr>
        <w:pStyle w:val="Szvegtrzs"/>
        <w:spacing w:before="3" w:line="230" w:lineRule="auto"/>
        <w:ind w:right="2"/>
      </w:pPr>
      <w:r>
        <w:rPr>
          <w:position w:val="2"/>
        </w:rPr>
        <w:t>C</w:t>
      </w:r>
      <w:r>
        <w:rPr>
          <w:sz w:val="14"/>
        </w:rPr>
        <w:t>max</w:t>
      </w:r>
      <w:r>
        <w:rPr>
          <w:position w:val="2"/>
        </w:rPr>
        <w:t xml:space="preserve">-értéke 18%-kal csökkent a külön-külön történő alkalmazáshoz képest. </w:t>
      </w:r>
      <w:r w:rsidR="00461709">
        <w:rPr>
          <w:position w:val="2"/>
        </w:rPr>
        <w:t>10</w:t>
      </w:r>
      <w:r w:rsidR="00DE0877">
        <w:rPr>
          <w:position w:val="2"/>
        </w:rPr>
        <w:t> </w:t>
      </w:r>
      <w:r>
        <w:rPr>
          <w:position w:val="2"/>
        </w:rPr>
        <w:t>m</w:t>
      </w:r>
      <w:r w:rsidR="00461709">
        <w:rPr>
          <w:position w:val="2"/>
        </w:rPr>
        <w:t>g</w:t>
      </w:r>
      <w:r>
        <w:rPr>
          <w:position w:val="2"/>
        </w:rPr>
        <w:t xml:space="preserve"> apixabán</w:t>
      </w:r>
      <w:r w:rsidRPr="00585EFA">
        <w:t xml:space="preserve"> </w:t>
      </w:r>
      <w:r>
        <w:rPr>
          <w:position w:val="2"/>
        </w:rPr>
        <w:t>40</w:t>
      </w:r>
      <w:r w:rsidR="00461709">
        <w:rPr>
          <w:spacing w:val="-2"/>
          <w:position w:val="2"/>
        </w:rPr>
        <w:t> </w:t>
      </w:r>
      <w:r>
        <w:rPr>
          <w:position w:val="2"/>
        </w:rPr>
        <w:t>mg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famotidinnel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való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együttes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alkalmazása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nem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volt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hatással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az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apixabán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AUC-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és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C</w:t>
      </w:r>
      <w:r>
        <w:rPr>
          <w:sz w:val="14"/>
        </w:rPr>
        <w:t>max</w:t>
      </w:r>
      <w:r>
        <w:rPr>
          <w:position w:val="2"/>
        </w:rPr>
        <w:t>-értékeire.</w:t>
      </w:r>
    </w:p>
    <w:p w14:paraId="3C7E79BC" w14:textId="77777777" w:rsidR="00EF3820" w:rsidRDefault="00EF3820" w:rsidP="0048577B">
      <w:pPr>
        <w:pStyle w:val="Szvegtrzs"/>
        <w:spacing w:before="73"/>
        <w:ind w:right="2"/>
        <w:rPr>
          <w:u w:val="single"/>
        </w:rPr>
      </w:pPr>
    </w:p>
    <w:p w14:paraId="1E0DC2D6" w14:textId="52204EDE" w:rsidR="004C11B6" w:rsidRDefault="00F05A0C" w:rsidP="0048577B">
      <w:pPr>
        <w:pStyle w:val="Szvegtrzs"/>
        <w:spacing w:before="73"/>
        <w:ind w:right="2"/>
      </w:pPr>
      <w:r>
        <w:rPr>
          <w:u w:val="single"/>
        </w:rPr>
        <w:t>Az</w:t>
      </w:r>
      <w:r>
        <w:rPr>
          <w:spacing w:val="-4"/>
          <w:u w:val="single"/>
        </w:rPr>
        <w:t xml:space="preserve"> </w:t>
      </w:r>
      <w:r>
        <w:rPr>
          <w:u w:val="single"/>
        </w:rPr>
        <w:t>apixabán</w:t>
      </w:r>
      <w:r>
        <w:rPr>
          <w:spacing w:val="-5"/>
          <w:u w:val="single"/>
        </w:rPr>
        <w:t xml:space="preserve"> </w:t>
      </w:r>
      <w:r>
        <w:rPr>
          <w:u w:val="single"/>
        </w:rPr>
        <w:t>hatása</w:t>
      </w:r>
      <w:r>
        <w:rPr>
          <w:spacing w:val="-3"/>
          <w:u w:val="single"/>
        </w:rPr>
        <w:t xml:space="preserve"> </w:t>
      </w:r>
      <w:r>
        <w:rPr>
          <w:u w:val="single"/>
        </w:rPr>
        <w:t>más</w:t>
      </w:r>
      <w:r>
        <w:rPr>
          <w:spacing w:val="-3"/>
          <w:u w:val="single"/>
        </w:rPr>
        <w:t xml:space="preserve"> </w:t>
      </w:r>
      <w:r>
        <w:rPr>
          <w:u w:val="single"/>
        </w:rPr>
        <w:t>gyógyszerekre</w:t>
      </w:r>
    </w:p>
    <w:p w14:paraId="21A6361A" w14:textId="77777777" w:rsidR="004C11B6" w:rsidRDefault="00F05A0C" w:rsidP="0048577B">
      <w:pPr>
        <w:pStyle w:val="Szvegtrzs"/>
        <w:spacing w:before="1" w:line="230" w:lineRule="auto"/>
        <w:ind w:right="2"/>
      </w:pPr>
      <w:r>
        <w:rPr>
          <w:i/>
        </w:rPr>
        <w:t xml:space="preserve">In vitro </w:t>
      </w:r>
      <w:r>
        <w:t>vizsgálatokban az apixabán a betegeknél észlelt plazma csúcskoncentrációnál lényegesen</w:t>
      </w:r>
      <w:r>
        <w:rPr>
          <w:spacing w:val="1"/>
        </w:rPr>
        <w:t xml:space="preserve"> </w:t>
      </w:r>
      <w:r>
        <w:t>magasabb koncentrációkban nem mutatott gátló hatást a CYP1A2, CYP2A6, CYP2B6, CYP2C8,</w:t>
      </w:r>
      <w:r>
        <w:rPr>
          <w:spacing w:val="1"/>
        </w:rPr>
        <w:t xml:space="preserve"> </w:t>
      </w:r>
      <w:r>
        <w:rPr>
          <w:position w:val="2"/>
        </w:rPr>
        <w:t>CYP2C9, CYP2D6 vagy a CYP3A4 (IC</w:t>
      </w:r>
      <w:r>
        <w:rPr>
          <w:sz w:val="14"/>
        </w:rPr>
        <w:t xml:space="preserve">50 </w:t>
      </w:r>
      <w:r>
        <w:rPr>
          <w:position w:val="2"/>
        </w:rPr>
        <w:t>&gt; 45 μM) enzimek aktivitására, és gyenge gátló hatást</w:t>
      </w:r>
      <w:r>
        <w:rPr>
          <w:spacing w:val="1"/>
          <w:position w:val="2"/>
        </w:rPr>
        <w:t xml:space="preserve"> </w:t>
      </w:r>
      <w:r>
        <w:rPr>
          <w:position w:val="2"/>
        </w:rPr>
        <w:t>mutatott a CYP2C19 (IC</w:t>
      </w:r>
      <w:r>
        <w:rPr>
          <w:sz w:val="14"/>
        </w:rPr>
        <w:t xml:space="preserve">50 </w:t>
      </w:r>
      <w:r>
        <w:rPr>
          <w:position w:val="2"/>
        </w:rPr>
        <w:t>&gt; 20 μM) enzim aktivitására. Az apixabán 20 μM-os koncentrációig nem</w:t>
      </w:r>
      <w:r>
        <w:rPr>
          <w:spacing w:val="1"/>
          <w:position w:val="2"/>
        </w:rPr>
        <w:t xml:space="preserve"> </w:t>
      </w:r>
      <w:r>
        <w:t>indukálta a CYP1A2, CYP2B6, illetve a CYP3A4/5 enzimeket. Következésképpen nem várható, hogy</w:t>
      </w:r>
      <w:r>
        <w:rPr>
          <w:spacing w:val="-52"/>
        </w:rPr>
        <w:t xml:space="preserve"> </w:t>
      </w:r>
      <w:r>
        <w:t>az apixabán megváltoztatja azoknak az együttesen alkalmazott gyógyszereknek a metabolikus</w:t>
      </w:r>
      <w:r>
        <w:rPr>
          <w:spacing w:val="1"/>
        </w:rPr>
        <w:t xml:space="preserve"> </w:t>
      </w:r>
      <w:r>
        <w:t>clearance-ét, melyeket a fenti enzimek metabolizálnak. Az apixabán nem gátolja jelentős mértékben a</w:t>
      </w:r>
      <w:r>
        <w:rPr>
          <w:spacing w:val="-52"/>
        </w:rPr>
        <w:t xml:space="preserve"> </w:t>
      </w:r>
      <w:r>
        <w:t>P-gp-t.</w:t>
      </w:r>
    </w:p>
    <w:p w14:paraId="00763653" w14:textId="77777777" w:rsidR="004C11B6" w:rsidRDefault="004C11B6" w:rsidP="0048577B">
      <w:pPr>
        <w:pStyle w:val="Szvegtrzs"/>
        <w:spacing w:before="10"/>
        <w:ind w:right="2"/>
        <w:rPr>
          <w:sz w:val="20"/>
        </w:rPr>
      </w:pPr>
    </w:p>
    <w:p w14:paraId="520ECE71" w14:textId="6F1592E5" w:rsidR="004C11B6" w:rsidRDefault="00F05A0C" w:rsidP="0048577B">
      <w:pPr>
        <w:pStyle w:val="Szvegtrzs"/>
        <w:spacing w:before="1" w:line="232" w:lineRule="auto"/>
        <w:ind w:right="2"/>
      </w:pPr>
      <w:r>
        <w:t>Az alábbiakban részletezett, egészséges egyének</w:t>
      </w:r>
      <w:r w:rsidR="00DE0877">
        <w:t>kel</w:t>
      </w:r>
      <w:r>
        <w:t xml:space="preserve"> végzett vizsgálatok szerint az apixabán nem</w:t>
      </w:r>
      <w:r>
        <w:rPr>
          <w:spacing w:val="-52"/>
        </w:rPr>
        <w:t xml:space="preserve"> </w:t>
      </w:r>
      <w:r>
        <w:t>változtatta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számottevően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digoxin,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naproxén</w:t>
      </w:r>
      <w:r>
        <w:rPr>
          <w:spacing w:val="-3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atenolol</w:t>
      </w:r>
      <w:r>
        <w:rPr>
          <w:spacing w:val="-3"/>
        </w:rPr>
        <w:t xml:space="preserve"> </w:t>
      </w:r>
      <w:r>
        <w:t>farmakokinetikáját.</w:t>
      </w:r>
    </w:p>
    <w:p w14:paraId="1D12990D" w14:textId="77777777" w:rsidR="004C11B6" w:rsidRDefault="004C11B6" w:rsidP="0048577B">
      <w:pPr>
        <w:pStyle w:val="Szvegtrzs"/>
        <w:spacing w:before="4"/>
        <w:ind w:right="2"/>
        <w:rPr>
          <w:sz w:val="20"/>
        </w:rPr>
      </w:pPr>
    </w:p>
    <w:p w14:paraId="6D86380D" w14:textId="77777777" w:rsidR="004C11B6" w:rsidRDefault="00F05A0C" w:rsidP="0048577B">
      <w:pPr>
        <w:spacing w:before="1" w:line="248" w:lineRule="exact"/>
        <w:ind w:right="2"/>
        <w:rPr>
          <w:i/>
        </w:rPr>
      </w:pPr>
      <w:r>
        <w:rPr>
          <w:i/>
        </w:rPr>
        <w:t>Digoxin</w:t>
      </w:r>
    </w:p>
    <w:p w14:paraId="51212AA1" w14:textId="50B95C9C" w:rsidR="004C11B6" w:rsidRDefault="00F05A0C" w:rsidP="0048577B">
      <w:pPr>
        <w:pStyle w:val="Szvegtrzs"/>
        <w:spacing w:before="3" w:line="230" w:lineRule="auto"/>
        <w:ind w:right="2"/>
      </w:pPr>
      <w:r>
        <w:t>Naponta egyszer 20</w:t>
      </w:r>
      <w:r w:rsidR="00DE0877">
        <w:t> </w:t>
      </w:r>
      <w:r>
        <w:t>mg apixabán és naponta egyszer 0,25</w:t>
      </w:r>
      <w:r w:rsidR="00DE0877">
        <w:t> </w:t>
      </w:r>
      <w:r>
        <w:t>mg digoxin (P-gp</w:t>
      </w:r>
      <w:r w:rsidR="00DE0877">
        <w:t>-</w:t>
      </w:r>
      <w:r>
        <w:t>szubsztrát) együttes</w:t>
      </w:r>
      <w:r>
        <w:rPr>
          <w:spacing w:val="1"/>
        </w:rPr>
        <w:t xml:space="preserve"> </w:t>
      </w:r>
      <w:r>
        <w:rPr>
          <w:position w:val="2"/>
        </w:rPr>
        <w:t>alkalmazása nem befolyásolta a digoxin AUC-, illetve C</w:t>
      </w:r>
      <w:r>
        <w:rPr>
          <w:sz w:val="14"/>
        </w:rPr>
        <w:t>max</w:t>
      </w:r>
      <w:r>
        <w:rPr>
          <w:position w:val="2"/>
        </w:rPr>
        <w:t>-értékét, következésképpen az apixabán</w:t>
      </w:r>
      <w:r>
        <w:rPr>
          <w:spacing w:val="-52"/>
          <w:position w:val="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gátolja a P-gp</w:t>
      </w:r>
      <w:r w:rsidR="00DE0877">
        <w:rPr>
          <w:spacing w:val="-2"/>
        </w:rPr>
        <w:t>-</w:t>
      </w:r>
      <w:r>
        <w:t>mediálta</w:t>
      </w:r>
      <w:r>
        <w:rPr>
          <w:spacing w:val="-1"/>
        </w:rPr>
        <w:t xml:space="preserve"> </w:t>
      </w:r>
      <w:r>
        <w:t>szubsztrát</w:t>
      </w:r>
      <w:r>
        <w:rPr>
          <w:spacing w:val="-1"/>
        </w:rPr>
        <w:t xml:space="preserve"> </w:t>
      </w:r>
      <w:r>
        <w:t>transzportot.</w:t>
      </w:r>
    </w:p>
    <w:p w14:paraId="006D4F83" w14:textId="77777777" w:rsidR="004C11B6" w:rsidRDefault="004C11B6">
      <w:pPr>
        <w:pStyle w:val="Szvegtrzs"/>
        <w:spacing w:before="4"/>
        <w:rPr>
          <w:sz w:val="20"/>
        </w:rPr>
      </w:pPr>
    </w:p>
    <w:p w14:paraId="7C901314" w14:textId="77777777" w:rsidR="004C11B6" w:rsidRDefault="00F05A0C" w:rsidP="0048577B">
      <w:pPr>
        <w:spacing w:before="1" w:line="249" w:lineRule="exact"/>
        <w:rPr>
          <w:i/>
        </w:rPr>
      </w:pPr>
      <w:r>
        <w:rPr>
          <w:i/>
        </w:rPr>
        <w:t>Naproxén</w:t>
      </w:r>
    </w:p>
    <w:p w14:paraId="3E38D2D7" w14:textId="39997BE3" w:rsidR="004C11B6" w:rsidRDefault="00F05A0C" w:rsidP="0048577B">
      <w:pPr>
        <w:pStyle w:val="Szvegtrzs"/>
        <w:spacing w:before="4" w:line="230" w:lineRule="auto"/>
      </w:pPr>
      <w:r>
        <w:t>Az apixabán (10</w:t>
      </w:r>
      <w:r w:rsidR="00DE0877">
        <w:t> </w:t>
      </w:r>
      <w:r>
        <w:t>mg) és egy gyakran használt NSAID, a naproxén (500</w:t>
      </w:r>
      <w:r w:rsidR="00DE0877">
        <w:t> </w:t>
      </w:r>
      <w:r>
        <w:t>mg) egyszeri dózisai együttes</w:t>
      </w:r>
      <w:r>
        <w:rPr>
          <w:spacing w:val="-52"/>
        </w:rPr>
        <w:t xml:space="preserve"> </w:t>
      </w:r>
      <w:r>
        <w:rPr>
          <w:position w:val="2"/>
        </w:rPr>
        <w:t>alkalmazásának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nem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volt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semmilyen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hatása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naproxén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AUC-,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illetve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C</w:t>
      </w:r>
      <w:r>
        <w:rPr>
          <w:sz w:val="14"/>
        </w:rPr>
        <w:t>max</w:t>
      </w:r>
      <w:r>
        <w:rPr>
          <w:position w:val="2"/>
        </w:rPr>
        <w:t>-értékére.</w:t>
      </w:r>
    </w:p>
    <w:p w14:paraId="24FD48C4" w14:textId="77777777" w:rsidR="004C11B6" w:rsidRDefault="004C11B6" w:rsidP="0048577B">
      <w:pPr>
        <w:pStyle w:val="Szvegtrzs"/>
        <w:spacing w:before="2"/>
        <w:rPr>
          <w:sz w:val="20"/>
        </w:rPr>
      </w:pPr>
    </w:p>
    <w:p w14:paraId="23DD45B2" w14:textId="77777777" w:rsidR="004C11B6" w:rsidRDefault="00F05A0C" w:rsidP="0048577B">
      <w:pPr>
        <w:spacing w:before="1" w:line="249" w:lineRule="exact"/>
        <w:rPr>
          <w:i/>
        </w:rPr>
      </w:pPr>
      <w:r>
        <w:rPr>
          <w:i/>
        </w:rPr>
        <w:t>Atenolol</w:t>
      </w:r>
    </w:p>
    <w:p w14:paraId="7AC783DE" w14:textId="77777777" w:rsidR="004C11B6" w:rsidRDefault="00F05A0C" w:rsidP="0048577B">
      <w:pPr>
        <w:pStyle w:val="Szvegtrzs"/>
        <w:spacing w:before="4" w:line="230" w:lineRule="auto"/>
      </w:pPr>
      <w:r>
        <w:t>Az apixabán (10 mg) és egy gyakran használt béta-blokkoló, az atenolol (100 mg) egyszeri dózisainak</w:t>
      </w:r>
      <w:r>
        <w:rPr>
          <w:spacing w:val="-52"/>
        </w:rPr>
        <w:t xml:space="preserve"> </w:t>
      </w:r>
      <w:r>
        <w:t>együttes</w:t>
      </w:r>
      <w:r>
        <w:rPr>
          <w:spacing w:val="-2"/>
        </w:rPr>
        <w:t xml:space="preserve"> </w:t>
      </w:r>
      <w:r>
        <w:t>alkalmazása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változtatta</w:t>
      </w:r>
      <w:r>
        <w:rPr>
          <w:spacing w:val="-2"/>
        </w:rPr>
        <w:t xml:space="preserve"> </w:t>
      </w:r>
      <w:r>
        <w:t>meg</w:t>
      </w:r>
      <w:r>
        <w:rPr>
          <w:spacing w:val="-2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atenolol</w:t>
      </w:r>
      <w:r>
        <w:rPr>
          <w:spacing w:val="-2"/>
        </w:rPr>
        <w:t xml:space="preserve"> </w:t>
      </w:r>
      <w:r>
        <w:t>farmakokinetikáját.</w:t>
      </w:r>
    </w:p>
    <w:p w14:paraId="531AE36B" w14:textId="77777777" w:rsidR="004C11B6" w:rsidRDefault="004C11B6">
      <w:pPr>
        <w:pStyle w:val="Szvegtrzs"/>
        <w:spacing w:before="5"/>
        <w:rPr>
          <w:sz w:val="20"/>
        </w:rPr>
      </w:pPr>
    </w:p>
    <w:p w14:paraId="49935ECE" w14:textId="77777777" w:rsidR="004C11B6" w:rsidRDefault="00F05A0C" w:rsidP="0048577B">
      <w:pPr>
        <w:pStyle w:val="Szvegtrzs"/>
      </w:pPr>
      <w:r>
        <w:rPr>
          <w:u w:val="single"/>
        </w:rPr>
        <w:t>Orvosi</w:t>
      </w:r>
      <w:r>
        <w:rPr>
          <w:spacing w:val="-4"/>
          <w:u w:val="single"/>
        </w:rPr>
        <w:t xml:space="preserve"> </w:t>
      </w:r>
      <w:r>
        <w:rPr>
          <w:u w:val="single"/>
        </w:rPr>
        <w:t>szén</w:t>
      </w:r>
    </w:p>
    <w:p w14:paraId="2B3F7B57" w14:textId="77777777" w:rsidR="004C11B6" w:rsidRDefault="00F05A0C" w:rsidP="0048577B">
      <w:pPr>
        <w:pStyle w:val="Szvegtrzs"/>
        <w:spacing w:before="1"/>
      </w:pPr>
      <w:r>
        <w:t>Az</w:t>
      </w:r>
      <w:r>
        <w:rPr>
          <w:spacing w:val="-4"/>
        </w:rPr>
        <w:t xml:space="preserve"> </w:t>
      </w:r>
      <w:r>
        <w:t>orvosi</w:t>
      </w:r>
      <w:r>
        <w:rPr>
          <w:spacing w:val="-3"/>
        </w:rPr>
        <w:t xml:space="preserve"> </w:t>
      </w:r>
      <w:r>
        <w:t>szén</w:t>
      </w:r>
      <w:r>
        <w:rPr>
          <w:spacing w:val="-3"/>
        </w:rPr>
        <w:t xml:space="preserve"> </w:t>
      </w:r>
      <w:r>
        <w:t>adása</w:t>
      </w:r>
      <w:r>
        <w:rPr>
          <w:spacing w:val="-2"/>
        </w:rPr>
        <w:t xml:space="preserve"> </w:t>
      </w:r>
      <w:r>
        <w:t>csökkenti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apixabán-expozíciót</w:t>
      </w:r>
      <w:r>
        <w:rPr>
          <w:spacing w:val="-4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4.9</w:t>
      </w:r>
      <w:r>
        <w:rPr>
          <w:spacing w:val="-5"/>
        </w:rPr>
        <w:t xml:space="preserve"> </w:t>
      </w:r>
      <w:r>
        <w:t>pont).</w:t>
      </w:r>
    </w:p>
    <w:p w14:paraId="3D6B79F2" w14:textId="77777777" w:rsidR="004C11B6" w:rsidRDefault="004C11B6" w:rsidP="0048577B">
      <w:pPr>
        <w:pStyle w:val="Szvegtrzs"/>
        <w:spacing w:before="4"/>
        <w:rPr>
          <w:sz w:val="20"/>
        </w:rPr>
      </w:pPr>
    </w:p>
    <w:p w14:paraId="5F31FB60" w14:textId="77777777" w:rsidR="004C11B6" w:rsidRDefault="00F05A0C" w:rsidP="0048577B">
      <w:pPr>
        <w:pStyle w:val="Cmsor2"/>
        <w:numPr>
          <w:ilvl w:val="1"/>
          <w:numId w:val="51"/>
        </w:numPr>
        <w:tabs>
          <w:tab w:val="left" w:pos="802"/>
          <w:tab w:val="left" w:pos="803"/>
        </w:tabs>
        <w:ind w:left="0" w:firstLine="0"/>
      </w:pPr>
      <w:r>
        <w:t>Termékenység,</w:t>
      </w:r>
      <w:r>
        <w:rPr>
          <w:spacing w:val="-6"/>
        </w:rPr>
        <w:t xml:space="preserve"> </w:t>
      </w:r>
      <w:r>
        <w:t>terhesség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szoptatás</w:t>
      </w:r>
    </w:p>
    <w:p w14:paraId="1B857023" w14:textId="77777777" w:rsidR="004C11B6" w:rsidRDefault="004C11B6" w:rsidP="0048577B">
      <w:pPr>
        <w:pStyle w:val="Szvegtrzs"/>
        <w:spacing w:before="4"/>
        <w:rPr>
          <w:b/>
          <w:sz w:val="20"/>
        </w:rPr>
      </w:pPr>
    </w:p>
    <w:p w14:paraId="2824FB01" w14:textId="77777777" w:rsidR="004864C2" w:rsidRPr="004864C2" w:rsidRDefault="00F05A0C" w:rsidP="004864C2">
      <w:pPr>
        <w:pStyle w:val="Szvegtrzs"/>
        <w:rPr>
          <w:u w:val="single"/>
        </w:rPr>
      </w:pPr>
      <w:r w:rsidRPr="004864C2">
        <w:rPr>
          <w:u w:val="single"/>
        </w:rPr>
        <w:t>Terhesség</w:t>
      </w:r>
    </w:p>
    <w:p w14:paraId="3A5ACA23" w14:textId="4AF15A60" w:rsidR="004C11B6" w:rsidRDefault="00F05A0C" w:rsidP="004864C2">
      <w:pPr>
        <w:pStyle w:val="Szvegtrzs"/>
      </w:pPr>
      <w:r>
        <w:t>Az apixabán terhes nőknél történől alkalmazásáról nincs adat. Állatkísérletek nem igazoltak direkt</w:t>
      </w:r>
      <w:r w:rsidRPr="004864C2">
        <w:t xml:space="preserve"> </w:t>
      </w:r>
      <w:r>
        <w:t>vagy indirekt káros hatásokat a reproduktív toxicitás tekintetében (lásd 5.3 pont). Az apixabán</w:t>
      </w:r>
      <w:r>
        <w:rPr>
          <w:spacing w:val="1"/>
        </w:rPr>
        <w:t xml:space="preserve"> </w:t>
      </w:r>
      <w:r>
        <w:t>alkalmazása</w:t>
      </w:r>
      <w:r>
        <w:rPr>
          <w:spacing w:val="-2"/>
        </w:rPr>
        <w:t xml:space="preserve"> </w:t>
      </w:r>
      <w:r>
        <w:t>elővigyázatosságból</w:t>
      </w:r>
      <w:r>
        <w:rPr>
          <w:spacing w:val="-1"/>
        </w:rPr>
        <w:t xml:space="preserve"> </w:t>
      </w:r>
      <w:r>
        <w:t>kerülendő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terhesség</w:t>
      </w:r>
      <w:r>
        <w:rPr>
          <w:spacing w:val="-2"/>
        </w:rPr>
        <w:t xml:space="preserve"> </w:t>
      </w:r>
      <w:r>
        <w:t>alatt.</w:t>
      </w:r>
    </w:p>
    <w:p w14:paraId="480982DF" w14:textId="77777777" w:rsidR="004C11B6" w:rsidRDefault="004C11B6" w:rsidP="0048577B">
      <w:pPr>
        <w:pStyle w:val="Szvegtrzs"/>
        <w:spacing w:before="7"/>
        <w:rPr>
          <w:sz w:val="20"/>
        </w:rPr>
      </w:pPr>
    </w:p>
    <w:p w14:paraId="6B3A863A" w14:textId="484F73DB" w:rsidR="004C11B6" w:rsidRDefault="00F05A0C" w:rsidP="004864C2">
      <w:pPr>
        <w:pStyle w:val="Szvegtrzs"/>
        <w:spacing w:before="1"/>
        <w:rPr>
          <w:sz w:val="21"/>
        </w:rPr>
      </w:pPr>
      <w:r>
        <w:rPr>
          <w:u w:val="single"/>
        </w:rPr>
        <w:t>Szoptatás</w:t>
      </w:r>
    </w:p>
    <w:p w14:paraId="3F3C56E2" w14:textId="77777777" w:rsidR="004C11B6" w:rsidRDefault="00F05A0C" w:rsidP="0048577B">
      <w:pPr>
        <w:pStyle w:val="Szvegtrzs"/>
        <w:spacing w:before="1" w:line="230" w:lineRule="auto"/>
      </w:pPr>
      <w:r>
        <w:t>Nem ismert, hogy az apixabán vagy annak metabolitjai kiválasztódnak-e a humán anyatejbe. A</w:t>
      </w:r>
      <w:r>
        <w:rPr>
          <w:spacing w:val="1"/>
        </w:rPr>
        <w:t xml:space="preserve"> </w:t>
      </w:r>
      <w:r>
        <w:t>rendelkezésre álló, állatkísérletekből származó adatok az apixabán anyatejbe való kiválasztódását</w:t>
      </w:r>
      <w:r>
        <w:rPr>
          <w:spacing w:val="-52"/>
        </w:rPr>
        <w:t xml:space="preserve"> </w:t>
      </w:r>
      <w:r>
        <w:t>igazolták</w:t>
      </w:r>
      <w:r>
        <w:rPr>
          <w:spacing w:val="-5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5.3</w:t>
      </w:r>
      <w:r>
        <w:rPr>
          <w:spacing w:val="-5"/>
        </w:rPr>
        <w:t xml:space="preserve"> </w:t>
      </w:r>
      <w:r>
        <w:t>pont).</w:t>
      </w:r>
      <w:r>
        <w:rPr>
          <w:spacing w:val="-2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anyatejjel</w:t>
      </w:r>
      <w:r>
        <w:rPr>
          <w:spacing w:val="-3"/>
        </w:rPr>
        <w:t xml:space="preserve"> </w:t>
      </w:r>
      <w:r>
        <w:t>táplált</w:t>
      </w:r>
      <w:r>
        <w:rPr>
          <w:spacing w:val="-2"/>
        </w:rPr>
        <w:t xml:space="preserve"> </w:t>
      </w:r>
      <w:r>
        <w:t>csecsemőre</w:t>
      </w:r>
      <w:r>
        <w:rPr>
          <w:spacing w:val="-3"/>
        </w:rPr>
        <w:t xml:space="preserve"> </w:t>
      </w:r>
      <w:r>
        <w:t>nézve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kockázatot</w:t>
      </w:r>
      <w:r>
        <w:rPr>
          <w:spacing w:val="-2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kizárni.</w:t>
      </w:r>
    </w:p>
    <w:p w14:paraId="08DDE0AA" w14:textId="77777777" w:rsidR="004C11B6" w:rsidRDefault="004C11B6" w:rsidP="0048577B">
      <w:pPr>
        <w:pStyle w:val="Szvegtrzs"/>
        <w:spacing w:before="4"/>
        <w:rPr>
          <w:sz w:val="21"/>
        </w:rPr>
      </w:pPr>
    </w:p>
    <w:p w14:paraId="430094F4" w14:textId="0C9AD83D" w:rsidR="004C11B6" w:rsidRDefault="00F05A0C" w:rsidP="0048577B">
      <w:pPr>
        <w:pStyle w:val="Szvegtrzs"/>
        <w:spacing w:line="230" w:lineRule="auto"/>
      </w:pPr>
      <w:r>
        <w:t>Az apixabán alkalmazása előtt el kell dönteni, hogy a szoptatást függesztik fel, vagy megszakítják a</w:t>
      </w:r>
      <w:r>
        <w:rPr>
          <w:spacing w:val="1"/>
        </w:rPr>
        <w:t xml:space="preserve"> </w:t>
      </w:r>
      <w:r>
        <w:t>kezelést/tartózkodnak a kezeléstől – figyelembe véve a szoptatás előnyét a gyermek, valamint</w:t>
      </w:r>
      <w:r>
        <w:rPr>
          <w:spacing w:val="-52"/>
        </w:rPr>
        <w:t xml:space="preserve"> </w:t>
      </w:r>
      <w:r w:rsidR="00260702">
        <w:rPr>
          <w:spacing w:val="-52"/>
        </w:rPr>
        <w:t xml:space="preserve">    </w:t>
      </w:r>
      <w:r>
        <w:t>a</w:t>
      </w:r>
      <w:r w:rsidR="0052010E">
        <w:t xml:space="preserve"> </w:t>
      </w:r>
      <w:r>
        <w:t>terápia</w:t>
      </w:r>
      <w:r>
        <w:rPr>
          <w:spacing w:val="-1"/>
        </w:rPr>
        <w:t xml:space="preserve"> </w:t>
      </w:r>
      <w:r>
        <w:t>előnyét</w:t>
      </w:r>
      <w:r>
        <w:rPr>
          <w:spacing w:val="-1"/>
        </w:rPr>
        <w:t xml:space="preserve"> </w:t>
      </w:r>
      <w:r>
        <w:t>a</w:t>
      </w:r>
      <w:r w:rsidR="0052010E">
        <w:rPr>
          <w:spacing w:val="-1"/>
        </w:rPr>
        <w:t>z anya szempontjából.</w:t>
      </w:r>
    </w:p>
    <w:p w14:paraId="085F1B27" w14:textId="77777777" w:rsidR="004C11B6" w:rsidRDefault="004C11B6" w:rsidP="0048577B">
      <w:pPr>
        <w:pStyle w:val="Szvegtrzs"/>
        <w:spacing w:before="7"/>
        <w:rPr>
          <w:sz w:val="20"/>
        </w:rPr>
      </w:pPr>
    </w:p>
    <w:p w14:paraId="1FAF22A9" w14:textId="2B1C67D6" w:rsidR="004C11B6" w:rsidRDefault="00F05A0C" w:rsidP="004864C2">
      <w:pPr>
        <w:pStyle w:val="Szvegtrzs"/>
        <w:spacing w:before="1"/>
        <w:rPr>
          <w:sz w:val="21"/>
        </w:rPr>
      </w:pPr>
      <w:r>
        <w:rPr>
          <w:u w:val="single"/>
        </w:rPr>
        <w:t>Termékenység</w:t>
      </w:r>
    </w:p>
    <w:p w14:paraId="1CD167B1" w14:textId="50328B35" w:rsidR="004C11B6" w:rsidRDefault="00F05A0C" w:rsidP="0048577B">
      <w:pPr>
        <w:pStyle w:val="Szvegtrzs"/>
        <w:spacing w:before="1" w:line="230" w:lineRule="auto"/>
      </w:pPr>
      <w:r>
        <w:t>Apixabánnal kezelt állato</w:t>
      </w:r>
      <w:r w:rsidR="00DE0877">
        <w:t>kkal</w:t>
      </w:r>
      <w:r>
        <w:t xml:space="preserve"> végzett kísérletek során termékenységre gyakorolt hatást nem igazoltak</w:t>
      </w:r>
      <w:r>
        <w:rPr>
          <w:spacing w:val="-52"/>
        </w:rPr>
        <w:t xml:space="preserve"> </w:t>
      </w:r>
      <w:r>
        <w:t>(lásd 5.3</w:t>
      </w:r>
      <w:r>
        <w:rPr>
          <w:spacing w:val="-3"/>
        </w:rPr>
        <w:t xml:space="preserve"> </w:t>
      </w:r>
      <w:r>
        <w:t>pont).</w:t>
      </w:r>
    </w:p>
    <w:p w14:paraId="2883B0EB" w14:textId="77777777" w:rsidR="004C11B6" w:rsidRDefault="004C11B6" w:rsidP="0048577B">
      <w:pPr>
        <w:pStyle w:val="Szvegtrzs"/>
        <w:spacing w:before="5"/>
        <w:rPr>
          <w:sz w:val="20"/>
        </w:rPr>
      </w:pPr>
    </w:p>
    <w:p w14:paraId="5F26E303" w14:textId="77777777" w:rsidR="004C11B6" w:rsidRDefault="00F05A0C" w:rsidP="0048577B">
      <w:pPr>
        <w:pStyle w:val="Cmsor2"/>
        <w:numPr>
          <w:ilvl w:val="1"/>
          <w:numId w:val="51"/>
        </w:numPr>
        <w:tabs>
          <w:tab w:val="left" w:pos="802"/>
          <w:tab w:val="left" w:pos="803"/>
        </w:tabs>
        <w:ind w:left="0" w:firstLine="0"/>
      </w:pPr>
      <w:r>
        <w:t>A</w:t>
      </w:r>
      <w:r>
        <w:rPr>
          <w:spacing w:val="-5"/>
        </w:rPr>
        <w:t xml:space="preserve"> </w:t>
      </w:r>
      <w:r>
        <w:t>készítmény</w:t>
      </w:r>
      <w:r>
        <w:rPr>
          <w:spacing w:val="-4"/>
        </w:rPr>
        <w:t xml:space="preserve"> </w:t>
      </w:r>
      <w:r>
        <w:t>hatásai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gépjárművezetéshez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gépek</w:t>
      </w:r>
      <w:r>
        <w:rPr>
          <w:spacing w:val="-4"/>
        </w:rPr>
        <w:t xml:space="preserve"> </w:t>
      </w:r>
      <w:r>
        <w:t>kezeléséhez</w:t>
      </w:r>
      <w:r>
        <w:rPr>
          <w:spacing w:val="-5"/>
        </w:rPr>
        <w:t xml:space="preserve"> </w:t>
      </w:r>
      <w:r>
        <w:t>szükséges</w:t>
      </w:r>
      <w:r>
        <w:rPr>
          <w:spacing w:val="-4"/>
        </w:rPr>
        <w:t xml:space="preserve"> </w:t>
      </w:r>
      <w:r>
        <w:t>képességekre</w:t>
      </w:r>
    </w:p>
    <w:p w14:paraId="71DFDA68" w14:textId="77777777" w:rsidR="004C11B6" w:rsidRDefault="004C11B6" w:rsidP="0048577B">
      <w:pPr>
        <w:pStyle w:val="Szvegtrzs"/>
        <w:spacing w:before="10"/>
        <w:rPr>
          <w:b/>
          <w:sz w:val="20"/>
        </w:rPr>
      </w:pPr>
    </w:p>
    <w:p w14:paraId="33CAAC56" w14:textId="7532FF3B" w:rsidR="004C11B6" w:rsidRDefault="00F05A0C" w:rsidP="0048577B">
      <w:pPr>
        <w:pStyle w:val="Szvegtrzs"/>
        <w:spacing w:before="1" w:line="232" w:lineRule="auto"/>
      </w:pPr>
      <w:r>
        <w:t xml:space="preserve">Az </w:t>
      </w:r>
      <w:r w:rsidR="007F630D">
        <w:t xml:space="preserve">Apixaban </w:t>
      </w:r>
      <w:r w:rsidR="00142607">
        <w:t>Supremex</w:t>
      </w:r>
      <w:r w:rsidR="007F630D">
        <w:t xml:space="preserve"> </w:t>
      </w:r>
      <w:r>
        <w:t>nem, vagy csak elhanyagolható mértékben befolyásolja a gépjárművezetéshez és a gépek</w:t>
      </w:r>
      <w:r>
        <w:rPr>
          <w:spacing w:val="-52"/>
        </w:rPr>
        <w:t xml:space="preserve"> </w:t>
      </w:r>
      <w:r>
        <w:t>kezeléséhez</w:t>
      </w:r>
      <w:r>
        <w:rPr>
          <w:spacing w:val="-2"/>
        </w:rPr>
        <w:t xml:space="preserve"> </w:t>
      </w:r>
      <w:r>
        <w:t>szükséges</w:t>
      </w:r>
      <w:r>
        <w:rPr>
          <w:spacing w:val="-1"/>
        </w:rPr>
        <w:t xml:space="preserve"> </w:t>
      </w:r>
      <w:r>
        <w:t>képességeket.</w:t>
      </w:r>
    </w:p>
    <w:p w14:paraId="32A2405E" w14:textId="77777777" w:rsidR="00EF3820" w:rsidRDefault="00EF3820" w:rsidP="0048577B">
      <w:pPr>
        <w:pStyle w:val="Szvegtrzs"/>
        <w:spacing w:before="1" w:line="232" w:lineRule="auto"/>
      </w:pPr>
    </w:p>
    <w:p w14:paraId="633BBBD1" w14:textId="77777777" w:rsidR="004C11B6" w:rsidRDefault="00F05A0C" w:rsidP="0048577B">
      <w:pPr>
        <w:pStyle w:val="Cmsor2"/>
        <w:numPr>
          <w:ilvl w:val="1"/>
          <w:numId w:val="51"/>
        </w:numPr>
        <w:tabs>
          <w:tab w:val="left" w:pos="802"/>
          <w:tab w:val="left" w:pos="803"/>
        </w:tabs>
        <w:spacing w:before="73"/>
        <w:ind w:left="0" w:firstLine="0"/>
      </w:pPr>
      <w:r>
        <w:t>Nemkívánatos</w:t>
      </w:r>
      <w:r>
        <w:rPr>
          <w:spacing w:val="-7"/>
        </w:rPr>
        <w:t xml:space="preserve"> </w:t>
      </w:r>
      <w:r>
        <w:t>hatások,</w:t>
      </w:r>
      <w:r>
        <w:rPr>
          <w:spacing w:val="-7"/>
        </w:rPr>
        <w:t xml:space="preserve"> </w:t>
      </w:r>
      <w:r>
        <w:t>mellékhatások</w:t>
      </w:r>
    </w:p>
    <w:p w14:paraId="05A13C7D" w14:textId="77777777" w:rsidR="004C11B6" w:rsidRDefault="004C11B6" w:rsidP="0048577B">
      <w:pPr>
        <w:pStyle w:val="Szvegtrzs"/>
        <w:spacing w:before="4"/>
        <w:rPr>
          <w:b/>
          <w:sz w:val="20"/>
        </w:rPr>
      </w:pPr>
    </w:p>
    <w:p w14:paraId="1E656113" w14:textId="77777777" w:rsidR="004864C2" w:rsidRDefault="00F05A0C" w:rsidP="004864C2">
      <w:pPr>
        <w:pStyle w:val="Szvegtrzs"/>
        <w:rPr>
          <w:u w:val="single"/>
        </w:rPr>
      </w:pPr>
      <w:r>
        <w:rPr>
          <w:u w:val="single"/>
        </w:rPr>
        <w:t>A</w:t>
      </w:r>
      <w:r>
        <w:rPr>
          <w:spacing w:val="-6"/>
          <w:u w:val="single"/>
        </w:rPr>
        <w:t xml:space="preserve"> </w:t>
      </w:r>
      <w:r>
        <w:rPr>
          <w:u w:val="single"/>
        </w:rPr>
        <w:t>biztonságossági</w:t>
      </w:r>
      <w:r>
        <w:rPr>
          <w:spacing w:val="-6"/>
          <w:u w:val="single"/>
        </w:rPr>
        <w:t xml:space="preserve"> </w:t>
      </w:r>
      <w:r>
        <w:rPr>
          <w:u w:val="single"/>
        </w:rPr>
        <w:t>profil</w:t>
      </w:r>
      <w:r>
        <w:rPr>
          <w:spacing w:val="-6"/>
          <w:u w:val="single"/>
        </w:rPr>
        <w:t xml:space="preserve"> </w:t>
      </w:r>
      <w:r>
        <w:rPr>
          <w:u w:val="single"/>
        </w:rPr>
        <w:t>összefoglalása</w:t>
      </w:r>
    </w:p>
    <w:p w14:paraId="430225F2" w14:textId="3F001146" w:rsidR="004C11B6" w:rsidRDefault="00F05A0C" w:rsidP="004864C2">
      <w:pPr>
        <w:pStyle w:val="Szvegtrzs"/>
      </w:pPr>
      <w:r>
        <w:t>Az</w:t>
      </w:r>
      <w:r>
        <w:rPr>
          <w:spacing w:val="-6"/>
        </w:rPr>
        <w:t xml:space="preserve"> </w:t>
      </w:r>
      <w:r>
        <w:t>apixabán</w:t>
      </w:r>
      <w:r>
        <w:rPr>
          <w:spacing w:val="-5"/>
        </w:rPr>
        <w:t xml:space="preserve"> </w:t>
      </w:r>
      <w:r>
        <w:t>biztonságosságát</w:t>
      </w:r>
      <w:r>
        <w:rPr>
          <w:spacing w:val="-5"/>
        </w:rPr>
        <w:t xml:space="preserve"> </w:t>
      </w:r>
      <w:r>
        <w:t>4</w:t>
      </w:r>
      <w:r>
        <w:rPr>
          <w:spacing w:val="-4"/>
        </w:rPr>
        <w:t xml:space="preserve"> </w:t>
      </w:r>
      <w:r w:rsidR="003B4B97">
        <w:rPr>
          <w:spacing w:val="-4"/>
        </w:rPr>
        <w:t xml:space="preserve">III. </w:t>
      </w:r>
      <w:r>
        <w:t>fázis</w:t>
      </w:r>
      <w:r w:rsidR="003B4B97">
        <w:t>ú</w:t>
      </w:r>
      <w:r>
        <w:rPr>
          <w:spacing w:val="-4"/>
        </w:rPr>
        <w:t xml:space="preserve"> </w:t>
      </w:r>
      <w:r>
        <w:t>klinikai</w:t>
      </w:r>
      <w:r>
        <w:rPr>
          <w:spacing w:val="-4"/>
        </w:rPr>
        <w:t xml:space="preserve"> </w:t>
      </w:r>
      <w:r>
        <w:t>vizsgálatban</w:t>
      </w:r>
      <w:r>
        <w:rPr>
          <w:spacing w:val="-4"/>
        </w:rPr>
        <w:t xml:space="preserve"> </w:t>
      </w:r>
      <w:r>
        <w:t>értékelték,</w:t>
      </w:r>
      <w:r>
        <w:rPr>
          <w:spacing w:val="-4"/>
        </w:rPr>
        <w:t xml:space="preserve"> </w:t>
      </w:r>
      <w:r>
        <w:t>melyekben</w:t>
      </w:r>
      <w:r>
        <w:rPr>
          <w:spacing w:val="-4"/>
        </w:rPr>
        <w:t xml:space="preserve"> </w:t>
      </w:r>
      <w:r>
        <w:t>több</w:t>
      </w:r>
      <w:r>
        <w:rPr>
          <w:spacing w:val="-4"/>
        </w:rPr>
        <w:t xml:space="preserve"> </w:t>
      </w:r>
      <w:r>
        <w:t>mint</w:t>
      </w:r>
    </w:p>
    <w:p w14:paraId="447687C9" w14:textId="47C05CD8" w:rsidR="004C11B6" w:rsidRDefault="00F05A0C" w:rsidP="0048577B">
      <w:pPr>
        <w:pStyle w:val="Szvegtrzs"/>
        <w:spacing w:before="6" w:line="247" w:lineRule="auto"/>
      </w:pPr>
      <w:r>
        <w:t>15</w:t>
      </w:r>
      <w:r w:rsidR="0029518D">
        <w:t> </w:t>
      </w:r>
      <w:r>
        <w:t>000 beteg vett részt: több mint 11 000 beteg az NVPF vizsgálatokban, és több mint 4000 beteg a</w:t>
      </w:r>
      <w:r>
        <w:rPr>
          <w:spacing w:val="-52"/>
        </w:rPr>
        <w:t xml:space="preserve"> </w:t>
      </w:r>
      <w:r>
        <w:t>VTE-terápiás (VTEt) vizsgálatokban, ebben a sorrendben átlagosan 1,7 éves és 221 napos</w:t>
      </w:r>
      <w:r>
        <w:rPr>
          <w:spacing w:val="1"/>
        </w:rPr>
        <w:t xml:space="preserve"> </w:t>
      </w:r>
      <w:r>
        <w:t>összexpozícióval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5.1</w:t>
      </w:r>
      <w:r>
        <w:rPr>
          <w:spacing w:val="-3"/>
        </w:rPr>
        <w:t xml:space="preserve"> </w:t>
      </w:r>
      <w:r>
        <w:t>pont).</w:t>
      </w:r>
    </w:p>
    <w:p w14:paraId="1243FFD1" w14:textId="77777777" w:rsidR="004C11B6" w:rsidRDefault="004C11B6" w:rsidP="0048577B">
      <w:pPr>
        <w:pStyle w:val="Szvegtrzs"/>
        <w:spacing w:before="7"/>
      </w:pPr>
    </w:p>
    <w:p w14:paraId="55B9A794" w14:textId="77777777" w:rsidR="004C11B6" w:rsidRDefault="00F05A0C" w:rsidP="0048577B">
      <w:pPr>
        <w:pStyle w:val="Szvegtrzs"/>
        <w:spacing w:line="244" w:lineRule="auto"/>
      </w:pPr>
      <w:r>
        <w:t>Gyakori mellékhatás volt a vérzés, contusio, epistaxis és haematoma (a nemkívánatos esemény-profilt</w:t>
      </w:r>
      <w:r>
        <w:rPr>
          <w:spacing w:val="-5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indikációk</w:t>
      </w:r>
      <w:r>
        <w:rPr>
          <w:spacing w:val="-2"/>
        </w:rPr>
        <w:t xml:space="preserve"> </w:t>
      </w:r>
      <w:r>
        <w:t>szerinti</w:t>
      </w:r>
      <w:r>
        <w:rPr>
          <w:spacing w:val="-1"/>
        </w:rPr>
        <w:t xml:space="preserve"> </w:t>
      </w:r>
      <w:r>
        <w:t>gyakoriságokat</w:t>
      </w:r>
      <w:r>
        <w:rPr>
          <w:spacing w:val="-2"/>
        </w:rPr>
        <w:t xml:space="preserve"> </w:t>
      </w:r>
      <w:r>
        <w:t>lásd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2.</w:t>
      </w:r>
      <w:r>
        <w:rPr>
          <w:spacing w:val="-2"/>
        </w:rPr>
        <w:t xml:space="preserve"> </w:t>
      </w:r>
      <w:r>
        <w:t>táblázatban).</w:t>
      </w:r>
    </w:p>
    <w:p w14:paraId="4E5EAA83" w14:textId="77777777" w:rsidR="004C11B6" w:rsidRDefault="004C11B6" w:rsidP="0048577B">
      <w:pPr>
        <w:pStyle w:val="Szvegtrzs"/>
        <w:spacing w:before="11"/>
      </w:pPr>
    </w:p>
    <w:p w14:paraId="20C043F3" w14:textId="77777777" w:rsidR="004C11B6" w:rsidRDefault="00F05A0C" w:rsidP="0048577B">
      <w:pPr>
        <w:pStyle w:val="Szvegtrzs"/>
        <w:spacing w:line="247" w:lineRule="auto"/>
      </w:pPr>
      <w:r>
        <w:t>Az NVPF vizsgálatokban az apixabán mellett a vérzéssel összefüggő mellékhatások teljes előfordulási</w:t>
      </w:r>
      <w:r>
        <w:rPr>
          <w:spacing w:val="-52"/>
        </w:rPr>
        <w:t xml:space="preserve"> </w:t>
      </w:r>
      <w:r>
        <w:t>gyakorisága 24,3% volt az apixabánt warfarinnal összehasonlító vizsgálatban, és 9,6% volt az</w:t>
      </w:r>
      <w:r>
        <w:rPr>
          <w:spacing w:val="1"/>
        </w:rPr>
        <w:t xml:space="preserve"> </w:t>
      </w:r>
      <w:r>
        <w:t xml:space="preserve">apixabánt acetilszalicilsavval összehasonlító vizsgálatban. Az apixabán </w:t>
      </w:r>
      <w:r w:rsidRPr="00F162CB">
        <w:rPr>
          <w:i/>
        </w:rPr>
        <w:t>vs.</w:t>
      </w:r>
      <w:r>
        <w:t xml:space="preserve"> warfarin vizsgálatban az</w:t>
      </w:r>
      <w:r>
        <w:rPr>
          <w:spacing w:val="1"/>
        </w:rPr>
        <w:t xml:space="preserve"> </w:t>
      </w:r>
      <w:r>
        <w:t>ISTH-szerinti jelentős gastrointestinalis vérzések (beleértve a tápcsatorna felső, a tápcsatorna alsó</w:t>
      </w:r>
      <w:r>
        <w:rPr>
          <w:spacing w:val="1"/>
        </w:rPr>
        <w:t xml:space="preserve"> </w:t>
      </w:r>
      <w:r>
        <w:t>részéről kiinduló, valamint a rectalis vérzést is) előfordulási gyakorisága az apixabán mellett 0,76%/év</w:t>
      </w:r>
      <w:r>
        <w:rPr>
          <w:spacing w:val="-52"/>
        </w:rPr>
        <w:t xml:space="preserve"> </w:t>
      </w:r>
      <w:r>
        <w:t>volt. Az ISTH-szerinti jelentős intraocularis vérzés előfordulási gyakorisága az apixabán mellett</w:t>
      </w:r>
      <w:r>
        <w:rPr>
          <w:spacing w:val="1"/>
        </w:rPr>
        <w:t xml:space="preserve"> </w:t>
      </w:r>
      <w:r>
        <w:t>0,18%/év</w:t>
      </w:r>
      <w:r>
        <w:rPr>
          <w:spacing w:val="-2"/>
        </w:rPr>
        <w:t xml:space="preserve"> </w:t>
      </w:r>
      <w:r>
        <w:t>volt.</w:t>
      </w:r>
    </w:p>
    <w:p w14:paraId="0AFB8B63" w14:textId="77777777" w:rsidR="004C11B6" w:rsidRDefault="004C11B6" w:rsidP="0048577B">
      <w:pPr>
        <w:pStyle w:val="Szvegtrzs"/>
        <w:spacing w:before="1"/>
      </w:pPr>
    </w:p>
    <w:p w14:paraId="6F1EFABA" w14:textId="77777777" w:rsidR="004C11B6" w:rsidRDefault="00F05A0C" w:rsidP="0048577B">
      <w:pPr>
        <w:pStyle w:val="Szvegtrzs"/>
        <w:spacing w:before="1" w:line="247" w:lineRule="auto"/>
      </w:pPr>
      <w:r>
        <w:t>A VTEt vizsgálatokban az apixabán mellett a vérzéssel összefüggő mellékhatások teljes előfordulási</w:t>
      </w:r>
      <w:r>
        <w:rPr>
          <w:spacing w:val="1"/>
        </w:rPr>
        <w:t xml:space="preserve"> </w:t>
      </w:r>
      <w:r>
        <w:t>gyakorisága 15,6% volt az apixabánt enoxaparinnal/warfarinnal összehasonlító vizsgálatban, és 13,3%</w:t>
      </w:r>
      <w:r>
        <w:rPr>
          <w:spacing w:val="-52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apixabánt</w:t>
      </w:r>
      <w:r>
        <w:rPr>
          <w:spacing w:val="-1"/>
        </w:rPr>
        <w:t xml:space="preserve"> </w:t>
      </w:r>
      <w:r>
        <w:t>placebóval</w:t>
      </w:r>
      <w:r>
        <w:rPr>
          <w:spacing w:val="-2"/>
        </w:rPr>
        <w:t xml:space="preserve"> </w:t>
      </w:r>
      <w:r>
        <w:t>összehasonlító</w:t>
      </w:r>
      <w:r>
        <w:rPr>
          <w:spacing w:val="-1"/>
        </w:rPr>
        <w:t xml:space="preserve"> </w:t>
      </w:r>
      <w:r>
        <w:t>vizsgálatban</w:t>
      </w:r>
      <w:r>
        <w:rPr>
          <w:spacing w:val="-2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5.1</w:t>
      </w:r>
      <w:r>
        <w:rPr>
          <w:spacing w:val="-2"/>
        </w:rPr>
        <w:t xml:space="preserve"> </w:t>
      </w:r>
      <w:r>
        <w:t>pont).</w:t>
      </w:r>
    </w:p>
    <w:p w14:paraId="1285A064" w14:textId="77777777" w:rsidR="004C11B6" w:rsidRDefault="004C11B6">
      <w:pPr>
        <w:pStyle w:val="Szvegtrzs"/>
        <w:spacing w:before="6"/>
      </w:pPr>
    </w:p>
    <w:p w14:paraId="2B66E8AE" w14:textId="77777777" w:rsidR="004C11B6" w:rsidRDefault="00F05A0C" w:rsidP="00D66A16">
      <w:pPr>
        <w:pStyle w:val="Szvegtrzs"/>
      </w:pPr>
      <w:r>
        <w:rPr>
          <w:u w:val="single"/>
        </w:rPr>
        <w:t>A</w:t>
      </w:r>
      <w:r>
        <w:rPr>
          <w:spacing w:val="-6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6"/>
          <w:u w:val="single"/>
        </w:rPr>
        <w:t xml:space="preserve"> </w:t>
      </w:r>
      <w:r>
        <w:rPr>
          <w:u w:val="single"/>
        </w:rPr>
        <w:t>táblázatos</w:t>
      </w:r>
      <w:r>
        <w:rPr>
          <w:spacing w:val="-5"/>
          <w:u w:val="single"/>
        </w:rPr>
        <w:t xml:space="preserve"> </w:t>
      </w:r>
      <w:r>
        <w:rPr>
          <w:u w:val="single"/>
        </w:rPr>
        <w:t>felsorolása</w:t>
      </w:r>
    </w:p>
    <w:p w14:paraId="25F93893" w14:textId="77777777" w:rsidR="004C11B6" w:rsidRDefault="004C11B6" w:rsidP="00D66A16">
      <w:pPr>
        <w:pStyle w:val="Szvegtrzs"/>
        <w:spacing w:before="2"/>
        <w:rPr>
          <w:sz w:val="15"/>
        </w:rPr>
      </w:pPr>
    </w:p>
    <w:p w14:paraId="64FC1F50" w14:textId="28802873" w:rsidR="004C11B6" w:rsidRDefault="00F05A0C" w:rsidP="00D66A16">
      <w:pPr>
        <w:pStyle w:val="Szvegtrzs"/>
        <w:spacing w:before="91" w:line="247" w:lineRule="auto"/>
      </w:pPr>
      <w:r>
        <w:t>A 2. táblázat szervrendszeri kategóriánként és gyakorisági szerint osztályozva, az alábbi megegyezés</w:t>
      </w:r>
      <w:r>
        <w:rPr>
          <w:spacing w:val="-52"/>
        </w:rPr>
        <w:t xml:space="preserve"> </w:t>
      </w:r>
      <w:r>
        <w:t xml:space="preserve">szerint mutatja a mellékhatásokat: nagyon gyakori (≥ 1/10), gyakori (≥ 1/100 </w:t>
      </w:r>
      <w:r w:rsidR="00DE0877">
        <w:t>–</w:t>
      </w:r>
      <w:r>
        <w:t xml:space="preserve"> &lt; 1/10), nem gyakori</w:t>
      </w:r>
      <w:r>
        <w:rPr>
          <w:spacing w:val="1"/>
        </w:rPr>
        <w:t xml:space="preserve"> </w:t>
      </w:r>
      <w:r>
        <w:t xml:space="preserve">(≥ 1/1000 </w:t>
      </w:r>
      <w:r w:rsidR="00DE0877">
        <w:t>–</w:t>
      </w:r>
      <w:r>
        <w:t xml:space="preserve"> &lt; 1/100), ritka (≥ 1/10</w:t>
      </w:r>
      <w:r w:rsidR="0029518D">
        <w:t> </w:t>
      </w:r>
      <w:r>
        <w:t xml:space="preserve">000 </w:t>
      </w:r>
      <w:r w:rsidR="00DE0877">
        <w:t>–</w:t>
      </w:r>
      <w:r>
        <w:t xml:space="preserve"> &lt; 1/1000) és nagyon ritka (&lt; 1/10</w:t>
      </w:r>
      <w:r w:rsidR="0029518D">
        <w:t> </w:t>
      </w:r>
      <w:r>
        <w:t>000), nem ismert (a</w:t>
      </w:r>
      <w:r>
        <w:rPr>
          <w:spacing w:val="1"/>
        </w:rPr>
        <w:t xml:space="preserve"> </w:t>
      </w:r>
      <w:r>
        <w:t>gyakorisága a rendelkezésre álló adatokból nem állapítható meg) sorrendben az NVPF és a VTEt</w:t>
      </w:r>
      <w:r>
        <w:rPr>
          <w:spacing w:val="1"/>
        </w:rPr>
        <w:t xml:space="preserve"> </w:t>
      </w:r>
      <w:r>
        <w:t>esetén.</w:t>
      </w:r>
    </w:p>
    <w:p w14:paraId="374A3DF1" w14:textId="77777777" w:rsidR="004C11B6" w:rsidRDefault="004C11B6" w:rsidP="00D66A16">
      <w:pPr>
        <w:pStyle w:val="Szvegtrzs"/>
        <w:spacing w:before="4"/>
      </w:pPr>
    </w:p>
    <w:p w14:paraId="36372663" w14:textId="03CF0EB7" w:rsidR="004C11B6" w:rsidRDefault="00F05A0C" w:rsidP="00F464AE">
      <w:pPr>
        <w:pStyle w:val="Cmsor2"/>
        <w:numPr>
          <w:ilvl w:val="0"/>
          <w:numId w:val="69"/>
        </w:numPr>
        <w:spacing w:before="1" w:after="5"/>
        <w:ind w:left="284" w:hanging="284"/>
      </w:pPr>
      <w:r>
        <w:t>táblázat: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táblázatos</w:t>
      </w:r>
      <w:r>
        <w:rPr>
          <w:spacing w:val="-5"/>
        </w:rPr>
        <w:t xml:space="preserve"> </w:t>
      </w:r>
      <w:r>
        <w:t>felsorolása</w:t>
      </w:r>
    </w:p>
    <w:tbl>
      <w:tblPr>
        <w:tblW w:w="948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2"/>
        <w:gridCol w:w="3871"/>
        <w:gridCol w:w="1682"/>
      </w:tblGrid>
      <w:tr w:rsidR="004C11B6" w14:paraId="0061B3FE" w14:textId="77777777" w:rsidTr="007917F5">
        <w:trPr>
          <w:trHeight w:val="1818"/>
        </w:trPr>
        <w:tc>
          <w:tcPr>
            <w:tcW w:w="3932" w:type="dxa"/>
          </w:tcPr>
          <w:p w14:paraId="7CC863A7" w14:textId="77777777" w:rsidR="004C11B6" w:rsidRDefault="00F05A0C">
            <w:pPr>
              <w:pStyle w:val="TableParagraph"/>
              <w:spacing w:before="3"/>
              <w:ind w:left="107"/>
              <w:rPr>
                <w:b/>
              </w:rPr>
            </w:pPr>
            <w:r>
              <w:rPr>
                <w:b/>
              </w:rPr>
              <w:t>Szervrendszeri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kategóriák</w:t>
            </w:r>
          </w:p>
        </w:tc>
        <w:tc>
          <w:tcPr>
            <w:tcW w:w="3871" w:type="dxa"/>
          </w:tcPr>
          <w:p w14:paraId="2EA3E6A5" w14:textId="77777777" w:rsidR="004C11B6" w:rsidRDefault="00F05A0C">
            <w:pPr>
              <w:pStyle w:val="TableParagraph"/>
              <w:spacing w:before="3" w:line="247" w:lineRule="auto"/>
              <w:ind w:left="165" w:right="152" w:hanging="1"/>
              <w:jc w:val="center"/>
              <w:rPr>
                <w:b/>
              </w:rPr>
            </w:pPr>
            <w:r>
              <w:rPr>
                <w:b/>
              </w:rPr>
              <w:t>A stroke és a szisztémás embolizáció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megelőzése NVPF-ben szenvedő, egy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vagy több kockázati tényezővel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rendelkező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felnőtt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betegeknél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(NVPF)</w:t>
            </w:r>
          </w:p>
        </w:tc>
        <w:tc>
          <w:tcPr>
            <w:tcW w:w="1682" w:type="dxa"/>
          </w:tcPr>
          <w:p w14:paraId="60D40DD9" w14:textId="77777777" w:rsidR="004C11B6" w:rsidRDefault="00F05A0C">
            <w:pPr>
              <w:pStyle w:val="TableParagraph"/>
              <w:spacing w:before="3" w:line="247" w:lineRule="auto"/>
              <w:ind w:left="214" w:right="200" w:firstLine="2"/>
              <w:jc w:val="center"/>
              <w:rPr>
                <w:b/>
              </w:rPr>
            </w:pPr>
            <w:r>
              <w:rPr>
                <w:b/>
              </w:rPr>
              <w:t>Az MVT és 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PE kezelése,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valamint az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MVT és a PE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kiújulásának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megelőzése</w:t>
            </w:r>
          </w:p>
          <w:p w14:paraId="422429BB" w14:textId="77777777" w:rsidR="004C11B6" w:rsidRDefault="00F05A0C">
            <w:pPr>
              <w:pStyle w:val="TableParagraph"/>
              <w:spacing w:line="232" w:lineRule="exact"/>
              <w:ind w:left="245" w:right="231"/>
              <w:jc w:val="center"/>
              <w:rPr>
                <w:b/>
              </w:rPr>
            </w:pPr>
            <w:r>
              <w:rPr>
                <w:b/>
              </w:rPr>
              <w:t>(VTEt)</w:t>
            </w:r>
          </w:p>
        </w:tc>
      </w:tr>
      <w:tr w:rsidR="004C11B6" w14:paraId="4E3CA46F" w14:textId="77777777" w:rsidTr="007917F5">
        <w:trPr>
          <w:trHeight w:val="359"/>
        </w:trPr>
        <w:tc>
          <w:tcPr>
            <w:tcW w:w="7803" w:type="dxa"/>
            <w:gridSpan w:val="2"/>
          </w:tcPr>
          <w:p w14:paraId="3F42CE92" w14:textId="77777777" w:rsidR="004C11B6" w:rsidRDefault="00F05A0C">
            <w:pPr>
              <w:pStyle w:val="TableParagraph"/>
              <w:spacing w:before="3"/>
              <w:ind w:left="107"/>
              <w:rPr>
                <w:i/>
              </w:rPr>
            </w:pPr>
            <w:r>
              <w:rPr>
                <w:i/>
              </w:rPr>
              <w:t>Vérképzőszervi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nyirokrendszeri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00FB92D5" w14:textId="77777777" w:rsidR="004C11B6" w:rsidRDefault="004C11B6">
            <w:pPr>
              <w:pStyle w:val="TableParagraph"/>
            </w:pPr>
          </w:p>
        </w:tc>
      </w:tr>
      <w:tr w:rsidR="004C11B6" w14:paraId="59ADECFE" w14:textId="77777777" w:rsidTr="007917F5">
        <w:trPr>
          <w:trHeight w:val="261"/>
        </w:trPr>
        <w:tc>
          <w:tcPr>
            <w:tcW w:w="3932" w:type="dxa"/>
          </w:tcPr>
          <w:p w14:paraId="077D12DE" w14:textId="77777777" w:rsidR="004C11B6" w:rsidRDefault="00F05A0C">
            <w:pPr>
              <w:pStyle w:val="TableParagraph"/>
              <w:spacing w:before="3" w:line="238" w:lineRule="exact"/>
              <w:ind w:left="107"/>
            </w:pPr>
            <w:r>
              <w:t>Anaemia</w:t>
            </w:r>
          </w:p>
        </w:tc>
        <w:tc>
          <w:tcPr>
            <w:tcW w:w="3871" w:type="dxa"/>
          </w:tcPr>
          <w:p w14:paraId="644973BC" w14:textId="77777777" w:rsidR="004C11B6" w:rsidRDefault="00F05A0C">
            <w:pPr>
              <w:pStyle w:val="TableParagraph"/>
              <w:spacing w:before="3" w:line="238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70E9F020" w14:textId="77777777" w:rsidR="004C11B6" w:rsidRDefault="00F05A0C">
            <w:pPr>
              <w:pStyle w:val="TableParagraph"/>
              <w:spacing w:before="3" w:line="238" w:lineRule="exact"/>
              <w:ind w:left="482"/>
            </w:pPr>
            <w:r>
              <w:t>Gyakori</w:t>
            </w:r>
          </w:p>
        </w:tc>
      </w:tr>
      <w:tr w:rsidR="004C11B6" w14:paraId="7F16FE60" w14:textId="77777777" w:rsidTr="007917F5">
        <w:trPr>
          <w:trHeight w:val="297"/>
        </w:trPr>
        <w:tc>
          <w:tcPr>
            <w:tcW w:w="3932" w:type="dxa"/>
          </w:tcPr>
          <w:p w14:paraId="00699F60" w14:textId="77777777" w:rsidR="004C11B6" w:rsidRDefault="00F05A0C">
            <w:pPr>
              <w:pStyle w:val="TableParagraph"/>
              <w:spacing w:before="3"/>
              <w:ind w:left="107"/>
            </w:pPr>
            <w:r>
              <w:t>Thrombocytopenia</w:t>
            </w:r>
          </w:p>
        </w:tc>
        <w:tc>
          <w:tcPr>
            <w:tcW w:w="3871" w:type="dxa"/>
          </w:tcPr>
          <w:p w14:paraId="6F13C3D8" w14:textId="77777777" w:rsidR="004C11B6" w:rsidRDefault="00F05A0C">
            <w:pPr>
              <w:pStyle w:val="TableParagraph"/>
              <w:spacing w:before="3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644D287C" w14:textId="77777777" w:rsidR="004C11B6" w:rsidRDefault="00F05A0C">
            <w:pPr>
              <w:pStyle w:val="TableParagraph"/>
              <w:spacing w:before="3"/>
              <w:ind w:left="482"/>
            </w:pPr>
            <w:r>
              <w:t>Gyakori</w:t>
            </w:r>
          </w:p>
        </w:tc>
      </w:tr>
      <w:tr w:rsidR="004C11B6" w14:paraId="2D6F7A0E" w14:textId="77777777" w:rsidTr="007917F5">
        <w:trPr>
          <w:trHeight w:val="359"/>
        </w:trPr>
        <w:tc>
          <w:tcPr>
            <w:tcW w:w="7803" w:type="dxa"/>
            <w:gridSpan w:val="2"/>
          </w:tcPr>
          <w:p w14:paraId="3029A735" w14:textId="77777777" w:rsidR="004C11B6" w:rsidRDefault="00F05A0C">
            <w:pPr>
              <w:pStyle w:val="TableParagraph"/>
              <w:spacing w:before="3"/>
              <w:ind w:left="107"/>
              <w:rPr>
                <w:i/>
              </w:rPr>
            </w:pPr>
            <w:r>
              <w:rPr>
                <w:i/>
              </w:rPr>
              <w:t>Immunrendszeri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49005952" w14:textId="77777777" w:rsidR="004C11B6" w:rsidRDefault="004C11B6">
            <w:pPr>
              <w:pStyle w:val="TableParagraph"/>
            </w:pPr>
          </w:p>
        </w:tc>
      </w:tr>
      <w:tr w:rsidR="004C11B6" w14:paraId="0C6E8D27" w14:textId="77777777" w:rsidTr="007917F5">
        <w:trPr>
          <w:trHeight w:val="520"/>
        </w:trPr>
        <w:tc>
          <w:tcPr>
            <w:tcW w:w="3932" w:type="dxa"/>
          </w:tcPr>
          <w:p w14:paraId="28AA27B4" w14:textId="77777777" w:rsidR="004C11B6" w:rsidRDefault="00F05A0C">
            <w:pPr>
              <w:pStyle w:val="TableParagraph"/>
              <w:spacing w:line="260" w:lineRule="exact"/>
              <w:ind w:left="107" w:right="431"/>
            </w:pPr>
            <w:r>
              <w:t>Túlérzékenység, allergiás oedema és</w:t>
            </w:r>
            <w:r>
              <w:rPr>
                <w:spacing w:val="-52"/>
              </w:rPr>
              <w:t xml:space="preserve"> </w:t>
            </w:r>
            <w:r>
              <w:t>anaphylaxia</w:t>
            </w:r>
          </w:p>
        </w:tc>
        <w:tc>
          <w:tcPr>
            <w:tcW w:w="3871" w:type="dxa"/>
          </w:tcPr>
          <w:p w14:paraId="22C1FC35" w14:textId="77777777" w:rsidR="004C11B6" w:rsidRDefault="00F05A0C">
            <w:pPr>
              <w:pStyle w:val="TableParagraph"/>
              <w:spacing w:before="3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06F5529A" w14:textId="77777777" w:rsidR="004C11B6" w:rsidRDefault="00F05A0C">
            <w:pPr>
              <w:pStyle w:val="TableParagraph"/>
              <w:spacing w:before="3"/>
              <w:ind w:left="264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4CCB87D6" w14:textId="77777777" w:rsidTr="007917F5">
        <w:trPr>
          <w:trHeight w:val="258"/>
        </w:trPr>
        <w:tc>
          <w:tcPr>
            <w:tcW w:w="3932" w:type="dxa"/>
          </w:tcPr>
          <w:p w14:paraId="0829D548" w14:textId="77777777" w:rsidR="004C11B6" w:rsidRDefault="00F05A0C">
            <w:pPr>
              <w:pStyle w:val="TableParagraph"/>
              <w:spacing w:before="3" w:line="236" w:lineRule="exact"/>
              <w:ind w:left="107"/>
            </w:pPr>
            <w:r>
              <w:t>Pruritus</w:t>
            </w:r>
          </w:p>
        </w:tc>
        <w:tc>
          <w:tcPr>
            <w:tcW w:w="3871" w:type="dxa"/>
          </w:tcPr>
          <w:p w14:paraId="47E7E2E7" w14:textId="77777777" w:rsidR="004C11B6" w:rsidRDefault="00F05A0C">
            <w:pPr>
              <w:pStyle w:val="TableParagraph"/>
              <w:spacing w:before="3" w:line="236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25F89727" w14:textId="77777777" w:rsidR="004C11B6" w:rsidRDefault="00F05A0C">
            <w:pPr>
              <w:pStyle w:val="TableParagraph"/>
              <w:spacing w:before="3" w:line="236" w:lineRule="exact"/>
              <w:ind w:left="209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gyakori*</w:t>
            </w:r>
          </w:p>
        </w:tc>
      </w:tr>
      <w:tr w:rsidR="004C11B6" w14:paraId="12391115" w14:textId="77777777" w:rsidTr="007917F5">
        <w:trPr>
          <w:trHeight w:val="359"/>
        </w:trPr>
        <w:tc>
          <w:tcPr>
            <w:tcW w:w="7803" w:type="dxa"/>
            <w:gridSpan w:val="2"/>
          </w:tcPr>
          <w:p w14:paraId="4729CF2F" w14:textId="77777777" w:rsidR="004C11B6" w:rsidRDefault="00F05A0C">
            <w:pPr>
              <w:pStyle w:val="TableParagraph"/>
              <w:spacing w:before="3"/>
              <w:ind w:left="107"/>
              <w:rPr>
                <w:i/>
              </w:rPr>
            </w:pPr>
            <w:r>
              <w:rPr>
                <w:i/>
              </w:rPr>
              <w:t>Idegrendszeri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29FE0CAD" w14:textId="77777777" w:rsidR="004C11B6" w:rsidRDefault="004C11B6">
            <w:pPr>
              <w:pStyle w:val="TableParagraph"/>
            </w:pPr>
          </w:p>
        </w:tc>
      </w:tr>
      <w:tr w:rsidR="004C11B6" w14:paraId="1648BCAD" w14:textId="77777777" w:rsidTr="007917F5">
        <w:trPr>
          <w:trHeight w:val="309"/>
        </w:trPr>
        <w:tc>
          <w:tcPr>
            <w:tcW w:w="3932" w:type="dxa"/>
          </w:tcPr>
          <w:p w14:paraId="32510A01" w14:textId="77777777" w:rsidR="004C11B6" w:rsidRDefault="00F05A0C">
            <w:pPr>
              <w:pStyle w:val="TableParagraph"/>
              <w:spacing w:line="289" w:lineRule="exact"/>
              <w:ind w:left="107"/>
              <w:rPr>
                <w:sz w:val="18"/>
              </w:rPr>
            </w:pPr>
            <w:r>
              <w:t>Agyvérzés</w:t>
            </w:r>
            <w:r>
              <w:rPr>
                <w:position w:val="9"/>
                <w:sz w:val="18"/>
              </w:rPr>
              <w:t>†</w:t>
            </w:r>
          </w:p>
        </w:tc>
        <w:tc>
          <w:tcPr>
            <w:tcW w:w="3871" w:type="dxa"/>
          </w:tcPr>
          <w:p w14:paraId="69F984C1" w14:textId="77777777" w:rsidR="004C11B6" w:rsidRDefault="00F05A0C">
            <w:pPr>
              <w:pStyle w:val="TableParagraph"/>
              <w:spacing w:before="3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2466C964" w14:textId="77777777" w:rsidR="004C11B6" w:rsidRDefault="00F05A0C">
            <w:pPr>
              <w:pStyle w:val="TableParagraph"/>
              <w:spacing w:before="3"/>
              <w:ind w:left="245" w:right="235"/>
              <w:jc w:val="center"/>
            </w:pPr>
            <w:r>
              <w:t>Ritka</w:t>
            </w:r>
          </w:p>
        </w:tc>
      </w:tr>
      <w:tr w:rsidR="004864C2" w14:paraId="37D947BB" w14:textId="77777777" w:rsidTr="007917F5">
        <w:trPr>
          <w:trHeight w:val="309"/>
        </w:trPr>
        <w:tc>
          <w:tcPr>
            <w:tcW w:w="3932" w:type="dxa"/>
          </w:tcPr>
          <w:p w14:paraId="485B3F7A" w14:textId="31C9CCC7" w:rsidR="004864C2" w:rsidRDefault="004864C2" w:rsidP="004864C2">
            <w:pPr>
              <w:pStyle w:val="TableParagraph"/>
              <w:spacing w:line="289" w:lineRule="exact"/>
              <w:ind w:left="107"/>
            </w:pPr>
            <w:r>
              <w:t>Angi</w:t>
            </w:r>
            <w:r w:rsidR="0062072F">
              <w:t>o</w:t>
            </w:r>
            <w:r>
              <w:t>oedema</w:t>
            </w:r>
          </w:p>
        </w:tc>
        <w:tc>
          <w:tcPr>
            <w:tcW w:w="3871" w:type="dxa"/>
          </w:tcPr>
          <w:p w14:paraId="6F9F17E4" w14:textId="321628EE" w:rsidR="004864C2" w:rsidRDefault="004864C2" w:rsidP="004864C2">
            <w:pPr>
              <w:pStyle w:val="TableParagraph"/>
              <w:spacing w:before="3"/>
              <w:ind w:left="1337" w:right="1329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1682" w:type="dxa"/>
          </w:tcPr>
          <w:p w14:paraId="4564673C" w14:textId="172D12F9" w:rsidR="004864C2" w:rsidRDefault="004864C2" w:rsidP="004864C2">
            <w:pPr>
              <w:pStyle w:val="TableParagraph"/>
              <w:spacing w:before="3"/>
              <w:ind w:left="245" w:right="235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4C11B6" w14:paraId="1AF09911" w14:textId="77777777" w:rsidTr="007917F5">
        <w:trPr>
          <w:trHeight w:val="359"/>
        </w:trPr>
        <w:tc>
          <w:tcPr>
            <w:tcW w:w="7803" w:type="dxa"/>
            <w:gridSpan w:val="2"/>
          </w:tcPr>
          <w:p w14:paraId="7F7AE6ED" w14:textId="77777777" w:rsidR="004C11B6" w:rsidRDefault="00F05A0C">
            <w:pPr>
              <w:pStyle w:val="TableParagraph"/>
              <w:spacing w:before="3"/>
              <w:ind w:left="107"/>
              <w:rPr>
                <w:i/>
              </w:rPr>
            </w:pPr>
            <w:r>
              <w:rPr>
                <w:i/>
              </w:rPr>
              <w:t>Szembetegségek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szemészeti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28FA0723" w14:textId="77777777" w:rsidR="004C11B6" w:rsidRDefault="004C11B6">
            <w:pPr>
              <w:pStyle w:val="TableParagraph"/>
            </w:pPr>
          </w:p>
        </w:tc>
      </w:tr>
      <w:tr w:rsidR="004C11B6" w14:paraId="59622FF8" w14:textId="77777777" w:rsidTr="007917F5">
        <w:trPr>
          <w:trHeight w:val="261"/>
        </w:trPr>
        <w:tc>
          <w:tcPr>
            <w:tcW w:w="3932" w:type="dxa"/>
          </w:tcPr>
          <w:p w14:paraId="1B2CE25E" w14:textId="2C9FB831" w:rsidR="004C11B6" w:rsidRDefault="00F05A0C">
            <w:pPr>
              <w:pStyle w:val="TableParagraph"/>
              <w:spacing w:before="5" w:line="236" w:lineRule="exact"/>
              <w:ind w:left="107"/>
            </w:pPr>
            <w:r>
              <w:t>Szemvérzés</w:t>
            </w:r>
            <w:r>
              <w:rPr>
                <w:spacing w:val="-6"/>
              </w:rPr>
              <w:t xml:space="preserve"> </w:t>
            </w:r>
            <w:r>
              <w:t>(beleértve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conjunctivális</w:t>
            </w:r>
            <w:r w:rsidR="00D66A16">
              <w:t xml:space="preserve"> vérzést</w:t>
            </w:r>
            <w:r w:rsidR="00D66A16">
              <w:rPr>
                <w:spacing w:val="-4"/>
              </w:rPr>
              <w:t xml:space="preserve"> </w:t>
            </w:r>
            <w:r w:rsidR="00D66A16">
              <w:t>is)</w:t>
            </w:r>
          </w:p>
        </w:tc>
        <w:tc>
          <w:tcPr>
            <w:tcW w:w="3871" w:type="dxa"/>
          </w:tcPr>
          <w:p w14:paraId="23F4E4AD" w14:textId="77777777" w:rsidR="004C11B6" w:rsidRDefault="00F05A0C">
            <w:pPr>
              <w:pStyle w:val="TableParagraph"/>
              <w:spacing w:before="5" w:line="236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04F580FD" w14:textId="77777777" w:rsidR="004C11B6" w:rsidRDefault="00F05A0C">
            <w:pPr>
              <w:pStyle w:val="TableParagraph"/>
              <w:spacing w:before="5" w:line="236" w:lineRule="exact"/>
              <w:ind w:left="264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55DC94BE" w14:textId="77777777" w:rsidTr="007917F5">
        <w:trPr>
          <w:trHeight w:val="362"/>
        </w:trPr>
        <w:tc>
          <w:tcPr>
            <w:tcW w:w="7803" w:type="dxa"/>
            <w:gridSpan w:val="2"/>
          </w:tcPr>
          <w:p w14:paraId="26ECFEC7" w14:textId="77777777" w:rsidR="004C11B6" w:rsidRDefault="00F05A0C">
            <w:pPr>
              <w:pStyle w:val="TableParagraph"/>
              <w:spacing w:before="2"/>
              <w:ind w:left="107"/>
              <w:rPr>
                <w:i/>
              </w:rPr>
            </w:pPr>
            <w:r>
              <w:rPr>
                <w:i/>
              </w:rPr>
              <w:t>Érbetegségek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6CF6DF2C" w14:textId="77777777" w:rsidR="004C11B6" w:rsidRDefault="004C11B6">
            <w:pPr>
              <w:pStyle w:val="TableParagraph"/>
            </w:pPr>
          </w:p>
        </w:tc>
      </w:tr>
      <w:tr w:rsidR="004C11B6" w14:paraId="4323475B" w14:textId="77777777" w:rsidTr="007917F5">
        <w:trPr>
          <w:trHeight w:val="258"/>
        </w:trPr>
        <w:tc>
          <w:tcPr>
            <w:tcW w:w="3932" w:type="dxa"/>
          </w:tcPr>
          <w:p w14:paraId="0A431D4F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Vérzés,</w:t>
            </w:r>
            <w:r>
              <w:rPr>
                <w:spacing w:val="-5"/>
              </w:rPr>
              <w:t xml:space="preserve"> </w:t>
            </w:r>
            <w:r>
              <w:t>haematoma</w:t>
            </w:r>
          </w:p>
        </w:tc>
        <w:tc>
          <w:tcPr>
            <w:tcW w:w="3871" w:type="dxa"/>
          </w:tcPr>
          <w:p w14:paraId="4BC822D6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57ED3BFD" w14:textId="77777777" w:rsidR="004C11B6" w:rsidRDefault="00F05A0C">
            <w:pPr>
              <w:pStyle w:val="TableParagraph"/>
              <w:spacing w:line="239" w:lineRule="exact"/>
              <w:ind w:left="482"/>
            </w:pPr>
            <w:r>
              <w:t>Gyakori</w:t>
            </w:r>
          </w:p>
        </w:tc>
      </w:tr>
      <w:tr w:rsidR="004C11B6" w14:paraId="6290D006" w14:textId="77777777" w:rsidTr="007917F5">
        <w:trPr>
          <w:trHeight w:val="520"/>
        </w:trPr>
        <w:tc>
          <w:tcPr>
            <w:tcW w:w="3932" w:type="dxa"/>
          </w:tcPr>
          <w:p w14:paraId="3B753DDC" w14:textId="77777777" w:rsidR="004C11B6" w:rsidRDefault="00F05A0C">
            <w:pPr>
              <w:pStyle w:val="TableParagraph"/>
              <w:ind w:left="107"/>
            </w:pPr>
            <w:r>
              <w:t>Hypotonia</w:t>
            </w:r>
            <w:r>
              <w:rPr>
                <w:spacing w:val="-5"/>
              </w:rPr>
              <w:t xml:space="preserve"> </w:t>
            </w:r>
            <w:r>
              <w:t>(beleértve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beavatkozás</w:t>
            </w:r>
          </w:p>
          <w:p w14:paraId="1BD2E58F" w14:textId="77777777" w:rsidR="004C11B6" w:rsidRDefault="00F05A0C">
            <w:pPr>
              <w:pStyle w:val="TableParagraph"/>
              <w:spacing w:before="8" w:line="239" w:lineRule="exact"/>
              <w:ind w:left="107"/>
            </w:pPr>
            <w:r>
              <w:t>okozta</w:t>
            </w:r>
            <w:r>
              <w:rPr>
                <w:spacing w:val="-5"/>
              </w:rPr>
              <w:t xml:space="preserve"> </w:t>
            </w:r>
            <w:r>
              <w:t>hypotensiót</w:t>
            </w:r>
            <w:r>
              <w:rPr>
                <w:spacing w:val="-4"/>
              </w:rPr>
              <w:t xml:space="preserve"> </w:t>
            </w:r>
            <w:r>
              <w:t>is)</w:t>
            </w:r>
          </w:p>
        </w:tc>
        <w:tc>
          <w:tcPr>
            <w:tcW w:w="3871" w:type="dxa"/>
          </w:tcPr>
          <w:p w14:paraId="04BD611D" w14:textId="77777777" w:rsidR="004C11B6" w:rsidRDefault="00F05A0C">
            <w:pPr>
              <w:pStyle w:val="TableParagraph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704357EB" w14:textId="77777777" w:rsidR="004C11B6" w:rsidRDefault="00F05A0C">
            <w:pPr>
              <w:pStyle w:val="TableParagraph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63191371" w14:textId="77777777" w:rsidTr="007917F5">
        <w:trPr>
          <w:trHeight w:val="258"/>
        </w:trPr>
        <w:tc>
          <w:tcPr>
            <w:tcW w:w="3932" w:type="dxa"/>
          </w:tcPr>
          <w:p w14:paraId="6889678B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Intraabdominalis</w:t>
            </w:r>
            <w:r>
              <w:rPr>
                <w:spacing w:val="-7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7A5638E0" w14:textId="77777777" w:rsidR="004C11B6" w:rsidRDefault="00F05A0C">
            <w:pPr>
              <w:pStyle w:val="TableParagraph"/>
              <w:spacing w:line="239" w:lineRule="exact"/>
              <w:ind w:left="1338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58D0F377" w14:textId="77777777" w:rsidR="004C11B6" w:rsidRDefault="00F05A0C">
            <w:pPr>
              <w:pStyle w:val="TableParagraph"/>
              <w:spacing w:line="239" w:lineRule="exact"/>
              <w:ind w:right="310"/>
              <w:jc w:val="right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4C11B6" w14:paraId="7B98E96F" w14:textId="77777777" w:rsidTr="007917F5">
        <w:trPr>
          <w:trHeight w:val="362"/>
        </w:trPr>
        <w:tc>
          <w:tcPr>
            <w:tcW w:w="7803" w:type="dxa"/>
            <w:gridSpan w:val="2"/>
          </w:tcPr>
          <w:p w14:paraId="540BAF84" w14:textId="77777777" w:rsidR="004C11B6" w:rsidRDefault="00F05A0C">
            <w:pPr>
              <w:pStyle w:val="TableParagraph"/>
              <w:spacing w:before="2"/>
              <w:ind w:left="107"/>
              <w:rPr>
                <w:i/>
              </w:rPr>
            </w:pPr>
            <w:r>
              <w:rPr>
                <w:i/>
              </w:rPr>
              <w:t>Légzőrendszeri,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mellkasi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mediastinalis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5F593025" w14:textId="77777777" w:rsidR="004C11B6" w:rsidRDefault="004C11B6">
            <w:pPr>
              <w:pStyle w:val="TableParagraph"/>
            </w:pPr>
          </w:p>
        </w:tc>
      </w:tr>
      <w:tr w:rsidR="004C11B6" w14:paraId="78331EA0" w14:textId="77777777" w:rsidTr="007917F5">
        <w:trPr>
          <w:trHeight w:val="258"/>
        </w:trPr>
        <w:tc>
          <w:tcPr>
            <w:tcW w:w="3932" w:type="dxa"/>
          </w:tcPr>
          <w:p w14:paraId="34403A0A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Epistaxis</w:t>
            </w:r>
          </w:p>
        </w:tc>
        <w:tc>
          <w:tcPr>
            <w:tcW w:w="3871" w:type="dxa"/>
          </w:tcPr>
          <w:p w14:paraId="1EFF6F12" w14:textId="77777777" w:rsidR="004C11B6" w:rsidRDefault="00F05A0C">
            <w:pPr>
              <w:pStyle w:val="TableParagraph"/>
              <w:spacing w:line="239" w:lineRule="exact"/>
              <w:ind w:left="1339" w:right="1297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4854CC6C" w14:textId="77777777" w:rsidR="004C11B6" w:rsidRDefault="00F05A0C">
            <w:pPr>
              <w:pStyle w:val="TableParagraph"/>
              <w:spacing w:line="239" w:lineRule="exact"/>
              <w:ind w:left="499"/>
            </w:pPr>
            <w:r>
              <w:t>Gyakori</w:t>
            </w:r>
          </w:p>
        </w:tc>
      </w:tr>
      <w:tr w:rsidR="004C11B6" w14:paraId="0FD7DEA1" w14:textId="77777777" w:rsidTr="007917F5">
        <w:trPr>
          <w:trHeight w:val="261"/>
        </w:trPr>
        <w:tc>
          <w:tcPr>
            <w:tcW w:w="3932" w:type="dxa"/>
          </w:tcPr>
          <w:p w14:paraId="5C2AE6B2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Haemoptoe</w:t>
            </w:r>
          </w:p>
        </w:tc>
        <w:tc>
          <w:tcPr>
            <w:tcW w:w="3871" w:type="dxa"/>
          </w:tcPr>
          <w:p w14:paraId="74E11D31" w14:textId="77777777" w:rsidR="004C11B6" w:rsidRDefault="00F05A0C">
            <w:pPr>
              <w:pStyle w:val="TableParagraph"/>
              <w:spacing w:line="241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7B29DB88" w14:textId="77777777" w:rsidR="004C11B6" w:rsidRDefault="00F05A0C">
            <w:pPr>
              <w:pStyle w:val="TableParagraph"/>
              <w:spacing w:line="241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3F70E9B4" w14:textId="77777777" w:rsidTr="007917F5">
        <w:trPr>
          <w:trHeight w:val="258"/>
        </w:trPr>
        <w:tc>
          <w:tcPr>
            <w:tcW w:w="3932" w:type="dxa"/>
          </w:tcPr>
          <w:p w14:paraId="67848174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Légúti</w:t>
            </w:r>
            <w:r>
              <w:rPr>
                <w:spacing w:val="-4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61673D78" w14:textId="77777777" w:rsidR="004C11B6" w:rsidRDefault="00F05A0C">
            <w:pPr>
              <w:pStyle w:val="TableParagraph"/>
              <w:spacing w:line="239" w:lineRule="exact"/>
              <w:ind w:left="1338" w:right="1329"/>
              <w:jc w:val="center"/>
            </w:pPr>
            <w:r>
              <w:t>Ritka</w:t>
            </w:r>
          </w:p>
        </w:tc>
        <w:tc>
          <w:tcPr>
            <w:tcW w:w="1682" w:type="dxa"/>
          </w:tcPr>
          <w:p w14:paraId="50AE07DF" w14:textId="77777777" w:rsidR="004C11B6" w:rsidRDefault="00F05A0C">
            <w:pPr>
              <w:pStyle w:val="TableParagraph"/>
              <w:spacing w:line="239" w:lineRule="exact"/>
              <w:ind w:left="245" w:right="235"/>
              <w:jc w:val="center"/>
            </w:pPr>
            <w:r>
              <w:t>Ritka</w:t>
            </w:r>
          </w:p>
        </w:tc>
      </w:tr>
      <w:tr w:rsidR="004C11B6" w14:paraId="3049B0D0" w14:textId="77777777" w:rsidTr="007917F5">
        <w:trPr>
          <w:trHeight w:val="359"/>
        </w:trPr>
        <w:tc>
          <w:tcPr>
            <w:tcW w:w="7803" w:type="dxa"/>
            <w:gridSpan w:val="2"/>
          </w:tcPr>
          <w:p w14:paraId="69C2633F" w14:textId="77777777" w:rsidR="004C11B6" w:rsidRDefault="00F05A0C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Emésztőrendszeri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61666551" w14:textId="77777777" w:rsidR="004C11B6" w:rsidRDefault="004C11B6">
            <w:pPr>
              <w:pStyle w:val="TableParagraph"/>
            </w:pPr>
          </w:p>
        </w:tc>
      </w:tr>
      <w:tr w:rsidR="004C11B6" w14:paraId="5D758AC2" w14:textId="77777777" w:rsidTr="007917F5">
        <w:trPr>
          <w:trHeight w:val="261"/>
        </w:trPr>
        <w:tc>
          <w:tcPr>
            <w:tcW w:w="3932" w:type="dxa"/>
          </w:tcPr>
          <w:p w14:paraId="1610F3FB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Hányinger</w:t>
            </w:r>
          </w:p>
        </w:tc>
        <w:tc>
          <w:tcPr>
            <w:tcW w:w="3871" w:type="dxa"/>
          </w:tcPr>
          <w:p w14:paraId="236CA48D" w14:textId="77777777" w:rsidR="004C11B6" w:rsidRDefault="00F05A0C">
            <w:pPr>
              <w:pStyle w:val="TableParagraph"/>
              <w:spacing w:line="241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19F169D3" w14:textId="77777777" w:rsidR="004C11B6" w:rsidRDefault="00F05A0C">
            <w:pPr>
              <w:pStyle w:val="TableParagraph"/>
              <w:spacing w:line="241" w:lineRule="exact"/>
              <w:ind w:left="482"/>
            </w:pPr>
            <w:r>
              <w:t>Gyakori</w:t>
            </w:r>
          </w:p>
        </w:tc>
      </w:tr>
      <w:tr w:rsidR="004C11B6" w14:paraId="05654DC9" w14:textId="77777777" w:rsidTr="007917F5">
        <w:trPr>
          <w:trHeight w:val="258"/>
        </w:trPr>
        <w:tc>
          <w:tcPr>
            <w:tcW w:w="3932" w:type="dxa"/>
          </w:tcPr>
          <w:p w14:paraId="01591CC8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Gastrointestinalis</w:t>
            </w:r>
            <w:r>
              <w:rPr>
                <w:spacing w:val="-4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52B1D223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0AD76C60" w14:textId="77777777" w:rsidR="004C11B6" w:rsidRDefault="00F05A0C">
            <w:pPr>
              <w:pStyle w:val="TableParagraph"/>
              <w:spacing w:line="239" w:lineRule="exact"/>
              <w:ind w:left="482"/>
            </w:pPr>
            <w:r>
              <w:t>Gyakori</w:t>
            </w:r>
          </w:p>
        </w:tc>
      </w:tr>
      <w:tr w:rsidR="004C11B6" w14:paraId="201B6EAB" w14:textId="77777777" w:rsidTr="007917F5">
        <w:trPr>
          <w:trHeight w:val="261"/>
        </w:trPr>
        <w:tc>
          <w:tcPr>
            <w:tcW w:w="3932" w:type="dxa"/>
          </w:tcPr>
          <w:p w14:paraId="1A65C042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Aranyeres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4C8D6C35" w14:textId="77777777" w:rsidR="004C11B6" w:rsidRDefault="00F05A0C">
            <w:pPr>
              <w:pStyle w:val="TableParagraph"/>
              <w:spacing w:line="241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687D0AFD" w14:textId="77777777" w:rsidR="004C11B6" w:rsidRDefault="00F05A0C">
            <w:pPr>
              <w:pStyle w:val="TableParagraph"/>
              <w:spacing w:line="241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0966BD5D" w14:textId="77777777" w:rsidTr="007917F5">
        <w:trPr>
          <w:trHeight w:val="258"/>
        </w:trPr>
        <w:tc>
          <w:tcPr>
            <w:tcW w:w="3932" w:type="dxa"/>
          </w:tcPr>
          <w:p w14:paraId="57715908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Szájüregi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3271699D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43ED807B" w14:textId="77777777" w:rsidR="004C11B6" w:rsidRDefault="00F05A0C">
            <w:pPr>
              <w:pStyle w:val="TableParagraph"/>
              <w:spacing w:line="239" w:lineRule="exact"/>
              <w:ind w:left="482"/>
            </w:pPr>
            <w:r>
              <w:t>Gyakori</w:t>
            </w:r>
          </w:p>
        </w:tc>
      </w:tr>
      <w:tr w:rsidR="004C11B6" w14:paraId="300E941E" w14:textId="77777777" w:rsidTr="007917F5">
        <w:trPr>
          <w:trHeight w:val="261"/>
        </w:trPr>
        <w:tc>
          <w:tcPr>
            <w:tcW w:w="3932" w:type="dxa"/>
          </w:tcPr>
          <w:p w14:paraId="457B419F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Haematochezia</w:t>
            </w:r>
          </w:p>
        </w:tc>
        <w:tc>
          <w:tcPr>
            <w:tcW w:w="3871" w:type="dxa"/>
          </w:tcPr>
          <w:p w14:paraId="24914A61" w14:textId="77777777" w:rsidR="004C11B6" w:rsidRDefault="00F05A0C">
            <w:pPr>
              <w:pStyle w:val="TableParagraph"/>
              <w:spacing w:line="241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74DF2801" w14:textId="77777777" w:rsidR="004C11B6" w:rsidRDefault="00F05A0C">
            <w:pPr>
              <w:pStyle w:val="TableParagraph"/>
              <w:spacing w:line="241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59FCD14D" w14:textId="77777777" w:rsidTr="007917F5">
        <w:trPr>
          <w:trHeight w:val="258"/>
        </w:trPr>
        <w:tc>
          <w:tcPr>
            <w:tcW w:w="3932" w:type="dxa"/>
          </w:tcPr>
          <w:p w14:paraId="3A551026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Rectalis</w:t>
            </w:r>
            <w:r>
              <w:rPr>
                <w:spacing w:val="-6"/>
              </w:rPr>
              <w:t xml:space="preserve"> </w:t>
            </w:r>
            <w:r>
              <w:t>vérzés,</w:t>
            </w:r>
            <w:r>
              <w:rPr>
                <w:spacing w:val="-5"/>
              </w:rPr>
              <w:t xml:space="preserve"> </w:t>
            </w:r>
            <w:r>
              <w:t>ínyvérzés</w:t>
            </w:r>
          </w:p>
        </w:tc>
        <w:tc>
          <w:tcPr>
            <w:tcW w:w="3871" w:type="dxa"/>
          </w:tcPr>
          <w:p w14:paraId="6C59660E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3CAD28A3" w14:textId="77777777" w:rsidR="004C11B6" w:rsidRDefault="00F05A0C">
            <w:pPr>
              <w:pStyle w:val="TableParagraph"/>
              <w:spacing w:line="239" w:lineRule="exact"/>
              <w:ind w:left="482"/>
            </w:pPr>
            <w:r>
              <w:t>Gyakori</w:t>
            </w:r>
          </w:p>
        </w:tc>
      </w:tr>
      <w:tr w:rsidR="004C11B6" w14:paraId="4EA13832" w14:textId="77777777" w:rsidTr="007917F5">
        <w:trPr>
          <w:trHeight w:val="261"/>
        </w:trPr>
        <w:tc>
          <w:tcPr>
            <w:tcW w:w="3932" w:type="dxa"/>
          </w:tcPr>
          <w:p w14:paraId="52F659E1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Retroperitonealis</w:t>
            </w:r>
            <w:r>
              <w:rPr>
                <w:spacing w:val="-8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4FE2DD96" w14:textId="77777777" w:rsidR="004C11B6" w:rsidRDefault="00F05A0C">
            <w:pPr>
              <w:pStyle w:val="TableParagraph"/>
              <w:spacing w:line="241" w:lineRule="exact"/>
              <w:ind w:left="1338" w:right="1329"/>
              <w:jc w:val="center"/>
            </w:pPr>
            <w:r>
              <w:t>Ritka</w:t>
            </w:r>
          </w:p>
        </w:tc>
        <w:tc>
          <w:tcPr>
            <w:tcW w:w="1682" w:type="dxa"/>
          </w:tcPr>
          <w:p w14:paraId="4D5B9CF5" w14:textId="77777777" w:rsidR="004C11B6" w:rsidRDefault="00F05A0C">
            <w:pPr>
              <w:pStyle w:val="TableParagraph"/>
              <w:spacing w:line="241" w:lineRule="exact"/>
              <w:ind w:right="310"/>
              <w:jc w:val="right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4C11B6" w14:paraId="04732540" w14:textId="77777777" w:rsidTr="007917F5">
        <w:trPr>
          <w:trHeight w:val="258"/>
        </w:trPr>
        <w:tc>
          <w:tcPr>
            <w:tcW w:w="9485" w:type="dxa"/>
            <w:gridSpan w:val="3"/>
          </w:tcPr>
          <w:p w14:paraId="19F5C429" w14:textId="77777777" w:rsidR="004C11B6" w:rsidRDefault="00F05A0C">
            <w:pPr>
              <w:pStyle w:val="TableParagraph"/>
              <w:spacing w:line="239" w:lineRule="exact"/>
              <w:ind w:left="107"/>
              <w:rPr>
                <w:i/>
              </w:rPr>
            </w:pPr>
            <w:r>
              <w:rPr>
                <w:i/>
              </w:rPr>
              <w:t>Máj-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epebetegségek,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illetve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tünetek</w:t>
            </w:r>
          </w:p>
        </w:tc>
      </w:tr>
      <w:tr w:rsidR="004C11B6" w14:paraId="5560A0CD" w14:textId="77777777" w:rsidTr="007917F5">
        <w:trPr>
          <w:trHeight w:val="1300"/>
        </w:trPr>
        <w:tc>
          <w:tcPr>
            <w:tcW w:w="3932" w:type="dxa"/>
          </w:tcPr>
          <w:p w14:paraId="5068BF3F" w14:textId="00A39369" w:rsidR="004C11B6" w:rsidRDefault="00F05A0C">
            <w:pPr>
              <w:pStyle w:val="TableParagraph"/>
              <w:spacing w:line="247" w:lineRule="auto"/>
              <w:ind w:left="107" w:right="830"/>
            </w:pPr>
            <w:r>
              <w:t>Kóros májfunkciós vizsgálati</w:t>
            </w:r>
            <w:r>
              <w:rPr>
                <w:spacing w:val="1"/>
              </w:rPr>
              <w:t xml:space="preserve"> </w:t>
            </w:r>
            <w:r>
              <w:t>eredmények, emelkedett</w:t>
            </w:r>
            <w:r>
              <w:rPr>
                <w:spacing w:val="1"/>
              </w:rPr>
              <w:t xml:space="preserve"> </w:t>
            </w:r>
            <w:r w:rsidR="0062072F">
              <w:rPr>
                <w:spacing w:val="-1"/>
              </w:rPr>
              <w:t>glutamát-oxálacetát-transzaminázszint</w:t>
            </w:r>
            <w:r>
              <w:rPr>
                <w:spacing w:val="-1"/>
              </w:rPr>
              <w:t>,</w:t>
            </w:r>
          </w:p>
          <w:p w14:paraId="3B5BB4C6" w14:textId="2ED3308A" w:rsidR="004C11B6" w:rsidRDefault="00F05A0C" w:rsidP="00F162CB">
            <w:pPr>
              <w:pStyle w:val="TableParagraph"/>
              <w:spacing w:line="251" w:lineRule="exact"/>
            </w:pPr>
            <w:r>
              <w:t>emelkedett</w:t>
            </w:r>
            <w:r>
              <w:rPr>
                <w:spacing w:val="-13"/>
              </w:rPr>
              <w:t xml:space="preserve"> </w:t>
            </w:r>
            <w:r>
              <w:t>szérum-alkalikusfoszfatázszint,</w:t>
            </w:r>
            <w:r>
              <w:rPr>
                <w:spacing w:val="-8"/>
              </w:rPr>
              <w:t xml:space="preserve"> </w:t>
            </w:r>
            <w:r>
              <w:t>emelkedett</w:t>
            </w:r>
            <w:r>
              <w:rPr>
                <w:spacing w:val="-7"/>
              </w:rPr>
              <w:t xml:space="preserve"> </w:t>
            </w:r>
            <w:r>
              <w:t>szérum-bilirubinszint</w:t>
            </w:r>
          </w:p>
        </w:tc>
        <w:tc>
          <w:tcPr>
            <w:tcW w:w="3871" w:type="dxa"/>
          </w:tcPr>
          <w:p w14:paraId="4832EFC3" w14:textId="77777777" w:rsidR="004C11B6" w:rsidRDefault="00F05A0C">
            <w:pPr>
              <w:pStyle w:val="TableParagraph"/>
              <w:ind w:left="1338" w:right="1329"/>
              <w:jc w:val="center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6524F1E4" w14:textId="77777777" w:rsidR="004C11B6" w:rsidRDefault="00F05A0C">
            <w:pPr>
              <w:pStyle w:val="TableParagraph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4EED994E" w14:textId="77777777" w:rsidTr="007917F5">
        <w:trPr>
          <w:trHeight w:val="520"/>
        </w:trPr>
        <w:tc>
          <w:tcPr>
            <w:tcW w:w="3932" w:type="dxa"/>
          </w:tcPr>
          <w:p w14:paraId="7705C4AB" w14:textId="77777777" w:rsidR="004C11B6" w:rsidRDefault="00F05A0C">
            <w:pPr>
              <w:pStyle w:val="TableParagraph"/>
              <w:ind w:left="107"/>
            </w:pPr>
            <w:r>
              <w:t>Emelkedett</w:t>
            </w:r>
          </w:p>
          <w:p w14:paraId="3356B90D" w14:textId="77777777" w:rsidR="004C11B6" w:rsidRDefault="00F05A0C">
            <w:pPr>
              <w:pStyle w:val="TableParagraph"/>
              <w:spacing w:before="8" w:line="239" w:lineRule="exact"/>
              <w:ind w:left="107"/>
            </w:pPr>
            <w:r>
              <w:t>gamma-glutamiltranszferázszint</w:t>
            </w:r>
          </w:p>
        </w:tc>
        <w:tc>
          <w:tcPr>
            <w:tcW w:w="3871" w:type="dxa"/>
          </w:tcPr>
          <w:p w14:paraId="2105F4FA" w14:textId="77777777" w:rsidR="004C11B6" w:rsidRDefault="00F05A0C">
            <w:pPr>
              <w:pStyle w:val="TableParagraph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7C93D8B5" w14:textId="77777777" w:rsidR="004C11B6" w:rsidRDefault="00F05A0C">
            <w:pPr>
              <w:pStyle w:val="TableParagraph"/>
              <w:ind w:left="482"/>
            </w:pPr>
            <w:r>
              <w:t>Gyakori</w:t>
            </w:r>
          </w:p>
        </w:tc>
      </w:tr>
      <w:tr w:rsidR="004C11B6" w14:paraId="06411A83" w14:textId="77777777" w:rsidTr="007917F5">
        <w:trPr>
          <w:trHeight w:val="520"/>
        </w:trPr>
        <w:tc>
          <w:tcPr>
            <w:tcW w:w="3932" w:type="dxa"/>
          </w:tcPr>
          <w:p w14:paraId="21520F24" w14:textId="73CB0D68" w:rsidR="004C11B6" w:rsidRDefault="00F05A0C">
            <w:pPr>
              <w:pStyle w:val="TableParagraph"/>
              <w:spacing w:before="6" w:line="241" w:lineRule="exact"/>
              <w:ind w:left="107"/>
            </w:pPr>
            <w:r>
              <w:t>Emelkedett</w:t>
            </w:r>
            <w:r>
              <w:rPr>
                <w:spacing w:val="-5"/>
              </w:rPr>
              <w:t xml:space="preserve"> </w:t>
            </w:r>
            <w:r w:rsidR="0062072F">
              <w:t>glutamát-piruvát-transzaminázszint</w:t>
            </w:r>
          </w:p>
        </w:tc>
        <w:tc>
          <w:tcPr>
            <w:tcW w:w="3871" w:type="dxa"/>
          </w:tcPr>
          <w:p w14:paraId="641BA8ED" w14:textId="77777777" w:rsidR="004C11B6" w:rsidRDefault="00F05A0C">
            <w:pPr>
              <w:pStyle w:val="TableParagraph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142C6591" w14:textId="77777777" w:rsidR="004C11B6" w:rsidRDefault="00F05A0C">
            <w:pPr>
              <w:pStyle w:val="TableParagraph"/>
              <w:ind w:left="482"/>
            </w:pPr>
            <w:r>
              <w:t>Gyakori</w:t>
            </w:r>
          </w:p>
        </w:tc>
      </w:tr>
      <w:tr w:rsidR="004C11B6" w14:paraId="0A72E2CB" w14:textId="77777777" w:rsidTr="007917F5">
        <w:trPr>
          <w:trHeight w:val="359"/>
        </w:trPr>
        <w:tc>
          <w:tcPr>
            <w:tcW w:w="7803" w:type="dxa"/>
            <w:gridSpan w:val="2"/>
          </w:tcPr>
          <w:p w14:paraId="0AA2B4DD" w14:textId="77777777" w:rsidR="004C11B6" w:rsidRDefault="00F05A0C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bőr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bőr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alatti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szövet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betegségei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tünetei</w:t>
            </w:r>
          </w:p>
        </w:tc>
        <w:tc>
          <w:tcPr>
            <w:tcW w:w="1682" w:type="dxa"/>
          </w:tcPr>
          <w:p w14:paraId="1F012847" w14:textId="77777777" w:rsidR="004C11B6" w:rsidRDefault="004C11B6">
            <w:pPr>
              <w:pStyle w:val="TableParagraph"/>
            </w:pPr>
          </w:p>
        </w:tc>
      </w:tr>
      <w:tr w:rsidR="004C11B6" w14:paraId="1A98E360" w14:textId="77777777" w:rsidTr="007917F5">
        <w:trPr>
          <w:trHeight w:val="258"/>
        </w:trPr>
        <w:tc>
          <w:tcPr>
            <w:tcW w:w="3932" w:type="dxa"/>
          </w:tcPr>
          <w:p w14:paraId="747345A8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Bőrkiütés</w:t>
            </w:r>
          </w:p>
        </w:tc>
        <w:tc>
          <w:tcPr>
            <w:tcW w:w="3871" w:type="dxa"/>
          </w:tcPr>
          <w:p w14:paraId="05443BEA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25BB397B" w14:textId="77777777" w:rsidR="004C11B6" w:rsidRDefault="00F05A0C">
            <w:pPr>
              <w:pStyle w:val="TableParagraph"/>
              <w:spacing w:line="239" w:lineRule="exact"/>
              <w:ind w:left="482"/>
            </w:pPr>
            <w:r>
              <w:t>Gyakori</w:t>
            </w:r>
          </w:p>
        </w:tc>
      </w:tr>
      <w:tr w:rsidR="004C11B6" w14:paraId="5FB69751" w14:textId="77777777" w:rsidTr="007917F5">
        <w:trPr>
          <w:trHeight w:val="261"/>
        </w:trPr>
        <w:tc>
          <w:tcPr>
            <w:tcW w:w="3932" w:type="dxa"/>
          </w:tcPr>
          <w:p w14:paraId="76579C7C" w14:textId="77777777" w:rsidR="004C11B6" w:rsidRDefault="00F05A0C">
            <w:pPr>
              <w:pStyle w:val="TableParagraph"/>
              <w:spacing w:before="2" w:line="239" w:lineRule="exact"/>
              <w:ind w:left="107"/>
            </w:pPr>
            <w:r>
              <w:t>Alopecia</w:t>
            </w:r>
          </w:p>
        </w:tc>
        <w:tc>
          <w:tcPr>
            <w:tcW w:w="3871" w:type="dxa"/>
          </w:tcPr>
          <w:p w14:paraId="1A1B2D3F" w14:textId="77777777" w:rsidR="004C11B6" w:rsidRDefault="00F05A0C">
            <w:pPr>
              <w:pStyle w:val="TableParagraph"/>
              <w:spacing w:before="2" w:line="239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1FA38874" w14:textId="77777777" w:rsidR="004C11B6" w:rsidRDefault="00F05A0C">
            <w:pPr>
              <w:pStyle w:val="TableParagraph"/>
              <w:spacing w:before="2" w:line="239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651BFE41" w14:textId="77777777" w:rsidTr="007917F5">
        <w:trPr>
          <w:trHeight w:val="258"/>
        </w:trPr>
        <w:tc>
          <w:tcPr>
            <w:tcW w:w="3932" w:type="dxa"/>
          </w:tcPr>
          <w:p w14:paraId="7AD7DBB5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Erythema</w:t>
            </w:r>
            <w:r>
              <w:rPr>
                <w:spacing w:val="-6"/>
              </w:rPr>
              <w:t xml:space="preserve"> </w:t>
            </w:r>
            <w:r>
              <w:t>multiforme</w:t>
            </w:r>
          </w:p>
        </w:tc>
        <w:tc>
          <w:tcPr>
            <w:tcW w:w="3871" w:type="dxa"/>
          </w:tcPr>
          <w:p w14:paraId="4614B46D" w14:textId="77777777" w:rsidR="004C11B6" w:rsidRDefault="00F05A0C">
            <w:pPr>
              <w:pStyle w:val="TableParagraph"/>
              <w:spacing w:line="239" w:lineRule="exact"/>
              <w:ind w:left="1339" w:right="1328"/>
              <w:jc w:val="center"/>
            </w:pPr>
            <w:r>
              <w:t>Nagyon</w:t>
            </w:r>
            <w:r>
              <w:rPr>
                <w:spacing w:val="-4"/>
              </w:rPr>
              <w:t xml:space="preserve"> </w:t>
            </w:r>
            <w:r>
              <w:t>ritka</w:t>
            </w:r>
          </w:p>
        </w:tc>
        <w:tc>
          <w:tcPr>
            <w:tcW w:w="1682" w:type="dxa"/>
          </w:tcPr>
          <w:p w14:paraId="235A953D" w14:textId="77777777" w:rsidR="004C11B6" w:rsidRDefault="00F05A0C">
            <w:pPr>
              <w:pStyle w:val="TableParagraph"/>
              <w:spacing w:line="239" w:lineRule="exact"/>
              <w:ind w:right="310"/>
              <w:jc w:val="right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A166CB" w14:paraId="7A82DC1D" w14:textId="77777777" w:rsidTr="007917F5">
        <w:trPr>
          <w:trHeight w:val="258"/>
        </w:trPr>
        <w:tc>
          <w:tcPr>
            <w:tcW w:w="3932" w:type="dxa"/>
          </w:tcPr>
          <w:p w14:paraId="1458CDB9" w14:textId="021CFF7B" w:rsidR="00A166CB" w:rsidRDefault="00A166CB">
            <w:pPr>
              <w:pStyle w:val="TableParagraph"/>
              <w:spacing w:line="239" w:lineRule="exact"/>
              <w:ind w:left="107"/>
            </w:pPr>
            <w:r>
              <w:t>Cutan vasculitis</w:t>
            </w:r>
          </w:p>
        </w:tc>
        <w:tc>
          <w:tcPr>
            <w:tcW w:w="3871" w:type="dxa"/>
          </w:tcPr>
          <w:p w14:paraId="2DD8DEF1" w14:textId="31B8E515" w:rsidR="00A166CB" w:rsidRDefault="00A166CB">
            <w:pPr>
              <w:pStyle w:val="TableParagraph"/>
              <w:spacing w:line="239" w:lineRule="exact"/>
              <w:ind w:left="1339" w:right="1328"/>
              <w:jc w:val="center"/>
            </w:pPr>
            <w:r>
              <w:t>Nem ismert</w:t>
            </w:r>
          </w:p>
        </w:tc>
        <w:tc>
          <w:tcPr>
            <w:tcW w:w="1682" w:type="dxa"/>
          </w:tcPr>
          <w:p w14:paraId="73ED87E2" w14:textId="31C28372" w:rsidR="00A166CB" w:rsidRDefault="00A166CB">
            <w:pPr>
              <w:pStyle w:val="TableParagraph"/>
              <w:spacing w:line="239" w:lineRule="exact"/>
              <w:ind w:right="310"/>
              <w:jc w:val="right"/>
            </w:pPr>
            <w:r>
              <w:t>Nem ismert</w:t>
            </w:r>
          </w:p>
        </w:tc>
      </w:tr>
      <w:tr w:rsidR="004C11B6" w14:paraId="33ACEDFE" w14:textId="77777777" w:rsidTr="007917F5">
        <w:trPr>
          <w:trHeight w:val="261"/>
        </w:trPr>
        <w:tc>
          <w:tcPr>
            <w:tcW w:w="7803" w:type="dxa"/>
            <w:gridSpan w:val="2"/>
          </w:tcPr>
          <w:p w14:paraId="7DF5ED2F" w14:textId="77777777" w:rsidR="004C11B6" w:rsidRDefault="00F05A0C">
            <w:pPr>
              <w:pStyle w:val="TableParagraph"/>
              <w:spacing w:before="2" w:line="239" w:lineRule="exact"/>
              <w:ind w:left="107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csont-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izomrendszer,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valamint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kötőszövet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betegségei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tünetei</w:t>
            </w:r>
          </w:p>
        </w:tc>
        <w:tc>
          <w:tcPr>
            <w:tcW w:w="1682" w:type="dxa"/>
          </w:tcPr>
          <w:p w14:paraId="5E9921A7" w14:textId="77777777" w:rsidR="004C11B6" w:rsidRDefault="004C11B6">
            <w:pPr>
              <w:pStyle w:val="TableParagraph"/>
              <w:rPr>
                <w:sz w:val="18"/>
              </w:rPr>
            </w:pPr>
          </w:p>
        </w:tc>
      </w:tr>
      <w:tr w:rsidR="004C11B6" w14:paraId="310D8903" w14:textId="77777777" w:rsidTr="007917F5">
        <w:trPr>
          <w:trHeight w:val="258"/>
        </w:trPr>
        <w:tc>
          <w:tcPr>
            <w:tcW w:w="3932" w:type="dxa"/>
          </w:tcPr>
          <w:p w14:paraId="0C32F973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Izomvérzés</w:t>
            </w:r>
          </w:p>
        </w:tc>
        <w:tc>
          <w:tcPr>
            <w:tcW w:w="3871" w:type="dxa"/>
          </w:tcPr>
          <w:p w14:paraId="1A9871E5" w14:textId="77777777" w:rsidR="004C11B6" w:rsidRDefault="00F05A0C">
            <w:pPr>
              <w:pStyle w:val="TableParagraph"/>
              <w:spacing w:line="239" w:lineRule="exact"/>
              <w:ind w:left="1338" w:right="1329"/>
              <w:jc w:val="center"/>
            </w:pPr>
            <w:r>
              <w:t>Ritka</w:t>
            </w:r>
          </w:p>
        </w:tc>
        <w:tc>
          <w:tcPr>
            <w:tcW w:w="1682" w:type="dxa"/>
          </w:tcPr>
          <w:p w14:paraId="65560BBF" w14:textId="77777777" w:rsidR="004C11B6" w:rsidRDefault="00F05A0C">
            <w:pPr>
              <w:pStyle w:val="TableParagraph"/>
              <w:spacing w:line="239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03F2123B" w14:textId="77777777" w:rsidTr="007917F5">
        <w:trPr>
          <w:trHeight w:val="362"/>
        </w:trPr>
        <w:tc>
          <w:tcPr>
            <w:tcW w:w="7803" w:type="dxa"/>
            <w:gridSpan w:val="2"/>
          </w:tcPr>
          <w:p w14:paraId="6F4DFDC5" w14:textId="77777777" w:rsidR="004C11B6" w:rsidRDefault="00F05A0C">
            <w:pPr>
              <w:pStyle w:val="TableParagraph"/>
              <w:spacing w:before="2"/>
              <w:ind w:left="107"/>
              <w:rPr>
                <w:i/>
              </w:rPr>
            </w:pPr>
            <w:r>
              <w:rPr>
                <w:i/>
              </w:rPr>
              <w:t>Vese-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húgyúti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1E0D6BED" w14:textId="77777777" w:rsidR="004C11B6" w:rsidRDefault="004C11B6">
            <w:pPr>
              <w:pStyle w:val="TableParagraph"/>
            </w:pPr>
          </w:p>
        </w:tc>
      </w:tr>
      <w:tr w:rsidR="004C11B6" w14:paraId="237FF62E" w14:textId="77777777" w:rsidTr="007917F5">
        <w:trPr>
          <w:trHeight w:val="258"/>
        </w:trPr>
        <w:tc>
          <w:tcPr>
            <w:tcW w:w="3932" w:type="dxa"/>
          </w:tcPr>
          <w:p w14:paraId="78B21E92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Haematuria</w:t>
            </w:r>
          </w:p>
        </w:tc>
        <w:tc>
          <w:tcPr>
            <w:tcW w:w="3871" w:type="dxa"/>
          </w:tcPr>
          <w:p w14:paraId="644BCFA2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4B6958C9" w14:textId="77777777" w:rsidR="004C11B6" w:rsidRDefault="00F05A0C">
            <w:pPr>
              <w:pStyle w:val="TableParagraph"/>
              <w:spacing w:line="239" w:lineRule="exact"/>
              <w:ind w:left="482"/>
            </w:pPr>
            <w:r>
              <w:t>Gyakori</w:t>
            </w:r>
          </w:p>
        </w:tc>
      </w:tr>
      <w:tr w:rsidR="004C11B6" w14:paraId="3B570E4B" w14:textId="77777777" w:rsidTr="007917F5">
        <w:trPr>
          <w:trHeight w:val="359"/>
        </w:trPr>
        <w:tc>
          <w:tcPr>
            <w:tcW w:w="7803" w:type="dxa"/>
            <w:gridSpan w:val="2"/>
          </w:tcPr>
          <w:p w14:paraId="7F141068" w14:textId="77777777" w:rsidR="004C11B6" w:rsidRDefault="00F05A0C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nemi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szervekkel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az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emlőkkel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kapcsolatos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1682" w:type="dxa"/>
          </w:tcPr>
          <w:p w14:paraId="3FC673D8" w14:textId="77777777" w:rsidR="004C11B6" w:rsidRDefault="004C11B6">
            <w:pPr>
              <w:pStyle w:val="TableParagraph"/>
            </w:pPr>
          </w:p>
        </w:tc>
      </w:tr>
      <w:tr w:rsidR="004C11B6" w14:paraId="56FA9A6E" w14:textId="77777777" w:rsidTr="007917F5">
        <w:trPr>
          <w:trHeight w:val="489"/>
        </w:trPr>
        <w:tc>
          <w:tcPr>
            <w:tcW w:w="3932" w:type="dxa"/>
          </w:tcPr>
          <w:p w14:paraId="15CC3182" w14:textId="77777777" w:rsidR="004C11B6" w:rsidRDefault="00F05A0C">
            <w:pPr>
              <w:pStyle w:val="TableParagraph"/>
              <w:spacing w:line="237" w:lineRule="exact"/>
              <w:ind w:left="107"/>
            </w:pPr>
            <w:r>
              <w:t>Kóros</w:t>
            </w:r>
            <w:r>
              <w:rPr>
                <w:spacing w:val="-6"/>
              </w:rPr>
              <w:t xml:space="preserve"> </w:t>
            </w:r>
            <w:r>
              <w:t>hüvelyi</w:t>
            </w:r>
            <w:r>
              <w:rPr>
                <w:spacing w:val="-5"/>
              </w:rPr>
              <w:t xml:space="preserve"> </w:t>
            </w:r>
            <w:r>
              <w:t>vérzés,</w:t>
            </w:r>
            <w:r>
              <w:rPr>
                <w:spacing w:val="-5"/>
              </w:rPr>
              <w:t xml:space="preserve"> </w:t>
            </w:r>
            <w:r>
              <w:t>urogenitalis</w:t>
            </w:r>
          </w:p>
          <w:p w14:paraId="55940F08" w14:textId="77777777" w:rsidR="004C11B6" w:rsidRDefault="00F05A0C">
            <w:pPr>
              <w:pStyle w:val="TableParagraph"/>
              <w:spacing w:line="232" w:lineRule="exact"/>
              <w:ind w:left="107"/>
            </w:pPr>
            <w:r>
              <w:t>vérzés</w:t>
            </w:r>
          </w:p>
        </w:tc>
        <w:tc>
          <w:tcPr>
            <w:tcW w:w="3871" w:type="dxa"/>
          </w:tcPr>
          <w:p w14:paraId="2C1198B3" w14:textId="77777777" w:rsidR="004C11B6" w:rsidRDefault="00F05A0C">
            <w:pPr>
              <w:pStyle w:val="TableParagraph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3A1BC8FE" w14:textId="77777777" w:rsidR="004C11B6" w:rsidRDefault="00F05A0C">
            <w:pPr>
              <w:pStyle w:val="TableParagraph"/>
              <w:ind w:left="482"/>
            </w:pPr>
            <w:r>
              <w:t>Gyakori</w:t>
            </w:r>
          </w:p>
        </w:tc>
      </w:tr>
      <w:tr w:rsidR="004C11B6" w14:paraId="033684AD" w14:textId="77777777" w:rsidTr="007917F5">
        <w:trPr>
          <w:trHeight w:val="359"/>
        </w:trPr>
        <w:tc>
          <w:tcPr>
            <w:tcW w:w="7803" w:type="dxa"/>
            <w:gridSpan w:val="2"/>
          </w:tcPr>
          <w:p w14:paraId="670345DA" w14:textId="77777777" w:rsidR="004C11B6" w:rsidRDefault="00F05A0C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Általános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tünetek,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az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alkalmazás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helyén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fellépő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reakciók</w:t>
            </w:r>
          </w:p>
        </w:tc>
        <w:tc>
          <w:tcPr>
            <w:tcW w:w="1682" w:type="dxa"/>
          </w:tcPr>
          <w:p w14:paraId="039B9883" w14:textId="77777777" w:rsidR="004C11B6" w:rsidRDefault="004C11B6">
            <w:pPr>
              <w:pStyle w:val="TableParagraph"/>
            </w:pPr>
          </w:p>
        </w:tc>
      </w:tr>
      <w:tr w:rsidR="004C11B6" w14:paraId="12538FA0" w14:textId="77777777" w:rsidTr="007917F5">
        <w:trPr>
          <w:trHeight w:val="258"/>
        </w:trPr>
        <w:tc>
          <w:tcPr>
            <w:tcW w:w="3932" w:type="dxa"/>
          </w:tcPr>
          <w:p w14:paraId="5D8CA555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Az</w:t>
            </w:r>
            <w:r>
              <w:rPr>
                <w:spacing w:val="-5"/>
              </w:rPr>
              <w:t xml:space="preserve"> </w:t>
            </w:r>
            <w:r>
              <w:t>alkalmazás</w:t>
            </w:r>
            <w:r>
              <w:rPr>
                <w:spacing w:val="-4"/>
              </w:rPr>
              <w:t xml:space="preserve"> </w:t>
            </w:r>
            <w:r>
              <w:t>helyén</w:t>
            </w:r>
            <w:r>
              <w:rPr>
                <w:spacing w:val="-5"/>
              </w:rPr>
              <w:t xml:space="preserve"> </w:t>
            </w:r>
            <w:r>
              <w:t>jelentkező</w:t>
            </w:r>
            <w:r>
              <w:rPr>
                <w:spacing w:val="-4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77AF8877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2413453A" w14:textId="77777777" w:rsidR="004C11B6" w:rsidRDefault="00F05A0C">
            <w:pPr>
              <w:pStyle w:val="TableParagraph"/>
              <w:spacing w:line="239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53C4EDE5" w14:textId="77777777" w:rsidTr="007917F5">
        <w:trPr>
          <w:trHeight w:val="359"/>
        </w:trPr>
        <w:tc>
          <w:tcPr>
            <w:tcW w:w="7803" w:type="dxa"/>
            <w:gridSpan w:val="2"/>
          </w:tcPr>
          <w:p w14:paraId="2AB9A087" w14:textId="77777777" w:rsidR="004C11B6" w:rsidRDefault="00F05A0C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Laboratóriumi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egyéb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vizsgálatok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eredményei</w:t>
            </w:r>
          </w:p>
        </w:tc>
        <w:tc>
          <w:tcPr>
            <w:tcW w:w="1682" w:type="dxa"/>
          </w:tcPr>
          <w:p w14:paraId="2E5025BF" w14:textId="77777777" w:rsidR="004C11B6" w:rsidRDefault="004C11B6">
            <w:pPr>
              <w:pStyle w:val="TableParagraph"/>
            </w:pPr>
          </w:p>
        </w:tc>
      </w:tr>
      <w:tr w:rsidR="004C11B6" w14:paraId="575E1734" w14:textId="77777777" w:rsidTr="007917F5">
        <w:trPr>
          <w:trHeight w:val="261"/>
        </w:trPr>
        <w:tc>
          <w:tcPr>
            <w:tcW w:w="3932" w:type="dxa"/>
          </w:tcPr>
          <w:p w14:paraId="44E75E68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Occult</w:t>
            </w:r>
            <w:r>
              <w:rPr>
                <w:spacing w:val="-5"/>
              </w:rPr>
              <w:t xml:space="preserve"> </w:t>
            </w:r>
            <w:r>
              <w:t>vér</w:t>
            </w:r>
            <w:r>
              <w:rPr>
                <w:spacing w:val="-4"/>
              </w:rPr>
              <w:t xml:space="preserve"> </w:t>
            </w:r>
            <w:r>
              <w:t>pozitivitás</w:t>
            </w:r>
          </w:p>
        </w:tc>
        <w:tc>
          <w:tcPr>
            <w:tcW w:w="3871" w:type="dxa"/>
          </w:tcPr>
          <w:p w14:paraId="7B1D8B0D" w14:textId="77777777" w:rsidR="004C11B6" w:rsidRDefault="00F05A0C">
            <w:pPr>
              <w:pStyle w:val="TableParagraph"/>
              <w:spacing w:before="2" w:line="239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376C78AB" w14:textId="77777777" w:rsidR="004C11B6" w:rsidRDefault="00F05A0C">
            <w:pPr>
              <w:pStyle w:val="TableParagraph"/>
              <w:spacing w:before="2" w:line="239" w:lineRule="exact"/>
              <w:ind w:right="252"/>
              <w:jc w:val="right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45ABB399" w14:textId="77777777" w:rsidTr="007917F5">
        <w:trPr>
          <w:trHeight w:val="261"/>
        </w:trPr>
        <w:tc>
          <w:tcPr>
            <w:tcW w:w="7803" w:type="dxa"/>
            <w:gridSpan w:val="2"/>
          </w:tcPr>
          <w:p w14:paraId="4FAD12FC" w14:textId="77777777" w:rsidR="004C11B6" w:rsidRDefault="00F05A0C">
            <w:pPr>
              <w:pStyle w:val="TableParagraph"/>
              <w:spacing w:line="241" w:lineRule="exact"/>
              <w:ind w:left="107"/>
              <w:rPr>
                <w:i/>
              </w:rPr>
            </w:pPr>
            <w:r>
              <w:rPr>
                <w:i/>
              </w:rPr>
              <w:t>Sérülés,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mérgezés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beavatkozással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kapcsolatos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szövődmények</w:t>
            </w:r>
          </w:p>
        </w:tc>
        <w:tc>
          <w:tcPr>
            <w:tcW w:w="1682" w:type="dxa"/>
          </w:tcPr>
          <w:p w14:paraId="3DBE395F" w14:textId="77777777" w:rsidR="004C11B6" w:rsidRDefault="004C11B6">
            <w:pPr>
              <w:pStyle w:val="TableParagraph"/>
              <w:rPr>
                <w:sz w:val="18"/>
              </w:rPr>
            </w:pPr>
          </w:p>
        </w:tc>
      </w:tr>
      <w:tr w:rsidR="004C11B6" w14:paraId="14E81161" w14:textId="77777777" w:rsidTr="007917F5">
        <w:trPr>
          <w:trHeight w:val="412"/>
        </w:trPr>
        <w:tc>
          <w:tcPr>
            <w:tcW w:w="3932" w:type="dxa"/>
          </w:tcPr>
          <w:p w14:paraId="3962611C" w14:textId="77777777" w:rsidR="004C11B6" w:rsidRDefault="00F05A0C">
            <w:pPr>
              <w:pStyle w:val="TableParagraph"/>
              <w:spacing w:line="241" w:lineRule="exact"/>
              <w:ind w:left="107"/>
            </w:pPr>
            <w:r>
              <w:t>Suffusio</w:t>
            </w:r>
          </w:p>
        </w:tc>
        <w:tc>
          <w:tcPr>
            <w:tcW w:w="3871" w:type="dxa"/>
          </w:tcPr>
          <w:p w14:paraId="0E3453E1" w14:textId="77777777" w:rsidR="004C11B6" w:rsidRDefault="00F05A0C">
            <w:pPr>
              <w:pStyle w:val="TableParagraph"/>
              <w:ind w:left="1337" w:right="1329"/>
              <w:jc w:val="center"/>
            </w:pPr>
            <w:r>
              <w:t>Gyakori</w:t>
            </w:r>
          </w:p>
        </w:tc>
        <w:tc>
          <w:tcPr>
            <w:tcW w:w="1682" w:type="dxa"/>
          </w:tcPr>
          <w:p w14:paraId="08829703" w14:textId="77777777" w:rsidR="004C11B6" w:rsidRDefault="00F05A0C">
            <w:pPr>
              <w:pStyle w:val="TableParagraph"/>
              <w:ind w:left="245" w:right="231"/>
              <w:jc w:val="center"/>
            </w:pPr>
            <w:r>
              <w:t>Gyakori</w:t>
            </w:r>
          </w:p>
        </w:tc>
      </w:tr>
      <w:tr w:rsidR="004C11B6" w14:paraId="2725E960" w14:textId="77777777" w:rsidTr="007917F5">
        <w:trPr>
          <w:trHeight w:val="1950"/>
        </w:trPr>
        <w:tc>
          <w:tcPr>
            <w:tcW w:w="3932" w:type="dxa"/>
          </w:tcPr>
          <w:p w14:paraId="25EF6E10" w14:textId="77777777" w:rsidR="004C11B6" w:rsidRDefault="00F05A0C">
            <w:pPr>
              <w:pStyle w:val="TableParagraph"/>
              <w:spacing w:line="230" w:lineRule="auto"/>
              <w:ind w:left="107" w:right="83"/>
            </w:pPr>
            <w:r>
              <w:t>Beavatkozás utáni vérzés (beleértve a</w:t>
            </w:r>
            <w:r>
              <w:rPr>
                <w:spacing w:val="1"/>
              </w:rPr>
              <w:t xml:space="preserve"> </w:t>
            </w:r>
            <w:r>
              <w:t>beavatkozás utáni haematomát, a</w:t>
            </w:r>
            <w:r>
              <w:rPr>
                <w:spacing w:val="1"/>
              </w:rPr>
              <w:t xml:space="preserve"> </w:t>
            </w:r>
            <w:r>
              <w:t>sebvérzést, a haematomát az érpunkció</w:t>
            </w:r>
            <w:r>
              <w:rPr>
                <w:spacing w:val="1"/>
              </w:rPr>
              <w:t xml:space="preserve"> </w:t>
            </w:r>
            <w:r>
              <w:t>helyén és a vérzést a katéter</w:t>
            </w:r>
            <w:r>
              <w:rPr>
                <w:spacing w:val="1"/>
              </w:rPr>
              <w:t xml:space="preserve"> </w:t>
            </w:r>
            <w:r>
              <w:t>bevezetésének a helyén is),</w:t>
            </w:r>
            <w:r>
              <w:rPr>
                <w:spacing w:val="1"/>
              </w:rPr>
              <w:t xml:space="preserve"> </w:t>
            </w:r>
            <w:r>
              <w:t>sebváladékozás, vérzés az incisio helyén</w:t>
            </w:r>
            <w:r>
              <w:rPr>
                <w:spacing w:val="-52"/>
              </w:rPr>
              <w:t xml:space="preserve"> </w:t>
            </w:r>
            <w:r>
              <w:t>(beleértve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haematomát</w:t>
            </w:r>
            <w:r>
              <w:rPr>
                <w:spacing w:val="-2"/>
              </w:rPr>
              <w:t xml:space="preserve"> </w:t>
            </w:r>
            <w:r>
              <w:t>az</w:t>
            </w:r>
            <w:r>
              <w:rPr>
                <w:spacing w:val="-2"/>
              </w:rPr>
              <w:t xml:space="preserve"> </w:t>
            </w:r>
            <w:r>
              <w:t>incisio</w:t>
            </w:r>
          </w:p>
          <w:p w14:paraId="6D5E1BA6" w14:textId="77777777" w:rsidR="004C11B6" w:rsidRDefault="00F05A0C">
            <w:pPr>
              <w:pStyle w:val="TableParagraph"/>
              <w:spacing w:line="235" w:lineRule="exact"/>
              <w:ind w:left="107"/>
            </w:pPr>
            <w:r>
              <w:t>helyén),</w:t>
            </w:r>
            <w:r>
              <w:rPr>
                <w:spacing w:val="-6"/>
              </w:rPr>
              <w:t xml:space="preserve"> </w:t>
            </w:r>
            <w:r>
              <w:t>intraoperatív</w:t>
            </w:r>
            <w:r>
              <w:rPr>
                <w:spacing w:val="-6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4E57A637" w14:textId="77777777" w:rsidR="004C11B6" w:rsidRDefault="00F05A0C">
            <w:pPr>
              <w:pStyle w:val="TableParagraph"/>
              <w:ind w:left="1338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13907003" w14:textId="77777777" w:rsidR="004C11B6" w:rsidRDefault="00F05A0C">
            <w:pPr>
              <w:pStyle w:val="TableParagraph"/>
              <w:ind w:left="245" w:right="236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4C11B6" w14:paraId="01DFFBB3" w14:textId="77777777" w:rsidTr="007917F5">
        <w:trPr>
          <w:trHeight w:val="258"/>
        </w:trPr>
        <w:tc>
          <w:tcPr>
            <w:tcW w:w="3932" w:type="dxa"/>
          </w:tcPr>
          <w:p w14:paraId="7476C9E2" w14:textId="77777777" w:rsidR="004C11B6" w:rsidRDefault="00F05A0C">
            <w:pPr>
              <w:pStyle w:val="TableParagraph"/>
              <w:spacing w:line="239" w:lineRule="exact"/>
              <w:ind w:left="107"/>
            </w:pPr>
            <w:r>
              <w:t>Traumás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3871" w:type="dxa"/>
          </w:tcPr>
          <w:p w14:paraId="0C2BE448" w14:textId="77777777" w:rsidR="004C11B6" w:rsidRDefault="00F05A0C">
            <w:pPr>
              <w:pStyle w:val="TableParagraph"/>
              <w:spacing w:line="239" w:lineRule="exact"/>
              <w:ind w:left="1337" w:right="1329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82" w:type="dxa"/>
          </w:tcPr>
          <w:p w14:paraId="0AE15755" w14:textId="77777777" w:rsidR="004C11B6" w:rsidRDefault="00F05A0C">
            <w:pPr>
              <w:pStyle w:val="TableParagraph"/>
              <w:spacing w:line="239" w:lineRule="exact"/>
              <w:ind w:left="245" w:right="236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</w:tbl>
    <w:p w14:paraId="08C7AEC3" w14:textId="77777777" w:rsidR="004C11B6" w:rsidRDefault="00F05A0C" w:rsidP="007917F5">
      <w:pPr>
        <w:pStyle w:val="Listaszerbekezds"/>
        <w:numPr>
          <w:ilvl w:val="0"/>
          <w:numId w:val="61"/>
        </w:numPr>
        <w:tabs>
          <w:tab w:val="left" w:pos="0"/>
        </w:tabs>
        <w:spacing w:before="39" w:line="189" w:lineRule="exact"/>
        <w:ind w:left="0" w:firstLine="0"/>
        <w:rPr>
          <w:sz w:val="18"/>
        </w:rPr>
      </w:pP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CV185057 vizsgálatban (VTE hosszú távú megelőzése) nem fordult elő egész testre kiterjedő pruritus.</w:t>
      </w:r>
    </w:p>
    <w:p w14:paraId="6F88332D" w14:textId="77777777" w:rsidR="004C11B6" w:rsidRDefault="00F05A0C" w:rsidP="007917F5">
      <w:pPr>
        <w:tabs>
          <w:tab w:val="left" w:pos="0"/>
        </w:tabs>
        <w:spacing w:before="32" w:line="260" w:lineRule="exact"/>
        <w:rPr>
          <w:sz w:val="18"/>
        </w:rPr>
      </w:pPr>
      <w:r>
        <w:rPr>
          <w:position w:val="9"/>
          <w:sz w:val="18"/>
        </w:rPr>
        <w:t xml:space="preserve">† </w:t>
      </w:r>
      <w:r>
        <w:rPr>
          <w:sz w:val="18"/>
        </w:rPr>
        <w:t>Az „Agyvérzés” kifejezés minden intracranialis és intraspinalis vérzést magába foglal (azaz a haemorrhagiás stroke-ot,</w:t>
      </w:r>
      <w:r>
        <w:rPr>
          <w:spacing w:val="-42"/>
          <w:sz w:val="18"/>
        </w:rPr>
        <w:t xml:space="preserve"> </w:t>
      </w:r>
      <w:r>
        <w:rPr>
          <w:sz w:val="18"/>
        </w:rPr>
        <w:t>illetve</w:t>
      </w:r>
      <w:r>
        <w:rPr>
          <w:spacing w:val="-1"/>
          <w:sz w:val="18"/>
        </w:rPr>
        <w:t xml:space="preserve"> </w:t>
      </w:r>
      <w:r>
        <w:rPr>
          <w:sz w:val="18"/>
        </w:rPr>
        <w:t>a putamen, cerebellum vérzéseit és az</w:t>
      </w:r>
      <w:r>
        <w:rPr>
          <w:spacing w:val="-1"/>
          <w:sz w:val="18"/>
        </w:rPr>
        <w:t xml:space="preserve"> </w:t>
      </w:r>
      <w:r>
        <w:rPr>
          <w:sz w:val="18"/>
        </w:rPr>
        <w:t>intraventricularis és subduralis</w:t>
      </w:r>
      <w:r>
        <w:rPr>
          <w:spacing w:val="-1"/>
          <w:sz w:val="18"/>
        </w:rPr>
        <w:t xml:space="preserve"> </w:t>
      </w:r>
      <w:r>
        <w:rPr>
          <w:sz w:val="18"/>
        </w:rPr>
        <w:t>vérzéseket).</w:t>
      </w:r>
    </w:p>
    <w:p w14:paraId="572028FE" w14:textId="77777777" w:rsidR="004C11B6" w:rsidRDefault="004C11B6" w:rsidP="007917F5">
      <w:pPr>
        <w:pStyle w:val="Szvegtrzs"/>
        <w:tabs>
          <w:tab w:val="left" w:pos="0"/>
        </w:tabs>
        <w:spacing w:before="4"/>
      </w:pPr>
    </w:p>
    <w:p w14:paraId="07D1794F" w14:textId="76F9ECF4" w:rsidR="004C11B6" w:rsidRDefault="00F05A0C" w:rsidP="007917F5">
      <w:pPr>
        <w:pStyle w:val="Szvegtrzs"/>
        <w:tabs>
          <w:tab w:val="left" w:pos="0"/>
        </w:tabs>
        <w:spacing w:line="230" w:lineRule="auto"/>
      </w:pPr>
      <w:r>
        <w:t>Az apixabán alkalmazása is bármilyen szövetből vagy szervből eredő occult vagy nyilvánvaló vérzés</w:t>
      </w:r>
      <w:r>
        <w:rPr>
          <w:spacing w:val="-52"/>
        </w:rPr>
        <w:t xml:space="preserve"> </w:t>
      </w:r>
      <w:r>
        <w:t xml:space="preserve">fokozott kockázatával társulhat, ami posthaemorrhagiás anaemiát eredményezhet. A </w:t>
      </w:r>
      <w:r w:rsidR="00DE0877">
        <w:t>jelek</w:t>
      </w:r>
      <w:r>
        <w:t xml:space="preserve"> és a</w:t>
      </w:r>
      <w:r>
        <w:rPr>
          <w:spacing w:val="1"/>
        </w:rPr>
        <w:t xml:space="preserve"> </w:t>
      </w:r>
      <w:r>
        <w:t>tünetek, valamint azok súlyossága a vérzés helyétől, mértékétől és nagyságától függően változhatnak</w:t>
      </w:r>
      <w:r>
        <w:rPr>
          <w:spacing w:val="-52"/>
        </w:rPr>
        <w:t xml:space="preserve"> </w:t>
      </w:r>
      <w:r>
        <w:t>(lásd 4.4</w:t>
      </w:r>
      <w:r>
        <w:rPr>
          <w:spacing w:val="-3"/>
        </w:rPr>
        <w:t xml:space="preserve"> </w:t>
      </w:r>
      <w:r>
        <w:t>és 5.1</w:t>
      </w:r>
      <w:r>
        <w:rPr>
          <w:spacing w:val="-3"/>
        </w:rPr>
        <w:t xml:space="preserve"> </w:t>
      </w:r>
      <w:r>
        <w:t>pont).</w:t>
      </w:r>
    </w:p>
    <w:p w14:paraId="0A2787CC" w14:textId="77777777" w:rsidR="004C11B6" w:rsidRDefault="004C11B6" w:rsidP="007917F5">
      <w:pPr>
        <w:pStyle w:val="Szvegtrzs"/>
        <w:tabs>
          <w:tab w:val="left" w:pos="0"/>
        </w:tabs>
        <w:spacing w:before="9"/>
        <w:rPr>
          <w:sz w:val="20"/>
        </w:rPr>
      </w:pPr>
    </w:p>
    <w:p w14:paraId="29914426" w14:textId="77777777" w:rsidR="004C11B6" w:rsidRDefault="00F05A0C" w:rsidP="007917F5">
      <w:pPr>
        <w:pStyle w:val="Szvegtrzs"/>
        <w:tabs>
          <w:tab w:val="left" w:pos="0"/>
        </w:tabs>
      </w:pPr>
      <w:r>
        <w:rPr>
          <w:u w:val="single"/>
        </w:rPr>
        <w:t>Feltételezett</w:t>
      </w:r>
      <w:r>
        <w:rPr>
          <w:spacing w:val="-8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8"/>
          <w:u w:val="single"/>
        </w:rPr>
        <w:t xml:space="preserve"> </w:t>
      </w:r>
      <w:r>
        <w:rPr>
          <w:u w:val="single"/>
        </w:rPr>
        <w:t>bejelentése</w:t>
      </w:r>
    </w:p>
    <w:p w14:paraId="4DACE6CC" w14:textId="77777777" w:rsidR="004C11B6" w:rsidRDefault="00F05A0C" w:rsidP="007917F5">
      <w:pPr>
        <w:pStyle w:val="Szvegtrzs"/>
        <w:tabs>
          <w:tab w:val="left" w:pos="0"/>
        </w:tabs>
        <w:spacing w:line="230" w:lineRule="auto"/>
      </w:pPr>
      <w:r>
        <w:t>A gyógyszer engedélyezését követően lényeges a feltételezett mellékhatások bejelentése, mert ez</w:t>
      </w:r>
      <w:r>
        <w:rPr>
          <w:spacing w:val="1"/>
        </w:rPr>
        <w:t xml:space="preserve"> </w:t>
      </w:r>
      <w:r>
        <w:t>fontos eszköze annak, hogy a gyógyszer előny/kockázat profilját folyamatosan figyelemmel lehessen</w:t>
      </w:r>
      <w:r>
        <w:rPr>
          <w:spacing w:val="-52"/>
        </w:rPr>
        <w:t xml:space="preserve"> </w:t>
      </w:r>
      <w:r>
        <w:t>kísérni. Az egészségügyi szakembereket kérjük, hogy jelentsék be a feltételezett mellékhatásokat a</w:t>
      </w:r>
      <w:r>
        <w:rPr>
          <w:spacing w:val="1"/>
        </w:rPr>
        <w:t xml:space="preserve"> </w:t>
      </w:r>
      <w:r>
        <w:t>hatóság</w:t>
      </w:r>
      <w:r>
        <w:rPr>
          <w:spacing w:val="-2"/>
        </w:rPr>
        <w:t xml:space="preserve"> </w:t>
      </w:r>
      <w:r>
        <w:t>részére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hyperlink r:id="rId8">
        <w:r>
          <w:rPr>
            <w:color w:val="0000FD"/>
            <w:u w:val="single" w:color="0000FF"/>
            <w:shd w:val="clear" w:color="auto" w:fill="C0C0C0"/>
          </w:rPr>
          <w:t>V.</w:t>
        </w:r>
        <w:r>
          <w:rPr>
            <w:color w:val="0000FD"/>
            <w:spacing w:val="-2"/>
            <w:u w:val="single" w:color="0000FF"/>
            <w:shd w:val="clear" w:color="auto" w:fill="C0C0C0"/>
          </w:rPr>
          <w:t xml:space="preserve"> </w:t>
        </w:r>
        <w:r>
          <w:rPr>
            <w:color w:val="0000FD"/>
            <w:u w:val="single" w:color="0000FF"/>
            <w:shd w:val="clear" w:color="auto" w:fill="C0C0C0"/>
          </w:rPr>
          <w:t>függelékbe</w:t>
        </w:r>
      </w:hyperlink>
      <w:r>
        <w:rPr>
          <w:color w:val="0000FD"/>
          <w:u w:val="single" w:color="0000FF"/>
          <w:shd w:val="clear" w:color="auto" w:fill="C0C0C0"/>
        </w:rPr>
        <w:t>n</w:t>
      </w:r>
      <w:r>
        <w:rPr>
          <w:color w:val="0000FD"/>
          <w:spacing w:val="-1"/>
          <w:u w:val="single" w:color="0000FF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található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elérhetőségek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valamelyikén</w:t>
      </w:r>
      <w:r>
        <w:rPr>
          <w:color w:val="000000"/>
          <w:spacing w:val="-2"/>
          <w:shd w:val="clear" w:color="auto" w:fill="C0C0C0"/>
        </w:rPr>
        <w:t xml:space="preserve"> </w:t>
      </w:r>
      <w:r>
        <w:rPr>
          <w:color w:val="000000"/>
          <w:shd w:val="clear" w:color="auto" w:fill="C0C0C0"/>
        </w:rPr>
        <w:t>keresztül</w:t>
      </w:r>
      <w:r>
        <w:rPr>
          <w:color w:val="000000"/>
        </w:rPr>
        <w:t>.</w:t>
      </w:r>
    </w:p>
    <w:p w14:paraId="7D1EFCDE" w14:textId="77777777" w:rsidR="004C11B6" w:rsidRDefault="004C11B6" w:rsidP="007917F5">
      <w:pPr>
        <w:pStyle w:val="Szvegtrzs"/>
        <w:tabs>
          <w:tab w:val="left" w:pos="0"/>
        </w:tabs>
        <w:spacing w:before="7"/>
        <w:rPr>
          <w:sz w:val="20"/>
        </w:rPr>
      </w:pPr>
    </w:p>
    <w:p w14:paraId="28D7CBE8" w14:textId="77777777" w:rsidR="004C11B6" w:rsidRDefault="00F05A0C" w:rsidP="007917F5">
      <w:pPr>
        <w:pStyle w:val="Cmsor2"/>
        <w:numPr>
          <w:ilvl w:val="1"/>
          <w:numId w:val="51"/>
        </w:numPr>
        <w:tabs>
          <w:tab w:val="left" w:pos="0"/>
          <w:tab w:val="left" w:pos="802"/>
          <w:tab w:val="left" w:pos="803"/>
        </w:tabs>
        <w:spacing w:before="1"/>
        <w:ind w:left="0" w:firstLine="0"/>
      </w:pPr>
      <w:r>
        <w:t>Túladagolás</w:t>
      </w:r>
    </w:p>
    <w:p w14:paraId="79B65579" w14:textId="77777777" w:rsidR="004C11B6" w:rsidRDefault="004C11B6" w:rsidP="007917F5">
      <w:pPr>
        <w:pStyle w:val="Szvegtrzs"/>
        <w:tabs>
          <w:tab w:val="left" w:pos="0"/>
        </w:tabs>
        <w:rPr>
          <w:b/>
          <w:sz w:val="21"/>
        </w:rPr>
      </w:pPr>
    </w:p>
    <w:p w14:paraId="62FA0D1F" w14:textId="77777777" w:rsidR="004C11B6" w:rsidRDefault="00F05A0C" w:rsidP="007917F5">
      <w:pPr>
        <w:pStyle w:val="Szvegtrzs"/>
        <w:tabs>
          <w:tab w:val="left" w:pos="0"/>
        </w:tabs>
        <w:spacing w:before="1" w:line="230" w:lineRule="auto"/>
      </w:pPr>
      <w:r>
        <w:t>Az apixabán túladagolása a vérzés kockázatának növekedését eredményezheti. Vérzéses</w:t>
      </w:r>
      <w:r>
        <w:rPr>
          <w:spacing w:val="1"/>
        </w:rPr>
        <w:t xml:space="preserve"> </w:t>
      </w:r>
      <w:r>
        <w:t>szövődmények esetén a kezelést le kell állítani, és ki kell deríteni a vérzés forrását. Mérlegelni kell a</w:t>
      </w:r>
      <w:r>
        <w:rPr>
          <w:spacing w:val="-52"/>
        </w:rPr>
        <w:t xml:space="preserve"> </w:t>
      </w:r>
      <w:r>
        <w:t>megfelelő kezelés elkezdését, pl. sebészi vérzéscsillapítást, friss fagyasztott plazma transzfúzióját</w:t>
      </w:r>
      <w:r>
        <w:rPr>
          <w:spacing w:val="1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Xa</w:t>
      </w:r>
      <w:r>
        <w:rPr>
          <w:spacing w:val="-1"/>
        </w:rPr>
        <w:t xml:space="preserve"> </w:t>
      </w:r>
      <w:r>
        <w:t>faktor-gátló</w:t>
      </w:r>
      <w:r>
        <w:rPr>
          <w:spacing w:val="-1"/>
        </w:rPr>
        <w:t xml:space="preserve"> </w:t>
      </w:r>
      <w:r>
        <w:t>hatás</w:t>
      </w:r>
      <w:r>
        <w:rPr>
          <w:spacing w:val="-1"/>
        </w:rPr>
        <w:t xml:space="preserve"> </w:t>
      </w:r>
      <w:r>
        <w:t>reverzióját</w:t>
      </w:r>
      <w:r>
        <w:rPr>
          <w:spacing w:val="-2"/>
        </w:rPr>
        <w:t xml:space="preserve"> </w:t>
      </w:r>
      <w:r>
        <w:t>biztosító</w:t>
      </w:r>
      <w:r>
        <w:rPr>
          <w:spacing w:val="-1"/>
        </w:rPr>
        <w:t xml:space="preserve"> </w:t>
      </w:r>
      <w:r>
        <w:t>szer</w:t>
      </w:r>
      <w:r>
        <w:rPr>
          <w:spacing w:val="-1"/>
        </w:rPr>
        <w:t xml:space="preserve"> </w:t>
      </w:r>
      <w:r>
        <w:t>adását.</w:t>
      </w:r>
    </w:p>
    <w:p w14:paraId="2DD65C5E" w14:textId="77777777" w:rsidR="004C11B6" w:rsidRDefault="004C11B6">
      <w:pPr>
        <w:pStyle w:val="Szvegtrzs"/>
        <w:spacing w:before="6"/>
        <w:rPr>
          <w:sz w:val="21"/>
        </w:rPr>
      </w:pPr>
    </w:p>
    <w:p w14:paraId="13A25087" w14:textId="1C356D9B" w:rsidR="004C11B6" w:rsidRDefault="00F05A0C" w:rsidP="00811137">
      <w:pPr>
        <w:pStyle w:val="Szvegtrzs"/>
        <w:spacing w:line="230" w:lineRule="auto"/>
        <w:ind w:right="2"/>
      </w:pPr>
      <w:r>
        <w:t>Egészséges egyénekkel végzett kontrollos klinikai vizsgálatokban, amelyekben naponta maximum</w:t>
      </w:r>
      <w:r>
        <w:rPr>
          <w:spacing w:val="1"/>
        </w:rPr>
        <w:t xml:space="preserve"> </w:t>
      </w:r>
      <w:r>
        <w:t>50</w:t>
      </w:r>
      <w:r w:rsidR="00B33724">
        <w:t> </w:t>
      </w:r>
      <w:r>
        <w:t>mg apixabánt adtak szájon át 3-7 napig (25</w:t>
      </w:r>
      <w:r w:rsidR="00B33724">
        <w:t> </w:t>
      </w:r>
      <w:r>
        <w:t>mg naponta kétszer 7 napon át vagy naponta egyszer</w:t>
      </w:r>
      <w:r w:rsidRPr="00363C37">
        <w:t xml:space="preserve"> </w:t>
      </w:r>
      <w:r>
        <w:t>50</w:t>
      </w:r>
      <w:r w:rsidR="00B33724">
        <w:t> </w:t>
      </w:r>
      <w:r>
        <w:t>mg</w:t>
      </w:r>
      <w:r>
        <w:rPr>
          <w:spacing w:val="-3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napon</w:t>
      </w:r>
      <w:r>
        <w:rPr>
          <w:spacing w:val="-1"/>
        </w:rPr>
        <w:t xml:space="preserve"> </w:t>
      </w:r>
      <w:r>
        <w:t>át),</w:t>
      </w:r>
      <w:r>
        <w:rPr>
          <w:spacing w:val="-2"/>
        </w:rPr>
        <w:t xml:space="preserve"> </w:t>
      </w:r>
      <w:r>
        <w:t>klinikailag</w:t>
      </w:r>
      <w:r>
        <w:rPr>
          <w:spacing w:val="-1"/>
        </w:rPr>
        <w:t xml:space="preserve"> </w:t>
      </w:r>
      <w:r>
        <w:t>jelentős</w:t>
      </w:r>
      <w:r>
        <w:rPr>
          <w:spacing w:val="-2"/>
        </w:rPr>
        <w:t xml:space="preserve"> </w:t>
      </w:r>
      <w:r>
        <w:t>mellékhatás</w:t>
      </w:r>
      <w:r>
        <w:rPr>
          <w:spacing w:val="-1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fordult</w:t>
      </w:r>
      <w:r>
        <w:rPr>
          <w:spacing w:val="-1"/>
        </w:rPr>
        <w:t xml:space="preserve"> </w:t>
      </w:r>
      <w:r>
        <w:t>elő.</w:t>
      </w:r>
    </w:p>
    <w:p w14:paraId="54F7FE5E" w14:textId="77777777" w:rsidR="004C11B6" w:rsidRDefault="004C11B6" w:rsidP="00811137">
      <w:pPr>
        <w:pStyle w:val="Szvegtrzs"/>
        <w:spacing w:before="4"/>
        <w:ind w:right="2"/>
        <w:rPr>
          <w:sz w:val="21"/>
        </w:rPr>
      </w:pPr>
    </w:p>
    <w:p w14:paraId="48E6463F" w14:textId="48BA8E80" w:rsidR="004C11B6" w:rsidRDefault="00F05A0C" w:rsidP="00811137">
      <w:pPr>
        <w:pStyle w:val="Szvegtrzs"/>
        <w:spacing w:line="230" w:lineRule="auto"/>
        <w:ind w:right="2"/>
      </w:pPr>
      <w:r>
        <w:t>Egészséges alanyoknál 2 és 6 órával egy 20</w:t>
      </w:r>
      <w:r w:rsidR="00B33724">
        <w:t> </w:t>
      </w:r>
      <w:r>
        <w:t>mg-os apixabán dózis bevétele után az orvosi szén adása</w:t>
      </w:r>
      <w:r>
        <w:rPr>
          <w:spacing w:val="-5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átlagos</w:t>
      </w:r>
      <w:r>
        <w:rPr>
          <w:spacing w:val="-3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AUC-t</w:t>
      </w:r>
      <w:r>
        <w:rPr>
          <w:spacing w:val="-3"/>
        </w:rPr>
        <w:t xml:space="preserve"> </w:t>
      </w:r>
      <w:r>
        <w:t>sorrendben</w:t>
      </w:r>
      <w:r>
        <w:rPr>
          <w:spacing w:val="-2"/>
        </w:rPr>
        <w:t xml:space="preserve"> </w:t>
      </w:r>
      <w:r>
        <w:t>50%-kal</w:t>
      </w:r>
      <w:r>
        <w:rPr>
          <w:spacing w:val="-3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27%-kal</w:t>
      </w:r>
      <w:r>
        <w:rPr>
          <w:spacing w:val="-3"/>
        </w:rPr>
        <w:t xml:space="preserve"> </w:t>
      </w:r>
      <w:r>
        <w:t>csökkentette,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hatással</w:t>
      </w:r>
      <w:r>
        <w:rPr>
          <w:spacing w:val="-2"/>
        </w:rPr>
        <w:t xml:space="preserve"> </w:t>
      </w:r>
      <w:r>
        <w:t>a</w:t>
      </w:r>
    </w:p>
    <w:p w14:paraId="4521C085" w14:textId="77777777" w:rsidR="004C11B6" w:rsidRDefault="00F05A0C" w:rsidP="00811137">
      <w:pPr>
        <w:pStyle w:val="Szvegtrzs"/>
        <w:spacing w:before="2" w:line="230" w:lineRule="auto"/>
        <w:ind w:right="2"/>
      </w:pPr>
      <w:r>
        <w:rPr>
          <w:position w:val="2"/>
        </w:rPr>
        <w:t>C</w:t>
      </w:r>
      <w:r>
        <w:rPr>
          <w:sz w:val="14"/>
        </w:rPr>
        <w:t>max</w:t>
      </w:r>
      <w:r>
        <w:rPr>
          <w:position w:val="2"/>
        </w:rPr>
        <w:t>-ra. Az apixabán átlagos felezési ideje az önmagában adott apixabán esetén észlelt 13,4 óráról</w:t>
      </w:r>
      <w:r>
        <w:rPr>
          <w:spacing w:val="-52"/>
          <w:position w:val="2"/>
        </w:rPr>
        <w:t xml:space="preserve"> </w:t>
      </w:r>
      <w:r>
        <w:t>sorrendben 5,3 órára, illetve 4,9 órára csökkent, ha az orvosi szenet 2 és 6 órával az apixabán után</w:t>
      </w:r>
      <w:r>
        <w:rPr>
          <w:spacing w:val="-52"/>
        </w:rPr>
        <w:t xml:space="preserve"> </w:t>
      </w:r>
      <w:r>
        <w:t>adták. Így az orvosi szén alkalmazása az apixabán túladagolásának vagy véletlen lenyelésének</w:t>
      </w:r>
      <w:r>
        <w:rPr>
          <w:spacing w:val="1"/>
        </w:rPr>
        <w:t xml:space="preserve"> </w:t>
      </w:r>
      <w:r>
        <w:t>kezelése</w:t>
      </w:r>
      <w:r>
        <w:rPr>
          <w:spacing w:val="-2"/>
        </w:rPr>
        <w:t xml:space="preserve"> </w:t>
      </w:r>
      <w:r>
        <w:t>esetén</w:t>
      </w:r>
      <w:r>
        <w:rPr>
          <w:spacing w:val="-1"/>
        </w:rPr>
        <w:t xml:space="preserve"> </w:t>
      </w:r>
      <w:r>
        <w:t>hasznos</w:t>
      </w:r>
      <w:r>
        <w:rPr>
          <w:spacing w:val="-1"/>
        </w:rPr>
        <w:t xml:space="preserve"> </w:t>
      </w:r>
      <w:r>
        <w:t>lehet.</w:t>
      </w:r>
    </w:p>
    <w:p w14:paraId="3AE37BCB" w14:textId="77777777" w:rsidR="004C11B6" w:rsidRDefault="004C11B6" w:rsidP="00811137">
      <w:pPr>
        <w:pStyle w:val="Szvegtrzs"/>
        <w:spacing w:before="10"/>
        <w:ind w:right="2"/>
        <w:rPr>
          <w:sz w:val="20"/>
        </w:rPr>
      </w:pPr>
    </w:p>
    <w:p w14:paraId="4410ED8B" w14:textId="77777777" w:rsidR="004C11B6" w:rsidRDefault="00F05A0C" w:rsidP="00811137">
      <w:pPr>
        <w:pStyle w:val="Szvegtrzs"/>
        <w:spacing w:line="233" w:lineRule="auto"/>
      </w:pPr>
      <w:r>
        <w:t>Ha életveszélyes vagy kontrollálatlan vérzés miatt szükség van az antikoagulálás reverziójára,</w:t>
      </w:r>
      <w:r>
        <w:rPr>
          <w:spacing w:val="-52"/>
        </w:rPr>
        <w:t xml:space="preserve"> </w:t>
      </w:r>
      <w:r>
        <w:t>rendelkezésre</w:t>
      </w:r>
      <w:r>
        <w:rPr>
          <w:spacing w:val="-5"/>
        </w:rPr>
        <w:t xml:space="preserve"> </w:t>
      </w:r>
      <w:r>
        <w:t>áll</w:t>
      </w:r>
      <w:r>
        <w:rPr>
          <w:spacing w:val="-4"/>
        </w:rPr>
        <w:t xml:space="preserve"> </w:t>
      </w:r>
      <w:r>
        <w:t>egy</w:t>
      </w:r>
      <w:r>
        <w:rPr>
          <w:spacing w:val="-4"/>
        </w:rPr>
        <w:t xml:space="preserve"> </w:t>
      </w:r>
      <w:r>
        <w:t>szer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Xa</w:t>
      </w:r>
      <w:r>
        <w:rPr>
          <w:spacing w:val="-3"/>
        </w:rPr>
        <w:t xml:space="preserve"> </w:t>
      </w:r>
      <w:r>
        <w:t>faktor-ellenes</w:t>
      </w:r>
      <w:r>
        <w:rPr>
          <w:spacing w:val="-4"/>
        </w:rPr>
        <w:t xml:space="preserve"> </w:t>
      </w:r>
      <w:r>
        <w:t>aktivitásának</w:t>
      </w:r>
      <w:r>
        <w:rPr>
          <w:spacing w:val="-5"/>
        </w:rPr>
        <w:t xml:space="preserve"> </w:t>
      </w:r>
      <w:r>
        <w:t>visszafordítására</w:t>
      </w:r>
      <w:r>
        <w:rPr>
          <w:spacing w:val="-4"/>
        </w:rPr>
        <w:t xml:space="preserve"> </w:t>
      </w:r>
      <w:r>
        <w:t>(lásd</w:t>
      </w:r>
    </w:p>
    <w:p w14:paraId="5875BC52" w14:textId="77777777" w:rsidR="004C11B6" w:rsidRDefault="00F05A0C" w:rsidP="006015D6">
      <w:pPr>
        <w:pStyle w:val="Szvegtrzs"/>
        <w:spacing w:line="233" w:lineRule="auto"/>
      </w:pPr>
      <w:r>
        <w:t>4.4 pont). Prothrombin komplex koncentrátumok (PCC-k) vagy rekombináns VIIa faktor alkalmazása</w:t>
      </w:r>
      <w:r>
        <w:rPr>
          <w:spacing w:val="-52"/>
        </w:rPr>
        <w:t xml:space="preserve"> </w:t>
      </w:r>
      <w:r>
        <w:t>is mérlegelhető. Az apixabán farmakodinámiás hatásainak visszafordulását figyelték meg az infúzió</w:t>
      </w:r>
      <w:r>
        <w:rPr>
          <w:spacing w:val="1"/>
        </w:rPr>
        <w:t xml:space="preserve"> </w:t>
      </w:r>
      <w:r>
        <w:t>végén, amit a thrombinképződési tesztben beálló változások mutattak, és egy 4 faktorú PCC 30 perces</w:t>
      </w:r>
      <w:r w:rsidRPr="006015D6">
        <w:t xml:space="preserve"> </w:t>
      </w:r>
      <w:r>
        <w:t>infundálásának kezdetétől számított 4 órán belül álltak vissza a kiindulási értékek egészséges</w:t>
      </w:r>
      <w:r w:rsidRPr="006015D6">
        <w:t xml:space="preserve"> </w:t>
      </w:r>
      <w:r>
        <w:t>alanyoknál.</w:t>
      </w:r>
      <w:r w:rsidRPr="006015D6">
        <w:t xml:space="preserve"> </w:t>
      </w:r>
      <w:r>
        <w:t>Mindamellett</w:t>
      </w:r>
      <w:r w:rsidRPr="006015D6">
        <w:t xml:space="preserve"> </w:t>
      </w:r>
      <w:r>
        <w:t>nincs</w:t>
      </w:r>
      <w:r w:rsidRPr="006015D6">
        <w:t xml:space="preserve"> </w:t>
      </w:r>
      <w:r>
        <w:t>klinikai</w:t>
      </w:r>
      <w:r w:rsidRPr="006015D6">
        <w:t xml:space="preserve"> </w:t>
      </w:r>
      <w:r>
        <w:t>tapasztalat</w:t>
      </w:r>
      <w:r w:rsidRPr="006015D6">
        <w:t xml:space="preserve"> </w:t>
      </w:r>
      <w:r>
        <w:t>az</w:t>
      </w:r>
      <w:r w:rsidRPr="006015D6">
        <w:t xml:space="preserve"> </w:t>
      </w:r>
      <w:r>
        <w:t>apixabánnal</w:t>
      </w:r>
      <w:r w:rsidRPr="006015D6">
        <w:t xml:space="preserve"> </w:t>
      </w:r>
      <w:r>
        <w:t>kezelt</w:t>
      </w:r>
      <w:r w:rsidRPr="006015D6">
        <w:t xml:space="preserve"> </w:t>
      </w:r>
      <w:r>
        <w:t>betegek</w:t>
      </w:r>
      <w:r w:rsidRPr="006015D6">
        <w:t xml:space="preserve"> </w:t>
      </w:r>
      <w:r>
        <w:t>vérzésének</w:t>
      </w:r>
    </w:p>
    <w:p w14:paraId="5333BF78" w14:textId="77777777" w:rsidR="004C11B6" w:rsidRDefault="00F05A0C" w:rsidP="006015D6">
      <w:pPr>
        <w:pStyle w:val="Szvegtrzs"/>
        <w:spacing w:line="233" w:lineRule="auto"/>
      </w:pPr>
      <w:r>
        <w:t>leállítására adott 4 faktorú PCC készítmények alkalmazására vonatkozóan. Jelenleg még nincs</w:t>
      </w:r>
      <w:r w:rsidRPr="006015D6">
        <w:t xml:space="preserve"> </w:t>
      </w:r>
      <w:r>
        <w:t>tapasztalat a rekombináns VIIa faktor apixabánt szedő betegeknél történő alkalmazásával</w:t>
      </w:r>
      <w:r w:rsidRPr="006015D6">
        <w:t xml:space="preserve"> </w:t>
      </w:r>
      <w:r>
        <w:t>kapcsolatban. A vérzés csökkenésétől függően megfontolandó a rekombináns VIIa faktor ismételt</w:t>
      </w:r>
      <w:r w:rsidRPr="006015D6">
        <w:t xml:space="preserve"> </w:t>
      </w:r>
      <w:r>
        <w:t>adása</w:t>
      </w:r>
      <w:r w:rsidRPr="006015D6">
        <w:t xml:space="preserve"> </w:t>
      </w:r>
      <w:r>
        <w:t>és</w:t>
      </w:r>
      <w:r w:rsidRPr="006015D6">
        <w:t xml:space="preserve"> </w:t>
      </w:r>
      <w:r>
        <w:t>az</w:t>
      </w:r>
      <w:r w:rsidRPr="006015D6">
        <w:t xml:space="preserve"> </w:t>
      </w:r>
      <w:r>
        <w:t>adag</w:t>
      </w:r>
      <w:r w:rsidRPr="006015D6">
        <w:t xml:space="preserve"> </w:t>
      </w:r>
      <w:r>
        <w:t>módosítása.</w:t>
      </w:r>
    </w:p>
    <w:p w14:paraId="0345427A" w14:textId="77777777" w:rsidR="004C11B6" w:rsidRDefault="004C11B6" w:rsidP="006015D6">
      <w:pPr>
        <w:pStyle w:val="Szvegtrzs"/>
        <w:spacing w:before="6"/>
        <w:rPr>
          <w:sz w:val="21"/>
        </w:rPr>
      </w:pPr>
    </w:p>
    <w:p w14:paraId="1313FAAB" w14:textId="77777777" w:rsidR="004C11B6" w:rsidRDefault="00F05A0C" w:rsidP="006015D6">
      <w:pPr>
        <w:pStyle w:val="Szvegtrzs"/>
        <w:spacing w:line="230" w:lineRule="auto"/>
      </w:pPr>
      <w:r>
        <w:t>Súlyos vérzés esetén, helyi elérhetőségtől függően, ajánlatos egy véralvadási szakértővel történő</w:t>
      </w:r>
      <w:r>
        <w:rPr>
          <w:spacing w:val="-52"/>
        </w:rPr>
        <w:t xml:space="preserve"> </w:t>
      </w:r>
      <w:r>
        <w:t>konzultáció.</w:t>
      </w:r>
    </w:p>
    <w:p w14:paraId="00843C62" w14:textId="77777777" w:rsidR="004C11B6" w:rsidRDefault="004C11B6" w:rsidP="006015D6">
      <w:pPr>
        <w:pStyle w:val="Szvegtrzs"/>
        <w:spacing w:before="6"/>
        <w:rPr>
          <w:sz w:val="20"/>
        </w:rPr>
      </w:pPr>
    </w:p>
    <w:p w14:paraId="6C0D1FF0" w14:textId="37F9B15F" w:rsidR="004C11B6" w:rsidRDefault="00F05A0C" w:rsidP="006015D6">
      <w:pPr>
        <w:pStyle w:val="Szvegtrzs"/>
        <w:spacing w:line="249" w:lineRule="exact"/>
      </w:pPr>
      <w:r>
        <w:t>Az</w:t>
      </w:r>
      <w:r>
        <w:rPr>
          <w:spacing w:val="-6"/>
        </w:rPr>
        <w:t xml:space="preserve"> </w:t>
      </w:r>
      <w:r>
        <w:t>apixabán</w:t>
      </w:r>
      <w:r>
        <w:rPr>
          <w:spacing w:val="-6"/>
        </w:rPr>
        <w:t xml:space="preserve"> </w:t>
      </w:r>
      <w:r>
        <w:t>egyszeri,</w:t>
      </w:r>
      <w:r>
        <w:rPr>
          <w:spacing w:val="-4"/>
        </w:rPr>
        <w:t xml:space="preserve"> </w:t>
      </w:r>
      <w:r>
        <w:t>5</w:t>
      </w:r>
      <w:r w:rsidR="00B33724">
        <w:rPr>
          <w:spacing w:val="-3"/>
        </w:rPr>
        <w:t> </w:t>
      </w:r>
      <w:r>
        <w:t>mg-os</w:t>
      </w:r>
      <w:r>
        <w:rPr>
          <w:spacing w:val="-4"/>
        </w:rPr>
        <w:t xml:space="preserve"> </w:t>
      </w:r>
      <w:r>
        <w:t>adagjának</w:t>
      </w:r>
      <w:r>
        <w:rPr>
          <w:spacing w:val="-4"/>
        </w:rPr>
        <w:t xml:space="preserve"> </w:t>
      </w:r>
      <w:r>
        <w:t>szájon</w:t>
      </w:r>
      <w:r>
        <w:rPr>
          <w:spacing w:val="-5"/>
        </w:rPr>
        <w:t xml:space="preserve"> </w:t>
      </w:r>
      <w:r>
        <w:t>át</w:t>
      </w:r>
      <w:r>
        <w:rPr>
          <w:spacing w:val="-4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 w:rsidR="00124116">
        <w:t>hemodialízis</w:t>
      </w:r>
    </w:p>
    <w:p w14:paraId="4A8FD2F3" w14:textId="23C2091E" w:rsidR="00811137" w:rsidRDefault="00F05A0C" w:rsidP="006015D6">
      <w:pPr>
        <w:pStyle w:val="Szvegtrzs"/>
        <w:spacing w:before="4" w:line="230" w:lineRule="auto"/>
      </w:pPr>
      <w:r>
        <w:t>14%-kal csökkentette az apixabán AUC értékét végstádiumú vesebetegségben (ESRD) szenvedőknél.</w:t>
      </w:r>
      <w:r>
        <w:rPr>
          <w:spacing w:val="-52"/>
        </w:rPr>
        <w:t xml:space="preserve"> </w:t>
      </w:r>
      <w:r>
        <w:t>Ezért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124116">
        <w:t xml:space="preserve">hemodialízis </w:t>
      </w:r>
      <w:r>
        <w:t>valószínűleg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hatékony</w:t>
      </w:r>
      <w:r>
        <w:rPr>
          <w:spacing w:val="-3"/>
        </w:rPr>
        <w:t xml:space="preserve"> </w:t>
      </w:r>
      <w:r>
        <w:t>módszer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apixabán-túladagolás</w:t>
      </w:r>
      <w:r>
        <w:rPr>
          <w:spacing w:val="-3"/>
        </w:rPr>
        <w:t xml:space="preserve"> </w:t>
      </w:r>
      <w:r>
        <w:t>kezelésére.</w:t>
      </w:r>
    </w:p>
    <w:p w14:paraId="34B6F30B" w14:textId="77777777" w:rsidR="00811137" w:rsidRDefault="00811137" w:rsidP="00811137">
      <w:pPr>
        <w:pStyle w:val="Szvegtrzs"/>
        <w:spacing w:before="4" w:line="230" w:lineRule="auto"/>
        <w:ind w:right="2"/>
      </w:pPr>
    </w:p>
    <w:p w14:paraId="5700C0CD" w14:textId="77777777" w:rsidR="00811137" w:rsidRDefault="00811137" w:rsidP="00811137">
      <w:pPr>
        <w:pStyle w:val="Szvegtrzs"/>
        <w:spacing w:before="4" w:line="230" w:lineRule="auto"/>
        <w:ind w:right="2"/>
      </w:pPr>
    </w:p>
    <w:p w14:paraId="64362A1D" w14:textId="2BE21742" w:rsidR="004C11B6" w:rsidRPr="00811137" w:rsidRDefault="00F05A0C" w:rsidP="00811137">
      <w:pPr>
        <w:pStyle w:val="Szvegtrzs"/>
        <w:numPr>
          <w:ilvl w:val="0"/>
          <w:numId w:val="50"/>
        </w:numPr>
        <w:spacing w:before="4" w:line="230" w:lineRule="auto"/>
        <w:ind w:left="0" w:right="2" w:firstLine="0"/>
        <w:rPr>
          <w:b/>
          <w:bCs/>
        </w:rPr>
      </w:pPr>
      <w:r w:rsidRPr="00811137">
        <w:rPr>
          <w:b/>
          <w:bCs/>
        </w:rPr>
        <w:t>FARMAKOLÓGIAI</w:t>
      </w:r>
      <w:r w:rsidRPr="00811137">
        <w:rPr>
          <w:b/>
          <w:bCs/>
          <w:spacing w:val="-6"/>
        </w:rPr>
        <w:t xml:space="preserve"> </w:t>
      </w:r>
      <w:r w:rsidRPr="00811137">
        <w:rPr>
          <w:b/>
          <w:bCs/>
        </w:rPr>
        <w:t>TULAJDONSÁGOK</w:t>
      </w:r>
    </w:p>
    <w:p w14:paraId="0CFA8CA8" w14:textId="77777777" w:rsidR="004C11B6" w:rsidRDefault="004C11B6" w:rsidP="00811137">
      <w:pPr>
        <w:pStyle w:val="Szvegtrzs"/>
        <w:spacing w:before="4"/>
        <w:ind w:right="2"/>
        <w:rPr>
          <w:b/>
          <w:sz w:val="20"/>
        </w:rPr>
      </w:pPr>
    </w:p>
    <w:p w14:paraId="02F2AEA6" w14:textId="77777777" w:rsidR="004C11B6" w:rsidRDefault="00F05A0C" w:rsidP="00811137">
      <w:pPr>
        <w:pStyle w:val="Cmsor2"/>
        <w:numPr>
          <w:ilvl w:val="1"/>
          <w:numId w:val="50"/>
        </w:numPr>
        <w:tabs>
          <w:tab w:val="left" w:pos="802"/>
          <w:tab w:val="left" w:pos="803"/>
        </w:tabs>
        <w:ind w:left="0" w:right="2" w:firstLine="0"/>
      </w:pPr>
      <w:r>
        <w:t>Farmakodinámiás</w:t>
      </w:r>
      <w:r>
        <w:rPr>
          <w:spacing w:val="-8"/>
        </w:rPr>
        <w:t xml:space="preserve"> </w:t>
      </w:r>
      <w:r>
        <w:t>tulajdonságok</w:t>
      </w:r>
    </w:p>
    <w:p w14:paraId="3322D0D3" w14:textId="77777777" w:rsidR="004C11B6" w:rsidRDefault="004C11B6" w:rsidP="00811137">
      <w:pPr>
        <w:pStyle w:val="Szvegtrzs"/>
        <w:spacing w:before="4"/>
        <w:ind w:right="2"/>
        <w:rPr>
          <w:b/>
          <w:sz w:val="20"/>
        </w:rPr>
      </w:pPr>
    </w:p>
    <w:p w14:paraId="09908ABF" w14:textId="77777777" w:rsidR="00811137" w:rsidRDefault="00F05A0C" w:rsidP="00811137">
      <w:pPr>
        <w:pStyle w:val="Szvegtrzs"/>
        <w:ind w:right="2"/>
        <w:rPr>
          <w:spacing w:val="-52"/>
        </w:rPr>
      </w:pPr>
      <w:r>
        <w:rPr>
          <w:spacing w:val="-4"/>
        </w:rPr>
        <w:t xml:space="preserve">Farmakoterápiás csoport: antithrombotikus szerek, </w:t>
      </w:r>
      <w:r>
        <w:rPr>
          <w:spacing w:val="-3"/>
        </w:rPr>
        <w:t>direkt Xa faktor inhibitorok, ATC kód: B01AF02</w:t>
      </w:r>
      <w:r>
        <w:rPr>
          <w:spacing w:val="-52"/>
        </w:rPr>
        <w:t xml:space="preserve"> </w:t>
      </w:r>
    </w:p>
    <w:p w14:paraId="4C86DF42" w14:textId="77777777" w:rsidR="00811137" w:rsidRDefault="00811137" w:rsidP="00811137">
      <w:pPr>
        <w:pStyle w:val="Szvegtrzs"/>
        <w:ind w:right="2"/>
        <w:rPr>
          <w:spacing w:val="-52"/>
        </w:rPr>
      </w:pPr>
    </w:p>
    <w:p w14:paraId="59B2032C" w14:textId="09278786" w:rsidR="004C11B6" w:rsidRDefault="00F05A0C" w:rsidP="00811137">
      <w:pPr>
        <w:pStyle w:val="Szvegtrzs"/>
        <w:ind w:right="2"/>
      </w:pPr>
      <w:r>
        <w:rPr>
          <w:u w:val="single"/>
        </w:rPr>
        <w:t>Hatásmechanizmus</w:t>
      </w:r>
    </w:p>
    <w:p w14:paraId="1D309BA2" w14:textId="527E2A69" w:rsidR="004C11B6" w:rsidRDefault="00F05A0C" w:rsidP="00811137">
      <w:pPr>
        <w:pStyle w:val="Szvegtrzs"/>
        <w:spacing w:before="6"/>
        <w:ind w:right="2"/>
      </w:pPr>
      <w:r>
        <w:rPr>
          <w:spacing w:val="-3"/>
        </w:rPr>
        <w:t>Az apixabán a Xa faktor aktív centrumának egy erős, orális, reverzíbilis, direkt és nagy szelektivitású</w:t>
      </w:r>
      <w:r>
        <w:rPr>
          <w:spacing w:val="-2"/>
        </w:rPr>
        <w:t xml:space="preserve"> </w:t>
      </w:r>
      <w:r>
        <w:t>inhibitora. Az antithromboticus hatás kifejtéséhez nem igényel antithrombin III-at. Az apixabán</w:t>
      </w:r>
      <w:r>
        <w:rPr>
          <w:spacing w:val="1"/>
        </w:rPr>
        <w:t xml:space="preserve"> </w:t>
      </w:r>
      <w:r>
        <w:t>gátolja a szabad és a véralvadékhoz kötött Xa faktort és a prothrombináz aktivitást. Az apixabán nincs</w:t>
      </w:r>
      <w:r>
        <w:rPr>
          <w:spacing w:val="-52"/>
        </w:rPr>
        <w:t xml:space="preserve"> </w:t>
      </w:r>
      <w:r>
        <w:t>közvetlen hatással a thrombocyta-aggregációra, de közvetetten gátolja a thrombin</w:t>
      </w:r>
      <w:r w:rsidR="00B33724">
        <w:t>-</w:t>
      </w:r>
      <w:r>
        <w:t>indukálta</w:t>
      </w:r>
      <w:r>
        <w:rPr>
          <w:spacing w:val="1"/>
        </w:rPr>
        <w:t xml:space="preserve"> </w:t>
      </w:r>
      <w:r>
        <w:t>thrombocyta-aggregációt. A Xa faktor gátlásával az apixabán megakadályozza a thrombin képződését</w:t>
      </w:r>
      <w:r>
        <w:rPr>
          <w:spacing w:val="-52"/>
        </w:rPr>
        <w:t xml:space="preserve"> </w:t>
      </w:r>
      <w:r>
        <w:t>és a thrombusok kialakulását. Az állatmodellek</w:t>
      </w:r>
      <w:r w:rsidR="00B33724">
        <w:t>nél</w:t>
      </w:r>
      <w:r>
        <w:t xml:space="preserve"> apixabánnal végzett preklinikai vizsgálatok a</w:t>
      </w:r>
      <w:r>
        <w:rPr>
          <w:spacing w:val="1"/>
        </w:rPr>
        <w:t xml:space="preserve"> </w:t>
      </w:r>
      <w:r>
        <w:t>haemostasist fenntartó dózisok mellett kimutatták az artériás és vénás thrombosis megelőzésére</w:t>
      </w:r>
      <w:r>
        <w:rPr>
          <w:spacing w:val="1"/>
        </w:rPr>
        <w:t xml:space="preserve"> </w:t>
      </w:r>
      <w:r>
        <w:t>alkalmas</w:t>
      </w:r>
      <w:r>
        <w:rPr>
          <w:spacing w:val="-2"/>
        </w:rPr>
        <w:t xml:space="preserve"> </w:t>
      </w:r>
      <w:r>
        <w:t>antithromboticus</w:t>
      </w:r>
      <w:r>
        <w:rPr>
          <w:spacing w:val="-1"/>
        </w:rPr>
        <w:t xml:space="preserve"> </w:t>
      </w:r>
      <w:r>
        <w:t>hatásosságot.</w:t>
      </w:r>
    </w:p>
    <w:p w14:paraId="6CCF57DC" w14:textId="77777777" w:rsidR="004C11B6" w:rsidRDefault="004C11B6" w:rsidP="00811137">
      <w:pPr>
        <w:pStyle w:val="Szvegtrzs"/>
        <w:spacing w:before="10"/>
        <w:ind w:right="2"/>
        <w:rPr>
          <w:sz w:val="20"/>
        </w:rPr>
      </w:pPr>
    </w:p>
    <w:p w14:paraId="696A9419" w14:textId="77777777" w:rsidR="004C11B6" w:rsidRDefault="00F05A0C" w:rsidP="00811137">
      <w:pPr>
        <w:pStyle w:val="Szvegtrzs"/>
        <w:ind w:right="2"/>
      </w:pPr>
      <w:r>
        <w:rPr>
          <w:u w:val="single"/>
        </w:rPr>
        <w:t>Farmakodinámiás</w:t>
      </w:r>
      <w:r>
        <w:rPr>
          <w:spacing w:val="-7"/>
          <w:u w:val="single"/>
        </w:rPr>
        <w:t xml:space="preserve"> </w:t>
      </w:r>
      <w:r>
        <w:rPr>
          <w:u w:val="single"/>
        </w:rPr>
        <w:t>hatások</w:t>
      </w:r>
    </w:p>
    <w:p w14:paraId="47941194" w14:textId="73C94FE9" w:rsidR="004C11B6" w:rsidRDefault="00F05A0C" w:rsidP="00811137">
      <w:pPr>
        <w:pStyle w:val="Szvegtrzs"/>
        <w:spacing w:line="230" w:lineRule="auto"/>
        <w:ind w:right="2"/>
      </w:pPr>
      <w:r>
        <w:t>Az apixabán farmakodinámiás hatásai a hatásmechanizmusával (Xa faktor gátlása) vannak</w:t>
      </w:r>
      <w:r>
        <w:rPr>
          <w:spacing w:val="1"/>
        </w:rPr>
        <w:t xml:space="preserve"> </w:t>
      </w:r>
      <w:r>
        <w:t>összhangban. A Xa faktor gátlás eredményeképpen az apixabán megnyújtja a véralvadási tesztek</w:t>
      </w:r>
      <w:r>
        <w:rPr>
          <w:spacing w:val="1"/>
        </w:rPr>
        <w:t xml:space="preserve"> </w:t>
      </w:r>
      <w:r>
        <w:t>eredményeit, így a prothrombinidőt (PI), az INR-t és az aktivált parciális thromboplastinidőt</w:t>
      </w:r>
      <w:r>
        <w:rPr>
          <w:spacing w:val="1"/>
        </w:rPr>
        <w:t xml:space="preserve"> </w:t>
      </w:r>
      <w:r>
        <w:t>(aPTI). A véralvadási vizsgálatok eredményeiben megfigyelt változások az elvárt terápiás adagolás</w:t>
      </w:r>
      <w:r w:rsidRPr="00363C37">
        <w:t xml:space="preserve"> </w:t>
      </w:r>
      <w:r>
        <w:t>mellett mérsékeltek és nagy variabilitást mutatnak. Ezek a vizsgálatok nem javasoltak az apixabán</w:t>
      </w:r>
      <w:r>
        <w:rPr>
          <w:spacing w:val="1"/>
        </w:rPr>
        <w:t xml:space="preserve"> </w:t>
      </w:r>
      <w:r>
        <w:t>farmakodinámiás hatásának értékelésére. A thrombinképződési tesztben az apixabán csökkentette</w:t>
      </w:r>
      <w:r>
        <w:rPr>
          <w:spacing w:val="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endogén</w:t>
      </w:r>
      <w:r>
        <w:rPr>
          <w:spacing w:val="-2"/>
        </w:rPr>
        <w:t xml:space="preserve"> </w:t>
      </w:r>
      <w:r>
        <w:t>thrombinpotenciált,</w:t>
      </w:r>
      <w:r>
        <w:rPr>
          <w:spacing w:val="-3"/>
        </w:rPr>
        <w:t xml:space="preserve"> </w:t>
      </w:r>
      <w:r>
        <w:t>amely</w:t>
      </w:r>
      <w:r>
        <w:rPr>
          <w:spacing w:val="-2"/>
        </w:rPr>
        <w:t xml:space="preserve"> </w:t>
      </w:r>
      <w:r>
        <w:t>humán</w:t>
      </w:r>
      <w:r>
        <w:rPr>
          <w:spacing w:val="-3"/>
        </w:rPr>
        <w:t xml:space="preserve"> </w:t>
      </w:r>
      <w:r>
        <w:t>plazmában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thrombinképződés</w:t>
      </w:r>
      <w:r>
        <w:rPr>
          <w:spacing w:val="-2"/>
        </w:rPr>
        <w:t xml:space="preserve"> </w:t>
      </w:r>
      <w:r>
        <w:t>mutatója.</w:t>
      </w:r>
    </w:p>
    <w:p w14:paraId="16732DDD" w14:textId="77777777" w:rsidR="004C11B6" w:rsidRDefault="004C11B6" w:rsidP="00811137">
      <w:pPr>
        <w:pStyle w:val="Szvegtrzs"/>
        <w:spacing w:before="10"/>
        <w:ind w:right="2"/>
        <w:rPr>
          <w:sz w:val="21"/>
        </w:rPr>
      </w:pPr>
    </w:p>
    <w:p w14:paraId="5BB33B9E" w14:textId="0D0B9E00" w:rsidR="004C11B6" w:rsidRDefault="00F05A0C" w:rsidP="006015D6">
      <w:pPr>
        <w:pStyle w:val="Szvegtrzs"/>
        <w:spacing w:line="230" w:lineRule="auto"/>
      </w:pPr>
      <w:r>
        <w:t>Az apixabán Xa faktor-ellenes aktivitást is mutat, ami a Xa faktor enzim aktivitásának</w:t>
      </w:r>
      <w:r>
        <w:rPr>
          <w:spacing w:val="1"/>
        </w:rPr>
        <w:t xml:space="preserve"> </w:t>
      </w:r>
      <w:r>
        <w:t>csökkenéséből is nyilvánvaló, ami többféle, kereskedelmi forgalomban kapható Xa faktor-ellenes</w:t>
      </w:r>
      <w:r>
        <w:rPr>
          <w:spacing w:val="-52"/>
        </w:rPr>
        <w:t xml:space="preserve"> </w:t>
      </w:r>
      <w:r>
        <w:t>szett esetén is jelentkezhet, bár az eredmények szettenként változnak. A klinikai vizsgálatból</w:t>
      </w:r>
      <w:r>
        <w:rPr>
          <w:spacing w:val="1"/>
        </w:rPr>
        <w:t xml:space="preserve"> </w:t>
      </w:r>
      <w:r>
        <w:t>származó adatok kizárólag a Rotachrom</w:t>
      </w:r>
      <w:r w:rsidR="00B33724">
        <w:rPr>
          <w:position w:val="7"/>
          <w:sz w:val="14"/>
        </w:rPr>
        <w:t xml:space="preserve"> </w:t>
      </w:r>
      <w:r>
        <w:t>Heparin kromogén teszt esetén állnak rendelkezésre. A</w:t>
      </w:r>
      <w:r>
        <w:rPr>
          <w:spacing w:val="1"/>
        </w:rPr>
        <w:t xml:space="preserve"> </w:t>
      </w:r>
      <w:r>
        <w:t>Xa faktor-ellenes aktivitás szoros és közvetlen lineáris összefüggést mutat az apixabán</w:t>
      </w:r>
      <w:r>
        <w:rPr>
          <w:spacing w:val="1"/>
        </w:rPr>
        <w:t xml:space="preserve"> </w:t>
      </w:r>
      <w:r>
        <w:t>plazmakoncentrációjával, maximális értékét az apixabán plazma csúcskoncentrációjának</w:t>
      </w:r>
      <w:r>
        <w:rPr>
          <w:spacing w:val="1"/>
        </w:rPr>
        <w:t xml:space="preserve"> </w:t>
      </w:r>
      <w:r>
        <w:t>időpontjában éri el. Az apixabán plazmakoncentrációja és Xa faktor-ellenes aktivitása közti</w:t>
      </w:r>
      <w:r>
        <w:rPr>
          <w:spacing w:val="1"/>
        </w:rPr>
        <w:t xml:space="preserve"> </w:t>
      </w:r>
      <w:r>
        <w:t>összefüggés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széles</w:t>
      </w:r>
      <w:r>
        <w:rPr>
          <w:spacing w:val="-2"/>
        </w:rPr>
        <w:t xml:space="preserve"> </w:t>
      </w:r>
      <w:r>
        <w:t>dózistartományában</w:t>
      </w:r>
      <w:r>
        <w:rPr>
          <w:spacing w:val="-2"/>
        </w:rPr>
        <w:t xml:space="preserve"> </w:t>
      </w:r>
      <w:r>
        <w:t>megközelítőleg</w:t>
      </w:r>
      <w:r>
        <w:rPr>
          <w:spacing w:val="-2"/>
        </w:rPr>
        <w:t xml:space="preserve"> </w:t>
      </w:r>
      <w:r>
        <w:t>lineáris.</w:t>
      </w:r>
    </w:p>
    <w:p w14:paraId="06030F6B" w14:textId="77777777" w:rsidR="004C11B6" w:rsidRDefault="004C11B6">
      <w:pPr>
        <w:pStyle w:val="Szvegtrzs"/>
        <w:spacing w:before="7"/>
        <w:rPr>
          <w:sz w:val="21"/>
        </w:rPr>
      </w:pPr>
    </w:p>
    <w:p w14:paraId="3E732861" w14:textId="65E48682" w:rsidR="004C11B6" w:rsidRDefault="00F05A0C" w:rsidP="006015D6">
      <w:pPr>
        <w:pStyle w:val="Szvegtrzs"/>
        <w:spacing w:line="230" w:lineRule="auto"/>
        <w:ind w:right="2"/>
      </w:pPr>
      <w:r>
        <w:t>Az alábbi 3. táblázat a dinamikus egyensúlyi állapotban várható koncentrációt és Xa faktor-ellenes</w:t>
      </w:r>
      <w:r>
        <w:rPr>
          <w:spacing w:val="1"/>
        </w:rPr>
        <w:t xml:space="preserve"> </w:t>
      </w:r>
      <w:r>
        <w:t xml:space="preserve">aktivitást mutatja. A nem </w:t>
      </w:r>
      <w:r w:rsidR="00E0063B" w:rsidRPr="00A27CEC">
        <w:t>valvuláris</w:t>
      </w:r>
      <w:r>
        <w:t xml:space="preserve"> pitvarfibrillációban szenvedő betegeknél, akik az</w:t>
      </w:r>
      <w:r>
        <w:rPr>
          <w:spacing w:val="1"/>
        </w:rPr>
        <w:t xml:space="preserve"> </w:t>
      </w:r>
      <w:r>
        <w:t>apixabánt a stroke és a szisztémás embolizáció megelőzésére szedik, az eredmények kevesebb mint</w:t>
      </w:r>
      <w:r>
        <w:rPr>
          <w:spacing w:val="-52"/>
        </w:rPr>
        <w:t xml:space="preserve"> </w:t>
      </w:r>
      <w:r>
        <w:t>1,7-szeres fluktuációt mutatnak a legmagasabb és a legalacsonyabb szintek között. Azoknál a</w:t>
      </w:r>
      <w:r>
        <w:rPr>
          <w:spacing w:val="1"/>
        </w:rPr>
        <w:t xml:space="preserve"> </w:t>
      </w:r>
      <w:r>
        <w:t>betegeknél, akik az apixabánt az MVT és a PE kezelésére, illetve az MVT és a PE kiújulásának a</w:t>
      </w:r>
      <w:r>
        <w:rPr>
          <w:spacing w:val="1"/>
        </w:rPr>
        <w:t xml:space="preserve"> </w:t>
      </w:r>
      <w:r>
        <w:t>megelőzésére szedik, az eredmények kevesebb mint 2,2-szeres fluktuációt mutatnak a legmagasabb</w:t>
      </w:r>
      <w:r w:rsidRPr="00363C37"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legalacsonyabb</w:t>
      </w:r>
      <w:r>
        <w:rPr>
          <w:spacing w:val="-1"/>
        </w:rPr>
        <w:t xml:space="preserve"> </w:t>
      </w:r>
      <w:r>
        <w:t>szintek</w:t>
      </w:r>
      <w:r>
        <w:rPr>
          <w:spacing w:val="-1"/>
        </w:rPr>
        <w:t xml:space="preserve"> </w:t>
      </w:r>
      <w:r>
        <w:t>között.</w:t>
      </w:r>
    </w:p>
    <w:p w14:paraId="6068E5F4" w14:textId="77777777" w:rsidR="006015D6" w:rsidRDefault="006015D6" w:rsidP="006015D6">
      <w:pPr>
        <w:pStyle w:val="Szvegtrzs"/>
        <w:spacing w:line="230" w:lineRule="auto"/>
        <w:ind w:right="2"/>
      </w:pPr>
    </w:p>
    <w:p w14:paraId="690BF6EB" w14:textId="77777777" w:rsidR="004C11B6" w:rsidRDefault="00F05A0C" w:rsidP="006015D6">
      <w:pPr>
        <w:pStyle w:val="Cmsor2"/>
        <w:numPr>
          <w:ilvl w:val="0"/>
          <w:numId w:val="49"/>
        </w:numPr>
        <w:spacing w:before="74" w:line="232" w:lineRule="auto"/>
        <w:ind w:left="284" w:right="471" w:hanging="284"/>
      </w:pPr>
      <w:r>
        <w:t>táblázat: Dinamikus egyensúlyi állapotban várható apixabán koncentráció és Xa faktor-ellenes</w:t>
      </w:r>
      <w:r w:rsidRPr="00363C37">
        <w:t xml:space="preserve"> </w:t>
      </w:r>
      <w:r>
        <w:t>aktivitás</w:t>
      </w:r>
    </w:p>
    <w:tbl>
      <w:tblPr>
        <w:tblW w:w="97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3"/>
        <w:gridCol w:w="1915"/>
        <w:gridCol w:w="1915"/>
        <w:gridCol w:w="1915"/>
        <w:gridCol w:w="1915"/>
      </w:tblGrid>
      <w:tr w:rsidR="004C11B6" w14:paraId="35E69217" w14:textId="77777777" w:rsidTr="006015D6">
        <w:trPr>
          <w:trHeight w:val="1336"/>
        </w:trPr>
        <w:tc>
          <w:tcPr>
            <w:tcW w:w="2053" w:type="dxa"/>
          </w:tcPr>
          <w:p w14:paraId="0B0C8D7C" w14:textId="77777777" w:rsidR="004C11B6" w:rsidRDefault="004C11B6" w:rsidP="006015D6">
            <w:pPr>
              <w:pStyle w:val="TableParagraph"/>
              <w:rPr>
                <w:sz w:val="20"/>
              </w:rPr>
            </w:pPr>
          </w:p>
        </w:tc>
        <w:tc>
          <w:tcPr>
            <w:tcW w:w="1915" w:type="dxa"/>
          </w:tcPr>
          <w:p w14:paraId="7B9C880A" w14:textId="77777777" w:rsidR="004C11B6" w:rsidRDefault="00F05A0C" w:rsidP="00363C37">
            <w:pPr>
              <w:pStyle w:val="TableParagraph"/>
              <w:spacing w:before="51" w:line="343" w:lineRule="auto"/>
              <w:ind w:right="364"/>
              <w:jc w:val="center"/>
              <w:rPr>
                <w:b/>
              </w:rPr>
            </w:pPr>
            <w:r>
              <w:rPr>
                <w:b/>
              </w:rPr>
              <w:t>apixabán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position w:val="2"/>
              </w:rPr>
              <w:t>C</w:t>
            </w:r>
            <w:r>
              <w:rPr>
                <w:b/>
                <w:sz w:val="14"/>
              </w:rPr>
              <w:t>max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position w:val="2"/>
              </w:rPr>
              <w:t>(ng/ml)</w:t>
            </w:r>
          </w:p>
        </w:tc>
        <w:tc>
          <w:tcPr>
            <w:tcW w:w="1915" w:type="dxa"/>
          </w:tcPr>
          <w:p w14:paraId="3F1BD81A" w14:textId="77777777" w:rsidR="004C11B6" w:rsidRDefault="00F05A0C" w:rsidP="00363C37">
            <w:pPr>
              <w:pStyle w:val="TableParagraph"/>
              <w:spacing w:before="51" w:line="343" w:lineRule="auto"/>
              <w:ind w:right="373"/>
              <w:jc w:val="center"/>
              <w:rPr>
                <w:b/>
              </w:rPr>
            </w:pPr>
            <w:r>
              <w:rPr>
                <w:b/>
              </w:rPr>
              <w:t>apixabán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position w:val="2"/>
              </w:rPr>
              <w:t>C</w:t>
            </w:r>
            <w:r>
              <w:rPr>
                <w:b/>
                <w:sz w:val="14"/>
              </w:rPr>
              <w:t>min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position w:val="2"/>
              </w:rPr>
              <w:t>(ng/ml)</w:t>
            </w:r>
          </w:p>
        </w:tc>
        <w:tc>
          <w:tcPr>
            <w:tcW w:w="1915" w:type="dxa"/>
          </w:tcPr>
          <w:p w14:paraId="2A3E29A6" w14:textId="77777777" w:rsidR="004C11B6" w:rsidRDefault="00F05A0C" w:rsidP="006015D6">
            <w:pPr>
              <w:pStyle w:val="TableParagraph"/>
              <w:spacing w:before="55" w:line="232" w:lineRule="auto"/>
              <w:ind w:right="301"/>
              <w:jc w:val="center"/>
              <w:rPr>
                <w:b/>
              </w:rPr>
            </w:pPr>
            <w:r>
              <w:rPr>
                <w:b/>
              </w:rPr>
              <w:t>apixabán Xa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faktor-ellenes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aktivitás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maximális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(NE/ml)</w:t>
            </w:r>
          </w:p>
        </w:tc>
        <w:tc>
          <w:tcPr>
            <w:tcW w:w="1915" w:type="dxa"/>
          </w:tcPr>
          <w:p w14:paraId="2DD094BB" w14:textId="77777777" w:rsidR="004C11B6" w:rsidRDefault="00F05A0C" w:rsidP="006015D6">
            <w:pPr>
              <w:pStyle w:val="TableParagraph"/>
              <w:spacing w:before="55" w:line="232" w:lineRule="auto"/>
              <w:ind w:right="301"/>
              <w:jc w:val="center"/>
              <w:rPr>
                <w:b/>
              </w:rPr>
            </w:pPr>
            <w:r>
              <w:rPr>
                <w:b/>
              </w:rPr>
              <w:t>apixabán Xa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faktor-ellenes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aktivitás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minimális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(NE/ml)</w:t>
            </w:r>
          </w:p>
        </w:tc>
      </w:tr>
      <w:tr w:rsidR="004C11B6" w14:paraId="4D792E9D" w14:textId="77777777" w:rsidTr="006015D6">
        <w:trPr>
          <w:trHeight w:val="364"/>
        </w:trPr>
        <w:tc>
          <w:tcPr>
            <w:tcW w:w="2053" w:type="dxa"/>
          </w:tcPr>
          <w:p w14:paraId="697F531F" w14:textId="77777777" w:rsidR="004C11B6" w:rsidRDefault="004C11B6" w:rsidP="006015D6">
            <w:pPr>
              <w:pStyle w:val="TableParagraph"/>
              <w:rPr>
                <w:sz w:val="20"/>
              </w:rPr>
            </w:pPr>
          </w:p>
        </w:tc>
        <w:tc>
          <w:tcPr>
            <w:tcW w:w="7660" w:type="dxa"/>
            <w:gridSpan w:val="4"/>
          </w:tcPr>
          <w:p w14:paraId="54A4B323" w14:textId="77777777" w:rsidR="004C11B6" w:rsidRDefault="00F05A0C" w:rsidP="006015D6">
            <w:pPr>
              <w:pStyle w:val="TableParagraph"/>
              <w:spacing w:before="51"/>
              <w:ind w:right="2671"/>
              <w:jc w:val="center"/>
            </w:pPr>
            <w:r>
              <w:t>medián</w:t>
            </w:r>
            <w:r>
              <w:rPr>
                <w:spacing w:val="-3"/>
              </w:rPr>
              <w:t xml:space="preserve"> </w:t>
            </w:r>
            <w:r>
              <w:t>[5;</w:t>
            </w:r>
            <w:r>
              <w:rPr>
                <w:spacing w:val="-5"/>
              </w:rPr>
              <w:t xml:space="preserve"> </w:t>
            </w:r>
            <w:r>
              <w:t>95</w:t>
            </w:r>
            <w:r>
              <w:rPr>
                <w:spacing w:val="-4"/>
              </w:rPr>
              <w:t xml:space="preserve"> </w:t>
            </w:r>
            <w:r>
              <w:t>percentilis]</w:t>
            </w:r>
          </w:p>
        </w:tc>
      </w:tr>
      <w:tr w:rsidR="004C11B6" w14:paraId="7C754D63" w14:textId="77777777" w:rsidTr="006015D6">
        <w:trPr>
          <w:trHeight w:val="364"/>
        </w:trPr>
        <w:tc>
          <w:tcPr>
            <w:tcW w:w="9713" w:type="dxa"/>
            <w:gridSpan w:val="5"/>
          </w:tcPr>
          <w:p w14:paraId="3CFE2244" w14:textId="77777777" w:rsidR="004C11B6" w:rsidRDefault="00F05A0C" w:rsidP="006015D6">
            <w:pPr>
              <w:pStyle w:val="TableParagraph"/>
              <w:spacing w:before="51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stroke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szisztémás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embolizáció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megelőzése: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NVPF</w:t>
            </w:r>
          </w:p>
        </w:tc>
      </w:tr>
      <w:tr w:rsidR="004C11B6" w14:paraId="2BC6B177" w14:textId="77777777" w:rsidTr="006015D6">
        <w:trPr>
          <w:trHeight w:val="606"/>
        </w:trPr>
        <w:tc>
          <w:tcPr>
            <w:tcW w:w="2053" w:type="dxa"/>
          </w:tcPr>
          <w:p w14:paraId="3B26C221" w14:textId="11B91F53" w:rsidR="004C11B6" w:rsidRDefault="00F05A0C" w:rsidP="006015D6">
            <w:pPr>
              <w:pStyle w:val="TableParagraph"/>
              <w:spacing w:before="55" w:line="232" w:lineRule="auto"/>
              <w:ind w:right="415"/>
            </w:pPr>
            <w:r>
              <w:t>2,5</w:t>
            </w:r>
            <w:r w:rsidR="00CE791B">
              <w:t> </w:t>
            </w:r>
            <w:r>
              <w:t>mg naponta</w:t>
            </w:r>
            <w:r>
              <w:rPr>
                <w:spacing w:val="-52"/>
              </w:rPr>
              <w:t xml:space="preserve"> </w:t>
            </w:r>
            <w:r>
              <w:t>kétszer*</w:t>
            </w:r>
          </w:p>
        </w:tc>
        <w:tc>
          <w:tcPr>
            <w:tcW w:w="1915" w:type="dxa"/>
          </w:tcPr>
          <w:p w14:paraId="58F24CDF" w14:textId="77777777" w:rsidR="004C11B6" w:rsidRDefault="00F05A0C" w:rsidP="006015D6">
            <w:pPr>
              <w:pStyle w:val="TableParagraph"/>
              <w:spacing w:before="51"/>
              <w:ind w:right="276"/>
              <w:jc w:val="center"/>
            </w:pPr>
            <w:r>
              <w:t>123</w:t>
            </w:r>
            <w:r>
              <w:rPr>
                <w:spacing w:val="-1"/>
              </w:rPr>
              <w:t xml:space="preserve"> </w:t>
            </w:r>
            <w:r>
              <w:t>[69; 221]</w:t>
            </w:r>
          </w:p>
        </w:tc>
        <w:tc>
          <w:tcPr>
            <w:tcW w:w="1915" w:type="dxa"/>
          </w:tcPr>
          <w:p w14:paraId="627BDB87" w14:textId="77777777" w:rsidR="004C11B6" w:rsidRDefault="00F05A0C" w:rsidP="006015D6">
            <w:pPr>
              <w:pStyle w:val="TableParagraph"/>
              <w:spacing w:before="51"/>
            </w:pPr>
            <w:r>
              <w:t>79</w:t>
            </w:r>
            <w:r>
              <w:rPr>
                <w:spacing w:val="-2"/>
              </w:rPr>
              <w:t xml:space="preserve"> </w:t>
            </w:r>
            <w:r>
              <w:t>[34; 162]</w:t>
            </w:r>
          </w:p>
        </w:tc>
        <w:tc>
          <w:tcPr>
            <w:tcW w:w="1915" w:type="dxa"/>
          </w:tcPr>
          <w:p w14:paraId="44A1C60D" w14:textId="77777777" w:rsidR="004C11B6" w:rsidRDefault="00F05A0C" w:rsidP="006015D6">
            <w:pPr>
              <w:pStyle w:val="TableParagraph"/>
              <w:spacing w:before="51"/>
              <w:ind w:right="372"/>
              <w:jc w:val="right"/>
            </w:pPr>
            <w:r>
              <w:t>1,8</w:t>
            </w:r>
            <w:r>
              <w:rPr>
                <w:spacing w:val="-3"/>
              </w:rPr>
              <w:t xml:space="preserve"> </w:t>
            </w:r>
            <w:r>
              <w:t>[1,0;</w:t>
            </w:r>
            <w:r>
              <w:rPr>
                <w:spacing w:val="-3"/>
              </w:rPr>
              <w:t xml:space="preserve"> </w:t>
            </w:r>
            <w:r>
              <w:t>3,3]</w:t>
            </w:r>
          </w:p>
        </w:tc>
        <w:tc>
          <w:tcPr>
            <w:tcW w:w="1915" w:type="dxa"/>
          </w:tcPr>
          <w:p w14:paraId="0D37ABCE" w14:textId="77777777" w:rsidR="004C11B6" w:rsidRDefault="00F05A0C" w:rsidP="006015D6">
            <w:pPr>
              <w:pStyle w:val="TableParagraph"/>
              <w:spacing w:before="51"/>
            </w:pPr>
            <w:r>
              <w:t>1,2</w:t>
            </w:r>
            <w:r>
              <w:rPr>
                <w:spacing w:val="-3"/>
              </w:rPr>
              <w:t xml:space="preserve"> </w:t>
            </w:r>
            <w:r>
              <w:t>[0,51;</w:t>
            </w:r>
            <w:r>
              <w:rPr>
                <w:spacing w:val="-2"/>
              </w:rPr>
              <w:t xml:space="preserve"> </w:t>
            </w:r>
            <w:r>
              <w:t>2,4]</w:t>
            </w:r>
          </w:p>
        </w:tc>
      </w:tr>
      <w:tr w:rsidR="004C11B6" w14:paraId="563EC785" w14:textId="77777777" w:rsidTr="006015D6">
        <w:trPr>
          <w:trHeight w:val="606"/>
        </w:trPr>
        <w:tc>
          <w:tcPr>
            <w:tcW w:w="2053" w:type="dxa"/>
          </w:tcPr>
          <w:p w14:paraId="0092DB7B" w14:textId="05F364E9" w:rsidR="004C11B6" w:rsidRDefault="00F05A0C" w:rsidP="006015D6">
            <w:pPr>
              <w:pStyle w:val="TableParagraph"/>
              <w:spacing w:before="55" w:line="232" w:lineRule="auto"/>
              <w:ind w:right="580"/>
            </w:pPr>
            <w:r>
              <w:t>5</w:t>
            </w:r>
            <w:r w:rsidR="00CE791B">
              <w:t> </w:t>
            </w:r>
            <w:r>
              <w:t>mg naponta</w:t>
            </w:r>
            <w:r>
              <w:rPr>
                <w:spacing w:val="-52"/>
              </w:rPr>
              <w:t xml:space="preserve"> </w:t>
            </w:r>
            <w:r>
              <w:t>kétszer</w:t>
            </w:r>
          </w:p>
        </w:tc>
        <w:tc>
          <w:tcPr>
            <w:tcW w:w="1915" w:type="dxa"/>
          </w:tcPr>
          <w:p w14:paraId="1CFAA878" w14:textId="77777777" w:rsidR="004C11B6" w:rsidRDefault="00F05A0C" w:rsidP="006015D6">
            <w:pPr>
              <w:pStyle w:val="TableParagraph"/>
              <w:spacing w:before="51"/>
              <w:ind w:right="276"/>
              <w:jc w:val="center"/>
            </w:pPr>
            <w:r>
              <w:t>171</w:t>
            </w:r>
            <w:r>
              <w:rPr>
                <w:spacing w:val="-1"/>
              </w:rPr>
              <w:t xml:space="preserve"> </w:t>
            </w:r>
            <w:r>
              <w:t>[91; 321]</w:t>
            </w:r>
          </w:p>
        </w:tc>
        <w:tc>
          <w:tcPr>
            <w:tcW w:w="1915" w:type="dxa"/>
          </w:tcPr>
          <w:p w14:paraId="571DD291" w14:textId="77777777" w:rsidR="004C11B6" w:rsidRDefault="00F05A0C" w:rsidP="006015D6">
            <w:pPr>
              <w:pStyle w:val="TableParagraph"/>
              <w:spacing w:before="51"/>
            </w:pPr>
            <w:r>
              <w:t>103</w:t>
            </w:r>
            <w:r>
              <w:rPr>
                <w:spacing w:val="-1"/>
              </w:rPr>
              <w:t xml:space="preserve"> </w:t>
            </w:r>
            <w:r>
              <w:t>[41; 230]</w:t>
            </w:r>
          </w:p>
        </w:tc>
        <w:tc>
          <w:tcPr>
            <w:tcW w:w="1915" w:type="dxa"/>
          </w:tcPr>
          <w:p w14:paraId="2E23FB40" w14:textId="77777777" w:rsidR="004C11B6" w:rsidRDefault="00F05A0C" w:rsidP="006015D6">
            <w:pPr>
              <w:pStyle w:val="TableParagraph"/>
              <w:spacing w:before="51"/>
              <w:ind w:right="372"/>
              <w:jc w:val="right"/>
            </w:pPr>
            <w:r>
              <w:t>2,6</w:t>
            </w:r>
            <w:r>
              <w:rPr>
                <w:spacing w:val="-3"/>
              </w:rPr>
              <w:t xml:space="preserve"> </w:t>
            </w:r>
            <w:r>
              <w:t>[1,4;</w:t>
            </w:r>
            <w:r>
              <w:rPr>
                <w:spacing w:val="-3"/>
              </w:rPr>
              <w:t xml:space="preserve"> </w:t>
            </w:r>
            <w:r>
              <w:t>4,8]</w:t>
            </w:r>
          </w:p>
        </w:tc>
        <w:tc>
          <w:tcPr>
            <w:tcW w:w="1915" w:type="dxa"/>
          </w:tcPr>
          <w:p w14:paraId="356A9E11" w14:textId="77777777" w:rsidR="004C11B6" w:rsidRDefault="00F05A0C" w:rsidP="006015D6">
            <w:pPr>
              <w:pStyle w:val="TableParagraph"/>
              <w:spacing w:before="51"/>
            </w:pPr>
            <w:r>
              <w:t>1,5</w:t>
            </w:r>
            <w:r>
              <w:rPr>
                <w:spacing w:val="-4"/>
              </w:rPr>
              <w:t xml:space="preserve"> </w:t>
            </w:r>
            <w:r>
              <w:t>[0,61;</w:t>
            </w:r>
            <w:r>
              <w:rPr>
                <w:spacing w:val="-3"/>
              </w:rPr>
              <w:t xml:space="preserve"> </w:t>
            </w:r>
            <w:r>
              <w:t>3,4]</w:t>
            </w:r>
          </w:p>
        </w:tc>
      </w:tr>
      <w:tr w:rsidR="004C11B6" w14:paraId="5C3CDE93" w14:textId="77777777" w:rsidTr="006015D6">
        <w:trPr>
          <w:trHeight w:val="364"/>
        </w:trPr>
        <w:tc>
          <w:tcPr>
            <w:tcW w:w="9713" w:type="dxa"/>
            <w:gridSpan w:val="5"/>
          </w:tcPr>
          <w:p w14:paraId="41790EE2" w14:textId="77777777" w:rsidR="004C11B6" w:rsidRDefault="00F05A0C" w:rsidP="006015D6">
            <w:pPr>
              <w:pStyle w:val="TableParagraph"/>
              <w:spacing w:before="51"/>
              <w:rPr>
                <w:i/>
              </w:rPr>
            </w:pPr>
            <w:r>
              <w:rPr>
                <w:i/>
              </w:rPr>
              <w:t>Az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MVT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kezelése,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kezelése,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valamint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az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MVT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kiújulásának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megelőzése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(VTEt)</w:t>
            </w:r>
          </w:p>
        </w:tc>
      </w:tr>
      <w:tr w:rsidR="004C11B6" w14:paraId="5B4A9712" w14:textId="77777777" w:rsidTr="006015D6">
        <w:trPr>
          <w:trHeight w:val="606"/>
        </w:trPr>
        <w:tc>
          <w:tcPr>
            <w:tcW w:w="2053" w:type="dxa"/>
          </w:tcPr>
          <w:p w14:paraId="26338B84" w14:textId="6572E322" w:rsidR="004C11B6" w:rsidRDefault="00F05A0C" w:rsidP="006015D6">
            <w:pPr>
              <w:pStyle w:val="TableParagraph"/>
              <w:spacing w:before="55" w:line="232" w:lineRule="auto"/>
              <w:ind w:right="415"/>
            </w:pPr>
            <w:r>
              <w:t>2,5</w:t>
            </w:r>
            <w:r w:rsidR="00CE791B">
              <w:t> </w:t>
            </w:r>
            <w:r>
              <w:t>mg naponta</w:t>
            </w:r>
            <w:r>
              <w:rPr>
                <w:spacing w:val="-52"/>
              </w:rPr>
              <w:t xml:space="preserve"> </w:t>
            </w:r>
            <w:r>
              <w:t>kétszer</w:t>
            </w:r>
          </w:p>
        </w:tc>
        <w:tc>
          <w:tcPr>
            <w:tcW w:w="1915" w:type="dxa"/>
          </w:tcPr>
          <w:p w14:paraId="227BFFD3" w14:textId="77777777" w:rsidR="004C11B6" w:rsidRDefault="00F05A0C" w:rsidP="006015D6">
            <w:pPr>
              <w:pStyle w:val="TableParagraph"/>
              <w:spacing w:before="51"/>
              <w:ind w:right="275"/>
              <w:jc w:val="center"/>
            </w:pPr>
            <w:r>
              <w:t>67</w:t>
            </w:r>
            <w:r>
              <w:rPr>
                <w:spacing w:val="-3"/>
              </w:rPr>
              <w:t xml:space="preserve"> </w:t>
            </w:r>
            <w:r>
              <w:t>[30;</w:t>
            </w:r>
            <w:r>
              <w:rPr>
                <w:spacing w:val="-2"/>
              </w:rPr>
              <w:t xml:space="preserve"> </w:t>
            </w:r>
            <w:r>
              <w:t>153]</w:t>
            </w:r>
          </w:p>
        </w:tc>
        <w:tc>
          <w:tcPr>
            <w:tcW w:w="1915" w:type="dxa"/>
          </w:tcPr>
          <w:p w14:paraId="0A121653" w14:textId="77777777" w:rsidR="004C11B6" w:rsidRDefault="00F05A0C" w:rsidP="006015D6">
            <w:pPr>
              <w:pStyle w:val="TableParagraph"/>
              <w:spacing w:before="51"/>
            </w:pPr>
            <w:r>
              <w:t>32</w:t>
            </w:r>
            <w:r>
              <w:rPr>
                <w:spacing w:val="-3"/>
              </w:rPr>
              <w:t xml:space="preserve"> </w:t>
            </w:r>
            <w:r>
              <w:t>[11;</w:t>
            </w:r>
            <w:r>
              <w:rPr>
                <w:spacing w:val="-2"/>
              </w:rPr>
              <w:t xml:space="preserve"> </w:t>
            </w:r>
            <w:r>
              <w:t>90]</w:t>
            </w:r>
          </w:p>
        </w:tc>
        <w:tc>
          <w:tcPr>
            <w:tcW w:w="1915" w:type="dxa"/>
          </w:tcPr>
          <w:p w14:paraId="72EF2B5E" w14:textId="77777777" w:rsidR="004C11B6" w:rsidRDefault="00F05A0C" w:rsidP="006015D6">
            <w:pPr>
              <w:pStyle w:val="TableParagraph"/>
              <w:spacing w:before="51"/>
              <w:ind w:right="317"/>
              <w:jc w:val="right"/>
            </w:pPr>
            <w:r>
              <w:t>1,0</w:t>
            </w:r>
            <w:r>
              <w:rPr>
                <w:spacing w:val="-4"/>
              </w:rPr>
              <w:t xml:space="preserve"> </w:t>
            </w:r>
            <w:r>
              <w:t>[0,46;</w:t>
            </w:r>
            <w:r>
              <w:rPr>
                <w:spacing w:val="-3"/>
              </w:rPr>
              <w:t xml:space="preserve"> </w:t>
            </w:r>
            <w:r>
              <w:t>2,5]</w:t>
            </w:r>
          </w:p>
        </w:tc>
        <w:tc>
          <w:tcPr>
            <w:tcW w:w="1915" w:type="dxa"/>
          </w:tcPr>
          <w:p w14:paraId="5C5F9E59" w14:textId="77777777" w:rsidR="004C11B6" w:rsidRDefault="00F05A0C" w:rsidP="006015D6">
            <w:pPr>
              <w:pStyle w:val="TableParagraph"/>
              <w:spacing w:before="51"/>
            </w:pPr>
            <w:r>
              <w:t>0,49</w:t>
            </w:r>
            <w:r>
              <w:rPr>
                <w:spacing w:val="-4"/>
              </w:rPr>
              <w:t xml:space="preserve"> </w:t>
            </w:r>
            <w:r>
              <w:t>[0,17;</w:t>
            </w:r>
            <w:r>
              <w:rPr>
                <w:spacing w:val="-3"/>
              </w:rPr>
              <w:t xml:space="preserve"> </w:t>
            </w:r>
            <w:r>
              <w:t>1,4]</w:t>
            </w:r>
          </w:p>
        </w:tc>
      </w:tr>
      <w:tr w:rsidR="004C11B6" w14:paraId="09F4748D" w14:textId="77777777" w:rsidTr="006015D6">
        <w:trPr>
          <w:trHeight w:val="606"/>
        </w:trPr>
        <w:tc>
          <w:tcPr>
            <w:tcW w:w="2053" w:type="dxa"/>
          </w:tcPr>
          <w:p w14:paraId="5792661A" w14:textId="03807ACE" w:rsidR="004C11B6" w:rsidRDefault="00F05A0C" w:rsidP="006015D6">
            <w:pPr>
              <w:pStyle w:val="TableParagraph"/>
              <w:spacing w:before="57" w:line="232" w:lineRule="auto"/>
              <w:ind w:right="580"/>
            </w:pPr>
            <w:r>
              <w:t>5</w:t>
            </w:r>
            <w:r w:rsidR="00CE791B">
              <w:t> </w:t>
            </w:r>
            <w:r>
              <w:t>mg naponta</w:t>
            </w:r>
            <w:r>
              <w:rPr>
                <w:spacing w:val="-52"/>
              </w:rPr>
              <w:t xml:space="preserve"> </w:t>
            </w:r>
            <w:r>
              <w:t>kétszer</w:t>
            </w:r>
          </w:p>
        </w:tc>
        <w:tc>
          <w:tcPr>
            <w:tcW w:w="1915" w:type="dxa"/>
          </w:tcPr>
          <w:p w14:paraId="2663E81C" w14:textId="77777777" w:rsidR="004C11B6" w:rsidRDefault="00F05A0C" w:rsidP="006015D6">
            <w:pPr>
              <w:pStyle w:val="TableParagraph"/>
              <w:spacing w:before="51"/>
              <w:ind w:right="275"/>
              <w:jc w:val="center"/>
            </w:pPr>
            <w:r>
              <w:t>132</w:t>
            </w:r>
            <w:r>
              <w:rPr>
                <w:spacing w:val="-3"/>
              </w:rPr>
              <w:t xml:space="preserve"> </w:t>
            </w:r>
            <w:r>
              <w:t>[59;</w:t>
            </w:r>
            <w:r>
              <w:rPr>
                <w:spacing w:val="-2"/>
              </w:rPr>
              <w:t xml:space="preserve"> </w:t>
            </w:r>
            <w:r>
              <w:t>302]</w:t>
            </w:r>
          </w:p>
        </w:tc>
        <w:tc>
          <w:tcPr>
            <w:tcW w:w="1915" w:type="dxa"/>
          </w:tcPr>
          <w:p w14:paraId="61CC4CE4" w14:textId="77777777" w:rsidR="004C11B6" w:rsidRDefault="00F05A0C" w:rsidP="006015D6">
            <w:pPr>
              <w:pStyle w:val="TableParagraph"/>
              <w:spacing w:before="51"/>
            </w:pPr>
            <w:r>
              <w:t>63</w:t>
            </w:r>
            <w:r>
              <w:rPr>
                <w:spacing w:val="-3"/>
              </w:rPr>
              <w:t xml:space="preserve"> </w:t>
            </w:r>
            <w:r>
              <w:t>[22;</w:t>
            </w:r>
            <w:r>
              <w:rPr>
                <w:spacing w:val="-2"/>
              </w:rPr>
              <w:t xml:space="preserve"> </w:t>
            </w:r>
            <w:r>
              <w:t>177]</w:t>
            </w:r>
          </w:p>
        </w:tc>
        <w:tc>
          <w:tcPr>
            <w:tcW w:w="1915" w:type="dxa"/>
          </w:tcPr>
          <w:p w14:paraId="75AEB50B" w14:textId="77777777" w:rsidR="004C11B6" w:rsidRDefault="00F05A0C" w:rsidP="006015D6">
            <w:pPr>
              <w:pStyle w:val="TableParagraph"/>
              <w:spacing w:before="51"/>
              <w:ind w:right="317"/>
              <w:jc w:val="right"/>
            </w:pPr>
            <w:r>
              <w:t>2,1</w:t>
            </w:r>
            <w:r>
              <w:rPr>
                <w:spacing w:val="-4"/>
              </w:rPr>
              <w:t xml:space="preserve"> </w:t>
            </w:r>
            <w:r>
              <w:t>[0,91;</w:t>
            </w:r>
            <w:r>
              <w:rPr>
                <w:spacing w:val="-3"/>
              </w:rPr>
              <w:t xml:space="preserve"> </w:t>
            </w:r>
            <w:r>
              <w:t>5,2]</w:t>
            </w:r>
          </w:p>
        </w:tc>
        <w:tc>
          <w:tcPr>
            <w:tcW w:w="1915" w:type="dxa"/>
          </w:tcPr>
          <w:p w14:paraId="4A646E9E" w14:textId="77777777" w:rsidR="004C11B6" w:rsidRDefault="00F05A0C" w:rsidP="006015D6">
            <w:pPr>
              <w:pStyle w:val="TableParagraph"/>
              <w:spacing w:before="51"/>
            </w:pPr>
            <w:r>
              <w:t>1,0</w:t>
            </w:r>
            <w:r>
              <w:rPr>
                <w:spacing w:val="-4"/>
              </w:rPr>
              <w:t xml:space="preserve"> </w:t>
            </w:r>
            <w:r>
              <w:t>[0,33;</w:t>
            </w:r>
            <w:r>
              <w:rPr>
                <w:spacing w:val="-3"/>
              </w:rPr>
              <w:t xml:space="preserve"> </w:t>
            </w:r>
            <w:r>
              <w:t>2,9]</w:t>
            </w:r>
          </w:p>
        </w:tc>
      </w:tr>
      <w:tr w:rsidR="004C11B6" w14:paraId="702FBDB7" w14:textId="77777777" w:rsidTr="006015D6">
        <w:trPr>
          <w:trHeight w:val="606"/>
        </w:trPr>
        <w:tc>
          <w:tcPr>
            <w:tcW w:w="2053" w:type="dxa"/>
          </w:tcPr>
          <w:p w14:paraId="0227EDD7" w14:textId="72F3D014" w:rsidR="004C11B6" w:rsidRDefault="00F05A0C" w:rsidP="006015D6">
            <w:pPr>
              <w:pStyle w:val="TableParagraph"/>
              <w:spacing w:before="57" w:line="232" w:lineRule="auto"/>
              <w:ind w:right="470"/>
            </w:pPr>
            <w:r>
              <w:t>10</w:t>
            </w:r>
            <w:r w:rsidR="00CE791B">
              <w:t> </w:t>
            </w:r>
            <w:r>
              <w:t>mg naponta</w:t>
            </w:r>
            <w:r>
              <w:rPr>
                <w:spacing w:val="-52"/>
              </w:rPr>
              <w:t xml:space="preserve"> </w:t>
            </w:r>
            <w:r>
              <w:t>kétszer</w:t>
            </w:r>
          </w:p>
        </w:tc>
        <w:tc>
          <w:tcPr>
            <w:tcW w:w="1915" w:type="dxa"/>
          </w:tcPr>
          <w:p w14:paraId="50DBEF73" w14:textId="77777777" w:rsidR="004C11B6" w:rsidRDefault="00F05A0C" w:rsidP="006015D6">
            <w:pPr>
              <w:pStyle w:val="TableParagraph"/>
              <w:spacing w:before="51"/>
              <w:ind w:right="275"/>
              <w:jc w:val="center"/>
            </w:pPr>
            <w:r>
              <w:t>251</w:t>
            </w:r>
            <w:r>
              <w:rPr>
                <w:spacing w:val="-3"/>
              </w:rPr>
              <w:t xml:space="preserve"> </w:t>
            </w:r>
            <w:r>
              <w:t>[111;</w:t>
            </w:r>
            <w:r>
              <w:rPr>
                <w:spacing w:val="-3"/>
              </w:rPr>
              <w:t xml:space="preserve"> </w:t>
            </w:r>
            <w:r>
              <w:t>572]</w:t>
            </w:r>
          </w:p>
        </w:tc>
        <w:tc>
          <w:tcPr>
            <w:tcW w:w="1915" w:type="dxa"/>
          </w:tcPr>
          <w:p w14:paraId="207DFE46" w14:textId="77777777" w:rsidR="004C11B6" w:rsidRDefault="00F05A0C" w:rsidP="006015D6">
            <w:pPr>
              <w:pStyle w:val="TableParagraph"/>
              <w:spacing w:before="51"/>
            </w:pPr>
            <w:r>
              <w:t>120</w:t>
            </w:r>
            <w:r>
              <w:rPr>
                <w:spacing w:val="-3"/>
              </w:rPr>
              <w:t xml:space="preserve"> </w:t>
            </w:r>
            <w:r>
              <w:t>[41;</w:t>
            </w:r>
            <w:r>
              <w:rPr>
                <w:spacing w:val="-2"/>
              </w:rPr>
              <w:t xml:space="preserve"> </w:t>
            </w:r>
            <w:r>
              <w:t>335]</w:t>
            </w:r>
          </w:p>
        </w:tc>
        <w:tc>
          <w:tcPr>
            <w:tcW w:w="1915" w:type="dxa"/>
          </w:tcPr>
          <w:p w14:paraId="1C9098B3" w14:textId="77777777" w:rsidR="004C11B6" w:rsidRDefault="00F05A0C" w:rsidP="006015D6">
            <w:pPr>
              <w:pStyle w:val="TableParagraph"/>
              <w:spacing w:before="51"/>
              <w:ind w:right="317"/>
              <w:jc w:val="right"/>
            </w:pPr>
            <w:r>
              <w:t>4,2</w:t>
            </w:r>
            <w:r>
              <w:rPr>
                <w:spacing w:val="-4"/>
              </w:rPr>
              <w:t xml:space="preserve"> </w:t>
            </w:r>
            <w:r>
              <w:t>[1,8;</w:t>
            </w:r>
            <w:r>
              <w:rPr>
                <w:spacing w:val="-3"/>
              </w:rPr>
              <w:t xml:space="preserve"> </w:t>
            </w:r>
            <w:r>
              <w:t>10,8]</w:t>
            </w:r>
          </w:p>
        </w:tc>
        <w:tc>
          <w:tcPr>
            <w:tcW w:w="1915" w:type="dxa"/>
          </w:tcPr>
          <w:p w14:paraId="723ED9A0" w14:textId="77777777" w:rsidR="004C11B6" w:rsidRDefault="00F05A0C" w:rsidP="006015D6">
            <w:pPr>
              <w:pStyle w:val="TableParagraph"/>
              <w:spacing w:before="51"/>
            </w:pPr>
            <w:r>
              <w:t>1,9</w:t>
            </w:r>
            <w:r>
              <w:rPr>
                <w:spacing w:val="-4"/>
              </w:rPr>
              <w:t xml:space="preserve"> </w:t>
            </w:r>
            <w:r>
              <w:t>[0,64;</w:t>
            </w:r>
            <w:r>
              <w:rPr>
                <w:spacing w:val="-3"/>
              </w:rPr>
              <w:t xml:space="preserve"> </w:t>
            </w:r>
            <w:r>
              <w:t>5,8]</w:t>
            </w:r>
          </w:p>
        </w:tc>
      </w:tr>
    </w:tbl>
    <w:p w14:paraId="728E1994" w14:textId="77777777" w:rsidR="004C11B6" w:rsidRDefault="00F05A0C" w:rsidP="0068543F">
      <w:pPr>
        <w:pStyle w:val="Listaszerbekezds"/>
        <w:numPr>
          <w:ilvl w:val="0"/>
          <w:numId w:val="61"/>
        </w:numPr>
        <w:spacing w:before="1" w:line="232" w:lineRule="auto"/>
        <w:ind w:left="284" w:right="1083" w:hanging="284"/>
        <w:rPr>
          <w:sz w:val="20"/>
        </w:rPr>
      </w:pPr>
      <w:r>
        <w:rPr>
          <w:sz w:val="20"/>
        </w:rPr>
        <w:t>Az ARISTOTLE vizsgálatban részt vett, 2 vagy 3 dóziscsökkentési kritériumnak megfelelt és ez alapján</w:t>
      </w:r>
      <w:r w:rsidRPr="00363C37">
        <w:rPr>
          <w:sz w:val="20"/>
        </w:rPr>
        <w:t xml:space="preserve"> </w:t>
      </w:r>
      <w:r>
        <w:rPr>
          <w:sz w:val="20"/>
        </w:rPr>
        <w:t>dózismódosításban</w:t>
      </w:r>
      <w:r>
        <w:rPr>
          <w:spacing w:val="-1"/>
          <w:sz w:val="20"/>
        </w:rPr>
        <w:t xml:space="preserve"> </w:t>
      </w:r>
      <w:r>
        <w:rPr>
          <w:sz w:val="20"/>
        </w:rPr>
        <w:t>részesült betegek.</w:t>
      </w:r>
    </w:p>
    <w:p w14:paraId="50782598" w14:textId="77777777" w:rsidR="004C11B6" w:rsidRDefault="004C11B6">
      <w:pPr>
        <w:pStyle w:val="Szvegtrzs"/>
        <w:spacing w:before="2"/>
        <w:rPr>
          <w:sz w:val="21"/>
        </w:rPr>
      </w:pPr>
    </w:p>
    <w:p w14:paraId="2C47288A" w14:textId="77777777" w:rsidR="004C11B6" w:rsidRDefault="00F05A0C" w:rsidP="0068543F">
      <w:pPr>
        <w:pStyle w:val="Szvegtrzs"/>
        <w:spacing w:line="230" w:lineRule="auto"/>
        <w:ind w:right="2"/>
      </w:pPr>
      <w:r>
        <w:t>Bár az apixabán-kezelés során nem szükséges az expozíció rutinszerű monitorozása, egy kalibrált,</w:t>
      </w:r>
      <w:r>
        <w:rPr>
          <w:spacing w:val="1"/>
        </w:rPr>
        <w:t xml:space="preserve"> </w:t>
      </w:r>
      <w:r>
        <w:t>mennyiségi meghatározásra alkalmas anti-Xa faktor teszt hasznos lehet olyan kivételes helyzetekben,</w:t>
      </w:r>
      <w:r>
        <w:rPr>
          <w:spacing w:val="-52"/>
        </w:rPr>
        <w:t xml:space="preserve"> </w:t>
      </w:r>
      <w:r>
        <w:rPr>
          <w:spacing w:val="-3"/>
        </w:rPr>
        <w:t xml:space="preserve">amikor az apixabán-expozíció </w:t>
      </w:r>
      <w:r>
        <w:rPr>
          <w:spacing w:val="-2"/>
        </w:rPr>
        <w:t>ismerete segítségül szolgálhat a klinikai döntéshozatal során, például</w:t>
      </w:r>
      <w:r>
        <w:rPr>
          <w:spacing w:val="-1"/>
        </w:rPr>
        <w:t xml:space="preserve"> </w:t>
      </w:r>
      <w:r>
        <w:t>túladagoláskor</w:t>
      </w:r>
      <w:r>
        <w:rPr>
          <w:spacing w:val="-15"/>
        </w:rPr>
        <w:t xml:space="preserve"> </w:t>
      </w:r>
      <w:r>
        <w:t>és</w:t>
      </w:r>
      <w:r>
        <w:rPr>
          <w:spacing w:val="-14"/>
        </w:rPr>
        <w:t xml:space="preserve"> </w:t>
      </w:r>
      <w:r>
        <w:t>sürgős</w:t>
      </w:r>
      <w:r>
        <w:rPr>
          <w:spacing w:val="-15"/>
        </w:rPr>
        <w:t xml:space="preserve"> </w:t>
      </w:r>
      <w:r>
        <w:t>műtét</w:t>
      </w:r>
      <w:r>
        <w:rPr>
          <w:spacing w:val="-14"/>
        </w:rPr>
        <w:t xml:space="preserve"> </w:t>
      </w:r>
      <w:r>
        <w:t>esetén.</w:t>
      </w:r>
    </w:p>
    <w:p w14:paraId="40EAF453" w14:textId="77777777" w:rsidR="004C11B6" w:rsidRDefault="004C11B6" w:rsidP="0068543F">
      <w:pPr>
        <w:pStyle w:val="Szvegtrzs"/>
        <w:spacing w:before="10"/>
        <w:ind w:right="2"/>
        <w:rPr>
          <w:sz w:val="20"/>
        </w:rPr>
      </w:pPr>
    </w:p>
    <w:p w14:paraId="10ABE4DA" w14:textId="77777777" w:rsidR="004C11B6" w:rsidRDefault="00F05A0C" w:rsidP="0068543F">
      <w:pPr>
        <w:pStyle w:val="Szvegtrzs"/>
        <w:ind w:right="2"/>
      </w:pPr>
      <w:r>
        <w:rPr>
          <w:u w:val="single"/>
        </w:rPr>
        <w:t>Klinikai</w:t>
      </w:r>
      <w:r>
        <w:rPr>
          <w:spacing w:val="-6"/>
          <w:u w:val="single"/>
        </w:rPr>
        <w:t xml:space="preserve"> </w:t>
      </w:r>
      <w:r>
        <w:rPr>
          <w:u w:val="single"/>
        </w:rPr>
        <w:t>hatásosság</w:t>
      </w:r>
      <w:r>
        <w:rPr>
          <w:spacing w:val="-5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u w:val="single"/>
        </w:rPr>
        <w:t>biztonságosság</w:t>
      </w:r>
    </w:p>
    <w:p w14:paraId="2D774AB9" w14:textId="77777777" w:rsidR="004C11B6" w:rsidRDefault="004C11B6" w:rsidP="0068543F">
      <w:pPr>
        <w:pStyle w:val="Szvegtrzs"/>
        <w:spacing w:before="1"/>
        <w:ind w:right="2"/>
        <w:rPr>
          <w:sz w:val="21"/>
        </w:rPr>
      </w:pPr>
    </w:p>
    <w:p w14:paraId="547A78A4" w14:textId="0B09156D" w:rsidR="004C11B6" w:rsidRDefault="00F05A0C" w:rsidP="0068543F">
      <w:pPr>
        <w:spacing w:line="230" w:lineRule="auto"/>
        <w:ind w:right="2"/>
        <w:rPr>
          <w:i/>
        </w:rPr>
      </w:pPr>
      <w:r>
        <w:rPr>
          <w:i/>
          <w:u w:val="single"/>
        </w:rPr>
        <w:t xml:space="preserve">A stroke és a szisztémás embolizáció megelőzése nem </w:t>
      </w:r>
      <w:r w:rsidR="00E0063B" w:rsidRPr="00363C37">
        <w:rPr>
          <w:i/>
          <w:iCs/>
        </w:rPr>
        <w:t>valvuláris</w:t>
      </w:r>
      <w:r>
        <w:rPr>
          <w:i/>
          <w:u w:val="single"/>
        </w:rPr>
        <w:t xml:space="preserve"> pitvarfibrillációban (NVPF)</w:t>
      </w:r>
      <w:r>
        <w:rPr>
          <w:i/>
          <w:spacing w:val="-52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betegeknél</w:t>
      </w:r>
    </w:p>
    <w:p w14:paraId="797318D2" w14:textId="7687B529" w:rsidR="004C11B6" w:rsidRDefault="00F05A0C" w:rsidP="0068543F">
      <w:pPr>
        <w:pStyle w:val="Szvegtrzs"/>
        <w:spacing w:before="1" w:line="230" w:lineRule="auto"/>
        <w:ind w:right="2"/>
      </w:pPr>
      <w:r>
        <w:t>Összesen</w:t>
      </w:r>
      <w:r>
        <w:rPr>
          <w:spacing w:val="4"/>
        </w:rPr>
        <w:t xml:space="preserve"> </w:t>
      </w:r>
      <w:r>
        <w:t>23</w:t>
      </w:r>
      <w:r>
        <w:rPr>
          <w:spacing w:val="3"/>
        </w:rPr>
        <w:t xml:space="preserve"> </w:t>
      </w:r>
      <w:r>
        <w:t>799</w:t>
      </w:r>
      <w:r>
        <w:rPr>
          <w:spacing w:val="5"/>
        </w:rPr>
        <w:t xml:space="preserve"> </w:t>
      </w:r>
      <w:r>
        <w:t>beteget</w:t>
      </w:r>
      <w:r>
        <w:rPr>
          <w:spacing w:val="4"/>
        </w:rPr>
        <w:t xml:space="preserve"> </w:t>
      </w:r>
      <w:r>
        <w:t>randomizáltak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klinikai</w:t>
      </w:r>
      <w:r>
        <w:rPr>
          <w:spacing w:val="4"/>
        </w:rPr>
        <w:t xml:space="preserve"> </w:t>
      </w:r>
      <w:r>
        <w:t>programba</w:t>
      </w:r>
      <w:r>
        <w:rPr>
          <w:spacing w:val="4"/>
        </w:rPr>
        <w:t xml:space="preserve"> </w:t>
      </w:r>
      <w:r>
        <w:t>(ARISTOTLE:</w:t>
      </w:r>
      <w:r>
        <w:rPr>
          <w:spacing w:val="4"/>
        </w:rPr>
        <w:t xml:space="preserve"> </w:t>
      </w:r>
      <w:r>
        <w:t>apixabán</w:t>
      </w:r>
      <w:r>
        <w:rPr>
          <w:spacing w:val="4"/>
        </w:rPr>
        <w:t xml:space="preserve"> </w:t>
      </w:r>
      <w:r w:rsidRPr="00F162CB">
        <w:rPr>
          <w:i/>
        </w:rPr>
        <w:t>versus</w:t>
      </w:r>
      <w:r w:rsidRPr="00F162CB">
        <w:rPr>
          <w:i/>
          <w:spacing w:val="1"/>
        </w:rPr>
        <w:t xml:space="preserve"> </w:t>
      </w:r>
      <w:r>
        <w:t xml:space="preserve">warfarin, AVERROES: apixabán </w:t>
      </w:r>
      <w:r w:rsidRPr="00F162CB">
        <w:rPr>
          <w:i/>
        </w:rPr>
        <w:t>versus</w:t>
      </w:r>
      <w:r>
        <w:t xml:space="preserve"> ASA), közülük 11 927 beteget randomizáltak apixabánra. A</w:t>
      </w:r>
      <w:r>
        <w:rPr>
          <w:spacing w:val="1"/>
        </w:rPr>
        <w:t xml:space="preserve"> </w:t>
      </w:r>
      <w:r>
        <w:t>programot úgy tervezték, hogy igazolja az apixabán hatásosságát és biztonságosságát a stroke és a</w:t>
      </w:r>
      <w:r>
        <w:rPr>
          <w:spacing w:val="1"/>
        </w:rPr>
        <w:t xml:space="preserve"> </w:t>
      </w:r>
      <w:r>
        <w:t xml:space="preserve">szisztémás embolizáció prevenciója esetén a nem </w:t>
      </w:r>
      <w:r w:rsidR="00E0063B" w:rsidRPr="00A27CEC">
        <w:t>valvuláris</w:t>
      </w:r>
      <w:r w:rsidR="00E0063B">
        <w:t xml:space="preserve"> </w:t>
      </w:r>
      <w:r>
        <w:t>pitvarfibrillációban szenvedő olyan</w:t>
      </w:r>
      <w:r>
        <w:rPr>
          <w:spacing w:val="-52"/>
        </w:rPr>
        <w:t xml:space="preserve"> </w:t>
      </w:r>
      <w:r>
        <w:t>betegeknél,</w:t>
      </w:r>
      <w:r>
        <w:rPr>
          <w:spacing w:val="-2"/>
        </w:rPr>
        <w:t xml:space="preserve"> </w:t>
      </w:r>
      <w:r>
        <w:t>akiknek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több</w:t>
      </w:r>
      <w:r>
        <w:rPr>
          <w:spacing w:val="-2"/>
        </w:rPr>
        <w:t xml:space="preserve"> </w:t>
      </w:r>
      <w:r>
        <w:t>további</w:t>
      </w:r>
      <w:r>
        <w:rPr>
          <w:spacing w:val="-2"/>
        </w:rPr>
        <w:t xml:space="preserve"> </w:t>
      </w:r>
      <w:r>
        <w:t>kockázati</w:t>
      </w:r>
      <w:r>
        <w:rPr>
          <w:spacing w:val="-2"/>
        </w:rPr>
        <w:t xml:space="preserve"> </w:t>
      </w:r>
      <w:r>
        <w:t>tényezőjük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van,</w:t>
      </w:r>
      <w:r>
        <w:rPr>
          <w:spacing w:val="-2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például:</w:t>
      </w:r>
    </w:p>
    <w:p w14:paraId="4F8C2A0C" w14:textId="7C69D5CF" w:rsidR="004C11B6" w:rsidRDefault="00F05A0C" w:rsidP="0068543F">
      <w:pPr>
        <w:pStyle w:val="Listaszerbekezds"/>
        <w:numPr>
          <w:ilvl w:val="0"/>
          <w:numId w:val="62"/>
        </w:numPr>
        <w:spacing w:before="5" w:line="269" w:lineRule="exact"/>
        <w:ind w:left="567" w:right="2" w:hanging="567"/>
        <w:rPr>
          <w:rFonts w:ascii="Symbol" w:hAnsi="Symbol"/>
        </w:rPr>
      </w:pPr>
      <w:r>
        <w:t>korábbi</w:t>
      </w:r>
      <w:r>
        <w:rPr>
          <w:spacing w:val="-5"/>
        </w:rPr>
        <w:t xml:space="preserve"> </w:t>
      </w:r>
      <w:r>
        <w:t>stroke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 w:rsidR="00F162CB">
        <w:t>tranz</w:t>
      </w:r>
      <w:r>
        <w:t>iens</w:t>
      </w:r>
      <w:r>
        <w:rPr>
          <w:spacing w:val="-4"/>
        </w:rPr>
        <w:t xml:space="preserve"> </w:t>
      </w:r>
      <w:r>
        <w:t>ischaemiás</w:t>
      </w:r>
      <w:r>
        <w:rPr>
          <w:spacing w:val="-5"/>
        </w:rPr>
        <w:t xml:space="preserve"> </w:t>
      </w:r>
      <w:r>
        <w:t>attack</w:t>
      </w:r>
      <w:r>
        <w:rPr>
          <w:spacing w:val="-4"/>
        </w:rPr>
        <w:t xml:space="preserve"> </w:t>
      </w:r>
      <w:r>
        <w:t>(TIA),</w:t>
      </w:r>
    </w:p>
    <w:p w14:paraId="4F35EEA4" w14:textId="77777777" w:rsidR="004C11B6" w:rsidRDefault="00F05A0C" w:rsidP="0068543F">
      <w:pPr>
        <w:pStyle w:val="Listaszerbekezds"/>
        <w:numPr>
          <w:ilvl w:val="0"/>
          <w:numId w:val="62"/>
        </w:numPr>
        <w:spacing w:line="269" w:lineRule="exact"/>
        <w:ind w:left="567" w:right="2" w:hanging="567"/>
        <w:rPr>
          <w:rFonts w:ascii="Symbol" w:hAnsi="Symbol"/>
        </w:rPr>
      </w:pPr>
      <w:r>
        <w:t>életkor</w:t>
      </w:r>
      <w:r>
        <w:rPr>
          <w:spacing w:val="-3"/>
        </w:rPr>
        <w:t xml:space="preserve"> </w:t>
      </w:r>
      <w:r>
        <w:t>≥</w:t>
      </w:r>
      <w:r>
        <w:rPr>
          <w:spacing w:val="-2"/>
        </w:rPr>
        <w:t xml:space="preserve"> </w:t>
      </w:r>
      <w:r>
        <w:t>75</w:t>
      </w:r>
      <w:r>
        <w:rPr>
          <w:spacing w:val="-1"/>
        </w:rPr>
        <w:t xml:space="preserve"> </w:t>
      </w:r>
      <w:r>
        <w:t>év,</w:t>
      </w:r>
    </w:p>
    <w:p w14:paraId="6310F313" w14:textId="77777777" w:rsidR="004C11B6" w:rsidRDefault="00F05A0C" w:rsidP="0068543F">
      <w:pPr>
        <w:pStyle w:val="Listaszerbekezds"/>
        <w:numPr>
          <w:ilvl w:val="0"/>
          <w:numId w:val="62"/>
        </w:numPr>
        <w:spacing w:line="269" w:lineRule="exact"/>
        <w:ind w:left="567" w:right="2" w:hanging="567"/>
        <w:rPr>
          <w:rFonts w:ascii="Symbol" w:hAnsi="Symbol"/>
        </w:rPr>
      </w:pPr>
      <w:r>
        <w:t>hypertonia,</w:t>
      </w:r>
    </w:p>
    <w:p w14:paraId="1C4A1684" w14:textId="77777777" w:rsidR="004C11B6" w:rsidRDefault="00F05A0C" w:rsidP="0068543F">
      <w:pPr>
        <w:pStyle w:val="Listaszerbekezds"/>
        <w:numPr>
          <w:ilvl w:val="0"/>
          <w:numId w:val="62"/>
        </w:numPr>
        <w:spacing w:line="269" w:lineRule="exact"/>
        <w:ind w:left="567" w:right="2" w:hanging="567"/>
        <w:rPr>
          <w:rFonts w:ascii="Symbol" w:hAnsi="Symbol"/>
        </w:rPr>
      </w:pPr>
      <w:r>
        <w:t>diabetes</w:t>
      </w:r>
      <w:r>
        <w:rPr>
          <w:spacing w:val="-6"/>
        </w:rPr>
        <w:t xml:space="preserve"> </w:t>
      </w:r>
      <w:r>
        <w:t>mellitus,</w:t>
      </w:r>
    </w:p>
    <w:p w14:paraId="614E8E08" w14:textId="77777777" w:rsidR="004C11B6" w:rsidRDefault="00F05A0C" w:rsidP="0068543F">
      <w:pPr>
        <w:pStyle w:val="Listaszerbekezds"/>
        <w:numPr>
          <w:ilvl w:val="0"/>
          <w:numId w:val="62"/>
        </w:numPr>
        <w:spacing w:line="269" w:lineRule="exact"/>
        <w:ind w:left="567" w:right="2" w:hanging="567"/>
        <w:rPr>
          <w:rFonts w:ascii="Symbol" w:hAnsi="Symbol"/>
        </w:rPr>
      </w:pPr>
      <w:r>
        <w:t>tünetekkel</w:t>
      </w:r>
      <w:r>
        <w:rPr>
          <w:spacing w:val="-5"/>
        </w:rPr>
        <w:t xml:space="preserve"> </w:t>
      </w:r>
      <w:r>
        <w:t>járó</w:t>
      </w:r>
      <w:r>
        <w:rPr>
          <w:spacing w:val="-4"/>
        </w:rPr>
        <w:t xml:space="preserve"> </w:t>
      </w:r>
      <w:r>
        <w:t>szívelégtelenség</w:t>
      </w:r>
      <w:r>
        <w:rPr>
          <w:spacing w:val="-5"/>
        </w:rPr>
        <w:t xml:space="preserve"> </w:t>
      </w:r>
      <w:r>
        <w:t>(NYHA</w:t>
      </w:r>
      <w:r>
        <w:rPr>
          <w:spacing w:val="-4"/>
        </w:rPr>
        <w:t xml:space="preserve"> </w:t>
      </w:r>
      <w:r>
        <w:t>stádium</w:t>
      </w:r>
      <w:r>
        <w:rPr>
          <w:spacing w:val="-4"/>
        </w:rPr>
        <w:t xml:space="preserve"> </w:t>
      </w:r>
      <w:r>
        <w:t>≥</w:t>
      </w:r>
      <w:r>
        <w:rPr>
          <w:spacing w:val="-6"/>
        </w:rPr>
        <w:t xml:space="preserve"> </w:t>
      </w:r>
      <w:r>
        <w:t>II).</w:t>
      </w:r>
    </w:p>
    <w:p w14:paraId="1DABBF12" w14:textId="77777777" w:rsidR="004C11B6" w:rsidRDefault="00F05A0C" w:rsidP="0068543F">
      <w:pPr>
        <w:spacing w:before="234"/>
        <w:ind w:right="2"/>
        <w:rPr>
          <w:i/>
        </w:rPr>
      </w:pPr>
      <w:r>
        <w:rPr>
          <w:i/>
          <w:u w:val="single"/>
        </w:rPr>
        <w:t>ARISTOTLE-vizsgálat</w:t>
      </w:r>
    </w:p>
    <w:p w14:paraId="60CDDA2C" w14:textId="12C29A6B" w:rsidR="004C11B6" w:rsidRDefault="00F05A0C" w:rsidP="009E0A5A">
      <w:pPr>
        <w:pStyle w:val="Szvegtrzs"/>
        <w:spacing w:before="3" w:line="244" w:lineRule="auto"/>
        <w:ind w:right="2"/>
      </w:pPr>
      <w:r>
        <w:t>Az ARISTOTLE-vizsgálatban összesen 18 201 beteget randomizáltak naponta kétszer 5</w:t>
      </w:r>
      <w:r w:rsidR="00CE791B">
        <w:t> </w:t>
      </w:r>
      <w:r>
        <w:t>mg (vagy</w:t>
      </w:r>
      <w:r>
        <w:rPr>
          <w:spacing w:val="1"/>
        </w:rPr>
        <w:t xml:space="preserve"> </w:t>
      </w:r>
      <w:r>
        <w:t>kiválasztott betegeknél naponta kétszer 2,5</w:t>
      </w:r>
      <w:r w:rsidR="00A2194D">
        <w:t> </w:t>
      </w:r>
      <w:r>
        <w:t>mg [4,7%], lásd 4.2 pont) apixabánnal vagy warfarinnal</w:t>
      </w:r>
      <w:r>
        <w:rPr>
          <w:spacing w:val="-52"/>
        </w:rPr>
        <w:t xml:space="preserve"> </w:t>
      </w:r>
      <w:r>
        <w:t>(cél INR-tartomány 2,0</w:t>
      </w:r>
      <w:r w:rsidR="00A2194D">
        <w:t>–</w:t>
      </w:r>
      <w:r>
        <w:t>3,0) végzett kettős</w:t>
      </w:r>
      <w:r w:rsidR="00CB37A7">
        <w:t xml:space="preserve"> </w:t>
      </w:r>
      <w:r>
        <w:t>vak kezelésre, és a betegek a vizsgált hatóanyagot</w:t>
      </w:r>
      <w:r>
        <w:rPr>
          <w:spacing w:val="1"/>
        </w:rPr>
        <w:t xml:space="preserve"> </w:t>
      </w:r>
      <w:r>
        <w:rPr>
          <w:position w:val="2"/>
        </w:rPr>
        <w:t>átlagosan 20 hónapig kapták. Az átlagéletkor 69,1 év, az átlagos CHADS</w:t>
      </w:r>
      <w:r>
        <w:rPr>
          <w:sz w:val="14"/>
        </w:rPr>
        <w:t xml:space="preserve">2 </w:t>
      </w:r>
      <w:r>
        <w:rPr>
          <w:position w:val="2"/>
        </w:rPr>
        <w:t>pontszám 2,1 volt, és a</w:t>
      </w:r>
      <w:r>
        <w:rPr>
          <w:spacing w:val="1"/>
          <w:position w:val="2"/>
        </w:rPr>
        <w:t xml:space="preserve"> </w:t>
      </w:r>
      <w:r>
        <w:t>betegek</w:t>
      </w:r>
      <w:r>
        <w:rPr>
          <w:spacing w:val="-2"/>
        </w:rPr>
        <w:t xml:space="preserve"> </w:t>
      </w:r>
      <w:r>
        <w:t>18,9%-ának</w:t>
      </w:r>
      <w:r>
        <w:rPr>
          <w:spacing w:val="-1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korábban</w:t>
      </w:r>
      <w:r>
        <w:rPr>
          <w:spacing w:val="-1"/>
        </w:rPr>
        <w:t xml:space="preserve"> </w:t>
      </w:r>
      <w:r>
        <w:t>stroke-ja</w:t>
      </w:r>
      <w:r>
        <w:rPr>
          <w:spacing w:val="-1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TIA-ja.</w:t>
      </w:r>
    </w:p>
    <w:p w14:paraId="5437B282" w14:textId="77777777" w:rsidR="004C11B6" w:rsidRDefault="004C11B6" w:rsidP="009E0A5A">
      <w:pPr>
        <w:pStyle w:val="Szvegtrzs"/>
        <w:spacing w:before="1"/>
        <w:ind w:right="2"/>
        <w:rPr>
          <w:sz w:val="21"/>
        </w:rPr>
      </w:pPr>
    </w:p>
    <w:p w14:paraId="50CD071C" w14:textId="0BF40517" w:rsidR="004C11B6" w:rsidRDefault="00F05A0C" w:rsidP="009E0A5A">
      <w:pPr>
        <w:pStyle w:val="Szvegtrzs"/>
        <w:spacing w:line="232" w:lineRule="auto"/>
        <w:ind w:right="2"/>
      </w:pPr>
      <w:r>
        <w:t>A vizsgálatban az apixabán a warfarinhoz képest statisztikailag szignifikánsan jobb volt a stroke</w:t>
      </w:r>
      <w:r>
        <w:rPr>
          <w:spacing w:val="1"/>
        </w:rPr>
        <w:t xml:space="preserve"> </w:t>
      </w:r>
      <w:r>
        <w:t>prevenció</w:t>
      </w:r>
      <w:r>
        <w:rPr>
          <w:spacing w:val="-6"/>
        </w:rPr>
        <w:t xml:space="preserve"> </w:t>
      </w:r>
      <w:r>
        <w:t>(haemorrhagiás</w:t>
      </w:r>
      <w:r>
        <w:rPr>
          <w:spacing w:val="-6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ischaemiás)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szisztémás</w:t>
      </w:r>
      <w:r>
        <w:rPr>
          <w:spacing w:val="-6"/>
        </w:rPr>
        <w:t xml:space="preserve"> </w:t>
      </w:r>
      <w:r>
        <w:t>embolizáció</w:t>
      </w:r>
      <w:r>
        <w:rPr>
          <w:spacing w:val="-6"/>
        </w:rPr>
        <w:t xml:space="preserve"> </w:t>
      </w:r>
      <w:r>
        <w:t>elsődleges</w:t>
      </w:r>
      <w:r>
        <w:rPr>
          <w:spacing w:val="-5"/>
        </w:rPr>
        <w:t xml:space="preserve"> </w:t>
      </w:r>
      <w:r>
        <w:t>végpontban</w:t>
      </w:r>
      <w:r>
        <w:rPr>
          <w:spacing w:val="-6"/>
        </w:rPr>
        <w:t xml:space="preserve"> </w:t>
      </w:r>
      <w:r>
        <w:t>(lásd</w:t>
      </w:r>
      <w:r w:rsidR="009E0A5A">
        <w:t xml:space="preserve"> 4. </w:t>
      </w:r>
      <w:r>
        <w:t>táblázat).</w:t>
      </w:r>
    </w:p>
    <w:p w14:paraId="3D9B5ECD" w14:textId="77777777" w:rsidR="009E0A5A" w:rsidRDefault="009E0A5A" w:rsidP="009E0A5A">
      <w:pPr>
        <w:pStyle w:val="Listaszerbekezds"/>
        <w:spacing w:line="243" w:lineRule="exact"/>
        <w:ind w:left="142" w:right="2" w:firstLine="0"/>
      </w:pPr>
    </w:p>
    <w:p w14:paraId="03B2B728" w14:textId="31C94EEE" w:rsidR="004C11B6" w:rsidRDefault="00F05A0C" w:rsidP="009E0A5A">
      <w:pPr>
        <w:pStyle w:val="Cmsor2"/>
        <w:numPr>
          <w:ilvl w:val="0"/>
          <w:numId w:val="49"/>
        </w:numPr>
        <w:ind w:left="284" w:hanging="284"/>
      </w:pPr>
      <w:r>
        <w:t>táblázat:</w:t>
      </w:r>
      <w:r>
        <w:rPr>
          <w:spacing w:val="-7"/>
        </w:rPr>
        <w:t xml:space="preserve"> </w:t>
      </w:r>
      <w:r>
        <w:t>Hatásossági</w:t>
      </w:r>
      <w:r>
        <w:rPr>
          <w:spacing w:val="-7"/>
        </w:rPr>
        <w:t xml:space="preserve"> </w:t>
      </w:r>
      <w:r>
        <w:t>végpontok</w:t>
      </w:r>
      <w:r>
        <w:rPr>
          <w:spacing w:val="-6"/>
        </w:rPr>
        <w:t xml:space="preserve"> </w:t>
      </w:r>
      <w:r>
        <w:t>pitvarfibrilláló</w:t>
      </w:r>
      <w:r>
        <w:rPr>
          <w:spacing w:val="-7"/>
        </w:rPr>
        <w:t xml:space="preserve"> </w:t>
      </w:r>
      <w:r>
        <w:t>betegeknél</w:t>
      </w:r>
      <w:r>
        <w:rPr>
          <w:spacing w:val="-7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ARISTOTLE-vizsgálatban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8"/>
        <w:gridCol w:w="1136"/>
        <w:gridCol w:w="1134"/>
        <w:gridCol w:w="1691"/>
        <w:gridCol w:w="901"/>
      </w:tblGrid>
      <w:tr w:rsidR="004C11B6" w14:paraId="69ABC04D" w14:textId="77777777" w:rsidTr="009E0A5A">
        <w:trPr>
          <w:trHeight w:val="731"/>
        </w:trPr>
        <w:tc>
          <w:tcPr>
            <w:tcW w:w="3988" w:type="dxa"/>
          </w:tcPr>
          <w:p w14:paraId="7A2936E5" w14:textId="77777777" w:rsidR="004C11B6" w:rsidRDefault="004C11B6" w:rsidP="009E0A5A">
            <w:pPr>
              <w:pStyle w:val="TableParagraph"/>
            </w:pPr>
          </w:p>
        </w:tc>
        <w:tc>
          <w:tcPr>
            <w:tcW w:w="1136" w:type="dxa"/>
          </w:tcPr>
          <w:p w14:paraId="1A2BE654" w14:textId="77777777" w:rsidR="004C11B6" w:rsidRDefault="00F05A0C" w:rsidP="009E0A5A">
            <w:pPr>
              <w:pStyle w:val="TableParagraph"/>
              <w:spacing w:line="230" w:lineRule="auto"/>
              <w:ind w:right="79"/>
              <w:rPr>
                <w:b/>
              </w:rPr>
            </w:pPr>
            <w:r>
              <w:rPr>
                <w:b/>
              </w:rPr>
              <w:t>Apixabán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9120</w:t>
            </w:r>
          </w:p>
          <w:p w14:paraId="212FF72A" w14:textId="77777777" w:rsidR="004C11B6" w:rsidRDefault="00F05A0C" w:rsidP="009E0A5A">
            <w:pPr>
              <w:pStyle w:val="TableParagraph"/>
              <w:spacing w:line="226" w:lineRule="exact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134" w:type="dxa"/>
          </w:tcPr>
          <w:p w14:paraId="4829C725" w14:textId="77777777" w:rsidR="004C11B6" w:rsidRDefault="00F05A0C" w:rsidP="009E0A5A">
            <w:pPr>
              <w:pStyle w:val="TableParagraph"/>
              <w:spacing w:line="230" w:lineRule="auto"/>
              <w:ind w:right="96"/>
              <w:rPr>
                <w:b/>
              </w:rPr>
            </w:pPr>
            <w:r>
              <w:rPr>
                <w:b/>
              </w:rPr>
              <w:t>Warfarin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9081</w:t>
            </w:r>
          </w:p>
          <w:p w14:paraId="05C9BBD3" w14:textId="77777777" w:rsidR="004C11B6" w:rsidRDefault="00F05A0C" w:rsidP="009E0A5A">
            <w:pPr>
              <w:pStyle w:val="TableParagraph"/>
              <w:spacing w:line="226" w:lineRule="exact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691" w:type="dxa"/>
          </w:tcPr>
          <w:p w14:paraId="273737EA" w14:textId="77777777" w:rsidR="004C11B6" w:rsidRDefault="00F05A0C" w:rsidP="009E0A5A">
            <w:pPr>
              <w:pStyle w:val="TableParagraph"/>
              <w:spacing w:line="230" w:lineRule="auto"/>
              <w:ind w:right="141"/>
              <w:rPr>
                <w:b/>
              </w:rPr>
            </w:pPr>
            <w:r>
              <w:rPr>
                <w:b/>
              </w:rPr>
              <w:t>Relatív hazárd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CI)</w:t>
            </w:r>
          </w:p>
        </w:tc>
        <w:tc>
          <w:tcPr>
            <w:tcW w:w="901" w:type="dxa"/>
          </w:tcPr>
          <w:p w14:paraId="0C68D092" w14:textId="77777777" w:rsidR="004C11B6" w:rsidRDefault="004C11B6" w:rsidP="009E0A5A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C162C3C" w14:textId="77777777" w:rsidR="004C11B6" w:rsidRDefault="00F05A0C" w:rsidP="009E0A5A">
            <w:pPr>
              <w:pStyle w:val="TableParagraph"/>
              <w:rPr>
                <w:b/>
              </w:rPr>
            </w:pPr>
            <w:r>
              <w:rPr>
                <w:b/>
              </w:rPr>
              <w:t>p-érték</w:t>
            </w:r>
          </w:p>
        </w:tc>
      </w:tr>
      <w:tr w:rsidR="004C11B6" w14:paraId="69A0CB84" w14:textId="77777777" w:rsidTr="009E0A5A">
        <w:trPr>
          <w:trHeight w:val="242"/>
        </w:trPr>
        <w:tc>
          <w:tcPr>
            <w:tcW w:w="3988" w:type="dxa"/>
          </w:tcPr>
          <w:p w14:paraId="7CFD4740" w14:textId="77777777" w:rsidR="004C11B6" w:rsidRDefault="00F05A0C" w:rsidP="009E0A5A">
            <w:pPr>
              <w:pStyle w:val="TableParagraph"/>
              <w:spacing w:line="222" w:lineRule="exact"/>
            </w:pPr>
            <w:r>
              <w:t>Stroke</w:t>
            </w:r>
            <w:r>
              <w:rPr>
                <w:spacing w:val="-5"/>
              </w:rPr>
              <w:t xml:space="preserve"> </w:t>
            </w:r>
            <w:r>
              <w:t>vagy</w:t>
            </w:r>
            <w:r>
              <w:rPr>
                <w:spacing w:val="-4"/>
              </w:rPr>
              <w:t xml:space="preserve"> </w:t>
            </w:r>
            <w:r>
              <w:t>szisztémás</w:t>
            </w:r>
            <w:r>
              <w:rPr>
                <w:spacing w:val="-5"/>
              </w:rPr>
              <w:t xml:space="preserve"> </w:t>
            </w:r>
            <w:r>
              <w:t>embolizáció</w:t>
            </w:r>
          </w:p>
        </w:tc>
        <w:tc>
          <w:tcPr>
            <w:tcW w:w="1136" w:type="dxa"/>
          </w:tcPr>
          <w:p w14:paraId="1BA35711" w14:textId="77777777" w:rsidR="004C11B6" w:rsidRDefault="00F05A0C" w:rsidP="009E0A5A">
            <w:pPr>
              <w:pStyle w:val="TableParagraph"/>
              <w:spacing w:line="222" w:lineRule="exact"/>
              <w:ind w:right="81"/>
              <w:jc w:val="center"/>
            </w:pPr>
            <w:r>
              <w:t>212</w:t>
            </w:r>
            <w:r>
              <w:rPr>
                <w:spacing w:val="-4"/>
              </w:rPr>
              <w:t xml:space="preserve"> </w:t>
            </w:r>
            <w:r>
              <w:t>(1,27)</w:t>
            </w:r>
          </w:p>
        </w:tc>
        <w:tc>
          <w:tcPr>
            <w:tcW w:w="1134" w:type="dxa"/>
          </w:tcPr>
          <w:p w14:paraId="644FE18B" w14:textId="77777777" w:rsidR="004C11B6" w:rsidRDefault="00F05A0C" w:rsidP="009E0A5A">
            <w:pPr>
              <w:pStyle w:val="TableParagraph"/>
              <w:spacing w:line="222" w:lineRule="exact"/>
            </w:pPr>
            <w:r>
              <w:t>265</w:t>
            </w:r>
            <w:r>
              <w:rPr>
                <w:spacing w:val="-4"/>
              </w:rPr>
              <w:t xml:space="preserve"> </w:t>
            </w:r>
            <w:r>
              <w:t>(1,60)</w:t>
            </w:r>
          </w:p>
        </w:tc>
        <w:tc>
          <w:tcPr>
            <w:tcW w:w="1691" w:type="dxa"/>
          </w:tcPr>
          <w:p w14:paraId="678C7E71" w14:textId="77777777" w:rsidR="004C11B6" w:rsidRDefault="00F05A0C" w:rsidP="009E0A5A">
            <w:pPr>
              <w:pStyle w:val="TableParagraph"/>
              <w:spacing w:line="222" w:lineRule="exact"/>
              <w:ind w:right="83"/>
              <w:jc w:val="center"/>
            </w:pPr>
            <w:r>
              <w:t>0,79</w:t>
            </w:r>
            <w:r>
              <w:rPr>
                <w:spacing w:val="-4"/>
              </w:rPr>
              <w:t xml:space="preserve"> </w:t>
            </w:r>
            <w:r>
              <w:t>(0,66;</w:t>
            </w:r>
            <w:r>
              <w:rPr>
                <w:spacing w:val="-3"/>
              </w:rPr>
              <w:t xml:space="preserve"> </w:t>
            </w:r>
            <w:r>
              <w:t>0,95)</w:t>
            </w:r>
          </w:p>
        </w:tc>
        <w:tc>
          <w:tcPr>
            <w:tcW w:w="901" w:type="dxa"/>
          </w:tcPr>
          <w:p w14:paraId="13DB92F0" w14:textId="77777777" w:rsidR="004C11B6" w:rsidRDefault="00F05A0C" w:rsidP="009E0A5A">
            <w:pPr>
              <w:pStyle w:val="TableParagraph"/>
              <w:spacing w:line="222" w:lineRule="exact"/>
            </w:pPr>
            <w:r>
              <w:t>0,0114</w:t>
            </w:r>
          </w:p>
        </w:tc>
      </w:tr>
      <w:tr w:rsidR="004C11B6" w14:paraId="0759BBF6" w14:textId="77777777" w:rsidTr="009E0A5A">
        <w:trPr>
          <w:trHeight w:val="244"/>
        </w:trPr>
        <w:tc>
          <w:tcPr>
            <w:tcW w:w="3988" w:type="dxa"/>
          </w:tcPr>
          <w:p w14:paraId="58AC67FC" w14:textId="77777777" w:rsidR="004C11B6" w:rsidRDefault="00F05A0C" w:rsidP="009E0A5A">
            <w:pPr>
              <w:pStyle w:val="TableParagraph"/>
              <w:spacing w:line="224" w:lineRule="exact"/>
            </w:pPr>
            <w:r>
              <w:t>Stroke</w:t>
            </w:r>
          </w:p>
        </w:tc>
        <w:tc>
          <w:tcPr>
            <w:tcW w:w="1136" w:type="dxa"/>
          </w:tcPr>
          <w:p w14:paraId="691E1100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  <w:tc>
          <w:tcPr>
            <w:tcW w:w="1134" w:type="dxa"/>
          </w:tcPr>
          <w:p w14:paraId="417F20C4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  <w:tc>
          <w:tcPr>
            <w:tcW w:w="1691" w:type="dxa"/>
          </w:tcPr>
          <w:p w14:paraId="4518CB08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  <w:tc>
          <w:tcPr>
            <w:tcW w:w="901" w:type="dxa"/>
          </w:tcPr>
          <w:p w14:paraId="6331C4DA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</w:tr>
      <w:tr w:rsidR="004C11B6" w14:paraId="57C3C726" w14:textId="77777777" w:rsidTr="009E0A5A">
        <w:trPr>
          <w:trHeight w:val="244"/>
        </w:trPr>
        <w:tc>
          <w:tcPr>
            <w:tcW w:w="3988" w:type="dxa"/>
          </w:tcPr>
          <w:p w14:paraId="188C7AE7" w14:textId="77777777" w:rsidR="004C11B6" w:rsidRDefault="00F05A0C" w:rsidP="009E0A5A">
            <w:pPr>
              <w:pStyle w:val="TableParagraph"/>
              <w:spacing w:line="224" w:lineRule="exact"/>
            </w:pPr>
            <w:r>
              <w:t>Ischaemiás</w:t>
            </w:r>
            <w:r>
              <w:rPr>
                <w:spacing w:val="-5"/>
              </w:rPr>
              <w:t xml:space="preserve"> </w:t>
            </w:r>
            <w:r>
              <w:t>vagy</w:t>
            </w:r>
            <w:r>
              <w:rPr>
                <w:spacing w:val="-5"/>
              </w:rPr>
              <w:t xml:space="preserve"> </w:t>
            </w:r>
            <w:r>
              <w:t>nem</w:t>
            </w:r>
            <w:r>
              <w:rPr>
                <w:spacing w:val="-4"/>
              </w:rPr>
              <w:t xml:space="preserve"> </w:t>
            </w:r>
            <w:r>
              <w:t>meghatározott</w:t>
            </w:r>
          </w:p>
        </w:tc>
        <w:tc>
          <w:tcPr>
            <w:tcW w:w="1136" w:type="dxa"/>
          </w:tcPr>
          <w:p w14:paraId="60539BAD" w14:textId="77777777" w:rsidR="004C11B6" w:rsidRDefault="00F05A0C" w:rsidP="009E0A5A">
            <w:pPr>
              <w:pStyle w:val="TableParagraph"/>
              <w:spacing w:line="224" w:lineRule="exact"/>
              <w:ind w:right="81"/>
              <w:jc w:val="center"/>
            </w:pPr>
            <w:r>
              <w:t>162</w:t>
            </w:r>
            <w:r>
              <w:rPr>
                <w:spacing w:val="-4"/>
              </w:rPr>
              <w:t xml:space="preserve"> </w:t>
            </w:r>
            <w:r>
              <w:t>(0,97)</w:t>
            </w:r>
          </w:p>
        </w:tc>
        <w:tc>
          <w:tcPr>
            <w:tcW w:w="1134" w:type="dxa"/>
          </w:tcPr>
          <w:p w14:paraId="028818B0" w14:textId="77777777" w:rsidR="004C11B6" w:rsidRDefault="00F05A0C" w:rsidP="009E0A5A">
            <w:pPr>
              <w:pStyle w:val="TableParagraph"/>
              <w:spacing w:line="224" w:lineRule="exact"/>
            </w:pPr>
            <w:r>
              <w:t>175</w:t>
            </w:r>
            <w:r>
              <w:rPr>
                <w:spacing w:val="-4"/>
              </w:rPr>
              <w:t xml:space="preserve"> </w:t>
            </w:r>
            <w:r>
              <w:t>(1,05)</w:t>
            </w:r>
          </w:p>
        </w:tc>
        <w:tc>
          <w:tcPr>
            <w:tcW w:w="1691" w:type="dxa"/>
          </w:tcPr>
          <w:p w14:paraId="3A27CD70" w14:textId="77777777" w:rsidR="004C11B6" w:rsidRDefault="00F05A0C" w:rsidP="009E0A5A">
            <w:pPr>
              <w:pStyle w:val="TableParagraph"/>
              <w:spacing w:line="224" w:lineRule="exact"/>
              <w:ind w:right="83"/>
              <w:jc w:val="center"/>
            </w:pPr>
            <w:r>
              <w:t>0,92</w:t>
            </w:r>
            <w:r>
              <w:rPr>
                <w:spacing w:val="-4"/>
              </w:rPr>
              <w:t xml:space="preserve"> </w:t>
            </w:r>
            <w:r>
              <w:t>(0,74;</w:t>
            </w:r>
            <w:r>
              <w:rPr>
                <w:spacing w:val="-3"/>
              </w:rPr>
              <w:t xml:space="preserve"> </w:t>
            </w:r>
            <w:r>
              <w:t>1,13)</w:t>
            </w:r>
          </w:p>
        </w:tc>
        <w:tc>
          <w:tcPr>
            <w:tcW w:w="901" w:type="dxa"/>
          </w:tcPr>
          <w:p w14:paraId="24010FB1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</w:tr>
      <w:tr w:rsidR="004C11B6" w14:paraId="4E3BCE0C" w14:textId="77777777" w:rsidTr="009E0A5A">
        <w:trPr>
          <w:trHeight w:val="241"/>
        </w:trPr>
        <w:tc>
          <w:tcPr>
            <w:tcW w:w="3988" w:type="dxa"/>
          </w:tcPr>
          <w:p w14:paraId="0CBBF272" w14:textId="77777777" w:rsidR="004C11B6" w:rsidRDefault="00F05A0C" w:rsidP="009E0A5A">
            <w:pPr>
              <w:pStyle w:val="TableParagraph"/>
              <w:spacing w:line="222" w:lineRule="exact"/>
            </w:pPr>
            <w:r>
              <w:t>Haemorrhagiás</w:t>
            </w:r>
          </w:p>
        </w:tc>
        <w:tc>
          <w:tcPr>
            <w:tcW w:w="1136" w:type="dxa"/>
          </w:tcPr>
          <w:p w14:paraId="2150B9A3" w14:textId="77777777" w:rsidR="004C11B6" w:rsidRDefault="00F05A0C" w:rsidP="009E0A5A">
            <w:pPr>
              <w:pStyle w:val="TableParagraph"/>
              <w:spacing w:line="222" w:lineRule="exact"/>
              <w:ind w:right="81"/>
              <w:jc w:val="center"/>
            </w:pPr>
            <w:r>
              <w:t>40</w:t>
            </w:r>
            <w:r>
              <w:rPr>
                <w:spacing w:val="-3"/>
              </w:rPr>
              <w:t xml:space="preserve"> </w:t>
            </w:r>
            <w:r>
              <w:t>(0,24)</w:t>
            </w:r>
          </w:p>
        </w:tc>
        <w:tc>
          <w:tcPr>
            <w:tcW w:w="1134" w:type="dxa"/>
          </w:tcPr>
          <w:p w14:paraId="30EE5ADD" w14:textId="77777777" w:rsidR="004C11B6" w:rsidRDefault="00F05A0C" w:rsidP="009E0A5A">
            <w:pPr>
              <w:pStyle w:val="TableParagraph"/>
              <w:spacing w:line="222" w:lineRule="exact"/>
            </w:pPr>
            <w:r>
              <w:t>78</w:t>
            </w:r>
            <w:r>
              <w:rPr>
                <w:spacing w:val="-3"/>
              </w:rPr>
              <w:t xml:space="preserve"> </w:t>
            </w:r>
            <w:r>
              <w:t>(0,47)</w:t>
            </w:r>
          </w:p>
        </w:tc>
        <w:tc>
          <w:tcPr>
            <w:tcW w:w="1691" w:type="dxa"/>
          </w:tcPr>
          <w:p w14:paraId="4320900D" w14:textId="77777777" w:rsidR="004C11B6" w:rsidRDefault="00F05A0C" w:rsidP="009E0A5A">
            <w:pPr>
              <w:pStyle w:val="TableParagraph"/>
              <w:spacing w:line="222" w:lineRule="exact"/>
              <w:ind w:right="83"/>
              <w:jc w:val="center"/>
            </w:pPr>
            <w:r>
              <w:t>0,51</w:t>
            </w:r>
            <w:r>
              <w:rPr>
                <w:spacing w:val="-4"/>
              </w:rPr>
              <w:t xml:space="preserve"> </w:t>
            </w:r>
            <w:r>
              <w:t>(0,35;</w:t>
            </w:r>
            <w:r>
              <w:rPr>
                <w:spacing w:val="-3"/>
              </w:rPr>
              <w:t xml:space="preserve"> </w:t>
            </w:r>
            <w:r>
              <w:t>0,75)</w:t>
            </w:r>
          </w:p>
        </w:tc>
        <w:tc>
          <w:tcPr>
            <w:tcW w:w="901" w:type="dxa"/>
          </w:tcPr>
          <w:p w14:paraId="53430C4D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</w:tr>
      <w:tr w:rsidR="004C11B6" w14:paraId="1BF860E8" w14:textId="77777777" w:rsidTr="009E0A5A">
        <w:trPr>
          <w:trHeight w:val="244"/>
        </w:trPr>
        <w:tc>
          <w:tcPr>
            <w:tcW w:w="3988" w:type="dxa"/>
          </w:tcPr>
          <w:p w14:paraId="675C87A9" w14:textId="77777777" w:rsidR="004C11B6" w:rsidRDefault="00F05A0C" w:rsidP="009E0A5A">
            <w:pPr>
              <w:pStyle w:val="TableParagraph"/>
              <w:spacing w:line="224" w:lineRule="exact"/>
            </w:pPr>
            <w:r>
              <w:t>Szisztémás</w:t>
            </w:r>
            <w:r>
              <w:rPr>
                <w:spacing w:val="-7"/>
              </w:rPr>
              <w:t xml:space="preserve"> </w:t>
            </w:r>
            <w:r>
              <w:t>embolizáció</w:t>
            </w:r>
          </w:p>
        </w:tc>
        <w:tc>
          <w:tcPr>
            <w:tcW w:w="1136" w:type="dxa"/>
          </w:tcPr>
          <w:p w14:paraId="63CD4E69" w14:textId="77777777" w:rsidR="004C11B6" w:rsidRDefault="00F05A0C" w:rsidP="009E0A5A">
            <w:pPr>
              <w:pStyle w:val="TableParagraph"/>
              <w:spacing w:line="224" w:lineRule="exact"/>
              <w:ind w:right="81"/>
              <w:jc w:val="center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(0,09)</w:t>
            </w:r>
          </w:p>
        </w:tc>
        <w:tc>
          <w:tcPr>
            <w:tcW w:w="1134" w:type="dxa"/>
          </w:tcPr>
          <w:p w14:paraId="56460130" w14:textId="77777777" w:rsidR="004C11B6" w:rsidRDefault="00F05A0C" w:rsidP="009E0A5A">
            <w:pPr>
              <w:pStyle w:val="TableParagraph"/>
              <w:spacing w:line="224" w:lineRule="exact"/>
            </w:pPr>
            <w:r>
              <w:t>17</w:t>
            </w:r>
            <w:r>
              <w:rPr>
                <w:spacing w:val="-3"/>
              </w:rPr>
              <w:t xml:space="preserve"> </w:t>
            </w:r>
            <w:r>
              <w:t>(0,10)</w:t>
            </w:r>
          </w:p>
        </w:tc>
        <w:tc>
          <w:tcPr>
            <w:tcW w:w="1691" w:type="dxa"/>
          </w:tcPr>
          <w:p w14:paraId="56A86F9E" w14:textId="77777777" w:rsidR="004C11B6" w:rsidRDefault="00F05A0C" w:rsidP="009E0A5A">
            <w:pPr>
              <w:pStyle w:val="TableParagraph"/>
              <w:spacing w:line="224" w:lineRule="exact"/>
              <w:ind w:right="83"/>
              <w:jc w:val="center"/>
            </w:pPr>
            <w:r>
              <w:t>0,87</w:t>
            </w:r>
            <w:r>
              <w:rPr>
                <w:spacing w:val="-4"/>
              </w:rPr>
              <w:t xml:space="preserve"> </w:t>
            </w:r>
            <w:r>
              <w:t>(0,44;</w:t>
            </w:r>
            <w:r>
              <w:rPr>
                <w:spacing w:val="-3"/>
              </w:rPr>
              <w:t xml:space="preserve"> </w:t>
            </w:r>
            <w:r>
              <w:t>1,75)</w:t>
            </w:r>
          </w:p>
        </w:tc>
        <w:tc>
          <w:tcPr>
            <w:tcW w:w="901" w:type="dxa"/>
          </w:tcPr>
          <w:p w14:paraId="16CEF0CB" w14:textId="77777777" w:rsidR="004C11B6" w:rsidRDefault="004C11B6" w:rsidP="009E0A5A">
            <w:pPr>
              <w:pStyle w:val="TableParagraph"/>
              <w:rPr>
                <w:sz w:val="16"/>
              </w:rPr>
            </w:pPr>
          </w:p>
        </w:tc>
      </w:tr>
    </w:tbl>
    <w:p w14:paraId="22AA70DC" w14:textId="77777777" w:rsidR="004C11B6" w:rsidRDefault="004C11B6">
      <w:pPr>
        <w:pStyle w:val="Szvegtrzs"/>
        <w:rPr>
          <w:b/>
          <w:sz w:val="21"/>
        </w:rPr>
      </w:pPr>
    </w:p>
    <w:p w14:paraId="7FB873D2" w14:textId="77777777" w:rsidR="004C11B6" w:rsidRDefault="00F05A0C" w:rsidP="009E0A5A">
      <w:pPr>
        <w:pStyle w:val="Szvegtrzs"/>
        <w:spacing w:before="1" w:line="232" w:lineRule="auto"/>
      </w:pPr>
      <w:r>
        <w:t>A warfarinra randomizált betegeknél a terápiás tartományban (INR 2-3) eltöltött időtartam (time in</w:t>
      </w:r>
      <w:r>
        <w:rPr>
          <w:spacing w:val="1"/>
        </w:rPr>
        <w:t xml:space="preserve"> </w:t>
      </w:r>
      <w:r>
        <w:t>therapeutic</w:t>
      </w:r>
      <w:r>
        <w:rPr>
          <w:spacing w:val="-2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TTR) 66% volt.</w:t>
      </w:r>
    </w:p>
    <w:p w14:paraId="62403F91" w14:textId="77777777" w:rsidR="004C11B6" w:rsidRDefault="004C11B6" w:rsidP="009E0A5A">
      <w:pPr>
        <w:pStyle w:val="Szvegtrzs"/>
        <w:spacing w:before="1"/>
        <w:rPr>
          <w:sz w:val="21"/>
        </w:rPr>
      </w:pPr>
    </w:p>
    <w:p w14:paraId="55D37651" w14:textId="77777777" w:rsidR="004C11B6" w:rsidRDefault="00F05A0C" w:rsidP="009E0A5A">
      <w:pPr>
        <w:pStyle w:val="Szvegtrzs"/>
        <w:spacing w:line="230" w:lineRule="auto"/>
        <w:ind w:right="2"/>
      </w:pPr>
      <w:r>
        <w:t>Az apixabán a warfarinhoz képest a középső TTR különböző szintjein a stroke és a szisztémás</w:t>
      </w:r>
      <w:r>
        <w:rPr>
          <w:spacing w:val="1"/>
        </w:rPr>
        <w:t xml:space="preserve"> </w:t>
      </w:r>
      <w:r>
        <w:t>embolizáció csökkenését mutatta. A középsővel összhangban a TTR legmagasabb kvartilisában az</w:t>
      </w:r>
      <w:r>
        <w:rPr>
          <w:spacing w:val="-52"/>
        </w:rPr>
        <w:t xml:space="preserve"> </w:t>
      </w:r>
      <w:r>
        <w:t>apixabán</w:t>
      </w:r>
      <w:r w:rsidRPr="00F162CB">
        <w:rPr>
          <w:i/>
          <w:spacing w:val="-2"/>
        </w:rPr>
        <w:t xml:space="preserve"> </w:t>
      </w:r>
      <w:r w:rsidRPr="00F162CB">
        <w:rPr>
          <w:i/>
        </w:rPr>
        <w:t>vs</w:t>
      </w:r>
      <w:r>
        <w:t>.</w:t>
      </w:r>
      <w:r>
        <w:rPr>
          <w:spacing w:val="-1"/>
        </w:rPr>
        <w:t xml:space="preserve"> </w:t>
      </w:r>
      <w:r>
        <w:t>warfarin</w:t>
      </w:r>
      <w:r>
        <w:rPr>
          <w:spacing w:val="-2"/>
        </w:rPr>
        <w:t xml:space="preserve"> </w:t>
      </w:r>
      <w:r>
        <w:t>relatív</w:t>
      </w:r>
      <w:r>
        <w:rPr>
          <w:spacing w:val="-1"/>
        </w:rPr>
        <w:t xml:space="preserve"> </w:t>
      </w:r>
      <w:r>
        <w:t>hazárdja</w:t>
      </w:r>
      <w:r>
        <w:rPr>
          <w:spacing w:val="-2"/>
        </w:rPr>
        <w:t xml:space="preserve"> </w:t>
      </w:r>
      <w:r>
        <w:t>0,73</w:t>
      </w:r>
      <w:r>
        <w:rPr>
          <w:spacing w:val="-1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(95%-os</w:t>
      </w:r>
      <w:r>
        <w:rPr>
          <w:spacing w:val="-1"/>
        </w:rPr>
        <w:t xml:space="preserve"> </w:t>
      </w:r>
      <w:r>
        <w:t>CI</w:t>
      </w:r>
      <w:r>
        <w:rPr>
          <w:spacing w:val="-2"/>
        </w:rPr>
        <w:t xml:space="preserve"> </w:t>
      </w:r>
      <w:r>
        <w:t>0,38,</w:t>
      </w:r>
      <w:r>
        <w:rPr>
          <w:spacing w:val="-1"/>
        </w:rPr>
        <w:t xml:space="preserve"> </w:t>
      </w:r>
      <w:r>
        <w:t>1,40).</w:t>
      </w:r>
    </w:p>
    <w:p w14:paraId="2C6ED6B2" w14:textId="77777777" w:rsidR="004C11B6" w:rsidRDefault="004C11B6" w:rsidP="009E0A5A">
      <w:pPr>
        <w:pStyle w:val="Szvegtrzs"/>
        <w:spacing w:before="5"/>
        <w:ind w:right="2"/>
        <w:rPr>
          <w:sz w:val="21"/>
        </w:rPr>
      </w:pPr>
    </w:p>
    <w:p w14:paraId="35B4ADEF" w14:textId="2B9C611D" w:rsidR="004C11B6" w:rsidRDefault="00F05A0C" w:rsidP="009E0A5A">
      <w:pPr>
        <w:pStyle w:val="Szvegtrzs"/>
        <w:spacing w:line="230" w:lineRule="auto"/>
        <w:ind w:right="2"/>
      </w:pPr>
      <w:r>
        <w:t>A vizsgálatban előforduló általános 1-es típusú hiba kiküszöbölése érdekében a nagyfokú vérzés és</w:t>
      </w:r>
      <w:r>
        <w:rPr>
          <w:spacing w:val="1"/>
        </w:rPr>
        <w:t xml:space="preserve"> </w:t>
      </w:r>
      <w:r>
        <w:t>összmortalitás legfontosabb másodlagos végpontokat egy előre meghatározott hierarchikus vizsgálati</w:t>
      </w:r>
      <w:r>
        <w:rPr>
          <w:spacing w:val="-52"/>
        </w:rPr>
        <w:t xml:space="preserve"> </w:t>
      </w:r>
      <w:r>
        <w:t>stratégia szerint tesztelték. A nagyfokú vérzés és összmortalitás, mint legfontosabb másodlagos</w:t>
      </w:r>
      <w:r>
        <w:rPr>
          <w:spacing w:val="1"/>
        </w:rPr>
        <w:t xml:space="preserve"> </w:t>
      </w:r>
      <w:r>
        <w:t>végpontok</w:t>
      </w:r>
      <w:r>
        <w:rPr>
          <w:spacing w:val="-4"/>
        </w:rPr>
        <w:t xml:space="preserve"> </w:t>
      </w:r>
      <w:r>
        <w:t>tekintetében</w:t>
      </w:r>
      <w:r>
        <w:rPr>
          <w:spacing w:val="-3"/>
        </w:rPr>
        <w:t xml:space="preserve"> </w:t>
      </w:r>
      <w:r>
        <w:t>egyaránt</w:t>
      </w:r>
      <w:r>
        <w:rPr>
          <w:spacing w:val="-4"/>
        </w:rPr>
        <w:t xml:space="preserve"> </w:t>
      </w:r>
      <w:r>
        <w:t>statisztikailag</w:t>
      </w:r>
      <w:r>
        <w:rPr>
          <w:spacing w:val="-3"/>
        </w:rPr>
        <w:t xml:space="preserve"> </w:t>
      </w:r>
      <w:r>
        <w:t>szignifikánsan</w:t>
      </w:r>
      <w:r>
        <w:rPr>
          <w:spacing w:val="-4"/>
        </w:rPr>
        <w:t xml:space="preserve"> </w:t>
      </w:r>
      <w:r>
        <w:t>jobb</w:t>
      </w:r>
      <w:r>
        <w:rPr>
          <w:spacing w:val="-3"/>
        </w:rPr>
        <w:t xml:space="preserve"> </w:t>
      </w:r>
      <w:r>
        <w:t>eredményeket</w:t>
      </w:r>
      <w:r>
        <w:rPr>
          <w:spacing w:val="-2"/>
        </w:rPr>
        <w:t xml:space="preserve"> </w:t>
      </w:r>
      <w:r>
        <w:t>értek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(lásd</w:t>
      </w:r>
      <w:r w:rsidR="009E0A5A">
        <w:t xml:space="preserve"> 5. </w:t>
      </w:r>
      <w:r>
        <w:t>táblázat). Az INR monitorozásának javításával az apixabán warfarinhoz viszonyított, az</w:t>
      </w:r>
      <w:r w:rsidRPr="009E0A5A">
        <w:t xml:space="preserve"> </w:t>
      </w:r>
      <w:r w:rsidR="009E0A5A">
        <w:t>ö</w:t>
      </w:r>
      <w:r>
        <w:t>sszmortalitás</w:t>
      </w:r>
      <w:r w:rsidRPr="009E0A5A">
        <w:t xml:space="preserve"> </w:t>
      </w:r>
      <w:r>
        <w:t>tekintetében</w:t>
      </w:r>
      <w:r>
        <w:rPr>
          <w:spacing w:val="-1"/>
        </w:rPr>
        <w:t xml:space="preserve"> </w:t>
      </w:r>
      <w:r>
        <w:t>megfigyelt</w:t>
      </w:r>
      <w:r>
        <w:rPr>
          <w:spacing w:val="-2"/>
        </w:rPr>
        <w:t xml:space="preserve"> </w:t>
      </w:r>
      <w:r>
        <w:t>előnye</w:t>
      </w:r>
      <w:r>
        <w:rPr>
          <w:spacing w:val="-1"/>
        </w:rPr>
        <w:t xml:space="preserve"> </w:t>
      </w:r>
      <w:r>
        <w:t>eltűnik.</w:t>
      </w:r>
    </w:p>
    <w:p w14:paraId="6F81878F" w14:textId="77777777" w:rsidR="004C11B6" w:rsidRDefault="004C11B6" w:rsidP="009E0A5A">
      <w:pPr>
        <w:pStyle w:val="Szvegtrzs"/>
        <w:spacing w:before="8"/>
        <w:ind w:right="2"/>
        <w:rPr>
          <w:sz w:val="20"/>
        </w:rPr>
      </w:pPr>
    </w:p>
    <w:p w14:paraId="573A5BB4" w14:textId="77777777" w:rsidR="004C11B6" w:rsidRDefault="00F05A0C" w:rsidP="009E0A5A">
      <w:pPr>
        <w:pStyle w:val="Cmsor2"/>
        <w:numPr>
          <w:ilvl w:val="0"/>
          <w:numId w:val="47"/>
        </w:numPr>
        <w:ind w:left="284" w:hanging="284"/>
      </w:pPr>
      <w:r>
        <w:t>táblázat:</w:t>
      </w:r>
      <w:r>
        <w:rPr>
          <w:spacing w:val="-7"/>
        </w:rPr>
        <w:t xml:space="preserve"> </w:t>
      </w:r>
      <w:r>
        <w:t>Másodlagos</w:t>
      </w:r>
      <w:r>
        <w:rPr>
          <w:spacing w:val="-7"/>
        </w:rPr>
        <w:t xml:space="preserve"> </w:t>
      </w:r>
      <w:r>
        <w:t>végpontok</w:t>
      </w:r>
      <w:r>
        <w:rPr>
          <w:spacing w:val="-6"/>
        </w:rPr>
        <w:t xml:space="preserve"> </w:t>
      </w:r>
      <w:r>
        <w:t>pitvarfibrilláló</w:t>
      </w:r>
      <w:r>
        <w:rPr>
          <w:spacing w:val="-7"/>
        </w:rPr>
        <w:t xml:space="preserve"> </w:t>
      </w:r>
      <w:r>
        <w:t>betegeknél</w:t>
      </w:r>
      <w:r>
        <w:rPr>
          <w:spacing w:val="-6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ARISTOTLE-vizsgálatban</w:t>
      </w:r>
    </w:p>
    <w:tbl>
      <w:tblPr>
        <w:tblW w:w="925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9"/>
        <w:gridCol w:w="1937"/>
        <w:gridCol w:w="1980"/>
        <w:gridCol w:w="1980"/>
        <w:gridCol w:w="1272"/>
      </w:tblGrid>
      <w:tr w:rsidR="004C11B6" w14:paraId="37E7F711" w14:textId="77777777" w:rsidTr="009E0A5A">
        <w:trPr>
          <w:trHeight w:val="729"/>
        </w:trPr>
        <w:tc>
          <w:tcPr>
            <w:tcW w:w="2089" w:type="dxa"/>
          </w:tcPr>
          <w:p w14:paraId="74DCF1D0" w14:textId="77777777" w:rsidR="004C11B6" w:rsidRDefault="004C11B6">
            <w:pPr>
              <w:pStyle w:val="TableParagraph"/>
            </w:pPr>
          </w:p>
        </w:tc>
        <w:tc>
          <w:tcPr>
            <w:tcW w:w="1937" w:type="dxa"/>
          </w:tcPr>
          <w:p w14:paraId="5B35A834" w14:textId="77777777" w:rsidR="004C11B6" w:rsidRDefault="00F05A0C">
            <w:pPr>
              <w:pStyle w:val="TableParagraph"/>
              <w:spacing w:line="232" w:lineRule="auto"/>
              <w:ind w:left="549" w:right="481" w:hanging="41"/>
              <w:rPr>
                <w:b/>
              </w:rPr>
            </w:pPr>
            <w:r>
              <w:rPr>
                <w:b/>
              </w:rPr>
              <w:t>Apixabán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9088</w:t>
            </w:r>
          </w:p>
          <w:p w14:paraId="3482C59B" w14:textId="77777777" w:rsidR="004C11B6" w:rsidRDefault="00F05A0C">
            <w:pPr>
              <w:pStyle w:val="TableParagraph"/>
              <w:spacing w:line="223" w:lineRule="exact"/>
              <w:ind w:left="561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980" w:type="dxa"/>
          </w:tcPr>
          <w:p w14:paraId="17E3A8AC" w14:textId="77777777" w:rsidR="004C11B6" w:rsidRDefault="00F05A0C">
            <w:pPr>
              <w:pStyle w:val="TableParagraph"/>
              <w:spacing w:line="232" w:lineRule="auto"/>
              <w:ind w:left="571" w:right="515" w:hanging="29"/>
              <w:rPr>
                <w:b/>
              </w:rPr>
            </w:pPr>
            <w:r>
              <w:rPr>
                <w:b/>
              </w:rPr>
              <w:t>Warfarin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9052</w:t>
            </w:r>
          </w:p>
          <w:p w14:paraId="13CA8E67" w14:textId="77777777" w:rsidR="004C11B6" w:rsidRDefault="00F05A0C">
            <w:pPr>
              <w:pStyle w:val="TableParagraph"/>
              <w:spacing w:line="223" w:lineRule="exact"/>
              <w:ind w:left="583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980" w:type="dxa"/>
          </w:tcPr>
          <w:p w14:paraId="5CC5B692" w14:textId="77777777" w:rsidR="004C11B6" w:rsidRDefault="00F05A0C">
            <w:pPr>
              <w:pStyle w:val="TableParagraph"/>
              <w:spacing w:line="232" w:lineRule="auto"/>
              <w:ind w:left="412" w:right="283" w:hanging="118"/>
              <w:rPr>
                <w:b/>
              </w:rPr>
            </w:pPr>
            <w:r>
              <w:rPr>
                <w:b/>
              </w:rPr>
              <w:t>Relatív hazárd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CI)</w:t>
            </w:r>
          </w:p>
        </w:tc>
        <w:tc>
          <w:tcPr>
            <w:tcW w:w="1272" w:type="dxa"/>
          </w:tcPr>
          <w:p w14:paraId="27F9DEE0" w14:textId="77777777" w:rsidR="004C11B6" w:rsidRDefault="00F05A0C">
            <w:pPr>
              <w:pStyle w:val="TableParagraph"/>
              <w:spacing w:line="242" w:lineRule="exact"/>
              <w:ind w:left="250" w:right="240"/>
              <w:jc w:val="center"/>
              <w:rPr>
                <w:b/>
              </w:rPr>
            </w:pPr>
            <w:r>
              <w:rPr>
                <w:b/>
              </w:rPr>
              <w:t>p-érték</w:t>
            </w:r>
          </w:p>
        </w:tc>
      </w:tr>
      <w:tr w:rsidR="004C11B6" w14:paraId="24CA5038" w14:textId="77777777" w:rsidTr="009E0A5A">
        <w:trPr>
          <w:trHeight w:val="280"/>
        </w:trPr>
        <w:tc>
          <w:tcPr>
            <w:tcW w:w="9258" w:type="dxa"/>
            <w:gridSpan w:val="5"/>
          </w:tcPr>
          <w:p w14:paraId="58FE09C9" w14:textId="77777777" w:rsidR="004C11B6" w:rsidRDefault="00F05A0C">
            <w:pPr>
              <w:pStyle w:val="TableParagraph"/>
              <w:spacing w:line="244" w:lineRule="exact"/>
              <w:ind w:left="107"/>
            </w:pPr>
            <w:r>
              <w:t>Vérzéses</w:t>
            </w:r>
            <w:r>
              <w:rPr>
                <w:spacing w:val="-6"/>
              </w:rPr>
              <w:t xml:space="preserve"> </w:t>
            </w:r>
            <w:r>
              <w:t>végpontok</w:t>
            </w:r>
          </w:p>
        </w:tc>
      </w:tr>
      <w:tr w:rsidR="004C11B6" w14:paraId="6C51E72D" w14:textId="77777777" w:rsidTr="009E0A5A">
        <w:trPr>
          <w:trHeight w:val="277"/>
        </w:trPr>
        <w:tc>
          <w:tcPr>
            <w:tcW w:w="2089" w:type="dxa"/>
          </w:tcPr>
          <w:p w14:paraId="007432EA" w14:textId="77777777" w:rsidR="004C11B6" w:rsidRDefault="00F05A0C">
            <w:pPr>
              <w:pStyle w:val="TableParagraph"/>
              <w:spacing w:line="242" w:lineRule="exact"/>
              <w:ind w:left="390"/>
            </w:pPr>
            <w:r>
              <w:t>Nagyfokú*</w:t>
            </w:r>
          </w:p>
        </w:tc>
        <w:tc>
          <w:tcPr>
            <w:tcW w:w="1937" w:type="dxa"/>
          </w:tcPr>
          <w:p w14:paraId="04D1E1D3" w14:textId="77777777" w:rsidR="004C11B6" w:rsidRDefault="00F05A0C">
            <w:pPr>
              <w:pStyle w:val="TableParagraph"/>
              <w:spacing w:line="242" w:lineRule="exact"/>
              <w:ind w:right="497"/>
              <w:jc w:val="right"/>
            </w:pPr>
            <w:r>
              <w:t>327</w:t>
            </w:r>
            <w:r>
              <w:rPr>
                <w:spacing w:val="-4"/>
              </w:rPr>
              <w:t xml:space="preserve"> </w:t>
            </w:r>
            <w:r>
              <w:t>(2,13)</w:t>
            </w:r>
          </w:p>
        </w:tc>
        <w:tc>
          <w:tcPr>
            <w:tcW w:w="1980" w:type="dxa"/>
          </w:tcPr>
          <w:p w14:paraId="02D11294" w14:textId="77777777" w:rsidR="004C11B6" w:rsidRDefault="00F05A0C">
            <w:pPr>
              <w:pStyle w:val="TableParagraph"/>
              <w:spacing w:line="242" w:lineRule="exact"/>
              <w:ind w:right="519"/>
              <w:jc w:val="right"/>
            </w:pPr>
            <w:r>
              <w:t>462</w:t>
            </w:r>
            <w:r>
              <w:rPr>
                <w:spacing w:val="-4"/>
              </w:rPr>
              <w:t xml:space="preserve"> </w:t>
            </w:r>
            <w:r>
              <w:t>(3,09)</w:t>
            </w:r>
          </w:p>
        </w:tc>
        <w:tc>
          <w:tcPr>
            <w:tcW w:w="1980" w:type="dxa"/>
          </w:tcPr>
          <w:p w14:paraId="29C27C36" w14:textId="77777777" w:rsidR="004C11B6" w:rsidRDefault="00F05A0C">
            <w:pPr>
              <w:pStyle w:val="TableParagraph"/>
              <w:spacing w:line="242" w:lineRule="exact"/>
              <w:ind w:left="234" w:right="226"/>
              <w:jc w:val="center"/>
            </w:pPr>
            <w:r>
              <w:t>0,69</w:t>
            </w:r>
            <w:r>
              <w:rPr>
                <w:spacing w:val="-4"/>
              </w:rPr>
              <w:t xml:space="preserve"> </w:t>
            </w:r>
            <w:r>
              <w:t>(0,60;</w:t>
            </w:r>
            <w:r>
              <w:rPr>
                <w:spacing w:val="-3"/>
              </w:rPr>
              <w:t xml:space="preserve"> </w:t>
            </w:r>
            <w:r>
              <w:t>0,80)</w:t>
            </w:r>
          </w:p>
        </w:tc>
        <w:tc>
          <w:tcPr>
            <w:tcW w:w="1272" w:type="dxa"/>
          </w:tcPr>
          <w:p w14:paraId="2523DFEA" w14:textId="77777777" w:rsidR="004C11B6" w:rsidRDefault="00F05A0C">
            <w:pPr>
              <w:pStyle w:val="TableParagraph"/>
              <w:spacing w:line="242" w:lineRule="exact"/>
              <w:ind w:left="252" w:right="240"/>
              <w:jc w:val="center"/>
            </w:pPr>
            <w:r>
              <w:t>&lt;0,0001</w:t>
            </w:r>
          </w:p>
        </w:tc>
      </w:tr>
      <w:tr w:rsidR="004C11B6" w14:paraId="0B3A9C10" w14:textId="77777777" w:rsidTr="009E0A5A">
        <w:trPr>
          <w:trHeight w:val="486"/>
        </w:trPr>
        <w:tc>
          <w:tcPr>
            <w:tcW w:w="2089" w:type="dxa"/>
          </w:tcPr>
          <w:p w14:paraId="1D1E9B04" w14:textId="77777777" w:rsidR="004C11B6" w:rsidRDefault="00F05A0C">
            <w:pPr>
              <w:pStyle w:val="TableParagraph"/>
              <w:spacing w:line="242" w:lineRule="exact"/>
              <w:ind w:left="674" w:right="269"/>
            </w:pPr>
            <w:r>
              <w:t>Végzetes</w:t>
            </w:r>
            <w:r>
              <w:rPr>
                <w:spacing w:val="1"/>
              </w:rPr>
              <w:t xml:space="preserve"> </w:t>
            </w:r>
            <w:r>
              <w:t>kimenetelű</w:t>
            </w:r>
          </w:p>
        </w:tc>
        <w:tc>
          <w:tcPr>
            <w:tcW w:w="1937" w:type="dxa"/>
          </w:tcPr>
          <w:p w14:paraId="3A2DB10F" w14:textId="77777777" w:rsidR="004C11B6" w:rsidRDefault="00F05A0C">
            <w:pPr>
              <w:pStyle w:val="TableParagraph"/>
              <w:spacing w:line="244" w:lineRule="exact"/>
              <w:ind w:left="564"/>
            </w:pPr>
            <w:r>
              <w:t>10</w:t>
            </w:r>
            <w:r>
              <w:rPr>
                <w:spacing w:val="-3"/>
              </w:rPr>
              <w:t xml:space="preserve"> </w:t>
            </w:r>
            <w:r>
              <w:t>(0,06)</w:t>
            </w:r>
          </w:p>
        </w:tc>
        <w:tc>
          <w:tcPr>
            <w:tcW w:w="1980" w:type="dxa"/>
          </w:tcPr>
          <w:p w14:paraId="05EE66AB" w14:textId="77777777" w:rsidR="004C11B6" w:rsidRDefault="00F05A0C">
            <w:pPr>
              <w:pStyle w:val="TableParagraph"/>
              <w:spacing w:line="244" w:lineRule="exact"/>
              <w:ind w:left="585"/>
            </w:pPr>
            <w:r>
              <w:t>37</w:t>
            </w:r>
            <w:r>
              <w:rPr>
                <w:spacing w:val="-3"/>
              </w:rPr>
              <w:t xml:space="preserve"> </w:t>
            </w:r>
            <w:r>
              <w:t>(0,24)</w:t>
            </w:r>
          </w:p>
        </w:tc>
        <w:tc>
          <w:tcPr>
            <w:tcW w:w="1980" w:type="dxa"/>
          </w:tcPr>
          <w:p w14:paraId="25E555E9" w14:textId="77777777" w:rsidR="004C11B6" w:rsidRDefault="004C11B6">
            <w:pPr>
              <w:pStyle w:val="TableParagraph"/>
            </w:pPr>
          </w:p>
        </w:tc>
        <w:tc>
          <w:tcPr>
            <w:tcW w:w="1272" w:type="dxa"/>
          </w:tcPr>
          <w:p w14:paraId="6A1D906D" w14:textId="77777777" w:rsidR="004C11B6" w:rsidRDefault="004C11B6">
            <w:pPr>
              <w:pStyle w:val="TableParagraph"/>
            </w:pPr>
          </w:p>
        </w:tc>
      </w:tr>
      <w:tr w:rsidR="004C11B6" w14:paraId="6A3E150E" w14:textId="77777777" w:rsidTr="009E0A5A">
        <w:trPr>
          <w:trHeight w:val="249"/>
        </w:trPr>
        <w:tc>
          <w:tcPr>
            <w:tcW w:w="2089" w:type="dxa"/>
          </w:tcPr>
          <w:p w14:paraId="6281CBF4" w14:textId="77777777" w:rsidR="004C11B6" w:rsidRDefault="00F05A0C">
            <w:pPr>
              <w:pStyle w:val="TableParagraph"/>
              <w:spacing w:line="229" w:lineRule="exact"/>
              <w:ind w:left="674"/>
            </w:pPr>
            <w:r>
              <w:t>Intracranialis</w:t>
            </w:r>
          </w:p>
        </w:tc>
        <w:tc>
          <w:tcPr>
            <w:tcW w:w="1937" w:type="dxa"/>
          </w:tcPr>
          <w:p w14:paraId="287A4E0C" w14:textId="77777777" w:rsidR="004C11B6" w:rsidRDefault="00F05A0C">
            <w:pPr>
              <w:pStyle w:val="TableParagraph"/>
              <w:spacing w:line="229" w:lineRule="exact"/>
              <w:ind w:left="564"/>
            </w:pPr>
            <w:r>
              <w:t>52</w:t>
            </w:r>
            <w:r>
              <w:rPr>
                <w:spacing w:val="-3"/>
              </w:rPr>
              <w:t xml:space="preserve"> </w:t>
            </w:r>
            <w:r>
              <w:t>(0,33)</w:t>
            </w:r>
          </w:p>
        </w:tc>
        <w:tc>
          <w:tcPr>
            <w:tcW w:w="1980" w:type="dxa"/>
          </w:tcPr>
          <w:p w14:paraId="7710E63E" w14:textId="77777777" w:rsidR="004C11B6" w:rsidRDefault="00F05A0C">
            <w:pPr>
              <w:pStyle w:val="TableParagraph"/>
              <w:spacing w:line="229" w:lineRule="exact"/>
              <w:ind w:right="519"/>
              <w:jc w:val="right"/>
            </w:pPr>
            <w:r>
              <w:t>122</w:t>
            </w:r>
            <w:r>
              <w:rPr>
                <w:spacing w:val="-4"/>
              </w:rPr>
              <w:t xml:space="preserve"> </w:t>
            </w:r>
            <w:r>
              <w:t>(0,80)</w:t>
            </w:r>
          </w:p>
        </w:tc>
        <w:tc>
          <w:tcPr>
            <w:tcW w:w="1980" w:type="dxa"/>
          </w:tcPr>
          <w:p w14:paraId="5E5DC817" w14:textId="77777777" w:rsidR="004C11B6" w:rsidRDefault="004C11B6">
            <w:pPr>
              <w:pStyle w:val="TableParagraph"/>
              <w:rPr>
                <w:sz w:val="18"/>
              </w:rPr>
            </w:pPr>
          </w:p>
        </w:tc>
        <w:tc>
          <w:tcPr>
            <w:tcW w:w="1272" w:type="dxa"/>
          </w:tcPr>
          <w:p w14:paraId="4ED20607" w14:textId="77777777" w:rsidR="004C11B6" w:rsidRDefault="004C11B6">
            <w:pPr>
              <w:pStyle w:val="TableParagraph"/>
              <w:rPr>
                <w:sz w:val="18"/>
              </w:rPr>
            </w:pPr>
          </w:p>
        </w:tc>
      </w:tr>
      <w:tr w:rsidR="004C11B6" w14:paraId="3FDF3A1F" w14:textId="77777777" w:rsidTr="009E0A5A">
        <w:trPr>
          <w:trHeight w:val="486"/>
        </w:trPr>
        <w:tc>
          <w:tcPr>
            <w:tcW w:w="2089" w:type="dxa"/>
          </w:tcPr>
          <w:p w14:paraId="6ABAA41B" w14:textId="77777777" w:rsidR="004C11B6" w:rsidRDefault="00F05A0C">
            <w:pPr>
              <w:pStyle w:val="TableParagraph"/>
              <w:spacing w:line="238" w:lineRule="exact"/>
              <w:ind w:left="390"/>
            </w:pPr>
            <w:r>
              <w:t>Nagyfokú</w:t>
            </w:r>
            <w:r>
              <w:rPr>
                <w:spacing w:val="-2"/>
              </w:rPr>
              <w:t xml:space="preserve"> </w:t>
            </w:r>
            <w:r>
              <w:t>+</w:t>
            </w:r>
          </w:p>
          <w:p w14:paraId="1536A0D7" w14:textId="77777777" w:rsidR="004C11B6" w:rsidRDefault="00F05A0C">
            <w:pPr>
              <w:pStyle w:val="TableParagraph"/>
              <w:spacing w:line="229" w:lineRule="exact"/>
              <w:ind w:left="390"/>
              <w:rPr>
                <w:sz w:val="14"/>
              </w:rPr>
            </w:pPr>
            <w:r>
              <w:t>CRNM</w:t>
            </w:r>
            <w:r>
              <w:rPr>
                <w:position w:val="7"/>
                <w:sz w:val="14"/>
              </w:rPr>
              <w:t>†</w:t>
            </w:r>
          </w:p>
        </w:tc>
        <w:tc>
          <w:tcPr>
            <w:tcW w:w="1937" w:type="dxa"/>
          </w:tcPr>
          <w:p w14:paraId="6BC50356" w14:textId="77777777" w:rsidR="004C11B6" w:rsidRDefault="00F05A0C">
            <w:pPr>
              <w:pStyle w:val="TableParagraph"/>
              <w:spacing w:line="242" w:lineRule="exact"/>
              <w:ind w:right="497"/>
              <w:jc w:val="right"/>
            </w:pPr>
            <w:r>
              <w:t>613</w:t>
            </w:r>
            <w:r>
              <w:rPr>
                <w:spacing w:val="-4"/>
              </w:rPr>
              <w:t xml:space="preserve"> </w:t>
            </w:r>
            <w:r>
              <w:t>(4,07)</w:t>
            </w:r>
          </w:p>
        </w:tc>
        <w:tc>
          <w:tcPr>
            <w:tcW w:w="1980" w:type="dxa"/>
          </w:tcPr>
          <w:p w14:paraId="001DF308" w14:textId="77777777" w:rsidR="004C11B6" w:rsidRDefault="00F05A0C">
            <w:pPr>
              <w:pStyle w:val="TableParagraph"/>
              <w:spacing w:line="242" w:lineRule="exact"/>
              <w:ind w:right="519"/>
              <w:jc w:val="right"/>
            </w:pPr>
            <w:r>
              <w:t>877</w:t>
            </w:r>
            <w:r>
              <w:rPr>
                <w:spacing w:val="-4"/>
              </w:rPr>
              <w:t xml:space="preserve"> </w:t>
            </w:r>
            <w:r>
              <w:t>(6,01)</w:t>
            </w:r>
          </w:p>
        </w:tc>
        <w:tc>
          <w:tcPr>
            <w:tcW w:w="1980" w:type="dxa"/>
          </w:tcPr>
          <w:p w14:paraId="180125E4" w14:textId="77777777" w:rsidR="004C11B6" w:rsidRDefault="00F05A0C">
            <w:pPr>
              <w:pStyle w:val="TableParagraph"/>
              <w:spacing w:line="242" w:lineRule="exact"/>
              <w:ind w:left="234" w:right="226"/>
              <w:jc w:val="center"/>
            </w:pPr>
            <w:r>
              <w:t>0,68</w:t>
            </w:r>
            <w:r>
              <w:rPr>
                <w:spacing w:val="-4"/>
              </w:rPr>
              <w:t xml:space="preserve"> </w:t>
            </w:r>
            <w:r>
              <w:t>(0,61;</w:t>
            </w:r>
            <w:r>
              <w:rPr>
                <w:spacing w:val="-3"/>
              </w:rPr>
              <w:t xml:space="preserve"> </w:t>
            </w:r>
            <w:r>
              <w:t>0,75)</w:t>
            </w:r>
          </w:p>
        </w:tc>
        <w:tc>
          <w:tcPr>
            <w:tcW w:w="1272" w:type="dxa"/>
          </w:tcPr>
          <w:p w14:paraId="7F176734" w14:textId="77777777" w:rsidR="004C11B6" w:rsidRDefault="00F05A0C">
            <w:pPr>
              <w:pStyle w:val="TableParagraph"/>
              <w:spacing w:line="242" w:lineRule="exact"/>
              <w:ind w:left="252" w:right="240"/>
              <w:jc w:val="center"/>
            </w:pPr>
            <w:r>
              <w:t>&lt;0,0001</w:t>
            </w:r>
          </w:p>
        </w:tc>
      </w:tr>
      <w:tr w:rsidR="004C11B6" w14:paraId="28BFB99F" w14:textId="77777777" w:rsidTr="009E0A5A">
        <w:trPr>
          <w:trHeight w:val="246"/>
        </w:trPr>
        <w:tc>
          <w:tcPr>
            <w:tcW w:w="2089" w:type="dxa"/>
          </w:tcPr>
          <w:p w14:paraId="71C58975" w14:textId="77777777" w:rsidR="004C11B6" w:rsidRDefault="00F05A0C">
            <w:pPr>
              <w:pStyle w:val="TableParagraph"/>
              <w:spacing w:line="227" w:lineRule="exact"/>
              <w:ind w:left="390"/>
            </w:pPr>
            <w:r>
              <w:t>Összes</w:t>
            </w:r>
          </w:p>
        </w:tc>
        <w:tc>
          <w:tcPr>
            <w:tcW w:w="1937" w:type="dxa"/>
          </w:tcPr>
          <w:p w14:paraId="4237314F" w14:textId="77777777" w:rsidR="004C11B6" w:rsidRDefault="00F05A0C">
            <w:pPr>
              <w:pStyle w:val="TableParagraph"/>
              <w:spacing w:line="227" w:lineRule="exact"/>
              <w:ind w:right="442"/>
              <w:jc w:val="right"/>
            </w:pPr>
            <w:r>
              <w:t>2356</w:t>
            </w:r>
            <w:r>
              <w:rPr>
                <w:spacing w:val="-4"/>
              </w:rPr>
              <w:t xml:space="preserve"> </w:t>
            </w:r>
            <w:r>
              <w:t>(18,1)</w:t>
            </w:r>
          </w:p>
        </w:tc>
        <w:tc>
          <w:tcPr>
            <w:tcW w:w="1980" w:type="dxa"/>
          </w:tcPr>
          <w:p w14:paraId="5A6B7B70" w14:textId="77777777" w:rsidR="004C11B6" w:rsidRDefault="00F05A0C">
            <w:pPr>
              <w:pStyle w:val="TableParagraph"/>
              <w:spacing w:line="227" w:lineRule="exact"/>
              <w:ind w:right="464"/>
              <w:jc w:val="right"/>
            </w:pPr>
            <w:r>
              <w:t>3060</w:t>
            </w:r>
            <w:r>
              <w:rPr>
                <w:spacing w:val="-4"/>
              </w:rPr>
              <w:t xml:space="preserve"> </w:t>
            </w:r>
            <w:r>
              <w:t>(25,8)</w:t>
            </w:r>
          </w:p>
        </w:tc>
        <w:tc>
          <w:tcPr>
            <w:tcW w:w="1980" w:type="dxa"/>
          </w:tcPr>
          <w:p w14:paraId="686B6C6C" w14:textId="77777777" w:rsidR="004C11B6" w:rsidRDefault="00F05A0C">
            <w:pPr>
              <w:pStyle w:val="TableParagraph"/>
              <w:spacing w:line="227" w:lineRule="exact"/>
              <w:ind w:left="234" w:right="226"/>
              <w:jc w:val="center"/>
            </w:pPr>
            <w:r>
              <w:t>0,71</w:t>
            </w:r>
            <w:r>
              <w:rPr>
                <w:spacing w:val="-4"/>
              </w:rPr>
              <w:t xml:space="preserve"> </w:t>
            </w:r>
            <w:r>
              <w:t>(0,68;</w:t>
            </w:r>
            <w:r>
              <w:rPr>
                <w:spacing w:val="-3"/>
              </w:rPr>
              <w:t xml:space="preserve"> </w:t>
            </w:r>
            <w:r>
              <w:t>0,75)</w:t>
            </w:r>
          </w:p>
        </w:tc>
        <w:tc>
          <w:tcPr>
            <w:tcW w:w="1272" w:type="dxa"/>
          </w:tcPr>
          <w:p w14:paraId="7C2B6B49" w14:textId="77777777" w:rsidR="004C11B6" w:rsidRDefault="00F05A0C">
            <w:pPr>
              <w:pStyle w:val="TableParagraph"/>
              <w:spacing w:line="227" w:lineRule="exact"/>
              <w:ind w:left="252" w:right="240"/>
              <w:jc w:val="center"/>
            </w:pPr>
            <w:r>
              <w:t>&lt;0,0001</w:t>
            </w:r>
          </w:p>
        </w:tc>
      </w:tr>
      <w:tr w:rsidR="004C11B6" w14:paraId="75AD3461" w14:textId="77777777" w:rsidTr="009E0A5A">
        <w:trPr>
          <w:trHeight w:val="364"/>
        </w:trPr>
        <w:tc>
          <w:tcPr>
            <w:tcW w:w="9258" w:type="dxa"/>
            <w:gridSpan w:val="5"/>
          </w:tcPr>
          <w:p w14:paraId="5E40C407" w14:textId="77777777" w:rsidR="004C11B6" w:rsidRDefault="00F05A0C">
            <w:pPr>
              <w:pStyle w:val="TableParagraph"/>
              <w:spacing w:before="53"/>
              <w:ind w:left="107"/>
            </w:pPr>
            <w:r>
              <w:t>Egyéb</w:t>
            </w:r>
            <w:r>
              <w:rPr>
                <w:spacing w:val="-5"/>
              </w:rPr>
              <w:t xml:space="preserve"> </w:t>
            </w:r>
            <w:r>
              <w:t>végpontok</w:t>
            </w:r>
          </w:p>
        </w:tc>
      </w:tr>
      <w:tr w:rsidR="004C11B6" w14:paraId="77D588EE" w14:textId="77777777" w:rsidTr="009E0A5A">
        <w:trPr>
          <w:trHeight w:val="342"/>
        </w:trPr>
        <w:tc>
          <w:tcPr>
            <w:tcW w:w="2089" w:type="dxa"/>
          </w:tcPr>
          <w:p w14:paraId="10BF6667" w14:textId="77777777" w:rsidR="004C11B6" w:rsidRDefault="00F05A0C">
            <w:pPr>
              <w:pStyle w:val="TableParagraph"/>
              <w:spacing w:before="29"/>
              <w:ind w:left="390"/>
            </w:pPr>
            <w:r>
              <w:t>Összmortalitás</w:t>
            </w:r>
          </w:p>
        </w:tc>
        <w:tc>
          <w:tcPr>
            <w:tcW w:w="1937" w:type="dxa"/>
          </w:tcPr>
          <w:p w14:paraId="19C825F5" w14:textId="77777777" w:rsidR="004C11B6" w:rsidRDefault="00F05A0C">
            <w:pPr>
              <w:pStyle w:val="TableParagraph"/>
              <w:spacing w:before="32"/>
              <w:ind w:right="497"/>
              <w:jc w:val="right"/>
            </w:pPr>
            <w:r>
              <w:t>603</w:t>
            </w:r>
            <w:r>
              <w:rPr>
                <w:spacing w:val="-4"/>
              </w:rPr>
              <w:t xml:space="preserve"> </w:t>
            </w:r>
            <w:r>
              <w:t>(3,52)</w:t>
            </w:r>
          </w:p>
        </w:tc>
        <w:tc>
          <w:tcPr>
            <w:tcW w:w="1980" w:type="dxa"/>
          </w:tcPr>
          <w:p w14:paraId="2E64E5BF" w14:textId="77777777" w:rsidR="004C11B6" w:rsidRDefault="00F05A0C">
            <w:pPr>
              <w:pStyle w:val="TableParagraph"/>
              <w:spacing w:before="32"/>
              <w:ind w:right="519"/>
              <w:jc w:val="right"/>
            </w:pPr>
            <w:r>
              <w:t>669</w:t>
            </w:r>
            <w:r>
              <w:rPr>
                <w:spacing w:val="-4"/>
              </w:rPr>
              <w:t xml:space="preserve"> </w:t>
            </w:r>
            <w:r>
              <w:t>(3,94)</w:t>
            </w:r>
          </w:p>
        </w:tc>
        <w:tc>
          <w:tcPr>
            <w:tcW w:w="1980" w:type="dxa"/>
          </w:tcPr>
          <w:p w14:paraId="6FCE9DA3" w14:textId="77777777" w:rsidR="004C11B6" w:rsidRDefault="00F05A0C">
            <w:pPr>
              <w:pStyle w:val="TableParagraph"/>
              <w:spacing w:before="32"/>
              <w:ind w:left="234" w:right="226"/>
              <w:jc w:val="center"/>
            </w:pPr>
            <w:r>
              <w:t>0,89</w:t>
            </w:r>
            <w:r>
              <w:rPr>
                <w:spacing w:val="-4"/>
              </w:rPr>
              <w:t xml:space="preserve"> </w:t>
            </w:r>
            <w:r>
              <w:t>(0,80;</w:t>
            </w:r>
            <w:r>
              <w:rPr>
                <w:spacing w:val="-3"/>
              </w:rPr>
              <w:t xml:space="preserve"> </w:t>
            </w:r>
            <w:r>
              <w:t>1,00)</w:t>
            </w:r>
          </w:p>
        </w:tc>
        <w:tc>
          <w:tcPr>
            <w:tcW w:w="1272" w:type="dxa"/>
          </w:tcPr>
          <w:p w14:paraId="64825A78" w14:textId="77777777" w:rsidR="004C11B6" w:rsidRDefault="00F05A0C">
            <w:pPr>
              <w:pStyle w:val="TableParagraph"/>
              <w:spacing w:before="32"/>
              <w:ind w:left="252" w:right="240"/>
              <w:jc w:val="center"/>
            </w:pPr>
            <w:r>
              <w:t>0,0465</w:t>
            </w:r>
          </w:p>
        </w:tc>
      </w:tr>
      <w:tr w:rsidR="004C11B6" w14:paraId="594323E9" w14:textId="77777777" w:rsidTr="009E0A5A">
        <w:trPr>
          <w:trHeight w:val="489"/>
        </w:trPr>
        <w:tc>
          <w:tcPr>
            <w:tcW w:w="2089" w:type="dxa"/>
          </w:tcPr>
          <w:p w14:paraId="55F2FC69" w14:textId="77777777" w:rsidR="004C11B6" w:rsidRDefault="00F05A0C">
            <w:pPr>
              <w:pStyle w:val="TableParagraph"/>
              <w:spacing w:line="244" w:lineRule="exact"/>
              <w:ind w:left="390" w:right="370"/>
            </w:pPr>
            <w:r>
              <w:t>Myocardialis</w:t>
            </w:r>
            <w:r>
              <w:rPr>
                <w:spacing w:val="-52"/>
              </w:rPr>
              <w:t xml:space="preserve"> </w:t>
            </w:r>
            <w:r>
              <w:t>infarctus</w:t>
            </w:r>
          </w:p>
        </w:tc>
        <w:tc>
          <w:tcPr>
            <w:tcW w:w="1937" w:type="dxa"/>
          </w:tcPr>
          <w:p w14:paraId="65CA1BFD" w14:textId="77777777" w:rsidR="004C11B6" w:rsidRDefault="00F05A0C">
            <w:pPr>
              <w:pStyle w:val="TableParagraph"/>
              <w:spacing w:before="53"/>
              <w:ind w:left="564"/>
            </w:pPr>
            <w:r>
              <w:t>90</w:t>
            </w:r>
            <w:r>
              <w:rPr>
                <w:spacing w:val="-2"/>
              </w:rPr>
              <w:t xml:space="preserve"> </w:t>
            </w:r>
            <w:r>
              <w:t>(0,53)</w:t>
            </w:r>
          </w:p>
        </w:tc>
        <w:tc>
          <w:tcPr>
            <w:tcW w:w="1980" w:type="dxa"/>
          </w:tcPr>
          <w:p w14:paraId="15A09C91" w14:textId="77777777" w:rsidR="004C11B6" w:rsidRDefault="00F05A0C">
            <w:pPr>
              <w:pStyle w:val="TableParagraph"/>
              <w:spacing w:before="53"/>
              <w:ind w:right="519"/>
              <w:jc w:val="right"/>
            </w:pPr>
            <w:r>
              <w:t>102</w:t>
            </w:r>
            <w:r>
              <w:rPr>
                <w:spacing w:val="-4"/>
              </w:rPr>
              <w:t xml:space="preserve"> </w:t>
            </w:r>
            <w:r>
              <w:t>(0,61)</w:t>
            </w:r>
          </w:p>
        </w:tc>
        <w:tc>
          <w:tcPr>
            <w:tcW w:w="1980" w:type="dxa"/>
          </w:tcPr>
          <w:p w14:paraId="4DA3307B" w14:textId="77777777" w:rsidR="004C11B6" w:rsidRDefault="00F05A0C">
            <w:pPr>
              <w:pStyle w:val="TableParagraph"/>
              <w:spacing w:before="53"/>
              <w:ind w:left="234" w:right="226"/>
              <w:jc w:val="center"/>
            </w:pPr>
            <w:r>
              <w:t>0,88</w:t>
            </w:r>
            <w:r>
              <w:rPr>
                <w:spacing w:val="-4"/>
              </w:rPr>
              <w:t xml:space="preserve"> </w:t>
            </w:r>
            <w:r>
              <w:t>(0,66;</w:t>
            </w:r>
            <w:r>
              <w:rPr>
                <w:spacing w:val="-3"/>
              </w:rPr>
              <w:t xml:space="preserve"> </w:t>
            </w:r>
            <w:r>
              <w:t>1,17)</w:t>
            </w:r>
          </w:p>
        </w:tc>
        <w:tc>
          <w:tcPr>
            <w:tcW w:w="1272" w:type="dxa"/>
          </w:tcPr>
          <w:p w14:paraId="0887B54E" w14:textId="77777777" w:rsidR="004C11B6" w:rsidRDefault="004C11B6">
            <w:pPr>
              <w:pStyle w:val="TableParagraph"/>
            </w:pPr>
          </w:p>
        </w:tc>
      </w:tr>
    </w:tbl>
    <w:p w14:paraId="7FC592C8" w14:textId="29EF2C01" w:rsidR="004C11B6" w:rsidRDefault="009E0A5A" w:rsidP="001750D5">
      <w:pPr>
        <w:pStyle w:val="Listaszerbekezds"/>
        <w:spacing w:line="232" w:lineRule="auto"/>
        <w:ind w:left="142" w:right="2" w:hanging="142"/>
      </w:pPr>
      <w:r w:rsidRPr="009E0A5A">
        <w:t>*</w:t>
      </w:r>
      <w:r>
        <w:t xml:space="preserve"> </w:t>
      </w:r>
      <w:r w:rsidR="00F05A0C">
        <w:t>A nagyfokú vérzést az International Society on Thrombosis and Haemostasis (ISTH – Nemzetközi</w:t>
      </w:r>
      <w:r w:rsidR="00F05A0C">
        <w:rPr>
          <w:spacing w:val="-52"/>
        </w:rPr>
        <w:t xml:space="preserve"> </w:t>
      </w:r>
      <w:r w:rsidR="00F05A0C">
        <w:t>Thrombosis</w:t>
      </w:r>
      <w:r w:rsidR="00F05A0C">
        <w:rPr>
          <w:spacing w:val="-2"/>
        </w:rPr>
        <w:t xml:space="preserve"> </w:t>
      </w:r>
      <w:r w:rsidR="00F05A0C">
        <w:t>és</w:t>
      </w:r>
      <w:r w:rsidR="00F05A0C">
        <w:rPr>
          <w:spacing w:val="-2"/>
        </w:rPr>
        <w:t xml:space="preserve"> </w:t>
      </w:r>
      <w:r w:rsidR="00F05A0C">
        <w:t>Haemostasis</w:t>
      </w:r>
      <w:r w:rsidR="00F05A0C">
        <w:rPr>
          <w:spacing w:val="-1"/>
        </w:rPr>
        <w:t xml:space="preserve"> </w:t>
      </w:r>
      <w:r w:rsidR="00F05A0C">
        <w:t>Társaság)</w:t>
      </w:r>
      <w:r w:rsidR="00F05A0C">
        <w:rPr>
          <w:spacing w:val="-2"/>
        </w:rPr>
        <w:t xml:space="preserve"> </w:t>
      </w:r>
      <w:r w:rsidR="00F05A0C">
        <w:t>kritériumai</w:t>
      </w:r>
      <w:r w:rsidR="00F05A0C">
        <w:rPr>
          <w:spacing w:val="-2"/>
        </w:rPr>
        <w:t xml:space="preserve"> </w:t>
      </w:r>
      <w:r w:rsidR="00F05A0C">
        <w:t>szerint</w:t>
      </w:r>
      <w:r w:rsidR="00F05A0C">
        <w:rPr>
          <w:spacing w:val="-1"/>
        </w:rPr>
        <w:t xml:space="preserve"> </w:t>
      </w:r>
      <w:r w:rsidR="00F05A0C">
        <w:t>definiálták.</w:t>
      </w:r>
    </w:p>
    <w:p w14:paraId="599D0D7F" w14:textId="77777777" w:rsidR="004C11B6" w:rsidRDefault="00F05A0C" w:rsidP="009E0A5A">
      <w:pPr>
        <w:pStyle w:val="Szvegtrzs"/>
        <w:spacing w:line="243" w:lineRule="exact"/>
        <w:ind w:right="2"/>
      </w:pPr>
      <w:r>
        <w:t>†</w:t>
      </w:r>
      <w:r>
        <w:rPr>
          <w:spacing w:val="-3"/>
        </w:rPr>
        <w:t xml:space="preserve"> </w:t>
      </w:r>
      <w:r>
        <w:t>Klinikailag</w:t>
      </w:r>
      <w:r>
        <w:rPr>
          <w:spacing w:val="-4"/>
        </w:rPr>
        <w:t xml:space="preserve"> </w:t>
      </w:r>
      <w:r>
        <w:t>jelentős,</w:t>
      </w:r>
      <w:r>
        <w:rPr>
          <w:spacing w:val="-3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súlyos</w:t>
      </w:r>
      <w:r>
        <w:rPr>
          <w:spacing w:val="-4"/>
        </w:rPr>
        <w:t xml:space="preserve"> </w:t>
      </w:r>
      <w:r>
        <w:t>vérzés.</w:t>
      </w:r>
    </w:p>
    <w:p w14:paraId="791BB14D" w14:textId="77777777" w:rsidR="004C11B6" w:rsidRDefault="004C11B6" w:rsidP="009E0A5A">
      <w:pPr>
        <w:pStyle w:val="Szvegtrzs"/>
        <w:spacing w:before="10"/>
        <w:ind w:right="2"/>
        <w:rPr>
          <w:sz w:val="20"/>
        </w:rPr>
      </w:pPr>
    </w:p>
    <w:p w14:paraId="366DD3F4" w14:textId="77777777" w:rsidR="004C11B6" w:rsidRDefault="00F05A0C" w:rsidP="009E0A5A">
      <w:pPr>
        <w:pStyle w:val="Szvegtrzs"/>
        <w:spacing w:line="232" w:lineRule="auto"/>
        <w:ind w:right="2"/>
      </w:pPr>
      <w:r>
        <w:t>Az ARISTOTLE-vizsgálatban a kezelés mellékhatások miatt történő abbahagyásának összesített</w:t>
      </w:r>
      <w:r>
        <w:rPr>
          <w:spacing w:val="-52"/>
        </w:rPr>
        <w:t xml:space="preserve"> </w:t>
      </w:r>
      <w:r>
        <w:t>aránya</w:t>
      </w:r>
      <w:r>
        <w:rPr>
          <w:spacing w:val="-2"/>
        </w:rPr>
        <w:t xml:space="preserve"> </w:t>
      </w:r>
      <w:r>
        <w:t>1,8%</w:t>
      </w:r>
      <w:r>
        <w:rPr>
          <w:spacing w:val="-1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apixabán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2,6%</w:t>
      </w:r>
      <w:r>
        <w:rPr>
          <w:spacing w:val="-2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warfarin</w:t>
      </w:r>
      <w:r>
        <w:rPr>
          <w:spacing w:val="-2"/>
        </w:rPr>
        <w:t xml:space="preserve"> </w:t>
      </w:r>
      <w:r>
        <w:t>esetén.</w:t>
      </w:r>
    </w:p>
    <w:p w14:paraId="2E691095" w14:textId="77777777" w:rsidR="004C11B6" w:rsidRDefault="004C11B6" w:rsidP="009E0A5A">
      <w:pPr>
        <w:pStyle w:val="Szvegtrzs"/>
        <w:spacing w:before="2"/>
        <w:ind w:right="2"/>
        <w:rPr>
          <w:sz w:val="21"/>
        </w:rPr>
      </w:pPr>
    </w:p>
    <w:p w14:paraId="0FADEEE9" w14:textId="77777777" w:rsidR="004C11B6" w:rsidRDefault="00F05A0C" w:rsidP="009E0A5A">
      <w:pPr>
        <w:pStyle w:val="Szvegtrzs"/>
        <w:spacing w:line="230" w:lineRule="auto"/>
        <w:ind w:right="2"/>
      </w:pPr>
      <w:r>
        <w:rPr>
          <w:position w:val="2"/>
        </w:rPr>
        <w:t>Az előre meghatározott alcsoportok, köztük a CHADS</w:t>
      </w:r>
      <w:r>
        <w:rPr>
          <w:sz w:val="14"/>
        </w:rPr>
        <w:t>2</w:t>
      </w:r>
      <w:r>
        <w:rPr>
          <w:position w:val="2"/>
        </w:rPr>
        <w:t>-pontszám, az életkor, a testtömeg, a nem, a</w:t>
      </w:r>
      <w:r>
        <w:rPr>
          <w:spacing w:val="-52"/>
          <w:position w:val="2"/>
        </w:rPr>
        <w:t xml:space="preserve"> </w:t>
      </w:r>
      <w:r>
        <w:t>vesefunkciós státusz, a korábbi stroke vagy TIA és a diabetes esetén a hatásossági eredmények</w:t>
      </w:r>
      <w:r>
        <w:rPr>
          <w:spacing w:val="1"/>
        </w:rPr>
        <w:t xml:space="preserve"> </w:t>
      </w:r>
      <w:r>
        <w:t>összhangban voltak a vizsgálatban értékelt összpopuláció esetén kapott elsődleges hatásossági</w:t>
      </w:r>
      <w:r>
        <w:rPr>
          <w:spacing w:val="1"/>
        </w:rPr>
        <w:t xml:space="preserve"> </w:t>
      </w:r>
      <w:r>
        <w:t>eredményekkel.</w:t>
      </w:r>
    </w:p>
    <w:p w14:paraId="1EB31EC3" w14:textId="77777777" w:rsidR="004C11B6" w:rsidRDefault="004C11B6" w:rsidP="009E0A5A">
      <w:pPr>
        <w:pStyle w:val="Szvegtrzs"/>
        <w:spacing w:before="4"/>
        <w:ind w:right="2"/>
        <w:rPr>
          <w:sz w:val="21"/>
        </w:rPr>
      </w:pPr>
    </w:p>
    <w:p w14:paraId="0A8A9D78" w14:textId="77777777" w:rsidR="009E0A5A" w:rsidRDefault="00F05A0C" w:rsidP="009E0A5A">
      <w:pPr>
        <w:pStyle w:val="Szvegtrzs"/>
        <w:spacing w:line="230" w:lineRule="auto"/>
        <w:ind w:right="2"/>
      </w:pPr>
      <w:r>
        <w:t>Az ISTH definíciója szerinti nagyfokú gastrointestinalis vérzések (beleértve a tápcsatorna felső, a</w:t>
      </w:r>
      <w:r>
        <w:rPr>
          <w:spacing w:val="1"/>
        </w:rPr>
        <w:t xml:space="preserve"> </w:t>
      </w:r>
      <w:r>
        <w:t>tápcsatorna alsó részéről kiinduló, valamint a rectalis vérzést is) előfordulási gyakorisága 0,76%/év</w:t>
      </w:r>
      <w:r>
        <w:rPr>
          <w:spacing w:val="-52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0,86%/év</w:t>
      </w:r>
      <w:r>
        <w:rPr>
          <w:spacing w:val="-1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warfarin</w:t>
      </w:r>
      <w:r>
        <w:rPr>
          <w:spacing w:val="-1"/>
        </w:rPr>
        <w:t xml:space="preserve"> </w:t>
      </w:r>
      <w:r>
        <w:t>mellett.</w:t>
      </w:r>
    </w:p>
    <w:p w14:paraId="42B3DECC" w14:textId="77777777" w:rsidR="009E0A5A" w:rsidRDefault="009E0A5A" w:rsidP="009E0A5A">
      <w:pPr>
        <w:pStyle w:val="Szvegtrzs"/>
        <w:spacing w:line="230" w:lineRule="auto"/>
        <w:ind w:right="2"/>
      </w:pPr>
    </w:p>
    <w:p w14:paraId="35465500" w14:textId="02C7B693" w:rsidR="004C11B6" w:rsidRDefault="00F05A0C" w:rsidP="009E0A5A">
      <w:pPr>
        <w:pStyle w:val="Szvegtrzs"/>
        <w:spacing w:line="230" w:lineRule="auto"/>
        <w:ind w:right="2"/>
      </w:pPr>
      <w:r>
        <w:rPr>
          <w:position w:val="2"/>
        </w:rPr>
        <w:t>Az előre meghatározott alcsoportok, köztük a CHADS</w:t>
      </w:r>
      <w:r>
        <w:rPr>
          <w:sz w:val="14"/>
        </w:rPr>
        <w:t>2</w:t>
      </w:r>
      <w:r>
        <w:rPr>
          <w:position w:val="2"/>
        </w:rPr>
        <w:t>-pontszám, az életkor, a testtömeg, a nem, a</w:t>
      </w:r>
      <w:r>
        <w:rPr>
          <w:spacing w:val="1"/>
          <w:position w:val="2"/>
        </w:rPr>
        <w:t xml:space="preserve"> </w:t>
      </w:r>
      <w:r>
        <w:t>vesefunkciós státusz, a korábbi stroke vagy TIA és a diabetes esetén a nagyfokú vérzések összhangban</w:t>
      </w:r>
      <w:r>
        <w:rPr>
          <w:spacing w:val="-52"/>
        </w:rPr>
        <w:t xml:space="preserve"> </w:t>
      </w:r>
      <w:r>
        <w:t>voltak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vizsgálatban</w:t>
      </w:r>
      <w:r>
        <w:rPr>
          <w:spacing w:val="-2"/>
        </w:rPr>
        <w:t xml:space="preserve"> </w:t>
      </w:r>
      <w:r>
        <w:t>értékelt</w:t>
      </w:r>
      <w:r>
        <w:rPr>
          <w:spacing w:val="-1"/>
        </w:rPr>
        <w:t xml:space="preserve"> </w:t>
      </w:r>
      <w:r>
        <w:t>összpopuláció</w:t>
      </w:r>
      <w:r>
        <w:rPr>
          <w:spacing w:val="-2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kapott</w:t>
      </w:r>
      <w:r>
        <w:rPr>
          <w:spacing w:val="-1"/>
        </w:rPr>
        <w:t xml:space="preserve"> </w:t>
      </w:r>
      <w:r>
        <w:t>eredményekkel.</w:t>
      </w:r>
    </w:p>
    <w:p w14:paraId="6637AB8D" w14:textId="77777777" w:rsidR="004C11B6" w:rsidRDefault="004C11B6">
      <w:pPr>
        <w:pStyle w:val="Szvegtrzs"/>
        <w:spacing w:before="5"/>
        <w:rPr>
          <w:sz w:val="20"/>
        </w:rPr>
      </w:pPr>
    </w:p>
    <w:p w14:paraId="00BD362A" w14:textId="77777777" w:rsidR="004C11B6" w:rsidRDefault="00F05A0C" w:rsidP="009E0A5A">
      <w:pPr>
        <w:spacing w:line="249" w:lineRule="exact"/>
        <w:rPr>
          <w:i/>
        </w:rPr>
      </w:pPr>
      <w:r>
        <w:rPr>
          <w:i/>
          <w:u w:val="single"/>
        </w:rPr>
        <w:t>AVERROES-vizsgálat</w:t>
      </w:r>
    </w:p>
    <w:p w14:paraId="75D398FC" w14:textId="58DE36BB" w:rsidR="004C11B6" w:rsidRDefault="00F05A0C" w:rsidP="009E0A5A">
      <w:pPr>
        <w:pStyle w:val="Szvegtrzs"/>
        <w:spacing w:before="4" w:line="230" w:lineRule="auto"/>
      </w:pPr>
      <w:r>
        <w:t>Az AVERROES-vizsgálatban összesen 5598 olyan beteget, akiket a vizsgálatot végzők nem tartottak</w:t>
      </w:r>
      <w:r>
        <w:rPr>
          <w:spacing w:val="-52"/>
        </w:rPr>
        <w:t xml:space="preserve"> </w:t>
      </w:r>
      <w:r>
        <w:t>alkalmasnak a K-vitamin</w:t>
      </w:r>
      <w:r w:rsidR="0027127A">
        <w:t>-</w:t>
      </w:r>
      <w:r>
        <w:t>antagonista-kezelésre, naponta kétszer 5 mg (vagy kiválasztott betegeknél</w:t>
      </w:r>
      <w:r>
        <w:rPr>
          <w:spacing w:val="1"/>
        </w:rPr>
        <w:t xml:space="preserve"> </w:t>
      </w:r>
      <w:r>
        <w:t>naponta kétszer 2,5</w:t>
      </w:r>
      <w:r w:rsidR="00A2194D">
        <w:t> </w:t>
      </w:r>
      <w:r>
        <w:t>mg [6,4%], lásd 4.2 pont) apixabán- vagy acetilszalicilsav-kezelésre</w:t>
      </w:r>
      <w:r>
        <w:rPr>
          <w:spacing w:val="1"/>
        </w:rPr>
        <w:t xml:space="preserve"> </w:t>
      </w:r>
      <w:r>
        <w:t>randomizáltak. Az acetilszalicilsavat a vizsgálatot végző megítélése szerint napi egyszeri 81</w:t>
      </w:r>
      <w:r w:rsidR="00A2194D">
        <w:t> </w:t>
      </w:r>
      <w:r>
        <w:t>mg-os</w:t>
      </w:r>
      <w:r>
        <w:rPr>
          <w:spacing w:val="1"/>
        </w:rPr>
        <w:t xml:space="preserve"> </w:t>
      </w:r>
      <w:r>
        <w:t>(64%), 162</w:t>
      </w:r>
      <w:r w:rsidR="00A2194D">
        <w:t> </w:t>
      </w:r>
      <w:r>
        <w:t>mg-os (26,9%), 243 mg-os (2,1%) vagy 324</w:t>
      </w:r>
      <w:r w:rsidR="00A2194D">
        <w:t> </w:t>
      </w:r>
      <w:r>
        <w:t>mg-os (6,6%) adagban adták. A betegek</w:t>
      </w:r>
      <w:r>
        <w:rPr>
          <w:spacing w:val="1"/>
        </w:rPr>
        <w:t xml:space="preserve"> </w:t>
      </w:r>
      <w:r>
        <w:t>átlagosan</w:t>
      </w:r>
      <w:r>
        <w:rPr>
          <w:spacing w:val="-2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hónapig</w:t>
      </w:r>
      <w:r>
        <w:rPr>
          <w:spacing w:val="-2"/>
        </w:rPr>
        <w:t xml:space="preserve"> </w:t>
      </w:r>
      <w:r>
        <w:t>kapták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vizsgált</w:t>
      </w:r>
      <w:r>
        <w:rPr>
          <w:spacing w:val="-2"/>
        </w:rPr>
        <w:t xml:space="preserve"> </w:t>
      </w:r>
      <w:r>
        <w:t>hatóanyagot.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átlagéletkor</w:t>
      </w:r>
      <w:r>
        <w:rPr>
          <w:spacing w:val="-2"/>
        </w:rPr>
        <w:t xml:space="preserve"> </w:t>
      </w:r>
      <w:r>
        <w:t>69,9</w:t>
      </w:r>
      <w:r>
        <w:rPr>
          <w:spacing w:val="-4"/>
        </w:rPr>
        <w:t xml:space="preserve"> </w:t>
      </w:r>
      <w:r>
        <w:t>év,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átlagos</w:t>
      </w:r>
    </w:p>
    <w:p w14:paraId="51A0F06F" w14:textId="74A2A362" w:rsidR="004C11B6" w:rsidRDefault="00F05A0C" w:rsidP="009E0A5A">
      <w:pPr>
        <w:pStyle w:val="Szvegtrzs"/>
        <w:spacing w:line="251" w:lineRule="exact"/>
      </w:pPr>
      <w:r>
        <w:rPr>
          <w:position w:val="2"/>
        </w:rPr>
        <w:t>CHADS</w:t>
      </w:r>
      <w:r>
        <w:rPr>
          <w:sz w:val="14"/>
        </w:rPr>
        <w:t>2</w:t>
      </w:r>
      <w:r>
        <w:rPr>
          <w:spacing w:val="17"/>
          <w:sz w:val="14"/>
        </w:rPr>
        <w:t xml:space="preserve"> </w:t>
      </w:r>
      <w:r>
        <w:rPr>
          <w:position w:val="2"/>
        </w:rPr>
        <w:t>pontszám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2,0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volt,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és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betegek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1</w:t>
      </w:r>
      <w:r w:rsidR="001750D5">
        <w:rPr>
          <w:position w:val="2"/>
        </w:rPr>
        <w:t>3</w:t>
      </w:r>
      <w:r>
        <w:rPr>
          <w:position w:val="2"/>
        </w:rPr>
        <w:t>,</w:t>
      </w:r>
      <w:r w:rsidR="001750D5">
        <w:rPr>
          <w:position w:val="2"/>
        </w:rPr>
        <w:t>6</w:t>
      </w:r>
      <w:r>
        <w:rPr>
          <w:position w:val="2"/>
        </w:rPr>
        <w:t>%-ának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volt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korábban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stroke-ja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vagy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TIA-ja.</w:t>
      </w:r>
    </w:p>
    <w:p w14:paraId="2634C57E" w14:textId="77777777" w:rsidR="004C11B6" w:rsidRDefault="004C11B6" w:rsidP="009E0A5A">
      <w:pPr>
        <w:pStyle w:val="Szvegtrzs"/>
        <w:spacing w:before="11"/>
        <w:rPr>
          <w:sz w:val="20"/>
        </w:rPr>
      </w:pPr>
    </w:p>
    <w:p w14:paraId="51892D37" w14:textId="2E61D9B3" w:rsidR="004C11B6" w:rsidRDefault="00F05A0C" w:rsidP="009E0A5A">
      <w:pPr>
        <w:pStyle w:val="Szvegtrzs"/>
        <w:spacing w:line="230" w:lineRule="auto"/>
      </w:pPr>
      <w:r>
        <w:t>Az AVERROES-vizsgálatban a K-vitamin</w:t>
      </w:r>
      <w:r w:rsidR="0027127A">
        <w:t>-</w:t>
      </w:r>
      <w:r>
        <w:t>antagonista-kezelésre való alkalmatlanság gyakori okai</w:t>
      </w:r>
      <w:r>
        <w:rPr>
          <w:spacing w:val="1"/>
        </w:rPr>
        <w:t xml:space="preserve"> </w:t>
      </w:r>
      <w:r>
        <w:t>közé tartozott az INR-értékek kívánt intervallumban való tartásának képtelensége vagy annak</w:t>
      </w:r>
      <w:r>
        <w:rPr>
          <w:spacing w:val="1"/>
        </w:rPr>
        <w:t xml:space="preserve"> </w:t>
      </w:r>
      <w:r>
        <w:t>valószínűtlensége (42,6%), az, hogy a beteg visszautasította a K-vitamin</w:t>
      </w:r>
      <w:r w:rsidR="0027127A">
        <w:t>-</w:t>
      </w:r>
      <w:r>
        <w:t>antagonistával végzett</w:t>
      </w:r>
      <w:r>
        <w:rPr>
          <w:spacing w:val="1"/>
        </w:rPr>
        <w:t xml:space="preserve"> </w:t>
      </w:r>
      <w:r>
        <w:rPr>
          <w:position w:val="2"/>
        </w:rPr>
        <w:t>kezelést (37,4%), a CHADS</w:t>
      </w:r>
      <w:r>
        <w:rPr>
          <w:sz w:val="14"/>
        </w:rPr>
        <w:t>2</w:t>
      </w:r>
      <w:r>
        <w:rPr>
          <w:position w:val="2"/>
        </w:rPr>
        <w:t>-pontszám = 1 és az orvos nem javasolta a K-vitamin</w:t>
      </w:r>
      <w:r w:rsidR="0027127A">
        <w:rPr>
          <w:position w:val="2"/>
        </w:rPr>
        <w:t>-</w:t>
      </w:r>
      <w:r>
        <w:rPr>
          <w:position w:val="2"/>
        </w:rPr>
        <w:t>antagonista-kezelést</w:t>
      </w:r>
      <w:r w:rsidRPr="00363C37">
        <w:rPr>
          <w:position w:val="2"/>
        </w:rPr>
        <w:t xml:space="preserve"> (21,3</w:t>
      </w:r>
      <w:r>
        <w:t>%), nem lehetett megbízni abban, hogy a beteg betartja a K-vitamin</w:t>
      </w:r>
      <w:r w:rsidR="0027127A">
        <w:t>-</w:t>
      </w:r>
      <w:r>
        <w:t>antagonista mellé kapott</w:t>
      </w:r>
      <w:r>
        <w:rPr>
          <w:spacing w:val="1"/>
        </w:rPr>
        <w:t xml:space="preserve"> </w:t>
      </w:r>
      <w:r>
        <w:t>gyógyszerekre vonatkozó utasításokat (15,0%), valamint az, hogy a dózis sürgős megváltoztatása</w:t>
      </w:r>
      <w:r>
        <w:rPr>
          <w:spacing w:val="1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nehéz</w:t>
      </w:r>
      <w:r>
        <w:rPr>
          <w:spacing w:val="-1"/>
        </w:rPr>
        <w:t xml:space="preserve"> </w:t>
      </w:r>
      <w:r>
        <w:t>vagy</w:t>
      </w:r>
      <w:r>
        <w:rPr>
          <w:spacing w:val="-1"/>
        </w:rPr>
        <w:t xml:space="preserve"> </w:t>
      </w:r>
      <w:r>
        <w:t>várhatóan</w:t>
      </w:r>
      <w:r>
        <w:rPr>
          <w:spacing w:val="-2"/>
        </w:rPr>
        <w:t xml:space="preserve"> </w:t>
      </w:r>
      <w:r>
        <w:t>nehéz</w:t>
      </w:r>
      <w:r>
        <w:rPr>
          <w:spacing w:val="-1"/>
        </w:rPr>
        <w:t xml:space="preserve"> </w:t>
      </w:r>
      <w:r>
        <w:t>elérni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beteget</w:t>
      </w:r>
      <w:r>
        <w:rPr>
          <w:spacing w:val="-1"/>
        </w:rPr>
        <w:t xml:space="preserve"> </w:t>
      </w:r>
      <w:r>
        <w:t>(11,7%).</w:t>
      </w:r>
    </w:p>
    <w:p w14:paraId="16988AE6" w14:textId="77777777" w:rsidR="004C11B6" w:rsidRDefault="004C11B6" w:rsidP="009E0A5A">
      <w:pPr>
        <w:pStyle w:val="Szvegtrzs"/>
        <w:spacing w:before="4"/>
        <w:rPr>
          <w:sz w:val="21"/>
        </w:rPr>
      </w:pPr>
    </w:p>
    <w:p w14:paraId="75154CF4" w14:textId="77777777" w:rsidR="004C11B6" w:rsidRDefault="00F05A0C" w:rsidP="009E0A5A">
      <w:pPr>
        <w:pStyle w:val="Szvegtrzs"/>
        <w:spacing w:line="230" w:lineRule="auto"/>
      </w:pPr>
      <w:r>
        <w:t>A független Adatfigyelő bizottság ajánlása alapján az AVERROES-vizsgálatot idő előtt leállították,</w:t>
      </w:r>
      <w:r>
        <w:rPr>
          <w:spacing w:val="-52"/>
        </w:rPr>
        <w:t xml:space="preserve"> </w:t>
      </w:r>
      <w:r>
        <w:t>mert egy elfogadható biztonságossági profil mellett egyértelmű bizonyíték volt a stroke és a</w:t>
      </w:r>
      <w:r>
        <w:rPr>
          <w:spacing w:val="1"/>
        </w:rPr>
        <w:t xml:space="preserve"> </w:t>
      </w:r>
      <w:r>
        <w:t>szisztémás</w:t>
      </w:r>
      <w:r>
        <w:rPr>
          <w:spacing w:val="-2"/>
        </w:rPr>
        <w:t xml:space="preserve"> </w:t>
      </w:r>
      <w:r>
        <w:t>embolizáció</w:t>
      </w:r>
      <w:r>
        <w:rPr>
          <w:spacing w:val="-1"/>
        </w:rPr>
        <w:t xml:space="preserve"> </w:t>
      </w:r>
      <w:r>
        <w:t>csökkenésére.</w:t>
      </w:r>
    </w:p>
    <w:p w14:paraId="4D361DB5" w14:textId="77777777" w:rsidR="004C11B6" w:rsidRDefault="004C11B6" w:rsidP="009E0A5A">
      <w:pPr>
        <w:pStyle w:val="Szvegtrzs"/>
        <w:spacing w:before="5"/>
        <w:rPr>
          <w:sz w:val="21"/>
        </w:rPr>
      </w:pPr>
    </w:p>
    <w:p w14:paraId="301E8657" w14:textId="77777777" w:rsidR="004C11B6" w:rsidRDefault="00F05A0C" w:rsidP="009E0A5A">
      <w:pPr>
        <w:pStyle w:val="Szvegtrzs"/>
        <w:spacing w:line="230" w:lineRule="auto"/>
      </w:pPr>
      <w:r>
        <w:t>Az AVERROES-vizsgálatban a kezelés mellékhatások miatt történő abbahagyásának összesített</w:t>
      </w:r>
      <w:r w:rsidRPr="00363C37">
        <w:t xml:space="preserve"> </w:t>
      </w:r>
      <w:r>
        <w:t>aránya</w:t>
      </w:r>
      <w:r w:rsidRPr="00363C37">
        <w:t xml:space="preserve"> </w:t>
      </w:r>
      <w:r>
        <w:t>1,5%</w:t>
      </w:r>
      <w:r>
        <w:rPr>
          <w:spacing w:val="-1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1,3%</w:t>
      </w:r>
      <w:r>
        <w:rPr>
          <w:spacing w:val="-2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acetilszalicilsav</w:t>
      </w:r>
      <w:r>
        <w:rPr>
          <w:spacing w:val="-1"/>
        </w:rPr>
        <w:t xml:space="preserve"> </w:t>
      </w:r>
      <w:r>
        <w:t>esetén.</w:t>
      </w:r>
    </w:p>
    <w:p w14:paraId="1E148C6D" w14:textId="77777777" w:rsidR="004C11B6" w:rsidRDefault="004C11B6" w:rsidP="009E0A5A">
      <w:pPr>
        <w:pStyle w:val="Szvegtrzs"/>
        <w:spacing w:before="2"/>
        <w:rPr>
          <w:sz w:val="21"/>
        </w:rPr>
      </w:pPr>
    </w:p>
    <w:p w14:paraId="155BFCC1" w14:textId="77777777" w:rsidR="004C11B6" w:rsidRDefault="00F05A0C" w:rsidP="009E0A5A">
      <w:pPr>
        <w:pStyle w:val="Szvegtrzs"/>
        <w:spacing w:line="230" w:lineRule="auto"/>
      </w:pPr>
      <w:r>
        <w:t>A vizsgálatban az apixabán az acetilszalicilsavhoz képest statisztikailag szignifikánsan jobb volt a</w:t>
      </w:r>
      <w:r>
        <w:rPr>
          <w:spacing w:val="1"/>
        </w:rPr>
        <w:t xml:space="preserve"> </w:t>
      </w:r>
      <w:r>
        <w:t>stroke (haemorrhagiás, ischaemiás vagy nem meghatározott) vagy szisztémás embolizáció prevenció</w:t>
      </w:r>
      <w:r>
        <w:rPr>
          <w:spacing w:val="-52"/>
        </w:rPr>
        <w:t xml:space="preserve"> </w:t>
      </w:r>
      <w:r>
        <w:t>elsődleges</w:t>
      </w:r>
      <w:r>
        <w:rPr>
          <w:spacing w:val="-2"/>
        </w:rPr>
        <w:t xml:space="preserve"> </w:t>
      </w:r>
      <w:r>
        <w:t>végpontban</w:t>
      </w:r>
      <w:r>
        <w:rPr>
          <w:spacing w:val="-1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6. táblázat).</w:t>
      </w:r>
    </w:p>
    <w:p w14:paraId="04FC32B6" w14:textId="77777777" w:rsidR="004C11B6" w:rsidRDefault="004C11B6" w:rsidP="009E0A5A">
      <w:pPr>
        <w:pStyle w:val="Szvegtrzs"/>
        <w:spacing w:before="2"/>
        <w:rPr>
          <w:sz w:val="21"/>
        </w:rPr>
      </w:pPr>
    </w:p>
    <w:p w14:paraId="5A32253D" w14:textId="77777777" w:rsidR="004C11B6" w:rsidRDefault="00F05A0C" w:rsidP="001750D5">
      <w:pPr>
        <w:pStyle w:val="Cmsor2"/>
        <w:numPr>
          <w:ilvl w:val="0"/>
          <w:numId w:val="47"/>
        </w:numPr>
        <w:spacing w:line="232" w:lineRule="auto"/>
        <w:ind w:left="284" w:hanging="284"/>
      </w:pPr>
      <w:r>
        <w:t>táblázat: Legfontosabb hatásossági végpontok pitvarfibrilláló betegeknél az</w:t>
      </w:r>
      <w:r>
        <w:rPr>
          <w:spacing w:val="-52"/>
        </w:rPr>
        <w:t xml:space="preserve"> </w:t>
      </w:r>
      <w:r>
        <w:t>AVERROES-vizsgálatban</w:t>
      </w:r>
    </w:p>
    <w:tbl>
      <w:tblPr>
        <w:tblW w:w="91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5"/>
        <w:gridCol w:w="1641"/>
        <w:gridCol w:w="1706"/>
        <w:gridCol w:w="1788"/>
        <w:gridCol w:w="955"/>
      </w:tblGrid>
      <w:tr w:rsidR="004C11B6" w14:paraId="58F6F35C" w14:textId="77777777" w:rsidTr="001750D5">
        <w:trPr>
          <w:trHeight w:val="971"/>
        </w:trPr>
        <w:tc>
          <w:tcPr>
            <w:tcW w:w="3085" w:type="dxa"/>
          </w:tcPr>
          <w:p w14:paraId="50CB8D0B" w14:textId="77777777" w:rsidR="004C11B6" w:rsidRDefault="004C11B6">
            <w:pPr>
              <w:pStyle w:val="TableParagraph"/>
            </w:pPr>
          </w:p>
        </w:tc>
        <w:tc>
          <w:tcPr>
            <w:tcW w:w="1641" w:type="dxa"/>
          </w:tcPr>
          <w:p w14:paraId="2BEED0D0" w14:textId="77777777" w:rsidR="004C11B6" w:rsidRDefault="00F05A0C">
            <w:pPr>
              <w:pStyle w:val="TableParagraph"/>
              <w:spacing w:before="32" w:line="307" w:lineRule="auto"/>
              <w:ind w:left="403" w:right="339" w:hanging="41"/>
              <w:rPr>
                <w:b/>
              </w:rPr>
            </w:pPr>
            <w:r>
              <w:rPr>
                <w:b/>
                <w:spacing w:val="-1"/>
              </w:rPr>
              <w:t>Apixabán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 = 2807</w:t>
            </w:r>
          </w:p>
          <w:p w14:paraId="03CD9209" w14:textId="77777777" w:rsidR="004C11B6" w:rsidRDefault="00F05A0C">
            <w:pPr>
              <w:pStyle w:val="TableParagraph"/>
              <w:ind w:left="412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706" w:type="dxa"/>
          </w:tcPr>
          <w:p w14:paraId="006807EA" w14:textId="77777777" w:rsidR="004C11B6" w:rsidRDefault="00F05A0C">
            <w:pPr>
              <w:pStyle w:val="TableParagraph"/>
              <w:spacing w:before="32" w:line="307" w:lineRule="auto"/>
              <w:ind w:left="108" w:right="95"/>
              <w:jc w:val="center"/>
              <w:rPr>
                <w:b/>
              </w:rPr>
            </w:pPr>
            <w:r>
              <w:rPr>
                <w:b/>
                <w:spacing w:val="-1"/>
              </w:rPr>
              <w:t>Acetilszalicilsav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2791</w:t>
            </w:r>
          </w:p>
          <w:p w14:paraId="320448AB" w14:textId="77777777" w:rsidR="004C11B6" w:rsidRDefault="00F05A0C">
            <w:pPr>
              <w:pStyle w:val="TableParagraph"/>
              <w:ind w:left="108" w:right="95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788" w:type="dxa"/>
          </w:tcPr>
          <w:p w14:paraId="6964857D" w14:textId="77777777" w:rsidR="004C11B6" w:rsidRDefault="00F05A0C">
            <w:pPr>
              <w:pStyle w:val="TableParagraph"/>
              <w:spacing w:before="51" w:line="345" w:lineRule="auto"/>
              <w:ind w:left="317" w:right="186" w:hanging="118"/>
              <w:rPr>
                <w:b/>
              </w:rPr>
            </w:pPr>
            <w:r>
              <w:rPr>
                <w:b/>
              </w:rPr>
              <w:t>Relatív hazárd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CI)</w:t>
            </w:r>
          </w:p>
        </w:tc>
        <w:tc>
          <w:tcPr>
            <w:tcW w:w="955" w:type="dxa"/>
          </w:tcPr>
          <w:p w14:paraId="5061EB92" w14:textId="77777777" w:rsidR="004C11B6" w:rsidRDefault="004C11B6">
            <w:pPr>
              <w:pStyle w:val="TableParagraph"/>
              <w:rPr>
                <w:b/>
                <w:sz w:val="24"/>
              </w:rPr>
            </w:pPr>
          </w:p>
          <w:p w14:paraId="57970DBD" w14:textId="77777777" w:rsidR="004C11B6" w:rsidRDefault="00F05A0C">
            <w:pPr>
              <w:pStyle w:val="TableParagraph"/>
              <w:spacing w:before="140"/>
              <w:ind w:left="92" w:right="80"/>
              <w:jc w:val="center"/>
              <w:rPr>
                <w:b/>
              </w:rPr>
            </w:pPr>
            <w:r>
              <w:rPr>
                <w:b/>
              </w:rPr>
              <w:t>p-érték</w:t>
            </w:r>
          </w:p>
        </w:tc>
      </w:tr>
      <w:tr w:rsidR="004C11B6" w14:paraId="570F43E4" w14:textId="77777777" w:rsidTr="001750D5">
        <w:trPr>
          <w:trHeight w:val="486"/>
        </w:trPr>
        <w:tc>
          <w:tcPr>
            <w:tcW w:w="3085" w:type="dxa"/>
          </w:tcPr>
          <w:p w14:paraId="14E2F940" w14:textId="77777777" w:rsidR="004C11B6" w:rsidRDefault="00F05A0C">
            <w:pPr>
              <w:pStyle w:val="TableParagraph"/>
              <w:spacing w:line="238" w:lineRule="exact"/>
              <w:ind w:left="107"/>
            </w:pPr>
            <w:r>
              <w:t>Stroke</w:t>
            </w:r>
            <w:r>
              <w:rPr>
                <w:spacing w:val="-5"/>
              </w:rPr>
              <w:t xml:space="preserve"> </w:t>
            </w:r>
            <w:r>
              <w:t>vagy</w:t>
            </w:r>
            <w:r>
              <w:rPr>
                <w:spacing w:val="-4"/>
              </w:rPr>
              <w:t xml:space="preserve"> </w:t>
            </w:r>
            <w:r>
              <w:t>szisztémás</w:t>
            </w:r>
          </w:p>
          <w:p w14:paraId="6280C425" w14:textId="77777777" w:rsidR="004C11B6" w:rsidRDefault="00F05A0C">
            <w:pPr>
              <w:pStyle w:val="TableParagraph"/>
              <w:spacing w:line="229" w:lineRule="exact"/>
              <w:ind w:left="107"/>
            </w:pPr>
            <w:r>
              <w:t>embolizáció*</w:t>
            </w:r>
          </w:p>
        </w:tc>
        <w:tc>
          <w:tcPr>
            <w:tcW w:w="1641" w:type="dxa"/>
          </w:tcPr>
          <w:p w14:paraId="00F1AC9E" w14:textId="77777777" w:rsidR="004C11B6" w:rsidRDefault="00F05A0C">
            <w:pPr>
              <w:pStyle w:val="TableParagraph"/>
              <w:spacing w:line="242" w:lineRule="exact"/>
              <w:ind w:left="345" w:right="333"/>
              <w:jc w:val="center"/>
            </w:pPr>
            <w:r>
              <w:t>51</w:t>
            </w:r>
            <w:r>
              <w:rPr>
                <w:spacing w:val="-3"/>
              </w:rPr>
              <w:t xml:space="preserve"> </w:t>
            </w:r>
            <w:r>
              <w:t>(1,62)</w:t>
            </w:r>
          </w:p>
        </w:tc>
        <w:tc>
          <w:tcPr>
            <w:tcW w:w="1706" w:type="dxa"/>
          </w:tcPr>
          <w:p w14:paraId="5277CF76" w14:textId="77777777" w:rsidR="004C11B6" w:rsidRDefault="00F05A0C">
            <w:pPr>
              <w:pStyle w:val="TableParagraph"/>
              <w:spacing w:line="242" w:lineRule="exact"/>
              <w:ind w:left="105" w:right="95"/>
              <w:jc w:val="center"/>
            </w:pPr>
            <w:r>
              <w:t>113</w:t>
            </w:r>
            <w:r>
              <w:rPr>
                <w:spacing w:val="-4"/>
              </w:rPr>
              <w:t xml:space="preserve"> </w:t>
            </w:r>
            <w:r>
              <w:t>(3,63)</w:t>
            </w:r>
          </w:p>
        </w:tc>
        <w:tc>
          <w:tcPr>
            <w:tcW w:w="1788" w:type="dxa"/>
          </w:tcPr>
          <w:p w14:paraId="595EC632" w14:textId="77777777" w:rsidR="004C11B6" w:rsidRDefault="00F05A0C">
            <w:pPr>
              <w:pStyle w:val="TableParagraph"/>
              <w:spacing w:line="242" w:lineRule="exact"/>
              <w:ind w:left="141" w:right="130"/>
              <w:jc w:val="center"/>
            </w:pPr>
            <w:r>
              <w:t>0,45</w:t>
            </w:r>
            <w:r>
              <w:rPr>
                <w:spacing w:val="-4"/>
              </w:rPr>
              <w:t xml:space="preserve"> </w:t>
            </w:r>
            <w:r>
              <w:t>(0,32;</w:t>
            </w:r>
            <w:r>
              <w:rPr>
                <w:spacing w:val="-3"/>
              </w:rPr>
              <w:t xml:space="preserve"> </w:t>
            </w:r>
            <w:r>
              <w:t>0,62)</w:t>
            </w:r>
          </w:p>
        </w:tc>
        <w:tc>
          <w:tcPr>
            <w:tcW w:w="955" w:type="dxa"/>
          </w:tcPr>
          <w:p w14:paraId="23E659C9" w14:textId="77777777" w:rsidR="004C11B6" w:rsidRDefault="00F05A0C">
            <w:pPr>
              <w:pStyle w:val="TableParagraph"/>
              <w:spacing w:line="242" w:lineRule="exact"/>
              <w:ind w:left="94" w:right="80"/>
              <w:jc w:val="center"/>
            </w:pPr>
            <w:r>
              <w:t>&lt;0,0001</w:t>
            </w:r>
          </w:p>
        </w:tc>
      </w:tr>
      <w:tr w:rsidR="004C11B6" w14:paraId="6D188E2F" w14:textId="77777777" w:rsidTr="001750D5">
        <w:trPr>
          <w:trHeight w:val="244"/>
        </w:trPr>
        <w:tc>
          <w:tcPr>
            <w:tcW w:w="3085" w:type="dxa"/>
          </w:tcPr>
          <w:p w14:paraId="7FAC73CA" w14:textId="77777777" w:rsidR="004C11B6" w:rsidRDefault="00F05A0C">
            <w:pPr>
              <w:pStyle w:val="TableParagraph"/>
              <w:spacing w:line="224" w:lineRule="exact"/>
              <w:ind w:left="379"/>
            </w:pPr>
            <w:r>
              <w:t>Stroke</w:t>
            </w:r>
          </w:p>
        </w:tc>
        <w:tc>
          <w:tcPr>
            <w:tcW w:w="1641" w:type="dxa"/>
          </w:tcPr>
          <w:p w14:paraId="15E31727" w14:textId="77777777" w:rsidR="004C11B6" w:rsidRDefault="004C11B6">
            <w:pPr>
              <w:pStyle w:val="TableParagraph"/>
              <w:rPr>
                <w:sz w:val="16"/>
              </w:rPr>
            </w:pPr>
          </w:p>
        </w:tc>
        <w:tc>
          <w:tcPr>
            <w:tcW w:w="1706" w:type="dxa"/>
          </w:tcPr>
          <w:p w14:paraId="43FBF5EE" w14:textId="77777777" w:rsidR="004C11B6" w:rsidRDefault="004C11B6">
            <w:pPr>
              <w:pStyle w:val="TableParagraph"/>
              <w:rPr>
                <w:sz w:val="16"/>
              </w:rPr>
            </w:pPr>
          </w:p>
        </w:tc>
        <w:tc>
          <w:tcPr>
            <w:tcW w:w="1788" w:type="dxa"/>
          </w:tcPr>
          <w:p w14:paraId="34167F3B" w14:textId="77777777" w:rsidR="004C11B6" w:rsidRDefault="004C11B6">
            <w:pPr>
              <w:pStyle w:val="TableParagraph"/>
              <w:rPr>
                <w:sz w:val="16"/>
              </w:rPr>
            </w:pPr>
          </w:p>
        </w:tc>
        <w:tc>
          <w:tcPr>
            <w:tcW w:w="955" w:type="dxa"/>
          </w:tcPr>
          <w:p w14:paraId="5E1BD71E" w14:textId="77777777" w:rsidR="004C11B6" w:rsidRDefault="004C11B6">
            <w:pPr>
              <w:pStyle w:val="TableParagraph"/>
              <w:rPr>
                <w:sz w:val="16"/>
              </w:rPr>
            </w:pPr>
          </w:p>
        </w:tc>
      </w:tr>
      <w:tr w:rsidR="004C11B6" w14:paraId="452CB3AC" w14:textId="77777777" w:rsidTr="001750D5">
        <w:trPr>
          <w:trHeight w:val="486"/>
        </w:trPr>
        <w:tc>
          <w:tcPr>
            <w:tcW w:w="3085" w:type="dxa"/>
          </w:tcPr>
          <w:p w14:paraId="62139DAE" w14:textId="77777777" w:rsidR="004C11B6" w:rsidRDefault="00F05A0C">
            <w:pPr>
              <w:pStyle w:val="TableParagraph"/>
              <w:spacing w:line="238" w:lineRule="exact"/>
              <w:ind w:left="652"/>
            </w:pPr>
            <w:r>
              <w:t>Ischaemiás</w:t>
            </w:r>
            <w:r>
              <w:rPr>
                <w:spacing w:val="-4"/>
              </w:rPr>
              <w:t xml:space="preserve"> </w:t>
            </w:r>
            <w:r>
              <w:t>vagy</w:t>
            </w:r>
            <w:r>
              <w:rPr>
                <w:spacing w:val="-4"/>
              </w:rPr>
              <w:t xml:space="preserve"> </w:t>
            </w:r>
            <w:r>
              <w:t>nem</w:t>
            </w:r>
          </w:p>
          <w:p w14:paraId="2594F8C0" w14:textId="77777777" w:rsidR="004C11B6" w:rsidRDefault="00F05A0C">
            <w:pPr>
              <w:pStyle w:val="TableParagraph"/>
              <w:spacing w:line="229" w:lineRule="exact"/>
              <w:ind w:left="652"/>
            </w:pPr>
            <w:r>
              <w:t>meghatározott</w:t>
            </w:r>
          </w:p>
        </w:tc>
        <w:tc>
          <w:tcPr>
            <w:tcW w:w="1641" w:type="dxa"/>
          </w:tcPr>
          <w:p w14:paraId="5F179DBD" w14:textId="77777777" w:rsidR="004C11B6" w:rsidRDefault="00F05A0C">
            <w:pPr>
              <w:pStyle w:val="TableParagraph"/>
              <w:spacing w:line="242" w:lineRule="exact"/>
              <w:ind w:left="345" w:right="333"/>
              <w:jc w:val="center"/>
            </w:pPr>
            <w:r>
              <w:t>43</w:t>
            </w:r>
            <w:r>
              <w:rPr>
                <w:spacing w:val="-3"/>
              </w:rPr>
              <w:t xml:space="preserve"> </w:t>
            </w:r>
            <w:r>
              <w:t>(1,37)</w:t>
            </w:r>
          </w:p>
        </w:tc>
        <w:tc>
          <w:tcPr>
            <w:tcW w:w="1706" w:type="dxa"/>
          </w:tcPr>
          <w:p w14:paraId="280B3A26" w14:textId="77777777" w:rsidR="004C11B6" w:rsidRDefault="00F05A0C">
            <w:pPr>
              <w:pStyle w:val="TableParagraph"/>
              <w:spacing w:line="242" w:lineRule="exact"/>
              <w:ind w:left="105" w:right="95"/>
              <w:jc w:val="center"/>
            </w:pPr>
            <w:r>
              <w:t>97</w:t>
            </w:r>
            <w:r>
              <w:rPr>
                <w:spacing w:val="-3"/>
              </w:rPr>
              <w:t xml:space="preserve"> </w:t>
            </w:r>
            <w:r>
              <w:t>(3,11)</w:t>
            </w:r>
          </w:p>
        </w:tc>
        <w:tc>
          <w:tcPr>
            <w:tcW w:w="1788" w:type="dxa"/>
          </w:tcPr>
          <w:p w14:paraId="51C27927" w14:textId="77777777" w:rsidR="004C11B6" w:rsidRDefault="00F05A0C">
            <w:pPr>
              <w:pStyle w:val="TableParagraph"/>
              <w:spacing w:line="242" w:lineRule="exact"/>
              <w:ind w:left="141" w:right="130"/>
              <w:jc w:val="center"/>
            </w:pPr>
            <w:r>
              <w:t>0,44</w:t>
            </w:r>
            <w:r>
              <w:rPr>
                <w:spacing w:val="-4"/>
              </w:rPr>
              <w:t xml:space="preserve"> </w:t>
            </w:r>
            <w:r>
              <w:t>(0,31;</w:t>
            </w:r>
            <w:r>
              <w:rPr>
                <w:spacing w:val="-3"/>
              </w:rPr>
              <w:t xml:space="preserve"> </w:t>
            </w:r>
            <w:r>
              <w:t>0,63)</w:t>
            </w:r>
          </w:p>
        </w:tc>
        <w:tc>
          <w:tcPr>
            <w:tcW w:w="955" w:type="dxa"/>
          </w:tcPr>
          <w:p w14:paraId="2CAEB399" w14:textId="77777777" w:rsidR="004C11B6" w:rsidRDefault="004C11B6">
            <w:pPr>
              <w:pStyle w:val="TableParagraph"/>
            </w:pPr>
          </w:p>
        </w:tc>
      </w:tr>
      <w:tr w:rsidR="004C11B6" w14:paraId="7F16F9A6" w14:textId="77777777" w:rsidTr="001750D5">
        <w:trPr>
          <w:trHeight w:val="241"/>
        </w:trPr>
        <w:tc>
          <w:tcPr>
            <w:tcW w:w="3085" w:type="dxa"/>
          </w:tcPr>
          <w:p w14:paraId="5EF5A513" w14:textId="77777777" w:rsidR="004C11B6" w:rsidRDefault="00F05A0C">
            <w:pPr>
              <w:pStyle w:val="TableParagraph"/>
              <w:spacing w:line="222" w:lineRule="exact"/>
              <w:ind w:left="647"/>
            </w:pPr>
            <w:r>
              <w:t>Haemorrhagiás</w:t>
            </w:r>
          </w:p>
        </w:tc>
        <w:tc>
          <w:tcPr>
            <w:tcW w:w="1641" w:type="dxa"/>
          </w:tcPr>
          <w:p w14:paraId="10CAB0B5" w14:textId="77777777" w:rsidR="004C11B6" w:rsidRDefault="00F05A0C">
            <w:pPr>
              <w:pStyle w:val="TableParagraph"/>
              <w:spacing w:line="222" w:lineRule="exact"/>
              <w:ind w:left="345" w:right="333"/>
              <w:jc w:val="center"/>
            </w:pPr>
            <w:r>
              <w:t>6</w:t>
            </w:r>
            <w:r>
              <w:rPr>
                <w:spacing w:val="-3"/>
              </w:rPr>
              <w:t xml:space="preserve"> </w:t>
            </w:r>
            <w:r>
              <w:t>(0,19)</w:t>
            </w:r>
          </w:p>
        </w:tc>
        <w:tc>
          <w:tcPr>
            <w:tcW w:w="1706" w:type="dxa"/>
          </w:tcPr>
          <w:p w14:paraId="4AE9CB52" w14:textId="77777777" w:rsidR="004C11B6" w:rsidRDefault="00F05A0C">
            <w:pPr>
              <w:pStyle w:val="TableParagraph"/>
              <w:spacing w:line="222" w:lineRule="exact"/>
              <w:ind w:left="105" w:right="95"/>
              <w:jc w:val="center"/>
            </w:pPr>
            <w:r>
              <w:t>9</w:t>
            </w:r>
            <w:r>
              <w:rPr>
                <w:spacing w:val="-3"/>
              </w:rPr>
              <w:t xml:space="preserve"> </w:t>
            </w:r>
            <w:r>
              <w:t>(0,28)</w:t>
            </w:r>
          </w:p>
        </w:tc>
        <w:tc>
          <w:tcPr>
            <w:tcW w:w="1788" w:type="dxa"/>
          </w:tcPr>
          <w:p w14:paraId="0629F224" w14:textId="77777777" w:rsidR="004C11B6" w:rsidRDefault="00F05A0C">
            <w:pPr>
              <w:pStyle w:val="TableParagraph"/>
              <w:spacing w:line="222" w:lineRule="exact"/>
              <w:ind w:left="141" w:right="130"/>
              <w:jc w:val="center"/>
            </w:pPr>
            <w:r>
              <w:t>0,67</w:t>
            </w:r>
            <w:r>
              <w:rPr>
                <w:spacing w:val="-4"/>
              </w:rPr>
              <w:t xml:space="preserve"> </w:t>
            </w:r>
            <w:r>
              <w:t>(0,24;</w:t>
            </w:r>
            <w:r>
              <w:rPr>
                <w:spacing w:val="-3"/>
              </w:rPr>
              <w:t xml:space="preserve"> </w:t>
            </w:r>
            <w:r>
              <w:t>1,88)</w:t>
            </w:r>
          </w:p>
        </w:tc>
        <w:tc>
          <w:tcPr>
            <w:tcW w:w="955" w:type="dxa"/>
          </w:tcPr>
          <w:p w14:paraId="123B1165" w14:textId="77777777" w:rsidR="004C11B6" w:rsidRDefault="004C11B6">
            <w:pPr>
              <w:pStyle w:val="TableParagraph"/>
              <w:rPr>
                <w:sz w:val="16"/>
              </w:rPr>
            </w:pPr>
          </w:p>
        </w:tc>
      </w:tr>
      <w:tr w:rsidR="004C11B6" w14:paraId="2851CB33" w14:textId="77777777" w:rsidTr="001750D5">
        <w:trPr>
          <w:trHeight w:val="244"/>
        </w:trPr>
        <w:tc>
          <w:tcPr>
            <w:tcW w:w="3085" w:type="dxa"/>
          </w:tcPr>
          <w:p w14:paraId="2F744AB8" w14:textId="77777777" w:rsidR="004C11B6" w:rsidRDefault="00F05A0C">
            <w:pPr>
              <w:pStyle w:val="TableParagraph"/>
              <w:spacing w:line="224" w:lineRule="exact"/>
              <w:ind w:right="446"/>
              <w:jc w:val="right"/>
            </w:pPr>
            <w:r>
              <w:t>Szisztémás</w:t>
            </w:r>
            <w:r>
              <w:rPr>
                <w:spacing w:val="-7"/>
              </w:rPr>
              <w:t xml:space="preserve"> </w:t>
            </w:r>
            <w:r>
              <w:t>embolizáció</w:t>
            </w:r>
          </w:p>
        </w:tc>
        <w:tc>
          <w:tcPr>
            <w:tcW w:w="1641" w:type="dxa"/>
          </w:tcPr>
          <w:p w14:paraId="1B634099" w14:textId="77777777" w:rsidR="004C11B6" w:rsidRDefault="00F05A0C">
            <w:pPr>
              <w:pStyle w:val="TableParagraph"/>
              <w:spacing w:line="224" w:lineRule="exact"/>
              <w:ind w:left="342" w:right="333"/>
              <w:jc w:val="center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(0,06)</w:t>
            </w:r>
          </w:p>
        </w:tc>
        <w:tc>
          <w:tcPr>
            <w:tcW w:w="1706" w:type="dxa"/>
          </w:tcPr>
          <w:p w14:paraId="49B1F98F" w14:textId="77777777" w:rsidR="004C11B6" w:rsidRDefault="00F05A0C">
            <w:pPr>
              <w:pStyle w:val="TableParagraph"/>
              <w:spacing w:line="224" w:lineRule="exact"/>
              <w:ind w:left="105" w:right="95"/>
              <w:jc w:val="center"/>
            </w:pPr>
            <w:r>
              <w:t>13</w:t>
            </w:r>
            <w:r>
              <w:rPr>
                <w:spacing w:val="-3"/>
              </w:rPr>
              <w:t xml:space="preserve"> </w:t>
            </w:r>
            <w:r>
              <w:t>(0,41)</w:t>
            </w:r>
          </w:p>
        </w:tc>
        <w:tc>
          <w:tcPr>
            <w:tcW w:w="1788" w:type="dxa"/>
          </w:tcPr>
          <w:p w14:paraId="4BBFC3D5" w14:textId="77777777" w:rsidR="004C11B6" w:rsidRDefault="00F05A0C">
            <w:pPr>
              <w:pStyle w:val="TableParagraph"/>
              <w:spacing w:line="224" w:lineRule="exact"/>
              <w:ind w:left="141" w:right="130"/>
              <w:jc w:val="center"/>
            </w:pPr>
            <w:r>
              <w:t>0,15</w:t>
            </w:r>
            <w:r>
              <w:rPr>
                <w:spacing w:val="-4"/>
              </w:rPr>
              <w:t xml:space="preserve"> </w:t>
            </w:r>
            <w:r>
              <w:t>(0,03;</w:t>
            </w:r>
            <w:r>
              <w:rPr>
                <w:spacing w:val="-3"/>
              </w:rPr>
              <w:t xml:space="preserve"> </w:t>
            </w:r>
            <w:r>
              <w:t>0,68)</w:t>
            </w:r>
          </w:p>
        </w:tc>
        <w:tc>
          <w:tcPr>
            <w:tcW w:w="955" w:type="dxa"/>
          </w:tcPr>
          <w:p w14:paraId="16C896E7" w14:textId="77777777" w:rsidR="004C11B6" w:rsidRDefault="004C11B6">
            <w:pPr>
              <w:pStyle w:val="TableParagraph"/>
              <w:rPr>
                <w:sz w:val="16"/>
              </w:rPr>
            </w:pPr>
          </w:p>
        </w:tc>
      </w:tr>
      <w:tr w:rsidR="004C11B6" w14:paraId="49FEF1E3" w14:textId="77777777" w:rsidTr="001750D5">
        <w:trPr>
          <w:trHeight w:val="731"/>
        </w:trPr>
        <w:tc>
          <w:tcPr>
            <w:tcW w:w="3085" w:type="dxa"/>
          </w:tcPr>
          <w:p w14:paraId="64ED2E9B" w14:textId="77777777" w:rsidR="004C11B6" w:rsidRDefault="00F05A0C">
            <w:pPr>
              <w:pStyle w:val="TableParagraph"/>
              <w:spacing w:line="230" w:lineRule="auto"/>
              <w:ind w:left="107" w:right="884"/>
            </w:pPr>
            <w:r>
              <w:t>Stroke, szisztémás</w:t>
            </w:r>
            <w:r>
              <w:rPr>
                <w:spacing w:val="1"/>
              </w:rPr>
              <w:t xml:space="preserve"> </w:t>
            </w:r>
            <w:r>
              <w:t>embolizáció,</w:t>
            </w:r>
            <w:r>
              <w:rPr>
                <w:spacing w:val="-6"/>
              </w:rPr>
              <w:t xml:space="preserve"> </w:t>
            </w:r>
            <w:r>
              <w:t>MI</w:t>
            </w:r>
            <w:r>
              <w:rPr>
                <w:spacing w:val="-5"/>
              </w:rPr>
              <w:t xml:space="preserve"> </w:t>
            </w:r>
            <w:r>
              <w:t>vagy</w:t>
            </w:r>
          </w:p>
          <w:p w14:paraId="7A21CA4B" w14:textId="77777777" w:rsidR="004C11B6" w:rsidRDefault="00F05A0C">
            <w:pPr>
              <w:pStyle w:val="TableParagraph"/>
              <w:spacing w:line="226" w:lineRule="exact"/>
              <w:ind w:left="107"/>
              <w:rPr>
                <w:sz w:val="14"/>
              </w:rPr>
            </w:pPr>
            <w:r>
              <w:t>vascularis</w:t>
            </w:r>
            <w:r>
              <w:rPr>
                <w:spacing w:val="-6"/>
              </w:rPr>
              <w:t xml:space="preserve"> </w:t>
            </w:r>
            <w:r>
              <w:t>eredetű</w:t>
            </w:r>
            <w:r>
              <w:rPr>
                <w:spacing w:val="-5"/>
              </w:rPr>
              <w:t xml:space="preserve"> </w:t>
            </w:r>
            <w:r>
              <w:t>halál</w:t>
            </w:r>
            <w:r>
              <w:rPr>
                <w:b/>
              </w:rPr>
              <w:t>*</w:t>
            </w:r>
            <w:r>
              <w:rPr>
                <w:position w:val="7"/>
                <w:sz w:val="14"/>
              </w:rPr>
              <w:t>†</w:t>
            </w:r>
          </w:p>
        </w:tc>
        <w:tc>
          <w:tcPr>
            <w:tcW w:w="1641" w:type="dxa"/>
          </w:tcPr>
          <w:p w14:paraId="7D5AA537" w14:textId="77777777" w:rsidR="004C11B6" w:rsidRDefault="00F05A0C">
            <w:pPr>
              <w:pStyle w:val="TableParagraph"/>
              <w:spacing w:line="244" w:lineRule="exact"/>
              <w:ind w:left="345" w:right="333"/>
              <w:jc w:val="center"/>
            </w:pPr>
            <w:r>
              <w:t>132</w:t>
            </w:r>
            <w:r>
              <w:rPr>
                <w:spacing w:val="-4"/>
              </w:rPr>
              <w:t xml:space="preserve"> </w:t>
            </w:r>
            <w:r>
              <w:t>(4,21)</w:t>
            </w:r>
          </w:p>
        </w:tc>
        <w:tc>
          <w:tcPr>
            <w:tcW w:w="1706" w:type="dxa"/>
          </w:tcPr>
          <w:p w14:paraId="1981267E" w14:textId="77777777" w:rsidR="004C11B6" w:rsidRDefault="00F05A0C">
            <w:pPr>
              <w:pStyle w:val="TableParagraph"/>
              <w:spacing w:line="244" w:lineRule="exact"/>
              <w:ind w:left="105" w:right="95"/>
              <w:jc w:val="center"/>
            </w:pPr>
            <w:r>
              <w:t>197</w:t>
            </w:r>
            <w:r>
              <w:rPr>
                <w:spacing w:val="-4"/>
              </w:rPr>
              <w:t xml:space="preserve"> </w:t>
            </w:r>
            <w:r>
              <w:t>(6,35)</w:t>
            </w:r>
          </w:p>
        </w:tc>
        <w:tc>
          <w:tcPr>
            <w:tcW w:w="1788" w:type="dxa"/>
          </w:tcPr>
          <w:p w14:paraId="0AAE7ED4" w14:textId="77777777" w:rsidR="004C11B6" w:rsidRDefault="00F05A0C">
            <w:pPr>
              <w:pStyle w:val="TableParagraph"/>
              <w:spacing w:line="244" w:lineRule="exact"/>
              <w:ind w:left="141" w:right="130"/>
              <w:jc w:val="center"/>
            </w:pPr>
            <w:r>
              <w:t>0,66</w:t>
            </w:r>
            <w:r>
              <w:rPr>
                <w:spacing w:val="-4"/>
              </w:rPr>
              <w:t xml:space="preserve"> </w:t>
            </w:r>
            <w:r>
              <w:t>(0,53;</w:t>
            </w:r>
            <w:r>
              <w:rPr>
                <w:spacing w:val="-3"/>
              </w:rPr>
              <w:t xml:space="preserve"> </w:t>
            </w:r>
            <w:r>
              <w:t>0,83)</w:t>
            </w:r>
          </w:p>
        </w:tc>
        <w:tc>
          <w:tcPr>
            <w:tcW w:w="955" w:type="dxa"/>
          </w:tcPr>
          <w:p w14:paraId="63443054" w14:textId="77777777" w:rsidR="004C11B6" w:rsidRDefault="00F05A0C">
            <w:pPr>
              <w:pStyle w:val="TableParagraph"/>
              <w:spacing w:line="244" w:lineRule="exact"/>
              <w:ind w:left="94" w:right="80"/>
              <w:jc w:val="center"/>
            </w:pPr>
            <w:r>
              <w:t>0,003</w:t>
            </w:r>
          </w:p>
        </w:tc>
      </w:tr>
      <w:tr w:rsidR="004C11B6" w14:paraId="103F8547" w14:textId="77777777" w:rsidTr="001750D5">
        <w:trPr>
          <w:trHeight w:val="242"/>
        </w:trPr>
        <w:tc>
          <w:tcPr>
            <w:tcW w:w="3085" w:type="dxa"/>
          </w:tcPr>
          <w:p w14:paraId="54927678" w14:textId="77777777" w:rsidR="004C11B6" w:rsidRDefault="00F05A0C">
            <w:pPr>
              <w:pStyle w:val="TableParagraph"/>
              <w:spacing w:line="222" w:lineRule="exact"/>
              <w:ind w:left="381"/>
            </w:pPr>
            <w:r>
              <w:t>Myocardialis</w:t>
            </w:r>
            <w:r>
              <w:rPr>
                <w:spacing w:val="-7"/>
              </w:rPr>
              <w:t xml:space="preserve"> </w:t>
            </w:r>
            <w:r>
              <w:t>infarctus</w:t>
            </w:r>
          </w:p>
        </w:tc>
        <w:tc>
          <w:tcPr>
            <w:tcW w:w="1641" w:type="dxa"/>
          </w:tcPr>
          <w:p w14:paraId="11D7ADBE" w14:textId="77777777" w:rsidR="004C11B6" w:rsidRDefault="00F05A0C">
            <w:pPr>
              <w:pStyle w:val="TableParagraph"/>
              <w:spacing w:line="222" w:lineRule="exact"/>
              <w:ind w:left="345" w:right="333"/>
              <w:jc w:val="center"/>
            </w:pPr>
            <w:r>
              <w:t>24</w:t>
            </w:r>
            <w:r>
              <w:rPr>
                <w:spacing w:val="-3"/>
              </w:rPr>
              <w:t xml:space="preserve"> </w:t>
            </w:r>
            <w:r>
              <w:t>(0,76)</w:t>
            </w:r>
          </w:p>
        </w:tc>
        <w:tc>
          <w:tcPr>
            <w:tcW w:w="1706" w:type="dxa"/>
          </w:tcPr>
          <w:p w14:paraId="1A3104D4" w14:textId="77777777" w:rsidR="004C11B6" w:rsidRDefault="00F05A0C">
            <w:pPr>
              <w:pStyle w:val="TableParagraph"/>
              <w:spacing w:line="222" w:lineRule="exact"/>
              <w:ind w:left="105" w:right="95"/>
              <w:jc w:val="center"/>
            </w:pPr>
            <w:r>
              <w:t>28</w:t>
            </w:r>
            <w:r>
              <w:rPr>
                <w:spacing w:val="-3"/>
              </w:rPr>
              <w:t xml:space="preserve"> </w:t>
            </w:r>
            <w:r>
              <w:t>(0,89)</w:t>
            </w:r>
          </w:p>
        </w:tc>
        <w:tc>
          <w:tcPr>
            <w:tcW w:w="1788" w:type="dxa"/>
          </w:tcPr>
          <w:p w14:paraId="6592F255" w14:textId="77777777" w:rsidR="004C11B6" w:rsidRDefault="00F05A0C">
            <w:pPr>
              <w:pStyle w:val="TableParagraph"/>
              <w:spacing w:line="222" w:lineRule="exact"/>
              <w:ind w:left="141" w:right="130"/>
              <w:jc w:val="center"/>
            </w:pPr>
            <w:r>
              <w:t>0,86</w:t>
            </w:r>
            <w:r>
              <w:rPr>
                <w:spacing w:val="-4"/>
              </w:rPr>
              <w:t xml:space="preserve"> </w:t>
            </w:r>
            <w:r>
              <w:t>(0,50;</w:t>
            </w:r>
            <w:r>
              <w:rPr>
                <w:spacing w:val="-3"/>
              </w:rPr>
              <w:t xml:space="preserve"> </w:t>
            </w:r>
            <w:r>
              <w:t>1,48)</w:t>
            </w:r>
          </w:p>
        </w:tc>
        <w:tc>
          <w:tcPr>
            <w:tcW w:w="955" w:type="dxa"/>
          </w:tcPr>
          <w:p w14:paraId="5167A55B" w14:textId="77777777" w:rsidR="004C11B6" w:rsidRDefault="004C11B6">
            <w:pPr>
              <w:pStyle w:val="TableParagraph"/>
              <w:rPr>
                <w:sz w:val="16"/>
              </w:rPr>
            </w:pPr>
          </w:p>
        </w:tc>
      </w:tr>
      <w:tr w:rsidR="004C11B6" w14:paraId="3064241A" w14:textId="77777777" w:rsidTr="001750D5">
        <w:trPr>
          <w:trHeight w:val="244"/>
        </w:trPr>
        <w:tc>
          <w:tcPr>
            <w:tcW w:w="3085" w:type="dxa"/>
          </w:tcPr>
          <w:p w14:paraId="6FE8B9E0" w14:textId="77777777" w:rsidR="004C11B6" w:rsidRDefault="00F05A0C">
            <w:pPr>
              <w:pStyle w:val="TableParagraph"/>
              <w:spacing w:line="224" w:lineRule="exact"/>
              <w:ind w:right="438"/>
              <w:jc w:val="right"/>
            </w:pPr>
            <w:r>
              <w:t>Vascularis</w:t>
            </w:r>
            <w:r>
              <w:rPr>
                <w:spacing w:val="-5"/>
              </w:rPr>
              <w:t xml:space="preserve"> </w:t>
            </w:r>
            <w:r>
              <w:t>eredetű</w:t>
            </w:r>
            <w:r>
              <w:rPr>
                <w:spacing w:val="-5"/>
              </w:rPr>
              <w:t xml:space="preserve"> </w:t>
            </w:r>
            <w:r>
              <w:t>halál</w:t>
            </w:r>
          </w:p>
        </w:tc>
        <w:tc>
          <w:tcPr>
            <w:tcW w:w="1641" w:type="dxa"/>
          </w:tcPr>
          <w:p w14:paraId="4E2FB259" w14:textId="77777777" w:rsidR="004C11B6" w:rsidRDefault="00F05A0C">
            <w:pPr>
              <w:pStyle w:val="TableParagraph"/>
              <w:spacing w:line="224" w:lineRule="exact"/>
              <w:ind w:left="345" w:right="333"/>
              <w:jc w:val="center"/>
            </w:pPr>
            <w:r>
              <w:t>84</w:t>
            </w:r>
            <w:r>
              <w:rPr>
                <w:spacing w:val="-3"/>
              </w:rPr>
              <w:t xml:space="preserve"> </w:t>
            </w:r>
            <w:r>
              <w:t>(2,65)</w:t>
            </w:r>
          </w:p>
        </w:tc>
        <w:tc>
          <w:tcPr>
            <w:tcW w:w="1706" w:type="dxa"/>
          </w:tcPr>
          <w:p w14:paraId="16D9D06F" w14:textId="77777777" w:rsidR="004C11B6" w:rsidRDefault="00F05A0C">
            <w:pPr>
              <w:pStyle w:val="TableParagraph"/>
              <w:spacing w:line="224" w:lineRule="exact"/>
              <w:ind w:left="105" w:right="95"/>
              <w:jc w:val="center"/>
            </w:pPr>
            <w:r>
              <w:t>96</w:t>
            </w:r>
            <w:r>
              <w:rPr>
                <w:spacing w:val="-3"/>
              </w:rPr>
              <w:t xml:space="preserve"> </w:t>
            </w:r>
            <w:r>
              <w:t>(3,03)</w:t>
            </w:r>
          </w:p>
        </w:tc>
        <w:tc>
          <w:tcPr>
            <w:tcW w:w="1788" w:type="dxa"/>
          </w:tcPr>
          <w:p w14:paraId="3D1DEC78" w14:textId="77777777" w:rsidR="004C11B6" w:rsidRDefault="00F05A0C">
            <w:pPr>
              <w:pStyle w:val="TableParagraph"/>
              <w:spacing w:line="224" w:lineRule="exact"/>
              <w:ind w:left="141" w:right="130"/>
              <w:jc w:val="center"/>
            </w:pPr>
            <w:r>
              <w:t>0,87</w:t>
            </w:r>
            <w:r>
              <w:rPr>
                <w:spacing w:val="-4"/>
              </w:rPr>
              <w:t xml:space="preserve"> </w:t>
            </w:r>
            <w:r>
              <w:t>(0,65;</w:t>
            </w:r>
            <w:r>
              <w:rPr>
                <w:spacing w:val="-3"/>
              </w:rPr>
              <w:t xml:space="preserve"> </w:t>
            </w:r>
            <w:r>
              <w:t>1,17)</w:t>
            </w:r>
          </w:p>
        </w:tc>
        <w:tc>
          <w:tcPr>
            <w:tcW w:w="955" w:type="dxa"/>
          </w:tcPr>
          <w:p w14:paraId="40058FA3" w14:textId="77777777" w:rsidR="004C11B6" w:rsidRDefault="004C11B6">
            <w:pPr>
              <w:pStyle w:val="TableParagraph"/>
              <w:rPr>
                <w:sz w:val="16"/>
              </w:rPr>
            </w:pPr>
          </w:p>
        </w:tc>
      </w:tr>
      <w:tr w:rsidR="004C11B6" w14:paraId="474E266E" w14:textId="77777777" w:rsidTr="001750D5">
        <w:trPr>
          <w:trHeight w:val="285"/>
        </w:trPr>
        <w:tc>
          <w:tcPr>
            <w:tcW w:w="3085" w:type="dxa"/>
          </w:tcPr>
          <w:p w14:paraId="0CC9C2A7" w14:textId="77777777" w:rsidR="004C11B6" w:rsidRDefault="00F05A0C">
            <w:pPr>
              <w:pStyle w:val="TableParagraph"/>
              <w:spacing w:before="29" w:line="236" w:lineRule="exact"/>
              <w:ind w:left="107"/>
              <w:rPr>
                <w:sz w:val="14"/>
              </w:rPr>
            </w:pPr>
            <w:r>
              <w:t>Összmortalitás</w:t>
            </w:r>
            <w:r>
              <w:rPr>
                <w:position w:val="7"/>
                <w:sz w:val="14"/>
              </w:rPr>
              <w:t>†</w:t>
            </w:r>
          </w:p>
        </w:tc>
        <w:tc>
          <w:tcPr>
            <w:tcW w:w="1641" w:type="dxa"/>
          </w:tcPr>
          <w:p w14:paraId="333D45E7" w14:textId="77777777" w:rsidR="004C11B6" w:rsidRDefault="00F05A0C">
            <w:pPr>
              <w:pStyle w:val="TableParagraph"/>
              <w:spacing w:before="29" w:line="236" w:lineRule="exact"/>
              <w:ind w:left="345" w:right="333"/>
              <w:jc w:val="center"/>
            </w:pPr>
            <w:r>
              <w:t>111</w:t>
            </w:r>
            <w:r>
              <w:rPr>
                <w:spacing w:val="-4"/>
              </w:rPr>
              <w:t xml:space="preserve"> </w:t>
            </w:r>
            <w:r>
              <w:t>(3,51)</w:t>
            </w:r>
          </w:p>
        </w:tc>
        <w:tc>
          <w:tcPr>
            <w:tcW w:w="1706" w:type="dxa"/>
          </w:tcPr>
          <w:p w14:paraId="50AF8276" w14:textId="77777777" w:rsidR="004C11B6" w:rsidRDefault="00F05A0C">
            <w:pPr>
              <w:pStyle w:val="TableParagraph"/>
              <w:spacing w:before="29" w:line="236" w:lineRule="exact"/>
              <w:ind w:left="105" w:right="95"/>
              <w:jc w:val="center"/>
            </w:pPr>
            <w:r>
              <w:t>140</w:t>
            </w:r>
            <w:r>
              <w:rPr>
                <w:spacing w:val="-4"/>
              </w:rPr>
              <w:t xml:space="preserve"> </w:t>
            </w:r>
            <w:r>
              <w:t>(4,42)</w:t>
            </w:r>
          </w:p>
        </w:tc>
        <w:tc>
          <w:tcPr>
            <w:tcW w:w="1788" w:type="dxa"/>
          </w:tcPr>
          <w:p w14:paraId="782CD702" w14:textId="77777777" w:rsidR="004C11B6" w:rsidRDefault="00F05A0C">
            <w:pPr>
              <w:pStyle w:val="TableParagraph"/>
              <w:spacing w:before="29" w:line="236" w:lineRule="exact"/>
              <w:ind w:left="141" w:right="130"/>
              <w:jc w:val="center"/>
            </w:pPr>
            <w:r>
              <w:t>0,79</w:t>
            </w:r>
            <w:r>
              <w:rPr>
                <w:spacing w:val="-4"/>
              </w:rPr>
              <w:t xml:space="preserve"> </w:t>
            </w:r>
            <w:r>
              <w:t>(0,62;</w:t>
            </w:r>
            <w:r>
              <w:rPr>
                <w:spacing w:val="-3"/>
              </w:rPr>
              <w:t xml:space="preserve"> </w:t>
            </w:r>
            <w:r>
              <w:t>1,02)</w:t>
            </w:r>
          </w:p>
        </w:tc>
        <w:tc>
          <w:tcPr>
            <w:tcW w:w="955" w:type="dxa"/>
          </w:tcPr>
          <w:p w14:paraId="6B416860" w14:textId="77777777" w:rsidR="004C11B6" w:rsidRDefault="00F05A0C">
            <w:pPr>
              <w:pStyle w:val="TableParagraph"/>
              <w:spacing w:before="29" w:line="236" w:lineRule="exact"/>
              <w:ind w:left="94" w:right="80"/>
              <w:jc w:val="center"/>
            </w:pPr>
            <w:r>
              <w:t>0,068</w:t>
            </w:r>
          </w:p>
        </w:tc>
      </w:tr>
    </w:tbl>
    <w:p w14:paraId="1C253808" w14:textId="77777777" w:rsidR="004C11B6" w:rsidRDefault="00F05A0C" w:rsidP="001750D5">
      <w:pPr>
        <w:pStyle w:val="Listaszerbekezds"/>
        <w:numPr>
          <w:ilvl w:val="0"/>
          <w:numId w:val="61"/>
        </w:numPr>
        <w:spacing w:line="232" w:lineRule="auto"/>
        <w:ind w:left="235" w:right="1023" w:hanging="235"/>
      </w:pPr>
      <w:r>
        <w:t>A vizsgálatban előforduló általános I-es típusú hiba kiküszöbölése érdekében egy szekvenciális</w:t>
      </w:r>
      <w:r w:rsidRPr="00363C37">
        <w:t xml:space="preserve"> </w:t>
      </w:r>
      <w:r>
        <w:t>vizsgálati</w:t>
      </w:r>
      <w:r w:rsidRPr="00363C37">
        <w:t xml:space="preserve"> </w:t>
      </w:r>
      <w:r>
        <w:t>stratégia</w:t>
      </w:r>
      <w:r>
        <w:rPr>
          <w:spacing w:val="-1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>értékelték.</w:t>
      </w:r>
    </w:p>
    <w:p w14:paraId="5AE35E3A" w14:textId="77777777" w:rsidR="004C11B6" w:rsidRDefault="00F05A0C" w:rsidP="001750D5">
      <w:pPr>
        <w:pStyle w:val="Szvegtrzs"/>
        <w:spacing w:line="243" w:lineRule="exact"/>
      </w:pPr>
      <w:r>
        <w:t>†</w:t>
      </w:r>
      <w:r>
        <w:rPr>
          <w:spacing w:val="-4"/>
        </w:rPr>
        <w:t xml:space="preserve"> </w:t>
      </w:r>
      <w:r>
        <w:t>Másodlagos</w:t>
      </w:r>
      <w:r>
        <w:rPr>
          <w:spacing w:val="-4"/>
        </w:rPr>
        <w:t xml:space="preserve"> </w:t>
      </w:r>
      <w:r>
        <w:t>végpont.</w:t>
      </w:r>
    </w:p>
    <w:p w14:paraId="5FA2B04F" w14:textId="77777777" w:rsidR="004C11B6" w:rsidRDefault="004C11B6">
      <w:pPr>
        <w:pStyle w:val="Szvegtrzs"/>
        <w:spacing w:before="10"/>
        <w:rPr>
          <w:sz w:val="20"/>
        </w:rPr>
      </w:pPr>
    </w:p>
    <w:p w14:paraId="7F449060" w14:textId="77777777" w:rsidR="001750D5" w:rsidRDefault="00F05A0C" w:rsidP="001750D5">
      <w:pPr>
        <w:pStyle w:val="Szvegtrzs"/>
        <w:spacing w:line="233" w:lineRule="auto"/>
      </w:pPr>
      <w:r>
        <w:t>A nagyfokú vérzés előfordulási gyakoriságában nem volt statisztikailag szignifikáns különbség az</w:t>
      </w:r>
      <w:r>
        <w:rPr>
          <w:spacing w:val="-52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acetilszalicilsav</w:t>
      </w:r>
      <w:r>
        <w:rPr>
          <w:spacing w:val="-1"/>
        </w:rPr>
        <w:t xml:space="preserve"> </w:t>
      </w:r>
      <w:r>
        <w:t>között</w:t>
      </w:r>
      <w:r>
        <w:rPr>
          <w:spacing w:val="-2"/>
        </w:rPr>
        <w:t xml:space="preserve"> </w:t>
      </w:r>
      <w:r>
        <w:t>(lásd 7.</w:t>
      </w:r>
      <w:r>
        <w:rPr>
          <w:spacing w:val="-3"/>
        </w:rPr>
        <w:t xml:space="preserve"> </w:t>
      </w:r>
      <w:r>
        <w:t>táblázat).</w:t>
      </w:r>
    </w:p>
    <w:p w14:paraId="7FC5B8D7" w14:textId="77777777" w:rsidR="001750D5" w:rsidRDefault="001750D5" w:rsidP="001750D5">
      <w:pPr>
        <w:pStyle w:val="Szvegtrzs"/>
        <w:spacing w:line="232" w:lineRule="auto"/>
        <w:ind w:right="2"/>
      </w:pPr>
    </w:p>
    <w:p w14:paraId="7039369A" w14:textId="52846DF5" w:rsidR="004C11B6" w:rsidRPr="001750D5" w:rsidRDefault="00F05A0C" w:rsidP="001750D5">
      <w:pPr>
        <w:pStyle w:val="Szvegtrzs"/>
        <w:numPr>
          <w:ilvl w:val="0"/>
          <w:numId w:val="47"/>
        </w:numPr>
        <w:spacing w:line="232" w:lineRule="auto"/>
        <w:ind w:left="284" w:right="2" w:hanging="284"/>
        <w:rPr>
          <w:b/>
          <w:bCs/>
        </w:rPr>
      </w:pPr>
      <w:r w:rsidRPr="001750D5">
        <w:rPr>
          <w:b/>
          <w:bCs/>
        </w:rPr>
        <w:t>táblázat:</w:t>
      </w:r>
      <w:r w:rsidRPr="001750D5">
        <w:rPr>
          <w:b/>
          <w:bCs/>
          <w:spacing w:val="-7"/>
        </w:rPr>
        <w:t xml:space="preserve"> </w:t>
      </w:r>
      <w:r w:rsidRPr="001750D5">
        <w:rPr>
          <w:b/>
          <w:bCs/>
        </w:rPr>
        <w:t>Vérzéses</w:t>
      </w:r>
      <w:r w:rsidRPr="001750D5">
        <w:rPr>
          <w:b/>
          <w:bCs/>
          <w:spacing w:val="-6"/>
        </w:rPr>
        <w:t xml:space="preserve"> </w:t>
      </w:r>
      <w:r w:rsidRPr="001750D5">
        <w:rPr>
          <w:b/>
          <w:bCs/>
        </w:rPr>
        <w:t>események</w:t>
      </w:r>
      <w:r w:rsidRPr="001750D5">
        <w:rPr>
          <w:b/>
          <w:bCs/>
          <w:spacing w:val="-6"/>
        </w:rPr>
        <w:t xml:space="preserve"> </w:t>
      </w:r>
      <w:r w:rsidRPr="001750D5">
        <w:rPr>
          <w:b/>
          <w:bCs/>
        </w:rPr>
        <w:t>pitvarfibrilláló</w:t>
      </w:r>
      <w:r w:rsidRPr="001750D5">
        <w:rPr>
          <w:b/>
          <w:bCs/>
          <w:spacing w:val="-6"/>
        </w:rPr>
        <w:t xml:space="preserve"> </w:t>
      </w:r>
      <w:r w:rsidRPr="001750D5">
        <w:rPr>
          <w:b/>
          <w:bCs/>
        </w:rPr>
        <w:t>betegeknél</w:t>
      </w:r>
      <w:r w:rsidRPr="001750D5">
        <w:rPr>
          <w:b/>
          <w:bCs/>
          <w:spacing w:val="-6"/>
        </w:rPr>
        <w:t xml:space="preserve"> </w:t>
      </w:r>
      <w:r w:rsidRPr="001750D5">
        <w:rPr>
          <w:b/>
          <w:bCs/>
        </w:rPr>
        <w:t>az</w:t>
      </w:r>
      <w:r w:rsidRPr="001750D5">
        <w:rPr>
          <w:b/>
          <w:bCs/>
          <w:spacing w:val="-6"/>
        </w:rPr>
        <w:t xml:space="preserve"> </w:t>
      </w:r>
      <w:r w:rsidRPr="001750D5">
        <w:rPr>
          <w:b/>
          <w:bCs/>
        </w:rPr>
        <w:t>AVERROES-vizsgálatban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7"/>
        <w:gridCol w:w="1980"/>
        <w:gridCol w:w="1709"/>
        <w:gridCol w:w="2071"/>
        <w:gridCol w:w="989"/>
      </w:tblGrid>
      <w:tr w:rsidR="004C11B6" w14:paraId="54117A3A" w14:textId="77777777" w:rsidTr="001750D5">
        <w:trPr>
          <w:trHeight w:val="731"/>
        </w:trPr>
        <w:tc>
          <w:tcPr>
            <w:tcW w:w="2137" w:type="dxa"/>
          </w:tcPr>
          <w:p w14:paraId="5DF0A0D6" w14:textId="77777777" w:rsidR="004C11B6" w:rsidRDefault="004C11B6">
            <w:pPr>
              <w:pStyle w:val="TableParagraph"/>
            </w:pPr>
          </w:p>
        </w:tc>
        <w:tc>
          <w:tcPr>
            <w:tcW w:w="1980" w:type="dxa"/>
          </w:tcPr>
          <w:p w14:paraId="73572B59" w14:textId="77777777" w:rsidR="004C11B6" w:rsidRDefault="00F05A0C">
            <w:pPr>
              <w:pStyle w:val="TableParagraph"/>
              <w:spacing w:line="230" w:lineRule="auto"/>
              <w:ind w:left="571" w:right="510" w:hanging="41"/>
              <w:rPr>
                <w:b/>
              </w:rPr>
            </w:pPr>
            <w:r>
              <w:rPr>
                <w:b/>
                <w:spacing w:val="-1"/>
              </w:rPr>
              <w:t>Apixabán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 = 2798</w:t>
            </w:r>
          </w:p>
          <w:p w14:paraId="7226EDF7" w14:textId="77777777" w:rsidR="004C11B6" w:rsidRDefault="00F05A0C">
            <w:pPr>
              <w:pStyle w:val="TableParagraph"/>
              <w:spacing w:line="226" w:lineRule="exact"/>
              <w:ind w:left="583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1709" w:type="dxa"/>
          </w:tcPr>
          <w:p w14:paraId="5A8407A7" w14:textId="77777777" w:rsidR="004C11B6" w:rsidRDefault="00F05A0C">
            <w:pPr>
              <w:pStyle w:val="TableParagraph"/>
              <w:spacing w:line="230" w:lineRule="auto"/>
              <w:ind w:left="107" w:right="96"/>
              <w:jc w:val="center"/>
              <w:rPr>
                <w:b/>
              </w:rPr>
            </w:pPr>
            <w:r>
              <w:rPr>
                <w:b/>
                <w:spacing w:val="-1"/>
              </w:rPr>
              <w:t>Acetilszalicilsav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2780</w:t>
            </w:r>
          </w:p>
          <w:p w14:paraId="1626734D" w14:textId="77777777" w:rsidR="004C11B6" w:rsidRDefault="00F05A0C">
            <w:pPr>
              <w:pStyle w:val="TableParagraph"/>
              <w:spacing w:line="226" w:lineRule="exact"/>
              <w:ind w:left="104" w:right="96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(%/év)</w:t>
            </w:r>
          </w:p>
        </w:tc>
        <w:tc>
          <w:tcPr>
            <w:tcW w:w="2071" w:type="dxa"/>
          </w:tcPr>
          <w:p w14:paraId="5C221E72" w14:textId="77777777" w:rsidR="004C11B6" w:rsidRDefault="00F05A0C">
            <w:pPr>
              <w:pStyle w:val="TableParagraph"/>
              <w:spacing w:line="230" w:lineRule="auto"/>
              <w:ind w:left="455" w:right="331" w:hanging="118"/>
              <w:rPr>
                <w:b/>
              </w:rPr>
            </w:pPr>
            <w:r>
              <w:rPr>
                <w:b/>
              </w:rPr>
              <w:t>Relatív hazárd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CI)</w:t>
            </w:r>
          </w:p>
        </w:tc>
        <w:tc>
          <w:tcPr>
            <w:tcW w:w="989" w:type="dxa"/>
          </w:tcPr>
          <w:p w14:paraId="23F6F493" w14:textId="77777777" w:rsidR="004C11B6" w:rsidRDefault="00F05A0C">
            <w:pPr>
              <w:pStyle w:val="TableParagraph"/>
              <w:spacing w:line="244" w:lineRule="exact"/>
              <w:ind w:left="151"/>
              <w:rPr>
                <w:b/>
              </w:rPr>
            </w:pPr>
            <w:r>
              <w:rPr>
                <w:b/>
              </w:rPr>
              <w:t>p-érték</w:t>
            </w:r>
          </w:p>
        </w:tc>
      </w:tr>
      <w:tr w:rsidR="004C11B6" w14:paraId="12171499" w14:textId="77777777" w:rsidTr="001750D5">
        <w:trPr>
          <w:trHeight w:val="277"/>
        </w:trPr>
        <w:tc>
          <w:tcPr>
            <w:tcW w:w="2137" w:type="dxa"/>
          </w:tcPr>
          <w:p w14:paraId="3D8AE035" w14:textId="77777777" w:rsidR="004C11B6" w:rsidRDefault="00F05A0C">
            <w:pPr>
              <w:pStyle w:val="TableParagraph"/>
              <w:spacing w:line="242" w:lineRule="exact"/>
              <w:ind w:left="107"/>
            </w:pPr>
            <w:r>
              <w:t>Nagyfokú*</w:t>
            </w:r>
          </w:p>
        </w:tc>
        <w:tc>
          <w:tcPr>
            <w:tcW w:w="1980" w:type="dxa"/>
          </w:tcPr>
          <w:p w14:paraId="13C822A1" w14:textId="77777777" w:rsidR="004C11B6" w:rsidRDefault="00F05A0C">
            <w:pPr>
              <w:pStyle w:val="TableParagraph"/>
              <w:spacing w:line="242" w:lineRule="exact"/>
              <w:ind w:left="234" w:right="225"/>
              <w:jc w:val="center"/>
            </w:pPr>
            <w:r>
              <w:t>45</w:t>
            </w:r>
            <w:r>
              <w:rPr>
                <w:spacing w:val="-3"/>
              </w:rPr>
              <w:t xml:space="preserve"> </w:t>
            </w:r>
            <w:r>
              <w:t>(1,41)</w:t>
            </w:r>
          </w:p>
        </w:tc>
        <w:tc>
          <w:tcPr>
            <w:tcW w:w="1709" w:type="dxa"/>
          </w:tcPr>
          <w:p w14:paraId="7FE53800" w14:textId="77777777" w:rsidR="004C11B6" w:rsidRDefault="00F05A0C">
            <w:pPr>
              <w:pStyle w:val="TableParagraph"/>
              <w:spacing w:line="242" w:lineRule="exact"/>
              <w:ind w:left="451"/>
            </w:pPr>
            <w:r>
              <w:t>29</w:t>
            </w:r>
            <w:r>
              <w:rPr>
                <w:spacing w:val="-3"/>
              </w:rPr>
              <w:t xml:space="preserve"> </w:t>
            </w:r>
            <w:r>
              <w:t>(0,92)</w:t>
            </w:r>
          </w:p>
        </w:tc>
        <w:tc>
          <w:tcPr>
            <w:tcW w:w="2071" w:type="dxa"/>
          </w:tcPr>
          <w:p w14:paraId="17A25D13" w14:textId="77777777" w:rsidR="004C11B6" w:rsidRDefault="00F05A0C">
            <w:pPr>
              <w:pStyle w:val="TableParagraph"/>
              <w:spacing w:line="242" w:lineRule="exact"/>
              <w:ind w:right="287"/>
              <w:jc w:val="right"/>
            </w:pPr>
            <w:r>
              <w:t>1,54</w:t>
            </w:r>
            <w:r>
              <w:rPr>
                <w:spacing w:val="-3"/>
              </w:rPr>
              <w:t xml:space="preserve"> </w:t>
            </w:r>
            <w:r>
              <w:t>(0,96;</w:t>
            </w:r>
            <w:r>
              <w:rPr>
                <w:spacing w:val="-2"/>
              </w:rPr>
              <w:t xml:space="preserve"> </w:t>
            </w:r>
            <w:r>
              <w:t>2,45)</w:t>
            </w:r>
          </w:p>
        </w:tc>
        <w:tc>
          <w:tcPr>
            <w:tcW w:w="989" w:type="dxa"/>
          </w:tcPr>
          <w:p w14:paraId="4AD96C28" w14:textId="77777777" w:rsidR="004C11B6" w:rsidRDefault="00F05A0C">
            <w:pPr>
              <w:pStyle w:val="TableParagraph"/>
              <w:spacing w:line="242" w:lineRule="exact"/>
              <w:ind w:left="191"/>
            </w:pPr>
            <w:r>
              <w:t>0,0716</w:t>
            </w:r>
          </w:p>
        </w:tc>
      </w:tr>
      <w:tr w:rsidR="004C11B6" w14:paraId="5980EB57" w14:textId="77777777" w:rsidTr="001750D5">
        <w:trPr>
          <w:trHeight w:val="486"/>
        </w:trPr>
        <w:tc>
          <w:tcPr>
            <w:tcW w:w="2137" w:type="dxa"/>
          </w:tcPr>
          <w:p w14:paraId="1A7DF1CC" w14:textId="77777777" w:rsidR="004C11B6" w:rsidRDefault="00F05A0C">
            <w:pPr>
              <w:pStyle w:val="TableParagraph"/>
              <w:spacing w:line="242" w:lineRule="exact"/>
              <w:ind w:left="467" w:right="309"/>
            </w:pPr>
            <w:r>
              <w:t>Végzetes</w:t>
            </w:r>
            <w:r>
              <w:rPr>
                <w:spacing w:val="1"/>
              </w:rPr>
              <w:t xml:space="preserve"> </w:t>
            </w:r>
            <w:r>
              <w:t>kimenetelű,</w:t>
            </w:r>
            <w:r>
              <w:rPr>
                <w:spacing w:val="-5"/>
              </w:rPr>
              <w:t xml:space="preserve"> </w:t>
            </w:r>
            <w:r>
              <w:t>n</w:t>
            </w:r>
          </w:p>
        </w:tc>
        <w:tc>
          <w:tcPr>
            <w:tcW w:w="1980" w:type="dxa"/>
          </w:tcPr>
          <w:p w14:paraId="6CB1EC22" w14:textId="77777777" w:rsidR="004C11B6" w:rsidRDefault="00F05A0C">
            <w:pPr>
              <w:pStyle w:val="TableParagraph"/>
              <w:spacing w:line="244" w:lineRule="exact"/>
              <w:ind w:left="234" w:right="225"/>
              <w:jc w:val="center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(0,16)</w:t>
            </w:r>
          </w:p>
        </w:tc>
        <w:tc>
          <w:tcPr>
            <w:tcW w:w="1709" w:type="dxa"/>
          </w:tcPr>
          <w:p w14:paraId="00BCCA11" w14:textId="77777777" w:rsidR="004C11B6" w:rsidRDefault="00F05A0C">
            <w:pPr>
              <w:pStyle w:val="TableParagraph"/>
              <w:spacing w:line="244" w:lineRule="exact"/>
              <w:ind w:left="506"/>
            </w:pPr>
            <w:r>
              <w:t>5</w:t>
            </w:r>
            <w:r>
              <w:rPr>
                <w:spacing w:val="-3"/>
              </w:rPr>
              <w:t xml:space="preserve"> </w:t>
            </w:r>
            <w:r>
              <w:t>(0,16)</w:t>
            </w:r>
          </w:p>
        </w:tc>
        <w:tc>
          <w:tcPr>
            <w:tcW w:w="2071" w:type="dxa"/>
          </w:tcPr>
          <w:p w14:paraId="65A0AF70" w14:textId="77777777" w:rsidR="004C11B6" w:rsidRDefault="004C11B6">
            <w:pPr>
              <w:pStyle w:val="TableParagraph"/>
            </w:pPr>
          </w:p>
        </w:tc>
        <w:tc>
          <w:tcPr>
            <w:tcW w:w="989" w:type="dxa"/>
          </w:tcPr>
          <w:p w14:paraId="60773D8B" w14:textId="77777777" w:rsidR="004C11B6" w:rsidRDefault="004C11B6">
            <w:pPr>
              <w:pStyle w:val="TableParagraph"/>
            </w:pPr>
          </w:p>
        </w:tc>
      </w:tr>
      <w:tr w:rsidR="004C11B6" w14:paraId="5EB058E2" w14:textId="77777777" w:rsidTr="001750D5">
        <w:trPr>
          <w:trHeight w:val="249"/>
        </w:trPr>
        <w:tc>
          <w:tcPr>
            <w:tcW w:w="2137" w:type="dxa"/>
          </w:tcPr>
          <w:p w14:paraId="41D14D62" w14:textId="77777777" w:rsidR="004C11B6" w:rsidRDefault="00F05A0C">
            <w:pPr>
              <w:pStyle w:val="TableParagraph"/>
              <w:spacing w:line="229" w:lineRule="exact"/>
              <w:ind w:left="467"/>
            </w:pPr>
            <w:r>
              <w:t>Intracranialis,</w:t>
            </w:r>
            <w:r>
              <w:rPr>
                <w:spacing w:val="-5"/>
              </w:rPr>
              <w:t xml:space="preserve"> </w:t>
            </w:r>
            <w:r>
              <w:t>n</w:t>
            </w:r>
          </w:p>
        </w:tc>
        <w:tc>
          <w:tcPr>
            <w:tcW w:w="1980" w:type="dxa"/>
          </w:tcPr>
          <w:p w14:paraId="15928E35" w14:textId="77777777" w:rsidR="004C11B6" w:rsidRDefault="00F05A0C">
            <w:pPr>
              <w:pStyle w:val="TableParagraph"/>
              <w:spacing w:line="229" w:lineRule="exact"/>
              <w:ind w:left="234" w:right="225"/>
              <w:jc w:val="center"/>
            </w:pPr>
            <w:r>
              <w:t>11</w:t>
            </w:r>
            <w:r>
              <w:rPr>
                <w:spacing w:val="-3"/>
              </w:rPr>
              <w:t xml:space="preserve"> </w:t>
            </w:r>
            <w:r>
              <w:t>(0,34)</w:t>
            </w:r>
          </w:p>
        </w:tc>
        <w:tc>
          <w:tcPr>
            <w:tcW w:w="1709" w:type="dxa"/>
          </w:tcPr>
          <w:p w14:paraId="3266466B" w14:textId="77777777" w:rsidR="004C11B6" w:rsidRDefault="00F05A0C">
            <w:pPr>
              <w:pStyle w:val="TableParagraph"/>
              <w:spacing w:line="229" w:lineRule="exact"/>
              <w:ind w:left="451"/>
            </w:pPr>
            <w:r>
              <w:t>11</w:t>
            </w:r>
            <w:r>
              <w:rPr>
                <w:spacing w:val="-3"/>
              </w:rPr>
              <w:t xml:space="preserve"> </w:t>
            </w:r>
            <w:r>
              <w:t>(0,35)</w:t>
            </w:r>
          </w:p>
        </w:tc>
        <w:tc>
          <w:tcPr>
            <w:tcW w:w="2071" w:type="dxa"/>
          </w:tcPr>
          <w:p w14:paraId="18A8556F" w14:textId="77777777" w:rsidR="004C11B6" w:rsidRDefault="004C11B6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</w:tcPr>
          <w:p w14:paraId="0CE23FA5" w14:textId="77777777" w:rsidR="004C11B6" w:rsidRDefault="004C11B6">
            <w:pPr>
              <w:pStyle w:val="TableParagraph"/>
              <w:rPr>
                <w:sz w:val="18"/>
              </w:rPr>
            </w:pPr>
          </w:p>
        </w:tc>
      </w:tr>
      <w:tr w:rsidR="004C11B6" w14:paraId="0C21A427" w14:textId="77777777" w:rsidTr="001750D5">
        <w:trPr>
          <w:trHeight w:val="486"/>
        </w:trPr>
        <w:tc>
          <w:tcPr>
            <w:tcW w:w="2137" w:type="dxa"/>
          </w:tcPr>
          <w:p w14:paraId="2E4EBBEE" w14:textId="77777777" w:rsidR="004C11B6" w:rsidRDefault="00F05A0C">
            <w:pPr>
              <w:pStyle w:val="TableParagraph"/>
              <w:spacing w:line="242" w:lineRule="exact"/>
              <w:ind w:left="107" w:right="803"/>
              <w:rPr>
                <w:sz w:val="14"/>
              </w:rPr>
            </w:pPr>
            <w:r>
              <w:t>Nagyfokú +</w:t>
            </w:r>
            <w:r>
              <w:rPr>
                <w:spacing w:val="-52"/>
              </w:rPr>
              <w:t xml:space="preserve"> </w:t>
            </w:r>
            <w:r>
              <w:t>CRNM</w:t>
            </w:r>
            <w:r>
              <w:rPr>
                <w:position w:val="7"/>
                <w:sz w:val="14"/>
              </w:rPr>
              <w:t>†</w:t>
            </w:r>
          </w:p>
        </w:tc>
        <w:tc>
          <w:tcPr>
            <w:tcW w:w="1980" w:type="dxa"/>
          </w:tcPr>
          <w:p w14:paraId="1D8C6D88" w14:textId="77777777" w:rsidR="004C11B6" w:rsidRDefault="00F05A0C">
            <w:pPr>
              <w:pStyle w:val="TableParagraph"/>
              <w:spacing w:line="244" w:lineRule="exact"/>
              <w:ind w:left="234" w:right="225"/>
              <w:jc w:val="center"/>
            </w:pPr>
            <w:r>
              <w:t>140</w:t>
            </w:r>
            <w:r>
              <w:rPr>
                <w:spacing w:val="-4"/>
              </w:rPr>
              <w:t xml:space="preserve"> </w:t>
            </w:r>
            <w:r>
              <w:t>(4,46)</w:t>
            </w:r>
          </w:p>
        </w:tc>
        <w:tc>
          <w:tcPr>
            <w:tcW w:w="1709" w:type="dxa"/>
          </w:tcPr>
          <w:p w14:paraId="2F52CC9B" w14:textId="77777777" w:rsidR="004C11B6" w:rsidRDefault="00F05A0C">
            <w:pPr>
              <w:pStyle w:val="TableParagraph"/>
              <w:spacing w:line="244" w:lineRule="exact"/>
              <w:ind w:left="396"/>
            </w:pPr>
            <w:r>
              <w:t>101</w:t>
            </w:r>
            <w:r>
              <w:rPr>
                <w:spacing w:val="-4"/>
              </w:rPr>
              <w:t xml:space="preserve"> </w:t>
            </w:r>
            <w:r>
              <w:t>(3,24)</w:t>
            </w:r>
          </w:p>
        </w:tc>
        <w:tc>
          <w:tcPr>
            <w:tcW w:w="2071" w:type="dxa"/>
          </w:tcPr>
          <w:p w14:paraId="168013C1" w14:textId="77777777" w:rsidR="004C11B6" w:rsidRDefault="00F05A0C">
            <w:pPr>
              <w:pStyle w:val="TableParagraph"/>
              <w:spacing w:line="244" w:lineRule="exact"/>
              <w:ind w:right="286"/>
              <w:jc w:val="right"/>
            </w:pPr>
            <w:r>
              <w:t>1,38</w:t>
            </w:r>
            <w:r>
              <w:rPr>
                <w:spacing w:val="-4"/>
              </w:rPr>
              <w:t xml:space="preserve"> </w:t>
            </w:r>
            <w:r>
              <w:t>(1,07;</w:t>
            </w:r>
            <w:r>
              <w:rPr>
                <w:spacing w:val="-3"/>
              </w:rPr>
              <w:t xml:space="preserve"> </w:t>
            </w:r>
            <w:r>
              <w:t>1,78)</w:t>
            </w:r>
          </w:p>
        </w:tc>
        <w:tc>
          <w:tcPr>
            <w:tcW w:w="989" w:type="dxa"/>
          </w:tcPr>
          <w:p w14:paraId="4A82847E" w14:textId="77777777" w:rsidR="004C11B6" w:rsidRDefault="00F05A0C">
            <w:pPr>
              <w:pStyle w:val="TableParagraph"/>
              <w:spacing w:line="244" w:lineRule="exact"/>
              <w:ind w:left="191"/>
            </w:pPr>
            <w:r>
              <w:t>0,0144</w:t>
            </w:r>
          </w:p>
        </w:tc>
      </w:tr>
      <w:tr w:rsidR="004C11B6" w14:paraId="6B0C3037" w14:textId="77777777" w:rsidTr="001750D5">
        <w:trPr>
          <w:trHeight w:val="364"/>
        </w:trPr>
        <w:tc>
          <w:tcPr>
            <w:tcW w:w="2137" w:type="dxa"/>
          </w:tcPr>
          <w:p w14:paraId="01A31F7F" w14:textId="77777777" w:rsidR="004C11B6" w:rsidRDefault="00F05A0C">
            <w:pPr>
              <w:pStyle w:val="TableParagraph"/>
              <w:spacing w:before="111" w:line="233" w:lineRule="exact"/>
              <w:ind w:left="107"/>
            </w:pPr>
            <w:r>
              <w:t>Összes</w:t>
            </w:r>
          </w:p>
        </w:tc>
        <w:tc>
          <w:tcPr>
            <w:tcW w:w="1980" w:type="dxa"/>
          </w:tcPr>
          <w:p w14:paraId="69FC0EDF" w14:textId="77777777" w:rsidR="004C11B6" w:rsidRDefault="00F05A0C">
            <w:pPr>
              <w:pStyle w:val="TableParagraph"/>
              <w:spacing w:before="111" w:line="233" w:lineRule="exact"/>
              <w:ind w:left="234" w:right="225"/>
              <w:jc w:val="center"/>
            </w:pPr>
            <w:r>
              <w:t>325</w:t>
            </w:r>
            <w:r>
              <w:rPr>
                <w:spacing w:val="-4"/>
              </w:rPr>
              <w:t xml:space="preserve"> </w:t>
            </w:r>
            <w:r>
              <w:t>(10,85)</w:t>
            </w:r>
          </w:p>
        </w:tc>
        <w:tc>
          <w:tcPr>
            <w:tcW w:w="1709" w:type="dxa"/>
          </w:tcPr>
          <w:p w14:paraId="05D362A6" w14:textId="77777777" w:rsidR="004C11B6" w:rsidRDefault="00F05A0C">
            <w:pPr>
              <w:pStyle w:val="TableParagraph"/>
              <w:spacing w:before="111" w:line="233" w:lineRule="exact"/>
              <w:ind w:left="396"/>
            </w:pPr>
            <w:r>
              <w:t>250</w:t>
            </w:r>
            <w:r>
              <w:rPr>
                <w:spacing w:val="-4"/>
              </w:rPr>
              <w:t xml:space="preserve"> </w:t>
            </w:r>
            <w:r>
              <w:t>(8,32)</w:t>
            </w:r>
          </w:p>
        </w:tc>
        <w:tc>
          <w:tcPr>
            <w:tcW w:w="2071" w:type="dxa"/>
          </w:tcPr>
          <w:p w14:paraId="197C2CE2" w14:textId="77777777" w:rsidR="004C11B6" w:rsidRDefault="00F05A0C">
            <w:pPr>
              <w:pStyle w:val="TableParagraph"/>
              <w:spacing w:before="111" w:line="233" w:lineRule="exact"/>
              <w:ind w:right="286"/>
              <w:jc w:val="right"/>
            </w:pPr>
            <w:r>
              <w:t>1,30</w:t>
            </w:r>
            <w:r>
              <w:rPr>
                <w:spacing w:val="-4"/>
              </w:rPr>
              <w:t xml:space="preserve"> </w:t>
            </w:r>
            <w:r>
              <w:t>(1,10;</w:t>
            </w:r>
            <w:r>
              <w:rPr>
                <w:spacing w:val="-3"/>
              </w:rPr>
              <w:t xml:space="preserve"> </w:t>
            </w:r>
            <w:r>
              <w:t>1,53)</w:t>
            </w:r>
          </w:p>
        </w:tc>
        <w:tc>
          <w:tcPr>
            <w:tcW w:w="989" w:type="dxa"/>
          </w:tcPr>
          <w:p w14:paraId="4BD2A4E1" w14:textId="77777777" w:rsidR="004C11B6" w:rsidRDefault="00F05A0C">
            <w:pPr>
              <w:pStyle w:val="TableParagraph"/>
              <w:spacing w:before="111" w:line="233" w:lineRule="exact"/>
              <w:ind w:left="191"/>
            </w:pPr>
            <w:r>
              <w:t>0,0017</w:t>
            </w:r>
          </w:p>
        </w:tc>
      </w:tr>
    </w:tbl>
    <w:p w14:paraId="4DA29E13" w14:textId="77777777" w:rsidR="004C11B6" w:rsidRDefault="00F05A0C" w:rsidP="001750D5">
      <w:pPr>
        <w:pStyle w:val="Szvegtrzs"/>
        <w:spacing w:line="232" w:lineRule="auto"/>
        <w:ind w:left="142" w:right="777" w:hanging="142"/>
      </w:pPr>
      <w:r>
        <w:t>*A nagyfokú vérzést az International Society on Thrombosis and Haemostasis (ISTH – Nemzetközi</w:t>
      </w:r>
      <w:r>
        <w:rPr>
          <w:spacing w:val="-52"/>
        </w:rPr>
        <w:t xml:space="preserve"> </w:t>
      </w:r>
      <w:r>
        <w:t>Thrombosis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Haemostasis</w:t>
      </w:r>
      <w:r>
        <w:rPr>
          <w:spacing w:val="-1"/>
        </w:rPr>
        <w:t xml:space="preserve"> </w:t>
      </w:r>
      <w:r>
        <w:t>Társaság)</w:t>
      </w:r>
      <w:r>
        <w:rPr>
          <w:spacing w:val="-2"/>
        </w:rPr>
        <w:t xml:space="preserve"> </w:t>
      </w:r>
      <w:r>
        <w:t>kritériumai</w:t>
      </w:r>
      <w:r>
        <w:rPr>
          <w:spacing w:val="-2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>definiálták.</w:t>
      </w:r>
    </w:p>
    <w:p w14:paraId="72970E8C" w14:textId="77777777" w:rsidR="004C11B6" w:rsidRDefault="00F05A0C" w:rsidP="001750D5">
      <w:pPr>
        <w:pStyle w:val="Szvegtrzs"/>
        <w:spacing w:line="243" w:lineRule="exact"/>
      </w:pPr>
      <w:r>
        <w:t>†</w:t>
      </w:r>
      <w:r>
        <w:rPr>
          <w:spacing w:val="-4"/>
        </w:rPr>
        <w:t xml:space="preserve"> </w:t>
      </w:r>
      <w:r>
        <w:t>Klinikailag</w:t>
      </w:r>
      <w:r>
        <w:rPr>
          <w:spacing w:val="-4"/>
        </w:rPr>
        <w:t xml:space="preserve"> </w:t>
      </w:r>
      <w:r>
        <w:t>jelentős,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súlyos</w:t>
      </w:r>
      <w:r>
        <w:rPr>
          <w:spacing w:val="-4"/>
        </w:rPr>
        <w:t xml:space="preserve"> </w:t>
      </w:r>
      <w:r>
        <w:t>vérzés.</w:t>
      </w:r>
    </w:p>
    <w:p w14:paraId="28161449" w14:textId="77777777" w:rsidR="004C11B6" w:rsidRDefault="004C11B6">
      <w:pPr>
        <w:pStyle w:val="Szvegtrzs"/>
        <w:spacing w:before="8"/>
        <w:rPr>
          <w:sz w:val="21"/>
        </w:rPr>
      </w:pPr>
    </w:p>
    <w:p w14:paraId="7214FF12" w14:textId="7AE97C65" w:rsidR="004C11B6" w:rsidRDefault="00F05A0C" w:rsidP="00F666BF">
      <w:pPr>
        <w:rPr>
          <w:i/>
        </w:rPr>
      </w:pPr>
      <w:r>
        <w:rPr>
          <w:i/>
          <w:u w:val="single"/>
        </w:rPr>
        <w:t>NV</w:t>
      </w:r>
      <w:r w:rsidR="00DD53BC">
        <w:rPr>
          <w:i/>
          <w:u w:val="single"/>
        </w:rPr>
        <w:t>P</w:t>
      </w:r>
      <w:r>
        <w:rPr>
          <w:i/>
          <w:u w:val="single"/>
        </w:rPr>
        <w:t>F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betegek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ACS-sel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és/vagy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PCI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beavatkozással</w:t>
      </w:r>
    </w:p>
    <w:p w14:paraId="2A8A4B7A" w14:textId="5FE67D52" w:rsidR="004C11B6" w:rsidRDefault="00F05A0C" w:rsidP="00F666BF">
      <w:pPr>
        <w:pStyle w:val="Szvegtrzs"/>
        <w:spacing w:before="4" w:line="247" w:lineRule="auto"/>
      </w:pPr>
      <w:r>
        <w:t>Az AUGUSTUS egy nyílt, randomizált, kontrollos, 2×2 faktoriális elrendezésű vizsgálat volt, amelybe</w:t>
      </w:r>
      <w:r>
        <w:rPr>
          <w:spacing w:val="-52"/>
        </w:rPr>
        <w:t xml:space="preserve"> </w:t>
      </w:r>
      <w:r>
        <w:t>4614 NV</w:t>
      </w:r>
      <w:r w:rsidR="00DD53BC">
        <w:t>P</w:t>
      </w:r>
      <w:r>
        <w:t>F beteget vontak be, akik ACS-ben szenvedtek (43%) és/vagy akiknél PCI-t végeztek</w:t>
      </w:r>
      <w:r>
        <w:rPr>
          <w:spacing w:val="1"/>
        </w:rPr>
        <w:t xml:space="preserve"> </w:t>
      </w:r>
      <w:r>
        <w:t>(56%). Minden beteg háttérkezelésként P2Y12-gátló</w:t>
      </w:r>
      <w:r w:rsidR="00A2194D">
        <w:t> </w:t>
      </w:r>
      <w:r>
        <w:t>kezelésben (klopidogrel: 90,3%) részesült a helyi</w:t>
      </w:r>
      <w:r>
        <w:rPr>
          <w:spacing w:val="-52"/>
        </w:rPr>
        <w:t xml:space="preserve"> </w:t>
      </w:r>
      <w:r>
        <w:t>szokásos</w:t>
      </w:r>
      <w:r>
        <w:rPr>
          <w:spacing w:val="-2"/>
        </w:rPr>
        <w:t xml:space="preserve"> </w:t>
      </w:r>
      <w:r>
        <w:t>ellátásnak</w:t>
      </w:r>
      <w:r>
        <w:rPr>
          <w:spacing w:val="-1"/>
        </w:rPr>
        <w:t xml:space="preserve"> </w:t>
      </w:r>
      <w:r>
        <w:t>megfelelően.</w:t>
      </w:r>
    </w:p>
    <w:p w14:paraId="167E5D91" w14:textId="77777777" w:rsidR="004C11B6" w:rsidRDefault="004C11B6" w:rsidP="00F666BF">
      <w:pPr>
        <w:pStyle w:val="Szvegtrzs"/>
        <w:spacing w:before="5"/>
      </w:pPr>
    </w:p>
    <w:p w14:paraId="08D839C7" w14:textId="26587F41" w:rsidR="004C11B6" w:rsidRDefault="00F05A0C" w:rsidP="00F666BF">
      <w:pPr>
        <w:pStyle w:val="Szvegtrzs"/>
        <w:spacing w:line="247" w:lineRule="auto"/>
      </w:pPr>
      <w:r>
        <w:t>A betegeket az ACS és/vagy PCI után legfeljebb 14 nappal randomizálták napi kétszer 5mg</w:t>
      </w:r>
      <w:r>
        <w:rPr>
          <w:spacing w:val="1"/>
        </w:rPr>
        <w:t xml:space="preserve"> </w:t>
      </w:r>
      <w:r>
        <w:t>apixabánra (vagy naponta kétszer 2,5</w:t>
      </w:r>
      <w:r w:rsidR="00A2194D">
        <w:t> </w:t>
      </w:r>
      <w:r>
        <w:t>mg-ra, ha kettő vagy több dóziscsökkentési feltétel is teljesült;</w:t>
      </w:r>
      <w:r>
        <w:rPr>
          <w:spacing w:val="1"/>
        </w:rPr>
        <w:t xml:space="preserve"> </w:t>
      </w:r>
      <w:r>
        <w:t>4,2% kapott alacsonyabb dózist) vagy K-vitamin-antagonistára, valamint acetilszalicilsavra (napi</w:t>
      </w:r>
      <w:r>
        <w:rPr>
          <w:spacing w:val="1"/>
        </w:rPr>
        <w:t xml:space="preserve"> </w:t>
      </w:r>
      <w:r>
        <w:t>egyszer 81</w:t>
      </w:r>
      <w:r w:rsidR="00A2194D">
        <w:t> </w:t>
      </w:r>
      <w:r>
        <w:t>mg) vagy placebóra. Az átlagéletkor 69,9 év volt, a randomizált betegek 94%-ánál a</w:t>
      </w:r>
      <w:r>
        <w:rPr>
          <w:spacing w:val="1"/>
        </w:rPr>
        <w:t xml:space="preserve"> </w:t>
      </w:r>
      <w:r>
        <w:rPr>
          <w:position w:val="2"/>
        </w:rPr>
        <w:t>CHA</w:t>
      </w:r>
      <w:r>
        <w:rPr>
          <w:sz w:val="14"/>
        </w:rPr>
        <w:t>2</w:t>
      </w:r>
      <w:r>
        <w:rPr>
          <w:position w:val="2"/>
        </w:rPr>
        <w:t>DS</w:t>
      </w:r>
      <w:r>
        <w:rPr>
          <w:sz w:val="14"/>
        </w:rPr>
        <w:t>2</w:t>
      </w:r>
      <w:r>
        <w:rPr>
          <w:position w:val="2"/>
        </w:rPr>
        <w:t>-VASc pontszám &gt; 2 volt és 47%-ánál a HAS-BLED pontszám &gt; 3 volt. A K-vitamin-</w:t>
      </w:r>
      <w:r>
        <w:rPr>
          <w:spacing w:val="1"/>
          <w:position w:val="2"/>
        </w:rPr>
        <w:t xml:space="preserve"> </w:t>
      </w:r>
      <w:r>
        <w:t>antagonistára randomizált betegek esetében a terápiás tartományban (INR 2–3) eltöltött időtartam 56%</w:t>
      </w:r>
      <w:r>
        <w:rPr>
          <w:spacing w:val="-52"/>
        </w:rPr>
        <w:t xml:space="preserve"> </w:t>
      </w:r>
      <w:r>
        <w:t>volt,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TTR</w:t>
      </w:r>
      <w:r>
        <w:rPr>
          <w:spacing w:val="-1"/>
        </w:rPr>
        <w:t xml:space="preserve"> </w:t>
      </w:r>
      <w:r>
        <w:t>alatti</w:t>
      </w:r>
      <w:r>
        <w:rPr>
          <w:spacing w:val="-1"/>
        </w:rPr>
        <w:t xml:space="preserve"> </w:t>
      </w:r>
      <w:r>
        <w:t>idő</w:t>
      </w:r>
      <w:r>
        <w:rPr>
          <w:spacing w:val="-2"/>
        </w:rPr>
        <w:t xml:space="preserve"> </w:t>
      </w:r>
      <w:r>
        <w:t>32%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TTR</w:t>
      </w:r>
      <w:r>
        <w:rPr>
          <w:spacing w:val="-1"/>
        </w:rPr>
        <w:t xml:space="preserve"> </w:t>
      </w:r>
      <w:r>
        <w:t>feletti</w:t>
      </w:r>
      <w:r>
        <w:rPr>
          <w:spacing w:val="-2"/>
        </w:rPr>
        <w:t xml:space="preserve"> </w:t>
      </w:r>
      <w:r>
        <w:t>idő</w:t>
      </w:r>
      <w:r>
        <w:rPr>
          <w:spacing w:val="-2"/>
        </w:rPr>
        <w:t xml:space="preserve"> </w:t>
      </w:r>
      <w:r>
        <w:t>12%</w:t>
      </w:r>
      <w:r>
        <w:rPr>
          <w:spacing w:val="-1"/>
        </w:rPr>
        <w:t xml:space="preserve"> </w:t>
      </w:r>
      <w:r>
        <w:t>volt.</w:t>
      </w:r>
    </w:p>
    <w:p w14:paraId="6A2D4050" w14:textId="77777777" w:rsidR="004C11B6" w:rsidRDefault="004C11B6" w:rsidP="00F666BF">
      <w:pPr>
        <w:pStyle w:val="Szvegtrzs"/>
        <w:spacing w:before="1"/>
        <w:rPr>
          <w:sz w:val="20"/>
        </w:rPr>
      </w:pPr>
    </w:p>
    <w:p w14:paraId="65091FAB" w14:textId="77777777" w:rsidR="004C11B6" w:rsidRDefault="00F05A0C" w:rsidP="00F666BF">
      <w:pPr>
        <w:pStyle w:val="Szvegtrzs"/>
        <w:spacing w:line="230" w:lineRule="auto"/>
      </w:pPr>
      <w:r>
        <w:t>Az AUGUSTUS vizsgálat elsődleges célja a biztonságosság felmérése volt, és az elsődleges végpont</w:t>
      </w:r>
      <w:r>
        <w:rPr>
          <w:spacing w:val="-52"/>
        </w:rPr>
        <w:t xml:space="preserve"> </w:t>
      </w:r>
      <w:r>
        <w:t>az ISTH szerinti súlyos vagy CRNM vérzés volt. Az apixabán és a K-vitamin-antagonista</w:t>
      </w:r>
      <w:r>
        <w:rPr>
          <w:spacing w:val="1"/>
        </w:rPr>
        <w:t xml:space="preserve"> </w:t>
      </w:r>
      <w:r>
        <w:t>összehasonlításában az elsődleges biztonságossági végpont az ISTH szerinti súlyos vagy CRNM</w:t>
      </w:r>
      <w:r>
        <w:rPr>
          <w:spacing w:val="1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hónapra</w:t>
      </w:r>
      <w:r>
        <w:rPr>
          <w:spacing w:val="-2"/>
        </w:rPr>
        <w:t xml:space="preserve"> </w:t>
      </w:r>
      <w:r>
        <w:t>241</w:t>
      </w:r>
      <w:r>
        <w:rPr>
          <w:spacing w:val="-3"/>
        </w:rPr>
        <w:t xml:space="preserve"> </w:t>
      </w:r>
      <w:r>
        <w:t>(10,5%)</w:t>
      </w:r>
      <w:r>
        <w:rPr>
          <w:spacing w:val="-3"/>
        </w:rPr>
        <w:t xml:space="preserve"> </w:t>
      </w:r>
      <w:r>
        <w:t>betegnél</w:t>
      </w:r>
      <w:r>
        <w:rPr>
          <w:spacing w:val="-3"/>
        </w:rPr>
        <w:t xml:space="preserve"> </w:t>
      </w:r>
      <w:r>
        <w:t>következett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apixabán-karon,</w:t>
      </w:r>
      <w:r>
        <w:rPr>
          <w:spacing w:val="-2"/>
        </w:rPr>
        <w:t xml:space="preserve"> </w:t>
      </w:r>
      <w:r>
        <w:t>illetve</w:t>
      </w:r>
      <w:r>
        <w:rPr>
          <w:spacing w:val="-1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(14,7%)</w:t>
      </w:r>
    </w:p>
    <w:p w14:paraId="2A10BE76" w14:textId="2C169B49" w:rsidR="004C11B6" w:rsidRDefault="00F05A0C" w:rsidP="00F666BF">
      <w:pPr>
        <w:pStyle w:val="Szvegtrzs"/>
        <w:spacing w:line="244" w:lineRule="exact"/>
      </w:pPr>
      <w:r>
        <w:t>betegnél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K-vitamin-antagonista</w:t>
      </w:r>
      <w:r w:rsidR="00A2194D">
        <w:rPr>
          <w:spacing w:val="-5"/>
        </w:rPr>
        <w:t>-</w:t>
      </w:r>
      <w:r>
        <w:t>karon</w:t>
      </w:r>
      <w:r>
        <w:rPr>
          <w:spacing w:val="-4"/>
        </w:rPr>
        <w:t xml:space="preserve"> </w:t>
      </w:r>
      <w:r>
        <w:t>(relatív</w:t>
      </w:r>
      <w:r>
        <w:rPr>
          <w:spacing w:val="-4"/>
        </w:rPr>
        <w:t xml:space="preserve"> </w:t>
      </w:r>
      <w:r>
        <w:t>hazárd</w:t>
      </w:r>
      <w:r>
        <w:rPr>
          <w:spacing w:val="-5"/>
        </w:rPr>
        <w:t xml:space="preserve"> </w:t>
      </w:r>
      <w:r>
        <w:t>0,69,</w:t>
      </w:r>
      <w:r>
        <w:rPr>
          <w:spacing w:val="-4"/>
        </w:rPr>
        <w:t xml:space="preserve"> </w:t>
      </w:r>
      <w:r>
        <w:t>95%-os</w:t>
      </w:r>
      <w:r>
        <w:rPr>
          <w:spacing w:val="-4"/>
        </w:rPr>
        <w:t xml:space="preserve"> </w:t>
      </w:r>
      <w:r>
        <w:t>CI:</w:t>
      </w:r>
      <w:r>
        <w:rPr>
          <w:spacing w:val="-3"/>
        </w:rPr>
        <w:t xml:space="preserve"> </w:t>
      </w:r>
      <w:r>
        <w:t>0,58,</w:t>
      </w:r>
      <w:r>
        <w:rPr>
          <w:spacing w:val="-4"/>
        </w:rPr>
        <w:t xml:space="preserve"> </w:t>
      </w:r>
      <w:r>
        <w:t>0,82;</w:t>
      </w:r>
      <w:r>
        <w:rPr>
          <w:spacing w:val="-3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oldalas</w:t>
      </w:r>
    </w:p>
    <w:p w14:paraId="5F677873" w14:textId="285F4A48" w:rsidR="004C11B6" w:rsidRDefault="00F05A0C" w:rsidP="00F666BF">
      <w:pPr>
        <w:pStyle w:val="Szvegtrzs"/>
        <w:spacing w:before="4" w:line="230" w:lineRule="auto"/>
      </w:pPr>
      <w:r>
        <w:t>p &lt; 0,0001 a non-inferioritás és p &lt; 0,0001 a szuperioritás tekintetében). A K-vitamin-antagonista</w:t>
      </w:r>
      <w:r>
        <w:rPr>
          <w:spacing w:val="-52"/>
        </w:rPr>
        <w:t xml:space="preserve"> </w:t>
      </w:r>
      <w:r>
        <w:t>esetén a TTR szerinti alcsoportok azt mutatták, hogy a legmagasabb vérzési arány a TTR</w:t>
      </w:r>
      <w:r>
        <w:rPr>
          <w:spacing w:val="1"/>
        </w:rPr>
        <w:t xml:space="preserve"> </w:t>
      </w:r>
      <w:r>
        <w:t>legalacsonyabb kvartilisére volt jellemző. A vérzés aránya hasonló volt apixabán és a TTR</w:t>
      </w:r>
      <w:r>
        <w:rPr>
          <w:spacing w:val="1"/>
        </w:rPr>
        <w:t xml:space="preserve"> </w:t>
      </w:r>
      <w:r>
        <w:t>legmagasabb</w:t>
      </w:r>
      <w:r>
        <w:rPr>
          <w:spacing w:val="-2"/>
        </w:rPr>
        <w:t xml:space="preserve"> </w:t>
      </w:r>
      <w:r>
        <w:t>kvartilise</w:t>
      </w:r>
      <w:r>
        <w:rPr>
          <w:spacing w:val="-1"/>
        </w:rPr>
        <w:t xml:space="preserve"> </w:t>
      </w:r>
      <w:r>
        <w:t>esetében.</w:t>
      </w:r>
    </w:p>
    <w:p w14:paraId="6AB17643" w14:textId="77777777" w:rsidR="005B01BC" w:rsidRDefault="005B01BC" w:rsidP="00F666BF">
      <w:pPr>
        <w:pStyle w:val="Szvegtrzs"/>
        <w:spacing w:before="4" w:line="230" w:lineRule="auto"/>
      </w:pPr>
    </w:p>
    <w:p w14:paraId="1F84CDD6" w14:textId="77777777" w:rsidR="004C11B6" w:rsidRDefault="00F05A0C" w:rsidP="00F666BF">
      <w:pPr>
        <w:pStyle w:val="Szvegtrzs"/>
        <w:spacing w:before="3" w:line="230" w:lineRule="auto"/>
      </w:pPr>
      <w:r>
        <w:t>Az acetilszalicilsav és a placebo összehasonlításában a 6. hónapban az ISTH szerinti súlyos vagy</w:t>
      </w:r>
      <w:r>
        <w:rPr>
          <w:spacing w:val="1"/>
        </w:rPr>
        <w:t xml:space="preserve"> </w:t>
      </w:r>
      <w:r>
        <w:t>CRNM vérzés elsődleges biztonságossági végpontja 367 (16,1%) betegnél következett be az</w:t>
      </w:r>
      <w:r>
        <w:rPr>
          <w:spacing w:val="1"/>
        </w:rPr>
        <w:t xml:space="preserve"> </w:t>
      </w:r>
      <w:r>
        <w:t>acetilszalicilsav-karon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204</w:t>
      </w:r>
      <w:r>
        <w:rPr>
          <w:spacing w:val="-4"/>
        </w:rPr>
        <w:t xml:space="preserve"> </w:t>
      </w:r>
      <w:r>
        <w:t>(9,0%)</w:t>
      </w:r>
      <w:r>
        <w:rPr>
          <w:spacing w:val="-5"/>
        </w:rPr>
        <w:t xml:space="preserve"> </w:t>
      </w:r>
      <w:r>
        <w:t>betegnél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placebokaron</w:t>
      </w:r>
      <w:r>
        <w:rPr>
          <w:spacing w:val="-4"/>
        </w:rPr>
        <w:t xml:space="preserve"> </w:t>
      </w:r>
      <w:r>
        <w:t>(relatív</w:t>
      </w:r>
      <w:r>
        <w:rPr>
          <w:spacing w:val="-5"/>
        </w:rPr>
        <w:t xml:space="preserve"> </w:t>
      </w:r>
      <w:r>
        <w:t>hazárd</w:t>
      </w:r>
      <w:r>
        <w:rPr>
          <w:spacing w:val="-4"/>
        </w:rPr>
        <w:t xml:space="preserve"> </w:t>
      </w:r>
      <w:r>
        <w:t>1,88,</w:t>
      </w:r>
      <w:r>
        <w:rPr>
          <w:spacing w:val="-5"/>
        </w:rPr>
        <w:t xml:space="preserve"> </w:t>
      </w:r>
      <w:r>
        <w:t>95%-os</w:t>
      </w:r>
      <w:r>
        <w:rPr>
          <w:spacing w:val="-4"/>
        </w:rPr>
        <w:t xml:space="preserve"> </w:t>
      </w:r>
      <w:r>
        <w:t>CI:</w:t>
      </w:r>
      <w:r>
        <w:rPr>
          <w:spacing w:val="-5"/>
        </w:rPr>
        <w:t xml:space="preserve"> </w:t>
      </w:r>
      <w:r>
        <w:t>1,58–</w:t>
      </w:r>
    </w:p>
    <w:p w14:paraId="44D96076" w14:textId="77777777" w:rsidR="004C11B6" w:rsidRDefault="00F05A0C" w:rsidP="00F666BF">
      <w:pPr>
        <w:pStyle w:val="Szvegtrzs"/>
        <w:spacing w:line="246" w:lineRule="exact"/>
      </w:pPr>
      <w:r>
        <w:t>2,23;</w:t>
      </w:r>
      <w:r>
        <w:rPr>
          <w:spacing w:val="-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oldalas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 xml:space="preserve"> </w:t>
      </w:r>
      <w:r>
        <w:t>&lt;</w:t>
      </w:r>
      <w:r>
        <w:rPr>
          <w:spacing w:val="-3"/>
        </w:rPr>
        <w:t xml:space="preserve"> </w:t>
      </w:r>
      <w:r>
        <w:t>0,0001).</w:t>
      </w:r>
    </w:p>
    <w:p w14:paraId="625660E9" w14:textId="77777777" w:rsidR="004C11B6" w:rsidRDefault="004C11B6" w:rsidP="00F666BF">
      <w:pPr>
        <w:pStyle w:val="Szvegtrzs"/>
        <w:spacing w:before="1"/>
        <w:rPr>
          <w:sz w:val="21"/>
        </w:rPr>
      </w:pPr>
    </w:p>
    <w:p w14:paraId="26D0C6E1" w14:textId="77777777" w:rsidR="004C11B6" w:rsidRDefault="00F05A0C" w:rsidP="00F666BF">
      <w:pPr>
        <w:pStyle w:val="Szvegtrzs"/>
        <w:spacing w:line="230" w:lineRule="auto"/>
      </w:pPr>
      <w:r>
        <w:t>Számszerűen, az apixabánnal kezelt betegek közül 157-nél (13,7%) fordult elő súlyos vagy CRNM</w:t>
      </w:r>
      <w:r>
        <w:rPr>
          <w:spacing w:val="1"/>
        </w:rPr>
        <w:t xml:space="preserve"> </w:t>
      </w:r>
      <w:r>
        <w:t>vérzés az acetilszalicilsav-karon és 84 (7,4%) betegnél a placebokaron. A K-vitamin-antagonistával</w:t>
      </w:r>
      <w:r>
        <w:rPr>
          <w:spacing w:val="1"/>
        </w:rPr>
        <w:t xml:space="preserve"> </w:t>
      </w:r>
      <w:r>
        <w:t>kezelt betegek közül 208-nál (18,5%) fordult elő súlyos vagy CRNM vérzés az acetilszalicilsav-karon</w:t>
      </w:r>
      <w:r>
        <w:rPr>
          <w:spacing w:val="-52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122</w:t>
      </w:r>
      <w:r>
        <w:rPr>
          <w:spacing w:val="-1"/>
        </w:rPr>
        <w:t xml:space="preserve"> </w:t>
      </w:r>
      <w:r>
        <w:t>(10,8%)</w:t>
      </w:r>
      <w:r>
        <w:rPr>
          <w:spacing w:val="-1"/>
        </w:rPr>
        <w:t xml:space="preserve"> </w:t>
      </w:r>
      <w:r>
        <w:t>betegnél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placebokaron.</w:t>
      </w:r>
    </w:p>
    <w:p w14:paraId="326A5F5C" w14:textId="77777777" w:rsidR="004C11B6" w:rsidRDefault="004C11B6" w:rsidP="00F666BF">
      <w:pPr>
        <w:pStyle w:val="Szvegtrzs"/>
        <w:spacing w:before="1"/>
      </w:pPr>
    </w:p>
    <w:p w14:paraId="35D91A0C" w14:textId="541FCFA4" w:rsidR="004C11B6" w:rsidRDefault="00F05A0C" w:rsidP="005B01BC">
      <w:pPr>
        <w:pStyle w:val="Szvegtrzs"/>
        <w:spacing w:line="245" w:lineRule="auto"/>
      </w:pPr>
      <w:r>
        <w:t>Az egyéb kezelési hatásokat a vizsgálat másodlagos célkitűzéseként értékelték, összetett</w:t>
      </w:r>
      <w:r w:rsidRPr="005B01BC">
        <w:t xml:space="preserve"> </w:t>
      </w:r>
      <w:r w:rsidR="005B01BC">
        <w:t>v</w:t>
      </w:r>
      <w:r>
        <w:t>égpontokkal.</w:t>
      </w:r>
    </w:p>
    <w:p w14:paraId="01EAFFBE" w14:textId="77777777" w:rsidR="005B01BC" w:rsidRDefault="00F05A0C" w:rsidP="005B01BC">
      <w:pPr>
        <w:pStyle w:val="Szvegtrzs"/>
        <w:spacing w:before="3" w:line="247" w:lineRule="auto"/>
        <w:ind w:right="2"/>
      </w:pPr>
      <w:r>
        <w:t>Az apixabán és a K-vitamin-antagonista összehasonlításában a halálozás és az ismételt hospitalizáció</w:t>
      </w:r>
      <w:r>
        <w:rPr>
          <w:spacing w:val="-52"/>
        </w:rPr>
        <w:t xml:space="preserve"> </w:t>
      </w:r>
      <w:r>
        <w:t>összetett végpontja az apixabánnal kezelt betegek közül 541-nél (23,5%), míg a K-vitamin-</w:t>
      </w:r>
      <w:r>
        <w:rPr>
          <w:spacing w:val="1"/>
        </w:rPr>
        <w:t xml:space="preserve"> </w:t>
      </w:r>
      <w:r>
        <w:t>antagonistával kezeltek közül 632-nél (27,4%) fordult elő. A halálozás és az ischaemiás esemény</w:t>
      </w:r>
      <w:r>
        <w:rPr>
          <w:spacing w:val="1"/>
        </w:rPr>
        <w:t xml:space="preserve"> </w:t>
      </w:r>
      <w:r>
        <w:t>(stroke, myocardialis infarctus, stent thrombosis vagy sürgős revascularisatio) összetett végpontja az</w:t>
      </w:r>
      <w:r>
        <w:rPr>
          <w:spacing w:val="1"/>
        </w:rPr>
        <w:t xml:space="preserve"> </w:t>
      </w:r>
      <w:r>
        <w:t>apixabánnal kezelt betegek közül 170-nél (7,4%), míg a K-vitamin-antagonistával kezeltek közül</w:t>
      </w:r>
      <w:r>
        <w:rPr>
          <w:spacing w:val="1"/>
        </w:rPr>
        <w:t xml:space="preserve"> </w:t>
      </w:r>
      <w:r>
        <w:t>182-nél</w:t>
      </w:r>
      <w:r>
        <w:rPr>
          <w:spacing w:val="-2"/>
        </w:rPr>
        <w:t xml:space="preserve"> </w:t>
      </w:r>
      <w:r>
        <w:t>(7,9%)</w:t>
      </w:r>
      <w:r>
        <w:rPr>
          <w:spacing w:val="-1"/>
        </w:rPr>
        <w:t xml:space="preserve"> </w:t>
      </w:r>
      <w:r>
        <w:t>fordult</w:t>
      </w:r>
      <w:r>
        <w:rPr>
          <w:spacing w:val="-1"/>
        </w:rPr>
        <w:t xml:space="preserve"> </w:t>
      </w:r>
      <w:r>
        <w:t>elő.</w:t>
      </w:r>
    </w:p>
    <w:p w14:paraId="541D8D4C" w14:textId="77777777" w:rsidR="005B01BC" w:rsidRDefault="005B01BC" w:rsidP="005B01BC">
      <w:pPr>
        <w:pStyle w:val="Szvegtrzs"/>
        <w:spacing w:before="3" w:line="247" w:lineRule="auto"/>
        <w:ind w:right="2"/>
      </w:pPr>
    </w:p>
    <w:p w14:paraId="1CF141DC" w14:textId="2F61C05D" w:rsidR="004C11B6" w:rsidRDefault="00F05A0C" w:rsidP="005B01BC">
      <w:pPr>
        <w:pStyle w:val="Szvegtrzs"/>
        <w:spacing w:before="3" w:line="247" w:lineRule="auto"/>
        <w:ind w:right="2"/>
      </w:pPr>
      <w:r>
        <w:t>Az acetilszalicilsav és a placebo összehasonlításában a halálozás és az ismételt hospitalizáció összetett</w:t>
      </w:r>
      <w:r>
        <w:rPr>
          <w:spacing w:val="-52"/>
        </w:rPr>
        <w:t xml:space="preserve"> </w:t>
      </w:r>
      <w:r>
        <w:t>végpontja az acetilszalicilsavval kezelt betegek közül 604-nél (26,2%), míg a placebóval kezeltek</w:t>
      </w:r>
      <w:r>
        <w:rPr>
          <w:spacing w:val="1"/>
        </w:rPr>
        <w:t xml:space="preserve"> </w:t>
      </w:r>
      <w:r>
        <w:t>közül 569-nél (24,7%) fordult elő. A halálozás és az ischaemiás esemény (stroke, myocardialis</w:t>
      </w:r>
      <w:r>
        <w:rPr>
          <w:spacing w:val="1"/>
        </w:rPr>
        <w:t xml:space="preserve"> </w:t>
      </w:r>
      <w:r>
        <w:t>infarctus, stent thrombosis vagy sürgős revascularisatio) összetett végpontja az acetilszalicilsavval</w:t>
      </w:r>
      <w:r>
        <w:rPr>
          <w:spacing w:val="1"/>
        </w:rPr>
        <w:t xml:space="preserve"> </w:t>
      </w:r>
      <w:r>
        <w:t>kezelt</w:t>
      </w:r>
      <w:r>
        <w:rPr>
          <w:spacing w:val="-4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163-nál</w:t>
      </w:r>
      <w:r>
        <w:rPr>
          <w:spacing w:val="-4"/>
        </w:rPr>
        <w:t xml:space="preserve"> </w:t>
      </w:r>
      <w:r>
        <w:t>(7,1%),</w:t>
      </w:r>
      <w:r>
        <w:rPr>
          <w:spacing w:val="-3"/>
        </w:rPr>
        <w:t xml:space="preserve"> </w:t>
      </w:r>
      <w:r>
        <w:t>míg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placebóval</w:t>
      </w:r>
      <w:r>
        <w:rPr>
          <w:spacing w:val="-4"/>
        </w:rPr>
        <w:t xml:space="preserve"> </w:t>
      </w:r>
      <w:r>
        <w:t>kezeltek</w:t>
      </w:r>
      <w:r>
        <w:rPr>
          <w:spacing w:val="-3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189-nél</w:t>
      </w:r>
      <w:r>
        <w:rPr>
          <w:spacing w:val="-4"/>
        </w:rPr>
        <w:t xml:space="preserve"> </w:t>
      </w:r>
      <w:r>
        <w:t>(8,2%)</w:t>
      </w:r>
      <w:r>
        <w:rPr>
          <w:spacing w:val="-3"/>
        </w:rPr>
        <w:t xml:space="preserve"> </w:t>
      </w:r>
      <w:r>
        <w:t>fordult</w:t>
      </w:r>
      <w:r>
        <w:rPr>
          <w:spacing w:val="-3"/>
        </w:rPr>
        <w:t xml:space="preserve"> </w:t>
      </w:r>
      <w:r>
        <w:t>elő.</w:t>
      </w:r>
    </w:p>
    <w:p w14:paraId="6E785F40" w14:textId="77777777" w:rsidR="004C11B6" w:rsidRDefault="004C11B6">
      <w:pPr>
        <w:pStyle w:val="Szvegtrzs"/>
        <w:spacing w:before="9"/>
        <w:rPr>
          <w:sz w:val="20"/>
        </w:rPr>
      </w:pPr>
    </w:p>
    <w:p w14:paraId="1AEAFB49" w14:textId="77777777" w:rsidR="004C11B6" w:rsidRDefault="00F05A0C" w:rsidP="005B01BC">
      <w:pPr>
        <w:spacing w:line="249" w:lineRule="exact"/>
        <w:rPr>
          <w:i/>
        </w:rPr>
      </w:pPr>
      <w:r>
        <w:rPr>
          <w:i/>
          <w:u w:val="single"/>
        </w:rPr>
        <w:t>Kardioverzióban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részesülő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betegek</w:t>
      </w:r>
    </w:p>
    <w:p w14:paraId="43B6DBB0" w14:textId="2B6C3602" w:rsidR="004C11B6" w:rsidRDefault="00F05A0C" w:rsidP="005B01BC">
      <w:pPr>
        <w:pStyle w:val="Szvegtrzs"/>
        <w:spacing w:before="4" w:line="230" w:lineRule="auto"/>
      </w:pPr>
      <w:r>
        <w:t>Az EMANATE egy nyílt, multicentrikus vizsgálat volt, amelybe 1500 beteget vontak be, akik nem</w:t>
      </w:r>
      <w:r>
        <w:rPr>
          <w:spacing w:val="1"/>
        </w:rPr>
        <w:t xml:space="preserve"> </w:t>
      </w:r>
      <w:r>
        <w:t>kaptak korábban oralis antikoagulánst vagy kevesebb mint 48 órája kaptak előkezelést, és akiket</w:t>
      </w:r>
      <w:r>
        <w:rPr>
          <w:spacing w:val="1"/>
        </w:rPr>
        <w:t xml:space="preserve"> </w:t>
      </w:r>
      <w:r>
        <w:t>NV</w:t>
      </w:r>
      <w:r w:rsidR="00DD53BC">
        <w:t>P</w:t>
      </w:r>
      <w:r>
        <w:t>F miatt kardioverzióra jegyeztek elő. A betegeket 1 : 1 arányban randomizálták apixabánra vagy</w:t>
      </w:r>
      <w:r w:rsidRPr="00363C37">
        <w:t xml:space="preserve"> </w:t>
      </w:r>
      <w:r>
        <w:t>a</w:t>
      </w:r>
      <w:r>
        <w:rPr>
          <w:spacing w:val="-5"/>
        </w:rPr>
        <w:t xml:space="preserve"> </w:t>
      </w:r>
      <w:r>
        <w:t>heparinra</w:t>
      </w:r>
      <w:r>
        <w:rPr>
          <w:spacing w:val="-4"/>
        </w:rPr>
        <w:t xml:space="preserve"> </w:t>
      </w:r>
      <w:r>
        <w:t>és/vagy</w:t>
      </w:r>
      <w:r>
        <w:rPr>
          <w:spacing w:val="-4"/>
        </w:rPr>
        <w:t xml:space="preserve"> </w:t>
      </w:r>
      <w:r>
        <w:t>K-vitamin-antagonistára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cardiovascularis</w:t>
      </w:r>
      <w:r>
        <w:rPr>
          <w:spacing w:val="-4"/>
        </w:rPr>
        <w:t xml:space="preserve"> </w:t>
      </w:r>
      <w:r>
        <w:t>események</w:t>
      </w:r>
      <w:r>
        <w:rPr>
          <w:spacing w:val="-4"/>
        </w:rPr>
        <w:t xml:space="preserve"> </w:t>
      </w:r>
      <w:r>
        <w:t>megelőzése</w:t>
      </w:r>
      <w:r>
        <w:rPr>
          <w:spacing w:val="-4"/>
        </w:rPr>
        <w:t xml:space="preserve"> </w:t>
      </w:r>
      <w:r>
        <w:t>érdekében.</w:t>
      </w:r>
    </w:p>
    <w:p w14:paraId="5916C34E" w14:textId="41618D86" w:rsidR="004C11B6" w:rsidRDefault="00F05A0C" w:rsidP="005B01BC">
      <w:pPr>
        <w:pStyle w:val="Szvegtrzs"/>
        <w:spacing w:before="3" w:line="230" w:lineRule="auto"/>
      </w:pPr>
      <w:r>
        <w:t>Elektromos és/vagy gyógyszeres kardioverziót végeztek legalább 5 adag, naponta kétszeri 5</w:t>
      </w:r>
      <w:r w:rsidR="00A2194D">
        <w:t> </w:t>
      </w:r>
      <w:r>
        <w:t>mg os</w:t>
      </w:r>
      <w:r>
        <w:rPr>
          <w:spacing w:val="1"/>
        </w:rPr>
        <w:t xml:space="preserve"> </w:t>
      </w:r>
      <w:r>
        <w:t>apixabán után (vagy naponta kétszeri 2,5</w:t>
      </w:r>
      <w:r w:rsidR="00A2194D">
        <w:t> </w:t>
      </w:r>
      <w:r>
        <w:t>mg után a kiválasztott betegeknél [lásd 4.2 pont]), illetve</w:t>
      </w:r>
      <w:r>
        <w:rPr>
          <w:spacing w:val="1"/>
        </w:rPr>
        <w:t xml:space="preserve"> </w:t>
      </w:r>
      <w:r>
        <w:t>legalább 2 órával egy 10</w:t>
      </w:r>
      <w:r w:rsidR="00A2194D">
        <w:t> </w:t>
      </w:r>
      <w:r>
        <w:t>mg os feltöltő dózist követően (vagy 5</w:t>
      </w:r>
      <w:r w:rsidR="00A2194D">
        <w:t> </w:t>
      </w:r>
      <w:r>
        <w:t>mg feltöltő dózis után a kiválasztott</w:t>
      </w:r>
      <w:r>
        <w:rPr>
          <w:spacing w:val="-52"/>
        </w:rPr>
        <w:t xml:space="preserve"> </w:t>
      </w:r>
      <w:r>
        <w:t>betegeknél [lásd 4.2 pont]), amennyiben hamarabb szükség volt a kardioverzió elvégzésére. Az</w:t>
      </w:r>
      <w:r>
        <w:rPr>
          <w:spacing w:val="1"/>
        </w:rPr>
        <w:t xml:space="preserve"> </w:t>
      </w:r>
      <w:r>
        <w:t>apixabán csoportban 342 beteg kapott feltöltő dózist (331 beteg kapott 10</w:t>
      </w:r>
      <w:r w:rsidR="00A2194D">
        <w:t> </w:t>
      </w:r>
      <w:r>
        <w:t>mg-os adagot és 11 beteg</w:t>
      </w:r>
      <w:r>
        <w:rPr>
          <w:spacing w:val="-52"/>
        </w:rPr>
        <w:t xml:space="preserve"> </w:t>
      </w:r>
      <w:r>
        <w:t>kapott</w:t>
      </w:r>
      <w:r>
        <w:rPr>
          <w:spacing w:val="-2"/>
        </w:rPr>
        <w:t xml:space="preserve"> </w:t>
      </w:r>
      <w:r>
        <w:t>5</w:t>
      </w:r>
      <w:r w:rsidR="00A2194D">
        <w:rPr>
          <w:spacing w:val="-1"/>
        </w:rPr>
        <w:t> </w:t>
      </w:r>
      <w:r>
        <w:t>mg-os adagot).</w:t>
      </w:r>
    </w:p>
    <w:p w14:paraId="594F7568" w14:textId="77777777" w:rsidR="004C11B6" w:rsidRDefault="004C11B6" w:rsidP="005B01BC">
      <w:pPr>
        <w:pStyle w:val="Szvegtrzs"/>
        <w:spacing w:before="5"/>
        <w:rPr>
          <w:sz w:val="21"/>
        </w:rPr>
      </w:pPr>
    </w:p>
    <w:p w14:paraId="5857EA1A" w14:textId="17D0B9B4" w:rsidR="004C11B6" w:rsidRDefault="00F05A0C" w:rsidP="005B01BC">
      <w:pPr>
        <w:pStyle w:val="Szvegtrzs"/>
        <w:spacing w:before="1" w:line="230" w:lineRule="auto"/>
      </w:pPr>
      <w:r>
        <w:t>Nem fordult elő stroke (0%) az apixabán-csoportban (n = 753), és 6 (0,80%) stroke fordult elő a</w:t>
      </w:r>
      <w:r>
        <w:rPr>
          <w:spacing w:val="1"/>
        </w:rPr>
        <w:t xml:space="preserve"> </w:t>
      </w:r>
      <w:r>
        <w:t>heparin és/vagy K-vitamin-antagonista csoportban (n = 747; relatív kockázat 0,00, 95%</w:t>
      </w:r>
      <w:r w:rsidR="00A2194D">
        <w:t>-</w:t>
      </w:r>
      <w:r>
        <w:t>os CI: 0,00</w:t>
      </w:r>
      <w:r w:rsidR="00A2194D">
        <w:t xml:space="preserve">; </w:t>
      </w:r>
      <w:r>
        <w:t>0,64). Valamely okból elhalálozás az apixabán csoportban 2 betegnél (0,27%) fordult elő, a heparin</w:t>
      </w:r>
      <w:r>
        <w:rPr>
          <w:spacing w:val="1"/>
        </w:rPr>
        <w:t xml:space="preserve"> </w:t>
      </w:r>
      <w:r>
        <w:t>és/vagy K-vitamin-antagonista csoportban pedig 1 betegnél (0,13%). Nem jelentettek szisztémás</w:t>
      </w:r>
      <w:r>
        <w:rPr>
          <w:spacing w:val="1"/>
        </w:rPr>
        <w:t xml:space="preserve"> </w:t>
      </w:r>
      <w:r>
        <w:t>embóliás</w:t>
      </w:r>
      <w:r>
        <w:rPr>
          <w:spacing w:val="-2"/>
        </w:rPr>
        <w:t xml:space="preserve"> </w:t>
      </w:r>
      <w:r>
        <w:t>eseményt.</w:t>
      </w:r>
    </w:p>
    <w:p w14:paraId="3FBCC0AF" w14:textId="77777777" w:rsidR="004C11B6" w:rsidRDefault="004C11B6" w:rsidP="005B01BC">
      <w:pPr>
        <w:pStyle w:val="Szvegtrzs"/>
        <w:spacing w:before="5"/>
        <w:rPr>
          <w:sz w:val="21"/>
        </w:rPr>
      </w:pPr>
    </w:p>
    <w:p w14:paraId="4738E03A" w14:textId="3D70EAC9" w:rsidR="004C11B6" w:rsidRDefault="00F05A0C" w:rsidP="005B01BC">
      <w:pPr>
        <w:pStyle w:val="Szvegtrzs"/>
        <w:spacing w:before="1" w:line="230" w:lineRule="auto"/>
      </w:pPr>
      <w:r>
        <w:t>Az apixabán csoportban 3 betegnél (0,41%) fordult elő súlyos vérzés és 11 betegnél (1,50%)</w:t>
      </w:r>
      <w:r>
        <w:rPr>
          <w:spacing w:val="1"/>
        </w:rPr>
        <w:t xml:space="preserve"> </w:t>
      </w:r>
      <w:r>
        <w:t>klinikailag jelentős, nem súlyos vérzési esemény, a heparin és/vagy K-vitamin-antagonista</w:t>
      </w:r>
      <w:r w:rsidR="00A2194D">
        <w:t>-</w:t>
      </w:r>
      <w:r>
        <w:t>csoportban</w:t>
      </w:r>
      <w:r>
        <w:rPr>
          <w:spacing w:val="-52"/>
        </w:rPr>
        <w:t xml:space="preserve"> </w:t>
      </w:r>
      <w:r>
        <w:t>pedig</w:t>
      </w:r>
      <w:r>
        <w:rPr>
          <w:spacing w:val="-2"/>
        </w:rPr>
        <w:t xml:space="preserve"> </w:t>
      </w:r>
      <w:r>
        <w:t>ezek</w:t>
      </w:r>
      <w:r>
        <w:rPr>
          <w:spacing w:val="-2"/>
        </w:rPr>
        <w:t xml:space="preserve"> </w:t>
      </w:r>
      <w:r>
        <w:t>sorrendben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betegnél</w:t>
      </w:r>
      <w:r>
        <w:rPr>
          <w:spacing w:val="-2"/>
        </w:rPr>
        <w:t xml:space="preserve"> </w:t>
      </w:r>
      <w:r>
        <w:t>(0,83%),</w:t>
      </w:r>
      <w:r>
        <w:rPr>
          <w:spacing w:val="-2"/>
        </w:rPr>
        <w:t xml:space="preserve"> </w:t>
      </w:r>
      <w:r>
        <w:t>illetve</w:t>
      </w:r>
      <w:r>
        <w:rPr>
          <w:spacing w:val="-1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betegnél</w:t>
      </w:r>
      <w:r>
        <w:rPr>
          <w:spacing w:val="-2"/>
        </w:rPr>
        <w:t xml:space="preserve"> </w:t>
      </w:r>
      <w:r>
        <w:t>(1,80%)</w:t>
      </w:r>
      <w:r>
        <w:rPr>
          <w:spacing w:val="-2"/>
        </w:rPr>
        <w:t xml:space="preserve"> </w:t>
      </w:r>
      <w:r>
        <w:t>fordultak</w:t>
      </w:r>
      <w:r>
        <w:rPr>
          <w:spacing w:val="-2"/>
        </w:rPr>
        <w:t xml:space="preserve"> </w:t>
      </w:r>
      <w:r>
        <w:t>elő.</w:t>
      </w:r>
    </w:p>
    <w:p w14:paraId="6BFEE510" w14:textId="77777777" w:rsidR="004C11B6" w:rsidRDefault="004C11B6" w:rsidP="005B01BC">
      <w:pPr>
        <w:pStyle w:val="Szvegtrzs"/>
        <w:spacing w:before="2"/>
        <w:rPr>
          <w:sz w:val="21"/>
        </w:rPr>
      </w:pPr>
    </w:p>
    <w:p w14:paraId="2CA68868" w14:textId="28885639" w:rsidR="004C11B6" w:rsidRDefault="00F05A0C" w:rsidP="005B01BC">
      <w:pPr>
        <w:pStyle w:val="Szvegtrzs"/>
        <w:spacing w:line="232" w:lineRule="auto"/>
      </w:pPr>
      <w:r>
        <w:t>Ez a feltáró vizsgálat összemérhető hatásosságot és biztonságosságot mutatott az apixabán és a heparin</w:t>
      </w:r>
      <w:r>
        <w:rPr>
          <w:spacing w:val="-52"/>
        </w:rPr>
        <w:t xml:space="preserve"> </w:t>
      </w:r>
      <w:r>
        <w:t>és/vagy</w:t>
      </w:r>
      <w:r>
        <w:rPr>
          <w:spacing w:val="-2"/>
        </w:rPr>
        <w:t xml:space="preserve"> </w:t>
      </w:r>
      <w:r>
        <w:t>K-vitamin-antagonista</w:t>
      </w:r>
      <w:r>
        <w:rPr>
          <w:spacing w:val="-2"/>
        </w:rPr>
        <w:t xml:space="preserve"> </w:t>
      </w:r>
      <w:r>
        <w:t>csoportban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kardioverzió</w:t>
      </w:r>
      <w:r>
        <w:rPr>
          <w:spacing w:val="-1"/>
        </w:rPr>
        <w:t xml:space="preserve"> </w:t>
      </w:r>
      <w:r>
        <w:t>esetén.</w:t>
      </w:r>
    </w:p>
    <w:p w14:paraId="0BCBBF59" w14:textId="77777777" w:rsidR="004C11B6" w:rsidRDefault="004C11B6" w:rsidP="005B01BC">
      <w:pPr>
        <w:pStyle w:val="Szvegtrzs"/>
        <w:spacing w:before="5"/>
        <w:rPr>
          <w:sz w:val="20"/>
        </w:rPr>
      </w:pPr>
    </w:p>
    <w:p w14:paraId="22786A56" w14:textId="77777777" w:rsidR="004C11B6" w:rsidRDefault="00F05A0C" w:rsidP="005B01BC">
      <w:pPr>
        <w:rPr>
          <w:i/>
        </w:rPr>
      </w:pPr>
      <w:r>
        <w:rPr>
          <w:i/>
          <w:u w:val="single"/>
        </w:rPr>
        <w:t>Az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MVT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kezelése,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kezelése,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valamint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az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MVT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kiújulásának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megelőzése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(VTEt)</w:t>
      </w:r>
    </w:p>
    <w:p w14:paraId="00943725" w14:textId="77777777" w:rsidR="004C11B6" w:rsidRDefault="00F05A0C" w:rsidP="005B01BC">
      <w:pPr>
        <w:pStyle w:val="Szvegtrzs"/>
        <w:spacing w:before="4" w:line="247" w:lineRule="auto"/>
      </w:pPr>
      <w:r>
        <w:t xml:space="preserve">A klinikai programot (AMPLIFY: apixabán </w:t>
      </w:r>
      <w:r w:rsidRPr="00F162CB">
        <w:rPr>
          <w:i/>
        </w:rPr>
        <w:t>versus</w:t>
      </w:r>
      <w:r>
        <w:t xml:space="preserve"> enoxaparin/warfarin, AMPLIFY-EXT: apixabán</w:t>
      </w:r>
      <w:r>
        <w:rPr>
          <w:spacing w:val="1"/>
        </w:rPr>
        <w:t xml:space="preserve"> </w:t>
      </w:r>
      <w:r w:rsidRPr="00F162CB">
        <w:rPr>
          <w:i/>
        </w:rPr>
        <w:t>versus</w:t>
      </w:r>
      <w:r>
        <w:t xml:space="preserve"> placebo) úgy tervezték, hogy igazolja az MVT és/vagy PE kezelésére adott apixabán</w:t>
      </w:r>
      <w:r>
        <w:rPr>
          <w:spacing w:val="1"/>
        </w:rPr>
        <w:t xml:space="preserve"> </w:t>
      </w:r>
      <w:r>
        <w:t>hatásosságát és biztonságosságát (AMPLIFY), illetve az MVT és/vagy PE 6-12 hónapig tartó</w:t>
      </w:r>
      <w:r>
        <w:rPr>
          <w:spacing w:val="1"/>
        </w:rPr>
        <w:t xml:space="preserve"> </w:t>
      </w:r>
      <w:r>
        <w:t>antikoaguláns kezelése után, az MVT és/vagy a PE kiújulásának megelőzésére adott, kiterjesztett</w:t>
      </w:r>
      <w:r>
        <w:rPr>
          <w:spacing w:val="1"/>
        </w:rPr>
        <w:t xml:space="preserve"> </w:t>
      </w:r>
      <w:r>
        <w:t>kezelés hatásosságát és biztonságosságát (AMPLIFY-EXT). Mindkét vizsgálat randomizált,</w:t>
      </w:r>
      <w:r>
        <w:rPr>
          <w:spacing w:val="1"/>
        </w:rPr>
        <w:t xml:space="preserve"> </w:t>
      </w:r>
      <w:r>
        <w:t>párhuzamos csoportú, kettős vak, nemzetközi vizsgálat volt, amit tünetekkel járó, proximalis típusú</w:t>
      </w:r>
      <w:r>
        <w:rPr>
          <w:spacing w:val="1"/>
        </w:rPr>
        <w:t xml:space="preserve"> </w:t>
      </w:r>
      <w:r>
        <w:t>mélyvénás thrombosisos vagy tünetekkel járó pulmonalis emboliás betegek bevonásával végeztek. Az</w:t>
      </w:r>
      <w:r>
        <w:rPr>
          <w:spacing w:val="-52"/>
        </w:rPr>
        <w:t xml:space="preserve"> </w:t>
      </w:r>
      <w:r>
        <w:t>összes fontosabb biztonságossági és hatásossági végpontot egy független bíráló bizottság, a kapott</w:t>
      </w:r>
      <w:r>
        <w:rPr>
          <w:spacing w:val="1"/>
        </w:rPr>
        <w:t xml:space="preserve"> </w:t>
      </w:r>
      <w:r>
        <w:t>kezelést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ismerve</w:t>
      </w:r>
      <w:r>
        <w:rPr>
          <w:spacing w:val="-1"/>
        </w:rPr>
        <w:t xml:space="preserve"> </w:t>
      </w:r>
      <w:r>
        <w:t>ítélte</w:t>
      </w:r>
      <w:r>
        <w:rPr>
          <w:spacing w:val="-1"/>
        </w:rPr>
        <w:t xml:space="preserve"> </w:t>
      </w:r>
      <w:r>
        <w:t>meg.</w:t>
      </w:r>
    </w:p>
    <w:p w14:paraId="51142802" w14:textId="77777777" w:rsidR="004C11B6" w:rsidRDefault="004C11B6" w:rsidP="005B01BC">
      <w:pPr>
        <w:pStyle w:val="Szvegtrzs"/>
        <w:spacing w:before="6"/>
        <w:rPr>
          <w:sz w:val="19"/>
        </w:rPr>
      </w:pPr>
    </w:p>
    <w:p w14:paraId="0D4FBCF5" w14:textId="77777777" w:rsidR="004C11B6" w:rsidRDefault="00F05A0C" w:rsidP="005B01BC">
      <w:pPr>
        <w:spacing w:before="1"/>
        <w:rPr>
          <w:i/>
        </w:rPr>
      </w:pPr>
      <w:r>
        <w:rPr>
          <w:i/>
          <w:u w:val="single"/>
        </w:rPr>
        <w:t>AMPLIFY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vizsgálat</w:t>
      </w:r>
    </w:p>
    <w:p w14:paraId="4710B4FB" w14:textId="544A5D10" w:rsidR="004C11B6" w:rsidRDefault="00F05A0C" w:rsidP="005B01BC">
      <w:pPr>
        <w:pStyle w:val="Szvegtrzs"/>
        <w:spacing w:before="3"/>
        <w:jc w:val="both"/>
      </w:pPr>
      <w:r>
        <w:t>Az AMPLIFY-vizsgálatba összesen 5395 beteget randomizáltak 7 napig tartó, naponta kétszer 10</w:t>
      </w:r>
      <w:r w:rsidR="00A2194D">
        <w:t> </w:t>
      </w:r>
      <w:r>
        <w:t>mg</w:t>
      </w:r>
      <w:r>
        <w:rPr>
          <w:spacing w:val="-52"/>
        </w:rPr>
        <w:t xml:space="preserve"> </w:t>
      </w:r>
      <w:r w:rsidRPr="00F162CB">
        <w:rPr>
          <w:i/>
        </w:rPr>
        <w:t>per os</w:t>
      </w:r>
      <w:r>
        <w:t xml:space="preserve"> apixabán kezelésre, amit 6 hónapig naponta kétszer 5</w:t>
      </w:r>
      <w:r w:rsidR="00A2194D">
        <w:t> </w:t>
      </w:r>
      <w:r>
        <w:t xml:space="preserve">mg </w:t>
      </w:r>
      <w:r w:rsidRPr="00F162CB">
        <w:rPr>
          <w:i/>
        </w:rPr>
        <w:t>per os</w:t>
      </w:r>
      <w:r>
        <w:t xml:space="preserve"> apixabán követett, vagy pedig</w:t>
      </w:r>
      <w:r>
        <w:rPr>
          <w:spacing w:val="-52"/>
        </w:rPr>
        <w:t xml:space="preserve"> </w:t>
      </w:r>
      <w:r>
        <w:t>legalább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napig</w:t>
      </w:r>
      <w:r>
        <w:rPr>
          <w:spacing w:val="-2"/>
        </w:rPr>
        <w:t xml:space="preserve"> </w:t>
      </w:r>
      <w:r>
        <w:t>tartó</w:t>
      </w:r>
      <w:r>
        <w:rPr>
          <w:spacing w:val="-2"/>
        </w:rPr>
        <w:t xml:space="preserve"> </w:t>
      </w:r>
      <w:r>
        <w:t>(amíg</w:t>
      </w:r>
      <w:r>
        <w:rPr>
          <w:spacing w:val="-2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INR</w:t>
      </w:r>
      <w:r>
        <w:rPr>
          <w:spacing w:val="-3"/>
        </w:rPr>
        <w:t xml:space="preserve"> </w:t>
      </w:r>
      <w:r>
        <w:rPr>
          <w:rFonts w:ascii="Symbol" w:hAnsi="Symbol"/>
        </w:rPr>
        <w:t></w:t>
      </w:r>
      <w:r>
        <w:t xml:space="preserve"> 2),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1</w:t>
      </w:r>
      <w:r w:rsidR="00A2194D">
        <w:rPr>
          <w:spacing w:val="-2"/>
        </w:rPr>
        <w:t> </w:t>
      </w:r>
      <w:r>
        <w:t>mg/</w:t>
      </w:r>
      <w:r w:rsidR="00A2194D">
        <w:t>tt</w:t>
      </w:r>
      <w:r>
        <w:t>kg</w:t>
      </w:r>
      <w:r>
        <w:rPr>
          <w:spacing w:val="-2"/>
        </w:rPr>
        <w:t xml:space="preserve"> </w:t>
      </w:r>
      <w:r>
        <w:t>subcutan</w:t>
      </w:r>
      <w:r>
        <w:rPr>
          <w:spacing w:val="-2"/>
        </w:rPr>
        <w:t xml:space="preserve"> </w:t>
      </w:r>
      <w:r>
        <w:t>enoxaparinnal</w:t>
      </w:r>
      <w:r>
        <w:rPr>
          <w:spacing w:val="-2"/>
        </w:rPr>
        <w:t xml:space="preserve"> </w:t>
      </w:r>
      <w:r>
        <w:t>és</w:t>
      </w:r>
    </w:p>
    <w:p w14:paraId="66FBE0F1" w14:textId="43E123DA" w:rsidR="004C11B6" w:rsidRDefault="00F05A0C" w:rsidP="005B01BC">
      <w:pPr>
        <w:pStyle w:val="Szvegtrzs"/>
        <w:spacing w:before="5"/>
        <w:jc w:val="both"/>
      </w:pPr>
      <w:r>
        <w:t>6</w:t>
      </w:r>
      <w:r>
        <w:rPr>
          <w:spacing w:val="-3"/>
        </w:rPr>
        <w:t xml:space="preserve"> </w:t>
      </w:r>
      <w:r>
        <w:t>hónapig</w:t>
      </w:r>
      <w:r>
        <w:rPr>
          <w:spacing w:val="-4"/>
        </w:rPr>
        <w:t xml:space="preserve"> </w:t>
      </w:r>
      <w:r>
        <w:t>tartó</w:t>
      </w:r>
      <w:r>
        <w:rPr>
          <w:spacing w:val="-4"/>
        </w:rPr>
        <w:t xml:space="preserve"> </w:t>
      </w:r>
      <w:r w:rsidRPr="00F162CB">
        <w:rPr>
          <w:i/>
        </w:rPr>
        <w:t>per</w:t>
      </w:r>
      <w:r w:rsidRPr="00F162CB">
        <w:rPr>
          <w:i/>
          <w:spacing w:val="-4"/>
        </w:rPr>
        <w:t xml:space="preserve"> </w:t>
      </w:r>
      <w:r w:rsidRPr="00F162CB">
        <w:rPr>
          <w:i/>
        </w:rPr>
        <w:t>os</w:t>
      </w:r>
      <w:r>
        <w:rPr>
          <w:spacing w:val="-4"/>
        </w:rPr>
        <w:t xml:space="preserve"> </w:t>
      </w:r>
      <w:r>
        <w:t>warfarinnal</w:t>
      </w:r>
      <w:r>
        <w:rPr>
          <w:spacing w:val="-3"/>
        </w:rPr>
        <w:t xml:space="preserve"> </w:t>
      </w:r>
      <w:r>
        <w:t>(elérendő</w:t>
      </w:r>
      <w:r>
        <w:rPr>
          <w:spacing w:val="-4"/>
        </w:rPr>
        <w:t xml:space="preserve"> </w:t>
      </w:r>
      <w:r>
        <w:t>INR-tartomány</w:t>
      </w:r>
      <w:r>
        <w:rPr>
          <w:spacing w:val="-3"/>
        </w:rPr>
        <w:t xml:space="preserve"> </w:t>
      </w:r>
      <w:r>
        <w:t>2,0</w:t>
      </w:r>
      <w:r w:rsidR="00A2194D">
        <w:t>–</w:t>
      </w:r>
      <w:r>
        <w:t>3,0)</w:t>
      </w:r>
      <w:r>
        <w:rPr>
          <w:spacing w:val="-3"/>
        </w:rPr>
        <w:t xml:space="preserve"> </w:t>
      </w:r>
      <w:r>
        <w:t>végzett</w:t>
      </w:r>
      <w:r>
        <w:rPr>
          <w:spacing w:val="-3"/>
        </w:rPr>
        <w:t xml:space="preserve"> </w:t>
      </w:r>
      <w:r>
        <w:t>kezelésre.</w:t>
      </w:r>
    </w:p>
    <w:p w14:paraId="67F15CA2" w14:textId="77777777" w:rsidR="004C11B6" w:rsidRDefault="004C11B6" w:rsidP="005B01BC">
      <w:pPr>
        <w:pStyle w:val="Szvegtrzs"/>
        <w:spacing w:before="3"/>
        <w:rPr>
          <w:sz w:val="23"/>
        </w:rPr>
      </w:pPr>
    </w:p>
    <w:p w14:paraId="2E6BE439" w14:textId="11608A46" w:rsidR="00232DE8" w:rsidRDefault="00F05A0C" w:rsidP="005B01BC">
      <w:pPr>
        <w:pStyle w:val="Szvegtrzs"/>
      </w:pPr>
      <w:r>
        <w:t>Az</w:t>
      </w:r>
      <w:r>
        <w:rPr>
          <w:spacing w:val="-4"/>
        </w:rPr>
        <w:t xml:space="preserve"> </w:t>
      </w:r>
      <w:r>
        <w:t>átlagéletkor</w:t>
      </w:r>
      <w:r>
        <w:rPr>
          <w:spacing w:val="-4"/>
        </w:rPr>
        <w:t xml:space="preserve"> </w:t>
      </w:r>
      <w:r>
        <w:t>56,9</w:t>
      </w:r>
      <w:r>
        <w:rPr>
          <w:spacing w:val="-6"/>
        </w:rPr>
        <w:t xml:space="preserve"> </w:t>
      </w:r>
      <w:r>
        <w:t>év</w:t>
      </w:r>
      <w:r>
        <w:rPr>
          <w:spacing w:val="-4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randomizált</w:t>
      </w:r>
      <w:r>
        <w:rPr>
          <w:spacing w:val="-4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89,8%-ának</w:t>
      </w:r>
      <w:r>
        <w:rPr>
          <w:spacing w:val="-4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ok</w:t>
      </w:r>
      <w:r>
        <w:rPr>
          <w:spacing w:val="-3"/>
        </w:rPr>
        <w:t xml:space="preserve"> </w:t>
      </w:r>
      <w:r>
        <w:t>nélküli</w:t>
      </w:r>
      <w:r>
        <w:rPr>
          <w:spacing w:val="-4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eseménye.</w:t>
      </w:r>
    </w:p>
    <w:p w14:paraId="6EB3F2BC" w14:textId="77777777" w:rsidR="004C11B6" w:rsidRDefault="00F05A0C" w:rsidP="005B01BC">
      <w:pPr>
        <w:pStyle w:val="Szvegtrzs"/>
        <w:spacing w:before="6" w:line="247" w:lineRule="auto"/>
        <w:ind w:right="2"/>
      </w:pPr>
      <w:r>
        <w:t>A warfarinra randomizált betegeknél a terápiás tartományban (INR 2,0-3,0) eltöltött időtartam (time in</w:t>
      </w:r>
      <w:r>
        <w:rPr>
          <w:spacing w:val="-52"/>
        </w:rPr>
        <w:t xml:space="preserve"> </w:t>
      </w:r>
      <w:r>
        <w:t>therapeutic range – TTR) átlagos aránya 60,9% volt. Az apixabánnal a vizsgálati centrumokra</w:t>
      </w:r>
      <w:r>
        <w:rPr>
          <w:spacing w:val="1"/>
        </w:rPr>
        <w:t xml:space="preserve"> </w:t>
      </w:r>
      <w:r>
        <w:t>jellemző, különböző TTR-szintektől függetlenül csökkent a szimptomatikus VTE események kiújulása</w:t>
      </w:r>
      <w:r>
        <w:rPr>
          <w:spacing w:val="-52"/>
        </w:rPr>
        <w:t xml:space="preserve"> </w:t>
      </w:r>
      <w:r>
        <w:t>és a VTE-vel összefüggő halálozás. A centrumnak megfelelő legfelső TTR kvartilisben az apixabánnal</w:t>
      </w:r>
      <w:r>
        <w:rPr>
          <w:spacing w:val="-52"/>
        </w:rPr>
        <w:t xml:space="preserve"> </w:t>
      </w:r>
      <w:r>
        <w:t>0,79</w:t>
      </w:r>
      <w:r>
        <w:rPr>
          <w:spacing w:val="-3"/>
        </w:rPr>
        <w:t xml:space="preserve"> </w:t>
      </w:r>
      <w:r>
        <w:t>(95%-os</w:t>
      </w:r>
      <w:r>
        <w:rPr>
          <w:spacing w:val="-3"/>
        </w:rPr>
        <w:t xml:space="preserve"> </w:t>
      </w:r>
      <w:r>
        <w:t>CI:</w:t>
      </w:r>
      <w:r>
        <w:rPr>
          <w:spacing w:val="-2"/>
        </w:rPr>
        <w:t xml:space="preserve"> </w:t>
      </w:r>
      <w:r>
        <w:t>0,39;</w:t>
      </w:r>
      <w:r>
        <w:rPr>
          <w:spacing w:val="-3"/>
        </w:rPr>
        <w:t xml:space="preserve"> </w:t>
      </w:r>
      <w:r>
        <w:t>1,61)</w:t>
      </w:r>
      <w:r>
        <w:rPr>
          <w:spacing w:val="-3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relatív</w:t>
      </w:r>
      <w:r>
        <w:rPr>
          <w:spacing w:val="-3"/>
        </w:rPr>
        <w:t xml:space="preserve"> </w:t>
      </w:r>
      <w:r>
        <w:t>kockázat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enoxaparin/warfarin</w:t>
      </w:r>
      <w:r>
        <w:rPr>
          <w:spacing w:val="-2"/>
        </w:rPr>
        <w:t xml:space="preserve"> </w:t>
      </w:r>
      <w:r>
        <w:t>kezeléshez</w:t>
      </w:r>
      <w:r>
        <w:rPr>
          <w:spacing w:val="-3"/>
        </w:rPr>
        <w:t xml:space="preserve"> </w:t>
      </w:r>
      <w:r>
        <w:t>képest.</w:t>
      </w:r>
    </w:p>
    <w:p w14:paraId="0873FEC0" w14:textId="77777777" w:rsidR="004C11B6" w:rsidRDefault="004C11B6" w:rsidP="005B01BC">
      <w:pPr>
        <w:pStyle w:val="Szvegtrzs"/>
        <w:spacing w:before="4"/>
      </w:pPr>
    </w:p>
    <w:p w14:paraId="06A0C992" w14:textId="77777777" w:rsidR="005B01BC" w:rsidRDefault="00F05A0C" w:rsidP="005B01BC">
      <w:pPr>
        <w:pStyle w:val="Szvegtrzs"/>
        <w:spacing w:before="1" w:line="247" w:lineRule="auto"/>
        <w:ind w:right="2"/>
      </w:pPr>
      <w:r>
        <w:t>A vizsgálatban kimutatták, hogy az apixabán non-inferior volt az enoxaparin/warfarin kezeléshez</w:t>
      </w:r>
      <w:r>
        <w:rPr>
          <w:spacing w:val="1"/>
        </w:rPr>
        <w:t xml:space="preserve"> </w:t>
      </w:r>
      <w:r>
        <w:t>képest a kombinált elsődleges végpontban, melynek összetevői: az igazolt, recidív szimptomatikus</w:t>
      </w:r>
      <w:r>
        <w:rPr>
          <w:spacing w:val="1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(nem</w:t>
      </w:r>
      <w:r>
        <w:rPr>
          <w:spacing w:val="-3"/>
        </w:rPr>
        <w:t xml:space="preserve"> </w:t>
      </w:r>
      <w:r>
        <w:t>halálos</w:t>
      </w:r>
      <w:r>
        <w:rPr>
          <w:spacing w:val="-3"/>
        </w:rPr>
        <w:t xml:space="preserve"> </w:t>
      </w:r>
      <w:r>
        <w:t>MVT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halálos</w:t>
      </w:r>
      <w:r>
        <w:rPr>
          <w:spacing w:val="-3"/>
        </w:rPr>
        <w:t xml:space="preserve"> </w:t>
      </w:r>
      <w:r>
        <w:t>PE)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VTE-vel</w:t>
      </w:r>
      <w:r>
        <w:rPr>
          <w:spacing w:val="-3"/>
        </w:rPr>
        <w:t xml:space="preserve"> </w:t>
      </w:r>
      <w:r>
        <w:t>összefüggő</w:t>
      </w:r>
      <w:r>
        <w:rPr>
          <w:spacing w:val="-3"/>
        </w:rPr>
        <w:t xml:space="preserve"> </w:t>
      </w:r>
      <w:r>
        <w:t>halálozás</w:t>
      </w:r>
      <w:r>
        <w:rPr>
          <w:spacing w:val="48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8.</w:t>
      </w:r>
      <w:r>
        <w:rPr>
          <w:spacing w:val="-5"/>
        </w:rPr>
        <w:t xml:space="preserve"> </w:t>
      </w:r>
      <w:r>
        <w:t>táblázat).</w:t>
      </w:r>
    </w:p>
    <w:p w14:paraId="774B5A22" w14:textId="77777777" w:rsidR="005B01BC" w:rsidRDefault="005B01BC" w:rsidP="005B01BC">
      <w:pPr>
        <w:pStyle w:val="Szvegtrzs"/>
        <w:spacing w:before="1" w:line="247" w:lineRule="auto"/>
        <w:ind w:right="2"/>
      </w:pPr>
    </w:p>
    <w:p w14:paraId="04932F9C" w14:textId="619EC188" w:rsidR="004C11B6" w:rsidRPr="005B01BC" w:rsidRDefault="00F05A0C" w:rsidP="005B01BC">
      <w:pPr>
        <w:pStyle w:val="Szvegtrzs"/>
        <w:numPr>
          <w:ilvl w:val="0"/>
          <w:numId w:val="47"/>
        </w:numPr>
        <w:spacing w:before="1" w:line="247" w:lineRule="auto"/>
        <w:ind w:left="284" w:right="2" w:hanging="284"/>
        <w:rPr>
          <w:b/>
          <w:bCs/>
        </w:rPr>
      </w:pPr>
      <w:r w:rsidRPr="005B01BC">
        <w:rPr>
          <w:b/>
          <w:bCs/>
        </w:rPr>
        <w:t>táblázat:</w:t>
      </w:r>
      <w:r w:rsidRPr="005B01BC">
        <w:rPr>
          <w:b/>
          <w:bCs/>
          <w:spacing w:val="-5"/>
        </w:rPr>
        <w:t xml:space="preserve"> </w:t>
      </w:r>
      <w:r w:rsidRPr="005B01BC">
        <w:rPr>
          <w:b/>
          <w:bCs/>
        </w:rPr>
        <w:t>Az</w:t>
      </w:r>
      <w:r w:rsidRPr="005B01BC">
        <w:rPr>
          <w:b/>
          <w:bCs/>
          <w:spacing w:val="-5"/>
        </w:rPr>
        <w:t xml:space="preserve"> </w:t>
      </w:r>
      <w:r w:rsidRPr="005B01BC">
        <w:rPr>
          <w:b/>
          <w:bCs/>
        </w:rPr>
        <w:t>AMPLIFY</w:t>
      </w:r>
      <w:r w:rsidRPr="005B01BC">
        <w:rPr>
          <w:b/>
          <w:bCs/>
          <w:spacing w:val="-5"/>
        </w:rPr>
        <w:t xml:space="preserve"> </w:t>
      </w:r>
      <w:r w:rsidRPr="005B01BC">
        <w:rPr>
          <w:b/>
          <w:bCs/>
        </w:rPr>
        <w:t>vizsgálat</w:t>
      </w:r>
      <w:r w:rsidRPr="005B01BC">
        <w:rPr>
          <w:b/>
          <w:bCs/>
          <w:spacing w:val="-5"/>
        </w:rPr>
        <w:t xml:space="preserve"> </w:t>
      </w:r>
      <w:r w:rsidRPr="005B01BC">
        <w:rPr>
          <w:b/>
          <w:bCs/>
        </w:rPr>
        <w:t>hatásossági</w:t>
      </w:r>
      <w:r w:rsidRPr="005B01BC">
        <w:rPr>
          <w:b/>
          <w:bCs/>
          <w:spacing w:val="-5"/>
        </w:rPr>
        <w:t xml:space="preserve"> </w:t>
      </w:r>
      <w:r w:rsidRPr="005B01BC">
        <w:rPr>
          <w:b/>
          <w:bCs/>
        </w:rPr>
        <w:t>eredményei</w:t>
      </w:r>
    </w:p>
    <w:tbl>
      <w:tblPr>
        <w:tblW w:w="96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7"/>
        <w:gridCol w:w="1651"/>
        <w:gridCol w:w="2129"/>
        <w:gridCol w:w="3509"/>
      </w:tblGrid>
      <w:tr w:rsidR="004C11B6" w14:paraId="1EBE676B" w14:textId="77777777" w:rsidTr="005B01BC">
        <w:trPr>
          <w:trHeight w:val="1026"/>
        </w:trPr>
        <w:tc>
          <w:tcPr>
            <w:tcW w:w="2317" w:type="dxa"/>
            <w:vMerge w:val="restart"/>
          </w:tcPr>
          <w:p w14:paraId="1D961DA2" w14:textId="77777777" w:rsidR="004C11B6" w:rsidRDefault="004C11B6">
            <w:pPr>
              <w:pStyle w:val="TableParagraph"/>
            </w:pPr>
          </w:p>
        </w:tc>
        <w:tc>
          <w:tcPr>
            <w:tcW w:w="1651" w:type="dxa"/>
            <w:tcBorders>
              <w:bottom w:val="nil"/>
            </w:tcBorders>
          </w:tcPr>
          <w:p w14:paraId="22FB9EE7" w14:textId="77777777" w:rsidR="004C11B6" w:rsidRDefault="00F05A0C">
            <w:pPr>
              <w:pStyle w:val="TableParagraph"/>
              <w:spacing w:before="51"/>
              <w:ind w:left="407" w:hanging="41"/>
              <w:rPr>
                <w:b/>
              </w:rPr>
            </w:pPr>
            <w:r>
              <w:rPr>
                <w:b/>
              </w:rPr>
              <w:t>Apixabán</w:t>
            </w:r>
          </w:p>
          <w:p w14:paraId="2A0BCF99" w14:textId="77777777" w:rsidR="004C11B6" w:rsidRDefault="00F05A0C">
            <w:pPr>
              <w:pStyle w:val="TableParagraph"/>
              <w:spacing w:line="360" w:lineRule="atLeast"/>
              <w:ind w:left="551" w:right="379" w:hanging="144"/>
              <w:rPr>
                <w:b/>
              </w:rPr>
            </w:pPr>
            <w:r>
              <w:rPr>
                <w:b/>
              </w:rPr>
              <w:t>N = 2609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(%)</w:t>
            </w:r>
          </w:p>
        </w:tc>
        <w:tc>
          <w:tcPr>
            <w:tcW w:w="2129" w:type="dxa"/>
            <w:tcBorders>
              <w:bottom w:val="nil"/>
            </w:tcBorders>
          </w:tcPr>
          <w:p w14:paraId="2227E598" w14:textId="77777777" w:rsidR="004C11B6" w:rsidRDefault="00F05A0C">
            <w:pPr>
              <w:pStyle w:val="TableParagraph"/>
              <w:spacing w:before="57" w:line="232" w:lineRule="auto"/>
              <w:ind w:left="122" w:right="111"/>
              <w:jc w:val="center"/>
              <w:rPr>
                <w:b/>
              </w:rPr>
            </w:pPr>
            <w:r>
              <w:rPr>
                <w:b/>
                <w:spacing w:val="-1"/>
              </w:rPr>
              <w:t>Enoxaparin/Warfar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in</w:t>
            </w:r>
          </w:p>
          <w:p w14:paraId="6F9FB6DB" w14:textId="77777777" w:rsidR="004C11B6" w:rsidRDefault="00F05A0C">
            <w:pPr>
              <w:pStyle w:val="TableParagraph"/>
              <w:spacing w:before="110"/>
              <w:ind w:left="118" w:right="111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2635</w:t>
            </w:r>
          </w:p>
        </w:tc>
        <w:tc>
          <w:tcPr>
            <w:tcW w:w="3509" w:type="dxa"/>
            <w:tcBorders>
              <w:bottom w:val="nil"/>
            </w:tcBorders>
          </w:tcPr>
          <w:p w14:paraId="5D36EA11" w14:textId="77777777" w:rsidR="004C11B6" w:rsidRDefault="00F05A0C">
            <w:pPr>
              <w:pStyle w:val="TableParagraph"/>
              <w:spacing w:before="51" w:line="345" w:lineRule="auto"/>
              <w:ind w:left="1176" w:right="957" w:hanging="207"/>
              <w:rPr>
                <w:b/>
              </w:rPr>
            </w:pPr>
            <w:r>
              <w:rPr>
                <w:b/>
              </w:rPr>
              <w:t>Relatív kockázat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CI)</w:t>
            </w:r>
          </w:p>
        </w:tc>
      </w:tr>
      <w:tr w:rsidR="004C11B6" w14:paraId="1B8B1976" w14:textId="77777777" w:rsidTr="005B01BC">
        <w:trPr>
          <w:trHeight w:val="297"/>
        </w:trPr>
        <w:tc>
          <w:tcPr>
            <w:tcW w:w="2317" w:type="dxa"/>
            <w:vMerge/>
            <w:tcBorders>
              <w:top w:val="nil"/>
            </w:tcBorders>
          </w:tcPr>
          <w:p w14:paraId="0992342A" w14:textId="77777777" w:rsidR="004C11B6" w:rsidRDefault="004C11B6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</w:tcBorders>
          </w:tcPr>
          <w:p w14:paraId="48E7DCE4" w14:textId="77777777" w:rsidR="004C11B6" w:rsidRDefault="004C11B6">
            <w:pPr>
              <w:pStyle w:val="TableParagraph"/>
            </w:pPr>
          </w:p>
        </w:tc>
        <w:tc>
          <w:tcPr>
            <w:tcW w:w="2129" w:type="dxa"/>
            <w:tcBorders>
              <w:top w:val="nil"/>
            </w:tcBorders>
          </w:tcPr>
          <w:p w14:paraId="0211E20F" w14:textId="77777777" w:rsidR="004C11B6" w:rsidRDefault="00F05A0C">
            <w:pPr>
              <w:pStyle w:val="TableParagraph"/>
              <w:spacing w:line="239" w:lineRule="exact"/>
              <w:ind w:left="119" w:right="111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(%)</w:t>
            </w:r>
          </w:p>
        </w:tc>
        <w:tc>
          <w:tcPr>
            <w:tcW w:w="3509" w:type="dxa"/>
            <w:tcBorders>
              <w:top w:val="nil"/>
            </w:tcBorders>
          </w:tcPr>
          <w:p w14:paraId="031A1B04" w14:textId="77777777" w:rsidR="004C11B6" w:rsidRDefault="004C11B6">
            <w:pPr>
              <w:pStyle w:val="TableParagraph"/>
            </w:pPr>
          </w:p>
        </w:tc>
      </w:tr>
      <w:tr w:rsidR="004C11B6" w14:paraId="2416E237" w14:textId="77777777" w:rsidTr="005B01BC">
        <w:trPr>
          <w:trHeight w:val="609"/>
        </w:trPr>
        <w:tc>
          <w:tcPr>
            <w:tcW w:w="2317" w:type="dxa"/>
          </w:tcPr>
          <w:p w14:paraId="425C8666" w14:textId="77777777" w:rsidR="004C11B6" w:rsidRDefault="00F05A0C">
            <w:pPr>
              <w:pStyle w:val="TableParagraph"/>
              <w:spacing w:before="57" w:line="232" w:lineRule="auto"/>
              <w:ind w:left="107" w:right="188"/>
            </w:pPr>
            <w:r>
              <w:t>VTE vagy VTE-vel</w:t>
            </w:r>
            <w:r>
              <w:rPr>
                <w:spacing w:val="1"/>
              </w:rPr>
              <w:t xml:space="preserve"> </w:t>
            </w:r>
            <w:r>
              <w:t>összefüggő</w:t>
            </w:r>
            <w:r>
              <w:rPr>
                <w:spacing w:val="-10"/>
              </w:rPr>
              <w:t xml:space="preserve"> </w:t>
            </w:r>
            <w:r>
              <w:t>halálozás</w:t>
            </w:r>
          </w:p>
        </w:tc>
        <w:tc>
          <w:tcPr>
            <w:tcW w:w="1651" w:type="dxa"/>
          </w:tcPr>
          <w:p w14:paraId="729CD4A3" w14:textId="77777777" w:rsidR="004C11B6" w:rsidRDefault="00F05A0C">
            <w:pPr>
              <w:pStyle w:val="TableParagraph"/>
              <w:spacing w:before="53"/>
              <w:ind w:left="459" w:right="448"/>
              <w:jc w:val="center"/>
            </w:pPr>
            <w:r>
              <w:t>59</w:t>
            </w:r>
            <w:r>
              <w:rPr>
                <w:spacing w:val="-3"/>
              </w:rPr>
              <w:t xml:space="preserve"> </w:t>
            </w:r>
            <w:r>
              <w:t>(2,3)</w:t>
            </w:r>
          </w:p>
        </w:tc>
        <w:tc>
          <w:tcPr>
            <w:tcW w:w="2129" w:type="dxa"/>
          </w:tcPr>
          <w:p w14:paraId="05966C67" w14:textId="77777777" w:rsidR="004C11B6" w:rsidRDefault="00F05A0C">
            <w:pPr>
              <w:pStyle w:val="TableParagraph"/>
              <w:spacing w:before="53"/>
              <w:ind w:left="120" w:right="111"/>
              <w:jc w:val="center"/>
            </w:pPr>
            <w:r>
              <w:t>71</w:t>
            </w:r>
            <w:r>
              <w:rPr>
                <w:spacing w:val="-3"/>
              </w:rPr>
              <w:t xml:space="preserve"> </w:t>
            </w:r>
            <w:r>
              <w:t>(2,7)</w:t>
            </w:r>
          </w:p>
        </w:tc>
        <w:tc>
          <w:tcPr>
            <w:tcW w:w="3509" w:type="dxa"/>
          </w:tcPr>
          <w:p w14:paraId="76C95034" w14:textId="77777777" w:rsidR="004C11B6" w:rsidRDefault="00F05A0C">
            <w:pPr>
              <w:pStyle w:val="TableParagraph"/>
              <w:spacing w:before="53"/>
              <w:ind w:right="950"/>
              <w:jc w:val="right"/>
            </w:pPr>
            <w:r>
              <w:t>0,84</w:t>
            </w:r>
            <w:r>
              <w:rPr>
                <w:spacing w:val="-4"/>
              </w:rPr>
              <w:t xml:space="preserve"> </w:t>
            </w:r>
            <w:r>
              <w:t>(0,60;</w:t>
            </w:r>
            <w:r>
              <w:rPr>
                <w:spacing w:val="-4"/>
              </w:rPr>
              <w:t xml:space="preserve"> </w:t>
            </w:r>
            <w:r>
              <w:t>1,18)*</w:t>
            </w:r>
          </w:p>
        </w:tc>
      </w:tr>
      <w:tr w:rsidR="004C11B6" w14:paraId="7CEEED12" w14:textId="77777777" w:rsidTr="005B01BC">
        <w:trPr>
          <w:trHeight w:val="362"/>
        </w:trPr>
        <w:tc>
          <w:tcPr>
            <w:tcW w:w="2317" w:type="dxa"/>
          </w:tcPr>
          <w:p w14:paraId="1CF10D42" w14:textId="77777777" w:rsidR="004C11B6" w:rsidRDefault="00F05A0C">
            <w:pPr>
              <w:pStyle w:val="TableParagraph"/>
              <w:spacing w:before="51"/>
              <w:ind w:left="467"/>
            </w:pPr>
            <w:r>
              <w:t>MVT</w:t>
            </w:r>
          </w:p>
        </w:tc>
        <w:tc>
          <w:tcPr>
            <w:tcW w:w="1651" w:type="dxa"/>
          </w:tcPr>
          <w:p w14:paraId="66965612" w14:textId="77777777" w:rsidR="004C11B6" w:rsidRDefault="00F05A0C">
            <w:pPr>
              <w:pStyle w:val="TableParagraph"/>
              <w:spacing w:before="51"/>
              <w:ind w:left="459" w:right="448"/>
              <w:jc w:val="center"/>
            </w:pPr>
            <w:r>
              <w:t>20</w:t>
            </w:r>
            <w:r>
              <w:rPr>
                <w:spacing w:val="-3"/>
              </w:rPr>
              <w:t xml:space="preserve"> </w:t>
            </w:r>
            <w:r>
              <w:t>(0,7)</w:t>
            </w:r>
          </w:p>
        </w:tc>
        <w:tc>
          <w:tcPr>
            <w:tcW w:w="2129" w:type="dxa"/>
          </w:tcPr>
          <w:p w14:paraId="3070DA1D" w14:textId="77777777" w:rsidR="004C11B6" w:rsidRDefault="00F05A0C">
            <w:pPr>
              <w:pStyle w:val="TableParagraph"/>
              <w:spacing w:before="51"/>
              <w:ind w:left="120" w:right="111"/>
              <w:jc w:val="center"/>
            </w:pPr>
            <w:r>
              <w:t>33</w:t>
            </w:r>
            <w:r>
              <w:rPr>
                <w:spacing w:val="-3"/>
              </w:rPr>
              <w:t xml:space="preserve"> </w:t>
            </w:r>
            <w:r>
              <w:t>(1,2)</w:t>
            </w:r>
          </w:p>
        </w:tc>
        <w:tc>
          <w:tcPr>
            <w:tcW w:w="3509" w:type="dxa"/>
          </w:tcPr>
          <w:p w14:paraId="746C61C0" w14:textId="77777777" w:rsidR="004C11B6" w:rsidRDefault="004C11B6">
            <w:pPr>
              <w:pStyle w:val="TableParagraph"/>
            </w:pPr>
          </w:p>
        </w:tc>
      </w:tr>
      <w:tr w:rsidR="004C11B6" w14:paraId="663421AD" w14:textId="77777777" w:rsidTr="005B01BC">
        <w:trPr>
          <w:trHeight w:val="364"/>
        </w:trPr>
        <w:tc>
          <w:tcPr>
            <w:tcW w:w="2317" w:type="dxa"/>
          </w:tcPr>
          <w:p w14:paraId="7509C226" w14:textId="77777777" w:rsidR="004C11B6" w:rsidRDefault="00F05A0C">
            <w:pPr>
              <w:pStyle w:val="TableParagraph"/>
              <w:spacing w:before="51"/>
              <w:ind w:left="467"/>
            </w:pPr>
            <w:r>
              <w:t>PE</w:t>
            </w:r>
          </w:p>
        </w:tc>
        <w:tc>
          <w:tcPr>
            <w:tcW w:w="1651" w:type="dxa"/>
          </w:tcPr>
          <w:p w14:paraId="126A1A54" w14:textId="77777777" w:rsidR="004C11B6" w:rsidRDefault="00F05A0C">
            <w:pPr>
              <w:pStyle w:val="TableParagraph"/>
              <w:spacing w:before="51"/>
              <w:ind w:left="459" w:right="448"/>
              <w:jc w:val="center"/>
            </w:pPr>
            <w:r>
              <w:t>27</w:t>
            </w:r>
            <w:r>
              <w:rPr>
                <w:spacing w:val="-3"/>
              </w:rPr>
              <w:t xml:space="preserve"> </w:t>
            </w:r>
            <w:r>
              <w:t>(1,0)</w:t>
            </w:r>
          </w:p>
        </w:tc>
        <w:tc>
          <w:tcPr>
            <w:tcW w:w="2129" w:type="dxa"/>
          </w:tcPr>
          <w:p w14:paraId="0B80B8FF" w14:textId="77777777" w:rsidR="004C11B6" w:rsidRDefault="00F05A0C">
            <w:pPr>
              <w:pStyle w:val="TableParagraph"/>
              <w:spacing w:before="51"/>
              <w:ind w:left="120" w:right="111"/>
              <w:jc w:val="center"/>
            </w:pPr>
            <w:r>
              <w:t>23</w:t>
            </w:r>
            <w:r>
              <w:rPr>
                <w:spacing w:val="-3"/>
              </w:rPr>
              <w:t xml:space="preserve"> </w:t>
            </w:r>
            <w:r>
              <w:t>(0,9)</w:t>
            </w:r>
          </w:p>
        </w:tc>
        <w:tc>
          <w:tcPr>
            <w:tcW w:w="3509" w:type="dxa"/>
          </w:tcPr>
          <w:p w14:paraId="6445D61E" w14:textId="77777777" w:rsidR="004C11B6" w:rsidRDefault="004C11B6">
            <w:pPr>
              <w:pStyle w:val="TableParagraph"/>
            </w:pPr>
          </w:p>
        </w:tc>
      </w:tr>
      <w:tr w:rsidR="004C11B6" w14:paraId="66566035" w14:textId="77777777" w:rsidTr="005B01BC">
        <w:trPr>
          <w:trHeight w:val="606"/>
        </w:trPr>
        <w:tc>
          <w:tcPr>
            <w:tcW w:w="2317" w:type="dxa"/>
          </w:tcPr>
          <w:p w14:paraId="78FCCF73" w14:textId="77777777" w:rsidR="004C11B6" w:rsidRDefault="00F05A0C">
            <w:pPr>
              <w:pStyle w:val="TableParagraph"/>
              <w:spacing w:before="57" w:line="232" w:lineRule="auto"/>
              <w:ind w:left="107" w:right="188" w:firstLine="360"/>
            </w:pPr>
            <w:r>
              <w:t>VTE-vel</w:t>
            </w:r>
            <w:r>
              <w:rPr>
                <w:spacing w:val="1"/>
              </w:rPr>
              <w:t xml:space="preserve"> </w:t>
            </w:r>
            <w:r>
              <w:t>összefüggő</w:t>
            </w:r>
            <w:r>
              <w:rPr>
                <w:spacing w:val="-10"/>
              </w:rPr>
              <w:t xml:space="preserve"> </w:t>
            </w:r>
            <w:r>
              <w:t>halálozás</w:t>
            </w:r>
          </w:p>
        </w:tc>
        <w:tc>
          <w:tcPr>
            <w:tcW w:w="1651" w:type="dxa"/>
          </w:tcPr>
          <w:p w14:paraId="15AF544F" w14:textId="77777777" w:rsidR="004C11B6" w:rsidRDefault="00F05A0C">
            <w:pPr>
              <w:pStyle w:val="TableParagraph"/>
              <w:spacing w:before="51"/>
              <w:ind w:left="459" w:right="448"/>
              <w:jc w:val="center"/>
            </w:pPr>
            <w:r>
              <w:t>12</w:t>
            </w:r>
            <w:r>
              <w:rPr>
                <w:spacing w:val="-3"/>
              </w:rPr>
              <w:t xml:space="preserve"> </w:t>
            </w:r>
            <w:r>
              <w:t>(0,4)</w:t>
            </w:r>
          </w:p>
        </w:tc>
        <w:tc>
          <w:tcPr>
            <w:tcW w:w="2129" w:type="dxa"/>
          </w:tcPr>
          <w:p w14:paraId="024212F9" w14:textId="77777777" w:rsidR="004C11B6" w:rsidRDefault="00F05A0C">
            <w:pPr>
              <w:pStyle w:val="TableParagraph"/>
              <w:spacing w:before="51"/>
              <w:ind w:left="120" w:right="111"/>
              <w:jc w:val="center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(0,6)</w:t>
            </w:r>
          </w:p>
        </w:tc>
        <w:tc>
          <w:tcPr>
            <w:tcW w:w="3509" w:type="dxa"/>
          </w:tcPr>
          <w:p w14:paraId="3BDE9DBE" w14:textId="77777777" w:rsidR="004C11B6" w:rsidRDefault="004C11B6">
            <w:pPr>
              <w:pStyle w:val="TableParagraph"/>
            </w:pPr>
          </w:p>
        </w:tc>
      </w:tr>
      <w:tr w:rsidR="004C11B6" w14:paraId="6E08BB74" w14:textId="77777777" w:rsidTr="005B01BC">
        <w:trPr>
          <w:trHeight w:val="606"/>
        </w:trPr>
        <w:tc>
          <w:tcPr>
            <w:tcW w:w="2317" w:type="dxa"/>
          </w:tcPr>
          <w:p w14:paraId="1AB5CE76" w14:textId="77777777" w:rsidR="004C11B6" w:rsidRDefault="00F05A0C">
            <w:pPr>
              <w:pStyle w:val="TableParagraph"/>
              <w:spacing w:before="57" w:line="232" w:lineRule="auto"/>
              <w:ind w:left="107" w:right="797"/>
            </w:pPr>
            <w:r>
              <w:t>VTE vagy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összmortalitás</w:t>
            </w:r>
          </w:p>
        </w:tc>
        <w:tc>
          <w:tcPr>
            <w:tcW w:w="1651" w:type="dxa"/>
          </w:tcPr>
          <w:p w14:paraId="4BBE4C59" w14:textId="77777777" w:rsidR="004C11B6" w:rsidRDefault="00F05A0C">
            <w:pPr>
              <w:pStyle w:val="TableParagraph"/>
              <w:spacing w:before="51"/>
              <w:ind w:left="459" w:right="448"/>
              <w:jc w:val="center"/>
            </w:pPr>
            <w:r>
              <w:t>84</w:t>
            </w:r>
            <w:r>
              <w:rPr>
                <w:spacing w:val="-3"/>
              </w:rPr>
              <w:t xml:space="preserve"> </w:t>
            </w:r>
            <w:r>
              <w:t>(3,2)</w:t>
            </w:r>
          </w:p>
        </w:tc>
        <w:tc>
          <w:tcPr>
            <w:tcW w:w="2129" w:type="dxa"/>
          </w:tcPr>
          <w:p w14:paraId="5E83D71C" w14:textId="77777777" w:rsidR="004C11B6" w:rsidRDefault="00F05A0C">
            <w:pPr>
              <w:pStyle w:val="TableParagraph"/>
              <w:spacing w:before="51"/>
              <w:ind w:left="120" w:right="111"/>
              <w:jc w:val="center"/>
            </w:pPr>
            <w:r>
              <w:t>104</w:t>
            </w:r>
            <w:r>
              <w:rPr>
                <w:spacing w:val="-3"/>
              </w:rPr>
              <w:t xml:space="preserve"> </w:t>
            </w:r>
            <w:r>
              <w:t>(4,0)</w:t>
            </w:r>
          </w:p>
        </w:tc>
        <w:tc>
          <w:tcPr>
            <w:tcW w:w="3509" w:type="dxa"/>
          </w:tcPr>
          <w:p w14:paraId="02E032C7" w14:textId="77777777" w:rsidR="004C11B6" w:rsidRDefault="00F05A0C">
            <w:pPr>
              <w:pStyle w:val="TableParagraph"/>
              <w:spacing w:before="51"/>
              <w:ind w:right="1004"/>
              <w:jc w:val="right"/>
            </w:pPr>
            <w:r>
              <w:t>0,82</w:t>
            </w:r>
            <w:r>
              <w:rPr>
                <w:spacing w:val="-4"/>
              </w:rPr>
              <w:t xml:space="preserve"> </w:t>
            </w:r>
            <w:r>
              <w:t>(0,61;</w:t>
            </w:r>
            <w:r>
              <w:rPr>
                <w:spacing w:val="-3"/>
              </w:rPr>
              <w:t xml:space="preserve"> </w:t>
            </w:r>
            <w:r>
              <w:t>1,08)</w:t>
            </w:r>
          </w:p>
        </w:tc>
      </w:tr>
      <w:tr w:rsidR="004C11B6" w14:paraId="2F829E3E" w14:textId="77777777" w:rsidTr="005B01BC">
        <w:trPr>
          <w:trHeight w:val="609"/>
        </w:trPr>
        <w:tc>
          <w:tcPr>
            <w:tcW w:w="2317" w:type="dxa"/>
          </w:tcPr>
          <w:p w14:paraId="600C5610" w14:textId="77777777" w:rsidR="004C11B6" w:rsidRDefault="00F05A0C">
            <w:pPr>
              <w:pStyle w:val="TableParagraph"/>
              <w:spacing w:before="57" w:line="232" w:lineRule="auto"/>
              <w:ind w:left="107" w:right="530"/>
            </w:pPr>
            <w:r>
              <w:t>VTE vagy CV</w:t>
            </w:r>
            <w:r>
              <w:rPr>
                <w:spacing w:val="1"/>
              </w:rPr>
              <w:t xml:space="preserve"> </w:t>
            </w:r>
            <w:r>
              <w:t>eredetű</w:t>
            </w:r>
            <w:r>
              <w:rPr>
                <w:spacing w:val="-9"/>
              </w:rPr>
              <w:t xml:space="preserve"> </w:t>
            </w:r>
            <w:r>
              <w:t>halálozás</w:t>
            </w:r>
          </w:p>
        </w:tc>
        <w:tc>
          <w:tcPr>
            <w:tcW w:w="1651" w:type="dxa"/>
          </w:tcPr>
          <w:p w14:paraId="544E9D92" w14:textId="77777777" w:rsidR="004C11B6" w:rsidRDefault="00F05A0C">
            <w:pPr>
              <w:pStyle w:val="TableParagraph"/>
              <w:spacing w:before="51"/>
              <w:ind w:left="459" w:right="448"/>
              <w:jc w:val="center"/>
            </w:pPr>
            <w:r>
              <w:t>61</w:t>
            </w:r>
            <w:r>
              <w:rPr>
                <w:spacing w:val="-3"/>
              </w:rPr>
              <w:t xml:space="preserve"> </w:t>
            </w:r>
            <w:r>
              <w:t>(2,3)</w:t>
            </w:r>
          </w:p>
        </w:tc>
        <w:tc>
          <w:tcPr>
            <w:tcW w:w="2129" w:type="dxa"/>
          </w:tcPr>
          <w:p w14:paraId="66FFCA3F" w14:textId="77777777" w:rsidR="004C11B6" w:rsidRDefault="00F05A0C">
            <w:pPr>
              <w:pStyle w:val="TableParagraph"/>
              <w:spacing w:before="51"/>
              <w:ind w:left="120" w:right="111"/>
              <w:jc w:val="center"/>
            </w:pPr>
            <w:r>
              <w:t>77</w:t>
            </w:r>
            <w:r>
              <w:rPr>
                <w:spacing w:val="-3"/>
              </w:rPr>
              <w:t xml:space="preserve"> </w:t>
            </w:r>
            <w:r>
              <w:t>(2,9)</w:t>
            </w:r>
          </w:p>
        </w:tc>
        <w:tc>
          <w:tcPr>
            <w:tcW w:w="3509" w:type="dxa"/>
          </w:tcPr>
          <w:p w14:paraId="7DFEB56A" w14:textId="77777777" w:rsidR="004C11B6" w:rsidRDefault="00F05A0C">
            <w:pPr>
              <w:pStyle w:val="TableParagraph"/>
              <w:spacing w:before="51"/>
              <w:ind w:right="1004"/>
              <w:jc w:val="right"/>
            </w:pPr>
            <w:r>
              <w:t>0,80</w:t>
            </w:r>
            <w:r>
              <w:rPr>
                <w:spacing w:val="-2"/>
              </w:rPr>
              <w:t xml:space="preserve"> </w:t>
            </w:r>
            <w:r>
              <w:t>(0,57;</w:t>
            </w:r>
            <w:r>
              <w:rPr>
                <w:spacing w:val="-3"/>
              </w:rPr>
              <w:t xml:space="preserve"> </w:t>
            </w:r>
            <w:r>
              <w:t>1,11)</w:t>
            </w:r>
          </w:p>
        </w:tc>
      </w:tr>
      <w:tr w:rsidR="004C11B6" w14:paraId="02089FA3" w14:textId="77777777" w:rsidTr="005B01BC">
        <w:trPr>
          <w:trHeight w:val="849"/>
        </w:trPr>
        <w:tc>
          <w:tcPr>
            <w:tcW w:w="2317" w:type="dxa"/>
          </w:tcPr>
          <w:p w14:paraId="40FD7861" w14:textId="77777777" w:rsidR="004C11B6" w:rsidRDefault="00F05A0C">
            <w:pPr>
              <w:pStyle w:val="TableParagraph"/>
              <w:spacing w:before="49" w:line="249" w:lineRule="exact"/>
              <w:ind w:left="107"/>
            </w:pPr>
            <w:r>
              <w:t>VTE,</w:t>
            </w:r>
            <w:r>
              <w:rPr>
                <w:spacing w:val="-4"/>
              </w:rPr>
              <w:t xml:space="preserve"> </w:t>
            </w:r>
            <w:r>
              <w:t>VTE-vel</w:t>
            </w:r>
          </w:p>
          <w:p w14:paraId="5700027E" w14:textId="77777777" w:rsidR="004C11B6" w:rsidRDefault="00F05A0C">
            <w:pPr>
              <w:pStyle w:val="TableParagraph"/>
              <w:spacing w:before="2" w:line="232" w:lineRule="auto"/>
              <w:ind w:left="107" w:right="122"/>
            </w:pPr>
            <w:r>
              <w:t>összefüggő halálozás</w:t>
            </w:r>
            <w:r>
              <w:rPr>
                <w:spacing w:val="1"/>
              </w:rPr>
              <w:t xml:space="preserve"> </w:t>
            </w:r>
            <w:r>
              <w:t>vagy</w:t>
            </w:r>
            <w:r>
              <w:rPr>
                <w:spacing w:val="-6"/>
              </w:rPr>
              <w:t xml:space="preserve"> </w:t>
            </w:r>
            <w:r>
              <w:t>nagyfokú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1651" w:type="dxa"/>
          </w:tcPr>
          <w:p w14:paraId="366C9323" w14:textId="77777777" w:rsidR="004C11B6" w:rsidRDefault="00F05A0C">
            <w:pPr>
              <w:pStyle w:val="TableParagraph"/>
              <w:spacing w:before="51"/>
              <w:ind w:left="459" w:right="448"/>
              <w:jc w:val="center"/>
            </w:pPr>
            <w:r>
              <w:t>73</w:t>
            </w:r>
            <w:r>
              <w:rPr>
                <w:spacing w:val="-3"/>
              </w:rPr>
              <w:t xml:space="preserve"> </w:t>
            </w:r>
            <w:r>
              <w:t>(2,8)</w:t>
            </w:r>
          </w:p>
        </w:tc>
        <w:tc>
          <w:tcPr>
            <w:tcW w:w="2129" w:type="dxa"/>
          </w:tcPr>
          <w:p w14:paraId="7E5566C0" w14:textId="77777777" w:rsidR="004C11B6" w:rsidRDefault="00F05A0C">
            <w:pPr>
              <w:pStyle w:val="TableParagraph"/>
              <w:spacing w:before="51"/>
              <w:ind w:left="120" w:right="111"/>
              <w:jc w:val="center"/>
            </w:pPr>
            <w:r>
              <w:t>118</w:t>
            </w:r>
            <w:r>
              <w:rPr>
                <w:spacing w:val="-3"/>
              </w:rPr>
              <w:t xml:space="preserve"> </w:t>
            </w:r>
            <w:r>
              <w:t>(4,5)</w:t>
            </w:r>
          </w:p>
        </w:tc>
        <w:tc>
          <w:tcPr>
            <w:tcW w:w="3509" w:type="dxa"/>
          </w:tcPr>
          <w:p w14:paraId="2D53C711" w14:textId="77777777" w:rsidR="004C11B6" w:rsidRDefault="00F05A0C">
            <w:pPr>
              <w:pStyle w:val="TableParagraph"/>
              <w:spacing w:before="51"/>
              <w:ind w:right="1004"/>
              <w:jc w:val="right"/>
            </w:pPr>
            <w:r>
              <w:t>0,62</w:t>
            </w:r>
            <w:r>
              <w:rPr>
                <w:spacing w:val="-4"/>
              </w:rPr>
              <w:t xml:space="preserve"> </w:t>
            </w:r>
            <w:r>
              <w:t>(0,47;</w:t>
            </w:r>
            <w:r>
              <w:rPr>
                <w:spacing w:val="-3"/>
              </w:rPr>
              <w:t xml:space="preserve"> </w:t>
            </w:r>
            <w:r>
              <w:t>0,83)</w:t>
            </w:r>
          </w:p>
        </w:tc>
      </w:tr>
    </w:tbl>
    <w:p w14:paraId="1FE0D621" w14:textId="77777777" w:rsidR="004C11B6" w:rsidRDefault="00F05A0C" w:rsidP="002367F7">
      <w:pPr>
        <w:pStyle w:val="Listaszerbekezds"/>
        <w:numPr>
          <w:ilvl w:val="0"/>
          <w:numId w:val="61"/>
        </w:numPr>
        <w:ind w:left="142" w:hanging="142"/>
        <w:rPr>
          <w:sz w:val="20"/>
        </w:rPr>
      </w:pPr>
      <w:r>
        <w:rPr>
          <w:sz w:val="20"/>
        </w:rPr>
        <w:t>Non-inferior</w:t>
      </w:r>
      <w:r>
        <w:rPr>
          <w:spacing w:val="-3"/>
          <w:sz w:val="20"/>
        </w:rPr>
        <w:t xml:space="preserve"> </w:t>
      </w:r>
      <w:r>
        <w:rPr>
          <w:sz w:val="20"/>
        </w:rPr>
        <w:t>az</w:t>
      </w:r>
      <w:r>
        <w:rPr>
          <w:spacing w:val="-3"/>
          <w:sz w:val="20"/>
        </w:rPr>
        <w:t xml:space="preserve"> </w:t>
      </w:r>
      <w:r>
        <w:rPr>
          <w:sz w:val="20"/>
        </w:rPr>
        <w:t>enoxaparin/warfarin</w:t>
      </w:r>
      <w:r>
        <w:rPr>
          <w:spacing w:val="-3"/>
          <w:sz w:val="20"/>
        </w:rPr>
        <w:t xml:space="preserve"> </w:t>
      </w:r>
      <w:r>
        <w:rPr>
          <w:sz w:val="20"/>
        </w:rPr>
        <w:t>kezeléshez</w:t>
      </w:r>
      <w:r>
        <w:rPr>
          <w:spacing w:val="-3"/>
          <w:sz w:val="20"/>
        </w:rPr>
        <w:t xml:space="preserve"> </w:t>
      </w:r>
      <w:r>
        <w:rPr>
          <w:sz w:val="20"/>
        </w:rPr>
        <w:t>képest</w:t>
      </w:r>
      <w:r>
        <w:rPr>
          <w:spacing w:val="-3"/>
          <w:sz w:val="20"/>
        </w:rPr>
        <w:t xml:space="preserve"> </w:t>
      </w:r>
      <w:r>
        <w:rPr>
          <w:sz w:val="20"/>
        </w:rPr>
        <w:t>(p-érték</w:t>
      </w:r>
      <w:r>
        <w:rPr>
          <w:spacing w:val="-3"/>
          <w:sz w:val="20"/>
        </w:rPr>
        <w:t xml:space="preserve"> </w:t>
      </w:r>
      <w:r>
        <w:rPr>
          <w:sz w:val="20"/>
        </w:rPr>
        <w:t>&lt;</w:t>
      </w:r>
      <w:r>
        <w:rPr>
          <w:spacing w:val="-3"/>
          <w:sz w:val="20"/>
        </w:rPr>
        <w:t xml:space="preserve"> </w:t>
      </w:r>
      <w:r>
        <w:rPr>
          <w:sz w:val="20"/>
        </w:rPr>
        <w:t>0,0001)</w:t>
      </w:r>
    </w:p>
    <w:p w14:paraId="0F838663" w14:textId="77777777" w:rsidR="004C11B6" w:rsidRDefault="004C11B6" w:rsidP="002367F7">
      <w:pPr>
        <w:pStyle w:val="Szvegtrzs"/>
        <w:spacing w:before="2"/>
        <w:rPr>
          <w:sz w:val="19"/>
        </w:rPr>
      </w:pPr>
    </w:p>
    <w:p w14:paraId="43C738A4" w14:textId="77777777" w:rsidR="004C11B6" w:rsidRDefault="00F05A0C" w:rsidP="002367F7">
      <w:pPr>
        <w:pStyle w:val="Szvegtrzs"/>
        <w:spacing w:line="247" w:lineRule="auto"/>
      </w:pPr>
      <w:r>
        <w:t>Az apixabánnak a VTE kezdeti kezelésében mutatott hatásossága egybehangzó volt a PE [relatív</w:t>
      </w:r>
      <w:r>
        <w:rPr>
          <w:spacing w:val="1"/>
        </w:rPr>
        <w:t xml:space="preserve"> </w:t>
      </w:r>
      <w:r>
        <w:t>kockázat 0,9; 95%-os CI (0,5; 1,6)] vagy MVT [relatív kockázat 0,8; 95%-os CI (0,5; 1,3)] miatt</w:t>
      </w:r>
      <w:r>
        <w:rPr>
          <w:spacing w:val="1"/>
        </w:rPr>
        <w:t xml:space="preserve"> </w:t>
      </w:r>
      <w:r>
        <w:t>kezelt betegeknél. Az egyes alcsoportokban mutatott hatásossága – így az életkor, a nem, a</w:t>
      </w:r>
      <w:r>
        <w:rPr>
          <w:spacing w:val="1"/>
        </w:rPr>
        <w:t xml:space="preserve"> </w:t>
      </w:r>
      <w:r>
        <w:t>testtömegindex (BMI), a vesefunkció, a kezelt PE-index nagysága, a mélyvénás thrombosist okozó</w:t>
      </w:r>
      <w:r>
        <w:rPr>
          <w:spacing w:val="1"/>
        </w:rPr>
        <w:t xml:space="preserve"> </w:t>
      </w:r>
      <w:r>
        <w:t>thrombus</w:t>
      </w:r>
      <w:r>
        <w:rPr>
          <w:spacing w:val="-5"/>
        </w:rPr>
        <w:t xml:space="preserve"> </w:t>
      </w:r>
      <w:r>
        <w:t>lokalizációja</w:t>
      </w:r>
      <w:r>
        <w:rPr>
          <w:spacing w:val="-5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korábbi</w:t>
      </w:r>
      <w:r>
        <w:rPr>
          <w:spacing w:val="-3"/>
        </w:rPr>
        <w:t xml:space="preserve"> </w:t>
      </w:r>
      <w:r>
        <w:t>parenterális</w:t>
      </w:r>
      <w:r>
        <w:rPr>
          <w:spacing w:val="-4"/>
        </w:rPr>
        <w:t xml:space="preserve"> </w:t>
      </w:r>
      <w:r>
        <w:t>heparinkezelés</w:t>
      </w:r>
      <w:r>
        <w:rPr>
          <w:spacing w:val="-4"/>
        </w:rPr>
        <w:t xml:space="preserve"> </w:t>
      </w:r>
      <w:r>
        <w:t>szerint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általában</w:t>
      </w:r>
      <w:r>
        <w:rPr>
          <w:spacing w:val="-5"/>
        </w:rPr>
        <w:t xml:space="preserve"> </w:t>
      </w:r>
      <w:r>
        <w:t>konzekvens</w:t>
      </w:r>
      <w:r>
        <w:rPr>
          <w:spacing w:val="-4"/>
        </w:rPr>
        <w:t xml:space="preserve"> </w:t>
      </w:r>
      <w:r>
        <w:t>volt.</w:t>
      </w:r>
    </w:p>
    <w:p w14:paraId="4CD4B9A7" w14:textId="77777777" w:rsidR="004C11B6" w:rsidRDefault="004C11B6" w:rsidP="002367F7">
      <w:pPr>
        <w:pStyle w:val="Szvegtrzs"/>
        <w:spacing w:before="6"/>
        <w:rPr>
          <w:sz w:val="20"/>
        </w:rPr>
      </w:pPr>
    </w:p>
    <w:p w14:paraId="17E31FDA" w14:textId="77777777" w:rsidR="004C11B6" w:rsidRDefault="00F05A0C" w:rsidP="002367F7">
      <w:pPr>
        <w:pStyle w:val="Szvegtrzs"/>
        <w:spacing w:line="230" w:lineRule="auto"/>
      </w:pPr>
      <w:r>
        <w:t>Az elsődleges biztonságossági végpont a nagyfokú vérzés volt. A vizsgálatban az apixabán</w:t>
      </w:r>
      <w:r>
        <w:rPr>
          <w:spacing w:val="1"/>
        </w:rPr>
        <w:t xml:space="preserve"> </w:t>
      </w:r>
      <w:r>
        <w:t>statisztikailag jobbnak bizonyult az elsődleges biztonságossági végpontban, mint az</w:t>
      </w:r>
      <w:r>
        <w:rPr>
          <w:spacing w:val="1"/>
        </w:rPr>
        <w:t xml:space="preserve"> </w:t>
      </w:r>
      <w:r>
        <w:t>enoxaparin/warfarin</w:t>
      </w:r>
      <w:r>
        <w:rPr>
          <w:spacing w:val="-6"/>
        </w:rPr>
        <w:t xml:space="preserve"> </w:t>
      </w:r>
      <w:r>
        <w:t>[relatív</w:t>
      </w:r>
      <w:r>
        <w:rPr>
          <w:spacing w:val="-6"/>
        </w:rPr>
        <w:t xml:space="preserve"> </w:t>
      </w:r>
      <w:r>
        <w:t>kockázat</w:t>
      </w:r>
      <w:r>
        <w:rPr>
          <w:spacing w:val="-6"/>
        </w:rPr>
        <w:t xml:space="preserve"> </w:t>
      </w:r>
      <w:r>
        <w:t>0,31;</w:t>
      </w:r>
      <w:r>
        <w:rPr>
          <w:spacing w:val="-6"/>
        </w:rPr>
        <w:t xml:space="preserve"> </w:t>
      </w:r>
      <w:r>
        <w:t>95%-os</w:t>
      </w:r>
      <w:r>
        <w:rPr>
          <w:spacing w:val="-6"/>
        </w:rPr>
        <w:t xml:space="preserve"> </w:t>
      </w:r>
      <w:r>
        <w:t>konfidencia</w:t>
      </w:r>
      <w:r>
        <w:rPr>
          <w:spacing w:val="-6"/>
        </w:rPr>
        <w:t xml:space="preserve"> </w:t>
      </w:r>
      <w:r>
        <w:t>intervallum</w:t>
      </w:r>
      <w:r>
        <w:rPr>
          <w:spacing w:val="-6"/>
        </w:rPr>
        <w:t xml:space="preserve"> </w:t>
      </w:r>
      <w:r>
        <w:t>(0,17;</w:t>
      </w:r>
      <w:r>
        <w:rPr>
          <w:spacing w:val="-6"/>
        </w:rPr>
        <w:t xml:space="preserve"> </w:t>
      </w:r>
      <w:r>
        <w:t>0,55),</w:t>
      </w:r>
      <w:r>
        <w:rPr>
          <w:spacing w:val="-6"/>
        </w:rPr>
        <w:t xml:space="preserve"> </w:t>
      </w:r>
      <w:r>
        <w:t>p-érték</w:t>
      </w:r>
    </w:p>
    <w:p w14:paraId="7F499C0C" w14:textId="77777777" w:rsidR="004C11B6" w:rsidRDefault="00F05A0C" w:rsidP="002367F7">
      <w:pPr>
        <w:pStyle w:val="Szvegtrzs"/>
        <w:spacing w:line="246" w:lineRule="exact"/>
      </w:pPr>
      <w:r>
        <w:t>&lt;</w:t>
      </w:r>
      <w:r>
        <w:rPr>
          <w:spacing w:val="-3"/>
        </w:rPr>
        <w:t xml:space="preserve"> </w:t>
      </w:r>
      <w:r>
        <w:t>0,0001]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9.</w:t>
      </w:r>
      <w:r>
        <w:rPr>
          <w:spacing w:val="-5"/>
        </w:rPr>
        <w:t xml:space="preserve"> </w:t>
      </w:r>
      <w:r>
        <w:t>táblázat).</w:t>
      </w:r>
    </w:p>
    <w:p w14:paraId="45F47EDB" w14:textId="77777777" w:rsidR="004C11B6" w:rsidRDefault="004C11B6" w:rsidP="002367F7">
      <w:pPr>
        <w:pStyle w:val="Szvegtrzs"/>
        <w:spacing w:before="4"/>
        <w:rPr>
          <w:sz w:val="20"/>
        </w:rPr>
      </w:pPr>
    </w:p>
    <w:p w14:paraId="4FB37332" w14:textId="77777777" w:rsidR="004C11B6" w:rsidRDefault="00F05A0C" w:rsidP="002367F7">
      <w:pPr>
        <w:pStyle w:val="Cmsor2"/>
        <w:numPr>
          <w:ilvl w:val="0"/>
          <w:numId w:val="47"/>
        </w:numPr>
        <w:spacing w:before="1"/>
        <w:ind w:left="284" w:hanging="284"/>
      </w:pPr>
      <w:r>
        <w:t>táblázat: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AMPLIFY</w:t>
      </w:r>
      <w:r>
        <w:rPr>
          <w:spacing w:val="-5"/>
        </w:rPr>
        <w:t xml:space="preserve"> </w:t>
      </w:r>
      <w:r>
        <w:t>vizsgálat</w:t>
      </w:r>
      <w:r>
        <w:rPr>
          <w:spacing w:val="-4"/>
        </w:rPr>
        <w:t xml:space="preserve"> </w:t>
      </w:r>
      <w:r>
        <w:t>vérzési</w:t>
      </w:r>
      <w:r>
        <w:rPr>
          <w:spacing w:val="-5"/>
        </w:rPr>
        <w:t xml:space="preserve"> </w:t>
      </w:r>
      <w:r>
        <w:t>eredményei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7"/>
        <w:gridCol w:w="2189"/>
        <w:gridCol w:w="2189"/>
        <w:gridCol w:w="2189"/>
      </w:tblGrid>
      <w:tr w:rsidR="004C11B6" w14:paraId="30AD1E31" w14:textId="77777777" w:rsidTr="002367F7">
        <w:trPr>
          <w:trHeight w:val="359"/>
        </w:trPr>
        <w:tc>
          <w:tcPr>
            <w:tcW w:w="2327" w:type="dxa"/>
            <w:vMerge w:val="restart"/>
          </w:tcPr>
          <w:p w14:paraId="325724A0" w14:textId="77777777" w:rsidR="004C11B6" w:rsidRDefault="004C11B6">
            <w:pPr>
              <w:pStyle w:val="TableParagraph"/>
            </w:pPr>
          </w:p>
        </w:tc>
        <w:tc>
          <w:tcPr>
            <w:tcW w:w="2189" w:type="dxa"/>
            <w:tcBorders>
              <w:bottom w:val="nil"/>
            </w:tcBorders>
          </w:tcPr>
          <w:p w14:paraId="5424D156" w14:textId="77777777" w:rsidR="004C11B6" w:rsidRDefault="00F05A0C">
            <w:pPr>
              <w:pStyle w:val="TableParagraph"/>
              <w:spacing w:before="51"/>
              <w:ind w:left="290" w:right="281"/>
              <w:jc w:val="center"/>
              <w:rPr>
                <w:b/>
              </w:rPr>
            </w:pPr>
            <w:r>
              <w:rPr>
                <w:b/>
              </w:rPr>
              <w:t>Apixabán</w:t>
            </w:r>
          </w:p>
        </w:tc>
        <w:tc>
          <w:tcPr>
            <w:tcW w:w="2189" w:type="dxa"/>
            <w:tcBorders>
              <w:bottom w:val="nil"/>
            </w:tcBorders>
          </w:tcPr>
          <w:p w14:paraId="237FA776" w14:textId="77777777" w:rsidR="004C11B6" w:rsidRDefault="00F05A0C">
            <w:pPr>
              <w:pStyle w:val="TableParagraph"/>
              <w:spacing w:before="51"/>
              <w:ind w:left="289" w:right="282"/>
              <w:jc w:val="center"/>
              <w:rPr>
                <w:b/>
              </w:rPr>
            </w:pPr>
            <w:r>
              <w:rPr>
                <w:b/>
              </w:rPr>
              <w:t>Enoxaparin/</w:t>
            </w:r>
          </w:p>
        </w:tc>
        <w:tc>
          <w:tcPr>
            <w:tcW w:w="2189" w:type="dxa"/>
            <w:tcBorders>
              <w:bottom w:val="nil"/>
            </w:tcBorders>
          </w:tcPr>
          <w:p w14:paraId="73481DD3" w14:textId="77777777" w:rsidR="004C11B6" w:rsidRDefault="00F05A0C">
            <w:pPr>
              <w:pStyle w:val="TableParagraph"/>
              <w:spacing w:before="51"/>
              <w:ind w:left="290" w:right="282"/>
              <w:jc w:val="center"/>
              <w:rPr>
                <w:b/>
              </w:rPr>
            </w:pPr>
            <w:r>
              <w:rPr>
                <w:b/>
              </w:rPr>
              <w:t>Relatív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kockázat</w:t>
            </w:r>
          </w:p>
        </w:tc>
      </w:tr>
      <w:tr w:rsidR="004C11B6" w14:paraId="370F7A57" w14:textId="77777777" w:rsidTr="002367F7">
        <w:trPr>
          <w:trHeight w:val="353"/>
        </w:trPr>
        <w:tc>
          <w:tcPr>
            <w:tcW w:w="2327" w:type="dxa"/>
            <w:vMerge/>
            <w:tcBorders>
              <w:top w:val="nil"/>
            </w:tcBorders>
          </w:tcPr>
          <w:p w14:paraId="7C6BFF0F" w14:textId="77777777" w:rsidR="004C11B6" w:rsidRDefault="004C11B6">
            <w:pPr>
              <w:rPr>
                <w:sz w:val="2"/>
                <w:szCs w:val="2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</w:tcPr>
          <w:p w14:paraId="5624EAAB" w14:textId="77777777" w:rsidR="004C11B6" w:rsidRDefault="00F05A0C">
            <w:pPr>
              <w:pStyle w:val="TableParagraph"/>
              <w:spacing w:before="46"/>
              <w:ind w:left="290" w:right="282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2676</w:t>
            </w:r>
          </w:p>
        </w:tc>
        <w:tc>
          <w:tcPr>
            <w:tcW w:w="2189" w:type="dxa"/>
            <w:tcBorders>
              <w:top w:val="nil"/>
              <w:bottom w:val="nil"/>
            </w:tcBorders>
          </w:tcPr>
          <w:p w14:paraId="614B84A6" w14:textId="77777777" w:rsidR="004C11B6" w:rsidRDefault="00F05A0C">
            <w:pPr>
              <w:pStyle w:val="TableParagraph"/>
              <w:spacing w:before="46"/>
              <w:ind w:left="290" w:right="279"/>
              <w:jc w:val="center"/>
              <w:rPr>
                <w:b/>
              </w:rPr>
            </w:pPr>
            <w:r>
              <w:rPr>
                <w:b/>
              </w:rPr>
              <w:t>Warfarin</w:t>
            </w:r>
          </w:p>
        </w:tc>
        <w:tc>
          <w:tcPr>
            <w:tcW w:w="2189" w:type="dxa"/>
            <w:tcBorders>
              <w:top w:val="nil"/>
              <w:bottom w:val="nil"/>
            </w:tcBorders>
          </w:tcPr>
          <w:p w14:paraId="292CCF0A" w14:textId="77777777" w:rsidR="004C11B6" w:rsidRDefault="00F05A0C">
            <w:pPr>
              <w:pStyle w:val="TableParagraph"/>
              <w:spacing w:before="46"/>
              <w:ind w:left="288" w:right="282"/>
              <w:jc w:val="center"/>
              <w:rPr>
                <w:b/>
              </w:rPr>
            </w:pPr>
            <w:r>
              <w:rPr>
                <w:b/>
              </w:rPr>
              <w:t>(95%-os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CI)</w:t>
            </w:r>
          </w:p>
        </w:tc>
      </w:tr>
      <w:tr w:rsidR="004C11B6" w14:paraId="04825D69" w14:textId="77777777" w:rsidTr="002367F7">
        <w:trPr>
          <w:trHeight w:val="353"/>
        </w:trPr>
        <w:tc>
          <w:tcPr>
            <w:tcW w:w="2327" w:type="dxa"/>
            <w:vMerge/>
            <w:tcBorders>
              <w:top w:val="nil"/>
            </w:tcBorders>
          </w:tcPr>
          <w:p w14:paraId="67D52EEC" w14:textId="77777777" w:rsidR="004C11B6" w:rsidRDefault="004C11B6">
            <w:pPr>
              <w:rPr>
                <w:sz w:val="2"/>
                <w:szCs w:val="2"/>
              </w:rPr>
            </w:pPr>
          </w:p>
        </w:tc>
        <w:tc>
          <w:tcPr>
            <w:tcW w:w="2189" w:type="dxa"/>
            <w:tcBorders>
              <w:top w:val="nil"/>
              <w:bottom w:val="nil"/>
            </w:tcBorders>
          </w:tcPr>
          <w:p w14:paraId="78761356" w14:textId="77777777" w:rsidR="004C11B6" w:rsidRDefault="00F05A0C">
            <w:pPr>
              <w:pStyle w:val="TableParagraph"/>
              <w:spacing w:before="45"/>
              <w:ind w:left="287" w:right="282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(%)</w:t>
            </w:r>
          </w:p>
        </w:tc>
        <w:tc>
          <w:tcPr>
            <w:tcW w:w="2189" w:type="dxa"/>
            <w:tcBorders>
              <w:top w:val="nil"/>
              <w:bottom w:val="nil"/>
            </w:tcBorders>
          </w:tcPr>
          <w:p w14:paraId="64D0B0E4" w14:textId="77777777" w:rsidR="004C11B6" w:rsidRDefault="00F05A0C">
            <w:pPr>
              <w:pStyle w:val="TableParagraph"/>
              <w:spacing w:before="45"/>
              <w:ind w:left="290" w:right="282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2689</w:t>
            </w:r>
          </w:p>
        </w:tc>
        <w:tc>
          <w:tcPr>
            <w:tcW w:w="2189" w:type="dxa"/>
            <w:tcBorders>
              <w:top w:val="nil"/>
              <w:bottom w:val="nil"/>
            </w:tcBorders>
          </w:tcPr>
          <w:p w14:paraId="351F1556" w14:textId="77777777" w:rsidR="004C11B6" w:rsidRDefault="004C11B6">
            <w:pPr>
              <w:pStyle w:val="TableParagraph"/>
            </w:pPr>
          </w:p>
        </w:tc>
      </w:tr>
      <w:tr w:rsidR="004C11B6" w14:paraId="02D2204B" w14:textId="77777777" w:rsidTr="002367F7">
        <w:trPr>
          <w:trHeight w:val="357"/>
        </w:trPr>
        <w:tc>
          <w:tcPr>
            <w:tcW w:w="2327" w:type="dxa"/>
            <w:vMerge/>
            <w:tcBorders>
              <w:top w:val="nil"/>
            </w:tcBorders>
          </w:tcPr>
          <w:p w14:paraId="18463E78" w14:textId="77777777" w:rsidR="004C11B6" w:rsidRDefault="004C11B6">
            <w:pPr>
              <w:rPr>
                <w:sz w:val="2"/>
                <w:szCs w:val="2"/>
              </w:rPr>
            </w:pPr>
          </w:p>
        </w:tc>
        <w:tc>
          <w:tcPr>
            <w:tcW w:w="2189" w:type="dxa"/>
            <w:tcBorders>
              <w:top w:val="nil"/>
            </w:tcBorders>
          </w:tcPr>
          <w:p w14:paraId="59D73358" w14:textId="77777777" w:rsidR="004C11B6" w:rsidRDefault="004C11B6">
            <w:pPr>
              <w:pStyle w:val="TableParagraph"/>
            </w:pPr>
          </w:p>
        </w:tc>
        <w:tc>
          <w:tcPr>
            <w:tcW w:w="2189" w:type="dxa"/>
            <w:tcBorders>
              <w:top w:val="nil"/>
            </w:tcBorders>
          </w:tcPr>
          <w:p w14:paraId="2FD9A830" w14:textId="77777777" w:rsidR="004C11B6" w:rsidRDefault="00F05A0C">
            <w:pPr>
              <w:pStyle w:val="TableParagraph"/>
              <w:spacing w:before="46"/>
              <w:ind w:left="286" w:right="282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(%)</w:t>
            </w:r>
          </w:p>
        </w:tc>
        <w:tc>
          <w:tcPr>
            <w:tcW w:w="2189" w:type="dxa"/>
            <w:tcBorders>
              <w:top w:val="nil"/>
            </w:tcBorders>
          </w:tcPr>
          <w:p w14:paraId="4C15FE85" w14:textId="77777777" w:rsidR="004C11B6" w:rsidRDefault="004C11B6">
            <w:pPr>
              <w:pStyle w:val="TableParagraph"/>
            </w:pPr>
          </w:p>
        </w:tc>
      </w:tr>
      <w:tr w:rsidR="004C11B6" w14:paraId="3284ABD4" w14:textId="77777777" w:rsidTr="002367F7">
        <w:trPr>
          <w:trHeight w:val="364"/>
        </w:trPr>
        <w:tc>
          <w:tcPr>
            <w:tcW w:w="2327" w:type="dxa"/>
          </w:tcPr>
          <w:p w14:paraId="522D86E8" w14:textId="77777777" w:rsidR="004C11B6" w:rsidRDefault="00F05A0C">
            <w:pPr>
              <w:pStyle w:val="TableParagraph"/>
              <w:spacing w:before="53"/>
              <w:ind w:left="107"/>
            </w:pPr>
            <w:r>
              <w:t>Nagyfokú</w:t>
            </w:r>
          </w:p>
        </w:tc>
        <w:tc>
          <w:tcPr>
            <w:tcW w:w="2189" w:type="dxa"/>
          </w:tcPr>
          <w:p w14:paraId="379D4BD3" w14:textId="77777777" w:rsidR="004C11B6" w:rsidRDefault="00F05A0C">
            <w:pPr>
              <w:pStyle w:val="TableParagraph"/>
              <w:spacing w:before="53"/>
              <w:ind w:left="290" w:right="280"/>
              <w:jc w:val="center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(0,6)</w:t>
            </w:r>
          </w:p>
        </w:tc>
        <w:tc>
          <w:tcPr>
            <w:tcW w:w="2189" w:type="dxa"/>
          </w:tcPr>
          <w:p w14:paraId="2872AA75" w14:textId="77777777" w:rsidR="004C11B6" w:rsidRDefault="00F05A0C">
            <w:pPr>
              <w:pStyle w:val="TableParagraph"/>
              <w:spacing w:before="53"/>
              <w:ind w:left="290" w:right="280"/>
              <w:jc w:val="center"/>
            </w:pPr>
            <w:r>
              <w:t>49</w:t>
            </w:r>
            <w:r>
              <w:rPr>
                <w:spacing w:val="-3"/>
              </w:rPr>
              <w:t xml:space="preserve"> </w:t>
            </w:r>
            <w:r>
              <w:t>(1,8)</w:t>
            </w:r>
          </w:p>
        </w:tc>
        <w:tc>
          <w:tcPr>
            <w:tcW w:w="2189" w:type="dxa"/>
          </w:tcPr>
          <w:p w14:paraId="520204F2" w14:textId="77777777" w:rsidR="004C11B6" w:rsidRDefault="00F05A0C">
            <w:pPr>
              <w:pStyle w:val="TableParagraph"/>
              <w:spacing w:before="53"/>
              <w:ind w:left="290" w:right="281"/>
              <w:jc w:val="center"/>
            </w:pPr>
            <w:r>
              <w:t>0,31</w:t>
            </w:r>
            <w:r>
              <w:rPr>
                <w:spacing w:val="-4"/>
              </w:rPr>
              <w:t xml:space="preserve"> </w:t>
            </w:r>
            <w:r>
              <w:t>(0,17;</w:t>
            </w:r>
            <w:r>
              <w:rPr>
                <w:spacing w:val="-3"/>
              </w:rPr>
              <w:t xml:space="preserve"> </w:t>
            </w:r>
            <w:r>
              <w:t>0,55)</w:t>
            </w:r>
          </w:p>
        </w:tc>
      </w:tr>
      <w:tr w:rsidR="004C11B6" w14:paraId="7A51941E" w14:textId="77777777" w:rsidTr="002367F7">
        <w:trPr>
          <w:trHeight w:val="364"/>
        </w:trPr>
        <w:tc>
          <w:tcPr>
            <w:tcW w:w="2327" w:type="dxa"/>
          </w:tcPr>
          <w:p w14:paraId="26C0BDC8" w14:textId="77777777" w:rsidR="004C11B6" w:rsidRDefault="00F05A0C">
            <w:pPr>
              <w:pStyle w:val="TableParagraph"/>
              <w:spacing w:before="51"/>
              <w:ind w:left="107"/>
            </w:pPr>
            <w:r>
              <w:t>Nagyfokú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CRNM</w:t>
            </w:r>
          </w:p>
        </w:tc>
        <w:tc>
          <w:tcPr>
            <w:tcW w:w="2189" w:type="dxa"/>
          </w:tcPr>
          <w:p w14:paraId="4B3D6C5C" w14:textId="77777777" w:rsidR="004C11B6" w:rsidRDefault="00F05A0C">
            <w:pPr>
              <w:pStyle w:val="TableParagraph"/>
              <w:spacing w:before="51"/>
              <w:ind w:left="290" w:right="280"/>
              <w:jc w:val="center"/>
            </w:pPr>
            <w:r>
              <w:t>115</w:t>
            </w:r>
            <w:r>
              <w:rPr>
                <w:spacing w:val="-3"/>
              </w:rPr>
              <w:t xml:space="preserve"> </w:t>
            </w:r>
            <w:r>
              <w:t>(4,3)</w:t>
            </w:r>
          </w:p>
        </w:tc>
        <w:tc>
          <w:tcPr>
            <w:tcW w:w="2189" w:type="dxa"/>
          </w:tcPr>
          <w:p w14:paraId="0E72E2F0" w14:textId="77777777" w:rsidR="004C11B6" w:rsidRDefault="00F05A0C">
            <w:pPr>
              <w:pStyle w:val="TableParagraph"/>
              <w:spacing w:before="51"/>
              <w:ind w:left="290" w:right="280"/>
              <w:jc w:val="center"/>
            </w:pPr>
            <w:r>
              <w:t>261</w:t>
            </w:r>
            <w:r>
              <w:rPr>
                <w:spacing w:val="-3"/>
              </w:rPr>
              <w:t xml:space="preserve"> </w:t>
            </w:r>
            <w:r>
              <w:t>(9,7)</w:t>
            </w:r>
          </w:p>
        </w:tc>
        <w:tc>
          <w:tcPr>
            <w:tcW w:w="2189" w:type="dxa"/>
          </w:tcPr>
          <w:p w14:paraId="6878B8AC" w14:textId="77777777" w:rsidR="004C11B6" w:rsidRDefault="00F05A0C">
            <w:pPr>
              <w:pStyle w:val="TableParagraph"/>
              <w:spacing w:before="51"/>
              <w:ind w:left="290" w:right="281"/>
              <w:jc w:val="center"/>
            </w:pPr>
            <w:r>
              <w:t>0,44</w:t>
            </w:r>
            <w:r>
              <w:rPr>
                <w:spacing w:val="-4"/>
              </w:rPr>
              <w:t xml:space="preserve"> </w:t>
            </w:r>
            <w:r>
              <w:t>(0,36;</w:t>
            </w:r>
            <w:r>
              <w:rPr>
                <w:spacing w:val="-3"/>
              </w:rPr>
              <w:t xml:space="preserve"> </w:t>
            </w:r>
            <w:r>
              <w:t>0,55)</w:t>
            </w:r>
          </w:p>
        </w:tc>
      </w:tr>
      <w:tr w:rsidR="004C11B6" w14:paraId="3A0E9456" w14:textId="77777777" w:rsidTr="002367F7">
        <w:trPr>
          <w:trHeight w:val="362"/>
        </w:trPr>
        <w:tc>
          <w:tcPr>
            <w:tcW w:w="2327" w:type="dxa"/>
          </w:tcPr>
          <w:p w14:paraId="26AC49D9" w14:textId="77777777" w:rsidR="004C11B6" w:rsidRDefault="00F05A0C">
            <w:pPr>
              <w:pStyle w:val="TableParagraph"/>
              <w:spacing w:before="51"/>
              <w:ind w:left="107"/>
            </w:pPr>
            <w:r>
              <w:t>Kisfokú</w:t>
            </w:r>
          </w:p>
        </w:tc>
        <w:tc>
          <w:tcPr>
            <w:tcW w:w="2189" w:type="dxa"/>
          </w:tcPr>
          <w:p w14:paraId="3A99C28E" w14:textId="77777777" w:rsidR="004C11B6" w:rsidRDefault="00F05A0C">
            <w:pPr>
              <w:pStyle w:val="TableParagraph"/>
              <w:spacing w:before="51"/>
              <w:ind w:left="290" w:right="280"/>
              <w:jc w:val="center"/>
            </w:pPr>
            <w:r>
              <w:t>313</w:t>
            </w:r>
            <w:r>
              <w:rPr>
                <w:spacing w:val="-4"/>
              </w:rPr>
              <w:t xml:space="preserve"> </w:t>
            </w:r>
            <w:r>
              <w:t>(11,7)</w:t>
            </w:r>
          </w:p>
        </w:tc>
        <w:tc>
          <w:tcPr>
            <w:tcW w:w="2189" w:type="dxa"/>
          </w:tcPr>
          <w:p w14:paraId="37C98852" w14:textId="77777777" w:rsidR="004C11B6" w:rsidRDefault="00F05A0C">
            <w:pPr>
              <w:pStyle w:val="TableParagraph"/>
              <w:spacing w:before="51"/>
              <w:ind w:left="290" w:right="280"/>
              <w:jc w:val="center"/>
            </w:pPr>
            <w:r>
              <w:t>505</w:t>
            </w:r>
            <w:r>
              <w:rPr>
                <w:spacing w:val="-4"/>
              </w:rPr>
              <w:t xml:space="preserve"> </w:t>
            </w:r>
            <w:r>
              <w:t>(18,8)</w:t>
            </w:r>
          </w:p>
        </w:tc>
        <w:tc>
          <w:tcPr>
            <w:tcW w:w="2189" w:type="dxa"/>
          </w:tcPr>
          <w:p w14:paraId="497F773F" w14:textId="77777777" w:rsidR="004C11B6" w:rsidRDefault="00F05A0C">
            <w:pPr>
              <w:pStyle w:val="TableParagraph"/>
              <w:spacing w:before="51"/>
              <w:ind w:left="290" w:right="281"/>
              <w:jc w:val="center"/>
            </w:pPr>
            <w:r>
              <w:t>0,62</w:t>
            </w:r>
            <w:r>
              <w:rPr>
                <w:spacing w:val="-4"/>
              </w:rPr>
              <w:t xml:space="preserve"> </w:t>
            </w:r>
            <w:r>
              <w:t>(0,54;</w:t>
            </w:r>
            <w:r>
              <w:rPr>
                <w:spacing w:val="-3"/>
              </w:rPr>
              <w:t xml:space="preserve"> </w:t>
            </w:r>
            <w:r>
              <w:t>0,70)</w:t>
            </w:r>
          </w:p>
        </w:tc>
      </w:tr>
      <w:tr w:rsidR="004C11B6" w14:paraId="0B5350F6" w14:textId="77777777" w:rsidTr="002367F7">
        <w:trPr>
          <w:trHeight w:val="364"/>
        </w:trPr>
        <w:tc>
          <w:tcPr>
            <w:tcW w:w="2327" w:type="dxa"/>
          </w:tcPr>
          <w:p w14:paraId="5C5D8906" w14:textId="77777777" w:rsidR="004C11B6" w:rsidRDefault="00F05A0C">
            <w:pPr>
              <w:pStyle w:val="TableParagraph"/>
              <w:spacing w:before="53"/>
              <w:ind w:left="107"/>
            </w:pPr>
            <w:r>
              <w:t>Összes</w:t>
            </w:r>
          </w:p>
        </w:tc>
        <w:tc>
          <w:tcPr>
            <w:tcW w:w="2189" w:type="dxa"/>
          </w:tcPr>
          <w:p w14:paraId="0B5E8699" w14:textId="77777777" w:rsidR="004C11B6" w:rsidRDefault="00F05A0C">
            <w:pPr>
              <w:pStyle w:val="TableParagraph"/>
              <w:spacing w:before="53"/>
              <w:ind w:left="290" w:right="280"/>
              <w:jc w:val="center"/>
            </w:pPr>
            <w:r>
              <w:t>402</w:t>
            </w:r>
            <w:r>
              <w:rPr>
                <w:spacing w:val="-4"/>
              </w:rPr>
              <w:t xml:space="preserve"> </w:t>
            </w:r>
            <w:r>
              <w:t>(15,0)</w:t>
            </w:r>
          </w:p>
        </w:tc>
        <w:tc>
          <w:tcPr>
            <w:tcW w:w="2189" w:type="dxa"/>
          </w:tcPr>
          <w:p w14:paraId="445E3FC6" w14:textId="77777777" w:rsidR="004C11B6" w:rsidRDefault="00F05A0C">
            <w:pPr>
              <w:pStyle w:val="TableParagraph"/>
              <w:spacing w:before="53"/>
              <w:ind w:left="290" w:right="281"/>
              <w:jc w:val="center"/>
            </w:pPr>
            <w:r>
              <w:t>676</w:t>
            </w:r>
            <w:r>
              <w:rPr>
                <w:spacing w:val="-1"/>
              </w:rPr>
              <w:t xml:space="preserve"> </w:t>
            </w:r>
            <w:r>
              <w:t>(25,1)</w:t>
            </w:r>
          </w:p>
        </w:tc>
        <w:tc>
          <w:tcPr>
            <w:tcW w:w="2189" w:type="dxa"/>
          </w:tcPr>
          <w:p w14:paraId="6EC15E80" w14:textId="77777777" w:rsidR="004C11B6" w:rsidRDefault="00F05A0C">
            <w:pPr>
              <w:pStyle w:val="TableParagraph"/>
              <w:spacing w:before="53"/>
              <w:ind w:left="290" w:right="281"/>
              <w:jc w:val="center"/>
            </w:pPr>
            <w:r>
              <w:t>0,59</w:t>
            </w:r>
            <w:r>
              <w:rPr>
                <w:spacing w:val="-4"/>
              </w:rPr>
              <w:t xml:space="preserve"> </w:t>
            </w:r>
            <w:r>
              <w:t>(0,53;</w:t>
            </w:r>
            <w:r>
              <w:rPr>
                <w:spacing w:val="-3"/>
              </w:rPr>
              <w:t xml:space="preserve"> </w:t>
            </w:r>
            <w:r>
              <w:t>0,66)</w:t>
            </w:r>
          </w:p>
        </w:tc>
      </w:tr>
    </w:tbl>
    <w:p w14:paraId="1655959B" w14:textId="77777777" w:rsidR="004C11B6" w:rsidRDefault="004C11B6">
      <w:pPr>
        <w:pStyle w:val="Szvegtrzs"/>
        <w:spacing w:before="3"/>
        <w:rPr>
          <w:b/>
          <w:sz w:val="23"/>
        </w:rPr>
      </w:pPr>
    </w:p>
    <w:p w14:paraId="061920F1" w14:textId="77777777" w:rsidR="002367F7" w:rsidRDefault="00F05A0C" w:rsidP="002367F7">
      <w:pPr>
        <w:pStyle w:val="Szvegtrzs"/>
        <w:spacing w:line="247" w:lineRule="auto"/>
        <w:ind w:right="2"/>
      </w:pPr>
      <w:r>
        <w:t>A bármilyen anatómiai lokalizációjú, igazolt nagyfokú vérzés és a klinikailag jelentős, de nem</w:t>
      </w:r>
      <w:r>
        <w:rPr>
          <w:spacing w:val="1"/>
        </w:rPr>
        <w:t xml:space="preserve"> </w:t>
      </w:r>
      <w:r>
        <w:t>nagyfokú (CRNM) vérzés általában alacsonyabb volt az apixabán-csoportban, mint az</w:t>
      </w:r>
      <w:r>
        <w:rPr>
          <w:spacing w:val="1"/>
        </w:rPr>
        <w:t xml:space="preserve"> </w:t>
      </w:r>
      <w:r>
        <w:t>enoxaparin/warfarin-csoportban. Igazolt, ISTH szerinti nagyfokú gastrointestinalis vérzés az</w:t>
      </w:r>
      <w:r>
        <w:rPr>
          <w:spacing w:val="1"/>
        </w:rPr>
        <w:t xml:space="preserve"> </w:t>
      </w:r>
      <w:r>
        <w:t>apixabánnal kezelt betegek közül 6-nál (0,2%), az enoxaparinnal/warfarinnal kezelt betegek közül</w:t>
      </w:r>
      <w:r>
        <w:rPr>
          <w:spacing w:val="-52"/>
        </w:rPr>
        <w:t xml:space="preserve"> </w:t>
      </w:r>
      <w:r>
        <w:t>17-nél (0,6%)</w:t>
      </w:r>
      <w:r>
        <w:rPr>
          <w:spacing w:val="1"/>
        </w:rPr>
        <w:t xml:space="preserve"> </w:t>
      </w:r>
      <w:r>
        <w:t>fordult</w:t>
      </w:r>
      <w:r>
        <w:rPr>
          <w:spacing w:val="-1"/>
        </w:rPr>
        <w:t xml:space="preserve"> </w:t>
      </w:r>
      <w:r>
        <w:t>elő.</w:t>
      </w:r>
    </w:p>
    <w:p w14:paraId="7215A09B" w14:textId="77777777" w:rsidR="002367F7" w:rsidRDefault="002367F7" w:rsidP="002367F7">
      <w:pPr>
        <w:pStyle w:val="Szvegtrzs"/>
        <w:spacing w:line="247" w:lineRule="auto"/>
        <w:ind w:right="2"/>
      </w:pPr>
    </w:p>
    <w:p w14:paraId="6ED3217A" w14:textId="0D11772D" w:rsidR="004C11B6" w:rsidRPr="002367F7" w:rsidRDefault="00F05A0C" w:rsidP="002367F7">
      <w:pPr>
        <w:pStyle w:val="Szvegtrzs"/>
        <w:spacing w:line="247" w:lineRule="auto"/>
        <w:ind w:right="2"/>
      </w:pPr>
      <w:r>
        <w:rPr>
          <w:i/>
          <w:u w:val="single"/>
        </w:rPr>
        <w:t>AMPLIFY-EXT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vizsgálat</w:t>
      </w:r>
    </w:p>
    <w:p w14:paraId="34B83590" w14:textId="5A58C94E" w:rsidR="004C11B6" w:rsidRDefault="00F05A0C" w:rsidP="002367F7">
      <w:pPr>
        <w:pStyle w:val="Szvegtrzs"/>
        <w:spacing w:before="4" w:line="230" w:lineRule="auto"/>
        <w:ind w:right="2"/>
      </w:pPr>
      <w:r>
        <w:t>Az AMPLIFY-EXT vizsgálatba összesen 2482 beteget randomizáltak 12 hónapig tartó, naponta</w:t>
      </w:r>
      <w:r>
        <w:rPr>
          <w:spacing w:val="1"/>
        </w:rPr>
        <w:t xml:space="preserve"> </w:t>
      </w:r>
      <w:r>
        <w:t>kétszer 2,5</w:t>
      </w:r>
      <w:r w:rsidR="00A2194D">
        <w:t> </w:t>
      </w:r>
      <w:r>
        <w:t xml:space="preserve">mg </w:t>
      </w:r>
      <w:r w:rsidRPr="00F162CB">
        <w:rPr>
          <w:i/>
        </w:rPr>
        <w:t>per os</w:t>
      </w:r>
      <w:r>
        <w:t xml:space="preserve"> apixabán kezelésre, naponta kétszer 5</w:t>
      </w:r>
      <w:r w:rsidR="00A2194D">
        <w:t> </w:t>
      </w:r>
      <w:r>
        <w:t xml:space="preserve">mg </w:t>
      </w:r>
      <w:r w:rsidRPr="00F162CB">
        <w:rPr>
          <w:i/>
        </w:rPr>
        <w:t>per os</w:t>
      </w:r>
      <w:r>
        <w:t xml:space="preserve"> apixabán kezelésre vagy</w:t>
      </w:r>
      <w:r>
        <w:rPr>
          <w:spacing w:val="1"/>
        </w:rPr>
        <w:t xml:space="preserve"> </w:t>
      </w:r>
      <w:r>
        <w:t>placebóra, a 6-12 hónapig tartó, kezdeti antikoaguláns kezelés befejezése után. Közülük 836 beteg</w:t>
      </w:r>
      <w:r>
        <w:rPr>
          <w:spacing w:val="-52"/>
        </w:rPr>
        <w:t xml:space="preserve"> </w:t>
      </w:r>
      <w:r>
        <w:t>(33,7%) vett részt az AMPLIFY vizsgálatban az AMPLIFY-EXT vizsgálatba történő beválogatás</w:t>
      </w:r>
      <w:r>
        <w:rPr>
          <w:spacing w:val="1"/>
        </w:rPr>
        <w:t xml:space="preserve"> </w:t>
      </w:r>
      <w:r>
        <w:t>előtt. Az átlagéletkor 56,7 év volt, és a randomizált betegek 91,7%-ának volt ok nélküli VTE</w:t>
      </w:r>
      <w:r>
        <w:rPr>
          <w:spacing w:val="1"/>
        </w:rPr>
        <w:t xml:space="preserve"> </w:t>
      </w:r>
      <w:r>
        <w:t>eseménye.</w:t>
      </w:r>
    </w:p>
    <w:p w14:paraId="19EBB30D" w14:textId="77777777" w:rsidR="004C11B6" w:rsidRDefault="004C11B6" w:rsidP="002367F7">
      <w:pPr>
        <w:pStyle w:val="Szvegtrzs"/>
        <w:spacing w:before="5"/>
        <w:ind w:right="2"/>
        <w:rPr>
          <w:sz w:val="21"/>
        </w:rPr>
      </w:pPr>
    </w:p>
    <w:p w14:paraId="0240B61E" w14:textId="77777777" w:rsidR="004C11B6" w:rsidRDefault="00F05A0C" w:rsidP="002367F7">
      <w:pPr>
        <w:pStyle w:val="Szvegtrzs"/>
        <w:spacing w:line="230" w:lineRule="auto"/>
        <w:ind w:right="2"/>
      </w:pPr>
      <w:r>
        <w:t>A vizsgálatban az apixabán mindkét dózisa statisztikailag jobb volt a placebónál az elsődleges</w:t>
      </w:r>
      <w:r>
        <w:rPr>
          <w:spacing w:val="1"/>
        </w:rPr>
        <w:t xml:space="preserve"> </w:t>
      </w:r>
      <w:r>
        <w:t>végpontban, melynek összetevői: az ismételt szimptomatikus VTE (nem halálos MVT vagy nem</w:t>
      </w:r>
      <w:r>
        <w:rPr>
          <w:spacing w:val="-52"/>
        </w:rPr>
        <w:t xml:space="preserve"> </w:t>
      </w:r>
      <w:r>
        <w:t>halálos</w:t>
      </w:r>
      <w:r>
        <w:rPr>
          <w:spacing w:val="-2"/>
        </w:rPr>
        <w:t xml:space="preserve"> </w:t>
      </w:r>
      <w:r>
        <w:t>PE)</w:t>
      </w:r>
      <w:r>
        <w:rPr>
          <w:spacing w:val="-1"/>
        </w:rPr>
        <w:t xml:space="preserve"> </w:t>
      </w:r>
      <w:r>
        <w:t>vagy</w:t>
      </w:r>
      <w:r>
        <w:rPr>
          <w:spacing w:val="-1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összmortalitás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10.</w:t>
      </w:r>
      <w:r>
        <w:rPr>
          <w:spacing w:val="-4"/>
        </w:rPr>
        <w:t xml:space="preserve"> </w:t>
      </w:r>
      <w:r>
        <w:t>táblázat).</w:t>
      </w:r>
    </w:p>
    <w:p w14:paraId="07975FD0" w14:textId="77777777" w:rsidR="004C11B6" w:rsidRDefault="004C11B6" w:rsidP="002367F7">
      <w:pPr>
        <w:pStyle w:val="Szvegtrzs"/>
        <w:spacing w:before="11"/>
        <w:rPr>
          <w:sz w:val="21"/>
        </w:rPr>
      </w:pPr>
    </w:p>
    <w:p w14:paraId="554369E8" w14:textId="0B9BBADD" w:rsidR="004C11B6" w:rsidRDefault="00F2291C" w:rsidP="002367F7">
      <w:pPr>
        <w:pStyle w:val="Cmsor2"/>
        <w:numPr>
          <w:ilvl w:val="0"/>
          <w:numId w:val="47"/>
        </w:numPr>
        <w:spacing w:after="3"/>
        <w:ind w:left="284" w:hanging="284"/>
      </w:pPr>
      <w:r>
        <w:t xml:space="preserve"> </w:t>
      </w:r>
      <w:r w:rsidR="00F05A0C">
        <w:t>táblázat:</w:t>
      </w:r>
      <w:r w:rsidR="00F05A0C">
        <w:rPr>
          <w:spacing w:val="-6"/>
        </w:rPr>
        <w:t xml:space="preserve"> </w:t>
      </w:r>
      <w:r w:rsidR="00F05A0C">
        <w:t>Az</w:t>
      </w:r>
      <w:r w:rsidR="00F05A0C">
        <w:rPr>
          <w:spacing w:val="-5"/>
        </w:rPr>
        <w:t xml:space="preserve"> </w:t>
      </w:r>
      <w:r w:rsidR="00F05A0C">
        <w:t>AMPLIFY</w:t>
      </w:r>
      <w:r w:rsidR="00F05A0C">
        <w:rPr>
          <w:spacing w:val="-5"/>
        </w:rPr>
        <w:t xml:space="preserve"> </w:t>
      </w:r>
      <w:r w:rsidR="00F05A0C">
        <w:t>EXT-vizsgálat</w:t>
      </w:r>
      <w:r w:rsidR="00F05A0C">
        <w:rPr>
          <w:spacing w:val="-5"/>
        </w:rPr>
        <w:t xml:space="preserve"> </w:t>
      </w:r>
      <w:r w:rsidR="00F05A0C">
        <w:t>hatásossági</w:t>
      </w:r>
      <w:r w:rsidR="00F05A0C">
        <w:rPr>
          <w:spacing w:val="-5"/>
        </w:rPr>
        <w:t xml:space="preserve"> </w:t>
      </w:r>
      <w:r w:rsidR="00F05A0C">
        <w:t>eredményei</w:t>
      </w:r>
    </w:p>
    <w:tbl>
      <w:tblPr>
        <w:tblW w:w="94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1281"/>
        <w:gridCol w:w="1295"/>
        <w:gridCol w:w="1367"/>
        <w:gridCol w:w="1866"/>
        <w:gridCol w:w="1981"/>
      </w:tblGrid>
      <w:tr w:rsidR="004C11B6" w14:paraId="28E08E77" w14:textId="77777777" w:rsidTr="002367F7">
        <w:trPr>
          <w:trHeight w:val="364"/>
        </w:trPr>
        <w:tc>
          <w:tcPr>
            <w:tcW w:w="1664" w:type="dxa"/>
          </w:tcPr>
          <w:p w14:paraId="1642D4B9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14:paraId="1CE77388" w14:textId="77777777" w:rsidR="004C11B6" w:rsidRDefault="00F05A0C">
            <w:pPr>
              <w:pStyle w:val="TableParagraph"/>
              <w:spacing w:before="51"/>
              <w:ind w:left="161" w:right="151"/>
              <w:jc w:val="center"/>
              <w:rPr>
                <w:b/>
              </w:rPr>
            </w:pPr>
            <w:r>
              <w:rPr>
                <w:b/>
              </w:rPr>
              <w:t>Apixabán</w:t>
            </w:r>
          </w:p>
        </w:tc>
        <w:tc>
          <w:tcPr>
            <w:tcW w:w="1295" w:type="dxa"/>
          </w:tcPr>
          <w:p w14:paraId="7647F654" w14:textId="77777777" w:rsidR="004C11B6" w:rsidRDefault="00F05A0C">
            <w:pPr>
              <w:pStyle w:val="TableParagraph"/>
              <w:spacing w:before="51"/>
              <w:ind w:left="169" w:right="157"/>
              <w:jc w:val="center"/>
              <w:rPr>
                <w:b/>
              </w:rPr>
            </w:pPr>
            <w:r>
              <w:rPr>
                <w:b/>
              </w:rPr>
              <w:t>Apixabán</w:t>
            </w:r>
          </w:p>
        </w:tc>
        <w:tc>
          <w:tcPr>
            <w:tcW w:w="1367" w:type="dxa"/>
          </w:tcPr>
          <w:p w14:paraId="41C1F11F" w14:textId="77777777" w:rsidR="004C11B6" w:rsidRDefault="00F05A0C">
            <w:pPr>
              <w:pStyle w:val="TableParagraph"/>
              <w:spacing w:before="51"/>
              <w:ind w:left="231" w:right="214"/>
              <w:jc w:val="center"/>
              <w:rPr>
                <w:b/>
              </w:rPr>
            </w:pPr>
            <w:r>
              <w:rPr>
                <w:b/>
              </w:rPr>
              <w:t>Placebo</w:t>
            </w:r>
          </w:p>
        </w:tc>
        <w:tc>
          <w:tcPr>
            <w:tcW w:w="3847" w:type="dxa"/>
            <w:gridSpan w:val="2"/>
          </w:tcPr>
          <w:p w14:paraId="484C0ECC" w14:textId="77777777" w:rsidR="004C11B6" w:rsidRDefault="00F05A0C">
            <w:pPr>
              <w:pStyle w:val="TableParagraph"/>
              <w:spacing w:before="51"/>
              <w:ind w:left="537"/>
              <w:rPr>
                <w:b/>
              </w:rPr>
            </w:pPr>
            <w:r>
              <w:rPr>
                <w:b/>
              </w:rPr>
              <w:t>Relatív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kockázat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CI)</w:t>
            </w:r>
          </w:p>
        </w:tc>
      </w:tr>
      <w:tr w:rsidR="004C11B6" w14:paraId="70FC942E" w14:textId="77777777" w:rsidTr="002367F7">
        <w:trPr>
          <w:trHeight w:val="726"/>
        </w:trPr>
        <w:tc>
          <w:tcPr>
            <w:tcW w:w="1664" w:type="dxa"/>
          </w:tcPr>
          <w:p w14:paraId="49C6235A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281" w:type="dxa"/>
          </w:tcPr>
          <w:p w14:paraId="51470F68" w14:textId="1B2F9878" w:rsidR="004C11B6" w:rsidRDefault="00F05A0C">
            <w:pPr>
              <w:pStyle w:val="TableParagraph"/>
              <w:spacing w:before="51"/>
              <w:ind w:left="161" w:right="147"/>
              <w:jc w:val="center"/>
              <w:rPr>
                <w:b/>
              </w:rPr>
            </w:pPr>
            <w:r>
              <w:rPr>
                <w:b/>
              </w:rPr>
              <w:t>2,5</w:t>
            </w:r>
            <w:r w:rsidR="00A2194D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2E26EF36" w14:textId="77777777" w:rsidR="004C11B6" w:rsidRDefault="00F05A0C">
            <w:pPr>
              <w:pStyle w:val="TableParagraph"/>
              <w:spacing w:before="109"/>
              <w:ind w:left="161" w:right="151"/>
              <w:jc w:val="center"/>
              <w:rPr>
                <w:b/>
              </w:rPr>
            </w:pPr>
            <w:r>
              <w:rPr>
                <w:b/>
              </w:rPr>
              <w:t>(N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840)</w:t>
            </w:r>
          </w:p>
        </w:tc>
        <w:tc>
          <w:tcPr>
            <w:tcW w:w="1295" w:type="dxa"/>
          </w:tcPr>
          <w:p w14:paraId="26B3A9B5" w14:textId="0BF8F2FD" w:rsidR="004C11B6" w:rsidRDefault="00F05A0C">
            <w:pPr>
              <w:pStyle w:val="TableParagraph"/>
              <w:spacing w:before="51"/>
              <w:ind w:left="169" w:right="154"/>
              <w:jc w:val="center"/>
              <w:rPr>
                <w:b/>
              </w:rPr>
            </w:pPr>
            <w:r>
              <w:rPr>
                <w:b/>
              </w:rPr>
              <w:t>5,0</w:t>
            </w:r>
            <w:r w:rsidR="00A2194D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55825C58" w14:textId="77777777" w:rsidR="004C11B6" w:rsidRDefault="00F05A0C">
            <w:pPr>
              <w:pStyle w:val="TableParagraph"/>
              <w:spacing w:before="109"/>
              <w:ind w:left="168" w:right="157"/>
              <w:jc w:val="center"/>
              <w:rPr>
                <w:b/>
              </w:rPr>
            </w:pPr>
            <w:r>
              <w:rPr>
                <w:b/>
              </w:rPr>
              <w:t>(N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813)</w:t>
            </w:r>
          </w:p>
        </w:tc>
        <w:tc>
          <w:tcPr>
            <w:tcW w:w="1367" w:type="dxa"/>
          </w:tcPr>
          <w:p w14:paraId="051D82C6" w14:textId="77777777" w:rsidR="004C11B6" w:rsidRDefault="004C11B6">
            <w:pPr>
              <w:pStyle w:val="TableParagraph"/>
              <w:spacing w:before="11"/>
              <w:rPr>
                <w:b/>
                <w:sz w:val="35"/>
              </w:rPr>
            </w:pPr>
          </w:p>
          <w:p w14:paraId="582EA17F" w14:textId="77777777" w:rsidR="004C11B6" w:rsidRDefault="00F05A0C">
            <w:pPr>
              <w:pStyle w:val="TableParagraph"/>
              <w:ind w:left="231" w:right="218"/>
              <w:jc w:val="center"/>
              <w:rPr>
                <w:b/>
              </w:rPr>
            </w:pPr>
            <w:r>
              <w:rPr>
                <w:b/>
              </w:rPr>
              <w:t>(N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829)</w:t>
            </w:r>
          </w:p>
        </w:tc>
        <w:tc>
          <w:tcPr>
            <w:tcW w:w="1866" w:type="dxa"/>
          </w:tcPr>
          <w:p w14:paraId="0FF66E7D" w14:textId="688E7AA5" w:rsidR="004C11B6" w:rsidRDefault="00F05A0C">
            <w:pPr>
              <w:pStyle w:val="TableParagraph"/>
              <w:spacing w:before="51"/>
              <w:ind w:left="370"/>
              <w:rPr>
                <w:b/>
              </w:rPr>
            </w:pPr>
            <w:r>
              <w:rPr>
                <w:b/>
              </w:rPr>
              <w:t>Apix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2,5</w:t>
            </w:r>
            <w:r w:rsidR="00A2194D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7BF973B8" w14:textId="77777777" w:rsidR="004C11B6" w:rsidRDefault="00F05A0C">
            <w:pPr>
              <w:pStyle w:val="TableParagraph"/>
              <w:spacing w:before="109"/>
              <w:ind w:left="422"/>
              <w:rPr>
                <w:b/>
              </w:rPr>
            </w:pPr>
            <w:r w:rsidRPr="00F162CB">
              <w:rPr>
                <w:b/>
                <w:i/>
              </w:rPr>
              <w:t>vs.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placebo</w:t>
            </w:r>
          </w:p>
        </w:tc>
        <w:tc>
          <w:tcPr>
            <w:tcW w:w="1981" w:type="dxa"/>
          </w:tcPr>
          <w:p w14:paraId="2BD95088" w14:textId="3D04089F" w:rsidR="004C11B6" w:rsidRDefault="00F05A0C">
            <w:pPr>
              <w:pStyle w:val="TableParagraph"/>
              <w:spacing w:before="51"/>
              <w:ind w:left="431"/>
              <w:rPr>
                <w:b/>
              </w:rPr>
            </w:pPr>
            <w:r>
              <w:rPr>
                <w:b/>
              </w:rPr>
              <w:t>Apix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5,0</w:t>
            </w:r>
            <w:r w:rsidR="00A2194D">
              <w:t> </w:t>
            </w:r>
            <w:r>
              <w:rPr>
                <w:b/>
              </w:rPr>
              <w:t>mg</w:t>
            </w:r>
          </w:p>
          <w:p w14:paraId="4AF34075" w14:textId="77777777" w:rsidR="004C11B6" w:rsidRDefault="00F05A0C">
            <w:pPr>
              <w:pStyle w:val="TableParagraph"/>
              <w:spacing w:before="109"/>
              <w:ind w:left="481"/>
              <w:rPr>
                <w:b/>
              </w:rPr>
            </w:pPr>
            <w:r w:rsidRPr="00F162CB">
              <w:rPr>
                <w:b/>
                <w:i/>
              </w:rPr>
              <w:t>vs.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placebo</w:t>
            </w:r>
          </w:p>
        </w:tc>
      </w:tr>
      <w:tr w:rsidR="004C11B6" w14:paraId="3E13CB5C" w14:textId="77777777" w:rsidTr="002367F7">
        <w:trPr>
          <w:trHeight w:val="364"/>
        </w:trPr>
        <w:tc>
          <w:tcPr>
            <w:tcW w:w="1664" w:type="dxa"/>
          </w:tcPr>
          <w:p w14:paraId="24CD9416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3943" w:type="dxa"/>
            <w:gridSpan w:val="3"/>
          </w:tcPr>
          <w:p w14:paraId="7DB6CEB4" w14:textId="77777777" w:rsidR="004C11B6" w:rsidRDefault="00F05A0C">
            <w:pPr>
              <w:pStyle w:val="TableParagraph"/>
              <w:spacing w:before="51"/>
              <w:ind w:left="1707" w:right="1693"/>
              <w:jc w:val="center"/>
            </w:pPr>
            <w:r>
              <w:t>n</w:t>
            </w:r>
            <w:r>
              <w:rPr>
                <w:spacing w:val="-2"/>
              </w:rPr>
              <w:t xml:space="preserve"> </w:t>
            </w:r>
            <w:r>
              <w:t>(%)</w:t>
            </w:r>
          </w:p>
        </w:tc>
        <w:tc>
          <w:tcPr>
            <w:tcW w:w="1866" w:type="dxa"/>
          </w:tcPr>
          <w:p w14:paraId="6924D0DD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981" w:type="dxa"/>
          </w:tcPr>
          <w:p w14:paraId="446DA9B1" w14:textId="77777777" w:rsidR="004C11B6" w:rsidRDefault="004C11B6">
            <w:pPr>
              <w:pStyle w:val="TableParagraph"/>
              <w:rPr>
                <w:sz w:val="20"/>
              </w:rPr>
            </w:pPr>
          </w:p>
        </w:tc>
      </w:tr>
      <w:tr w:rsidR="004C11B6" w14:paraId="2434FCCF" w14:textId="77777777" w:rsidTr="002367F7">
        <w:trPr>
          <w:trHeight w:val="849"/>
        </w:trPr>
        <w:tc>
          <w:tcPr>
            <w:tcW w:w="1664" w:type="dxa"/>
          </w:tcPr>
          <w:p w14:paraId="186D5D05" w14:textId="77777777" w:rsidR="004C11B6" w:rsidRDefault="00F05A0C">
            <w:pPr>
              <w:pStyle w:val="TableParagraph"/>
              <w:spacing w:before="55" w:line="232" w:lineRule="auto"/>
              <w:ind w:left="107" w:right="144"/>
            </w:pPr>
            <w:r>
              <w:t>Ismételt VTE</w:t>
            </w:r>
            <w:r>
              <w:rPr>
                <w:spacing w:val="1"/>
              </w:rPr>
              <w:t xml:space="preserve"> </w:t>
            </w:r>
            <w:r>
              <w:t>vagy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összmortalitás</w:t>
            </w:r>
          </w:p>
        </w:tc>
        <w:tc>
          <w:tcPr>
            <w:tcW w:w="1281" w:type="dxa"/>
          </w:tcPr>
          <w:p w14:paraId="36963F11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19</w:t>
            </w:r>
            <w:r>
              <w:rPr>
                <w:spacing w:val="-3"/>
              </w:rPr>
              <w:t xml:space="preserve"> </w:t>
            </w:r>
            <w:r>
              <w:t>(2,3)</w:t>
            </w:r>
          </w:p>
        </w:tc>
        <w:tc>
          <w:tcPr>
            <w:tcW w:w="1295" w:type="dxa"/>
          </w:tcPr>
          <w:p w14:paraId="3CFE3622" w14:textId="77777777" w:rsidR="004C11B6" w:rsidRDefault="00F05A0C">
            <w:pPr>
              <w:pStyle w:val="TableParagraph"/>
              <w:spacing w:before="51"/>
              <w:ind w:left="169" w:right="155"/>
              <w:jc w:val="center"/>
            </w:pPr>
            <w:r>
              <w:t>14</w:t>
            </w:r>
            <w:r>
              <w:rPr>
                <w:spacing w:val="-3"/>
              </w:rPr>
              <w:t xml:space="preserve"> </w:t>
            </w:r>
            <w:r>
              <w:t>(1,7)</w:t>
            </w:r>
          </w:p>
        </w:tc>
        <w:tc>
          <w:tcPr>
            <w:tcW w:w="1367" w:type="dxa"/>
          </w:tcPr>
          <w:p w14:paraId="7F6F90B6" w14:textId="77777777" w:rsidR="004C11B6" w:rsidRDefault="00F05A0C">
            <w:pPr>
              <w:pStyle w:val="TableParagraph"/>
              <w:spacing w:before="51"/>
              <w:ind w:left="231" w:right="215"/>
              <w:jc w:val="center"/>
            </w:pPr>
            <w:r>
              <w:t>77</w:t>
            </w:r>
            <w:r>
              <w:rPr>
                <w:spacing w:val="-3"/>
              </w:rPr>
              <w:t xml:space="preserve"> </w:t>
            </w:r>
            <w:r>
              <w:t>(9,3)</w:t>
            </w:r>
          </w:p>
        </w:tc>
        <w:tc>
          <w:tcPr>
            <w:tcW w:w="1866" w:type="dxa"/>
          </w:tcPr>
          <w:p w14:paraId="760F9890" w14:textId="77777777" w:rsidR="004C11B6" w:rsidRDefault="00F05A0C">
            <w:pPr>
              <w:pStyle w:val="TableParagraph"/>
              <w:spacing w:before="51"/>
              <w:ind w:left="365" w:right="346"/>
              <w:jc w:val="center"/>
            </w:pPr>
            <w:r>
              <w:t>0,24</w:t>
            </w:r>
          </w:p>
          <w:p w14:paraId="4F5CD5A8" w14:textId="77777777" w:rsidR="004C11B6" w:rsidRDefault="00F05A0C">
            <w:pPr>
              <w:pStyle w:val="TableParagraph"/>
              <w:spacing w:before="109"/>
              <w:ind w:left="365" w:right="349"/>
              <w:jc w:val="center"/>
              <w:rPr>
                <w:sz w:val="14"/>
              </w:rPr>
            </w:pPr>
            <w:r>
              <w:t>(0,15;</w:t>
            </w:r>
            <w:r>
              <w:rPr>
                <w:spacing w:val="-4"/>
              </w:rPr>
              <w:t xml:space="preserve"> </w:t>
            </w:r>
            <w:r>
              <w:t>0,40)</w:t>
            </w:r>
            <w:r>
              <w:rPr>
                <w:position w:val="7"/>
                <w:sz w:val="14"/>
              </w:rPr>
              <w:t>¥</w:t>
            </w:r>
          </w:p>
        </w:tc>
        <w:tc>
          <w:tcPr>
            <w:tcW w:w="1981" w:type="dxa"/>
          </w:tcPr>
          <w:p w14:paraId="377D65EC" w14:textId="77777777" w:rsidR="004C11B6" w:rsidRDefault="00F05A0C">
            <w:pPr>
              <w:pStyle w:val="TableParagraph"/>
              <w:spacing w:before="51"/>
              <w:ind w:left="423" w:right="402"/>
              <w:jc w:val="center"/>
            </w:pPr>
            <w:r>
              <w:t>0,19</w:t>
            </w:r>
          </w:p>
          <w:p w14:paraId="60BBEB0B" w14:textId="77777777" w:rsidR="004C11B6" w:rsidRDefault="00F05A0C">
            <w:pPr>
              <w:pStyle w:val="TableParagraph"/>
              <w:spacing w:before="109"/>
              <w:ind w:left="426" w:right="402"/>
              <w:jc w:val="center"/>
              <w:rPr>
                <w:sz w:val="14"/>
              </w:rPr>
            </w:pPr>
            <w:r>
              <w:t>(0,11;</w:t>
            </w:r>
            <w:r>
              <w:rPr>
                <w:spacing w:val="-4"/>
              </w:rPr>
              <w:t xml:space="preserve"> </w:t>
            </w:r>
            <w:r>
              <w:t>0,33)</w:t>
            </w:r>
            <w:r>
              <w:rPr>
                <w:position w:val="7"/>
                <w:sz w:val="14"/>
              </w:rPr>
              <w:t>¥</w:t>
            </w:r>
          </w:p>
        </w:tc>
      </w:tr>
      <w:tr w:rsidR="004C11B6" w14:paraId="1C88B034" w14:textId="77777777" w:rsidTr="002367F7">
        <w:trPr>
          <w:trHeight w:val="364"/>
        </w:trPr>
        <w:tc>
          <w:tcPr>
            <w:tcW w:w="1664" w:type="dxa"/>
          </w:tcPr>
          <w:p w14:paraId="1FD355B0" w14:textId="77777777" w:rsidR="004C11B6" w:rsidRDefault="00F05A0C">
            <w:pPr>
              <w:pStyle w:val="TableParagraph"/>
              <w:spacing w:before="51"/>
              <w:ind w:left="467"/>
              <w:rPr>
                <w:sz w:val="14"/>
              </w:rPr>
            </w:pPr>
            <w:r>
              <w:t>MVT</w:t>
            </w:r>
            <w:r>
              <w:rPr>
                <w:position w:val="7"/>
                <w:sz w:val="14"/>
              </w:rPr>
              <w:t>*</w:t>
            </w:r>
          </w:p>
        </w:tc>
        <w:tc>
          <w:tcPr>
            <w:tcW w:w="1281" w:type="dxa"/>
          </w:tcPr>
          <w:p w14:paraId="098AF52B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6</w:t>
            </w:r>
            <w:r>
              <w:rPr>
                <w:spacing w:val="-3"/>
              </w:rPr>
              <w:t xml:space="preserve"> </w:t>
            </w:r>
            <w:r>
              <w:t>(0,7)</w:t>
            </w:r>
          </w:p>
        </w:tc>
        <w:tc>
          <w:tcPr>
            <w:tcW w:w="1295" w:type="dxa"/>
          </w:tcPr>
          <w:p w14:paraId="32EC16E3" w14:textId="77777777" w:rsidR="004C11B6" w:rsidRDefault="00F05A0C">
            <w:pPr>
              <w:pStyle w:val="TableParagraph"/>
              <w:spacing w:before="51"/>
              <w:ind w:left="169" w:right="156"/>
              <w:jc w:val="center"/>
            </w:pPr>
            <w:r>
              <w:t>7</w:t>
            </w:r>
            <w:r>
              <w:rPr>
                <w:spacing w:val="-3"/>
              </w:rPr>
              <w:t xml:space="preserve"> </w:t>
            </w:r>
            <w:r>
              <w:t>(0,9)</w:t>
            </w:r>
          </w:p>
        </w:tc>
        <w:tc>
          <w:tcPr>
            <w:tcW w:w="1367" w:type="dxa"/>
          </w:tcPr>
          <w:p w14:paraId="2636D902" w14:textId="77777777" w:rsidR="004C11B6" w:rsidRDefault="00F05A0C">
            <w:pPr>
              <w:pStyle w:val="TableParagraph"/>
              <w:spacing w:before="51"/>
              <w:ind w:left="231" w:right="215"/>
              <w:jc w:val="center"/>
            </w:pPr>
            <w:r>
              <w:t>53</w:t>
            </w:r>
            <w:r>
              <w:rPr>
                <w:spacing w:val="-3"/>
              </w:rPr>
              <w:t xml:space="preserve"> </w:t>
            </w:r>
            <w:r>
              <w:t>(6,4)</w:t>
            </w:r>
          </w:p>
        </w:tc>
        <w:tc>
          <w:tcPr>
            <w:tcW w:w="1866" w:type="dxa"/>
          </w:tcPr>
          <w:p w14:paraId="212FF3B3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981" w:type="dxa"/>
          </w:tcPr>
          <w:p w14:paraId="47A4E8ED" w14:textId="77777777" w:rsidR="004C11B6" w:rsidRDefault="004C11B6">
            <w:pPr>
              <w:pStyle w:val="TableParagraph"/>
              <w:rPr>
                <w:sz w:val="20"/>
              </w:rPr>
            </w:pPr>
          </w:p>
        </w:tc>
      </w:tr>
      <w:tr w:rsidR="004C11B6" w14:paraId="6FBE648E" w14:textId="77777777" w:rsidTr="002367F7">
        <w:trPr>
          <w:trHeight w:val="364"/>
        </w:trPr>
        <w:tc>
          <w:tcPr>
            <w:tcW w:w="1664" w:type="dxa"/>
          </w:tcPr>
          <w:p w14:paraId="42DC8824" w14:textId="77777777" w:rsidR="004C11B6" w:rsidRDefault="00F05A0C">
            <w:pPr>
              <w:pStyle w:val="TableParagraph"/>
              <w:spacing w:before="51"/>
              <w:ind w:left="467"/>
              <w:rPr>
                <w:sz w:val="14"/>
              </w:rPr>
            </w:pPr>
            <w:r>
              <w:t>PE</w:t>
            </w:r>
            <w:bookmarkStart w:id="2" w:name="_Hlk76670022"/>
            <w:r>
              <w:rPr>
                <w:position w:val="7"/>
                <w:sz w:val="14"/>
              </w:rPr>
              <w:t>*</w:t>
            </w:r>
            <w:bookmarkEnd w:id="2"/>
          </w:p>
        </w:tc>
        <w:tc>
          <w:tcPr>
            <w:tcW w:w="1281" w:type="dxa"/>
          </w:tcPr>
          <w:p w14:paraId="215FB156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7</w:t>
            </w:r>
            <w:r>
              <w:rPr>
                <w:spacing w:val="-3"/>
              </w:rPr>
              <w:t xml:space="preserve"> </w:t>
            </w:r>
            <w:r>
              <w:t>(0,8)</w:t>
            </w:r>
          </w:p>
        </w:tc>
        <w:tc>
          <w:tcPr>
            <w:tcW w:w="1295" w:type="dxa"/>
          </w:tcPr>
          <w:p w14:paraId="6F22E510" w14:textId="77777777" w:rsidR="004C11B6" w:rsidRDefault="00F05A0C">
            <w:pPr>
              <w:pStyle w:val="TableParagraph"/>
              <w:spacing w:before="51"/>
              <w:ind w:left="169" w:right="155"/>
              <w:jc w:val="center"/>
            </w:pPr>
            <w:r>
              <w:t>4</w:t>
            </w:r>
            <w:r>
              <w:rPr>
                <w:spacing w:val="-1"/>
              </w:rPr>
              <w:t xml:space="preserve"> </w:t>
            </w:r>
            <w:r>
              <w:t>(0,5)</w:t>
            </w:r>
          </w:p>
        </w:tc>
        <w:tc>
          <w:tcPr>
            <w:tcW w:w="1367" w:type="dxa"/>
          </w:tcPr>
          <w:p w14:paraId="28BA9931" w14:textId="77777777" w:rsidR="004C11B6" w:rsidRDefault="00F05A0C">
            <w:pPr>
              <w:pStyle w:val="TableParagraph"/>
              <w:spacing w:before="51"/>
              <w:ind w:left="231" w:right="215"/>
              <w:jc w:val="center"/>
            </w:pPr>
            <w:r>
              <w:t>13</w:t>
            </w:r>
            <w:r>
              <w:rPr>
                <w:spacing w:val="-3"/>
              </w:rPr>
              <w:t xml:space="preserve"> </w:t>
            </w:r>
            <w:r>
              <w:t>(1,6)</w:t>
            </w:r>
          </w:p>
        </w:tc>
        <w:tc>
          <w:tcPr>
            <w:tcW w:w="1866" w:type="dxa"/>
          </w:tcPr>
          <w:p w14:paraId="1993A261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981" w:type="dxa"/>
          </w:tcPr>
          <w:p w14:paraId="4FC911D8" w14:textId="77777777" w:rsidR="004C11B6" w:rsidRDefault="004C11B6">
            <w:pPr>
              <w:pStyle w:val="TableParagraph"/>
              <w:rPr>
                <w:sz w:val="20"/>
              </w:rPr>
            </w:pPr>
          </w:p>
        </w:tc>
      </w:tr>
      <w:tr w:rsidR="004C11B6" w14:paraId="2FA803F8" w14:textId="77777777" w:rsidTr="002367F7">
        <w:trPr>
          <w:trHeight w:val="606"/>
        </w:trPr>
        <w:tc>
          <w:tcPr>
            <w:tcW w:w="1664" w:type="dxa"/>
          </w:tcPr>
          <w:p w14:paraId="76249AA9" w14:textId="77777777" w:rsidR="004C11B6" w:rsidRDefault="00F05A0C" w:rsidP="00053662">
            <w:pPr>
              <w:pStyle w:val="TableParagraph"/>
              <w:spacing w:before="55" w:line="232" w:lineRule="auto"/>
              <w:ind w:left="107" w:right="88" w:firstLine="35"/>
            </w:pPr>
            <w:r>
              <w:t>Összmorta</w:t>
            </w:r>
            <w:r>
              <w:rPr>
                <w:spacing w:val="-52"/>
              </w:rPr>
              <w:t xml:space="preserve"> </w:t>
            </w:r>
            <w:r>
              <w:t>litás</w:t>
            </w:r>
          </w:p>
        </w:tc>
        <w:tc>
          <w:tcPr>
            <w:tcW w:w="1281" w:type="dxa"/>
          </w:tcPr>
          <w:p w14:paraId="754E47FE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6</w:t>
            </w:r>
            <w:r>
              <w:rPr>
                <w:spacing w:val="-3"/>
              </w:rPr>
              <w:t xml:space="preserve"> </w:t>
            </w:r>
            <w:r>
              <w:t>(0,7)</w:t>
            </w:r>
          </w:p>
        </w:tc>
        <w:tc>
          <w:tcPr>
            <w:tcW w:w="1295" w:type="dxa"/>
          </w:tcPr>
          <w:p w14:paraId="572CCC30" w14:textId="77777777" w:rsidR="004C11B6" w:rsidRDefault="00F05A0C">
            <w:pPr>
              <w:pStyle w:val="TableParagraph"/>
              <w:spacing w:before="51"/>
              <w:ind w:left="169" w:right="156"/>
              <w:jc w:val="center"/>
            </w:pPr>
            <w:r>
              <w:t>3</w:t>
            </w:r>
            <w:r>
              <w:rPr>
                <w:spacing w:val="-3"/>
              </w:rPr>
              <w:t xml:space="preserve"> </w:t>
            </w:r>
            <w:r>
              <w:t>(0,4)</w:t>
            </w:r>
          </w:p>
        </w:tc>
        <w:tc>
          <w:tcPr>
            <w:tcW w:w="1367" w:type="dxa"/>
          </w:tcPr>
          <w:p w14:paraId="6CA24372" w14:textId="77777777" w:rsidR="004C11B6" w:rsidRDefault="00F05A0C">
            <w:pPr>
              <w:pStyle w:val="TableParagraph"/>
              <w:spacing w:before="51"/>
              <w:ind w:left="231" w:right="215"/>
              <w:jc w:val="center"/>
            </w:pPr>
            <w:r>
              <w:t>11</w:t>
            </w:r>
            <w:r>
              <w:rPr>
                <w:spacing w:val="-3"/>
              </w:rPr>
              <w:t xml:space="preserve"> </w:t>
            </w:r>
            <w:r>
              <w:t>(1,3)</w:t>
            </w:r>
          </w:p>
        </w:tc>
        <w:tc>
          <w:tcPr>
            <w:tcW w:w="1866" w:type="dxa"/>
          </w:tcPr>
          <w:p w14:paraId="28026FD7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981" w:type="dxa"/>
          </w:tcPr>
          <w:p w14:paraId="008955AA" w14:textId="77777777" w:rsidR="004C11B6" w:rsidRDefault="004C11B6">
            <w:pPr>
              <w:pStyle w:val="TableParagraph"/>
              <w:rPr>
                <w:sz w:val="20"/>
              </w:rPr>
            </w:pPr>
          </w:p>
        </w:tc>
      </w:tr>
      <w:tr w:rsidR="004C11B6" w14:paraId="34F60A34" w14:textId="77777777" w:rsidTr="002367F7">
        <w:trPr>
          <w:trHeight w:val="791"/>
        </w:trPr>
        <w:tc>
          <w:tcPr>
            <w:tcW w:w="1664" w:type="dxa"/>
            <w:tcBorders>
              <w:bottom w:val="nil"/>
            </w:tcBorders>
          </w:tcPr>
          <w:p w14:paraId="5BAD1730" w14:textId="77777777" w:rsidR="004C11B6" w:rsidRDefault="00F05A0C">
            <w:pPr>
              <w:pStyle w:val="TableParagraph"/>
              <w:spacing w:before="39" w:line="244" w:lineRule="exact"/>
              <w:ind w:left="107" w:right="153"/>
              <w:jc w:val="both"/>
            </w:pPr>
            <w:r>
              <w:t>Ismételt VTE</w:t>
            </w:r>
            <w:r>
              <w:rPr>
                <w:spacing w:val="1"/>
              </w:rPr>
              <w:t xml:space="preserve"> </w:t>
            </w:r>
            <w:r>
              <w:t>vagy VTE-vel</w:t>
            </w:r>
            <w:r>
              <w:rPr>
                <w:spacing w:val="-52"/>
              </w:rPr>
              <w:t xml:space="preserve"> </w:t>
            </w:r>
            <w:r>
              <w:t>összefüggő</w:t>
            </w:r>
          </w:p>
        </w:tc>
        <w:tc>
          <w:tcPr>
            <w:tcW w:w="1281" w:type="dxa"/>
            <w:tcBorders>
              <w:bottom w:val="nil"/>
            </w:tcBorders>
          </w:tcPr>
          <w:p w14:paraId="1A5F6677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14</w:t>
            </w:r>
            <w:r>
              <w:rPr>
                <w:spacing w:val="-3"/>
              </w:rPr>
              <w:t xml:space="preserve"> </w:t>
            </w:r>
            <w:r>
              <w:t>(1,7)</w:t>
            </w:r>
          </w:p>
        </w:tc>
        <w:tc>
          <w:tcPr>
            <w:tcW w:w="1295" w:type="dxa"/>
            <w:tcBorders>
              <w:bottom w:val="nil"/>
            </w:tcBorders>
          </w:tcPr>
          <w:p w14:paraId="58EAB31A" w14:textId="77777777" w:rsidR="004C11B6" w:rsidRDefault="00F05A0C">
            <w:pPr>
              <w:pStyle w:val="TableParagraph"/>
              <w:spacing w:before="51"/>
              <w:ind w:left="169" w:right="155"/>
              <w:jc w:val="center"/>
            </w:pPr>
            <w:r>
              <w:t>14</w:t>
            </w:r>
            <w:r>
              <w:rPr>
                <w:spacing w:val="-3"/>
              </w:rPr>
              <w:t xml:space="preserve"> </w:t>
            </w:r>
            <w:r>
              <w:t>(1,7)</w:t>
            </w:r>
          </w:p>
        </w:tc>
        <w:tc>
          <w:tcPr>
            <w:tcW w:w="1367" w:type="dxa"/>
            <w:tcBorders>
              <w:bottom w:val="nil"/>
            </w:tcBorders>
          </w:tcPr>
          <w:p w14:paraId="3EE5DE69" w14:textId="77777777" w:rsidR="004C11B6" w:rsidRDefault="00F05A0C">
            <w:pPr>
              <w:pStyle w:val="TableParagraph"/>
              <w:spacing w:before="51"/>
              <w:ind w:left="231" w:right="215"/>
              <w:jc w:val="center"/>
            </w:pPr>
            <w:r>
              <w:t>73</w:t>
            </w:r>
            <w:r>
              <w:rPr>
                <w:spacing w:val="-3"/>
              </w:rPr>
              <w:t xml:space="preserve"> </w:t>
            </w:r>
            <w:r>
              <w:t>(8,8)</w:t>
            </w:r>
          </w:p>
        </w:tc>
        <w:tc>
          <w:tcPr>
            <w:tcW w:w="1866" w:type="dxa"/>
            <w:tcBorders>
              <w:bottom w:val="nil"/>
            </w:tcBorders>
          </w:tcPr>
          <w:p w14:paraId="1392468D" w14:textId="77777777" w:rsidR="004C11B6" w:rsidRDefault="00F05A0C">
            <w:pPr>
              <w:pStyle w:val="TableParagraph"/>
              <w:spacing w:before="51"/>
              <w:ind w:left="365" w:right="346"/>
              <w:jc w:val="center"/>
            </w:pPr>
            <w:r>
              <w:t>0,19</w:t>
            </w:r>
          </w:p>
          <w:p w14:paraId="6DA951FB" w14:textId="77777777" w:rsidR="004C11B6" w:rsidRDefault="00F05A0C">
            <w:pPr>
              <w:pStyle w:val="TableParagraph"/>
              <w:spacing w:before="109"/>
              <w:ind w:left="365" w:right="347"/>
              <w:jc w:val="center"/>
            </w:pPr>
            <w:r>
              <w:t>(0,11;</w:t>
            </w:r>
            <w:r>
              <w:rPr>
                <w:spacing w:val="-4"/>
              </w:rPr>
              <w:t xml:space="preserve"> </w:t>
            </w:r>
            <w:r>
              <w:t>0,33)</w:t>
            </w:r>
          </w:p>
        </w:tc>
        <w:tc>
          <w:tcPr>
            <w:tcW w:w="1981" w:type="dxa"/>
            <w:tcBorders>
              <w:bottom w:val="nil"/>
            </w:tcBorders>
          </w:tcPr>
          <w:p w14:paraId="13BB0452" w14:textId="77777777" w:rsidR="004C11B6" w:rsidRDefault="00F05A0C">
            <w:pPr>
              <w:pStyle w:val="TableParagraph"/>
              <w:spacing w:before="51"/>
              <w:ind w:left="423" w:right="402"/>
              <w:jc w:val="center"/>
            </w:pPr>
            <w:r>
              <w:t>0,20</w:t>
            </w:r>
          </w:p>
          <w:p w14:paraId="08A17444" w14:textId="77777777" w:rsidR="004C11B6" w:rsidRDefault="00F05A0C">
            <w:pPr>
              <w:pStyle w:val="TableParagraph"/>
              <w:spacing w:before="109"/>
              <w:ind w:left="422" w:right="402"/>
              <w:jc w:val="center"/>
            </w:pPr>
            <w:r>
              <w:t>(0,11;</w:t>
            </w:r>
            <w:r>
              <w:rPr>
                <w:spacing w:val="-4"/>
              </w:rPr>
              <w:t xml:space="preserve"> </w:t>
            </w:r>
            <w:r>
              <w:t>0,34)</w:t>
            </w:r>
          </w:p>
        </w:tc>
      </w:tr>
      <w:tr w:rsidR="004C11B6" w14:paraId="7E4F280C" w14:textId="77777777" w:rsidTr="002367F7">
        <w:trPr>
          <w:trHeight w:val="302"/>
        </w:trPr>
        <w:tc>
          <w:tcPr>
            <w:tcW w:w="1664" w:type="dxa"/>
            <w:tcBorders>
              <w:top w:val="nil"/>
            </w:tcBorders>
          </w:tcPr>
          <w:p w14:paraId="5DF23AE4" w14:textId="77777777" w:rsidR="004C11B6" w:rsidRDefault="00F05A0C">
            <w:pPr>
              <w:pStyle w:val="TableParagraph"/>
              <w:spacing w:line="244" w:lineRule="exact"/>
              <w:ind w:left="107"/>
            </w:pPr>
            <w:r>
              <w:t>halálozás</w:t>
            </w:r>
          </w:p>
        </w:tc>
        <w:tc>
          <w:tcPr>
            <w:tcW w:w="1281" w:type="dxa"/>
            <w:tcBorders>
              <w:top w:val="nil"/>
            </w:tcBorders>
          </w:tcPr>
          <w:p w14:paraId="30CA1A0A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295" w:type="dxa"/>
            <w:tcBorders>
              <w:top w:val="nil"/>
            </w:tcBorders>
          </w:tcPr>
          <w:p w14:paraId="5455C9F9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367" w:type="dxa"/>
            <w:tcBorders>
              <w:top w:val="nil"/>
            </w:tcBorders>
          </w:tcPr>
          <w:p w14:paraId="7A323536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866" w:type="dxa"/>
            <w:tcBorders>
              <w:top w:val="nil"/>
            </w:tcBorders>
          </w:tcPr>
          <w:p w14:paraId="73305E10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981" w:type="dxa"/>
            <w:tcBorders>
              <w:top w:val="nil"/>
            </w:tcBorders>
          </w:tcPr>
          <w:p w14:paraId="219578FC" w14:textId="77777777" w:rsidR="004C11B6" w:rsidRDefault="004C11B6">
            <w:pPr>
              <w:pStyle w:val="TableParagraph"/>
              <w:rPr>
                <w:sz w:val="20"/>
              </w:rPr>
            </w:pPr>
          </w:p>
        </w:tc>
      </w:tr>
      <w:tr w:rsidR="004C11B6" w14:paraId="10E1465A" w14:textId="77777777" w:rsidTr="002367F7">
        <w:trPr>
          <w:trHeight w:val="791"/>
        </w:trPr>
        <w:tc>
          <w:tcPr>
            <w:tcW w:w="1664" w:type="dxa"/>
            <w:tcBorders>
              <w:bottom w:val="nil"/>
            </w:tcBorders>
          </w:tcPr>
          <w:p w14:paraId="3DC03FA8" w14:textId="77777777" w:rsidR="004C11B6" w:rsidRDefault="00F05A0C">
            <w:pPr>
              <w:pStyle w:val="TableParagraph"/>
              <w:spacing w:before="59" w:line="230" w:lineRule="auto"/>
              <w:ind w:left="107" w:right="197"/>
            </w:pPr>
            <w:r>
              <w:t>Ismételt VTE</w:t>
            </w:r>
            <w:r>
              <w:rPr>
                <w:spacing w:val="-52"/>
              </w:rPr>
              <w:t xml:space="preserve"> </w:t>
            </w:r>
            <w:r>
              <w:t>vagy</w:t>
            </w:r>
            <w:r>
              <w:rPr>
                <w:spacing w:val="-2"/>
              </w:rPr>
              <w:t xml:space="preserve"> </w:t>
            </w:r>
            <w:r>
              <w:t>CV</w:t>
            </w:r>
          </w:p>
          <w:p w14:paraId="1356EE12" w14:textId="77777777" w:rsidR="004C11B6" w:rsidRDefault="00F05A0C">
            <w:pPr>
              <w:pStyle w:val="TableParagraph"/>
              <w:spacing w:line="227" w:lineRule="exact"/>
              <w:ind w:left="107"/>
            </w:pPr>
            <w:r>
              <w:t>eredetű</w:t>
            </w:r>
          </w:p>
        </w:tc>
        <w:tc>
          <w:tcPr>
            <w:tcW w:w="1281" w:type="dxa"/>
            <w:tcBorders>
              <w:bottom w:val="nil"/>
            </w:tcBorders>
          </w:tcPr>
          <w:p w14:paraId="08F7DA72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14</w:t>
            </w:r>
            <w:r>
              <w:rPr>
                <w:spacing w:val="-3"/>
              </w:rPr>
              <w:t xml:space="preserve"> </w:t>
            </w:r>
            <w:r>
              <w:t>(1,7)</w:t>
            </w:r>
          </w:p>
        </w:tc>
        <w:tc>
          <w:tcPr>
            <w:tcW w:w="1295" w:type="dxa"/>
            <w:tcBorders>
              <w:bottom w:val="nil"/>
            </w:tcBorders>
          </w:tcPr>
          <w:p w14:paraId="2783F9D8" w14:textId="77777777" w:rsidR="004C11B6" w:rsidRDefault="00F05A0C">
            <w:pPr>
              <w:pStyle w:val="TableParagraph"/>
              <w:spacing w:before="51"/>
              <w:ind w:left="169" w:right="155"/>
              <w:jc w:val="center"/>
            </w:pPr>
            <w:r>
              <w:t>14</w:t>
            </w:r>
            <w:r>
              <w:rPr>
                <w:spacing w:val="-3"/>
              </w:rPr>
              <w:t xml:space="preserve"> </w:t>
            </w:r>
            <w:r>
              <w:t>(1,7)</w:t>
            </w:r>
          </w:p>
        </w:tc>
        <w:tc>
          <w:tcPr>
            <w:tcW w:w="1367" w:type="dxa"/>
            <w:tcBorders>
              <w:bottom w:val="nil"/>
            </w:tcBorders>
          </w:tcPr>
          <w:p w14:paraId="0D149050" w14:textId="77777777" w:rsidR="004C11B6" w:rsidRDefault="00F05A0C">
            <w:pPr>
              <w:pStyle w:val="TableParagraph"/>
              <w:spacing w:before="51"/>
              <w:ind w:left="231" w:right="215"/>
              <w:jc w:val="center"/>
            </w:pPr>
            <w:r>
              <w:t>76</w:t>
            </w:r>
            <w:r>
              <w:rPr>
                <w:spacing w:val="-3"/>
              </w:rPr>
              <w:t xml:space="preserve"> </w:t>
            </w:r>
            <w:r>
              <w:t>(9,2)</w:t>
            </w:r>
          </w:p>
        </w:tc>
        <w:tc>
          <w:tcPr>
            <w:tcW w:w="1866" w:type="dxa"/>
            <w:tcBorders>
              <w:bottom w:val="nil"/>
            </w:tcBorders>
          </w:tcPr>
          <w:p w14:paraId="68F1136B" w14:textId="77777777" w:rsidR="004C11B6" w:rsidRDefault="00F05A0C">
            <w:pPr>
              <w:pStyle w:val="TableParagraph"/>
              <w:spacing w:before="51"/>
              <w:ind w:left="365" w:right="346"/>
              <w:jc w:val="center"/>
            </w:pPr>
            <w:r>
              <w:t>0,18</w:t>
            </w:r>
          </w:p>
          <w:p w14:paraId="0382DF38" w14:textId="77777777" w:rsidR="004C11B6" w:rsidRDefault="00F05A0C">
            <w:pPr>
              <w:pStyle w:val="TableParagraph"/>
              <w:spacing w:before="112"/>
              <w:ind w:left="365" w:right="347"/>
              <w:jc w:val="center"/>
            </w:pPr>
            <w:r>
              <w:t>(0,10;</w:t>
            </w:r>
            <w:r>
              <w:rPr>
                <w:spacing w:val="-4"/>
              </w:rPr>
              <w:t xml:space="preserve"> </w:t>
            </w:r>
            <w:r>
              <w:t>0,32)</w:t>
            </w:r>
          </w:p>
        </w:tc>
        <w:tc>
          <w:tcPr>
            <w:tcW w:w="1981" w:type="dxa"/>
            <w:tcBorders>
              <w:bottom w:val="nil"/>
            </w:tcBorders>
          </w:tcPr>
          <w:p w14:paraId="4EBA17AC" w14:textId="77777777" w:rsidR="004C11B6" w:rsidRDefault="00F05A0C">
            <w:pPr>
              <w:pStyle w:val="TableParagraph"/>
              <w:spacing w:before="51"/>
              <w:ind w:left="423" w:right="402"/>
              <w:jc w:val="center"/>
            </w:pPr>
            <w:r>
              <w:t>0,19</w:t>
            </w:r>
          </w:p>
          <w:p w14:paraId="542B0164" w14:textId="77777777" w:rsidR="004C11B6" w:rsidRDefault="00F05A0C">
            <w:pPr>
              <w:pStyle w:val="TableParagraph"/>
              <w:spacing w:before="112"/>
              <w:ind w:left="422" w:right="402"/>
              <w:jc w:val="center"/>
            </w:pPr>
            <w:r>
              <w:t>(0,11;</w:t>
            </w:r>
            <w:r>
              <w:rPr>
                <w:spacing w:val="-4"/>
              </w:rPr>
              <w:t xml:space="preserve"> </w:t>
            </w:r>
            <w:r>
              <w:t>0,33)</w:t>
            </w:r>
          </w:p>
        </w:tc>
      </w:tr>
      <w:tr w:rsidR="004C11B6" w14:paraId="43609153" w14:textId="77777777" w:rsidTr="002367F7">
        <w:trPr>
          <w:trHeight w:val="302"/>
        </w:trPr>
        <w:tc>
          <w:tcPr>
            <w:tcW w:w="1664" w:type="dxa"/>
            <w:tcBorders>
              <w:top w:val="nil"/>
            </w:tcBorders>
          </w:tcPr>
          <w:p w14:paraId="2D54A930" w14:textId="77777777" w:rsidR="004C11B6" w:rsidRDefault="00F05A0C">
            <w:pPr>
              <w:pStyle w:val="TableParagraph"/>
              <w:spacing w:line="244" w:lineRule="exact"/>
              <w:ind w:left="107"/>
            </w:pPr>
            <w:r>
              <w:t>halálozás</w:t>
            </w:r>
          </w:p>
        </w:tc>
        <w:tc>
          <w:tcPr>
            <w:tcW w:w="1281" w:type="dxa"/>
            <w:tcBorders>
              <w:top w:val="nil"/>
            </w:tcBorders>
          </w:tcPr>
          <w:p w14:paraId="23EB5CA6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295" w:type="dxa"/>
            <w:tcBorders>
              <w:top w:val="nil"/>
            </w:tcBorders>
          </w:tcPr>
          <w:p w14:paraId="174E075A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367" w:type="dxa"/>
            <w:tcBorders>
              <w:top w:val="nil"/>
            </w:tcBorders>
          </w:tcPr>
          <w:p w14:paraId="277CC045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866" w:type="dxa"/>
            <w:tcBorders>
              <w:top w:val="nil"/>
            </w:tcBorders>
          </w:tcPr>
          <w:p w14:paraId="77E8CFDC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981" w:type="dxa"/>
            <w:tcBorders>
              <w:top w:val="nil"/>
            </w:tcBorders>
          </w:tcPr>
          <w:p w14:paraId="397B1EFD" w14:textId="77777777" w:rsidR="004C11B6" w:rsidRDefault="004C11B6">
            <w:pPr>
              <w:pStyle w:val="TableParagraph"/>
              <w:rPr>
                <w:sz w:val="20"/>
              </w:rPr>
            </w:pPr>
          </w:p>
        </w:tc>
      </w:tr>
      <w:tr w:rsidR="004C11B6" w14:paraId="3F4A2539" w14:textId="77777777" w:rsidTr="002367F7">
        <w:trPr>
          <w:trHeight w:val="304"/>
        </w:trPr>
        <w:tc>
          <w:tcPr>
            <w:tcW w:w="1664" w:type="dxa"/>
            <w:tcBorders>
              <w:bottom w:val="nil"/>
            </w:tcBorders>
          </w:tcPr>
          <w:p w14:paraId="6AB3E694" w14:textId="77777777" w:rsidR="004C11B6" w:rsidRDefault="00F05A0C">
            <w:pPr>
              <w:pStyle w:val="TableParagraph"/>
              <w:spacing w:before="51" w:line="233" w:lineRule="exact"/>
              <w:ind w:left="107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halálos</w:t>
            </w:r>
          </w:p>
        </w:tc>
        <w:tc>
          <w:tcPr>
            <w:tcW w:w="1281" w:type="dxa"/>
            <w:tcBorders>
              <w:bottom w:val="nil"/>
            </w:tcBorders>
          </w:tcPr>
          <w:p w14:paraId="12A1BC45" w14:textId="77777777" w:rsidR="004C11B6" w:rsidRDefault="00F05A0C">
            <w:pPr>
              <w:pStyle w:val="TableParagraph"/>
              <w:spacing w:before="51" w:line="233" w:lineRule="exact"/>
              <w:ind w:left="161" w:right="149"/>
              <w:jc w:val="center"/>
            </w:pPr>
            <w:r>
              <w:t>6</w:t>
            </w:r>
            <w:r>
              <w:rPr>
                <w:spacing w:val="-3"/>
              </w:rPr>
              <w:t xml:space="preserve"> </w:t>
            </w:r>
            <w:r>
              <w:t>(0,7)</w:t>
            </w:r>
          </w:p>
        </w:tc>
        <w:tc>
          <w:tcPr>
            <w:tcW w:w="1295" w:type="dxa"/>
            <w:tcBorders>
              <w:bottom w:val="nil"/>
            </w:tcBorders>
          </w:tcPr>
          <w:p w14:paraId="61C06A3F" w14:textId="77777777" w:rsidR="004C11B6" w:rsidRDefault="00F05A0C">
            <w:pPr>
              <w:pStyle w:val="TableParagraph"/>
              <w:spacing w:before="51" w:line="233" w:lineRule="exact"/>
              <w:ind w:left="169" w:right="156"/>
              <w:jc w:val="center"/>
            </w:pPr>
            <w:r>
              <w:t>8</w:t>
            </w:r>
            <w:r>
              <w:rPr>
                <w:spacing w:val="-3"/>
              </w:rPr>
              <w:t xml:space="preserve"> </w:t>
            </w:r>
            <w:r>
              <w:t>(1,0)</w:t>
            </w:r>
          </w:p>
        </w:tc>
        <w:tc>
          <w:tcPr>
            <w:tcW w:w="1367" w:type="dxa"/>
            <w:tcBorders>
              <w:bottom w:val="nil"/>
            </w:tcBorders>
          </w:tcPr>
          <w:p w14:paraId="2DB8E228" w14:textId="77777777" w:rsidR="004C11B6" w:rsidRDefault="00F05A0C">
            <w:pPr>
              <w:pStyle w:val="TableParagraph"/>
              <w:spacing w:before="51" w:line="233" w:lineRule="exact"/>
              <w:ind w:left="231" w:right="215"/>
              <w:jc w:val="center"/>
            </w:pPr>
            <w:r>
              <w:t>53</w:t>
            </w:r>
            <w:r>
              <w:rPr>
                <w:spacing w:val="-3"/>
              </w:rPr>
              <w:t xml:space="preserve"> </w:t>
            </w:r>
            <w:r>
              <w:t>(6,4)</w:t>
            </w:r>
          </w:p>
        </w:tc>
        <w:tc>
          <w:tcPr>
            <w:tcW w:w="1866" w:type="dxa"/>
            <w:tcBorders>
              <w:bottom w:val="nil"/>
            </w:tcBorders>
          </w:tcPr>
          <w:p w14:paraId="28C8E842" w14:textId="77777777" w:rsidR="004C11B6" w:rsidRDefault="00F05A0C">
            <w:pPr>
              <w:pStyle w:val="TableParagraph"/>
              <w:spacing w:before="51" w:line="233" w:lineRule="exact"/>
              <w:ind w:left="365" w:right="346"/>
              <w:jc w:val="center"/>
            </w:pPr>
            <w:r>
              <w:t>0,11</w:t>
            </w:r>
          </w:p>
        </w:tc>
        <w:tc>
          <w:tcPr>
            <w:tcW w:w="1981" w:type="dxa"/>
            <w:tcBorders>
              <w:bottom w:val="nil"/>
            </w:tcBorders>
          </w:tcPr>
          <w:p w14:paraId="3E82E9A5" w14:textId="77777777" w:rsidR="004C11B6" w:rsidRDefault="00F05A0C">
            <w:pPr>
              <w:pStyle w:val="TableParagraph"/>
              <w:spacing w:before="51" w:line="233" w:lineRule="exact"/>
              <w:ind w:left="423" w:right="402"/>
              <w:jc w:val="center"/>
            </w:pPr>
            <w:r>
              <w:t>0,15</w:t>
            </w:r>
          </w:p>
        </w:tc>
      </w:tr>
      <w:tr w:rsidR="004C11B6" w14:paraId="579140E2" w14:textId="77777777" w:rsidTr="002367F7">
        <w:trPr>
          <w:trHeight w:val="422"/>
        </w:trPr>
        <w:tc>
          <w:tcPr>
            <w:tcW w:w="1664" w:type="dxa"/>
            <w:tcBorders>
              <w:top w:val="nil"/>
            </w:tcBorders>
          </w:tcPr>
          <w:p w14:paraId="1A82E416" w14:textId="77777777" w:rsidR="004C11B6" w:rsidRDefault="00F05A0C">
            <w:pPr>
              <w:pStyle w:val="TableParagraph"/>
              <w:spacing w:line="244" w:lineRule="exact"/>
              <w:ind w:left="107"/>
              <w:rPr>
                <w:sz w:val="14"/>
              </w:rPr>
            </w:pPr>
            <w:r>
              <w:t>MVT</w:t>
            </w:r>
            <w:r>
              <w:rPr>
                <w:position w:val="7"/>
                <w:sz w:val="14"/>
              </w:rPr>
              <w:t>†</w:t>
            </w:r>
          </w:p>
        </w:tc>
        <w:tc>
          <w:tcPr>
            <w:tcW w:w="1281" w:type="dxa"/>
            <w:tcBorders>
              <w:top w:val="nil"/>
            </w:tcBorders>
          </w:tcPr>
          <w:p w14:paraId="2A74D472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295" w:type="dxa"/>
            <w:tcBorders>
              <w:top w:val="nil"/>
            </w:tcBorders>
          </w:tcPr>
          <w:p w14:paraId="5F06D295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367" w:type="dxa"/>
            <w:tcBorders>
              <w:top w:val="nil"/>
            </w:tcBorders>
          </w:tcPr>
          <w:p w14:paraId="23C98EAC" w14:textId="77777777" w:rsidR="004C11B6" w:rsidRDefault="004C11B6">
            <w:pPr>
              <w:pStyle w:val="TableParagraph"/>
              <w:rPr>
                <w:sz w:val="20"/>
              </w:rPr>
            </w:pPr>
          </w:p>
        </w:tc>
        <w:tc>
          <w:tcPr>
            <w:tcW w:w="1866" w:type="dxa"/>
            <w:tcBorders>
              <w:top w:val="nil"/>
            </w:tcBorders>
          </w:tcPr>
          <w:p w14:paraId="06732F95" w14:textId="77777777" w:rsidR="004C11B6" w:rsidRDefault="00F05A0C">
            <w:pPr>
              <w:pStyle w:val="TableParagraph"/>
              <w:spacing w:before="111"/>
              <w:ind w:left="365" w:right="347"/>
              <w:jc w:val="center"/>
            </w:pPr>
            <w:r>
              <w:t>(0,05;</w:t>
            </w:r>
            <w:r>
              <w:rPr>
                <w:spacing w:val="-4"/>
              </w:rPr>
              <w:t xml:space="preserve"> </w:t>
            </w:r>
            <w:r>
              <w:t>0,26)</w:t>
            </w:r>
          </w:p>
        </w:tc>
        <w:tc>
          <w:tcPr>
            <w:tcW w:w="1981" w:type="dxa"/>
            <w:tcBorders>
              <w:top w:val="nil"/>
            </w:tcBorders>
          </w:tcPr>
          <w:p w14:paraId="0BF52B78" w14:textId="77777777" w:rsidR="004C11B6" w:rsidRDefault="00F05A0C">
            <w:pPr>
              <w:pStyle w:val="TableParagraph"/>
              <w:spacing w:before="111"/>
              <w:ind w:left="422" w:right="402"/>
              <w:jc w:val="center"/>
            </w:pPr>
            <w:r>
              <w:t>(0,07;</w:t>
            </w:r>
            <w:r>
              <w:rPr>
                <w:spacing w:val="-4"/>
              </w:rPr>
              <w:t xml:space="preserve"> </w:t>
            </w:r>
            <w:r>
              <w:t>0,32)</w:t>
            </w:r>
          </w:p>
        </w:tc>
      </w:tr>
      <w:tr w:rsidR="004C11B6" w14:paraId="4B06031C" w14:textId="77777777" w:rsidTr="002367F7">
        <w:trPr>
          <w:trHeight w:val="729"/>
        </w:trPr>
        <w:tc>
          <w:tcPr>
            <w:tcW w:w="1664" w:type="dxa"/>
          </w:tcPr>
          <w:p w14:paraId="7A72F0F8" w14:textId="77777777" w:rsidR="004C11B6" w:rsidRDefault="00F05A0C">
            <w:pPr>
              <w:pStyle w:val="TableParagraph"/>
              <w:spacing w:before="57" w:line="232" w:lineRule="auto"/>
              <w:ind w:left="107" w:right="283"/>
              <w:rPr>
                <w:sz w:val="14"/>
              </w:rPr>
            </w:pPr>
            <w:r>
              <w:t>Nem halálos</w:t>
            </w:r>
            <w:r>
              <w:rPr>
                <w:spacing w:val="-52"/>
              </w:rPr>
              <w:t xml:space="preserve"> </w:t>
            </w:r>
            <w:r>
              <w:t>PE</w:t>
            </w:r>
            <w:r>
              <w:rPr>
                <w:position w:val="7"/>
                <w:sz w:val="14"/>
              </w:rPr>
              <w:t>†</w:t>
            </w:r>
          </w:p>
        </w:tc>
        <w:tc>
          <w:tcPr>
            <w:tcW w:w="1281" w:type="dxa"/>
          </w:tcPr>
          <w:p w14:paraId="26935640" w14:textId="77777777" w:rsidR="004C11B6" w:rsidRDefault="00F05A0C">
            <w:pPr>
              <w:pStyle w:val="TableParagraph"/>
              <w:spacing w:before="53"/>
              <w:ind w:left="161" w:right="149"/>
              <w:jc w:val="center"/>
            </w:pPr>
            <w:r>
              <w:t>8</w:t>
            </w:r>
            <w:r>
              <w:rPr>
                <w:spacing w:val="-3"/>
              </w:rPr>
              <w:t xml:space="preserve"> </w:t>
            </w:r>
            <w:r>
              <w:t>(1,0)</w:t>
            </w:r>
          </w:p>
        </w:tc>
        <w:tc>
          <w:tcPr>
            <w:tcW w:w="1295" w:type="dxa"/>
          </w:tcPr>
          <w:p w14:paraId="7D60AE56" w14:textId="77777777" w:rsidR="004C11B6" w:rsidRDefault="00F05A0C">
            <w:pPr>
              <w:pStyle w:val="TableParagraph"/>
              <w:spacing w:before="53"/>
              <w:ind w:left="169" w:right="156"/>
              <w:jc w:val="center"/>
            </w:pPr>
            <w:r>
              <w:t>4</w:t>
            </w:r>
            <w:r>
              <w:rPr>
                <w:spacing w:val="-3"/>
              </w:rPr>
              <w:t xml:space="preserve"> </w:t>
            </w:r>
            <w:r>
              <w:t>(0,5)</w:t>
            </w:r>
          </w:p>
        </w:tc>
        <w:tc>
          <w:tcPr>
            <w:tcW w:w="1367" w:type="dxa"/>
          </w:tcPr>
          <w:p w14:paraId="010D1853" w14:textId="77777777" w:rsidR="004C11B6" w:rsidRDefault="00F05A0C">
            <w:pPr>
              <w:pStyle w:val="TableParagraph"/>
              <w:spacing w:before="53"/>
              <w:ind w:left="231" w:right="215"/>
              <w:jc w:val="center"/>
            </w:pPr>
            <w:r>
              <w:t>15</w:t>
            </w:r>
            <w:r>
              <w:rPr>
                <w:spacing w:val="-3"/>
              </w:rPr>
              <w:t xml:space="preserve"> </w:t>
            </w:r>
            <w:r>
              <w:t>(1,8)</w:t>
            </w:r>
          </w:p>
        </w:tc>
        <w:tc>
          <w:tcPr>
            <w:tcW w:w="1866" w:type="dxa"/>
          </w:tcPr>
          <w:p w14:paraId="6E6ADE06" w14:textId="77777777" w:rsidR="004C11B6" w:rsidRDefault="00F05A0C">
            <w:pPr>
              <w:pStyle w:val="TableParagraph"/>
              <w:spacing w:before="53"/>
              <w:ind w:left="365" w:right="346"/>
              <w:jc w:val="center"/>
            </w:pPr>
            <w:r>
              <w:t>0,51</w:t>
            </w:r>
          </w:p>
          <w:p w14:paraId="14D47D07" w14:textId="77777777" w:rsidR="004C11B6" w:rsidRDefault="00F05A0C">
            <w:pPr>
              <w:pStyle w:val="TableParagraph"/>
              <w:spacing w:before="110"/>
              <w:ind w:left="365" w:right="347"/>
              <w:jc w:val="center"/>
            </w:pPr>
            <w:r>
              <w:t>(0,22;</w:t>
            </w:r>
            <w:r>
              <w:rPr>
                <w:spacing w:val="-4"/>
              </w:rPr>
              <w:t xml:space="preserve"> </w:t>
            </w:r>
            <w:r>
              <w:t>1,21)</w:t>
            </w:r>
          </w:p>
        </w:tc>
        <w:tc>
          <w:tcPr>
            <w:tcW w:w="1981" w:type="dxa"/>
          </w:tcPr>
          <w:p w14:paraId="36CD2353" w14:textId="77777777" w:rsidR="004C11B6" w:rsidRDefault="00F05A0C">
            <w:pPr>
              <w:pStyle w:val="TableParagraph"/>
              <w:spacing w:before="53"/>
              <w:ind w:left="423" w:right="402"/>
              <w:jc w:val="center"/>
            </w:pPr>
            <w:r>
              <w:t>0,27</w:t>
            </w:r>
          </w:p>
          <w:p w14:paraId="76D10050" w14:textId="77777777" w:rsidR="004C11B6" w:rsidRDefault="00F05A0C">
            <w:pPr>
              <w:pStyle w:val="TableParagraph"/>
              <w:spacing w:before="110"/>
              <w:ind w:left="422" w:right="402"/>
              <w:jc w:val="center"/>
            </w:pPr>
            <w:r>
              <w:t>(0,09;</w:t>
            </w:r>
            <w:r>
              <w:rPr>
                <w:spacing w:val="-4"/>
              </w:rPr>
              <w:t xml:space="preserve"> </w:t>
            </w:r>
            <w:r>
              <w:t>0,80)</w:t>
            </w:r>
          </w:p>
        </w:tc>
      </w:tr>
      <w:tr w:rsidR="004C11B6" w14:paraId="5FF8E1F6" w14:textId="77777777" w:rsidTr="002367F7">
        <w:trPr>
          <w:trHeight w:val="851"/>
        </w:trPr>
        <w:tc>
          <w:tcPr>
            <w:tcW w:w="1664" w:type="dxa"/>
          </w:tcPr>
          <w:p w14:paraId="40B2215D" w14:textId="77777777" w:rsidR="004C11B6" w:rsidRDefault="00F05A0C">
            <w:pPr>
              <w:pStyle w:val="TableParagraph"/>
              <w:spacing w:before="55" w:line="232" w:lineRule="auto"/>
              <w:ind w:left="107" w:right="409"/>
            </w:pPr>
            <w:r>
              <w:t>VTE-vel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összefüggő</w:t>
            </w:r>
            <w:r>
              <w:rPr>
                <w:spacing w:val="-52"/>
              </w:rPr>
              <w:t xml:space="preserve"> </w:t>
            </w:r>
            <w:r>
              <w:t>halálozás</w:t>
            </w:r>
          </w:p>
        </w:tc>
        <w:tc>
          <w:tcPr>
            <w:tcW w:w="1281" w:type="dxa"/>
          </w:tcPr>
          <w:p w14:paraId="0CB6BE9C" w14:textId="77777777" w:rsidR="004C11B6" w:rsidRDefault="00F05A0C">
            <w:pPr>
              <w:pStyle w:val="TableParagraph"/>
              <w:spacing w:before="51"/>
              <w:ind w:left="161" w:right="149"/>
              <w:jc w:val="center"/>
            </w:pPr>
            <w:r>
              <w:t>2</w:t>
            </w:r>
            <w:r>
              <w:rPr>
                <w:spacing w:val="-3"/>
              </w:rPr>
              <w:t xml:space="preserve"> </w:t>
            </w:r>
            <w:r>
              <w:t>(0,2)</w:t>
            </w:r>
          </w:p>
        </w:tc>
        <w:tc>
          <w:tcPr>
            <w:tcW w:w="1295" w:type="dxa"/>
          </w:tcPr>
          <w:p w14:paraId="59BB27A2" w14:textId="77777777" w:rsidR="004C11B6" w:rsidRDefault="00F05A0C">
            <w:pPr>
              <w:pStyle w:val="TableParagraph"/>
              <w:spacing w:before="51"/>
              <w:ind w:left="169" w:right="156"/>
              <w:jc w:val="center"/>
            </w:pPr>
            <w:r>
              <w:t>3</w:t>
            </w:r>
            <w:r>
              <w:rPr>
                <w:spacing w:val="-3"/>
              </w:rPr>
              <w:t xml:space="preserve"> </w:t>
            </w:r>
            <w:r>
              <w:t>(0,4)</w:t>
            </w:r>
          </w:p>
        </w:tc>
        <w:tc>
          <w:tcPr>
            <w:tcW w:w="1367" w:type="dxa"/>
          </w:tcPr>
          <w:p w14:paraId="7BEC5E32" w14:textId="77777777" w:rsidR="004C11B6" w:rsidRDefault="00F05A0C">
            <w:pPr>
              <w:pStyle w:val="TableParagraph"/>
              <w:spacing w:before="51"/>
              <w:ind w:left="231" w:right="216"/>
              <w:jc w:val="center"/>
            </w:pPr>
            <w:r>
              <w:t>7</w:t>
            </w:r>
            <w:r>
              <w:rPr>
                <w:spacing w:val="-3"/>
              </w:rPr>
              <w:t xml:space="preserve"> </w:t>
            </w:r>
            <w:r>
              <w:t>(0,8)</w:t>
            </w:r>
          </w:p>
        </w:tc>
        <w:tc>
          <w:tcPr>
            <w:tcW w:w="1866" w:type="dxa"/>
          </w:tcPr>
          <w:p w14:paraId="35E69708" w14:textId="77777777" w:rsidR="004C11B6" w:rsidRDefault="00F05A0C">
            <w:pPr>
              <w:pStyle w:val="TableParagraph"/>
              <w:spacing w:before="51"/>
              <w:ind w:left="365" w:right="346"/>
              <w:jc w:val="center"/>
            </w:pPr>
            <w:r>
              <w:t>0,28</w:t>
            </w:r>
          </w:p>
          <w:p w14:paraId="6A3CD2EA" w14:textId="77777777" w:rsidR="004C11B6" w:rsidRDefault="00F05A0C">
            <w:pPr>
              <w:pStyle w:val="TableParagraph"/>
              <w:spacing w:before="109"/>
              <w:ind w:left="365" w:right="347"/>
              <w:jc w:val="center"/>
            </w:pPr>
            <w:r>
              <w:t>(0,06;</w:t>
            </w:r>
            <w:r>
              <w:rPr>
                <w:spacing w:val="-4"/>
              </w:rPr>
              <w:t xml:space="preserve"> </w:t>
            </w:r>
            <w:r>
              <w:t>1,37)</w:t>
            </w:r>
          </w:p>
        </w:tc>
        <w:tc>
          <w:tcPr>
            <w:tcW w:w="1981" w:type="dxa"/>
          </w:tcPr>
          <w:p w14:paraId="3A744003" w14:textId="77777777" w:rsidR="004C11B6" w:rsidRDefault="00F05A0C">
            <w:pPr>
              <w:pStyle w:val="TableParagraph"/>
              <w:spacing w:before="51"/>
              <w:ind w:left="423" w:right="402"/>
              <w:jc w:val="center"/>
            </w:pPr>
            <w:r>
              <w:t>0,45</w:t>
            </w:r>
          </w:p>
          <w:p w14:paraId="18C8873D" w14:textId="77777777" w:rsidR="004C11B6" w:rsidRDefault="00F05A0C">
            <w:pPr>
              <w:pStyle w:val="TableParagraph"/>
              <w:spacing w:before="109"/>
              <w:ind w:left="422" w:right="402"/>
              <w:jc w:val="center"/>
            </w:pPr>
            <w:r>
              <w:t>(0,12;</w:t>
            </w:r>
            <w:r>
              <w:rPr>
                <w:spacing w:val="-2"/>
              </w:rPr>
              <w:t xml:space="preserve"> </w:t>
            </w:r>
            <w:r>
              <w:t>1,71)</w:t>
            </w:r>
          </w:p>
        </w:tc>
      </w:tr>
    </w:tbl>
    <w:p w14:paraId="6A017A0C" w14:textId="77777777" w:rsidR="004C11B6" w:rsidRDefault="00F05A0C" w:rsidP="00053662">
      <w:pPr>
        <w:spacing w:line="222" w:lineRule="exact"/>
        <w:rPr>
          <w:sz w:val="20"/>
        </w:rPr>
      </w:pPr>
      <w:r>
        <w:rPr>
          <w:sz w:val="20"/>
        </w:rPr>
        <w:t>¥</w:t>
      </w:r>
      <w:r>
        <w:rPr>
          <w:spacing w:val="-1"/>
          <w:sz w:val="20"/>
        </w:rPr>
        <w:t xml:space="preserve"> </w:t>
      </w:r>
      <w:r>
        <w:rPr>
          <w:sz w:val="20"/>
        </w:rPr>
        <w:t>p-érték</w:t>
      </w:r>
      <w:r>
        <w:rPr>
          <w:spacing w:val="-1"/>
          <w:sz w:val="20"/>
        </w:rPr>
        <w:t xml:space="preserve"> </w:t>
      </w:r>
      <w:r>
        <w:rPr>
          <w:sz w:val="20"/>
        </w:rPr>
        <w:t>&lt;</w:t>
      </w:r>
      <w:r>
        <w:rPr>
          <w:spacing w:val="-2"/>
          <w:sz w:val="20"/>
        </w:rPr>
        <w:t xml:space="preserve"> </w:t>
      </w:r>
      <w:r>
        <w:rPr>
          <w:sz w:val="20"/>
        </w:rPr>
        <w:t>0,0001</w:t>
      </w:r>
    </w:p>
    <w:p w14:paraId="55B41CD6" w14:textId="0BB24177" w:rsidR="004C11B6" w:rsidRDefault="00053662" w:rsidP="00053662">
      <w:pPr>
        <w:pStyle w:val="Listaszerbekezds"/>
        <w:spacing w:before="3" w:line="230" w:lineRule="auto"/>
        <w:ind w:left="142" w:right="741" w:hanging="142"/>
        <w:rPr>
          <w:sz w:val="20"/>
        </w:rPr>
      </w:pPr>
      <w:r>
        <w:rPr>
          <w:position w:val="7"/>
          <w:sz w:val="14"/>
        </w:rPr>
        <w:t>*</w:t>
      </w:r>
      <w:r w:rsidR="00F05A0C">
        <w:rPr>
          <w:sz w:val="20"/>
        </w:rPr>
        <w:t>Azoknál a betegeknél, akiknél az összetett végponthoz számított események közül több is előfordult,</w:t>
      </w:r>
      <w:r>
        <w:rPr>
          <w:sz w:val="20"/>
        </w:rPr>
        <w:t xml:space="preserve"> </w:t>
      </w:r>
      <w:r w:rsidR="00F05A0C">
        <w:rPr>
          <w:sz w:val="20"/>
        </w:rPr>
        <w:t>csak az</w:t>
      </w:r>
      <w:r w:rsidR="00F05A0C" w:rsidRPr="00363C37">
        <w:rPr>
          <w:sz w:val="20"/>
        </w:rPr>
        <w:t xml:space="preserve"> </w:t>
      </w:r>
      <w:r w:rsidR="00F05A0C">
        <w:rPr>
          <w:sz w:val="20"/>
        </w:rPr>
        <w:t>első eseményt jelentették (ha például egy betegnél MVT, majd egy PE is előfordult, akkor csak az MVT-t</w:t>
      </w:r>
      <w:r w:rsidR="00F05A0C">
        <w:rPr>
          <w:spacing w:val="1"/>
          <w:sz w:val="20"/>
        </w:rPr>
        <w:t xml:space="preserve"> </w:t>
      </w:r>
      <w:r w:rsidR="00F05A0C">
        <w:rPr>
          <w:sz w:val="20"/>
        </w:rPr>
        <w:t>jelentették).</w:t>
      </w:r>
    </w:p>
    <w:p w14:paraId="79C32EF5" w14:textId="77777777" w:rsidR="004C11B6" w:rsidRDefault="00F05A0C" w:rsidP="00053662">
      <w:pPr>
        <w:spacing w:before="26"/>
        <w:rPr>
          <w:sz w:val="20"/>
        </w:rPr>
      </w:pPr>
      <w:r>
        <w:rPr>
          <w:sz w:val="20"/>
        </w:rPr>
        <w:t>†</w:t>
      </w:r>
      <w:r>
        <w:rPr>
          <w:spacing w:val="-2"/>
          <w:sz w:val="20"/>
        </w:rPr>
        <w:t xml:space="preserve"> </w:t>
      </w:r>
      <w:r>
        <w:rPr>
          <w:sz w:val="20"/>
        </w:rPr>
        <w:t>Az</w:t>
      </w:r>
      <w:r>
        <w:rPr>
          <w:spacing w:val="-3"/>
          <w:sz w:val="20"/>
        </w:rPr>
        <w:t xml:space="preserve"> </w:t>
      </w:r>
      <w:r>
        <w:rPr>
          <w:sz w:val="20"/>
        </w:rPr>
        <w:t>egyes</w:t>
      </w:r>
      <w:r>
        <w:rPr>
          <w:spacing w:val="-2"/>
          <w:sz w:val="20"/>
        </w:rPr>
        <w:t xml:space="preserve"> </w:t>
      </w:r>
      <w:r>
        <w:rPr>
          <w:sz w:val="20"/>
        </w:rPr>
        <w:t>betegeknél</w:t>
      </w:r>
      <w:r>
        <w:rPr>
          <w:spacing w:val="-3"/>
          <w:sz w:val="20"/>
        </w:rPr>
        <w:t xml:space="preserve"> </w:t>
      </w:r>
      <w:r>
        <w:rPr>
          <w:sz w:val="20"/>
        </w:rPr>
        <w:t>több</w:t>
      </w:r>
      <w:r>
        <w:rPr>
          <w:spacing w:val="-2"/>
          <w:sz w:val="20"/>
        </w:rPr>
        <w:t xml:space="preserve"> </w:t>
      </w:r>
      <w:r>
        <w:rPr>
          <w:sz w:val="20"/>
        </w:rPr>
        <w:t>esemény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bekövetkezhetett,</w:t>
      </w:r>
      <w:r>
        <w:rPr>
          <w:spacing w:val="-2"/>
          <w:sz w:val="20"/>
        </w:rPr>
        <w:t xml:space="preserve"> </w:t>
      </w:r>
      <w:r>
        <w:rPr>
          <w:sz w:val="20"/>
        </w:rPr>
        <w:t>ezért mindkét</w:t>
      </w:r>
      <w:r>
        <w:rPr>
          <w:spacing w:val="-3"/>
          <w:sz w:val="20"/>
        </w:rPr>
        <w:t xml:space="preserve"> </w:t>
      </w:r>
      <w:r>
        <w:rPr>
          <w:sz w:val="20"/>
        </w:rPr>
        <w:t>kategóriába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lehetett</w:t>
      </w:r>
      <w:r>
        <w:rPr>
          <w:spacing w:val="-2"/>
          <w:sz w:val="20"/>
        </w:rPr>
        <w:t xml:space="preserve"> </w:t>
      </w:r>
      <w:r>
        <w:rPr>
          <w:sz w:val="20"/>
        </w:rPr>
        <w:t>sorolni</w:t>
      </w:r>
      <w:r>
        <w:rPr>
          <w:spacing w:val="-3"/>
          <w:sz w:val="20"/>
        </w:rPr>
        <w:t xml:space="preserve"> </w:t>
      </w:r>
      <w:r>
        <w:rPr>
          <w:sz w:val="20"/>
        </w:rPr>
        <w:t>őket.</w:t>
      </w:r>
    </w:p>
    <w:p w14:paraId="4FED5873" w14:textId="77777777" w:rsidR="004C11B6" w:rsidRDefault="004C11B6" w:rsidP="00053662">
      <w:pPr>
        <w:pStyle w:val="Szvegtrzs"/>
        <w:spacing w:before="2"/>
      </w:pPr>
    </w:p>
    <w:p w14:paraId="123F9885" w14:textId="6B3A135B" w:rsidR="004C11B6" w:rsidRDefault="00F05A0C" w:rsidP="00053662">
      <w:pPr>
        <w:pStyle w:val="Szvegtrzs"/>
      </w:pPr>
      <w:r>
        <w:t>Az</w:t>
      </w:r>
      <w:r>
        <w:rPr>
          <w:spacing w:val="-6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megtartotta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kiújuló</w:t>
      </w:r>
      <w:r>
        <w:rPr>
          <w:spacing w:val="-4"/>
        </w:rPr>
        <w:t xml:space="preserve"> </w:t>
      </w:r>
      <w:r>
        <w:t>VTE</w:t>
      </w:r>
      <w:r>
        <w:rPr>
          <w:spacing w:val="-5"/>
        </w:rPr>
        <w:t xml:space="preserve"> </w:t>
      </w:r>
      <w:r>
        <w:t>prevenciójában</w:t>
      </w:r>
      <w:r>
        <w:rPr>
          <w:spacing w:val="-4"/>
        </w:rPr>
        <w:t xml:space="preserve"> </w:t>
      </w:r>
      <w:r>
        <w:t>mutatott</w:t>
      </w:r>
      <w:r>
        <w:rPr>
          <w:spacing w:val="-3"/>
        </w:rPr>
        <w:t xml:space="preserve"> </w:t>
      </w:r>
      <w:r>
        <w:t>hatásosságát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egyes</w:t>
      </w:r>
      <w:r>
        <w:rPr>
          <w:spacing w:val="-5"/>
        </w:rPr>
        <w:t xml:space="preserve"> </w:t>
      </w:r>
      <w:r>
        <w:t>alcsoportokban</w:t>
      </w:r>
      <w:r w:rsidR="00053662">
        <w:t xml:space="preserve"> </w:t>
      </w:r>
      <w:r>
        <w:t>így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életkor,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nem,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testtömegindex</w:t>
      </w:r>
      <w:r>
        <w:rPr>
          <w:spacing w:val="-3"/>
        </w:rPr>
        <w:t xml:space="preserve"> </w:t>
      </w:r>
      <w:r>
        <w:t>(BMI)</w:t>
      </w:r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vesefunkció</w:t>
      </w:r>
      <w:r>
        <w:rPr>
          <w:spacing w:val="-4"/>
        </w:rPr>
        <w:t xml:space="preserve"> </w:t>
      </w:r>
      <w:r>
        <w:t>szerinti</w:t>
      </w:r>
      <w:r>
        <w:rPr>
          <w:spacing w:val="-3"/>
        </w:rPr>
        <w:t xml:space="preserve"> </w:t>
      </w:r>
      <w:r>
        <w:t>alcsoportokban.</w:t>
      </w:r>
    </w:p>
    <w:p w14:paraId="2CCAD140" w14:textId="77777777" w:rsidR="004C11B6" w:rsidRDefault="004C11B6" w:rsidP="00053662">
      <w:pPr>
        <w:pStyle w:val="Szvegtrzs"/>
        <w:spacing w:before="4"/>
        <w:rPr>
          <w:sz w:val="21"/>
        </w:rPr>
      </w:pPr>
    </w:p>
    <w:p w14:paraId="3E9F5D86" w14:textId="5ECB9F31" w:rsidR="004C11B6" w:rsidRDefault="00F05A0C" w:rsidP="00053662">
      <w:pPr>
        <w:pStyle w:val="Szvegtrzs"/>
        <w:spacing w:line="230" w:lineRule="auto"/>
      </w:pPr>
      <w:r>
        <w:t>Az elsődleges biztonságossági végpont a kezelési időszak alatti nagyfokú vérzés volt. A vizsgálatban a</w:t>
      </w:r>
      <w:r>
        <w:rPr>
          <w:spacing w:val="-52"/>
        </w:rPr>
        <w:t xml:space="preserve"> </w:t>
      </w:r>
      <w:r>
        <w:t>nagyfokú vérzés előfordulási gyakorisága egyik apixabán dózis esetén sem különbözött statisztikailag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placebo</w:t>
      </w:r>
      <w:r>
        <w:rPr>
          <w:spacing w:val="-5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észlelttől.</w:t>
      </w:r>
      <w:r>
        <w:rPr>
          <w:spacing w:val="-4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statisztikailag</w:t>
      </w:r>
      <w:r>
        <w:rPr>
          <w:spacing w:val="-3"/>
        </w:rPr>
        <w:t xml:space="preserve"> </w:t>
      </w:r>
      <w:r>
        <w:t>szignifikáns</w:t>
      </w:r>
      <w:r>
        <w:rPr>
          <w:spacing w:val="-4"/>
        </w:rPr>
        <w:t xml:space="preserve"> </w:t>
      </w:r>
      <w:r>
        <w:t>különbség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nagyfokú</w:t>
      </w:r>
      <w:r>
        <w:rPr>
          <w:spacing w:val="-3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klinikailag</w:t>
      </w:r>
      <w:r w:rsidR="00053662">
        <w:t xml:space="preserve"> </w:t>
      </w:r>
      <w:r>
        <w:t>jelentős, de nem nagyfokú (CRNM), továbbá a kisfokú és az összes vérzés előfordulási gyakorisága</w:t>
      </w:r>
      <w:r>
        <w:rPr>
          <w:spacing w:val="-52"/>
        </w:rPr>
        <w:t xml:space="preserve"> </w:t>
      </w:r>
      <w:r>
        <w:t>között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2,5</w:t>
      </w:r>
      <w:r w:rsidR="00A2194D">
        <w:rPr>
          <w:spacing w:val="-3"/>
        </w:rPr>
        <w:t> </w:t>
      </w:r>
      <w:r>
        <w:t>mg</w:t>
      </w:r>
      <w:r>
        <w:rPr>
          <w:spacing w:val="-4"/>
        </w:rPr>
        <w:t xml:space="preserve"> </w:t>
      </w:r>
      <w:r>
        <w:t>apixabán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placebo</w:t>
      </w:r>
      <w:r>
        <w:rPr>
          <w:spacing w:val="-3"/>
        </w:rPr>
        <w:t xml:space="preserve"> </w:t>
      </w:r>
      <w:r>
        <w:t>terápiás</w:t>
      </w:r>
      <w:r>
        <w:rPr>
          <w:spacing w:val="-2"/>
        </w:rPr>
        <w:t xml:space="preserve"> </w:t>
      </w:r>
      <w:r>
        <w:t>csoportok</w:t>
      </w:r>
      <w:r>
        <w:rPr>
          <w:spacing w:val="-3"/>
        </w:rPr>
        <w:t xml:space="preserve"> </w:t>
      </w:r>
      <w:r>
        <w:t>között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11.</w:t>
      </w:r>
      <w:r>
        <w:rPr>
          <w:spacing w:val="-5"/>
        </w:rPr>
        <w:t xml:space="preserve"> </w:t>
      </w:r>
      <w:r>
        <w:t>táblázat).</w:t>
      </w:r>
    </w:p>
    <w:p w14:paraId="02D3C23D" w14:textId="77777777" w:rsidR="004C11B6" w:rsidRDefault="004C11B6" w:rsidP="00053662">
      <w:pPr>
        <w:pStyle w:val="Szvegtrzs"/>
        <w:spacing w:before="5"/>
        <w:rPr>
          <w:sz w:val="20"/>
        </w:rPr>
      </w:pPr>
    </w:p>
    <w:p w14:paraId="10CF487F" w14:textId="425A89EB" w:rsidR="004C11B6" w:rsidRDefault="00053662" w:rsidP="00053662">
      <w:pPr>
        <w:pStyle w:val="Cmsor2"/>
        <w:numPr>
          <w:ilvl w:val="0"/>
          <w:numId w:val="47"/>
        </w:numPr>
        <w:ind w:left="284" w:hanging="284"/>
      </w:pPr>
      <w:r>
        <w:t xml:space="preserve"> </w:t>
      </w:r>
      <w:r w:rsidR="00F05A0C">
        <w:t>táblázat:</w:t>
      </w:r>
      <w:r w:rsidR="00F05A0C">
        <w:rPr>
          <w:spacing w:val="-5"/>
        </w:rPr>
        <w:t xml:space="preserve"> </w:t>
      </w:r>
      <w:r w:rsidR="00F05A0C">
        <w:t>Az</w:t>
      </w:r>
      <w:r w:rsidR="00F05A0C">
        <w:rPr>
          <w:spacing w:val="-4"/>
        </w:rPr>
        <w:t xml:space="preserve"> </w:t>
      </w:r>
      <w:r w:rsidR="00F05A0C">
        <w:t>AMPLIFY-EXT</w:t>
      </w:r>
      <w:r w:rsidR="00F05A0C">
        <w:rPr>
          <w:spacing w:val="-4"/>
        </w:rPr>
        <w:t xml:space="preserve"> </w:t>
      </w:r>
      <w:r w:rsidR="00F05A0C">
        <w:t>vizsgálat</w:t>
      </w:r>
      <w:r w:rsidR="00F05A0C">
        <w:rPr>
          <w:spacing w:val="-5"/>
        </w:rPr>
        <w:t xml:space="preserve"> </w:t>
      </w:r>
      <w:r w:rsidR="00F05A0C">
        <w:t>vérzési</w:t>
      </w:r>
      <w:r w:rsidR="00F05A0C">
        <w:rPr>
          <w:spacing w:val="-4"/>
        </w:rPr>
        <w:t xml:space="preserve"> </w:t>
      </w:r>
      <w:r w:rsidR="00F05A0C">
        <w:t>eredményei</w:t>
      </w:r>
    </w:p>
    <w:tbl>
      <w:tblPr>
        <w:tblW w:w="969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6"/>
        <w:gridCol w:w="1368"/>
        <w:gridCol w:w="1368"/>
        <w:gridCol w:w="1368"/>
        <w:gridCol w:w="1927"/>
        <w:gridCol w:w="2160"/>
      </w:tblGrid>
      <w:tr w:rsidR="004C11B6" w14:paraId="61ACD082" w14:textId="77777777" w:rsidTr="00053662">
        <w:trPr>
          <w:trHeight w:val="362"/>
        </w:trPr>
        <w:tc>
          <w:tcPr>
            <w:tcW w:w="1506" w:type="dxa"/>
          </w:tcPr>
          <w:p w14:paraId="7B1CFBAA" w14:textId="77777777" w:rsidR="004C11B6" w:rsidRDefault="004C11B6">
            <w:pPr>
              <w:pStyle w:val="TableParagraph"/>
            </w:pPr>
          </w:p>
        </w:tc>
        <w:tc>
          <w:tcPr>
            <w:tcW w:w="1368" w:type="dxa"/>
          </w:tcPr>
          <w:p w14:paraId="21EF9D33" w14:textId="77777777" w:rsidR="004C11B6" w:rsidRDefault="00F05A0C">
            <w:pPr>
              <w:pStyle w:val="TableParagraph"/>
              <w:spacing w:before="51"/>
              <w:ind w:left="204" w:right="195"/>
              <w:jc w:val="center"/>
              <w:rPr>
                <w:b/>
              </w:rPr>
            </w:pPr>
            <w:r>
              <w:rPr>
                <w:b/>
              </w:rPr>
              <w:t>Apixabán</w:t>
            </w:r>
          </w:p>
        </w:tc>
        <w:tc>
          <w:tcPr>
            <w:tcW w:w="1368" w:type="dxa"/>
          </w:tcPr>
          <w:p w14:paraId="006E6B7F" w14:textId="77777777" w:rsidR="004C11B6" w:rsidRDefault="00F05A0C">
            <w:pPr>
              <w:pStyle w:val="TableParagraph"/>
              <w:spacing w:before="51"/>
              <w:ind w:right="214"/>
              <w:jc w:val="right"/>
              <w:rPr>
                <w:b/>
              </w:rPr>
            </w:pPr>
            <w:r>
              <w:rPr>
                <w:b/>
              </w:rPr>
              <w:t>Apixabán</w:t>
            </w:r>
          </w:p>
        </w:tc>
        <w:tc>
          <w:tcPr>
            <w:tcW w:w="1368" w:type="dxa"/>
          </w:tcPr>
          <w:p w14:paraId="271EA2EE" w14:textId="77777777" w:rsidR="004C11B6" w:rsidRDefault="00F05A0C">
            <w:pPr>
              <w:pStyle w:val="TableParagraph"/>
              <w:spacing w:before="51"/>
              <w:ind w:left="204" w:right="192"/>
              <w:jc w:val="center"/>
              <w:rPr>
                <w:b/>
              </w:rPr>
            </w:pPr>
            <w:r>
              <w:rPr>
                <w:b/>
              </w:rPr>
              <w:t>Placebo</w:t>
            </w:r>
          </w:p>
        </w:tc>
        <w:tc>
          <w:tcPr>
            <w:tcW w:w="4087" w:type="dxa"/>
            <w:gridSpan w:val="2"/>
          </w:tcPr>
          <w:p w14:paraId="5D5D5C5A" w14:textId="77777777" w:rsidR="004C11B6" w:rsidRDefault="00F05A0C">
            <w:pPr>
              <w:pStyle w:val="TableParagraph"/>
              <w:spacing w:before="51"/>
              <w:ind w:left="652"/>
              <w:rPr>
                <w:b/>
              </w:rPr>
            </w:pPr>
            <w:r>
              <w:rPr>
                <w:b/>
              </w:rPr>
              <w:t>Relatív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kockázat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(95%-os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CI)</w:t>
            </w:r>
          </w:p>
        </w:tc>
      </w:tr>
      <w:tr w:rsidR="004C11B6" w14:paraId="6CB63F23" w14:textId="77777777" w:rsidTr="00053662">
        <w:trPr>
          <w:trHeight w:val="726"/>
        </w:trPr>
        <w:tc>
          <w:tcPr>
            <w:tcW w:w="1506" w:type="dxa"/>
          </w:tcPr>
          <w:p w14:paraId="3DC7EB49" w14:textId="77777777" w:rsidR="004C11B6" w:rsidRDefault="004C11B6" w:rsidP="00053662">
            <w:pPr>
              <w:pStyle w:val="TableParagraph"/>
              <w:ind w:left="284" w:hanging="284"/>
            </w:pPr>
          </w:p>
        </w:tc>
        <w:tc>
          <w:tcPr>
            <w:tcW w:w="1368" w:type="dxa"/>
          </w:tcPr>
          <w:p w14:paraId="399A241D" w14:textId="44A6F610" w:rsidR="004C11B6" w:rsidRDefault="00F05A0C">
            <w:pPr>
              <w:pStyle w:val="TableParagraph"/>
              <w:spacing w:before="51"/>
              <w:ind w:left="204" w:right="192"/>
              <w:jc w:val="center"/>
              <w:rPr>
                <w:b/>
              </w:rPr>
            </w:pPr>
            <w:r>
              <w:rPr>
                <w:b/>
              </w:rPr>
              <w:t>2,5</w:t>
            </w:r>
            <w:r w:rsidR="00A2194D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69684925" w14:textId="77777777" w:rsidR="004C11B6" w:rsidRDefault="00F05A0C">
            <w:pPr>
              <w:pStyle w:val="TableParagraph"/>
              <w:spacing w:before="112"/>
              <w:ind w:left="204" w:right="194"/>
              <w:jc w:val="center"/>
            </w:pPr>
            <w:r>
              <w:t>(N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840)</w:t>
            </w:r>
          </w:p>
        </w:tc>
        <w:tc>
          <w:tcPr>
            <w:tcW w:w="1368" w:type="dxa"/>
          </w:tcPr>
          <w:p w14:paraId="60CAFDC3" w14:textId="543AA6CB" w:rsidR="004C11B6" w:rsidRDefault="00F05A0C">
            <w:pPr>
              <w:pStyle w:val="TableParagraph"/>
              <w:spacing w:before="51"/>
              <w:ind w:left="204" w:right="192"/>
              <w:jc w:val="center"/>
              <w:rPr>
                <w:b/>
              </w:rPr>
            </w:pPr>
            <w:r>
              <w:rPr>
                <w:b/>
              </w:rPr>
              <w:t>5,0</w:t>
            </w:r>
            <w:r w:rsidR="00A2194D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6675FC34" w14:textId="77777777" w:rsidR="004C11B6" w:rsidRDefault="00F05A0C">
            <w:pPr>
              <w:pStyle w:val="TableParagraph"/>
              <w:spacing w:before="112"/>
              <w:ind w:left="204" w:right="193"/>
              <w:jc w:val="center"/>
            </w:pPr>
            <w:r>
              <w:t>(N</w:t>
            </w:r>
            <w:r>
              <w:rPr>
                <w:spacing w:val="-1"/>
              </w:rPr>
              <w:t xml:space="preserve"> </w:t>
            </w:r>
            <w:r>
              <w:t>= 811)</w:t>
            </w:r>
          </w:p>
        </w:tc>
        <w:tc>
          <w:tcPr>
            <w:tcW w:w="1368" w:type="dxa"/>
          </w:tcPr>
          <w:p w14:paraId="575932FA" w14:textId="77777777" w:rsidR="004C11B6" w:rsidRDefault="004C11B6">
            <w:pPr>
              <w:pStyle w:val="TableParagraph"/>
              <w:rPr>
                <w:b/>
                <w:sz w:val="24"/>
              </w:rPr>
            </w:pPr>
          </w:p>
          <w:p w14:paraId="140583BB" w14:textId="77777777" w:rsidR="004C11B6" w:rsidRDefault="00F05A0C">
            <w:pPr>
              <w:pStyle w:val="TableParagraph"/>
              <w:spacing w:before="140"/>
              <w:ind w:left="204" w:right="193"/>
              <w:jc w:val="center"/>
            </w:pPr>
            <w:r>
              <w:t>(N</w:t>
            </w:r>
            <w:r>
              <w:rPr>
                <w:spacing w:val="-1"/>
              </w:rPr>
              <w:t xml:space="preserve"> </w:t>
            </w:r>
            <w:r>
              <w:t>= 826)</w:t>
            </w:r>
          </w:p>
        </w:tc>
        <w:tc>
          <w:tcPr>
            <w:tcW w:w="1927" w:type="dxa"/>
          </w:tcPr>
          <w:p w14:paraId="329B476B" w14:textId="691D918F" w:rsidR="004C11B6" w:rsidRDefault="00F05A0C">
            <w:pPr>
              <w:pStyle w:val="TableParagraph"/>
              <w:spacing w:before="51"/>
              <w:ind w:left="398"/>
              <w:rPr>
                <w:b/>
              </w:rPr>
            </w:pPr>
            <w:r>
              <w:rPr>
                <w:b/>
              </w:rPr>
              <w:t>Apix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2,5</w:t>
            </w:r>
            <w:r w:rsidR="00A2194D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0A0FAD57" w14:textId="77777777" w:rsidR="004C11B6" w:rsidRDefault="00F05A0C">
            <w:pPr>
              <w:pStyle w:val="TableParagraph"/>
              <w:spacing w:before="112"/>
              <w:ind w:left="467"/>
            </w:pPr>
            <w:r w:rsidRPr="00F162CB">
              <w:rPr>
                <w:i/>
              </w:rPr>
              <w:t>vs.</w:t>
            </w:r>
            <w:r>
              <w:rPr>
                <w:spacing w:val="-1"/>
              </w:rPr>
              <w:t xml:space="preserve"> </w:t>
            </w:r>
            <w:r>
              <w:t>placebo</w:t>
            </w:r>
          </w:p>
        </w:tc>
        <w:tc>
          <w:tcPr>
            <w:tcW w:w="2160" w:type="dxa"/>
          </w:tcPr>
          <w:p w14:paraId="16799170" w14:textId="2E6616A8" w:rsidR="004C11B6" w:rsidRDefault="00F05A0C">
            <w:pPr>
              <w:pStyle w:val="TableParagraph"/>
              <w:spacing w:before="51"/>
              <w:ind w:left="513"/>
              <w:rPr>
                <w:b/>
              </w:rPr>
            </w:pPr>
            <w:r>
              <w:rPr>
                <w:b/>
              </w:rPr>
              <w:t>Apix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5,0</w:t>
            </w:r>
            <w:r w:rsidR="00D7765B">
              <w:rPr>
                <w:b/>
              </w:rPr>
              <w:t> </w:t>
            </w:r>
            <w:r>
              <w:rPr>
                <w:b/>
              </w:rPr>
              <w:t>mg</w:t>
            </w:r>
          </w:p>
          <w:p w14:paraId="50CD3D51" w14:textId="77777777" w:rsidR="004C11B6" w:rsidRDefault="00F05A0C">
            <w:pPr>
              <w:pStyle w:val="TableParagraph"/>
              <w:spacing w:before="112"/>
              <w:ind w:left="585"/>
            </w:pPr>
            <w:r w:rsidRPr="00F162CB">
              <w:rPr>
                <w:i/>
              </w:rPr>
              <w:t>vs</w:t>
            </w:r>
            <w:r>
              <w:t>.</w:t>
            </w:r>
            <w:r>
              <w:rPr>
                <w:spacing w:val="-1"/>
              </w:rPr>
              <w:t xml:space="preserve"> </w:t>
            </w:r>
            <w:r>
              <w:t>placebo</w:t>
            </w:r>
          </w:p>
        </w:tc>
      </w:tr>
      <w:tr w:rsidR="004C11B6" w14:paraId="69D11557" w14:textId="77777777" w:rsidTr="00053662">
        <w:trPr>
          <w:trHeight w:val="364"/>
        </w:trPr>
        <w:tc>
          <w:tcPr>
            <w:tcW w:w="1506" w:type="dxa"/>
          </w:tcPr>
          <w:p w14:paraId="26A12571" w14:textId="77777777" w:rsidR="004C11B6" w:rsidRDefault="004C11B6">
            <w:pPr>
              <w:pStyle w:val="TableParagraph"/>
            </w:pPr>
          </w:p>
        </w:tc>
        <w:tc>
          <w:tcPr>
            <w:tcW w:w="1368" w:type="dxa"/>
          </w:tcPr>
          <w:p w14:paraId="0F26201E" w14:textId="77777777" w:rsidR="004C11B6" w:rsidRDefault="004C11B6">
            <w:pPr>
              <w:pStyle w:val="TableParagraph"/>
            </w:pPr>
          </w:p>
        </w:tc>
        <w:tc>
          <w:tcPr>
            <w:tcW w:w="1368" w:type="dxa"/>
          </w:tcPr>
          <w:p w14:paraId="44AADDFD" w14:textId="77777777" w:rsidR="004C11B6" w:rsidRDefault="00F05A0C">
            <w:pPr>
              <w:pStyle w:val="TableParagraph"/>
              <w:spacing w:before="53"/>
              <w:ind w:left="436"/>
            </w:pPr>
            <w:r>
              <w:t>n</w:t>
            </w:r>
            <w:r>
              <w:rPr>
                <w:spacing w:val="-2"/>
              </w:rPr>
              <w:t xml:space="preserve"> </w:t>
            </w:r>
            <w:r>
              <w:t>(%)</w:t>
            </w:r>
          </w:p>
        </w:tc>
        <w:tc>
          <w:tcPr>
            <w:tcW w:w="1368" w:type="dxa"/>
          </w:tcPr>
          <w:p w14:paraId="6A130A80" w14:textId="77777777" w:rsidR="004C11B6" w:rsidRDefault="004C11B6">
            <w:pPr>
              <w:pStyle w:val="TableParagraph"/>
            </w:pPr>
          </w:p>
        </w:tc>
        <w:tc>
          <w:tcPr>
            <w:tcW w:w="1927" w:type="dxa"/>
          </w:tcPr>
          <w:p w14:paraId="7786B74C" w14:textId="77777777" w:rsidR="004C11B6" w:rsidRDefault="004C11B6">
            <w:pPr>
              <w:pStyle w:val="TableParagraph"/>
            </w:pPr>
          </w:p>
        </w:tc>
        <w:tc>
          <w:tcPr>
            <w:tcW w:w="2160" w:type="dxa"/>
          </w:tcPr>
          <w:p w14:paraId="0632E6E8" w14:textId="77777777" w:rsidR="004C11B6" w:rsidRDefault="004C11B6">
            <w:pPr>
              <w:pStyle w:val="TableParagraph"/>
            </w:pPr>
          </w:p>
        </w:tc>
      </w:tr>
      <w:tr w:rsidR="004C11B6" w14:paraId="5A05775D" w14:textId="77777777" w:rsidTr="00053662">
        <w:trPr>
          <w:trHeight w:val="726"/>
        </w:trPr>
        <w:tc>
          <w:tcPr>
            <w:tcW w:w="1506" w:type="dxa"/>
          </w:tcPr>
          <w:p w14:paraId="152C9A40" w14:textId="77777777" w:rsidR="004C11B6" w:rsidRDefault="00F05A0C">
            <w:pPr>
              <w:pStyle w:val="TableParagraph"/>
              <w:spacing w:before="51"/>
              <w:ind w:left="107"/>
            </w:pPr>
            <w:r>
              <w:t>Nagyfokú</w:t>
            </w:r>
          </w:p>
        </w:tc>
        <w:tc>
          <w:tcPr>
            <w:tcW w:w="1368" w:type="dxa"/>
          </w:tcPr>
          <w:p w14:paraId="6B265573" w14:textId="77777777" w:rsidR="004C11B6" w:rsidRDefault="00F05A0C">
            <w:pPr>
              <w:pStyle w:val="TableParagraph"/>
              <w:spacing w:before="51"/>
              <w:ind w:left="204" w:right="194"/>
              <w:jc w:val="center"/>
            </w:pPr>
            <w:r>
              <w:t>2</w:t>
            </w:r>
            <w:r>
              <w:rPr>
                <w:spacing w:val="-3"/>
              </w:rPr>
              <w:t xml:space="preserve"> </w:t>
            </w:r>
            <w:r>
              <w:t>(0,2)</w:t>
            </w:r>
          </w:p>
        </w:tc>
        <w:tc>
          <w:tcPr>
            <w:tcW w:w="1368" w:type="dxa"/>
          </w:tcPr>
          <w:p w14:paraId="38A91291" w14:textId="77777777" w:rsidR="004C11B6" w:rsidRDefault="00F05A0C">
            <w:pPr>
              <w:pStyle w:val="TableParagraph"/>
              <w:spacing w:before="51"/>
              <w:ind w:left="390"/>
            </w:pPr>
            <w:r>
              <w:t>1</w:t>
            </w:r>
            <w:r>
              <w:rPr>
                <w:spacing w:val="-3"/>
              </w:rPr>
              <w:t xml:space="preserve"> </w:t>
            </w:r>
            <w:r>
              <w:t>(0,1)</w:t>
            </w:r>
          </w:p>
        </w:tc>
        <w:tc>
          <w:tcPr>
            <w:tcW w:w="1368" w:type="dxa"/>
          </w:tcPr>
          <w:p w14:paraId="493A0CD5" w14:textId="77777777" w:rsidR="004C11B6" w:rsidRDefault="00F05A0C">
            <w:pPr>
              <w:pStyle w:val="TableParagraph"/>
              <w:spacing w:before="51"/>
              <w:ind w:left="204" w:right="194"/>
              <w:jc w:val="center"/>
            </w:pPr>
            <w:r>
              <w:t>4</w:t>
            </w:r>
            <w:r>
              <w:rPr>
                <w:spacing w:val="-3"/>
              </w:rPr>
              <w:t xml:space="preserve"> </w:t>
            </w:r>
            <w:r>
              <w:t>(0,5)</w:t>
            </w:r>
          </w:p>
        </w:tc>
        <w:tc>
          <w:tcPr>
            <w:tcW w:w="1927" w:type="dxa"/>
          </w:tcPr>
          <w:p w14:paraId="530B1E25" w14:textId="77777777" w:rsidR="004C11B6" w:rsidRDefault="00F05A0C">
            <w:pPr>
              <w:pStyle w:val="TableParagraph"/>
              <w:spacing w:before="51"/>
              <w:ind w:left="426" w:right="417"/>
              <w:jc w:val="center"/>
            </w:pPr>
            <w:r>
              <w:t>0,49</w:t>
            </w:r>
          </w:p>
          <w:p w14:paraId="6C905851" w14:textId="77777777" w:rsidR="004C11B6" w:rsidRDefault="00F05A0C">
            <w:pPr>
              <w:pStyle w:val="TableParagraph"/>
              <w:spacing w:before="112"/>
              <w:ind w:left="426" w:right="418"/>
              <w:jc w:val="center"/>
            </w:pPr>
            <w:r>
              <w:t>(0,09;</w:t>
            </w:r>
            <w:r>
              <w:rPr>
                <w:spacing w:val="-4"/>
              </w:rPr>
              <w:t xml:space="preserve"> </w:t>
            </w:r>
            <w:r>
              <w:t>2,64)</w:t>
            </w:r>
          </w:p>
        </w:tc>
        <w:tc>
          <w:tcPr>
            <w:tcW w:w="2160" w:type="dxa"/>
          </w:tcPr>
          <w:p w14:paraId="78990452" w14:textId="77777777" w:rsidR="004C11B6" w:rsidRDefault="00F05A0C">
            <w:pPr>
              <w:pStyle w:val="TableParagraph"/>
              <w:spacing w:before="51"/>
              <w:ind w:left="542" w:right="530"/>
              <w:jc w:val="center"/>
            </w:pPr>
            <w:r>
              <w:t>0,25</w:t>
            </w:r>
          </w:p>
          <w:p w14:paraId="2147C962" w14:textId="77777777" w:rsidR="004C11B6" w:rsidRDefault="00F05A0C">
            <w:pPr>
              <w:pStyle w:val="TableParagraph"/>
              <w:spacing w:before="112"/>
              <w:ind w:left="542" w:right="531"/>
              <w:jc w:val="center"/>
            </w:pPr>
            <w:r>
              <w:t>(0,03;</w:t>
            </w:r>
            <w:r>
              <w:rPr>
                <w:spacing w:val="-4"/>
              </w:rPr>
              <w:t xml:space="preserve"> </w:t>
            </w:r>
            <w:r>
              <w:t>2,24)</w:t>
            </w:r>
          </w:p>
        </w:tc>
      </w:tr>
      <w:tr w:rsidR="004C11B6" w14:paraId="1C606283" w14:textId="77777777" w:rsidTr="00053662">
        <w:trPr>
          <w:trHeight w:val="726"/>
        </w:trPr>
        <w:tc>
          <w:tcPr>
            <w:tcW w:w="1506" w:type="dxa"/>
          </w:tcPr>
          <w:p w14:paraId="1EC0FE8F" w14:textId="77777777" w:rsidR="004C11B6" w:rsidRDefault="00F05A0C">
            <w:pPr>
              <w:pStyle w:val="TableParagraph"/>
              <w:spacing w:before="57" w:line="232" w:lineRule="auto"/>
              <w:ind w:left="107" w:right="172"/>
            </w:pPr>
            <w:r>
              <w:t>Nagyfokú +</w:t>
            </w:r>
            <w:r>
              <w:rPr>
                <w:spacing w:val="-52"/>
              </w:rPr>
              <w:t xml:space="preserve"> </w:t>
            </w:r>
            <w:r>
              <w:t>CRNM</w:t>
            </w:r>
          </w:p>
        </w:tc>
        <w:tc>
          <w:tcPr>
            <w:tcW w:w="1368" w:type="dxa"/>
          </w:tcPr>
          <w:p w14:paraId="6CF26A45" w14:textId="77777777" w:rsidR="004C11B6" w:rsidRDefault="00F05A0C">
            <w:pPr>
              <w:pStyle w:val="TableParagraph"/>
              <w:spacing w:before="51"/>
              <w:ind w:left="204" w:right="193"/>
              <w:jc w:val="center"/>
            </w:pPr>
            <w:r>
              <w:t>27</w:t>
            </w:r>
            <w:r>
              <w:rPr>
                <w:spacing w:val="-3"/>
              </w:rPr>
              <w:t xml:space="preserve"> </w:t>
            </w:r>
            <w:r>
              <w:t>(3,2)</w:t>
            </w:r>
          </w:p>
        </w:tc>
        <w:tc>
          <w:tcPr>
            <w:tcW w:w="1368" w:type="dxa"/>
          </w:tcPr>
          <w:p w14:paraId="2AE3CD5B" w14:textId="77777777" w:rsidR="004C11B6" w:rsidRDefault="00F05A0C">
            <w:pPr>
              <w:pStyle w:val="TableParagraph"/>
              <w:spacing w:before="51"/>
              <w:ind w:left="335"/>
            </w:pPr>
            <w:r>
              <w:t>35</w:t>
            </w:r>
            <w:r>
              <w:rPr>
                <w:spacing w:val="-3"/>
              </w:rPr>
              <w:t xml:space="preserve"> </w:t>
            </w:r>
            <w:r>
              <w:t>(4,3)</w:t>
            </w:r>
          </w:p>
        </w:tc>
        <w:tc>
          <w:tcPr>
            <w:tcW w:w="1368" w:type="dxa"/>
          </w:tcPr>
          <w:p w14:paraId="0049F24E" w14:textId="77777777" w:rsidR="004C11B6" w:rsidRDefault="00F05A0C">
            <w:pPr>
              <w:pStyle w:val="TableParagraph"/>
              <w:spacing w:before="51"/>
              <w:ind w:left="204" w:right="193"/>
              <w:jc w:val="center"/>
            </w:pPr>
            <w:r>
              <w:t>22</w:t>
            </w:r>
            <w:r>
              <w:rPr>
                <w:spacing w:val="-3"/>
              </w:rPr>
              <w:t xml:space="preserve"> </w:t>
            </w:r>
            <w:r>
              <w:t>(2,7)</w:t>
            </w:r>
          </w:p>
        </w:tc>
        <w:tc>
          <w:tcPr>
            <w:tcW w:w="1927" w:type="dxa"/>
          </w:tcPr>
          <w:p w14:paraId="2FE1506F" w14:textId="77777777" w:rsidR="004C11B6" w:rsidRDefault="00F05A0C">
            <w:pPr>
              <w:pStyle w:val="TableParagraph"/>
              <w:spacing w:before="51"/>
              <w:ind w:left="426" w:right="417"/>
              <w:jc w:val="center"/>
            </w:pPr>
            <w:r>
              <w:t>1,20</w:t>
            </w:r>
          </w:p>
          <w:p w14:paraId="71D791B5" w14:textId="77777777" w:rsidR="004C11B6" w:rsidRDefault="00F05A0C">
            <w:pPr>
              <w:pStyle w:val="TableParagraph"/>
              <w:spacing w:before="112"/>
              <w:ind w:left="426" w:right="418"/>
              <w:jc w:val="center"/>
            </w:pPr>
            <w:r>
              <w:t>(0,69;</w:t>
            </w:r>
            <w:r>
              <w:rPr>
                <w:spacing w:val="-4"/>
              </w:rPr>
              <w:t xml:space="preserve"> </w:t>
            </w:r>
            <w:r>
              <w:t>2,10)</w:t>
            </w:r>
          </w:p>
        </w:tc>
        <w:tc>
          <w:tcPr>
            <w:tcW w:w="2160" w:type="dxa"/>
          </w:tcPr>
          <w:p w14:paraId="75FDBDBE" w14:textId="77777777" w:rsidR="004C11B6" w:rsidRDefault="00F05A0C">
            <w:pPr>
              <w:pStyle w:val="TableParagraph"/>
              <w:spacing w:before="51"/>
              <w:ind w:left="542" w:right="530"/>
              <w:jc w:val="center"/>
            </w:pPr>
            <w:r>
              <w:t>1,62</w:t>
            </w:r>
          </w:p>
          <w:p w14:paraId="22651EEE" w14:textId="77777777" w:rsidR="004C11B6" w:rsidRDefault="00F05A0C">
            <w:pPr>
              <w:pStyle w:val="TableParagraph"/>
              <w:spacing w:before="112"/>
              <w:ind w:left="542" w:right="531"/>
              <w:jc w:val="center"/>
            </w:pPr>
            <w:r>
              <w:t>(0,96;</w:t>
            </w:r>
            <w:r>
              <w:rPr>
                <w:spacing w:val="-4"/>
              </w:rPr>
              <w:t xml:space="preserve"> </w:t>
            </w:r>
            <w:r>
              <w:t>2,73)</w:t>
            </w:r>
          </w:p>
        </w:tc>
      </w:tr>
      <w:tr w:rsidR="004C11B6" w14:paraId="2713E2E8" w14:textId="77777777" w:rsidTr="00053662">
        <w:trPr>
          <w:trHeight w:val="729"/>
        </w:trPr>
        <w:tc>
          <w:tcPr>
            <w:tcW w:w="1506" w:type="dxa"/>
          </w:tcPr>
          <w:p w14:paraId="38AFEB18" w14:textId="77777777" w:rsidR="004C11B6" w:rsidRDefault="00F05A0C">
            <w:pPr>
              <w:pStyle w:val="TableParagraph"/>
              <w:spacing w:before="53"/>
              <w:ind w:left="107"/>
            </w:pPr>
            <w:r>
              <w:t>Kisfokú</w:t>
            </w:r>
          </w:p>
        </w:tc>
        <w:tc>
          <w:tcPr>
            <w:tcW w:w="1368" w:type="dxa"/>
          </w:tcPr>
          <w:p w14:paraId="4FDAD7B4" w14:textId="77777777" w:rsidR="004C11B6" w:rsidRDefault="00F05A0C">
            <w:pPr>
              <w:pStyle w:val="TableParagraph"/>
              <w:spacing w:before="53"/>
              <w:ind w:left="204" w:right="193"/>
              <w:jc w:val="center"/>
            </w:pPr>
            <w:r>
              <w:t>75</w:t>
            </w:r>
            <w:r>
              <w:rPr>
                <w:spacing w:val="-3"/>
              </w:rPr>
              <w:t xml:space="preserve"> </w:t>
            </w:r>
            <w:r>
              <w:t>(8,9)</w:t>
            </w:r>
          </w:p>
        </w:tc>
        <w:tc>
          <w:tcPr>
            <w:tcW w:w="1368" w:type="dxa"/>
          </w:tcPr>
          <w:p w14:paraId="1991E205" w14:textId="77777777" w:rsidR="004C11B6" w:rsidRDefault="00F05A0C">
            <w:pPr>
              <w:pStyle w:val="TableParagraph"/>
              <w:spacing w:before="53"/>
              <w:ind w:right="267"/>
              <w:jc w:val="right"/>
            </w:pPr>
            <w:r>
              <w:t>98</w:t>
            </w:r>
            <w:r>
              <w:rPr>
                <w:spacing w:val="-3"/>
              </w:rPr>
              <w:t xml:space="preserve"> </w:t>
            </w:r>
            <w:r>
              <w:t>(12,1)</w:t>
            </w:r>
          </w:p>
        </w:tc>
        <w:tc>
          <w:tcPr>
            <w:tcW w:w="1368" w:type="dxa"/>
          </w:tcPr>
          <w:p w14:paraId="0C989430" w14:textId="77777777" w:rsidR="004C11B6" w:rsidRDefault="00F05A0C">
            <w:pPr>
              <w:pStyle w:val="TableParagraph"/>
              <w:spacing w:before="53"/>
              <w:ind w:left="204" w:right="193"/>
              <w:jc w:val="center"/>
            </w:pPr>
            <w:r>
              <w:t>58</w:t>
            </w:r>
            <w:r>
              <w:rPr>
                <w:spacing w:val="-3"/>
              </w:rPr>
              <w:t xml:space="preserve"> </w:t>
            </w:r>
            <w:r>
              <w:t>(7,0)</w:t>
            </w:r>
          </w:p>
        </w:tc>
        <w:tc>
          <w:tcPr>
            <w:tcW w:w="1927" w:type="dxa"/>
          </w:tcPr>
          <w:p w14:paraId="5479BC05" w14:textId="77777777" w:rsidR="004C11B6" w:rsidRDefault="00F05A0C">
            <w:pPr>
              <w:pStyle w:val="TableParagraph"/>
              <w:spacing w:before="53"/>
              <w:ind w:left="426" w:right="417"/>
              <w:jc w:val="center"/>
            </w:pPr>
            <w:r>
              <w:t>1,26</w:t>
            </w:r>
          </w:p>
          <w:p w14:paraId="5D2EE9B3" w14:textId="77777777" w:rsidR="004C11B6" w:rsidRDefault="00F05A0C">
            <w:pPr>
              <w:pStyle w:val="TableParagraph"/>
              <w:spacing w:before="110"/>
              <w:ind w:left="426" w:right="418"/>
              <w:jc w:val="center"/>
            </w:pPr>
            <w:r>
              <w:t>(0,91;</w:t>
            </w:r>
            <w:r>
              <w:rPr>
                <w:spacing w:val="-4"/>
              </w:rPr>
              <w:t xml:space="preserve"> </w:t>
            </w:r>
            <w:r>
              <w:t>1,75)</w:t>
            </w:r>
          </w:p>
        </w:tc>
        <w:tc>
          <w:tcPr>
            <w:tcW w:w="2160" w:type="dxa"/>
          </w:tcPr>
          <w:p w14:paraId="6BC868B8" w14:textId="77777777" w:rsidR="004C11B6" w:rsidRDefault="00F05A0C">
            <w:pPr>
              <w:pStyle w:val="TableParagraph"/>
              <w:spacing w:before="53"/>
              <w:ind w:left="542" w:right="530"/>
              <w:jc w:val="center"/>
            </w:pPr>
            <w:r>
              <w:t>1,70</w:t>
            </w:r>
          </w:p>
          <w:p w14:paraId="02663BE1" w14:textId="77777777" w:rsidR="004C11B6" w:rsidRDefault="00F05A0C">
            <w:pPr>
              <w:pStyle w:val="TableParagraph"/>
              <w:spacing w:before="110"/>
              <w:ind w:left="541" w:right="534"/>
              <w:jc w:val="center"/>
            </w:pPr>
            <w:r>
              <w:t>(1,25;</w:t>
            </w:r>
            <w:r>
              <w:rPr>
                <w:spacing w:val="-4"/>
              </w:rPr>
              <w:t xml:space="preserve"> </w:t>
            </w:r>
            <w:r>
              <w:t>2,31)</w:t>
            </w:r>
          </w:p>
        </w:tc>
      </w:tr>
      <w:tr w:rsidR="004C11B6" w14:paraId="18629039" w14:textId="77777777" w:rsidTr="00053662">
        <w:trPr>
          <w:trHeight w:val="726"/>
        </w:trPr>
        <w:tc>
          <w:tcPr>
            <w:tcW w:w="1506" w:type="dxa"/>
          </w:tcPr>
          <w:p w14:paraId="40F4B2A7" w14:textId="77777777" w:rsidR="004C11B6" w:rsidRDefault="00F05A0C">
            <w:pPr>
              <w:pStyle w:val="TableParagraph"/>
              <w:spacing w:before="51"/>
              <w:ind w:left="107"/>
            </w:pPr>
            <w:r>
              <w:t>Összes</w:t>
            </w:r>
          </w:p>
        </w:tc>
        <w:tc>
          <w:tcPr>
            <w:tcW w:w="1368" w:type="dxa"/>
          </w:tcPr>
          <w:p w14:paraId="06768F62" w14:textId="77777777" w:rsidR="004C11B6" w:rsidRDefault="00F05A0C">
            <w:pPr>
              <w:pStyle w:val="TableParagraph"/>
              <w:spacing w:before="51"/>
              <w:ind w:left="204" w:right="193"/>
              <w:jc w:val="center"/>
            </w:pPr>
            <w:r>
              <w:t>94</w:t>
            </w:r>
            <w:r>
              <w:rPr>
                <w:spacing w:val="-3"/>
              </w:rPr>
              <w:t xml:space="preserve"> </w:t>
            </w:r>
            <w:r>
              <w:t>(11,2)</w:t>
            </w:r>
          </w:p>
        </w:tc>
        <w:tc>
          <w:tcPr>
            <w:tcW w:w="1368" w:type="dxa"/>
          </w:tcPr>
          <w:p w14:paraId="0D67467F" w14:textId="77777777" w:rsidR="004C11B6" w:rsidRDefault="00F05A0C">
            <w:pPr>
              <w:pStyle w:val="TableParagraph"/>
              <w:spacing w:before="51"/>
              <w:ind w:right="212"/>
              <w:jc w:val="right"/>
            </w:pPr>
            <w:r>
              <w:t>121</w:t>
            </w:r>
            <w:r>
              <w:rPr>
                <w:spacing w:val="-4"/>
              </w:rPr>
              <w:t xml:space="preserve"> </w:t>
            </w:r>
            <w:r>
              <w:t>(14,9)</w:t>
            </w:r>
          </w:p>
        </w:tc>
        <w:tc>
          <w:tcPr>
            <w:tcW w:w="1368" w:type="dxa"/>
          </w:tcPr>
          <w:p w14:paraId="4E0829D6" w14:textId="77777777" w:rsidR="004C11B6" w:rsidRDefault="00F05A0C">
            <w:pPr>
              <w:pStyle w:val="TableParagraph"/>
              <w:spacing w:before="51"/>
              <w:ind w:left="204" w:right="194"/>
              <w:jc w:val="center"/>
            </w:pPr>
            <w:r>
              <w:t>74</w:t>
            </w:r>
            <w:r>
              <w:rPr>
                <w:spacing w:val="-2"/>
              </w:rPr>
              <w:t xml:space="preserve"> </w:t>
            </w:r>
            <w:r>
              <w:t>(9,0)</w:t>
            </w:r>
          </w:p>
        </w:tc>
        <w:tc>
          <w:tcPr>
            <w:tcW w:w="1927" w:type="dxa"/>
          </w:tcPr>
          <w:p w14:paraId="2A39DD52" w14:textId="77777777" w:rsidR="004C11B6" w:rsidRDefault="00F05A0C">
            <w:pPr>
              <w:pStyle w:val="TableParagraph"/>
              <w:spacing w:before="51"/>
              <w:ind w:left="426" w:right="417"/>
              <w:jc w:val="center"/>
            </w:pPr>
            <w:r>
              <w:t>1,24</w:t>
            </w:r>
          </w:p>
          <w:p w14:paraId="08EC5FD2" w14:textId="77777777" w:rsidR="004C11B6" w:rsidRDefault="00F05A0C">
            <w:pPr>
              <w:pStyle w:val="TableParagraph"/>
              <w:spacing w:before="109"/>
              <w:ind w:left="426" w:right="418"/>
              <w:jc w:val="center"/>
            </w:pPr>
            <w:r>
              <w:t>(0,93;</w:t>
            </w:r>
            <w:r>
              <w:rPr>
                <w:spacing w:val="-4"/>
              </w:rPr>
              <w:t xml:space="preserve"> </w:t>
            </w:r>
            <w:r>
              <w:t>1,65)</w:t>
            </w:r>
          </w:p>
        </w:tc>
        <w:tc>
          <w:tcPr>
            <w:tcW w:w="2160" w:type="dxa"/>
          </w:tcPr>
          <w:p w14:paraId="6F24A446" w14:textId="77777777" w:rsidR="004C11B6" w:rsidRDefault="00F05A0C">
            <w:pPr>
              <w:pStyle w:val="TableParagraph"/>
              <w:spacing w:before="51"/>
              <w:ind w:left="542" w:right="530"/>
              <w:jc w:val="center"/>
            </w:pPr>
            <w:r>
              <w:t>1,65</w:t>
            </w:r>
          </w:p>
          <w:p w14:paraId="6BBEF8FA" w14:textId="77777777" w:rsidR="004C11B6" w:rsidRDefault="00F05A0C">
            <w:pPr>
              <w:pStyle w:val="TableParagraph"/>
              <w:spacing w:before="109"/>
              <w:ind w:left="541" w:right="534"/>
              <w:jc w:val="center"/>
            </w:pPr>
            <w:r>
              <w:t>(1,26;</w:t>
            </w:r>
            <w:r>
              <w:rPr>
                <w:spacing w:val="-4"/>
              </w:rPr>
              <w:t xml:space="preserve"> </w:t>
            </w:r>
            <w:r>
              <w:t>2,16)</w:t>
            </w:r>
          </w:p>
        </w:tc>
      </w:tr>
    </w:tbl>
    <w:p w14:paraId="1843A8DC" w14:textId="77777777" w:rsidR="004C11B6" w:rsidRDefault="004C11B6">
      <w:pPr>
        <w:pStyle w:val="Szvegtrzs"/>
        <w:spacing w:before="1"/>
        <w:rPr>
          <w:b/>
          <w:sz w:val="23"/>
        </w:rPr>
      </w:pPr>
    </w:p>
    <w:p w14:paraId="76B1C4B4" w14:textId="77777777" w:rsidR="004C11B6" w:rsidRDefault="00F05A0C" w:rsidP="00053662">
      <w:pPr>
        <w:pStyle w:val="Szvegtrzs"/>
        <w:spacing w:line="247" w:lineRule="auto"/>
        <w:ind w:right="2"/>
      </w:pPr>
      <w:r>
        <w:t>Igazolt, ISTH szerinti nagyfokú gastrointestinalis vérzés a naponta kétszer 5 mg apixabánnal kezelt</w:t>
      </w:r>
      <w:r>
        <w:rPr>
          <w:spacing w:val="1"/>
        </w:rPr>
        <w:t xml:space="preserve"> </w:t>
      </w:r>
      <w:r>
        <w:t>betegek közül 1-nél (0,1%), a naponta kétszer 2,5 mg apixabánnal kezelt betegek közül egynél sem, a</w:t>
      </w:r>
      <w:r>
        <w:rPr>
          <w:spacing w:val="-52"/>
        </w:rPr>
        <w:t xml:space="preserve"> </w:t>
      </w:r>
      <w:r>
        <w:t>placebóval kezelt</w:t>
      </w:r>
      <w:r>
        <w:rPr>
          <w:spacing w:val="1"/>
        </w:rPr>
        <w:t xml:space="preserve"> </w:t>
      </w:r>
      <w:r>
        <w:t>betegek</w:t>
      </w:r>
      <w:r>
        <w:rPr>
          <w:spacing w:val="-2"/>
        </w:rPr>
        <w:t xml:space="preserve"> </w:t>
      </w:r>
      <w:r>
        <w:t>közül</w:t>
      </w:r>
      <w:r>
        <w:rPr>
          <w:spacing w:val="-1"/>
        </w:rPr>
        <w:t xml:space="preserve"> </w:t>
      </w:r>
      <w:r>
        <w:t>pedig</w:t>
      </w:r>
      <w:r>
        <w:rPr>
          <w:spacing w:val="-1"/>
        </w:rPr>
        <w:t xml:space="preserve"> </w:t>
      </w:r>
      <w:r>
        <w:t>1-nél (0,1%)</w:t>
      </w:r>
      <w:r>
        <w:rPr>
          <w:spacing w:val="-2"/>
        </w:rPr>
        <w:t xml:space="preserve"> </w:t>
      </w:r>
      <w:r>
        <w:t>fordult</w:t>
      </w:r>
      <w:r>
        <w:rPr>
          <w:spacing w:val="-2"/>
        </w:rPr>
        <w:t xml:space="preserve"> </w:t>
      </w:r>
      <w:r>
        <w:t>elő.</w:t>
      </w:r>
    </w:p>
    <w:p w14:paraId="1CD423DB" w14:textId="20099685" w:rsidR="004C11B6" w:rsidRPr="00303BA8" w:rsidRDefault="004C11B6" w:rsidP="00053662">
      <w:pPr>
        <w:pStyle w:val="Szvegtrzs"/>
        <w:spacing w:before="10"/>
        <w:ind w:right="2"/>
      </w:pPr>
    </w:p>
    <w:p w14:paraId="2AE03F90" w14:textId="77777777" w:rsidR="00303BA8" w:rsidRPr="00303BA8" w:rsidRDefault="00303BA8" w:rsidP="00053662">
      <w:pPr>
        <w:pStyle w:val="Szvegtrzs"/>
        <w:spacing w:before="10"/>
        <w:ind w:right="2"/>
      </w:pPr>
    </w:p>
    <w:p w14:paraId="7A537E39" w14:textId="77777777" w:rsidR="00651EC3" w:rsidRPr="00585553" w:rsidRDefault="00651EC3" w:rsidP="00651EC3">
      <w:pPr>
        <w:pStyle w:val="Szvegtrzs"/>
        <w:spacing w:line="249" w:lineRule="exact"/>
        <w:ind w:right="2"/>
        <w:rPr>
          <w:u w:val="single"/>
        </w:rPr>
      </w:pPr>
      <w:r w:rsidRPr="00585553">
        <w:rPr>
          <w:u w:val="single"/>
        </w:rPr>
        <w:t>Gyermekek és serdülők</w:t>
      </w:r>
    </w:p>
    <w:p w14:paraId="701E3E1A" w14:textId="77777777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Gyermekek és serdülők esetén nincs engedélyezett javallat (lásd 4.2 pont).</w:t>
      </w:r>
    </w:p>
    <w:p w14:paraId="0B2B4656" w14:textId="310C23F8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 VTE megelőzése akut lymphoblastos leukaemiában (ALL) vagy lymphoblastos lymphomában (LL)</w:t>
      </w:r>
      <w:r w:rsidR="00D7765B" w:rsidRPr="00585553">
        <w:t xml:space="preserve"> </w:t>
      </w:r>
      <w:r w:rsidRPr="00585553">
        <w:t>szenvedő gyermekeknél és serdülőkné</w:t>
      </w:r>
      <w:r w:rsidR="00D7765B" w:rsidRPr="00585553">
        <w:t>.</w:t>
      </w:r>
    </w:p>
    <w:p w14:paraId="3D6F91DE" w14:textId="6AEE408B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 PREVAPIX-ALL vizsgálatban összesen 512, ≥ 1 és &lt; 18 év közötti életkorú, ALL-lel vagy LL-lel</w:t>
      </w:r>
      <w:r w:rsidR="00D7765B" w:rsidRPr="00585553">
        <w:t xml:space="preserve"> </w:t>
      </w:r>
      <w:r w:rsidRPr="00585553">
        <w:t>újonnan diagnosztizált, egy centrális vénás hozzáférést biztosító beültetett eszközön keresztül,</w:t>
      </w:r>
      <w:r w:rsidR="00D7765B" w:rsidRPr="00585553">
        <w:t xml:space="preserve"> </w:t>
      </w:r>
      <w:r w:rsidRPr="00585553">
        <w:t>aszparaginázt tartalmazó indukciós kemoterápiát kapó beteget randomizáltak 1:1 arányban, nyílt</w:t>
      </w:r>
      <w:r w:rsidR="00D7765B" w:rsidRPr="00585553">
        <w:t xml:space="preserve"> </w:t>
      </w:r>
      <w:r w:rsidRPr="00585553">
        <w:t>elrendezésben, thromboprofilaktikus kezelésre apixabánnal vagy a szokásos ellátás szerint (szisztémás</w:t>
      </w:r>
      <w:r w:rsidR="00D7765B" w:rsidRPr="00585553">
        <w:t xml:space="preserve"> </w:t>
      </w:r>
      <w:r w:rsidRPr="00585553">
        <w:t>antikoaguláns-kezelés nélkül). Az apixabánt fix dózisban, a testtömeghez igazított adagolási rend</w:t>
      </w:r>
      <w:r w:rsidR="00D7765B" w:rsidRPr="00585553">
        <w:t xml:space="preserve"> </w:t>
      </w:r>
      <w:r w:rsidRPr="00585553">
        <w:t>szerint kapták, amelyet úgy hoztak lé</w:t>
      </w:r>
      <w:r w:rsidR="00D7765B" w:rsidRPr="00585553">
        <w:t>tre, hogy az a napi kétszer 2,5 </w:t>
      </w:r>
      <w:r w:rsidRPr="00585553">
        <w:t>mg-ot kapó felnőtteknél</w:t>
      </w:r>
      <w:r w:rsidR="00D7765B" w:rsidRPr="00585553">
        <w:t xml:space="preserve"> </w:t>
      </w:r>
      <w:r w:rsidRPr="00585553">
        <w:t>megfigyelt expozícióval hasonló expozíciót eredményezzen (lásd 12. táblázat). A vizsgálatban</w:t>
      </w:r>
      <w:r w:rsidR="00D7765B" w:rsidRPr="00585553">
        <w:t xml:space="preserve"> 2,5 mg-os és 0,5 mg-os tablettát vagy 0,4 </w:t>
      </w:r>
      <w:r w:rsidRPr="00585553">
        <w:t>mg/ml-es belsőleges oldatot alkalmaztak. Az expozíció</w:t>
      </w:r>
      <w:r w:rsidR="00D7765B" w:rsidRPr="00585553">
        <w:t xml:space="preserve"> </w:t>
      </w:r>
      <w:r w:rsidRPr="00585553">
        <w:t>medián időtartama az apixabán-karon 25 nap volt.</w:t>
      </w:r>
    </w:p>
    <w:p w14:paraId="5B0A846C" w14:textId="77777777" w:rsidR="00303BA8" w:rsidRDefault="00303BA8" w:rsidP="00651EC3">
      <w:pPr>
        <w:pStyle w:val="Szvegtrzs"/>
        <w:spacing w:line="249" w:lineRule="exact"/>
        <w:ind w:right="2"/>
        <w:rPr>
          <w:u w:val="single"/>
        </w:rPr>
      </w:pPr>
    </w:p>
    <w:p w14:paraId="280F68D2" w14:textId="77777777" w:rsidR="00303BA8" w:rsidRDefault="00303BA8" w:rsidP="00651EC3">
      <w:pPr>
        <w:pStyle w:val="Szvegtrzs"/>
        <w:spacing w:line="249" w:lineRule="exact"/>
        <w:ind w:right="2"/>
        <w:rPr>
          <w:u w:val="single"/>
        </w:rPr>
      </w:pPr>
    </w:p>
    <w:p w14:paraId="40E99803" w14:textId="77777777" w:rsidR="00303BA8" w:rsidRDefault="00303BA8" w:rsidP="00651EC3">
      <w:pPr>
        <w:pStyle w:val="Szvegtrzs"/>
        <w:spacing w:line="249" w:lineRule="exact"/>
        <w:ind w:right="2"/>
        <w:rPr>
          <w:u w:val="single"/>
        </w:rPr>
      </w:pPr>
    </w:p>
    <w:p w14:paraId="1CD9DCF3" w14:textId="77777777" w:rsidR="00303BA8" w:rsidRDefault="00303BA8" w:rsidP="00651EC3">
      <w:pPr>
        <w:pStyle w:val="Szvegtrzs"/>
        <w:spacing w:line="249" w:lineRule="exact"/>
        <w:ind w:right="2"/>
        <w:rPr>
          <w:u w:val="single"/>
        </w:rPr>
      </w:pPr>
    </w:p>
    <w:p w14:paraId="372526DC" w14:textId="77777777" w:rsidR="00303BA8" w:rsidRDefault="00303BA8" w:rsidP="00651EC3">
      <w:pPr>
        <w:pStyle w:val="Szvegtrzs"/>
        <w:spacing w:line="249" w:lineRule="exact"/>
        <w:ind w:right="2"/>
        <w:rPr>
          <w:u w:val="single"/>
        </w:rPr>
      </w:pPr>
    </w:p>
    <w:p w14:paraId="0DED27B7" w14:textId="77777777" w:rsidR="00303BA8" w:rsidRDefault="00303BA8" w:rsidP="00651EC3">
      <w:pPr>
        <w:pStyle w:val="Szvegtrzs"/>
        <w:spacing w:line="249" w:lineRule="exact"/>
        <w:ind w:right="2"/>
        <w:rPr>
          <w:u w:val="single"/>
        </w:rPr>
      </w:pPr>
    </w:p>
    <w:p w14:paraId="7C3BCEA2" w14:textId="30B03C51" w:rsidR="00651EC3" w:rsidRDefault="00651EC3" w:rsidP="00651EC3">
      <w:pPr>
        <w:pStyle w:val="Szvegtrzs"/>
        <w:spacing w:line="249" w:lineRule="exact"/>
        <w:ind w:right="2"/>
        <w:rPr>
          <w:u w:val="single"/>
        </w:rPr>
      </w:pPr>
    </w:p>
    <w:p w14:paraId="1D7306A7" w14:textId="77777777" w:rsidR="00651EC3" w:rsidRDefault="00651EC3" w:rsidP="00651EC3">
      <w:pPr>
        <w:pStyle w:val="Szvegtrzs"/>
        <w:spacing w:line="249" w:lineRule="exact"/>
        <w:ind w:right="2"/>
        <w:rPr>
          <w:u w:val="single"/>
        </w:rPr>
      </w:pPr>
    </w:p>
    <w:p w14:paraId="5F787E37" w14:textId="26FAED88" w:rsidR="00303BA8" w:rsidRPr="00303BA8" w:rsidRDefault="00303BA8" w:rsidP="00303BA8">
      <w:pPr>
        <w:pStyle w:val="Listaszerbekezds"/>
        <w:numPr>
          <w:ilvl w:val="0"/>
          <w:numId w:val="47"/>
        </w:numPr>
        <w:spacing w:line="249" w:lineRule="exact"/>
        <w:ind w:right="2"/>
        <w:rPr>
          <w:b/>
        </w:rPr>
      </w:pPr>
      <w:r w:rsidRPr="00303BA8">
        <w:rPr>
          <w:b/>
        </w:rPr>
        <w:t>táblázat: Az apixaban adagolása a PREVAPIX-ALL viszgálatban</w:t>
      </w:r>
    </w:p>
    <w:tbl>
      <w:tblPr>
        <w:tblStyle w:val="Rcsostblzat"/>
        <w:tblW w:w="0" w:type="auto"/>
        <w:tblInd w:w="456" w:type="dxa"/>
        <w:tblLook w:val="04A0" w:firstRow="1" w:lastRow="0" w:firstColumn="1" w:lastColumn="0" w:noHBand="0" w:noVBand="1"/>
      </w:tblPr>
      <w:tblGrid>
        <w:gridCol w:w="4347"/>
        <w:gridCol w:w="4261"/>
      </w:tblGrid>
      <w:tr w:rsidR="00303BA8" w:rsidRPr="00303BA8" w14:paraId="76EE1CA6" w14:textId="77777777" w:rsidTr="004A22B6">
        <w:tc>
          <w:tcPr>
            <w:tcW w:w="4532" w:type="dxa"/>
          </w:tcPr>
          <w:p w14:paraId="2C8EE77D" w14:textId="77777777" w:rsidR="00303BA8" w:rsidRPr="00303BA8" w:rsidRDefault="00303BA8" w:rsidP="00303BA8">
            <w:pPr>
              <w:spacing w:line="249" w:lineRule="exact"/>
              <w:ind w:right="2"/>
              <w:jc w:val="center"/>
              <w:rPr>
                <w:b/>
              </w:rPr>
            </w:pPr>
            <w:r w:rsidRPr="00303BA8">
              <w:rPr>
                <w:b/>
              </w:rPr>
              <w:t>Testtömegtartomány</w:t>
            </w:r>
          </w:p>
        </w:tc>
        <w:tc>
          <w:tcPr>
            <w:tcW w:w="4532" w:type="dxa"/>
          </w:tcPr>
          <w:p w14:paraId="01536248" w14:textId="77777777" w:rsidR="00303BA8" w:rsidRPr="00303BA8" w:rsidRDefault="00303BA8" w:rsidP="00303BA8">
            <w:pPr>
              <w:spacing w:line="249" w:lineRule="exact"/>
              <w:ind w:right="2"/>
              <w:jc w:val="center"/>
              <w:rPr>
                <w:b/>
              </w:rPr>
            </w:pPr>
            <w:r w:rsidRPr="00303BA8">
              <w:rPr>
                <w:b/>
              </w:rPr>
              <w:t>Adagolás rend</w:t>
            </w:r>
          </w:p>
        </w:tc>
      </w:tr>
      <w:tr w:rsidR="00303BA8" w:rsidRPr="00303BA8" w14:paraId="1C86CB4E" w14:textId="77777777" w:rsidTr="004A22B6">
        <w:tc>
          <w:tcPr>
            <w:tcW w:w="4532" w:type="dxa"/>
          </w:tcPr>
          <w:p w14:paraId="27CE0ADD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6- &lt; 10,5 kg</w:t>
            </w:r>
          </w:p>
        </w:tc>
        <w:tc>
          <w:tcPr>
            <w:tcW w:w="4532" w:type="dxa"/>
          </w:tcPr>
          <w:p w14:paraId="2683775C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0,5 mg naponta kétszer</w:t>
            </w:r>
          </w:p>
        </w:tc>
      </w:tr>
      <w:tr w:rsidR="00303BA8" w:rsidRPr="00303BA8" w14:paraId="5541A79C" w14:textId="77777777" w:rsidTr="004A22B6">
        <w:tc>
          <w:tcPr>
            <w:tcW w:w="4532" w:type="dxa"/>
          </w:tcPr>
          <w:p w14:paraId="7A3242BA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10,5 - &lt; 18 kg</w:t>
            </w:r>
          </w:p>
        </w:tc>
        <w:tc>
          <w:tcPr>
            <w:tcW w:w="4532" w:type="dxa"/>
          </w:tcPr>
          <w:p w14:paraId="7536E023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 mg naponta kétszer</w:t>
            </w:r>
          </w:p>
        </w:tc>
      </w:tr>
      <w:tr w:rsidR="00303BA8" w:rsidRPr="00303BA8" w14:paraId="3128AF9A" w14:textId="77777777" w:rsidTr="004A22B6">
        <w:tc>
          <w:tcPr>
            <w:tcW w:w="4532" w:type="dxa"/>
          </w:tcPr>
          <w:p w14:paraId="52C7E01E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18 - &lt; 25 kg</w:t>
            </w:r>
          </w:p>
        </w:tc>
        <w:tc>
          <w:tcPr>
            <w:tcW w:w="4532" w:type="dxa"/>
          </w:tcPr>
          <w:p w14:paraId="58EDAD92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1,5 mg naponta kétszer</w:t>
            </w:r>
          </w:p>
        </w:tc>
      </w:tr>
      <w:tr w:rsidR="00303BA8" w:rsidRPr="00303BA8" w14:paraId="323ED205" w14:textId="77777777" w:rsidTr="004A22B6">
        <w:tc>
          <w:tcPr>
            <w:tcW w:w="4532" w:type="dxa"/>
          </w:tcPr>
          <w:p w14:paraId="00E58090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25 - &lt; 35 kg</w:t>
            </w:r>
          </w:p>
        </w:tc>
        <w:tc>
          <w:tcPr>
            <w:tcW w:w="4532" w:type="dxa"/>
          </w:tcPr>
          <w:p w14:paraId="7F81D113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2 mg naponta kétszer</w:t>
            </w:r>
          </w:p>
        </w:tc>
      </w:tr>
      <w:tr w:rsidR="00303BA8" w:rsidRPr="00303BA8" w14:paraId="4B2EB587" w14:textId="77777777" w:rsidTr="004A22B6">
        <w:tc>
          <w:tcPr>
            <w:tcW w:w="4532" w:type="dxa"/>
          </w:tcPr>
          <w:p w14:paraId="2F0BE275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rPr>
                <w:u w:val="single"/>
              </w:rPr>
              <w:t>≥ 35 kg</w:t>
            </w:r>
          </w:p>
        </w:tc>
        <w:tc>
          <w:tcPr>
            <w:tcW w:w="4532" w:type="dxa"/>
          </w:tcPr>
          <w:p w14:paraId="75FB77C5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2,5 mg naponta kétszer</w:t>
            </w:r>
          </w:p>
        </w:tc>
      </w:tr>
    </w:tbl>
    <w:p w14:paraId="60D2FA6D" w14:textId="77777777" w:rsidR="00651EC3" w:rsidRDefault="00651EC3" w:rsidP="00651EC3">
      <w:pPr>
        <w:pStyle w:val="Szvegtrzs"/>
        <w:spacing w:line="249" w:lineRule="exact"/>
        <w:ind w:right="2"/>
        <w:rPr>
          <w:u w:val="single"/>
        </w:rPr>
      </w:pPr>
    </w:p>
    <w:p w14:paraId="0CE834FA" w14:textId="23B33D25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Az elsődleges hatásossági végpont az igazolt, tünetekkel járó és tünetmentes, nem halálos mélyvénás</w:t>
      </w:r>
      <w:r w:rsidR="00D7765B" w:rsidRPr="00585553">
        <w:t xml:space="preserve"> </w:t>
      </w:r>
      <w:r w:rsidRPr="00585553">
        <w:t>thrombosis, tüdőembolia, cerebralis vénás sinusthrombosis és vénás thromboemboliával összefüggő</w:t>
      </w:r>
      <w:r w:rsidR="00D7765B" w:rsidRPr="00585553">
        <w:t xml:space="preserve"> </w:t>
      </w:r>
      <w:r w:rsidRPr="00585553">
        <w:t>halálozás összetett végpontja volt. Az elsődleges hatásossági végpont incidenciája 31 (12,1%) volt az</w:t>
      </w:r>
      <w:r w:rsidR="00D7765B" w:rsidRPr="00585553">
        <w:t xml:space="preserve"> </w:t>
      </w:r>
      <w:r w:rsidRPr="00585553">
        <w:t>apixabán-karon és 45 (17,6%) a szokásos ellátást alkalmazó karon. A relatív kockázatcsökkenés nem</w:t>
      </w:r>
      <w:r w:rsidR="00D7765B" w:rsidRPr="00585553">
        <w:t xml:space="preserve"> </w:t>
      </w:r>
      <w:r w:rsidRPr="00585553">
        <w:t>ért el szignifikáns szintet.</w:t>
      </w:r>
    </w:p>
    <w:p w14:paraId="20BBD818" w14:textId="39F99298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 biztonságossági végpontokat az ISTH kritériumai szerint ítélték meg. Az elsődleges biztonságossági</w:t>
      </w:r>
      <w:r w:rsidR="00D7765B" w:rsidRPr="00585553">
        <w:t xml:space="preserve"> </w:t>
      </w:r>
      <w:r w:rsidRPr="00585553">
        <w:t>végpont, a nagyfokú vérzés az egyes kezelési karokon a betegek 0,8%-ánál jelentkezett. CRNM vérzés</w:t>
      </w:r>
      <w:r w:rsidR="00D7765B" w:rsidRPr="00585553">
        <w:t xml:space="preserve"> </w:t>
      </w:r>
      <w:r w:rsidRPr="00585553">
        <w:t>11 betegnél jelentkezett (4,3%) az apixabán-karon és 3 betegnél (1,2%) a szokásos ellátást alkalmazó</w:t>
      </w:r>
      <w:r w:rsidR="00D7765B" w:rsidRPr="00585553">
        <w:t xml:space="preserve"> </w:t>
      </w:r>
      <w:r w:rsidRPr="00585553">
        <w:t>karon. A kezelési különbséghez hozzájáruló leggyakoribb CRNM vérzéses esemény enyhe vagy</w:t>
      </w:r>
      <w:r w:rsidR="00D7765B" w:rsidRPr="00585553">
        <w:t xml:space="preserve"> </w:t>
      </w:r>
      <w:r w:rsidRPr="00585553">
        <w:t>mérsékelt intenzitású epistaxis volt. Kisfokú vérzéses események 37 betegnél fordultak elő az</w:t>
      </w:r>
      <w:r w:rsidR="00D7765B" w:rsidRPr="00585553">
        <w:t xml:space="preserve"> </w:t>
      </w:r>
      <w:r w:rsidRPr="00585553">
        <w:t>apixabán-karon (14,5%) és 20 betegnél (7,8%) a szokásos ellátást alkalmazó karon.</w:t>
      </w:r>
    </w:p>
    <w:p w14:paraId="615DCD7C" w14:textId="77777777" w:rsidR="00651EC3" w:rsidRPr="00585553" w:rsidRDefault="00651EC3" w:rsidP="00651EC3">
      <w:pPr>
        <w:pStyle w:val="Szvegtrzs"/>
        <w:spacing w:line="249" w:lineRule="exact"/>
        <w:ind w:right="2"/>
      </w:pPr>
    </w:p>
    <w:p w14:paraId="47B5CC93" w14:textId="230F18AE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 thromboembolia (TE) megelőzése veleszületett vagy szerzett szívbetegséggel élő gyermekeknél és</w:t>
      </w:r>
      <w:r w:rsidR="00D7765B" w:rsidRPr="00585553">
        <w:t xml:space="preserve"> </w:t>
      </w:r>
      <w:r w:rsidRPr="00585553">
        <w:t>serdülőknél</w:t>
      </w:r>
    </w:p>
    <w:p w14:paraId="040BFF4B" w14:textId="49013E93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 SAXOPHONE egy 2:1 arányban randomizált, nyílt elrendezésű, multicentrikus, összehasonlító</w:t>
      </w:r>
      <w:r w:rsidR="00D7765B" w:rsidRPr="00585553">
        <w:t xml:space="preserve"> vizsgálat volt 28 nap –</w:t>
      </w:r>
      <w:r w:rsidRPr="00585553">
        <w:t xml:space="preserve"> betöltött 18 év közötti életkorú, veleszületett vagy szerzett szívbetegségben</w:t>
      </w:r>
      <w:r w:rsidR="00D7765B" w:rsidRPr="00585553">
        <w:t xml:space="preserve"> </w:t>
      </w:r>
      <w:r w:rsidRPr="00585553">
        <w:t>szenvedő, antikoagulálást igénylő betegeknél. A betegek apixabánt vagy a szokásos</w:t>
      </w:r>
      <w:r w:rsidR="00D7765B" w:rsidRPr="00585553">
        <w:t xml:space="preserve"> </w:t>
      </w:r>
      <w:r w:rsidRPr="00585553">
        <w:t>thromboprofilaktikus ellátást kapták egy K-vitamin-antagonistával vagy kis molekulatömegű</w:t>
      </w:r>
      <w:r w:rsidR="00D7765B" w:rsidRPr="00585553">
        <w:t xml:space="preserve"> </w:t>
      </w:r>
      <w:r w:rsidRPr="00585553">
        <w:t>heparinnal. Az apixabánt fix dózisban, a testtömeghez igazított adagolási rend szerint kapták, amelyet</w:t>
      </w:r>
      <w:r w:rsidR="00D7765B" w:rsidRPr="00585553">
        <w:t xml:space="preserve"> </w:t>
      </w:r>
      <w:r w:rsidRPr="00585553">
        <w:t>úgy hoztak létre, hogy az a napi kétszer 5 mg-os adagot kapó felnőtteknél megfigyelt expozícióval</w:t>
      </w:r>
      <w:r w:rsidR="00D7765B" w:rsidRPr="00585553">
        <w:t xml:space="preserve"> </w:t>
      </w:r>
      <w:r w:rsidRPr="00585553">
        <w:t>hasonló expozíciót eredményezzen (lásd 13. táblázat). A vizsgálatba</w:t>
      </w:r>
      <w:r w:rsidR="00D7765B" w:rsidRPr="00585553">
        <w:t>n 5 mg-os és 0,5 </w:t>
      </w:r>
      <w:r w:rsidRPr="00585553">
        <w:t>mg-os tablettát</w:t>
      </w:r>
      <w:r w:rsidR="00D7765B" w:rsidRPr="00585553">
        <w:t xml:space="preserve"> vagy 0,4 </w:t>
      </w:r>
      <w:r w:rsidRPr="00585553">
        <w:t>mg/ml-es belsőleges oldatot alkalmaztak. Az expozíció átlagos időtartama az apixabán-karon</w:t>
      </w:r>
      <w:r w:rsidR="00D7765B" w:rsidRPr="00585553">
        <w:t xml:space="preserve"> </w:t>
      </w:r>
      <w:r w:rsidRPr="00585553">
        <w:t>331 nap volt.</w:t>
      </w:r>
    </w:p>
    <w:p w14:paraId="5B4D8483" w14:textId="7D704AD0" w:rsidR="00651EC3" w:rsidRDefault="00651EC3" w:rsidP="00651EC3">
      <w:pPr>
        <w:pStyle w:val="Szvegtrzs"/>
        <w:spacing w:line="249" w:lineRule="exact"/>
        <w:ind w:right="2"/>
        <w:rPr>
          <w:u w:val="single"/>
        </w:rPr>
      </w:pPr>
    </w:p>
    <w:p w14:paraId="47E16C22" w14:textId="77777777" w:rsidR="00651EC3" w:rsidRDefault="00651EC3" w:rsidP="00651EC3">
      <w:pPr>
        <w:pStyle w:val="Szvegtrzs"/>
        <w:spacing w:line="249" w:lineRule="exact"/>
        <w:ind w:right="2"/>
        <w:rPr>
          <w:u w:val="single"/>
        </w:rPr>
      </w:pPr>
    </w:p>
    <w:p w14:paraId="54DB5009" w14:textId="77777777" w:rsidR="00303BA8" w:rsidRPr="00303BA8" w:rsidRDefault="00303BA8" w:rsidP="00303BA8">
      <w:pPr>
        <w:spacing w:line="249" w:lineRule="exact"/>
        <w:ind w:right="2"/>
      </w:pPr>
    </w:p>
    <w:p w14:paraId="7C9A4CFF" w14:textId="6C2147CE" w:rsidR="00303BA8" w:rsidRPr="00303BA8" w:rsidRDefault="00303BA8" w:rsidP="00303BA8">
      <w:pPr>
        <w:pStyle w:val="Listaszerbekezds"/>
        <w:numPr>
          <w:ilvl w:val="0"/>
          <w:numId w:val="47"/>
        </w:numPr>
        <w:spacing w:line="249" w:lineRule="exact"/>
        <w:ind w:right="2"/>
        <w:rPr>
          <w:b/>
        </w:rPr>
      </w:pPr>
      <w:r w:rsidRPr="00303BA8">
        <w:rPr>
          <w:b/>
        </w:rPr>
        <w:t>táblázat: Az apixaban adagolása a SAXOPHONE vizsgálatban</w:t>
      </w:r>
    </w:p>
    <w:tbl>
      <w:tblPr>
        <w:tblStyle w:val="Rcsostblzat1"/>
        <w:tblW w:w="0" w:type="auto"/>
        <w:tblInd w:w="456" w:type="dxa"/>
        <w:tblLook w:val="04A0" w:firstRow="1" w:lastRow="0" w:firstColumn="1" w:lastColumn="0" w:noHBand="0" w:noVBand="1"/>
      </w:tblPr>
      <w:tblGrid>
        <w:gridCol w:w="4347"/>
        <w:gridCol w:w="4261"/>
      </w:tblGrid>
      <w:tr w:rsidR="00303BA8" w:rsidRPr="00303BA8" w14:paraId="1D1185A8" w14:textId="77777777" w:rsidTr="004A22B6">
        <w:tc>
          <w:tcPr>
            <w:tcW w:w="4532" w:type="dxa"/>
          </w:tcPr>
          <w:p w14:paraId="4688C9C6" w14:textId="77777777" w:rsidR="00303BA8" w:rsidRPr="00303BA8" w:rsidRDefault="00303BA8" w:rsidP="00303BA8">
            <w:pPr>
              <w:spacing w:line="249" w:lineRule="exact"/>
              <w:ind w:right="2"/>
              <w:jc w:val="center"/>
              <w:rPr>
                <w:b/>
              </w:rPr>
            </w:pPr>
            <w:r w:rsidRPr="00303BA8">
              <w:rPr>
                <w:b/>
              </w:rPr>
              <w:t>Testtömegtartomány</w:t>
            </w:r>
          </w:p>
        </w:tc>
        <w:tc>
          <w:tcPr>
            <w:tcW w:w="4532" w:type="dxa"/>
          </w:tcPr>
          <w:p w14:paraId="08B18394" w14:textId="77777777" w:rsidR="00303BA8" w:rsidRPr="00303BA8" w:rsidRDefault="00303BA8" w:rsidP="00303BA8">
            <w:pPr>
              <w:spacing w:line="249" w:lineRule="exact"/>
              <w:ind w:right="2"/>
              <w:jc w:val="center"/>
              <w:rPr>
                <w:b/>
              </w:rPr>
            </w:pPr>
            <w:r w:rsidRPr="00303BA8">
              <w:rPr>
                <w:b/>
              </w:rPr>
              <w:t>Adagolás rend</w:t>
            </w:r>
          </w:p>
        </w:tc>
      </w:tr>
      <w:tr w:rsidR="00303BA8" w:rsidRPr="00303BA8" w14:paraId="5EEB191B" w14:textId="77777777" w:rsidTr="004A22B6">
        <w:tc>
          <w:tcPr>
            <w:tcW w:w="4532" w:type="dxa"/>
          </w:tcPr>
          <w:p w14:paraId="44413D0C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6 - &lt; 9 kg</w:t>
            </w:r>
          </w:p>
        </w:tc>
        <w:tc>
          <w:tcPr>
            <w:tcW w:w="4532" w:type="dxa"/>
          </w:tcPr>
          <w:p w14:paraId="15CFC5FC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 mg naponta kétszer</w:t>
            </w:r>
          </w:p>
        </w:tc>
      </w:tr>
      <w:tr w:rsidR="00303BA8" w:rsidRPr="00303BA8" w14:paraId="23F28206" w14:textId="77777777" w:rsidTr="004A22B6">
        <w:tc>
          <w:tcPr>
            <w:tcW w:w="4532" w:type="dxa"/>
          </w:tcPr>
          <w:p w14:paraId="7C2F025D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9 - &lt; 12 kg</w:t>
            </w:r>
          </w:p>
        </w:tc>
        <w:tc>
          <w:tcPr>
            <w:tcW w:w="4532" w:type="dxa"/>
          </w:tcPr>
          <w:p w14:paraId="327A96A8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1,5 mg naponta kétszer</w:t>
            </w:r>
          </w:p>
        </w:tc>
      </w:tr>
      <w:tr w:rsidR="00303BA8" w:rsidRPr="00303BA8" w14:paraId="7C31243F" w14:textId="77777777" w:rsidTr="004A22B6">
        <w:tc>
          <w:tcPr>
            <w:tcW w:w="4532" w:type="dxa"/>
          </w:tcPr>
          <w:p w14:paraId="2972F59A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12 - &lt; 18 kg</w:t>
            </w:r>
          </w:p>
        </w:tc>
        <w:tc>
          <w:tcPr>
            <w:tcW w:w="4532" w:type="dxa"/>
          </w:tcPr>
          <w:p w14:paraId="3A44CB1F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2 mg naponta kétszer</w:t>
            </w:r>
          </w:p>
        </w:tc>
      </w:tr>
      <w:tr w:rsidR="00303BA8" w:rsidRPr="00303BA8" w14:paraId="31408C07" w14:textId="77777777" w:rsidTr="004A22B6">
        <w:tc>
          <w:tcPr>
            <w:tcW w:w="4532" w:type="dxa"/>
          </w:tcPr>
          <w:p w14:paraId="044889BD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18 - &lt; 25 kg</w:t>
            </w:r>
          </w:p>
        </w:tc>
        <w:tc>
          <w:tcPr>
            <w:tcW w:w="4532" w:type="dxa"/>
          </w:tcPr>
          <w:p w14:paraId="6DD8CD15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3 mg naponta kétszer</w:t>
            </w:r>
          </w:p>
        </w:tc>
      </w:tr>
      <w:tr w:rsidR="00303BA8" w:rsidRPr="00303BA8" w14:paraId="72431ADD" w14:textId="77777777" w:rsidTr="004A22B6">
        <w:tc>
          <w:tcPr>
            <w:tcW w:w="4532" w:type="dxa"/>
          </w:tcPr>
          <w:p w14:paraId="1448A384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25 - &lt; 35 kg</w:t>
            </w:r>
          </w:p>
        </w:tc>
        <w:tc>
          <w:tcPr>
            <w:tcW w:w="4532" w:type="dxa"/>
          </w:tcPr>
          <w:p w14:paraId="41B5B08E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4 mg naponta kétszer</w:t>
            </w:r>
          </w:p>
        </w:tc>
      </w:tr>
      <w:tr w:rsidR="00303BA8" w:rsidRPr="00303BA8" w14:paraId="0F803448" w14:textId="77777777" w:rsidTr="004A22B6">
        <w:tc>
          <w:tcPr>
            <w:tcW w:w="4532" w:type="dxa"/>
          </w:tcPr>
          <w:p w14:paraId="136A83FA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rPr>
                <w:u w:val="single"/>
              </w:rPr>
              <w:t>≥ 35 kg</w:t>
            </w:r>
          </w:p>
        </w:tc>
        <w:tc>
          <w:tcPr>
            <w:tcW w:w="4532" w:type="dxa"/>
          </w:tcPr>
          <w:p w14:paraId="7855D2AD" w14:textId="77777777" w:rsidR="00303BA8" w:rsidRPr="00303BA8" w:rsidRDefault="00303BA8" w:rsidP="00303BA8">
            <w:pPr>
              <w:spacing w:line="249" w:lineRule="exact"/>
              <w:ind w:right="2"/>
              <w:jc w:val="center"/>
            </w:pPr>
            <w:r w:rsidRPr="00303BA8">
              <w:t>5 mg naponta kétszer</w:t>
            </w:r>
          </w:p>
        </w:tc>
      </w:tr>
    </w:tbl>
    <w:p w14:paraId="44626454" w14:textId="77777777" w:rsidR="00303BA8" w:rsidRPr="00303BA8" w:rsidRDefault="00303BA8" w:rsidP="00303BA8">
      <w:pPr>
        <w:spacing w:line="249" w:lineRule="exact"/>
        <w:ind w:right="2"/>
      </w:pPr>
    </w:p>
    <w:p w14:paraId="2DFE2653" w14:textId="77777777" w:rsidR="00651EC3" w:rsidRDefault="00651EC3" w:rsidP="00651EC3">
      <w:pPr>
        <w:pStyle w:val="Szvegtrzs"/>
        <w:spacing w:line="249" w:lineRule="exact"/>
        <w:ind w:right="2"/>
        <w:rPr>
          <w:u w:val="single"/>
        </w:rPr>
      </w:pPr>
    </w:p>
    <w:p w14:paraId="6EF01E1C" w14:textId="6D0E22B1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Az elsődleges biztonságossági végpont, az ISTH által meghatározott, igazolt súlyos és CRNM vérzés</w:t>
      </w:r>
      <w:r w:rsidR="003B6EEB" w:rsidRPr="00585553">
        <w:t xml:space="preserve"> </w:t>
      </w:r>
      <w:r w:rsidRPr="00585553">
        <w:t>összetett végpontja 126 beteg közül 1-nél (0,8%) fordult elő az apixabán-karon és 62 beteg közül</w:t>
      </w:r>
      <w:r w:rsidR="003B6EEB" w:rsidRPr="00585553">
        <w:t xml:space="preserve"> </w:t>
      </w:r>
      <w:r w:rsidRPr="00585553">
        <w:t>3-nál (4,8%) a szokásos ellátást alkalmazó karon. A másodlagos biztonságossági végpontokat jelentő</w:t>
      </w:r>
      <w:r w:rsidR="003B6EEB" w:rsidRPr="00585553">
        <w:t xml:space="preserve"> </w:t>
      </w:r>
      <w:r w:rsidRPr="00585553">
        <w:t>igazolt</w:t>
      </w:r>
      <w:r w:rsidRPr="00D96241">
        <w:rPr>
          <w:u w:val="single"/>
        </w:rPr>
        <w:t xml:space="preserve"> </w:t>
      </w:r>
      <w:r w:rsidRPr="00585553">
        <w:t>súlyos, CRNM és összes vérzéses események incidenciája hasonló volt a két kezelési karon. A</w:t>
      </w:r>
      <w:r w:rsidR="003B6EEB" w:rsidRPr="00585553">
        <w:t xml:space="preserve"> </w:t>
      </w:r>
      <w:r w:rsidRPr="00585553">
        <w:t>nemkívánatos esemény, intolerancia vagy vérzés miatti kezelésleállítás másodlagos biztonságossági</w:t>
      </w:r>
      <w:r w:rsidR="003B6EEB" w:rsidRPr="00585553">
        <w:t xml:space="preserve"> </w:t>
      </w:r>
      <w:r w:rsidRPr="00585553">
        <w:t>végpontot 7 alanynál (5,6%) jelentették az apixabán-karon és 1 alanynál (1,6%) a szokásos ellátást</w:t>
      </w:r>
      <w:r w:rsidR="003B6EEB" w:rsidRPr="00585553">
        <w:t xml:space="preserve"> </w:t>
      </w:r>
      <w:r w:rsidRPr="00585553">
        <w:t>alkalmazó karon. Egyik kar egyik betege sem tapasztalt thromboemboliás eseményt. Egyik kezelési</w:t>
      </w:r>
      <w:r w:rsidR="003B6EEB" w:rsidRPr="00585553">
        <w:t xml:space="preserve"> </w:t>
      </w:r>
      <w:r w:rsidRPr="00585553">
        <w:t>karon sem fordult elő halálozás.</w:t>
      </w:r>
    </w:p>
    <w:p w14:paraId="7738E667" w14:textId="6C008C55" w:rsidR="00651EC3" w:rsidRPr="00585553" w:rsidRDefault="00651EC3" w:rsidP="00651EC3">
      <w:pPr>
        <w:pStyle w:val="Szvegtrzs"/>
        <w:spacing w:line="249" w:lineRule="exact"/>
        <w:ind w:right="2"/>
      </w:pPr>
      <w:r w:rsidRPr="00585553">
        <w:t>Ezt a vizsgálatot prospektíven tervezték meg a leíró hatásosság és biztonságosság tekintetében, mivel</w:t>
      </w:r>
      <w:r w:rsidR="003B6EEB" w:rsidRPr="00585553">
        <w:t xml:space="preserve"> </w:t>
      </w:r>
      <w:r w:rsidRPr="00585553">
        <w:t>ebben a populációban a TE és vérzéses események incidenciája várhatóan alacsony. A TE események</w:t>
      </w:r>
      <w:r w:rsidR="003B6EEB" w:rsidRPr="00585553">
        <w:t xml:space="preserve"> </w:t>
      </w:r>
      <w:r w:rsidRPr="00585553">
        <w:t>vizsgálatban megfigyelt alacsony incidenciája miatt végső előny/kockázat elemzést nem lehetett</w:t>
      </w:r>
      <w:r w:rsidR="003B6EEB" w:rsidRPr="00585553">
        <w:t xml:space="preserve"> </w:t>
      </w:r>
      <w:r w:rsidRPr="00585553">
        <w:t>végezni.</w:t>
      </w:r>
      <w:r w:rsidR="003B6EEB" w:rsidRPr="00585553">
        <w:t xml:space="preserve"> </w:t>
      </w:r>
    </w:p>
    <w:p w14:paraId="1FBE8F1A" w14:textId="274F673A" w:rsidR="004C11B6" w:rsidRDefault="004C11B6" w:rsidP="00053662">
      <w:pPr>
        <w:pStyle w:val="Szvegtrzs"/>
        <w:spacing w:before="7"/>
        <w:ind w:right="2"/>
        <w:rPr>
          <w:sz w:val="20"/>
        </w:rPr>
      </w:pPr>
    </w:p>
    <w:p w14:paraId="2C37DF0F" w14:textId="77777777" w:rsidR="00651EC3" w:rsidRDefault="00651EC3" w:rsidP="00053662">
      <w:pPr>
        <w:pStyle w:val="Szvegtrzs"/>
        <w:spacing w:before="7"/>
        <w:ind w:right="2"/>
        <w:rPr>
          <w:sz w:val="20"/>
        </w:rPr>
      </w:pPr>
    </w:p>
    <w:p w14:paraId="6C84A206" w14:textId="77777777" w:rsidR="004C11B6" w:rsidRDefault="00F05A0C" w:rsidP="00053662">
      <w:pPr>
        <w:pStyle w:val="Cmsor2"/>
        <w:numPr>
          <w:ilvl w:val="1"/>
          <w:numId w:val="50"/>
        </w:numPr>
        <w:tabs>
          <w:tab w:val="left" w:pos="802"/>
          <w:tab w:val="left" w:pos="803"/>
        </w:tabs>
        <w:ind w:left="0" w:right="2" w:firstLine="0"/>
      </w:pPr>
      <w:r>
        <w:t>Farmakokinetikai</w:t>
      </w:r>
      <w:r>
        <w:rPr>
          <w:spacing w:val="-9"/>
        </w:rPr>
        <w:t xml:space="preserve"> </w:t>
      </w:r>
      <w:r>
        <w:t>tulajdonságok</w:t>
      </w:r>
    </w:p>
    <w:p w14:paraId="3748A842" w14:textId="77777777" w:rsidR="004C11B6" w:rsidRDefault="004C11B6" w:rsidP="00053662">
      <w:pPr>
        <w:pStyle w:val="Szvegtrzs"/>
        <w:spacing w:before="6"/>
        <w:ind w:right="2"/>
        <w:rPr>
          <w:b/>
          <w:sz w:val="20"/>
        </w:rPr>
      </w:pPr>
    </w:p>
    <w:p w14:paraId="796BAAFD" w14:textId="77777777" w:rsidR="004C11B6" w:rsidRDefault="00F05A0C" w:rsidP="00053662">
      <w:pPr>
        <w:pStyle w:val="Szvegtrzs"/>
        <w:ind w:right="2"/>
      </w:pPr>
      <w:r>
        <w:rPr>
          <w:u w:val="single"/>
        </w:rPr>
        <w:t>Felszívódás</w:t>
      </w:r>
    </w:p>
    <w:p w14:paraId="31F5161E" w14:textId="6BBF4DBB" w:rsidR="004C11B6" w:rsidRDefault="00F05A0C" w:rsidP="00053662">
      <w:pPr>
        <w:pStyle w:val="Szvegtrzs"/>
        <w:spacing w:line="228" w:lineRule="auto"/>
        <w:ind w:right="2"/>
      </w:pPr>
      <w:r>
        <w:t>Az apixabán abszolút biohasznosulása 10</w:t>
      </w:r>
      <w:r w:rsidR="003B6EEB">
        <w:t> </w:t>
      </w:r>
      <w:r>
        <w:t>mg-os dózisig körülbelül 50%. Az apixabán gyorsan</w:t>
      </w:r>
      <w:r>
        <w:rPr>
          <w:spacing w:val="1"/>
        </w:rPr>
        <w:t xml:space="preserve"> </w:t>
      </w:r>
      <w:r>
        <w:rPr>
          <w:position w:val="2"/>
        </w:rPr>
        <w:t>felszívódik, csúcskoncentrációját (C</w:t>
      </w:r>
      <w:r>
        <w:rPr>
          <w:sz w:val="14"/>
        </w:rPr>
        <w:t>max</w:t>
      </w:r>
      <w:r>
        <w:rPr>
          <w:position w:val="2"/>
        </w:rPr>
        <w:t>) 3 – 4 órával a tabletta bevétele után éri el. Az étellel együtt</w:t>
      </w:r>
      <w:r>
        <w:rPr>
          <w:spacing w:val="1"/>
          <w:position w:val="2"/>
        </w:rPr>
        <w:t xml:space="preserve"> </w:t>
      </w:r>
      <w:r>
        <w:rPr>
          <w:position w:val="2"/>
        </w:rPr>
        <w:t>történő bevétel 10</w:t>
      </w:r>
      <w:r w:rsidR="003B6EEB">
        <w:rPr>
          <w:position w:val="2"/>
        </w:rPr>
        <w:t> </w:t>
      </w:r>
      <w:r>
        <w:rPr>
          <w:position w:val="2"/>
        </w:rPr>
        <w:t>mg-os dózis mellett nem befolyásolja az apixabán AUC- vagy C</w:t>
      </w:r>
      <w:r>
        <w:rPr>
          <w:sz w:val="14"/>
        </w:rPr>
        <w:t>max</w:t>
      </w:r>
      <w:r>
        <w:rPr>
          <w:position w:val="2"/>
        </w:rPr>
        <w:t>-értékeket. Az</w:t>
      </w:r>
      <w:r>
        <w:rPr>
          <w:spacing w:val="-52"/>
          <w:position w:val="2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étkezés</w:t>
      </w:r>
      <w:r>
        <w:rPr>
          <w:spacing w:val="-1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étkezéstől</w:t>
      </w:r>
      <w:r>
        <w:rPr>
          <w:spacing w:val="-1"/>
        </w:rPr>
        <w:t xml:space="preserve"> </w:t>
      </w:r>
      <w:r>
        <w:t>függetlenül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bevehető.</w:t>
      </w:r>
    </w:p>
    <w:p w14:paraId="225E3818" w14:textId="77777777" w:rsidR="004C11B6" w:rsidRDefault="004C11B6" w:rsidP="00053662">
      <w:pPr>
        <w:pStyle w:val="Szvegtrzs"/>
        <w:spacing w:before="7"/>
        <w:ind w:right="2"/>
        <w:rPr>
          <w:sz w:val="21"/>
        </w:rPr>
      </w:pPr>
    </w:p>
    <w:p w14:paraId="139AB73B" w14:textId="2515DFAB" w:rsidR="004C11B6" w:rsidRDefault="00F05A0C" w:rsidP="00053662">
      <w:pPr>
        <w:pStyle w:val="Szvegtrzs"/>
        <w:spacing w:line="230" w:lineRule="auto"/>
      </w:pPr>
      <w:r>
        <w:t>Az apixabán naponta 10</w:t>
      </w:r>
      <w:r w:rsidR="003B6EEB">
        <w:t> </w:t>
      </w:r>
      <w:r>
        <w:t>mg-ig növekvő, szájon át történő adagolás mellett a dózissal arányos,</w:t>
      </w:r>
      <w:r>
        <w:rPr>
          <w:spacing w:val="1"/>
        </w:rPr>
        <w:t xml:space="preserve"> </w:t>
      </w:r>
      <w:r>
        <w:rPr>
          <w:spacing w:val="-1"/>
        </w:rPr>
        <w:t xml:space="preserve">lineáris farmakokinetikát mutat. A 25 mg-os </w:t>
      </w:r>
      <w:r>
        <w:t>vagy annál nagyobb adagokban az apixabán az</w:t>
      </w:r>
      <w:r>
        <w:rPr>
          <w:spacing w:val="1"/>
        </w:rPr>
        <w:t xml:space="preserve"> </w:t>
      </w:r>
      <w:r>
        <w:rPr>
          <w:spacing w:val="-1"/>
        </w:rPr>
        <w:t xml:space="preserve">oldódás által korlátozott felszívódást </w:t>
      </w:r>
      <w:r>
        <w:t>mutat, csökkent biohasznosulással. Az apixabán-expozíciós</w:t>
      </w:r>
      <w:r w:rsidRPr="00363C37">
        <w:t xml:space="preserve"> </w:t>
      </w:r>
      <w:r>
        <w:t>paraméterek alacsony, illetve közepes mértékű variabilitást mutatnak, amit az egyénen belüli</w:t>
      </w:r>
      <w:r>
        <w:rPr>
          <w:spacing w:val="1"/>
        </w:rPr>
        <w:t xml:space="preserve"> </w:t>
      </w:r>
      <w:r>
        <w:t xml:space="preserve">variabilitás kb. 21%-os variációs együtthatója, míg az egyének közötti variabilitás kb. </w:t>
      </w:r>
      <w:r w:rsidR="00313FE8">
        <w:t>2</w:t>
      </w:r>
      <w:r>
        <w:t>0%-os</w:t>
      </w:r>
      <w:r>
        <w:rPr>
          <w:spacing w:val="1"/>
        </w:rPr>
        <w:t xml:space="preserve"> </w:t>
      </w:r>
      <w:r>
        <w:t>variációs</w:t>
      </w:r>
      <w:r>
        <w:rPr>
          <w:spacing w:val="-2"/>
        </w:rPr>
        <w:t xml:space="preserve"> </w:t>
      </w:r>
      <w:r>
        <w:t>együtthatója</w:t>
      </w:r>
      <w:r>
        <w:rPr>
          <w:spacing w:val="-1"/>
        </w:rPr>
        <w:t xml:space="preserve"> </w:t>
      </w:r>
      <w:r>
        <w:t>jelez.</w:t>
      </w:r>
    </w:p>
    <w:p w14:paraId="317402FD" w14:textId="77777777" w:rsidR="004C11B6" w:rsidRDefault="004C11B6" w:rsidP="00053662">
      <w:pPr>
        <w:pStyle w:val="Szvegtrzs"/>
        <w:spacing w:before="8"/>
        <w:rPr>
          <w:sz w:val="21"/>
        </w:rPr>
      </w:pPr>
    </w:p>
    <w:p w14:paraId="4AA3725C" w14:textId="3056F4BB" w:rsidR="004C11B6" w:rsidRDefault="00F05A0C" w:rsidP="00053662">
      <w:pPr>
        <w:pStyle w:val="Szvegtrzs"/>
        <w:spacing w:line="230" w:lineRule="auto"/>
      </w:pPr>
      <w:r>
        <w:t>10</w:t>
      </w:r>
      <w:r w:rsidR="003B6EEB">
        <w:t> </w:t>
      </w:r>
      <w:r>
        <w:t>mg apixabán 2 db porrá tört, 30</w:t>
      </w:r>
      <w:r w:rsidR="003B6EEB">
        <w:t> </w:t>
      </w:r>
      <w:r>
        <w:t>ml vízben szuszpendált 5</w:t>
      </w:r>
      <w:r w:rsidR="003B6EEB">
        <w:t> </w:t>
      </w:r>
      <w:r>
        <w:t>mg-os tabletta formájában, szájon át</w:t>
      </w:r>
      <w:r>
        <w:rPr>
          <w:spacing w:val="1"/>
        </w:rPr>
        <w:t xml:space="preserve"> </w:t>
      </w:r>
      <w:r>
        <w:t>történő bevétele után az expozíció összemérhető volt 2 db 5</w:t>
      </w:r>
      <w:r w:rsidR="003B6EEB">
        <w:t> </w:t>
      </w:r>
      <w:r>
        <w:t>mg-os tabletta szájon át, egészben történő</w:t>
      </w:r>
      <w:r>
        <w:rPr>
          <w:spacing w:val="-52"/>
        </w:rPr>
        <w:t xml:space="preserve"> </w:t>
      </w:r>
      <w:r>
        <w:t>bevétele után mért expozícióval. 10 mg apixabán 2 db porrá tört, 30</w:t>
      </w:r>
      <w:r w:rsidR="003B6EEB">
        <w:t> </w:t>
      </w:r>
      <w:r>
        <w:t>g almapüréhez kevert 5</w:t>
      </w:r>
      <w:r w:rsidR="003B6EEB">
        <w:t> </w:t>
      </w:r>
      <w:r>
        <w:t>mg-os</w:t>
      </w:r>
      <w:r>
        <w:rPr>
          <w:spacing w:val="1"/>
        </w:rPr>
        <w:t xml:space="preserve"> </w:t>
      </w:r>
      <w:r>
        <w:rPr>
          <w:position w:val="2"/>
        </w:rPr>
        <w:t>tabletta formájában, szájon át történő beadása után a C</w:t>
      </w:r>
      <w:r>
        <w:rPr>
          <w:sz w:val="14"/>
        </w:rPr>
        <w:t xml:space="preserve">max </w:t>
      </w:r>
      <w:r>
        <w:rPr>
          <w:position w:val="2"/>
        </w:rPr>
        <w:t>21%-kal, az AUC pedig 16%-kal</w:t>
      </w:r>
      <w:r>
        <w:rPr>
          <w:spacing w:val="1"/>
          <w:position w:val="2"/>
        </w:rPr>
        <w:t xml:space="preserve"> </w:t>
      </w:r>
      <w:r>
        <w:t>alacsonyabb volt, mint amit 2 db egészben bevett 5</w:t>
      </w:r>
      <w:r w:rsidR="003B6EEB">
        <w:t> </w:t>
      </w:r>
      <w:r>
        <w:t>mg-os tabletta után mértek. Az expozíció</w:t>
      </w:r>
      <w:r>
        <w:rPr>
          <w:spacing w:val="1"/>
        </w:rPr>
        <w:t xml:space="preserve"> </w:t>
      </w:r>
      <w:r>
        <w:t>csökkenése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minősül</w:t>
      </w:r>
      <w:r>
        <w:rPr>
          <w:spacing w:val="-1"/>
        </w:rPr>
        <w:t xml:space="preserve"> </w:t>
      </w:r>
      <w:r>
        <w:t>klinikailag</w:t>
      </w:r>
      <w:r>
        <w:rPr>
          <w:spacing w:val="-2"/>
        </w:rPr>
        <w:t xml:space="preserve"> </w:t>
      </w:r>
      <w:r>
        <w:t>jelentősnek.</w:t>
      </w:r>
    </w:p>
    <w:p w14:paraId="7B671413" w14:textId="77777777" w:rsidR="004C11B6" w:rsidRDefault="004C11B6">
      <w:pPr>
        <w:pStyle w:val="Szvegtrzs"/>
        <w:spacing w:before="2"/>
        <w:rPr>
          <w:sz w:val="21"/>
        </w:rPr>
      </w:pPr>
    </w:p>
    <w:p w14:paraId="3C7A293E" w14:textId="378358FB" w:rsidR="004C11B6" w:rsidRDefault="00F05A0C" w:rsidP="00677E8A">
      <w:pPr>
        <w:pStyle w:val="Szvegtrzs"/>
        <w:spacing w:line="230" w:lineRule="auto"/>
        <w:ind w:right="2"/>
        <w:jc w:val="both"/>
      </w:pPr>
      <w:r>
        <w:t>Egy porrá tört, 60</w:t>
      </w:r>
      <w:r w:rsidR="003B6EEB">
        <w:t> </w:t>
      </w:r>
      <w:r>
        <w:t>ml 5%-os glükózoldatban szuszpendált 5</w:t>
      </w:r>
      <w:r w:rsidR="003B6EEB">
        <w:t> </w:t>
      </w:r>
      <w:r>
        <w:t>mg-os apixabán tabletta nasogastricus</w:t>
      </w:r>
      <w:r>
        <w:rPr>
          <w:spacing w:val="-52"/>
        </w:rPr>
        <w:t xml:space="preserve"> </w:t>
      </w:r>
      <w:r>
        <w:t>szondán át történő beadása után az expozíció hasonló volt olyan más klinikai vizsgálatokban mért</w:t>
      </w:r>
      <w:r>
        <w:rPr>
          <w:spacing w:val="-52"/>
        </w:rPr>
        <w:t xml:space="preserve"> </w:t>
      </w:r>
      <w:r>
        <w:t>expozícióhoz,</w:t>
      </w:r>
      <w:r>
        <w:rPr>
          <w:spacing w:val="-3"/>
        </w:rPr>
        <w:t xml:space="preserve"> </w:t>
      </w:r>
      <w:r>
        <w:t>ahol</w:t>
      </w:r>
      <w:r>
        <w:rPr>
          <w:spacing w:val="-2"/>
        </w:rPr>
        <w:t xml:space="preserve"> </w:t>
      </w:r>
      <w:r>
        <w:t>egészséges</w:t>
      </w:r>
      <w:r>
        <w:rPr>
          <w:spacing w:val="-2"/>
        </w:rPr>
        <w:t xml:space="preserve"> </w:t>
      </w:r>
      <w:r>
        <w:t>alanyok</w:t>
      </w:r>
      <w:r>
        <w:rPr>
          <w:spacing w:val="-2"/>
        </w:rPr>
        <w:t xml:space="preserve"> </w:t>
      </w:r>
      <w:r>
        <w:t>egy</w:t>
      </w:r>
      <w:r>
        <w:rPr>
          <w:spacing w:val="-4"/>
        </w:rPr>
        <w:t xml:space="preserve"> </w:t>
      </w:r>
      <w:r>
        <w:t>5</w:t>
      </w:r>
      <w:r w:rsidR="003B6EEB">
        <w:rPr>
          <w:spacing w:val="1"/>
        </w:rPr>
        <w:t> </w:t>
      </w:r>
      <w:r>
        <w:t>mg-os</w:t>
      </w:r>
      <w:r>
        <w:rPr>
          <w:spacing w:val="-1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tablettát</w:t>
      </w:r>
      <w:r>
        <w:rPr>
          <w:spacing w:val="-2"/>
        </w:rPr>
        <w:t xml:space="preserve"> </w:t>
      </w:r>
      <w:r>
        <w:t>kaptak</w:t>
      </w:r>
      <w:r>
        <w:rPr>
          <w:spacing w:val="-2"/>
        </w:rPr>
        <w:t xml:space="preserve"> </w:t>
      </w:r>
      <w:r>
        <w:t>szájon</w:t>
      </w:r>
      <w:r>
        <w:rPr>
          <w:spacing w:val="-2"/>
        </w:rPr>
        <w:t xml:space="preserve"> </w:t>
      </w:r>
      <w:r>
        <w:t>át.</w:t>
      </w:r>
    </w:p>
    <w:p w14:paraId="7FE9383A" w14:textId="77777777" w:rsidR="004C11B6" w:rsidRDefault="00F05A0C" w:rsidP="00677E8A">
      <w:pPr>
        <w:pStyle w:val="Szvegtrzs"/>
        <w:spacing w:before="81" w:line="230" w:lineRule="auto"/>
        <w:ind w:right="2"/>
      </w:pPr>
      <w:r>
        <w:t>Az apixabán előre jelezhető, dózisarányos farmakokinetikai profilja miatt az elvégzett klinikai</w:t>
      </w:r>
      <w:r>
        <w:rPr>
          <w:spacing w:val="1"/>
        </w:rPr>
        <w:t xml:space="preserve"> </w:t>
      </w:r>
      <w:r>
        <w:t>vizsgálatokból</w:t>
      </w:r>
      <w:r>
        <w:rPr>
          <w:spacing w:val="-7"/>
        </w:rPr>
        <w:t xml:space="preserve"> </w:t>
      </w:r>
      <w:r>
        <w:t>származó</w:t>
      </w:r>
      <w:r>
        <w:rPr>
          <w:spacing w:val="-5"/>
        </w:rPr>
        <w:t xml:space="preserve"> </w:t>
      </w:r>
      <w:r>
        <w:t>biohasznosulási</w:t>
      </w:r>
      <w:r>
        <w:rPr>
          <w:spacing w:val="-6"/>
        </w:rPr>
        <w:t xml:space="preserve"> </w:t>
      </w:r>
      <w:r>
        <w:t>eredmények</w:t>
      </w:r>
      <w:r>
        <w:rPr>
          <w:spacing w:val="-6"/>
        </w:rPr>
        <w:t xml:space="preserve"> </w:t>
      </w:r>
      <w:r>
        <w:t>alacsonyabb</w:t>
      </w:r>
      <w:r>
        <w:rPr>
          <w:spacing w:val="-8"/>
        </w:rPr>
        <w:t xml:space="preserve"> </w:t>
      </w:r>
      <w:r>
        <w:t>apixabán</w:t>
      </w:r>
      <w:r>
        <w:rPr>
          <w:spacing w:val="-6"/>
        </w:rPr>
        <w:t xml:space="preserve"> </w:t>
      </w:r>
      <w:r>
        <w:t>dózisokra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érvényesek.</w:t>
      </w:r>
    </w:p>
    <w:p w14:paraId="311F0FDE" w14:textId="77777777" w:rsidR="004C11B6" w:rsidRDefault="004C11B6" w:rsidP="00677E8A">
      <w:pPr>
        <w:pStyle w:val="Szvegtrzs"/>
        <w:spacing w:before="5"/>
        <w:ind w:right="2"/>
        <w:rPr>
          <w:sz w:val="20"/>
        </w:rPr>
      </w:pPr>
    </w:p>
    <w:p w14:paraId="0FB088CD" w14:textId="77777777" w:rsidR="004C11B6" w:rsidRDefault="00F05A0C" w:rsidP="00677E8A">
      <w:pPr>
        <w:pStyle w:val="Szvegtrzs"/>
        <w:spacing w:before="1"/>
        <w:ind w:right="2"/>
      </w:pPr>
      <w:r>
        <w:rPr>
          <w:u w:val="single"/>
        </w:rPr>
        <w:t>Eloszlás</w:t>
      </w:r>
    </w:p>
    <w:p w14:paraId="083B15B5" w14:textId="44F95C5E" w:rsidR="004C11B6" w:rsidRDefault="00F05A0C" w:rsidP="00677E8A">
      <w:pPr>
        <w:pStyle w:val="Szvegtrzs"/>
        <w:spacing w:line="230" w:lineRule="auto"/>
        <w:ind w:right="2"/>
      </w:pPr>
      <w:r>
        <w:rPr>
          <w:position w:val="2"/>
        </w:rPr>
        <w:t>A plazmafehérjékhez való kötődése ember</w:t>
      </w:r>
      <w:r w:rsidR="003B6EEB">
        <w:rPr>
          <w:position w:val="2"/>
        </w:rPr>
        <w:t xml:space="preserve">nél </w:t>
      </w:r>
      <w:r>
        <w:rPr>
          <w:position w:val="2"/>
        </w:rPr>
        <w:t>hozzávetőlegesen 87%. Megoszlási térfogata (V</w:t>
      </w:r>
      <w:r>
        <w:rPr>
          <w:sz w:val="14"/>
        </w:rPr>
        <w:t>ss</w:t>
      </w:r>
      <w:r>
        <w:rPr>
          <w:position w:val="2"/>
        </w:rPr>
        <w:t>)</w:t>
      </w:r>
      <w:r>
        <w:rPr>
          <w:spacing w:val="-52"/>
          <w:position w:val="2"/>
        </w:rPr>
        <w:t xml:space="preserve"> </w:t>
      </w:r>
      <w:r>
        <w:t>hozzávetőlegesen</w:t>
      </w:r>
      <w:r>
        <w:rPr>
          <w:spacing w:val="-2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liter.</w:t>
      </w:r>
    </w:p>
    <w:p w14:paraId="5DBC6386" w14:textId="77777777" w:rsidR="004C11B6" w:rsidRDefault="004C11B6" w:rsidP="00677E8A">
      <w:pPr>
        <w:pStyle w:val="Szvegtrzs"/>
        <w:spacing w:before="6"/>
        <w:ind w:right="2"/>
        <w:rPr>
          <w:sz w:val="20"/>
        </w:rPr>
      </w:pPr>
    </w:p>
    <w:p w14:paraId="1F42E0F1" w14:textId="77777777" w:rsidR="004C11B6" w:rsidRDefault="00F05A0C" w:rsidP="00677E8A">
      <w:pPr>
        <w:pStyle w:val="Szvegtrzs"/>
        <w:ind w:right="2"/>
      </w:pPr>
      <w:r>
        <w:rPr>
          <w:u w:val="single"/>
        </w:rPr>
        <w:t>Biotranszformáció</w:t>
      </w:r>
      <w:r>
        <w:rPr>
          <w:spacing w:val="-7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u w:val="single"/>
        </w:rPr>
        <w:t>elimináció</w:t>
      </w:r>
    </w:p>
    <w:p w14:paraId="4777D6C8" w14:textId="2D594B0E" w:rsidR="004C11B6" w:rsidRDefault="00F05A0C" w:rsidP="00677E8A">
      <w:pPr>
        <w:pStyle w:val="Szvegtrzs"/>
        <w:spacing w:line="230" w:lineRule="auto"/>
        <w:ind w:right="2"/>
      </w:pPr>
      <w:r>
        <w:t>Az apixabán több útvonalon keresztül eliminálódik. Emberek</w:t>
      </w:r>
      <w:r w:rsidR="00B31A1D">
        <w:t>nél</w:t>
      </w:r>
      <w:r>
        <w:t xml:space="preserve"> a bejuttatott apixabán dózis</w:t>
      </w:r>
      <w:r>
        <w:rPr>
          <w:spacing w:val="1"/>
        </w:rPr>
        <w:t xml:space="preserve"> </w:t>
      </w:r>
      <w:r>
        <w:t>mintegy 25%-a volt visszanyerhető metabolitok formájában, melynek nagyobbik hányada a</w:t>
      </w:r>
      <w:r>
        <w:rPr>
          <w:spacing w:val="1"/>
        </w:rPr>
        <w:t xml:space="preserve"> </w:t>
      </w:r>
      <w:r>
        <w:t>székletből volt visszanyerhető. Az apixabán renális kiválasztódása a teljes clearance körülbelül</w:t>
      </w:r>
      <w:r>
        <w:rPr>
          <w:spacing w:val="-52"/>
        </w:rPr>
        <w:t xml:space="preserve"> </w:t>
      </w:r>
      <w:r>
        <w:t>27%-át teszi ki. Klinikai vizsgálatok során biliáris, illetve nem klinikai vizsgálatok során</w:t>
      </w:r>
      <w:r>
        <w:rPr>
          <w:spacing w:val="1"/>
        </w:rPr>
        <w:t xml:space="preserve"> </w:t>
      </w:r>
      <w:r>
        <w:t>közvetlen</w:t>
      </w:r>
      <w:r>
        <w:rPr>
          <w:spacing w:val="-2"/>
        </w:rPr>
        <w:t xml:space="preserve"> </w:t>
      </w:r>
      <w:r>
        <w:t>intestinális</w:t>
      </w:r>
      <w:r>
        <w:rPr>
          <w:spacing w:val="-1"/>
        </w:rPr>
        <w:t xml:space="preserve"> </w:t>
      </w:r>
      <w:r>
        <w:t>kiválasztódást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megfigyeltek.</w:t>
      </w:r>
    </w:p>
    <w:p w14:paraId="5B779118" w14:textId="77777777" w:rsidR="004C11B6" w:rsidRDefault="004C11B6" w:rsidP="00677E8A">
      <w:pPr>
        <w:pStyle w:val="Szvegtrzs"/>
        <w:spacing w:before="9"/>
        <w:ind w:right="2"/>
        <w:rPr>
          <w:sz w:val="20"/>
        </w:rPr>
      </w:pPr>
    </w:p>
    <w:p w14:paraId="150628C7" w14:textId="77777777" w:rsidR="004C11B6" w:rsidRDefault="00F05A0C" w:rsidP="00677E8A">
      <w:pPr>
        <w:pStyle w:val="Szvegtrzs"/>
        <w:ind w:right="2"/>
      </w:pP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5"/>
        </w:rPr>
        <w:t xml:space="preserve"> </w:t>
      </w:r>
      <w:r>
        <w:t>teljes</w:t>
      </w:r>
      <w:r>
        <w:rPr>
          <w:spacing w:val="-4"/>
        </w:rPr>
        <w:t xml:space="preserve"> </w:t>
      </w:r>
      <w:r>
        <w:t>clearance-e</w:t>
      </w:r>
      <w:r>
        <w:rPr>
          <w:spacing w:val="-3"/>
        </w:rPr>
        <w:t xml:space="preserve"> </w:t>
      </w:r>
      <w:r>
        <w:t>3,3</w:t>
      </w:r>
      <w:r>
        <w:rPr>
          <w:spacing w:val="-2"/>
        </w:rPr>
        <w:t xml:space="preserve"> </w:t>
      </w:r>
      <w:r>
        <w:t>l/óra,</w:t>
      </w:r>
      <w:r>
        <w:rPr>
          <w:spacing w:val="-4"/>
        </w:rPr>
        <w:t xml:space="preserve"> </w:t>
      </w:r>
      <w:r>
        <w:t>felezési</w:t>
      </w:r>
      <w:r>
        <w:rPr>
          <w:spacing w:val="-3"/>
        </w:rPr>
        <w:t xml:space="preserve"> </w:t>
      </w:r>
      <w:r>
        <w:t>ideje</w:t>
      </w:r>
      <w:r>
        <w:rPr>
          <w:spacing w:val="-4"/>
        </w:rPr>
        <w:t xml:space="preserve"> </w:t>
      </w:r>
      <w:r>
        <w:t>körülbelül</w:t>
      </w:r>
      <w:r>
        <w:rPr>
          <w:spacing w:val="-3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óra.</w:t>
      </w:r>
    </w:p>
    <w:p w14:paraId="285712B7" w14:textId="77777777" w:rsidR="004C11B6" w:rsidRDefault="004C11B6" w:rsidP="00677E8A">
      <w:pPr>
        <w:pStyle w:val="Szvegtrzs"/>
        <w:spacing w:before="1"/>
        <w:ind w:right="2"/>
        <w:rPr>
          <w:sz w:val="21"/>
        </w:rPr>
      </w:pPr>
    </w:p>
    <w:p w14:paraId="2F75C7B4" w14:textId="77777777" w:rsidR="004C11B6" w:rsidRDefault="00F05A0C" w:rsidP="00677E8A">
      <w:pPr>
        <w:pStyle w:val="Szvegtrzs"/>
        <w:spacing w:line="230" w:lineRule="auto"/>
        <w:ind w:right="2"/>
      </w:pPr>
      <w:r>
        <w:t>A biotranszformáció fő támadáspontjai a 3-oxopiperidinil csoport O-demetilációja és</w:t>
      </w:r>
      <w:r>
        <w:rPr>
          <w:spacing w:val="1"/>
        </w:rPr>
        <w:t xml:space="preserve"> </w:t>
      </w:r>
      <w:r>
        <w:t>hidroxilációja. Az apixabán főként a CYP3A4/5 enzim útján metabolizálódik, a CYP1A2, 2C8,</w:t>
      </w:r>
      <w:r>
        <w:rPr>
          <w:spacing w:val="-52"/>
        </w:rPr>
        <w:t xml:space="preserve"> </w:t>
      </w:r>
      <w:r>
        <w:t>2C9, 2C19 és 2J2 kisebb fokú részvételével. A változatlan formájú apixabán a legfontosabb,</w:t>
      </w:r>
      <w:r>
        <w:rPr>
          <w:spacing w:val="1"/>
        </w:rPr>
        <w:t xml:space="preserve"> </w:t>
      </w:r>
      <w:r>
        <w:t>hatóanyaggal összefüggő vegyület a humán plazmában, aktív keringő metabolitok jelenléte</w:t>
      </w:r>
      <w:r>
        <w:rPr>
          <w:spacing w:val="1"/>
        </w:rPr>
        <w:t xml:space="preserve"> </w:t>
      </w:r>
      <w:r>
        <w:t>nélkül. Az apixabán szubsztrátja a transzport fehérjéknek, a P-gp-nek és az emlő carcinoma</w:t>
      </w:r>
      <w:r>
        <w:rPr>
          <w:spacing w:val="1"/>
        </w:rPr>
        <w:t xml:space="preserve"> </w:t>
      </w:r>
      <w:r>
        <w:t>rezisztencia</w:t>
      </w:r>
      <w:r>
        <w:rPr>
          <w:spacing w:val="-2"/>
        </w:rPr>
        <w:t xml:space="preserve"> </w:t>
      </w:r>
      <w:r>
        <w:t>proteinnek</w:t>
      </w:r>
      <w:r>
        <w:rPr>
          <w:spacing w:val="-1"/>
        </w:rPr>
        <w:t xml:space="preserve"> </w:t>
      </w:r>
      <w:r>
        <w:t>(BCRP).</w:t>
      </w:r>
    </w:p>
    <w:p w14:paraId="547B1A55" w14:textId="77777777" w:rsidR="004C11B6" w:rsidRDefault="004C11B6" w:rsidP="00677E8A">
      <w:pPr>
        <w:pStyle w:val="Szvegtrzs"/>
        <w:spacing w:before="8"/>
        <w:ind w:right="2"/>
        <w:rPr>
          <w:sz w:val="20"/>
        </w:rPr>
      </w:pPr>
    </w:p>
    <w:p w14:paraId="11AE15D5" w14:textId="77777777" w:rsidR="004C11B6" w:rsidRDefault="00F05A0C" w:rsidP="00677E8A">
      <w:pPr>
        <w:pStyle w:val="Szvegtrzs"/>
        <w:spacing w:before="1"/>
        <w:ind w:right="2"/>
      </w:pPr>
      <w:r>
        <w:rPr>
          <w:u w:val="single"/>
        </w:rPr>
        <w:t>Idősek</w:t>
      </w:r>
    </w:p>
    <w:p w14:paraId="2F53A036" w14:textId="77777777" w:rsidR="004C11B6" w:rsidRDefault="00F05A0C" w:rsidP="00677E8A">
      <w:pPr>
        <w:pStyle w:val="Szvegtrzs"/>
        <w:spacing w:line="232" w:lineRule="auto"/>
        <w:ind w:right="2"/>
      </w:pPr>
      <w:r>
        <w:t>Idős</w:t>
      </w:r>
      <w:r>
        <w:rPr>
          <w:spacing w:val="-5"/>
        </w:rPr>
        <w:t xml:space="preserve"> </w:t>
      </w:r>
      <w:r>
        <w:t>betegeknél</w:t>
      </w:r>
      <w:r>
        <w:rPr>
          <w:spacing w:val="-12"/>
        </w:rPr>
        <w:t xml:space="preserve"> </w:t>
      </w:r>
      <w:r>
        <w:t>(65</w:t>
      </w:r>
      <w:r>
        <w:rPr>
          <w:spacing w:val="-7"/>
        </w:rPr>
        <w:t xml:space="preserve"> </w:t>
      </w:r>
      <w:r>
        <w:t>év</w:t>
      </w:r>
      <w:r>
        <w:rPr>
          <w:spacing w:val="-4"/>
        </w:rPr>
        <w:t xml:space="preserve"> </w:t>
      </w:r>
      <w:r>
        <w:t>felett)</w:t>
      </w:r>
      <w:r>
        <w:rPr>
          <w:spacing w:val="-6"/>
        </w:rPr>
        <w:t xml:space="preserve"> </w:t>
      </w:r>
      <w:r>
        <w:t>magasabb</w:t>
      </w:r>
      <w:r>
        <w:rPr>
          <w:spacing w:val="-11"/>
        </w:rPr>
        <w:t xml:space="preserve"> </w:t>
      </w:r>
      <w:r>
        <w:t>plazmakoncentrációk</w:t>
      </w:r>
      <w:r>
        <w:rPr>
          <w:spacing w:val="-9"/>
        </w:rPr>
        <w:t xml:space="preserve"> </w:t>
      </w:r>
      <w:r>
        <w:t>fordultak</w:t>
      </w:r>
      <w:r>
        <w:rPr>
          <w:spacing w:val="-13"/>
        </w:rPr>
        <w:t xml:space="preserve"> </w:t>
      </w:r>
      <w:r>
        <w:t>elő,</w:t>
      </w:r>
      <w:r>
        <w:rPr>
          <w:spacing w:val="-6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fiatal</w:t>
      </w:r>
      <w:r>
        <w:rPr>
          <w:spacing w:val="-5"/>
        </w:rPr>
        <w:t xml:space="preserve"> </w:t>
      </w:r>
      <w:r>
        <w:t>betegeknél,</w:t>
      </w:r>
      <w:r>
        <w:rPr>
          <w:spacing w:val="1"/>
        </w:rPr>
        <w:t xml:space="preserve"> </w:t>
      </w:r>
      <w:r>
        <w:rPr>
          <w:position w:val="2"/>
        </w:rPr>
        <w:t>az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átlagos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AUC-értékek</w:t>
      </w:r>
      <w:r>
        <w:rPr>
          <w:spacing w:val="-10"/>
          <w:position w:val="2"/>
        </w:rPr>
        <w:t xml:space="preserve"> </w:t>
      </w:r>
      <w:r>
        <w:rPr>
          <w:position w:val="2"/>
        </w:rPr>
        <w:t>körülbelül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32%-kal</w:t>
      </w:r>
      <w:r>
        <w:rPr>
          <w:spacing w:val="-8"/>
          <w:position w:val="2"/>
        </w:rPr>
        <w:t xml:space="preserve"> </w:t>
      </w:r>
      <w:r>
        <w:rPr>
          <w:position w:val="2"/>
        </w:rPr>
        <w:t>voltak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magasabbak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és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nem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volt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különbség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C</w:t>
      </w:r>
      <w:r>
        <w:rPr>
          <w:sz w:val="14"/>
        </w:rPr>
        <w:t>max</w:t>
      </w:r>
      <w:r>
        <w:rPr>
          <w:position w:val="2"/>
        </w:rPr>
        <w:t>-ban.</w:t>
      </w:r>
    </w:p>
    <w:p w14:paraId="3635FAAE" w14:textId="77777777" w:rsidR="004C11B6" w:rsidRDefault="004C11B6" w:rsidP="00677E8A">
      <w:pPr>
        <w:pStyle w:val="Szvegtrzs"/>
        <w:spacing w:before="2"/>
        <w:ind w:right="2"/>
        <w:rPr>
          <w:sz w:val="20"/>
        </w:rPr>
      </w:pPr>
    </w:p>
    <w:p w14:paraId="4FDEAE7D" w14:textId="77777777" w:rsidR="004C11B6" w:rsidRDefault="00F05A0C" w:rsidP="00677E8A">
      <w:pPr>
        <w:pStyle w:val="Szvegtrzs"/>
        <w:ind w:right="2"/>
      </w:pPr>
      <w:r>
        <w:rPr>
          <w:u w:val="single"/>
        </w:rPr>
        <w:t>Vesekárosodás</w:t>
      </w:r>
    </w:p>
    <w:p w14:paraId="17AEBD3F" w14:textId="77777777" w:rsidR="004C11B6" w:rsidRDefault="00F05A0C" w:rsidP="001B6985">
      <w:pPr>
        <w:pStyle w:val="Szvegtrzs"/>
        <w:spacing w:before="1" w:line="248" w:lineRule="exact"/>
      </w:pPr>
      <w:r>
        <w:t>A</w:t>
      </w:r>
      <w:r>
        <w:rPr>
          <w:spacing w:val="-5"/>
        </w:rPr>
        <w:t xml:space="preserve"> </w:t>
      </w:r>
      <w:r>
        <w:t>vesekárosodás</w:t>
      </w:r>
      <w:r>
        <w:rPr>
          <w:spacing w:val="-5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hatással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csúcskoncentrációjára.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vesefunkció</w:t>
      </w:r>
    </w:p>
    <w:p w14:paraId="259EE20B" w14:textId="4CF1E1B7" w:rsidR="004C11B6" w:rsidRDefault="00F05A0C" w:rsidP="001B6985">
      <w:pPr>
        <w:pStyle w:val="Szvegtrzs"/>
        <w:spacing w:before="3" w:line="230" w:lineRule="auto"/>
      </w:pPr>
      <w:r>
        <w:t>kreatinin-clearance-szel mért csökkenésével összefüggő, megnövekedett apixabán-expozíciót figyeltek</w:t>
      </w:r>
      <w:r>
        <w:rPr>
          <w:spacing w:val="-52"/>
        </w:rPr>
        <w:t xml:space="preserve"> </w:t>
      </w:r>
      <w:r>
        <w:t>meg. A normál kreatinin-clearance-ű betegekhez képest az apixabán plazmakoncentrációjának (AUC)</w:t>
      </w:r>
      <w:r>
        <w:rPr>
          <w:spacing w:val="1"/>
        </w:rPr>
        <w:t xml:space="preserve"> </w:t>
      </w:r>
      <w:r>
        <w:t>növekedése</w:t>
      </w:r>
      <w:r>
        <w:rPr>
          <w:spacing w:val="3"/>
        </w:rPr>
        <w:t xml:space="preserve"> </w:t>
      </w:r>
      <w:r>
        <w:t>enyhe</w:t>
      </w:r>
      <w:r>
        <w:rPr>
          <w:spacing w:val="4"/>
        </w:rPr>
        <w:t xml:space="preserve"> </w:t>
      </w:r>
      <w:r w:rsidR="00B31A1D">
        <w:rPr>
          <w:spacing w:val="4"/>
        </w:rPr>
        <w:t xml:space="preserve">fokú </w:t>
      </w:r>
      <w:r>
        <w:t>vesekárosodás</w:t>
      </w:r>
      <w:r>
        <w:rPr>
          <w:spacing w:val="4"/>
        </w:rPr>
        <w:t xml:space="preserve"> </w:t>
      </w:r>
      <w:r>
        <w:t>(kreatinin-clearance</w:t>
      </w:r>
      <w:r>
        <w:rPr>
          <w:spacing w:val="4"/>
        </w:rPr>
        <w:t xml:space="preserve"> </w:t>
      </w:r>
      <w:r>
        <w:t>51-80</w:t>
      </w:r>
      <w:r>
        <w:rPr>
          <w:spacing w:val="7"/>
        </w:rPr>
        <w:t xml:space="preserve"> </w:t>
      </w:r>
      <w:r>
        <w:t>ml/perc)</w:t>
      </w:r>
      <w:r>
        <w:rPr>
          <w:spacing w:val="4"/>
        </w:rPr>
        <w:t xml:space="preserve"> </w:t>
      </w:r>
      <w:r>
        <w:t>esetén</w:t>
      </w:r>
      <w:r>
        <w:rPr>
          <w:spacing w:val="4"/>
        </w:rPr>
        <w:t xml:space="preserve"> </w:t>
      </w:r>
      <w:r>
        <w:t>16%-os,</w:t>
      </w:r>
      <w:r>
        <w:rPr>
          <w:spacing w:val="4"/>
        </w:rPr>
        <w:t xml:space="preserve"> </w:t>
      </w:r>
      <w:r>
        <w:t>közepe</w:t>
      </w:r>
      <w:r w:rsidR="00B31A1D">
        <w:t xml:space="preserve">s fokú </w:t>
      </w:r>
      <w:r>
        <w:t>vesekárosodás (kreatinin-clearance 30-50 ml/perc) esetén 29%-os, súlyos vesekárosodás</w:t>
      </w:r>
      <w:r>
        <w:rPr>
          <w:spacing w:val="1"/>
        </w:rPr>
        <w:t xml:space="preserve"> </w:t>
      </w:r>
      <w:r>
        <w:t>(kreatinin-clearance 15-29 ml/perc) esetén pedig 44%-os volt. A vesekárosodás nincs bizonyított</w:t>
      </w:r>
      <w:r>
        <w:rPr>
          <w:spacing w:val="1"/>
        </w:rPr>
        <w:t xml:space="preserve"> </w:t>
      </w:r>
      <w:r>
        <w:t>hatással</w:t>
      </w:r>
      <w:r>
        <w:rPr>
          <w:spacing w:val="-4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plazma-koncentrációja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Xa</w:t>
      </w:r>
      <w:r>
        <w:rPr>
          <w:spacing w:val="-3"/>
        </w:rPr>
        <w:t xml:space="preserve"> </w:t>
      </w:r>
      <w:r>
        <w:t>faktor-ellenes</w:t>
      </w:r>
      <w:r>
        <w:rPr>
          <w:spacing w:val="-3"/>
        </w:rPr>
        <w:t xml:space="preserve"> </w:t>
      </w:r>
      <w:r>
        <w:t>aktivitás</w:t>
      </w:r>
      <w:r>
        <w:rPr>
          <w:spacing w:val="-3"/>
        </w:rPr>
        <w:t xml:space="preserve"> </w:t>
      </w:r>
      <w:r>
        <w:t>közti</w:t>
      </w:r>
      <w:r>
        <w:rPr>
          <w:spacing w:val="-3"/>
        </w:rPr>
        <w:t xml:space="preserve"> </w:t>
      </w:r>
      <w:r>
        <w:t>összefüggésre.</w:t>
      </w:r>
    </w:p>
    <w:p w14:paraId="5B5296C3" w14:textId="77777777" w:rsidR="004C11B6" w:rsidRDefault="004C11B6" w:rsidP="001B6985">
      <w:pPr>
        <w:pStyle w:val="Szvegtrzs"/>
        <w:spacing w:before="7"/>
        <w:rPr>
          <w:sz w:val="21"/>
        </w:rPr>
      </w:pPr>
    </w:p>
    <w:p w14:paraId="0A6E9DB8" w14:textId="5152D95F" w:rsidR="004C11B6" w:rsidRDefault="00F05A0C" w:rsidP="001B6985">
      <w:pPr>
        <w:pStyle w:val="Szvegtrzs"/>
        <w:spacing w:line="230" w:lineRule="auto"/>
      </w:pPr>
      <w:r>
        <w:t>Végstádiumú vesebetegségben szenvedőknél az apixabán AUC értéke a normál veseműködésű</w:t>
      </w:r>
      <w:r>
        <w:rPr>
          <w:spacing w:val="1"/>
        </w:rPr>
        <w:t xml:space="preserve"> </w:t>
      </w:r>
      <w:r>
        <w:t>alanyoknál megfigyeltekhez képest 36%-kal nőtt, amikor közvetlenül hemodial</w:t>
      </w:r>
      <w:r w:rsidR="00DD53BC">
        <w:t>íz</w:t>
      </w:r>
      <w:r>
        <w:t>is után egyszeri</w:t>
      </w:r>
      <w:r w:rsidRPr="00677E8A">
        <w:t xml:space="preserve"> </w:t>
      </w:r>
      <w:r>
        <w:t>5</w:t>
      </w:r>
      <w:r w:rsidR="00B31A1D">
        <w:t> </w:t>
      </w:r>
      <w:r>
        <w:t>mg apixabán adagot alkalmaztak. Az apixabán egyszeri, 5</w:t>
      </w:r>
      <w:r w:rsidR="00B31A1D">
        <w:t> </w:t>
      </w:r>
      <w:r>
        <w:t>mg-os adagjának alkalmazása után</w:t>
      </w:r>
      <w:r>
        <w:rPr>
          <w:spacing w:val="1"/>
        </w:rPr>
        <w:t xml:space="preserve"> </w:t>
      </w:r>
      <w:r>
        <w:t>két</w:t>
      </w:r>
      <w:r>
        <w:rPr>
          <w:spacing w:val="-1"/>
        </w:rPr>
        <w:t xml:space="preserve"> </w:t>
      </w:r>
      <w:r>
        <w:t>órával</w:t>
      </w:r>
      <w:r>
        <w:rPr>
          <w:spacing w:val="-3"/>
        </w:rPr>
        <w:t xml:space="preserve"> </w:t>
      </w:r>
      <w:r>
        <w:t>megkezdett</w:t>
      </w:r>
      <w:r>
        <w:rPr>
          <w:spacing w:val="-3"/>
        </w:rPr>
        <w:t xml:space="preserve"> </w:t>
      </w:r>
      <w:r>
        <w:t>hemodial</w:t>
      </w:r>
      <w:r w:rsidR="00DD53BC">
        <w:t>íz</w:t>
      </w:r>
      <w:r>
        <w:t>is</w:t>
      </w:r>
      <w:r>
        <w:rPr>
          <w:spacing w:val="-2"/>
        </w:rPr>
        <w:t xml:space="preserve"> </w:t>
      </w:r>
      <w:r>
        <w:t>14%-kal</w:t>
      </w:r>
      <w:r>
        <w:rPr>
          <w:spacing w:val="-3"/>
        </w:rPr>
        <w:t xml:space="preserve"> </w:t>
      </w:r>
      <w:r>
        <w:t>csökkentette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AUC</w:t>
      </w:r>
      <w:r>
        <w:rPr>
          <w:spacing w:val="-3"/>
        </w:rPr>
        <w:t xml:space="preserve"> </w:t>
      </w:r>
      <w:r>
        <w:t>értékét</w:t>
      </w:r>
      <w:r>
        <w:rPr>
          <w:spacing w:val="-3"/>
        </w:rPr>
        <w:t xml:space="preserve"> </w:t>
      </w:r>
      <w:r>
        <w:t>ezeknél</w:t>
      </w:r>
      <w:r>
        <w:rPr>
          <w:spacing w:val="-3"/>
        </w:rPr>
        <w:t xml:space="preserve"> </w:t>
      </w:r>
      <w:r>
        <w:t>a</w:t>
      </w:r>
    </w:p>
    <w:p w14:paraId="50A55E61" w14:textId="7269F10B" w:rsidR="004C11B6" w:rsidRDefault="00F05A0C" w:rsidP="001B6985">
      <w:pPr>
        <w:pStyle w:val="Szvegtrzs"/>
        <w:spacing w:before="1" w:line="232" w:lineRule="auto"/>
      </w:pPr>
      <w:r>
        <w:t>végstádiumú vesebeteg alanyoknál, ami az apixabán esetében 18</w:t>
      </w:r>
      <w:r w:rsidR="00B31A1D">
        <w:t> </w:t>
      </w:r>
      <w:r>
        <w:t>ml/perc diaysis-clearance-nek felel</w:t>
      </w:r>
      <w:r>
        <w:rPr>
          <w:spacing w:val="1"/>
        </w:rPr>
        <w:t xml:space="preserve"> </w:t>
      </w:r>
      <w:r>
        <w:t>meg.</w:t>
      </w:r>
      <w:r>
        <w:rPr>
          <w:spacing w:val="-5"/>
        </w:rPr>
        <w:t xml:space="preserve"> </w:t>
      </w:r>
      <w:r>
        <w:t>Ezért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hemodial</w:t>
      </w:r>
      <w:r w:rsidR="00DD53BC">
        <w:t>íz</w:t>
      </w:r>
      <w:r>
        <w:t>is</w:t>
      </w:r>
      <w:r>
        <w:rPr>
          <w:spacing w:val="-5"/>
        </w:rPr>
        <w:t xml:space="preserve"> </w:t>
      </w:r>
      <w:r>
        <w:t>valószínűleg</w:t>
      </w:r>
      <w:r>
        <w:rPr>
          <w:spacing w:val="-5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hatékony</w:t>
      </w:r>
      <w:r>
        <w:rPr>
          <w:spacing w:val="-5"/>
        </w:rPr>
        <w:t xml:space="preserve"> </w:t>
      </w:r>
      <w:r>
        <w:t>módszer</w:t>
      </w:r>
      <w:r>
        <w:rPr>
          <w:spacing w:val="-5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apixabán-túladagolás</w:t>
      </w:r>
      <w:r>
        <w:rPr>
          <w:spacing w:val="-4"/>
        </w:rPr>
        <w:t xml:space="preserve"> </w:t>
      </w:r>
      <w:r>
        <w:t>kezelésére.</w:t>
      </w:r>
    </w:p>
    <w:p w14:paraId="73229477" w14:textId="77777777" w:rsidR="004C11B6" w:rsidRDefault="004C11B6" w:rsidP="00677E8A">
      <w:pPr>
        <w:pStyle w:val="Szvegtrzs"/>
        <w:spacing w:before="5"/>
        <w:ind w:right="2"/>
        <w:rPr>
          <w:sz w:val="20"/>
        </w:rPr>
      </w:pPr>
    </w:p>
    <w:p w14:paraId="10A68248" w14:textId="77777777" w:rsidR="004C11B6" w:rsidRDefault="00F05A0C" w:rsidP="00677E8A">
      <w:pPr>
        <w:pStyle w:val="Szvegtrzs"/>
        <w:ind w:right="2"/>
      </w:pPr>
      <w:r>
        <w:rPr>
          <w:u w:val="single"/>
        </w:rPr>
        <w:t>Májkárosodás</w:t>
      </w:r>
    </w:p>
    <w:p w14:paraId="71C2E78D" w14:textId="65512389" w:rsidR="004C11B6" w:rsidRDefault="00F05A0C" w:rsidP="00677E8A">
      <w:pPr>
        <w:pStyle w:val="Szvegtrzs"/>
        <w:spacing w:before="1" w:line="248" w:lineRule="exact"/>
      </w:pPr>
      <w:r>
        <w:t>Egy</w:t>
      </w:r>
      <w:r>
        <w:rPr>
          <w:spacing w:val="-4"/>
        </w:rPr>
        <w:t xml:space="preserve"> </w:t>
      </w:r>
      <w:r>
        <w:t>vizsgálat</w:t>
      </w:r>
      <w:r>
        <w:rPr>
          <w:spacing w:val="-4"/>
        </w:rPr>
        <w:t xml:space="preserve"> </w:t>
      </w:r>
      <w:r>
        <w:t>során,</w:t>
      </w:r>
      <w:r>
        <w:rPr>
          <w:spacing w:val="-4"/>
        </w:rPr>
        <w:t xml:space="preserve"> </w:t>
      </w:r>
      <w:r>
        <w:t>ami</w:t>
      </w:r>
      <w:r>
        <w:rPr>
          <w:spacing w:val="-4"/>
        </w:rPr>
        <w:t xml:space="preserve"> </w:t>
      </w:r>
      <w:r>
        <w:t>8,</w:t>
      </w:r>
      <w:r>
        <w:rPr>
          <w:spacing w:val="-3"/>
        </w:rPr>
        <w:t xml:space="preserve"> </w:t>
      </w:r>
      <w:r>
        <w:t>enyhe</w:t>
      </w:r>
      <w:r>
        <w:rPr>
          <w:spacing w:val="-4"/>
        </w:rPr>
        <w:t xml:space="preserve"> </w:t>
      </w:r>
      <w:r>
        <w:t>májkárosodásban</w:t>
      </w:r>
      <w:r>
        <w:rPr>
          <w:spacing w:val="-4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beteget</w:t>
      </w:r>
      <w:r>
        <w:rPr>
          <w:spacing w:val="-4"/>
        </w:rPr>
        <w:t xml:space="preserve"> </w:t>
      </w:r>
      <w:r>
        <w:t>(Child</w:t>
      </w:r>
      <w:r w:rsidR="00B31A1D">
        <w:rPr>
          <w:spacing w:val="-3"/>
        </w:rPr>
        <w:t>-</w:t>
      </w:r>
      <w:r>
        <w:t>Pugh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stádium,</w:t>
      </w:r>
    </w:p>
    <w:p w14:paraId="5D39F7E5" w14:textId="74CD3860" w:rsidR="004C11B6" w:rsidRDefault="00F05A0C" w:rsidP="00677E8A">
      <w:pPr>
        <w:pStyle w:val="Szvegtrzs"/>
        <w:spacing w:before="3" w:line="230" w:lineRule="auto"/>
        <w:ind w:right="2"/>
      </w:pPr>
      <w:r>
        <w:t>5-ös pontszám [n = 6] és 6-os pontszám [n = 2]) és 8, közepesen súlyos májkárosodásban szenvedő</w:t>
      </w:r>
      <w:r>
        <w:rPr>
          <w:spacing w:val="1"/>
        </w:rPr>
        <w:t xml:space="preserve"> </w:t>
      </w:r>
      <w:r>
        <w:t>beteget (Child</w:t>
      </w:r>
      <w:r w:rsidR="00B31A1D">
        <w:t>-</w:t>
      </w:r>
      <w:r>
        <w:t>Pugh B stádium, 7-es pontszám [n = 6] és 8-as pontszám [n = 2]) 16, egészséges</w:t>
      </w:r>
      <w:r>
        <w:rPr>
          <w:spacing w:val="1"/>
        </w:rPr>
        <w:t xml:space="preserve"> </w:t>
      </w:r>
      <w:r>
        <w:t>kontrollszeméllyel hasonlított össze, az egyszeri dózisú 5 mg apixabán farmakokinetikája és</w:t>
      </w:r>
      <w:r>
        <w:rPr>
          <w:spacing w:val="1"/>
        </w:rPr>
        <w:t xml:space="preserve"> </w:t>
      </w:r>
      <w:r>
        <w:t>farmakodinámiája nem mutatott eltérést a májkárosodásban szenvedő betegeknél. A Xa faktor-ellenes</w:t>
      </w:r>
      <w:r>
        <w:rPr>
          <w:spacing w:val="-52"/>
        </w:rPr>
        <w:t xml:space="preserve"> </w:t>
      </w:r>
      <w:r>
        <w:t>aktivitás és az INR az egészséges, illetve az enyhe és közepesen súlyos májkárosodásban szenvedő</w:t>
      </w:r>
      <w:r>
        <w:rPr>
          <w:spacing w:val="1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hasonló</w:t>
      </w:r>
      <w:r>
        <w:rPr>
          <w:spacing w:val="-1"/>
        </w:rPr>
        <w:t xml:space="preserve"> </w:t>
      </w:r>
      <w:r>
        <w:t>volt.</w:t>
      </w:r>
    </w:p>
    <w:p w14:paraId="2186375F" w14:textId="77777777" w:rsidR="00F2291C" w:rsidRDefault="00F2291C" w:rsidP="00F2291C">
      <w:pPr>
        <w:pStyle w:val="Szvegtrzs"/>
        <w:spacing w:before="5"/>
        <w:ind w:right="2"/>
        <w:rPr>
          <w:spacing w:val="-1"/>
          <w:u w:val="single"/>
        </w:rPr>
      </w:pPr>
    </w:p>
    <w:p w14:paraId="428D5149" w14:textId="705C5718" w:rsidR="004C11B6" w:rsidRDefault="00F05A0C" w:rsidP="009F50D3">
      <w:pPr>
        <w:pStyle w:val="Szvegtrzs"/>
        <w:spacing w:before="68"/>
      </w:pPr>
      <w:r>
        <w:rPr>
          <w:spacing w:val="-1"/>
          <w:u w:val="single"/>
        </w:rPr>
        <w:t>Nemek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>közötti</w:t>
      </w:r>
      <w:r>
        <w:rPr>
          <w:spacing w:val="-4"/>
          <w:u w:val="single"/>
        </w:rPr>
        <w:t xml:space="preserve"> </w:t>
      </w:r>
      <w:r>
        <w:rPr>
          <w:u w:val="single"/>
        </w:rPr>
        <w:t>különbségek</w:t>
      </w:r>
    </w:p>
    <w:p w14:paraId="45A6438A" w14:textId="77777777" w:rsidR="009F50D3" w:rsidRDefault="00F05A0C" w:rsidP="009F50D3">
      <w:pPr>
        <w:pStyle w:val="Szvegtrzs"/>
      </w:pPr>
      <w:r>
        <w:t>A nőknél az apixabán expozíciója 18%-kal magasabb volt, mint férfiaknál.</w:t>
      </w:r>
      <w:r w:rsidRPr="009F50D3">
        <w:t xml:space="preserve"> </w:t>
      </w:r>
    </w:p>
    <w:p w14:paraId="5E4612CA" w14:textId="77777777" w:rsidR="009F50D3" w:rsidRDefault="009F50D3" w:rsidP="009F50D3">
      <w:pPr>
        <w:pStyle w:val="Szvegtrzs"/>
      </w:pPr>
    </w:p>
    <w:p w14:paraId="7EFE1BC8" w14:textId="1679EB56" w:rsidR="004C11B6" w:rsidRPr="009F50D3" w:rsidRDefault="00F05A0C" w:rsidP="009F50D3">
      <w:pPr>
        <w:pStyle w:val="Szvegtrzs"/>
        <w:rPr>
          <w:u w:val="single"/>
        </w:rPr>
      </w:pPr>
      <w:r w:rsidRPr="009F50D3">
        <w:rPr>
          <w:u w:val="single"/>
        </w:rPr>
        <w:t>Etnikai hovatartozás és rassz</w:t>
      </w:r>
    </w:p>
    <w:p w14:paraId="757CBCEB" w14:textId="2D96FB90" w:rsidR="004C11B6" w:rsidRDefault="00F05A0C" w:rsidP="009F50D3">
      <w:pPr>
        <w:pStyle w:val="Szvegtrzs"/>
        <w:spacing w:before="6" w:line="230" w:lineRule="auto"/>
      </w:pPr>
      <w:r>
        <w:t>A</w:t>
      </w:r>
      <w:r w:rsidR="00CB2898">
        <w:t>z</w:t>
      </w:r>
      <w:r>
        <w:t xml:space="preserve"> I</w:t>
      </w:r>
      <w:r w:rsidR="00CB2898">
        <w:t>. fázisú</w:t>
      </w:r>
      <w:r>
        <w:t xml:space="preserve"> vizsgálatok eredményei nem mutattak észrevehető különbséget az apixabán</w:t>
      </w:r>
      <w:r>
        <w:rPr>
          <w:spacing w:val="1"/>
        </w:rPr>
        <w:t xml:space="preserve"> </w:t>
      </w:r>
      <w:r>
        <w:t>farmakokinetikájában a fehér/kaukázusi, az ázsiai és a feketebőrű/afrikai és amerikai alanyok között.</w:t>
      </w:r>
      <w:r>
        <w:rPr>
          <w:spacing w:val="-52"/>
        </w:rPr>
        <w:t xml:space="preserve"> </w:t>
      </w:r>
      <w:r>
        <w:t>Egy apixabánt kapó betegek körében végzett populációs farmakokinetikai elemzés eredményei</w:t>
      </w:r>
      <w:r>
        <w:rPr>
          <w:spacing w:val="1"/>
        </w:rPr>
        <w:t xml:space="preserve"> </w:t>
      </w:r>
      <w:r>
        <w:t>általánosságban</w:t>
      </w:r>
      <w:r>
        <w:rPr>
          <w:spacing w:val="-2"/>
        </w:rPr>
        <w:t xml:space="preserve"> </w:t>
      </w:r>
      <w:r>
        <w:t>azonosak</w:t>
      </w:r>
      <w:r>
        <w:rPr>
          <w:spacing w:val="-1"/>
        </w:rPr>
        <w:t xml:space="preserve"> </w:t>
      </w:r>
      <w:r>
        <w:t>voltak</w:t>
      </w:r>
      <w:r>
        <w:rPr>
          <w:spacing w:val="-2"/>
        </w:rPr>
        <w:t xml:space="preserve"> </w:t>
      </w:r>
      <w:r>
        <w:t>a</w:t>
      </w:r>
      <w:r w:rsidR="00CB2898">
        <w:t>z</w:t>
      </w:r>
      <w:r>
        <w:rPr>
          <w:spacing w:val="-1"/>
        </w:rPr>
        <w:t xml:space="preserve"> </w:t>
      </w:r>
      <w:r>
        <w:t>I</w:t>
      </w:r>
      <w:r w:rsidR="00CB2898">
        <w:t>. fázisú</w:t>
      </w:r>
      <w:r>
        <w:rPr>
          <w:spacing w:val="-2"/>
        </w:rPr>
        <w:t xml:space="preserve"> </w:t>
      </w:r>
      <w:r>
        <w:t>vizsgálat</w:t>
      </w:r>
      <w:r>
        <w:rPr>
          <w:spacing w:val="-1"/>
        </w:rPr>
        <w:t xml:space="preserve"> </w:t>
      </w:r>
      <w:r>
        <w:t>eredményeivel.</w:t>
      </w:r>
    </w:p>
    <w:p w14:paraId="4D68678D" w14:textId="77777777" w:rsidR="004C11B6" w:rsidRDefault="004C11B6" w:rsidP="009F50D3">
      <w:pPr>
        <w:pStyle w:val="Szvegtrzs"/>
        <w:spacing w:before="10"/>
        <w:rPr>
          <w:sz w:val="20"/>
        </w:rPr>
      </w:pPr>
    </w:p>
    <w:p w14:paraId="39596085" w14:textId="77777777" w:rsidR="004C11B6" w:rsidRDefault="00F05A0C" w:rsidP="009F50D3">
      <w:pPr>
        <w:pStyle w:val="Szvegtrzs"/>
      </w:pPr>
      <w:r>
        <w:rPr>
          <w:u w:val="single"/>
        </w:rPr>
        <w:t>Testtömeg</w:t>
      </w:r>
    </w:p>
    <w:p w14:paraId="72F4E386" w14:textId="77777777" w:rsidR="004C11B6" w:rsidRDefault="00F05A0C" w:rsidP="009F50D3">
      <w:pPr>
        <w:pStyle w:val="Szvegtrzs"/>
        <w:spacing w:line="230" w:lineRule="auto"/>
        <w:jc w:val="both"/>
      </w:pPr>
      <w:r>
        <w:t>A 65-85 kg testtömegű betegeknél tapasztalt apixabán-expozícióhoz képest, a 120 kg-nál nagyobb</w:t>
      </w:r>
      <w:r>
        <w:rPr>
          <w:spacing w:val="-52"/>
        </w:rPr>
        <w:t xml:space="preserve"> </w:t>
      </w:r>
      <w:r>
        <w:t>testtömeg körülbelül 30%-kal alacsonyabb, míg az 50 kg-nál kisebb testtömeg körülbelül 30%-kal</w:t>
      </w:r>
      <w:r>
        <w:rPr>
          <w:spacing w:val="-52"/>
        </w:rPr>
        <w:t xml:space="preserve"> </w:t>
      </w:r>
      <w:r>
        <w:t>magasabb</w:t>
      </w:r>
      <w:r>
        <w:rPr>
          <w:spacing w:val="-2"/>
        </w:rPr>
        <w:t xml:space="preserve"> </w:t>
      </w:r>
      <w:r>
        <w:t>expozíciót</w:t>
      </w:r>
      <w:r>
        <w:rPr>
          <w:spacing w:val="-1"/>
        </w:rPr>
        <w:t xml:space="preserve"> </w:t>
      </w:r>
      <w:r>
        <w:t>eredményezett.</w:t>
      </w:r>
    </w:p>
    <w:p w14:paraId="37C98AE9" w14:textId="77777777" w:rsidR="004C11B6" w:rsidRDefault="004C11B6" w:rsidP="009F50D3">
      <w:pPr>
        <w:pStyle w:val="Szvegtrzs"/>
        <w:spacing w:before="7"/>
        <w:rPr>
          <w:sz w:val="20"/>
        </w:rPr>
      </w:pPr>
    </w:p>
    <w:p w14:paraId="49E2D09B" w14:textId="77777777" w:rsidR="004C11B6" w:rsidRDefault="00F05A0C" w:rsidP="009F50D3">
      <w:pPr>
        <w:pStyle w:val="Szvegtrzs"/>
      </w:pPr>
      <w:r>
        <w:rPr>
          <w:u w:val="single"/>
        </w:rPr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farmakokinetikai/farmakodinámiás</w:t>
      </w:r>
      <w:r>
        <w:rPr>
          <w:spacing w:val="-9"/>
          <w:u w:val="single"/>
        </w:rPr>
        <w:t xml:space="preserve"> </w:t>
      </w:r>
      <w:r>
        <w:rPr>
          <w:u w:val="single"/>
        </w:rPr>
        <w:t>összefüggés</w:t>
      </w:r>
    </w:p>
    <w:p w14:paraId="77584828" w14:textId="7FF8B382" w:rsidR="004C11B6" w:rsidRDefault="00F05A0C" w:rsidP="009F50D3">
      <w:pPr>
        <w:pStyle w:val="Szvegtrzs"/>
        <w:spacing w:line="230" w:lineRule="auto"/>
        <w:jc w:val="both"/>
      </w:pPr>
      <w:r>
        <w:t>Az apixabán plazmakoncentrációja és különböző farmakodinámiás (FD) végpontok (Xa faktor-ellenes</w:t>
      </w:r>
      <w:r>
        <w:rPr>
          <w:spacing w:val="-52"/>
        </w:rPr>
        <w:t xml:space="preserve"> </w:t>
      </w:r>
      <w:r>
        <w:t>aktivitás, INR, PI, aPTI) farmakokinetikai/farmakodinámiás (FK/FD) összefüggéseit széles tartományt</w:t>
      </w:r>
      <w:r>
        <w:rPr>
          <w:spacing w:val="-53"/>
        </w:rPr>
        <w:t xml:space="preserve"> </w:t>
      </w:r>
      <w:r>
        <w:t>felölelő</w:t>
      </w:r>
      <w:r>
        <w:rPr>
          <w:spacing w:val="-3"/>
        </w:rPr>
        <w:t xml:space="preserve"> </w:t>
      </w:r>
      <w:r>
        <w:t>adagok</w:t>
      </w:r>
      <w:r>
        <w:rPr>
          <w:spacing w:val="-11"/>
        </w:rPr>
        <w:t xml:space="preserve"> </w:t>
      </w:r>
      <w:r>
        <w:t>(0,5</w:t>
      </w:r>
      <w:r w:rsidR="00B31A1D">
        <w:t>–</w:t>
      </w:r>
      <w:r>
        <w:t>50</w:t>
      </w:r>
      <w:r>
        <w:rPr>
          <w:spacing w:val="1"/>
        </w:rPr>
        <w:t xml:space="preserve"> </w:t>
      </w:r>
      <w:r>
        <w:t>mg)</w:t>
      </w:r>
      <w:r>
        <w:rPr>
          <w:spacing w:val="-9"/>
        </w:rPr>
        <w:t xml:space="preserve"> </w:t>
      </w:r>
      <w:r>
        <w:t>beadását</w:t>
      </w:r>
      <w:r>
        <w:rPr>
          <w:spacing w:val="-7"/>
        </w:rPr>
        <w:t xml:space="preserve"> </w:t>
      </w:r>
      <w:r>
        <w:t>követően</w:t>
      </w:r>
      <w:r>
        <w:rPr>
          <w:spacing w:val="-6"/>
        </w:rPr>
        <w:t xml:space="preserve"> </w:t>
      </w:r>
      <w:r>
        <w:t>vizsgálták.</w:t>
      </w:r>
      <w:r>
        <w:rPr>
          <w:spacing w:val="-4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plazmakoncentrációja</w:t>
      </w:r>
      <w:r>
        <w:rPr>
          <w:spacing w:val="-3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</w:p>
    <w:p w14:paraId="10D520D1" w14:textId="77777777" w:rsidR="004C11B6" w:rsidRDefault="00F05A0C" w:rsidP="009F50D3">
      <w:pPr>
        <w:pStyle w:val="Szvegtrzs"/>
        <w:spacing w:line="232" w:lineRule="auto"/>
        <w:jc w:val="both"/>
      </w:pPr>
      <w:r>
        <w:t>Xa faktor-ellenes aktivitása közötti kapcsolat legjobban egy lineáris modellel írható le. A betegeknél</w:t>
      </w:r>
      <w:r>
        <w:rPr>
          <w:spacing w:val="-52"/>
        </w:rPr>
        <w:t xml:space="preserve"> </w:t>
      </w:r>
      <w:r>
        <w:t>észlelt</w:t>
      </w:r>
      <w:r>
        <w:rPr>
          <w:spacing w:val="-2"/>
        </w:rPr>
        <w:t xml:space="preserve"> </w:t>
      </w:r>
      <w:r>
        <w:t>FK/FD</w:t>
      </w:r>
      <w:r>
        <w:rPr>
          <w:spacing w:val="-2"/>
        </w:rPr>
        <w:t xml:space="preserve"> </w:t>
      </w:r>
      <w:r>
        <w:t>összefüggés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egészséges</w:t>
      </w:r>
      <w:r>
        <w:rPr>
          <w:spacing w:val="-1"/>
        </w:rPr>
        <w:t xml:space="preserve"> </w:t>
      </w:r>
      <w:r>
        <w:t>alanyoknál</w:t>
      </w:r>
      <w:r>
        <w:rPr>
          <w:spacing w:val="-2"/>
        </w:rPr>
        <w:t xml:space="preserve"> </w:t>
      </w:r>
      <w:r>
        <w:t>tapasztalttal</w:t>
      </w:r>
      <w:r>
        <w:rPr>
          <w:spacing w:val="-2"/>
        </w:rPr>
        <w:t xml:space="preserve"> </w:t>
      </w:r>
      <w:r>
        <w:t>azonos</w:t>
      </w:r>
      <w:r>
        <w:rPr>
          <w:spacing w:val="-2"/>
        </w:rPr>
        <w:t xml:space="preserve"> </w:t>
      </w:r>
      <w:r>
        <w:t>volt.</w:t>
      </w:r>
    </w:p>
    <w:p w14:paraId="5B58B62F" w14:textId="77777777" w:rsidR="004C11B6" w:rsidRDefault="004C11B6" w:rsidP="009F50D3">
      <w:pPr>
        <w:pStyle w:val="Szvegtrzs"/>
        <w:spacing w:before="4"/>
        <w:rPr>
          <w:sz w:val="20"/>
        </w:rPr>
      </w:pPr>
    </w:p>
    <w:p w14:paraId="7552151E" w14:textId="77777777" w:rsidR="004C11B6" w:rsidRDefault="00F05A0C" w:rsidP="009F50D3">
      <w:pPr>
        <w:pStyle w:val="Cmsor2"/>
        <w:numPr>
          <w:ilvl w:val="1"/>
          <w:numId w:val="50"/>
        </w:numPr>
        <w:ind w:left="0" w:firstLine="0"/>
      </w:pPr>
      <w:r>
        <w:t>A</w:t>
      </w:r>
      <w:r>
        <w:rPr>
          <w:spacing w:val="-6"/>
        </w:rPr>
        <w:t xml:space="preserve"> </w:t>
      </w:r>
      <w:r>
        <w:t>preklinikai</w:t>
      </w:r>
      <w:r>
        <w:rPr>
          <w:spacing w:val="-6"/>
        </w:rPr>
        <w:t xml:space="preserve"> </w:t>
      </w:r>
      <w:r>
        <w:t>biztonságossági</w:t>
      </w:r>
      <w:r>
        <w:rPr>
          <w:spacing w:val="-6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>eredményei</w:t>
      </w:r>
    </w:p>
    <w:p w14:paraId="69011D40" w14:textId="77777777" w:rsidR="004C11B6" w:rsidRDefault="004C11B6" w:rsidP="009F50D3">
      <w:pPr>
        <w:pStyle w:val="Szvegtrzs"/>
        <w:spacing w:before="1"/>
        <w:rPr>
          <w:b/>
          <w:sz w:val="21"/>
        </w:rPr>
      </w:pPr>
    </w:p>
    <w:p w14:paraId="6ACC1C1B" w14:textId="77777777" w:rsidR="004C11B6" w:rsidRDefault="00F05A0C" w:rsidP="009F50D3">
      <w:pPr>
        <w:pStyle w:val="Szvegtrzs"/>
        <w:spacing w:line="230" w:lineRule="auto"/>
      </w:pPr>
      <w:r>
        <w:t>A hagyományos – farmakológiai biztonságossági, ismételt dózistoxicitási, genotoxicitási,</w:t>
      </w:r>
      <w:r>
        <w:rPr>
          <w:spacing w:val="1"/>
        </w:rPr>
        <w:t xml:space="preserve"> </w:t>
      </w:r>
      <w:r>
        <w:t>karcinogenitási, reprodukcióra- és embrio-foetalis fejlődésre kifejtett és juvenilis toxicitási –</w:t>
      </w:r>
      <w:r>
        <w:rPr>
          <w:spacing w:val="1"/>
        </w:rPr>
        <w:t xml:space="preserve"> </w:t>
      </w:r>
      <w:r>
        <w:t>vizsgálatokból származó preklinikai jellegű adatok azt igazolták, hogy a készítmény alkalmazásakor</w:t>
      </w:r>
      <w:r>
        <w:rPr>
          <w:spacing w:val="-52"/>
        </w:rPr>
        <w:t xml:space="preserve"> </w:t>
      </w:r>
      <w:r>
        <w:t>humán</w:t>
      </w:r>
      <w:r>
        <w:rPr>
          <w:spacing w:val="-2"/>
        </w:rPr>
        <w:t xml:space="preserve"> </w:t>
      </w:r>
      <w:r>
        <w:t>vonatkozásban</w:t>
      </w:r>
      <w:r>
        <w:rPr>
          <w:spacing w:val="-1"/>
        </w:rPr>
        <w:t xml:space="preserve"> </w:t>
      </w:r>
      <w:r>
        <w:t>különleges</w:t>
      </w:r>
      <w:r>
        <w:rPr>
          <w:spacing w:val="-1"/>
        </w:rPr>
        <w:t xml:space="preserve"> </w:t>
      </w:r>
      <w:r>
        <w:t>kockázat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várható.</w:t>
      </w:r>
    </w:p>
    <w:p w14:paraId="335F1B51" w14:textId="77777777" w:rsidR="004C11B6" w:rsidRDefault="004C11B6" w:rsidP="009F50D3">
      <w:pPr>
        <w:pStyle w:val="Szvegtrzs"/>
        <w:spacing w:before="2"/>
        <w:rPr>
          <w:sz w:val="21"/>
        </w:rPr>
      </w:pPr>
    </w:p>
    <w:p w14:paraId="62A7AE4B" w14:textId="77777777" w:rsidR="004C11B6" w:rsidRDefault="00F05A0C" w:rsidP="009F50D3">
      <w:pPr>
        <w:pStyle w:val="Szvegtrzs"/>
        <w:spacing w:line="232" w:lineRule="auto"/>
      </w:pPr>
      <w:r>
        <w:t>Az ismételt dózistoxicitási vizsgálatok során megfigyelt jelentősebb hatások az apixabán</w:t>
      </w:r>
      <w:r>
        <w:rPr>
          <w:spacing w:val="1"/>
        </w:rPr>
        <w:t xml:space="preserve"> </w:t>
      </w:r>
      <w:r>
        <w:t>véralvadásgátlási paraméterekre gyakorolt farmakodinámiás hatásával voltak összefüggésben. A</w:t>
      </w:r>
      <w:r>
        <w:rPr>
          <w:spacing w:val="1"/>
        </w:rPr>
        <w:t xml:space="preserve"> </w:t>
      </w:r>
      <w:r>
        <w:t>toxicitási vizsgálatokban a vérzési hajlam nem változott, vagy csak kis mértékben növekedett. Mivel</w:t>
      </w:r>
      <w:r>
        <w:rPr>
          <w:spacing w:val="-52"/>
        </w:rPr>
        <w:t xml:space="preserve"> </w:t>
      </w:r>
      <w:r>
        <w:t>ez a nem klinikai vizsgálatokhoz használt fajok emberekhez képest kisebb fokú érzékenységével</w:t>
      </w:r>
      <w:r>
        <w:rPr>
          <w:spacing w:val="1"/>
        </w:rPr>
        <w:t xml:space="preserve"> </w:t>
      </w:r>
      <w:r>
        <w:t>magyarázható,</w:t>
      </w:r>
      <w:r>
        <w:rPr>
          <w:spacing w:val="-4"/>
        </w:rPr>
        <w:t xml:space="preserve"> </w:t>
      </w:r>
      <w:r>
        <w:t>ezt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eredményt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emberekre</w:t>
      </w:r>
      <w:r>
        <w:rPr>
          <w:spacing w:val="-3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extrapoláláskor</w:t>
      </w:r>
      <w:r>
        <w:rPr>
          <w:spacing w:val="-4"/>
        </w:rPr>
        <w:t xml:space="preserve"> </w:t>
      </w:r>
      <w:r>
        <w:t>óvatosan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interpretálni.</w:t>
      </w:r>
    </w:p>
    <w:p w14:paraId="55D6521B" w14:textId="77777777" w:rsidR="004C11B6" w:rsidRDefault="004C11B6" w:rsidP="009F50D3">
      <w:pPr>
        <w:pStyle w:val="Szvegtrzs"/>
        <w:spacing w:before="9"/>
        <w:rPr>
          <w:sz w:val="20"/>
        </w:rPr>
      </w:pPr>
    </w:p>
    <w:p w14:paraId="4ACB575C" w14:textId="77777777" w:rsidR="009F50D3" w:rsidRDefault="00F05A0C" w:rsidP="009F50D3">
      <w:pPr>
        <w:pStyle w:val="Szvegtrzs"/>
        <w:spacing w:line="230" w:lineRule="auto"/>
        <w:jc w:val="both"/>
        <w:rPr>
          <w:position w:val="2"/>
        </w:rPr>
      </w:pPr>
      <w:r>
        <w:t>Patkánytejben – feltehetően a tejbe történő aktív transzportnak köszönhetően – magas tej/maternális</w:t>
      </w:r>
      <w:r>
        <w:rPr>
          <w:spacing w:val="-52"/>
        </w:rPr>
        <w:t xml:space="preserve"> </w:t>
      </w:r>
      <w:r>
        <w:rPr>
          <w:position w:val="2"/>
        </w:rPr>
        <w:t>plazma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arányt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találtak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(C</w:t>
      </w:r>
      <w:r>
        <w:rPr>
          <w:sz w:val="14"/>
        </w:rPr>
        <w:t>max</w:t>
      </w:r>
      <w:r>
        <w:rPr>
          <w:position w:val="2"/>
        </w:rPr>
        <w:t>-érték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kb.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8,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AUC-érték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kb. 30).</w:t>
      </w:r>
    </w:p>
    <w:p w14:paraId="299644FD" w14:textId="77777777" w:rsidR="009F50D3" w:rsidRDefault="009F50D3" w:rsidP="009F50D3">
      <w:pPr>
        <w:pStyle w:val="Szvegtrzs"/>
        <w:spacing w:line="230" w:lineRule="auto"/>
        <w:jc w:val="both"/>
        <w:rPr>
          <w:position w:val="2"/>
        </w:rPr>
      </w:pPr>
    </w:p>
    <w:p w14:paraId="55A2761D" w14:textId="77777777" w:rsidR="009F50D3" w:rsidRDefault="009F50D3" w:rsidP="009F50D3">
      <w:pPr>
        <w:pStyle w:val="Szvegtrzs"/>
        <w:spacing w:line="230" w:lineRule="auto"/>
        <w:jc w:val="both"/>
        <w:rPr>
          <w:position w:val="2"/>
        </w:rPr>
      </w:pPr>
    </w:p>
    <w:p w14:paraId="5DB0EA9D" w14:textId="0C48AF95" w:rsidR="004C11B6" w:rsidRPr="009F50D3" w:rsidRDefault="00F05A0C" w:rsidP="009F50D3">
      <w:pPr>
        <w:pStyle w:val="Szvegtrzs"/>
        <w:numPr>
          <w:ilvl w:val="0"/>
          <w:numId w:val="46"/>
        </w:numPr>
        <w:spacing w:line="230" w:lineRule="auto"/>
        <w:ind w:left="567"/>
        <w:jc w:val="both"/>
        <w:rPr>
          <w:b/>
          <w:bCs/>
        </w:rPr>
      </w:pPr>
      <w:r w:rsidRPr="009F50D3">
        <w:rPr>
          <w:b/>
          <w:bCs/>
        </w:rPr>
        <w:t>GYÓGYSZERÉSZETI</w:t>
      </w:r>
      <w:r w:rsidRPr="009F50D3">
        <w:rPr>
          <w:b/>
          <w:bCs/>
          <w:spacing w:val="-6"/>
        </w:rPr>
        <w:t xml:space="preserve"> </w:t>
      </w:r>
      <w:r w:rsidRPr="009F50D3">
        <w:rPr>
          <w:b/>
          <w:bCs/>
        </w:rPr>
        <w:t>JELLEMZŐK</w:t>
      </w:r>
    </w:p>
    <w:p w14:paraId="67257561" w14:textId="77777777" w:rsidR="004C11B6" w:rsidRDefault="004C11B6" w:rsidP="009F50D3">
      <w:pPr>
        <w:pStyle w:val="Szvegtrzs"/>
        <w:spacing w:before="4"/>
        <w:rPr>
          <w:b/>
          <w:sz w:val="20"/>
        </w:rPr>
      </w:pPr>
    </w:p>
    <w:p w14:paraId="2314FD1B" w14:textId="77777777" w:rsidR="004C11B6" w:rsidRDefault="00F05A0C" w:rsidP="009F50D3">
      <w:pPr>
        <w:pStyle w:val="Cmsor2"/>
        <w:numPr>
          <w:ilvl w:val="1"/>
          <w:numId w:val="46"/>
        </w:numPr>
        <w:ind w:left="567"/>
      </w:pPr>
      <w:r>
        <w:t>Segédanyagok</w:t>
      </w:r>
      <w:r>
        <w:rPr>
          <w:spacing w:val="-7"/>
        </w:rPr>
        <w:t xml:space="preserve"> </w:t>
      </w:r>
      <w:r>
        <w:t>felsorolása</w:t>
      </w:r>
    </w:p>
    <w:p w14:paraId="773EB9BD" w14:textId="77777777" w:rsidR="004C11B6" w:rsidRDefault="004C11B6" w:rsidP="009F50D3">
      <w:pPr>
        <w:pStyle w:val="Szvegtrzs"/>
        <w:spacing w:before="4"/>
        <w:rPr>
          <w:b/>
          <w:sz w:val="20"/>
        </w:rPr>
      </w:pPr>
    </w:p>
    <w:p w14:paraId="3C688C0F" w14:textId="77777777" w:rsidR="004C11B6" w:rsidRDefault="00F05A0C" w:rsidP="009F50D3">
      <w:pPr>
        <w:pStyle w:val="Szvegtrzs"/>
        <w:spacing w:before="1"/>
      </w:pPr>
      <w:r>
        <w:rPr>
          <w:u w:val="single"/>
        </w:rPr>
        <w:t>Tablettamag</w:t>
      </w:r>
      <w:r>
        <w:t>:</w:t>
      </w:r>
    </w:p>
    <w:p w14:paraId="3E826C24" w14:textId="574DBA93" w:rsidR="004C11B6" w:rsidRDefault="00D40AC7" w:rsidP="009F50D3">
      <w:pPr>
        <w:pStyle w:val="Szvegtrzs"/>
        <w:spacing w:line="248" w:lineRule="exact"/>
      </w:pPr>
      <w:r>
        <w:t>l</w:t>
      </w:r>
      <w:r w:rsidR="00F05A0C">
        <w:t>aktóz</w:t>
      </w:r>
      <w:r w:rsidR="00B273A9">
        <w:t>-monohidrát</w:t>
      </w:r>
    </w:p>
    <w:p w14:paraId="431DF3E4" w14:textId="77777777" w:rsidR="009F50D3" w:rsidRDefault="00F05A0C" w:rsidP="009F50D3">
      <w:pPr>
        <w:pStyle w:val="Szvegtrzs"/>
        <w:spacing w:before="3" w:line="230" w:lineRule="auto"/>
      </w:pPr>
      <w:r>
        <w:t>mikrokristályos cellulóz</w:t>
      </w:r>
    </w:p>
    <w:p w14:paraId="024BAE59" w14:textId="7E90D2BC" w:rsidR="009F50D3" w:rsidRDefault="00F05A0C" w:rsidP="009F50D3">
      <w:pPr>
        <w:pStyle w:val="Szvegtrzs"/>
        <w:spacing w:before="3" w:line="230" w:lineRule="auto"/>
        <w:rPr>
          <w:spacing w:val="1"/>
        </w:rPr>
      </w:pPr>
      <w:r>
        <w:t>kroszkarmellóz-nátrium</w:t>
      </w:r>
      <w:r>
        <w:rPr>
          <w:spacing w:val="1"/>
        </w:rPr>
        <w:t xml:space="preserve"> </w:t>
      </w:r>
    </w:p>
    <w:p w14:paraId="14F1815E" w14:textId="086036E7" w:rsidR="000962EE" w:rsidRDefault="000962EE" w:rsidP="009F50D3">
      <w:pPr>
        <w:pStyle w:val="Szvegtrzs"/>
        <w:spacing w:before="3" w:line="230" w:lineRule="auto"/>
        <w:rPr>
          <w:spacing w:val="1"/>
        </w:rPr>
      </w:pPr>
      <w:r>
        <w:rPr>
          <w:spacing w:val="1"/>
        </w:rPr>
        <w:t>hipromellóz 2910</w:t>
      </w:r>
    </w:p>
    <w:p w14:paraId="4D2F7886" w14:textId="77777777" w:rsidR="009F50D3" w:rsidRDefault="00F05A0C" w:rsidP="009F50D3">
      <w:pPr>
        <w:pStyle w:val="Szvegtrzs"/>
        <w:spacing w:before="3" w:line="230" w:lineRule="auto"/>
        <w:rPr>
          <w:spacing w:val="1"/>
        </w:rPr>
      </w:pPr>
      <w:r>
        <w:t>nátrium-lauril-szulfát</w:t>
      </w:r>
      <w:r>
        <w:rPr>
          <w:spacing w:val="1"/>
        </w:rPr>
        <w:t xml:space="preserve"> </w:t>
      </w:r>
    </w:p>
    <w:p w14:paraId="2C7B802A" w14:textId="2C6C2E0D" w:rsidR="004C11B6" w:rsidRDefault="00F05A0C" w:rsidP="009F50D3">
      <w:pPr>
        <w:pStyle w:val="Szvegtrzs"/>
        <w:spacing w:before="3" w:line="230" w:lineRule="auto"/>
      </w:pPr>
      <w:r>
        <w:t>magnézium-sztearát</w:t>
      </w:r>
      <w:r>
        <w:rPr>
          <w:spacing w:val="-2"/>
        </w:rPr>
        <w:t xml:space="preserve"> </w:t>
      </w:r>
    </w:p>
    <w:p w14:paraId="6B81DE0E" w14:textId="77777777" w:rsidR="00E16ECF" w:rsidRDefault="00E16ECF" w:rsidP="009F50D3">
      <w:pPr>
        <w:pStyle w:val="Szvegtrzs"/>
        <w:rPr>
          <w:u w:val="single"/>
        </w:rPr>
      </w:pPr>
    </w:p>
    <w:p w14:paraId="601D82BB" w14:textId="3D25BAF3" w:rsidR="004C11B6" w:rsidRDefault="00F05A0C" w:rsidP="009F50D3">
      <w:pPr>
        <w:pStyle w:val="Szvegtrzs"/>
      </w:pPr>
      <w:r>
        <w:rPr>
          <w:u w:val="single"/>
        </w:rPr>
        <w:t>Filmbevonat</w:t>
      </w:r>
      <w:r>
        <w:t>:</w:t>
      </w:r>
    </w:p>
    <w:p w14:paraId="2E8D8BC0" w14:textId="77777777" w:rsidR="000962EE" w:rsidRDefault="000962EE" w:rsidP="000962EE">
      <w:pPr>
        <w:pStyle w:val="Szvegtrzs"/>
        <w:spacing w:line="249" w:lineRule="exact"/>
      </w:pPr>
      <w:r>
        <w:t>laktóz-monohidrát</w:t>
      </w:r>
    </w:p>
    <w:p w14:paraId="07371620" w14:textId="77777777" w:rsidR="000962EE" w:rsidRDefault="000962EE" w:rsidP="000962EE">
      <w:pPr>
        <w:spacing w:after="5" w:line="247" w:lineRule="auto"/>
      </w:pPr>
      <w:r>
        <w:t>titán-dioxid (E171)</w:t>
      </w:r>
      <w:r>
        <w:rPr>
          <w:spacing w:val="-52"/>
        </w:rPr>
        <w:t xml:space="preserve"> </w:t>
      </w:r>
    </w:p>
    <w:p w14:paraId="67588724" w14:textId="77777777" w:rsidR="000962EE" w:rsidRDefault="000962EE" w:rsidP="000962EE">
      <w:pPr>
        <w:pStyle w:val="Szvegtrzs"/>
        <w:spacing w:line="230" w:lineRule="auto"/>
        <w:ind w:right="7231"/>
      </w:pPr>
      <w:r>
        <w:t>hipromellóz 2910</w:t>
      </w:r>
    </w:p>
    <w:p w14:paraId="4A454ECA" w14:textId="3258A25F" w:rsidR="000962EE" w:rsidRDefault="000962EE" w:rsidP="000962EE">
      <w:pPr>
        <w:pStyle w:val="Szvegtrzs"/>
        <w:spacing w:line="230" w:lineRule="auto"/>
        <w:ind w:right="7231"/>
      </w:pPr>
      <w:r>
        <w:t>triacetin</w:t>
      </w:r>
    </w:p>
    <w:p w14:paraId="5FEC65A3" w14:textId="77777777" w:rsidR="000962EE" w:rsidRDefault="000962EE" w:rsidP="000962EE">
      <w:pPr>
        <w:pStyle w:val="Szvegtrzs"/>
        <w:spacing w:line="248" w:lineRule="exact"/>
      </w:pPr>
      <w:r>
        <w:t>sárga</w:t>
      </w:r>
      <w:r>
        <w:rPr>
          <w:spacing w:val="-2"/>
        </w:rPr>
        <w:t xml:space="preserve"> </w:t>
      </w:r>
      <w:r>
        <w:t>vas-oxid</w:t>
      </w:r>
      <w:r>
        <w:rPr>
          <w:spacing w:val="-1"/>
        </w:rPr>
        <w:t xml:space="preserve"> </w:t>
      </w:r>
      <w:r>
        <w:t>(E172)</w:t>
      </w:r>
    </w:p>
    <w:p w14:paraId="524537D3" w14:textId="77777777" w:rsidR="00B273A9" w:rsidRDefault="00B273A9" w:rsidP="009F50D3">
      <w:pPr>
        <w:pStyle w:val="Szvegtrzs"/>
        <w:spacing w:line="249" w:lineRule="exact"/>
      </w:pPr>
    </w:p>
    <w:p w14:paraId="50D7CAB3" w14:textId="77777777" w:rsidR="004C11B6" w:rsidRDefault="00F05A0C" w:rsidP="009F50D3">
      <w:pPr>
        <w:pStyle w:val="Cmsor2"/>
        <w:numPr>
          <w:ilvl w:val="1"/>
          <w:numId w:val="46"/>
        </w:numPr>
        <w:ind w:left="567"/>
      </w:pPr>
      <w:r>
        <w:t>Inkompatibilitások</w:t>
      </w:r>
    </w:p>
    <w:p w14:paraId="01881CA8" w14:textId="77777777" w:rsidR="004C11B6" w:rsidRDefault="004C11B6" w:rsidP="009F50D3">
      <w:pPr>
        <w:pStyle w:val="Szvegtrzs"/>
        <w:spacing w:before="4"/>
        <w:rPr>
          <w:b/>
          <w:sz w:val="20"/>
        </w:rPr>
      </w:pPr>
    </w:p>
    <w:p w14:paraId="5DC01486" w14:textId="77777777" w:rsidR="004C11B6" w:rsidRDefault="00F05A0C" w:rsidP="009F50D3">
      <w:pPr>
        <w:pStyle w:val="Szvegtrzs"/>
      </w:pPr>
      <w:r>
        <w:t>Nem</w:t>
      </w:r>
      <w:r>
        <w:rPr>
          <w:spacing w:val="-5"/>
        </w:rPr>
        <w:t xml:space="preserve"> </w:t>
      </w:r>
      <w:r>
        <w:t>értelmezhető</w:t>
      </w:r>
    </w:p>
    <w:p w14:paraId="2CE03B10" w14:textId="77777777" w:rsidR="004C11B6" w:rsidRDefault="004C11B6" w:rsidP="009F50D3">
      <w:pPr>
        <w:pStyle w:val="Szvegtrzs"/>
        <w:spacing w:before="4"/>
        <w:rPr>
          <w:sz w:val="20"/>
        </w:rPr>
      </w:pPr>
    </w:p>
    <w:p w14:paraId="3146A6B6" w14:textId="77777777" w:rsidR="004C11B6" w:rsidRDefault="00F05A0C" w:rsidP="00790682">
      <w:pPr>
        <w:pStyle w:val="Cmsor2"/>
        <w:keepNext/>
        <w:numPr>
          <w:ilvl w:val="1"/>
          <w:numId w:val="46"/>
        </w:numPr>
        <w:tabs>
          <w:tab w:val="left" w:pos="802"/>
          <w:tab w:val="left" w:pos="803"/>
        </w:tabs>
        <w:spacing w:before="1"/>
        <w:ind w:left="0" w:firstLine="0"/>
      </w:pPr>
      <w:r>
        <w:t>Felhasználhatósági</w:t>
      </w:r>
      <w:r>
        <w:rPr>
          <w:spacing w:val="-8"/>
        </w:rPr>
        <w:t xml:space="preserve"> </w:t>
      </w:r>
      <w:r>
        <w:t>időtartam</w:t>
      </w:r>
    </w:p>
    <w:p w14:paraId="7E765C0B" w14:textId="77777777" w:rsidR="004C11B6" w:rsidRDefault="004C11B6" w:rsidP="009F50D3">
      <w:pPr>
        <w:pStyle w:val="Szvegtrzs"/>
        <w:spacing w:before="4"/>
        <w:rPr>
          <w:b/>
          <w:sz w:val="20"/>
        </w:rPr>
      </w:pPr>
    </w:p>
    <w:p w14:paraId="1DB62096" w14:textId="51943F0E" w:rsidR="004C11B6" w:rsidRDefault="008751AB" w:rsidP="009F50D3">
      <w:pPr>
        <w:pStyle w:val="Szvegtrzs"/>
      </w:pPr>
      <w:r>
        <w:t>3</w:t>
      </w:r>
      <w:r w:rsidR="008B7781">
        <w:t xml:space="preserve"> év</w:t>
      </w:r>
    </w:p>
    <w:p w14:paraId="6F0CE771" w14:textId="77777777" w:rsidR="004C11B6" w:rsidRDefault="004C11B6" w:rsidP="009F50D3">
      <w:pPr>
        <w:pStyle w:val="Szvegtrzs"/>
        <w:spacing w:before="4"/>
        <w:rPr>
          <w:sz w:val="20"/>
        </w:rPr>
      </w:pPr>
    </w:p>
    <w:p w14:paraId="5D17C8CB" w14:textId="77777777" w:rsidR="004C11B6" w:rsidRDefault="00F05A0C" w:rsidP="009F50D3">
      <w:pPr>
        <w:pStyle w:val="Cmsor2"/>
        <w:numPr>
          <w:ilvl w:val="1"/>
          <w:numId w:val="46"/>
        </w:numPr>
        <w:ind w:left="567"/>
      </w:pPr>
      <w:r>
        <w:t>Különleges</w:t>
      </w:r>
      <w:r>
        <w:rPr>
          <w:spacing w:val="-6"/>
        </w:rPr>
        <w:t xml:space="preserve"> </w:t>
      </w:r>
      <w:r>
        <w:t>tárolási</w:t>
      </w:r>
      <w:r>
        <w:rPr>
          <w:spacing w:val="-6"/>
        </w:rPr>
        <w:t xml:space="preserve"> </w:t>
      </w:r>
      <w:r>
        <w:t>előírások</w:t>
      </w:r>
    </w:p>
    <w:p w14:paraId="747EFF91" w14:textId="77777777" w:rsidR="004C11B6" w:rsidRDefault="004C11B6" w:rsidP="009F50D3">
      <w:pPr>
        <w:pStyle w:val="Szvegtrzs"/>
        <w:spacing w:before="4"/>
        <w:rPr>
          <w:b/>
          <w:sz w:val="20"/>
        </w:rPr>
      </w:pPr>
    </w:p>
    <w:p w14:paraId="471F4620" w14:textId="77777777" w:rsidR="004C11B6" w:rsidRDefault="00F05A0C" w:rsidP="009F50D3">
      <w:pPr>
        <w:pStyle w:val="Szvegtrzs"/>
      </w:pPr>
      <w:r>
        <w:t>Ez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igényel</w:t>
      </w:r>
      <w:r>
        <w:rPr>
          <w:spacing w:val="-4"/>
        </w:rPr>
        <w:t xml:space="preserve"> </w:t>
      </w:r>
      <w:r>
        <w:t>különleges</w:t>
      </w:r>
      <w:r>
        <w:rPr>
          <w:spacing w:val="-4"/>
        </w:rPr>
        <w:t xml:space="preserve"> </w:t>
      </w:r>
      <w:r>
        <w:t>tárolást.</w:t>
      </w:r>
    </w:p>
    <w:p w14:paraId="15D21B8F" w14:textId="77777777" w:rsidR="004C11B6" w:rsidRDefault="004C11B6" w:rsidP="009F50D3">
      <w:pPr>
        <w:pStyle w:val="Szvegtrzs"/>
        <w:spacing w:before="4"/>
        <w:rPr>
          <w:sz w:val="20"/>
        </w:rPr>
      </w:pPr>
    </w:p>
    <w:p w14:paraId="3877FFF0" w14:textId="77777777" w:rsidR="004C11B6" w:rsidRDefault="00F05A0C" w:rsidP="009F50D3">
      <w:pPr>
        <w:pStyle w:val="Cmsor2"/>
        <w:numPr>
          <w:ilvl w:val="1"/>
          <w:numId w:val="46"/>
        </w:numPr>
        <w:tabs>
          <w:tab w:val="left" w:pos="802"/>
          <w:tab w:val="left" w:pos="803"/>
        </w:tabs>
        <w:spacing w:before="1"/>
        <w:ind w:left="567"/>
      </w:pPr>
      <w:r>
        <w:t>Csomagolás</w:t>
      </w:r>
      <w:r>
        <w:rPr>
          <w:spacing w:val="-5"/>
        </w:rPr>
        <w:t xml:space="preserve"> </w:t>
      </w:r>
      <w:r>
        <w:t>típusa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kiszerelése</w:t>
      </w:r>
    </w:p>
    <w:p w14:paraId="6EA25C7F" w14:textId="77777777" w:rsidR="004C11B6" w:rsidRDefault="004C11B6" w:rsidP="009F50D3">
      <w:pPr>
        <w:pStyle w:val="Szvegtrzs"/>
        <w:rPr>
          <w:b/>
          <w:sz w:val="21"/>
        </w:rPr>
      </w:pPr>
    </w:p>
    <w:p w14:paraId="1F698FB0" w14:textId="115242A1" w:rsidR="008B7781" w:rsidRPr="00CC3D94" w:rsidRDefault="00A45589" w:rsidP="008B7781">
      <w:pPr>
        <w:spacing w:after="5" w:line="244" w:lineRule="auto"/>
        <w:rPr>
          <w:color w:val="000000"/>
        </w:rPr>
      </w:pPr>
      <w:bookmarkStart w:id="3" w:name="_GoBack"/>
      <w:bookmarkEnd w:id="3"/>
      <w:r w:rsidRPr="00CC3D94">
        <w:rPr>
          <w:color w:val="000000"/>
        </w:rPr>
        <w:t>60db filmtabletta</w:t>
      </w:r>
      <w:r w:rsidR="008B7781" w:rsidRPr="00CC3D94">
        <w:t xml:space="preserve"> </w:t>
      </w:r>
      <w:r w:rsidR="008B7781" w:rsidRPr="00CC3D94">
        <w:rPr>
          <w:color w:val="000000"/>
        </w:rPr>
        <w:t>PVC/PVDC//Al buborékcsomagolásban és dobozban.</w:t>
      </w:r>
    </w:p>
    <w:p w14:paraId="14E5EFB4" w14:textId="6802FA69" w:rsidR="004C11B6" w:rsidRDefault="00AF550C" w:rsidP="00F162CB">
      <w:pPr>
        <w:spacing w:after="5" w:line="244" w:lineRule="auto"/>
      </w:pPr>
      <w:r w:rsidRPr="00CC3D94">
        <w:t>60db filmtabletta Al//Al buborékcsomagolásban és dobozban</w:t>
      </w:r>
    </w:p>
    <w:p w14:paraId="5ABBAF8C" w14:textId="77777777" w:rsidR="004C11B6" w:rsidRDefault="004C11B6" w:rsidP="009F50D3">
      <w:pPr>
        <w:pStyle w:val="Szvegtrzs"/>
        <w:spacing w:before="4"/>
        <w:rPr>
          <w:sz w:val="20"/>
        </w:rPr>
      </w:pPr>
    </w:p>
    <w:p w14:paraId="6D4A72DC" w14:textId="77777777" w:rsidR="004C11B6" w:rsidRDefault="00F05A0C" w:rsidP="009F50D3">
      <w:pPr>
        <w:pStyle w:val="Cmsor2"/>
        <w:numPr>
          <w:ilvl w:val="1"/>
          <w:numId w:val="46"/>
        </w:numPr>
        <w:ind w:left="567"/>
      </w:pPr>
      <w:r>
        <w:t>A</w:t>
      </w:r>
      <w:r>
        <w:rPr>
          <w:spacing w:val="-6"/>
        </w:rPr>
        <w:t xml:space="preserve"> </w:t>
      </w:r>
      <w:r>
        <w:t>megsemmisítésre</w:t>
      </w:r>
      <w:r>
        <w:rPr>
          <w:spacing w:val="-6"/>
        </w:rPr>
        <w:t xml:space="preserve"> </w:t>
      </w:r>
      <w:r>
        <w:t>vonatkozó</w:t>
      </w:r>
      <w:r>
        <w:rPr>
          <w:spacing w:val="-6"/>
        </w:rPr>
        <w:t xml:space="preserve"> </w:t>
      </w:r>
      <w:r>
        <w:t>különleges</w:t>
      </w:r>
      <w:r>
        <w:rPr>
          <w:spacing w:val="-6"/>
        </w:rPr>
        <w:t xml:space="preserve"> </w:t>
      </w:r>
      <w:r>
        <w:t>óvintézkedések</w:t>
      </w:r>
    </w:p>
    <w:p w14:paraId="5C255C6E" w14:textId="77777777" w:rsidR="004C11B6" w:rsidRDefault="004C11B6" w:rsidP="009F50D3">
      <w:pPr>
        <w:pStyle w:val="Szvegtrzs"/>
        <w:spacing w:before="11"/>
        <w:rPr>
          <w:b/>
          <w:sz w:val="20"/>
        </w:rPr>
      </w:pPr>
    </w:p>
    <w:p w14:paraId="5FD7AEB9" w14:textId="77777777" w:rsidR="009F50D3" w:rsidRDefault="00F05A0C" w:rsidP="009F50D3">
      <w:pPr>
        <w:pStyle w:val="Szvegtrzs"/>
        <w:spacing w:line="232" w:lineRule="auto"/>
      </w:pPr>
      <w:r>
        <w:t>Bármilyen fel nem használt gyógyszer, illetve hulladékanyag megsemmisítését a gyógyszerekre</w:t>
      </w:r>
      <w:r>
        <w:rPr>
          <w:spacing w:val="-52"/>
        </w:rPr>
        <w:t xml:space="preserve"> </w:t>
      </w:r>
      <w:r>
        <w:t>vonatkozó</w:t>
      </w:r>
      <w:r>
        <w:rPr>
          <w:spacing w:val="-2"/>
        </w:rPr>
        <w:t xml:space="preserve"> </w:t>
      </w:r>
      <w:r>
        <w:t>előírások</w:t>
      </w:r>
      <w:r>
        <w:rPr>
          <w:spacing w:val="-1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végrehajtani.</w:t>
      </w:r>
    </w:p>
    <w:p w14:paraId="4E48CD90" w14:textId="77777777" w:rsidR="009F50D3" w:rsidRDefault="009F50D3" w:rsidP="009F50D3">
      <w:pPr>
        <w:pStyle w:val="Szvegtrzs"/>
        <w:spacing w:line="232" w:lineRule="auto"/>
      </w:pPr>
    </w:p>
    <w:p w14:paraId="3B12DA82" w14:textId="047E8193" w:rsidR="00C37F46" w:rsidRPr="00A21724" w:rsidRDefault="00C37F46" w:rsidP="00C37F46">
      <w:pPr>
        <w:pStyle w:val="Nincstrkz"/>
        <w:rPr>
          <w:rFonts w:cs="Times New Roman"/>
        </w:rPr>
      </w:pPr>
      <w:r w:rsidRPr="00B61C03">
        <w:rPr>
          <w:rFonts w:cs="Times New Roman"/>
          <w:b/>
        </w:rPr>
        <w:t>Megjegyzés</w:t>
      </w:r>
      <w:r w:rsidRPr="00A21724">
        <w:rPr>
          <w:rFonts w:cs="Times New Roman"/>
        </w:rPr>
        <w:t xml:space="preserve">: </w:t>
      </w:r>
      <w:r w:rsidRPr="00462D1D">
        <w:rPr>
          <w:rFonts w:cs="Times New Roman"/>
          <w:lang w:val="en-GB"/>
        </w:rPr>
        <w:sym w:font="Wingdings" w:char="F058"/>
      </w:r>
      <w:r w:rsidRPr="00A21724">
        <w:rPr>
          <w:rFonts w:cs="Times New Roman"/>
        </w:rPr>
        <w:t xml:space="preserve"> (egy keresztes)</w:t>
      </w:r>
    </w:p>
    <w:p w14:paraId="5D557694" w14:textId="0C7042D0" w:rsidR="00C37F46" w:rsidRPr="00A21724" w:rsidRDefault="00C37F46" w:rsidP="00C37F46">
      <w:pPr>
        <w:pStyle w:val="Nincstrkz"/>
        <w:rPr>
          <w:rFonts w:cs="Times New Roman"/>
        </w:rPr>
      </w:pPr>
      <w:r w:rsidRPr="00B61C03">
        <w:rPr>
          <w:rFonts w:cs="Times New Roman"/>
          <w:b/>
        </w:rPr>
        <w:t>Osztályozás:</w:t>
      </w:r>
      <w:r w:rsidRPr="00A21724">
        <w:rPr>
          <w:rFonts w:cs="Times New Roman"/>
        </w:rPr>
        <w:t xml:space="preserve"> </w:t>
      </w:r>
      <w:r w:rsidRPr="00B61C03">
        <w:rPr>
          <w:rFonts w:cs="Times New Roman"/>
          <w:b/>
        </w:rPr>
        <w:t>II./1 csoport</w:t>
      </w:r>
    </w:p>
    <w:p w14:paraId="32B3054D" w14:textId="62189067" w:rsidR="00C37F46" w:rsidRPr="00A21724" w:rsidRDefault="00C37F46" w:rsidP="00C37F46">
      <w:pPr>
        <w:pStyle w:val="Nincstrkz"/>
        <w:rPr>
          <w:rFonts w:cs="Times New Roman"/>
        </w:rPr>
      </w:pPr>
      <w:r w:rsidRPr="00A21724">
        <w:rPr>
          <w:rFonts w:cs="Times New Roman"/>
        </w:rPr>
        <w:t>Korlátozott érvényű orvosi rendelvényhez kötött, szakorvosi</w:t>
      </w:r>
      <w:r w:rsidR="00700C83">
        <w:rPr>
          <w:rFonts w:cs="Times New Roman"/>
        </w:rPr>
        <w:t>/</w:t>
      </w:r>
      <w:r w:rsidRPr="00A21724">
        <w:rPr>
          <w:rFonts w:cs="Times New Roman"/>
        </w:rPr>
        <w:t xml:space="preserve"> kórházi diagnózist követő járóbeteg-ellátásban alkalmazható gyógyszer (J).</w:t>
      </w:r>
    </w:p>
    <w:p w14:paraId="3D508A7F" w14:textId="77777777" w:rsidR="009F50D3" w:rsidRDefault="009F50D3" w:rsidP="009F50D3">
      <w:pPr>
        <w:pStyle w:val="Szvegtrzs"/>
        <w:spacing w:line="232" w:lineRule="auto"/>
      </w:pPr>
    </w:p>
    <w:p w14:paraId="2B8FC0B5" w14:textId="1A8358BF" w:rsidR="004C11B6" w:rsidRPr="009F50D3" w:rsidRDefault="00F05A0C" w:rsidP="009F50D3">
      <w:pPr>
        <w:pStyle w:val="Szvegtrzs"/>
        <w:numPr>
          <w:ilvl w:val="0"/>
          <w:numId w:val="46"/>
        </w:numPr>
        <w:spacing w:line="232" w:lineRule="auto"/>
        <w:ind w:left="567"/>
        <w:rPr>
          <w:b/>
          <w:bCs/>
        </w:rPr>
      </w:pPr>
      <w:r w:rsidRPr="009F50D3">
        <w:rPr>
          <w:b/>
          <w:bCs/>
        </w:rPr>
        <w:t>A</w:t>
      </w:r>
      <w:r w:rsidRPr="009F50D3">
        <w:rPr>
          <w:b/>
          <w:bCs/>
          <w:spacing w:val="-3"/>
        </w:rPr>
        <w:t xml:space="preserve"> </w:t>
      </w:r>
      <w:r w:rsidRPr="009F50D3">
        <w:rPr>
          <w:b/>
          <w:bCs/>
        </w:rPr>
        <w:t>FORGALOMBA</w:t>
      </w:r>
      <w:r w:rsidRPr="009F50D3">
        <w:rPr>
          <w:b/>
          <w:bCs/>
          <w:spacing w:val="-3"/>
        </w:rPr>
        <w:t xml:space="preserve"> </w:t>
      </w:r>
      <w:r w:rsidRPr="009F50D3">
        <w:rPr>
          <w:b/>
          <w:bCs/>
        </w:rPr>
        <w:t>HOZATALI</w:t>
      </w:r>
      <w:r w:rsidRPr="009F50D3">
        <w:rPr>
          <w:b/>
          <w:bCs/>
          <w:spacing w:val="-3"/>
        </w:rPr>
        <w:t xml:space="preserve"> </w:t>
      </w:r>
      <w:r w:rsidRPr="009F50D3">
        <w:rPr>
          <w:b/>
          <w:bCs/>
        </w:rPr>
        <w:t>ENGEDÉLY</w:t>
      </w:r>
      <w:r w:rsidRPr="009F50D3">
        <w:rPr>
          <w:b/>
          <w:bCs/>
          <w:spacing w:val="-3"/>
        </w:rPr>
        <w:t xml:space="preserve"> </w:t>
      </w:r>
      <w:r w:rsidRPr="009F50D3">
        <w:rPr>
          <w:b/>
          <w:bCs/>
        </w:rPr>
        <w:t>JOGOSULTJA</w:t>
      </w:r>
    </w:p>
    <w:p w14:paraId="44E0AAFB" w14:textId="77777777" w:rsidR="004C11B6" w:rsidRDefault="004C11B6" w:rsidP="009F50D3">
      <w:pPr>
        <w:pStyle w:val="Szvegtrzs"/>
        <w:spacing w:before="7"/>
        <w:rPr>
          <w:b/>
          <w:sz w:val="21"/>
        </w:rPr>
      </w:pPr>
    </w:p>
    <w:p w14:paraId="4C85923F" w14:textId="7DD174CD" w:rsidR="00E7206E" w:rsidRPr="00E7206E" w:rsidRDefault="00142607" w:rsidP="009F50D3">
      <w:pPr>
        <w:pStyle w:val="Szvegtrzs"/>
      </w:pPr>
      <w:r>
        <w:t>Supremex</w:t>
      </w:r>
      <w:r w:rsidR="00E7206E" w:rsidRPr="00E7206E">
        <w:t xml:space="preserve"> Kft.</w:t>
      </w:r>
    </w:p>
    <w:p w14:paraId="78F9AE93" w14:textId="74021CE2" w:rsidR="004C11B6" w:rsidRDefault="00142607" w:rsidP="009F50D3">
      <w:pPr>
        <w:pStyle w:val="Szvegtrzs"/>
      </w:pPr>
      <w:r>
        <w:t>2096 Üröm, Kormorán u. 15.</w:t>
      </w:r>
    </w:p>
    <w:p w14:paraId="101AF028" w14:textId="5EBC7837" w:rsidR="00B31A1D" w:rsidRDefault="00B31A1D" w:rsidP="009F50D3">
      <w:pPr>
        <w:pStyle w:val="Szvegtrzs"/>
      </w:pPr>
      <w:r>
        <w:t>Magyarország</w:t>
      </w:r>
    </w:p>
    <w:p w14:paraId="57223581" w14:textId="77777777" w:rsidR="003B0883" w:rsidRPr="00E7206E" w:rsidRDefault="003B0883" w:rsidP="009F50D3">
      <w:pPr>
        <w:pStyle w:val="Szvegtrzs"/>
        <w:spacing w:line="232" w:lineRule="auto"/>
      </w:pPr>
    </w:p>
    <w:p w14:paraId="1DAB43C0" w14:textId="77777777" w:rsidR="004C11B6" w:rsidRPr="00E7206E" w:rsidRDefault="00F05A0C" w:rsidP="009F50D3">
      <w:pPr>
        <w:pStyle w:val="Cmsor1"/>
        <w:numPr>
          <w:ilvl w:val="0"/>
          <w:numId w:val="46"/>
        </w:numPr>
        <w:spacing w:before="205"/>
        <w:ind w:left="567"/>
      </w:pPr>
      <w:r w:rsidRPr="00E7206E">
        <w:t>A</w:t>
      </w:r>
      <w:r w:rsidRPr="00E7206E">
        <w:rPr>
          <w:spacing w:val="-4"/>
        </w:rPr>
        <w:t xml:space="preserve"> </w:t>
      </w:r>
      <w:r w:rsidRPr="00E7206E">
        <w:t>FORGALOMBA</w:t>
      </w:r>
      <w:r w:rsidRPr="00E7206E">
        <w:rPr>
          <w:spacing w:val="-3"/>
        </w:rPr>
        <w:t xml:space="preserve"> </w:t>
      </w:r>
      <w:r w:rsidRPr="00E7206E">
        <w:t>HOZATALI</w:t>
      </w:r>
      <w:r w:rsidRPr="00E7206E">
        <w:rPr>
          <w:spacing w:val="-3"/>
        </w:rPr>
        <w:t xml:space="preserve"> </w:t>
      </w:r>
      <w:r w:rsidRPr="00E7206E">
        <w:t>ENGEDÉLY</w:t>
      </w:r>
      <w:r w:rsidRPr="00E7206E">
        <w:rPr>
          <w:spacing w:val="-3"/>
        </w:rPr>
        <w:t xml:space="preserve"> </w:t>
      </w:r>
      <w:r w:rsidRPr="00E7206E">
        <w:t>SZÁMA(I)</w:t>
      </w:r>
    </w:p>
    <w:p w14:paraId="4E52EA73" w14:textId="77777777" w:rsidR="004C11B6" w:rsidRDefault="004C11B6" w:rsidP="009F50D3">
      <w:pPr>
        <w:pStyle w:val="Szvegtrzs"/>
        <w:spacing w:before="1"/>
        <w:rPr>
          <w:b/>
          <w:sz w:val="21"/>
        </w:rPr>
      </w:pPr>
    </w:p>
    <w:p w14:paraId="11F580A7" w14:textId="5B10951C" w:rsidR="008B7781" w:rsidRDefault="009648CC" w:rsidP="008B7781">
      <w:pPr>
        <w:pStyle w:val="Szvegtrzs"/>
      </w:pPr>
      <w:bookmarkStart w:id="4" w:name="_Hlk77248644"/>
      <w:r>
        <w:t>OGYI-T-24671/02             60×</w:t>
      </w:r>
      <w:r w:rsidRPr="009648CC">
        <w:t xml:space="preserve">         PVC/PVDC//Al buborékcsomagolásban</w:t>
      </w:r>
    </w:p>
    <w:p w14:paraId="26352B37" w14:textId="5C84A5C7" w:rsidR="004A22B6" w:rsidRDefault="004A22B6" w:rsidP="008B7781">
      <w:pPr>
        <w:pStyle w:val="Szvegtrzs"/>
      </w:pPr>
      <w:r>
        <w:t>OGYI-T-24671/04</w:t>
      </w:r>
      <w:r w:rsidRPr="004A22B6">
        <w:t xml:space="preserve"> </w:t>
      </w:r>
      <w:r>
        <w:t xml:space="preserve">            60×         Al</w:t>
      </w:r>
      <w:r w:rsidRPr="004A22B6">
        <w:t>//Al buborékcsomagolásban</w:t>
      </w:r>
    </w:p>
    <w:p w14:paraId="12553E58" w14:textId="77777777" w:rsidR="008B7781" w:rsidRDefault="008B7781" w:rsidP="008B7781">
      <w:pPr>
        <w:pStyle w:val="Szvegtrzs"/>
      </w:pPr>
    </w:p>
    <w:p w14:paraId="40204F2A" w14:textId="0031B56B" w:rsidR="008A1459" w:rsidRPr="008A1459" w:rsidRDefault="008A1459" w:rsidP="008A1459">
      <w:pPr>
        <w:pStyle w:val="Szvegtrzs"/>
      </w:pPr>
    </w:p>
    <w:bookmarkEnd w:id="4"/>
    <w:p w14:paraId="43D60E7A" w14:textId="77777777" w:rsidR="008D7958" w:rsidRPr="00E7206E" w:rsidRDefault="008D7958" w:rsidP="009F50D3">
      <w:pPr>
        <w:pStyle w:val="Szvegtrzs"/>
      </w:pPr>
    </w:p>
    <w:p w14:paraId="6A9C43B3" w14:textId="77777777" w:rsidR="004C11B6" w:rsidRDefault="00F05A0C" w:rsidP="009F50D3">
      <w:pPr>
        <w:pStyle w:val="Cmsor1"/>
        <w:numPr>
          <w:ilvl w:val="0"/>
          <w:numId w:val="46"/>
        </w:numPr>
        <w:spacing w:before="215" w:line="232" w:lineRule="auto"/>
        <w:ind w:left="567"/>
      </w:pPr>
      <w:r>
        <w:t>A FORGALOMBA HOZATALI ENGEDÉLY ELSŐ KIADÁSÁNAK/</w:t>
      </w:r>
      <w:r>
        <w:rPr>
          <w:spacing w:val="-52"/>
        </w:rPr>
        <w:t xml:space="preserve"> </w:t>
      </w:r>
      <w:r>
        <w:t>MEGÚJÍTÁSÁNAK</w:t>
      </w:r>
      <w:r>
        <w:rPr>
          <w:spacing w:val="-2"/>
        </w:rPr>
        <w:t xml:space="preserve"> </w:t>
      </w:r>
      <w:r>
        <w:t>DÁTUMA</w:t>
      </w:r>
    </w:p>
    <w:p w14:paraId="07DE1734" w14:textId="77777777" w:rsidR="004C11B6" w:rsidRDefault="004C11B6" w:rsidP="009F50D3">
      <w:pPr>
        <w:pStyle w:val="Szvegtrzs"/>
        <w:spacing w:before="5"/>
        <w:rPr>
          <w:b/>
          <w:sz w:val="20"/>
        </w:rPr>
      </w:pPr>
    </w:p>
    <w:p w14:paraId="4FFED4CF" w14:textId="187890B5" w:rsidR="009F50D3" w:rsidRDefault="00F05A0C" w:rsidP="009F50D3">
      <w:pPr>
        <w:pStyle w:val="Szvegtrzs"/>
        <w:spacing w:line="248" w:lineRule="exact"/>
        <w:rPr>
          <w:spacing w:val="-4"/>
        </w:rPr>
      </w:pPr>
      <w:r>
        <w:t>A</w:t>
      </w:r>
      <w:r>
        <w:rPr>
          <w:spacing w:val="-4"/>
        </w:rPr>
        <w:t xml:space="preserve"> </w:t>
      </w:r>
      <w:r>
        <w:t>forgalomba</w:t>
      </w:r>
      <w:r>
        <w:rPr>
          <w:spacing w:val="-4"/>
        </w:rPr>
        <w:t xml:space="preserve"> </w:t>
      </w:r>
      <w:r>
        <w:t>hozatali</w:t>
      </w:r>
      <w:r>
        <w:rPr>
          <w:spacing w:val="-4"/>
        </w:rPr>
        <w:t xml:space="preserve"> </w:t>
      </w:r>
      <w:r>
        <w:t>engedély</w:t>
      </w:r>
      <w:r>
        <w:rPr>
          <w:spacing w:val="-4"/>
        </w:rPr>
        <w:t xml:space="preserve"> </w:t>
      </w:r>
      <w:r>
        <w:t>első</w:t>
      </w:r>
      <w:r>
        <w:rPr>
          <w:spacing w:val="-4"/>
        </w:rPr>
        <w:t xml:space="preserve"> </w:t>
      </w:r>
      <w:r>
        <w:t>kiadásának</w:t>
      </w:r>
      <w:r>
        <w:rPr>
          <w:spacing w:val="-4"/>
        </w:rPr>
        <w:t xml:space="preserve"> </w:t>
      </w:r>
      <w:r>
        <w:t>dátuma:</w:t>
      </w:r>
      <w:r>
        <w:rPr>
          <w:spacing w:val="-2"/>
        </w:rPr>
        <w:t xml:space="preserve"> </w:t>
      </w:r>
      <w:r w:rsidR="009648CC">
        <w:rPr>
          <w:spacing w:val="-2"/>
        </w:rPr>
        <w:t>2025. december 11.</w:t>
      </w:r>
    </w:p>
    <w:p w14:paraId="1C8B12F8" w14:textId="77777777" w:rsidR="009F50D3" w:rsidRDefault="009F50D3" w:rsidP="009F50D3">
      <w:pPr>
        <w:pStyle w:val="Szvegtrzs"/>
        <w:spacing w:line="248" w:lineRule="exact"/>
        <w:rPr>
          <w:spacing w:val="-4"/>
        </w:rPr>
      </w:pPr>
    </w:p>
    <w:p w14:paraId="68100C1F" w14:textId="77777777" w:rsidR="009F50D3" w:rsidRDefault="009F50D3" w:rsidP="009F50D3">
      <w:pPr>
        <w:pStyle w:val="Szvegtrzs"/>
        <w:spacing w:line="248" w:lineRule="exact"/>
        <w:rPr>
          <w:spacing w:val="-4"/>
        </w:rPr>
      </w:pPr>
    </w:p>
    <w:p w14:paraId="0DF27D1E" w14:textId="4F415E9D" w:rsidR="004C11B6" w:rsidRPr="008A1459" w:rsidRDefault="00F05A0C" w:rsidP="009F50D3">
      <w:pPr>
        <w:pStyle w:val="Szvegtrzs"/>
        <w:numPr>
          <w:ilvl w:val="0"/>
          <w:numId w:val="46"/>
        </w:numPr>
        <w:spacing w:line="248" w:lineRule="exact"/>
        <w:ind w:left="567"/>
        <w:rPr>
          <w:b/>
          <w:bCs/>
          <w:spacing w:val="-4"/>
        </w:rPr>
      </w:pPr>
      <w:r w:rsidRPr="009F50D3">
        <w:rPr>
          <w:b/>
          <w:bCs/>
        </w:rPr>
        <w:t>A</w:t>
      </w:r>
      <w:r w:rsidRPr="009F50D3">
        <w:rPr>
          <w:b/>
          <w:bCs/>
          <w:spacing w:val="-4"/>
        </w:rPr>
        <w:t xml:space="preserve"> </w:t>
      </w:r>
      <w:r w:rsidRPr="009F50D3">
        <w:rPr>
          <w:b/>
          <w:bCs/>
        </w:rPr>
        <w:t>SZÖVEG</w:t>
      </w:r>
      <w:r w:rsidRPr="009F50D3">
        <w:rPr>
          <w:b/>
          <w:bCs/>
          <w:spacing w:val="-3"/>
        </w:rPr>
        <w:t xml:space="preserve"> </w:t>
      </w:r>
      <w:r w:rsidRPr="009F50D3">
        <w:rPr>
          <w:b/>
          <w:bCs/>
        </w:rPr>
        <w:t>ELLENŐRZÉSÉNEK</w:t>
      </w:r>
      <w:r w:rsidRPr="009F50D3">
        <w:rPr>
          <w:b/>
          <w:bCs/>
          <w:spacing w:val="-3"/>
        </w:rPr>
        <w:t xml:space="preserve"> </w:t>
      </w:r>
      <w:r w:rsidRPr="009F50D3">
        <w:rPr>
          <w:b/>
          <w:bCs/>
        </w:rPr>
        <w:t>DÁTUMA</w:t>
      </w:r>
    </w:p>
    <w:p w14:paraId="19D79EA1" w14:textId="549F8C95" w:rsidR="008A1459" w:rsidRDefault="008A1459" w:rsidP="008A1459">
      <w:pPr>
        <w:pStyle w:val="Szvegtrzs"/>
        <w:spacing w:line="248" w:lineRule="exact"/>
        <w:rPr>
          <w:b/>
          <w:bCs/>
        </w:rPr>
      </w:pPr>
    </w:p>
    <w:p w14:paraId="07E11702" w14:textId="06C29676" w:rsidR="008A1459" w:rsidRPr="009648CC" w:rsidRDefault="009648CC" w:rsidP="008A1459">
      <w:pPr>
        <w:pStyle w:val="Szvegtrzs"/>
        <w:spacing w:line="248" w:lineRule="exact"/>
        <w:rPr>
          <w:bCs/>
          <w:spacing w:val="-4"/>
        </w:rPr>
      </w:pPr>
      <w:r w:rsidRPr="009648CC">
        <w:rPr>
          <w:bCs/>
          <w:spacing w:val="-4"/>
        </w:rPr>
        <w:t xml:space="preserve">2025. </w:t>
      </w:r>
      <w:r>
        <w:rPr>
          <w:bCs/>
          <w:spacing w:val="-4"/>
        </w:rPr>
        <w:t>d</w:t>
      </w:r>
      <w:r w:rsidRPr="009648CC">
        <w:rPr>
          <w:bCs/>
          <w:spacing w:val="-4"/>
        </w:rPr>
        <w:t>ecember 11.</w:t>
      </w:r>
    </w:p>
    <w:sectPr w:rsidR="008A1459" w:rsidRPr="009648CC" w:rsidSect="00585EFA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8C9D5" w14:textId="77777777" w:rsidR="004A22B6" w:rsidRDefault="004A22B6">
      <w:r>
        <w:separator/>
      </w:r>
    </w:p>
  </w:endnote>
  <w:endnote w:type="continuationSeparator" w:id="0">
    <w:p w14:paraId="05C3790E" w14:textId="77777777" w:rsidR="004A22B6" w:rsidRDefault="004A2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6A8BA158" w:rsidR="004A22B6" w:rsidRDefault="004A22B6">
    <w:pPr>
      <w:pStyle w:val="Szvegtrzs"/>
      <w:spacing w:line="14" w:lineRule="auto"/>
      <w:rPr>
        <w:sz w:val="12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696C136" wp14:editId="31AA3A4E">
              <wp:simplePos x="0" y="0"/>
              <wp:positionH relativeFrom="page">
                <wp:posOffset>3684905</wp:posOffset>
              </wp:positionH>
              <wp:positionV relativeFrom="page">
                <wp:posOffset>10097770</wp:posOffset>
              </wp:positionV>
              <wp:extent cx="201930" cy="139700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A0E73" w14:textId="322B0CF8" w:rsidR="004A22B6" w:rsidRPr="00101B37" w:rsidRDefault="004A22B6">
                          <w:pPr>
                            <w:spacing w:before="15"/>
                            <w:ind w:left="60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96C136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90.15pt;margin-top:795.1pt;width:15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" filled="f" stroked="f">
              <v:textbox inset="0,0,0,0">
                <w:txbxContent>
                  <w:p w14:paraId="420A0E73" w14:textId="322B0CF8" w:rsidR="00897ECC" w:rsidRPr="00101B37" w:rsidRDefault="00897ECC">
                    <w:pPr>
                      <w:spacing w:before="15"/>
                      <w:ind w:left="60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54A215" w14:textId="7645CAB8" w:rsidR="004A22B6" w:rsidRPr="00363C37" w:rsidRDefault="004A22B6" w:rsidP="0082460E">
    <w:pPr>
      <w:pStyle w:val="llb"/>
      <w:rPr>
        <w:sz w:val="18"/>
      </w:rPr>
    </w:pPr>
    <w:r w:rsidRPr="00221655">
      <w:rPr>
        <w:sz w:val="18"/>
      </w:rPr>
      <w:t>NNGYK/GYSZ/4440/2024</w:t>
    </w:r>
    <w:r w:rsidR="00AF550C">
      <w:rPr>
        <w:sz w:val="18"/>
      </w:rPr>
      <w:tab/>
    </w:r>
    <w:r w:rsidR="00AF550C">
      <w:rPr>
        <w:sz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B06F1" w14:textId="77777777" w:rsidR="004A22B6" w:rsidRDefault="004A22B6">
      <w:r>
        <w:separator/>
      </w:r>
    </w:p>
  </w:footnote>
  <w:footnote w:type="continuationSeparator" w:id="0">
    <w:p w14:paraId="328FF13C" w14:textId="77777777" w:rsidR="004A22B6" w:rsidRDefault="004A2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965792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F0BE6A6" w14:textId="3724E6C7" w:rsidR="004A22B6" w:rsidRPr="00F162CB" w:rsidRDefault="004A22B6">
        <w:pPr>
          <w:pStyle w:val="lfej"/>
          <w:jc w:val="center"/>
          <w:rPr>
            <w:sz w:val="18"/>
            <w:szCs w:val="18"/>
          </w:rPr>
        </w:pPr>
        <w:r w:rsidRPr="00F162CB">
          <w:rPr>
            <w:sz w:val="18"/>
            <w:szCs w:val="18"/>
          </w:rPr>
          <w:fldChar w:fldCharType="begin"/>
        </w:r>
        <w:r w:rsidRPr="00F162CB">
          <w:rPr>
            <w:sz w:val="18"/>
            <w:szCs w:val="18"/>
          </w:rPr>
          <w:instrText>PAGE   \* MERGEFORMAT</w:instrText>
        </w:r>
        <w:r w:rsidRPr="00F162CB">
          <w:rPr>
            <w:sz w:val="18"/>
            <w:szCs w:val="18"/>
          </w:rPr>
          <w:fldChar w:fldCharType="separate"/>
        </w:r>
        <w:r w:rsidR="00CC3D94" w:rsidRPr="00CC3D94">
          <w:rPr>
            <w:noProof/>
            <w:sz w:val="18"/>
            <w:szCs w:val="18"/>
            <w:lang w:val="hu-HU"/>
          </w:rPr>
          <w:t>26</w:t>
        </w:r>
        <w:r w:rsidRPr="00F162CB">
          <w:rPr>
            <w:sz w:val="18"/>
            <w:szCs w:val="18"/>
          </w:rPr>
          <w:fldChar w:fldCharType="end"/>
        </w:r>
      </w:p>
    </w:sdtContent>
  </w:sdt>
  <w:p w14:paraId="7E8BAFAF" w14:textId="77777777" w:rsidR="004A22B6" w:rsidRDefault="004A22B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20C"/>
    <w:multiLevelType w:val="hybridMultilevel"/>
    <w:tmpl w:val="CD2A7F7E"/>
    <w:lvl w:ilvl="0" w:tplc="9BA4489E">
      <w:start w:val="1"/>
      <w:numFmt w:val="upperLetter"/>
      <w:lvlText w:val="%1."/>
      <w:lvlJc w:val="left"/>
      <w:pPr>
        <w:ind w:left="193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26D8A8CC">
      <w:numFmt w:val="bullet"/>
      <w:lvlText w:val="•"/>
      <w:lvlJc w:val="left"/>
      <w:pPr>
        <w:ind w:left="2728" w:hanging="708"/>
      </w:pPr>
      <w:rPr>
        <w:rFonts w:hint="default"/>
      </w:rPr>
    </w:lvl>
    <w:lvl w:ilvl="2" w:tplc="0D8ACE0C">
      <w:numFmt w:val="bullet"/>
      <w:lvlText w:val="•"/>
      <w:lvlJc w:val="left"/>
      <w:pPr>
        <w:ind w:left="3517" w:hanging="708"/>
      </w:pPr>
      <w:rPr>
        <w:rFonts w:hint="default"/>
      </w:rPr>
    </w:lvl>
    <w:lvl w:ilvl="3" w:tplc="2174E7DE">
      <w:numFmt w:val="bullet"/>
      <w:lvlText w:val="•"/>
      <w:lvlJc w:val="left"/>
      <w:pPr>
        <w:ind w:left="4305" w:hanging="708"/>
      </w:pPr>
      <w:rPr>
        <w:rFonts w:hint="default"/>
      </w:rPr>
    </w:lvl>
    <w:lvl w:ilvl="4" w:tplc="B4C0D960">
      <w:numFmt w:val="bullet"/>
      <w:lvlText w:val="•"/>
      <w:lvlJc w:val="left"/>
      <w:pPr>
        <w:ind w:left="5094" w:hanging="708"/>
      </w:pPr>
      <w:rPr>
        <w:rFonts w:hint="default"/>
      </w:rPr>
    </w:lvl>
    <w:lvl w:ilvl="5" w:tplc="E9D8AA46">
      <w:numFmt w:val="bullet"/>
      <w:lvlText w:val="•"/>
      <w:lvlJc w:val="left"/>
      <w:pPr>
        <w:ind w:left="5882" w:hanging="708"/>
      </w:pPr>
      <w:rPr>
        <w:rFonts w:hint="default"/>
      </w:rPr>
    </w:lvl>
    <w:lvl w:ilvl="6" w:tplc="EC3A283C">
      <w:numFmt w:val="bullet"/>
      <w:lvlText w:val="•"/>
      <w:lvlJc w:val="left"/>
      <w:pPr>
        <w:ind w:left="6671" w:hanging="708"/>
      </w:pPr>
      <w:rPr>
        <w:rFonts w:hint="default"/>
      </w:rPr>
    </w:lvl>
    <w:lvl w:ilvl="7" w:tplc="0E30B5EC">
      <w:numFmt w:val="bullet"/>
      <w:lvlText w:val="•"/>
      <w:lvlJc w:val="left"/>
      <w:pPr>
        <w:ind w:left="7459" w:hanging="708"/>
      </w:pPr>
      <w:rPr>
        <w:rFonts w:hint="default"/>
      </w:rPr>
    </w:lvl>
    <w:lvl w:ilvl="8" w:tplc="C2FA86F6">
      <w:numFmt w:val="bullet"/>
      <w:lvlText w:val="•"/>
      <w:lvlJc w:val="left"/>
      <w:pPr>
        <w:ind w:left="8248" w:hanging="708"/>
      </w:pPr>
      <w:rPr>
        <w:rFonts w:hint="default"/>
      </w:rPr>
    </w:lvl>
  </w:abstractNum>
  <w:abstractNum w:abstractNumId="1" w15:restartNumberingAfterBreak="0">
    <w:nsid w:val="03F33396"/>
    <w:multiLevelType w:val="hybridMultilevel"/>
    <w:tmpl w:val="83642892"/>
    <w:lvl w:ilvl="0" w:tplc="C7E2B77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2EE85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736949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72FAD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6F490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08FAB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A76A1D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35E0D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233CFE1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" w15:restartNumberingAfterBreak="0">
    <w:nsid w:val="060474B7"/>
    <w:multiLevelType w:val="hybridMultilevel"/>
    <w:tmpl w:val="D7706740"/>
    <w:lvl w:ilvl="0" w:tplc="9D44EA80">
      <w:start w:val="6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C0727B8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D80A8F04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32740F20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DC8508C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CD61386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3A2882D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BABA02D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08C278EA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3" w15:restartNumberingAfterBreak="0">
    <w:nsid w:val="0B8C1FC1"/>
    <w:multiLevelType w:val="hybridMultilevel"/>
    <w:tmpl w:val="CFCED102"/>
    <w:lvl w:ilvl="0" w:tplc="E4F8820C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8C12F6C8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E092E3A6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D5DAAC80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45D204E2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9F8A05F0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45F8CD40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8C286EF6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DBCE21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4" w15:restartNumberingAfterBreak="0">
    <w:nsid w:val="0BB66F46"/>
    <w:multiLevelType w:val="multilevel"/>
    <w:tmpl w:val="81505230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" w15:restartNumberingAfterBreak="0">
    <w:nsid w:val="0C2215EB"/>
    <w:multiLevelType w:val="hybridMultilevel"/>
    <w:tmpl w:val="27069A6E"/>
    <w:lvl w:ilvl="0" w:tplc="824405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427C0"/>
    <w:multiLevelType w:val="hybridMultilevel"/>
    <w:tmpl w:val="5B7E7C54"/>
    <w:lvl w:ilvl="0" w:tplc="3BAC978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" w15:restartNumberingAfterBreak="0">
    <w:nsid w:val="0DAF2CEC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8" w15:restartNumberingAfterBreak="0">
    <w:nsid w:val="101A5F2B"/>
    <w:multiLevelType w:val="hybridMultilevel"/>
    <w:tmpl w:val="751E76D0"/>
    <w:lvl w:ilvl="0" w:tplc="924E220C">
      <w:numFmt w:val="bullet"/>
      <w:lvlText w:val=""/>
      <w:lvlJc w:val="left"/>
      <w:pPr>
        <w:ind w:left="802" w:hanging="5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72F8F354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713478CA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7DEC3F00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55A62154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F630326C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48E214C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ACF84A2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DF487DE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9" w15:restartNumberingAfterBreak="0">
    <w:nsid w:val="11A17DAE"/>
    <w:multiLevelType w:val="hybridMultilevel"/>
    <w:tmpl w:val="9B604DD0"/>
    <w:lvl w:ilvl="0" w:tplc="A008BEF8">
      <w:numFmt w:val="bullet"/>
      <w:lvlText w:val="–"/>
      <w:lvlJc w:val="left"/>
      <w:pPr>
        <w:ind w:left="40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1E97D0">
      <w:numFmt w:val="bullet"/>
      <w:lvlText w:val="•"/>
      <w:lvlJc w:val="left"/>
      <w:pPr>
        <w:ind w:left="1342" w:hanging="166"/>
      </w:pPr>
      <w:rPr>
        <w:rFonts w:hint="default"/>
      </w:rPr>
    </w:lvl>
    <w:lvl w:ilvl="2" w:tplc="8AAC7F38">
      <w:numFmt w:val="bullet"/>
      <w:lvlText w:val="•"/>
      <w:lvlJc w:val="left"/>
      <w:pPr>
        <w:ind w:left="2285" w:hanging="166"/>
      </w:pPr>
      <w:rPr>
        <w:rFonts w:hint="default"/>
      </w:rPr>
    </w:lvl>
    <w:lvl w:ilvl="3" w:tplc="E3DCFE34">
      <w:numFmt w:val="bullet"/>
      <w:lvlText w:val="•"/>
      <w:lvlJc w:val="left"/>
      <w:pPr>
        <w:ind w:left="3227" w:hanging="166"/>
      </w:pPr>
      <w:rPr>
        <w:rFonts w:hint="default"/>
      </w:rPr>
    </w:lvl>
    <w:lvl w:ilvl="4" w:tplc="CE368A1C">
      <w:numFmt w:val="bullet"/>
      <w:lvlText w:val="•"/>
      <w:lvlJc w:val="left"/>
      <w:pPr>
        <w:ind w:left="4170" w:hanging="166"/>
      </w:pPr>
      <w:rPr>
        <w:rFonts w:hint="default"/>
      </w:rPr>
    </w:lvl>
    <w:lvl w:ilvl="5" w:tplc="ECAE78BA">
      <w:numFmt w:val="bullet"/>
      <w:lvlText w:val="•"/>
      <w:lvlJc w:val="left"/>
      <w:pPr>
        <w:ind w:left="5112" w:hanging="166"/>
      </w:pPr>
      <w:rPr>
        <w:rFonts w:hint="default"/>
      </w:rPr>
    </w:lvl>
    <w:lvl w:ilvl="6" w:tplc="FABA5AD0">
      <w:numFmt w:val="bullet"/>
      <w:lvlText w:val="•"/>
      <w:lvlJc w:val="left"/>
      <w:pPr>
        <w:ind w:left="6055" w:hanging="166"/>
      </w:pPr>
      <w:rPr>
        <w:rFonts w:hint="default"/>
      </w:rPr>
    </w:lvl>
    <w:lvl w:ilvl="7" w:tplc="4F92EA74">
      <w:numFmt w:val="bullet"/>
      <w:lvlText w:val="•"/>
      <w:lvlJc w:val="left"/>
      <w:pPr>
        <w:ind w:left="6997" w:hanging="166"/>
      </w:pPr>
      <w:rPr>
        <w:rFonts w:hint="default"/>
      </w:rPr>
    </w:lvl>
    <w:lvl w:ilvl="8" w:tplc="E368D2BE">
      <w:numFmt w:val="bullet"/>
      <w:lvlText w:val="•"/>
      <w:lvlJc w:val="left"/>
      <w:pPr>
        <w:ind w:left="7940" w:hanging="166"/>
      </w:pPr>
      <w:rPr>
        <w:rFonts w:hint="default"/>
      </w:rPr>
    </w:lvl>
  </w:abstractNum>
  <w:abstractNum w:abstractNumId="10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1" w15:restartNumberingAfterBreak="0">
    <w:nsid w:val="13CA6A17"/>
    <w:multiLevelType w:val="hybridMultilevel"/>
    <w:tmpl w:val="82EE4712"/>
    <w:lvl w:ilvl="0" w:tplc="F55A0B3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A3C56F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BD29F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B3845E9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9EE9D6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A4835F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D2A308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6E21B2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28670B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2" w15:restartNumberingAfterBreak="0">
    <w:nsid w:val="15232242"/>
    <w:multiLevelType w:val="hybridMultilevel"/>
    <w:tmpl w:val="EE3042FE"/>
    <w:lvl w:ilvl="0" w:tplc="5AD0564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CBE0D2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EE8A3E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6AAA04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8FA036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B0228B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74A072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6D12A73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CF4084B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3" w15:restartNumberingAfterBreak="0">
    <w:nsid w:val="19BD30C2"/>
    <w:multiLevelType w:val="hybridMultilevel"/>
    <w:tmpl w:val="735E3E76"/>
    <w:lvl w:ilvl="0" w:tplc="9482D140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0B2025EC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581C9BCA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185842D2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C6727B16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72FA451C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A9A0DD66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0F72E5F8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26AC4A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14" w15:restartNumberingAfterBreak="0">
    <w:nsid w:val="1AB4339F"/>
    <w:multiLevelType w:val="hybridMultilevel"/>
    <w:tmpl w:val="30E665F8"/>
    <w:lvl w:ilvl="0" w:tplc="5AE4443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9EA94E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15D26F8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E52969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BDAE83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AC4FD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3AE3A4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438887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0EEA842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5" w15:restartNumberingAfterBreak="0">
    <w:nsid w:val="20A62911"/>
    <w:multiLevelType w:val="hybridMultilevel"/>
    <w:tmpl w:val="645CA30C"/>
    <w:lvl w:ilvl="0" w:tplc="B0A0788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AC61AD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E7ECCAD0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8A2DA0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A5DA37C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4EE644B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D4960552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8714880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3A4601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16" w15:restartNumberingAfterBreak="0">
    <w:nsid w:val="20F03CF8"/>
    <w:multiLevelType w:val="multilevel"/>
    <w:tmpl w:val="87CAE926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7" w15:restartNumberingAfterBreak="0">
    <w:nsid w:val="228C7BFF"/>
    <w:multiLevelType w:val="hybridMultilevel"/>
    <w:tmpl w:val="8E3E73CA"/>
    <w:lvl w:ilvl="0" w:tplc="79CC26A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FCE2025A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A54E0A48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E312D652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9AC87B2C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DC94D7B6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114A8DF8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4E27360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92F2EA80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18" w15:restartNumberingAfterBreak="0">
    <w:nsid w:val="24063A73"/>
    <w:multiLevelType w:val="hybridMultilevel"/>
    <w:tmpl w:val="FA4E24FE"/>
    <w:lvl w:ilvl="0" w:tplc="7C4CEA6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B40BEC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EA2143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6ACC4C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29EDA9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5F684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83E6D2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F541D1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7123A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9" w15:restartNumberingAfterBreak="0">
    <w:nsid w:val="29DB5EF1"/>
    <w:multiLevelType w:val="hybridMultilevel"/>
    <w:tmpl w:val="FE327CF8"/>
    <w:lvl w:ilvl="0" w:tplc="9B92A14A">
      <w:start w:val="7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AF0E3B4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F18E6C6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4C1424DE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02E818E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D241D10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4AEEEE7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DC00A5D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4DDC58C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0" w15:restartNumberingAfterBreak="0">
    <w:nsid w:val="2A466D10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1" w15:restartNumberingAfterBreak="0">
    <w:nsid w:val="2EFA7755"/>
    <w:multiLevelType w:val="multilevel"/>
    <w:tmpl w:val="DBEC6ED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2" w15:restartNumberingAfterBreak="0">
    <w:nsid w:val="337132C9"/>
    <w:multiLevelType w:val="hybridMultilevel"/>
    <w:tmpl w:val="767605EC"/>
    <w:lvl w:ilvl="0" w:tplc="FA785B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3835F3E"/>
    <w:multiLevelType w:val="hybridMultilevel"/>
    <w:tmpl w:val="5010D242"/>
    <w:lvl w:ilvl="0" w:tplc="E6F87CC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8118E73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497809F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4DCFAE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0666B1E4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1F2C400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B32AD4A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E8A0D876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E904C3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4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25" w15:restartNumberingAfterBreak="0">
    <w:nsid w:val="3B24010E"/>
    <w:multiLevelType w:val="hybridMultilevel"/>
    <w:tmpl w:val="601688D2"/>
    <w:lvl w:ilvl="0" w:tplc="498A85E0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092600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3740E8E2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E7B00B8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8294CAA2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1C65F9C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493A867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DED091A4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BA54DE2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6" w15:restartNumberingAfterBreak="0">
    <w:nsid w:val="3C136B08"/>
    <w:multiLevelType w:val="hybridMultilevel"/>
    <w:tmpl w:val="9A2E5126"/>
    <w:lvl w:ilvl="0" w:tplc="87D2EE0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D7B857E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772A18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28C0AB7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0BA173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1A43F4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1C6FED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1FB017FE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9705C7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7" w15:restartNumberingAfterBreak="0">
    <w:nsid w:val="3DCD2834"/>
    <w:multiLevelType w:val="hybridMultilevel"/>
    <w:tmpl w:val="11568FA8"/>
    <w:lvl w:ilvl="0" w:tplc="C5A4E01C">
      <w:start w:val="4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1376073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9C747CC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047682F4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51021AA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A7CE34E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E0A3D0A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3A0EB782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838871EE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8" w15:restartNumberingAfterBreak="0">
    <w:nsid w:val="3F7B2202"/>
    <w:multiLevelType w:val="multilevel"/>
    <w:tmpl w:val="CF7EA042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9" w15:restartNumberingAfterBreak="0">
    <w:nsid w:val="404E2443"/>
    <w:multiLevelType w:val="hybridMultilevel"/>
    <w:tmpl w:val="CE64556E"/>
    <w:lvl w:ilvl="0" w:tplc="C1D24078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0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31" w15:restartNumberingAfterBreak="0">
    <w:nsid w:val="43184170"/>
    <w:multiLevelType w:val="hybridMultilevel"/>
    <w:tmpl w:val="706C7A08"/>
    <w:lvl w:ilvl="0" w:tplc="EA0A2710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CA0526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464544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B4E5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48CACA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E8EAF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190C8F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DB233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7D406A4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2" w15:restartNumberingAfterBreak="0">
    <w:nsid w:val="445A6389"/>
    <w:multiLevelType w:val="hybridMultilevel"/>
    <w:tmpl w:val="ADE00DEC"/>
    <w:lvl w:ilvl="0" w:tplc="5E565C2C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F4694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0650A57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BAE4D6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14C01D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3F6ED6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6D2589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CDC9DB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4C0EB7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3" w15:restartNumberingAfterBreak="0">
    <w:nsid w:val="45162DA0"/>
    <w:multiLevelType w:val="hybridMultilevel"/>
    <w:tmpl w:val="14C65EDC"/>
    <w:lvl w:ilvl="0" w:tplc="AFCA70F4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5486404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5F2CB116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C5E194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BC1ABED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EA94F8D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396734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1D68A82E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87960AE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4" w15:restartNumberingAfterBreak="0">
    <w:nsid w:val="45FA4483"/>
    <w:multiLevelType w:val="multilevel"/>
    <w:tmpl w:val="A3A0D746"/>
    <w:lvl w:ilvl="0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5" w15:restartNumberingAfterBreak="0">
    <w:nsid w:val="4684091B"/>
    <w:multiLevelType w:val="hybridMultilevel"/>
    <w:tmpl w:val="E1168E4A"/>
    <w:lvl w:ilvl="0" w:tplc="252ECBDA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DEBA4994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21CAB05C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4FB8DC3E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E0F0ED68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71788DB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78D4DF82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2B220CC2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D08405D2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36" w15:restartNumberingAfterBreak="0">
    <w:nsid w:val="46C66378"/>
    <w:multiLevelType w:val="hybridMultilevel"/>
    <w:tmpl w:val="8654EE6C"/>
    <w:lvl w:ilvl="0" w:tplc="599AC302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448886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35A12F6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E2AECB9E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2038507E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46940E58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C9091B6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88F2291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4BBE25A4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37" w15:restartNumberingAfterBreak="0">
    <w:nsid w:val="47B94AC8"/>
    <w:multiLevelType w:val="multilevel"/>
    <w:tmpl w:val="4CC4782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8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39" w15:restartNumberingAfterBreak="0">
    <w:nsid w:val="4897007E"/>
    <w:multiLevelType w:val="hybridMultilevel"/>
    <w:tmpl w:val="1444B8A2"/>
    <w:lvl w:ilvl="0" w:tplc="C50256F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466E2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E344A9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406C64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806E7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7A549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B8C08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C12EBC1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78070A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0" w15:restartNumberingAfterBreak="0">
    <w:nsid w:val="48D60786"/>
    <w:multiLevelType w:val="hybridMultilevel"/>
    <w:tmpl w:val="85769F94"/>
    <w:lvl w:ilvl="0" w:tplc="7EFC0C6E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1E8BE0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4D8C5F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D668BE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50760D6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7FE79D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8E4F4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2AA2B7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9D6EE4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1" w15:restartNumberingAfterBreak="0">
    <w:nsid w:val="4A683710"/>
    <w:multiLevelType w:val="hybridMultilevel"/>
    <w:tmpl w:val="64F6A4C2"/>
    <w:lvl w:ilvl="0" w:tplc="3BE66C14">
      <w:numFmt w:val="bullet"/>
      <w:lvlText w:val="*"/>
      <w:lvlJc w:val="left"/>
      <w:pPr>
        <w:ind w:left="236" w:hanging="135"/>
      </w:pPr>
      <w:rPr>
        <w:rFonts w:ascii="Times New Roman" w:eastAsia="Times New Roman" w:hAnsi="Times New Roman" w:cs="Times New Roman" w:hint="default"/>
        <w:w w:val="100"/>
      </w:rPr>
    </w:lvl>
    <w:lvl w:ilvl="1" w:tplc="9E0A5FF8">
      <w:numFmt w:val="bullet"/>
      <w:lvlText w:val="•"/>
      <w:lvlJc w:val="left"/>
      <w:pPr>
        <w:ind w:left="1198" w:hanging="135"/>
      </w:pPr>
      <w:rPr>
        <w:rFonts w:hint="default"/>
      </w:rPr>
    </w:lvl>
    <w:lvl w:ilvl="2" w:tplc="4024359E">
      <w:numFmt w:val="bullet"/>
      <w:lvlText w:val="•"/>
      <w:lvlJc w:val="left"/>
      <w:pPr>
        <w:ind w:left="2157" w:hanging="135"/>
      </w:pPr>
      <w:rPr>
        <w:rFonts w:hint="default"/>
      </w:rPr>
    </w:lvl>
    <w:lvl w:ilvl="3" w:tplc="4DB466F2">
      <w:numFmt w:val="bullet"/>
      <w:lvlText w:val="•"/>
      <w:lvlJc w:val="left"/>
      <w:pPr>
        <w:ind w:left="3115" w:hanging="135"/>
      </w:pPr>
      <w:rPr>
        <w:rFonts w:hint="default"/>
      </w:rPr>
    </w:lvl>
    <w:lvl w:ilvl="4" w:tplc="E2D0C598">
      <w:numFmt w:val="bullet"/>
      <w:lvlText w:val="•"/>
      <w:lvlJc w:val="left"/>
      <w:pPr>
        <w:ind w:left="4074" w:hanging="135"/>
      </w:pPr>
      <w:rPr>
        <w:rFonts w:hint="default"/>
      </w:rPr>
    </w:lvl>
    <w:lvl w:ilvl="5" w:tplc="DF6A8A78">
      <w:numFmt w:val="bullet"/>
      <w:lvlText w:val="•"/>
      <w:lvlJc w:val="left"/>
      <w:pPr>
        <w:ind w:left="5032" w:hanging="135"/>
      </w:pPr>
      <w:rPr>
        <w:rFonts w:hint="default"/>
      </w:rPr>
    </w:lvl>
    <w:lvl w:ilvl="6" w:tplc="C9A6651E">
      <w:numFmt w:val="bullet"/>
      <w:lvlText w:val="•"/>
      <w:lvlJc w:val="left"/>
      <w:pPr>
        <w:ind w:left="5991" w:hanging="135"/>
      </w:pPr>
      <w:rPr>
        <w:rFonts w:hint="default"/>
      </w:rPr>
    </w:lvl>
    <w:lvl w:ilvl="7" w:tplc="A94E94EC">
      <w:numFmt w:val="bullet"/>
      <w:lvlText w:val="•"/>
      <w:lvlJc w:val="left"/>
      <w:pPr>
        <w:ind w:left="6949" w:hanging="135"/>
      </w:pPr>
      <w:rPr>
        <w:rFonts w:hint="default"/>
      </w:rPr>
    </w:lvl>
    <w:lvl w:ilvl="8" w:tplc="B8809116">
      <w:numFmt w:val="bullet"/>
      <w:lvlText w:val="•"/>
      <w:lvlJc w:val="left"/>
      <w:pPr>
        <w:ind w:left="7908" w:hanging="135"/>
      </w:pPr>
      <w:rPr>
        <w:rFonts w:hint="default"/>
      </w:rPr>
    </w:lvl>
  </w:abstractNum>
  <w:abstractNum w:abstractNumId="42" w15:restartNumberingAfterBreak="0">
    <w:nsid w:val="4A986967"/>
    <w:multiLevelType w:val="hybridMultilevel"/>
    <w:tmpl w:val="A720EA48"/>
    <w:lvl w:ilvl="0" w:tplc="648E2AA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3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44" w15:restartNumberingAfterBreak="0">
    <w:nsid w:val="50977348"/>
    <w:multiLevelType w:val="hybridMultilevel"/>
    <w:tmpl w:val="DB82C708"/>
    <w:lvl w:ilvl="0" w:tplc="312A963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FC8AE0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8F658B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2CC6C8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17AA40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4E654F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7A28E94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EDA96E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346501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5" w15:restartNumberingAfterBreak="0">
    <w:nsid w:val="511F5A15"/>
    <w:multiLevelType w:val="hybridMultilevel"/>
    <w:tmpl w:val="4E1E4474"/>
    <w:lvl w:ilvl="0" w:tplc="81E0091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CB480D4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A8C045E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C1CA0C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A22600D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2618C0F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8B5CE434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7606BA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5360EAA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46" w15:restartNumberingAfterBreak="0">
    <w:nsid w:val="516A1EA7"/>
    <w:multiLevelType w:val="hybridMultilevel"/>
    <w:tmpl w:val="567EAD64"/>
    <w:lvl w:ilvl="0" w:tplc="725C8BE0">
      <w:numFmt w:val="bullet"/>
      <w:lvlText w:val=""/>
      <w:lvlJc w:val="left"/>
      <w:pPr>
        <w:ind w:left="956" w:hanging="20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A4968188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C352BCA4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7DDE2942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3C806E08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9EBC22C6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766808B0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B5202FB2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32A431E0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47" w15:restartNumberingAfterBreak="0">
    <w:nsid w:val="51A56E37"/>
    <w:multiLevelType w:val="hybridMultilevel"/>
    <w:tmpl w:val="0EB4859E"/>
    <w:lvl w:ilvl="0" w:tplc="8C52B578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30CAFB1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DE46A828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93CAD6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983E2C7E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0C276F6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311EA04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2C96D27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0014660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48" w15:restartNumberingAfterBreak="0">
    <w:nsid w:val="52265553"/>
    <w:multiLevelType w:val="hybridMultilevel"/>
    <w:tmpl w:val="20B64BB8"/>
    <w:lvl w:ilvl="0" w:tplc="47D2A94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8C2BC2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CB4A84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7B46A6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DBA6A0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D565D6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BBEF25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5F4415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E849ED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9" w15:restartNumberingAfterBreak="0">
    <w:nsid w:val="54A32F43"/>
    <w:multiLevelType w:val="hybridMultilevel"/>
    <w:tmpl w:val="D886436C"/>
    <w:lvl w:ilvl="0" w:tplc="074E763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D0C778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3DBA6AC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C00914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5746F9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46AE0DA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5EA226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B58C1E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1582735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0" w15:restartNumberingAfterBreak="0">
    <w:nsid w:val="592943C5"/>
    <w:multiLevelType w:val="hybridMultilevel"/>
    <w:tmpl w:val="37F4E5E0"/>
    <w:lvl w:ilvl="0" w:tplc="87347936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82AF60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396462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4645AF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FE8359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644041A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0B4BE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D85C5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7D2BD7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1" w15:restartNumberingAfterBreak="0">
    <w:nsid w:val="59AB461A"/>
    <w:multiLevelType w:val="multilevel"/>
    <w:tmpl w:val="2A8A362A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2" w15:restartNumberingAfterBreak="0">
    <w:nsid w:val="59F67096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53" w15:restartNumberingAfterBreak="0">
    <w:nsid w:val="5AA52B42"/>
    <w:multiLevelType w:val="hybridMultilevel"/>
    <w:tmpl w:val="8E7CCA16"/>
    <w:lvl w:ilvl="0" w:tplc="62B89848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4" w15:restartNumberingAfterBreak="0">
    <w:nsid w:val="5E5A6820"/>
    <w:multiLevelType w:val="hybridMultilevel"/>
    <w:tmpl w:val="B40A63BA"/>
    <w:lvl w:ilvl="0" w:tplc="5D8C5B2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75C8A8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F84135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EBEA1A5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68A59E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E62E4B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F50CE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7284BB0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0C422F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5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56" w15:restartNumberingAfterBreak="0">
    <w:nsid w:val="60557341"/>
    <w:multiLevelType w:val="hybridMultilevel"/>
    <w:tmpl w:val="A6AC952A"/>
    <w:lvl w:ilvl="0" w:tplc="ECB8FED2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1" w:tplc="655E6092">
      <w:numFmt w:val="bullet"/>
      <w:lvlText w:val="•"/>
      <w:lvlJc w:val="left"/>
      <w:pPr>
        <w:ind w:left="4060" w:hanging="196"/>
      </w:pPr>
      <w:rPr>
        <w:rFonts w:hint="default"/>
      </w:rPr>
    </w:lvl>
    <w:lvl w:ilvl="2" w:tplc="44AAB3AC">
      <w:numFmt w:val="bullet"/>
      <w:lvlText w:val="•"/>
      <w:lvlJc w:val="left"/>
      <w:pPr>
        <w:ind w:left="4701" w:hanging="196"/>
      </w:pPr>
      <w:rPr>
        <w:rFonts w:hint="default"/>
      </w:rPr>
    </w:lvl>
    <w:lvl w:ilvl="3" w:tplc="5B1C941A">
      <w:numFmt w:val="bullet"/>
      <w:lvlText w:val="•"/>
      <w:lvlJc w:val="left"/>
      <w:pPr>
        <w:ind w:left="5341" w:hanging="196"/>
      </w:pPr>
      <w:rPr>
        <w:rFonts w:hint="default"/>
      </w:rPr>
    </w:lvl>
    <w:lvl w:ilvl="4" w:tplc="1A243CE6">
      <w:numFmt w:val="bullet"/>
      <w:lvlText w:val="•"/>
      <w:lvlJc w:val="left"/>
      <w:pPr>
        <w:ind w:left="5982" w:hanging="196"/>
      </w:pPr>
      <w:rPr>
        <w:rFonts w:hint="default"/>
      </w:rPr>
    </w:lvl>
    <w:lvl w:ilvl="5" w:tplc="9C226A4A">
      <w:numFmt w:val="bullet"/>
      <w:lvlText w:val="•"/>
      <w:lvlJc w:val="left"/>
      <w:pPr>
        <w:ind w:left="6622" w:hanging="196"/>
      </w:pPr>
      <w:rPr>
        <w:rFonts w:hint="default"/>
      </w:rPr>
    </w:lvl>
    <w:lvl w:ilvl="6" w:tplc="14648420">
      <w:numFmt w:val="bullet"/>
      <w:lvlText w:val="•"/>
      <w:lvlJc w:val="left"/>
      <w:pPr>
        <w:ind w:left="7263" w:hanging="196"/>
      </w:pPr>
      <w:rPr>
        <w:rFonts w:hint="default"/>
      </w:rPr>
    </w:lvl>
    <w:lvl w:ilvl="7" w:tplc="3DA2E546">
      <w:numFmt w:val="bullet"/>
      <w:lvlText w:val="•"/>
      <w:lvlJc w:val="left"/>
      <w:pPr>
        <w:ind w:left="7903" w:hanging="196"/>
      </w:pPr>
      <w:rPr>
        <w:rFonts w:hint="default"/>
      </w:rPr>
    </w:lvl>
    <w:lvl w:ilvl="8" w:tplc="449EBE90">
      <w:numFmt w:val="bullet"/>
      <w:lvlText w:val="•"/>
      <w:lvlJc w:val="left"/>
      <w:pPr>
        <w:ind w:left="8544" w:hanging="196"/>
      </w:pPr>
      <w:rPr>
        <w:rFonts w:hint="default"/>
      </w:rPr>
    </w:lvl>
  </w:abstractNum>
  <w:abstractNum w:abstractNumId="57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8" w15:restartNumberingAfterBreak="0">
    <w:nsid w:val="64A54D65"/>
    <w:multiLevelType w:val="hybridMultilevel"/>
    <w:tmpl w:val="E4D08C34"/>
    <w:lvl w:ilvl="0" w:tplc="382C830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730FE22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75A8C8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3F6EB36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1FC07A56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B5C0068C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7E2181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0F6600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D02E3378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59" w15:restartNumberingAfterBreak="0">
    <w:nsid w:val="65704F7F"/>
    <w:multiLevelType w:val="hybridMultilevel"/>
    <w:tmpl w:val="023AE50E"/>
    <w:lvl w:ilvl="0" w:tplc="0FE4009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6306A4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866606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E1EA15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D48CEE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F9C2F30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D7C405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3CEE7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BA87B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0" w15:restartNumberingAfterBreak="0">
    <w:nsid w:val="684E4C19"/>
    <w:multiLevelType w:val="multilevel"/>
    <w:tmpl w:val="5F0E022C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1" w15:restartNumberingAfterBreak="0">
    <w:nsid w:val="6FDE613C"/>
    <w:multiLevelType w:val="hybridMultilevel"/>
    <w:tmpl w:val="112045AE"/>
    <w:lvl w:ilvl="0" w:tplc="93CA402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D40D6B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6A3360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B96FB4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C585D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C2014E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EA0CE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10418D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932AC2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2" w15:restartNumberingAfterBreak="0">
    <w:nsid w:val="70EE3449"/>
    <w:multiLevelType w:val="multilevel"/>
    <w:tmpl w:val="0AD6376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3" w15:restartNumberingAfterBreak="0">
    <w:nsid w:val="7145260B"/>
    <w:multiLevelType w:val="hybridMultilevel"/>
    <w:tmpl w:val="7CD0C8E0"/>
    <w:lvl w:ilvl="0" w:tplc="D68EBC1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0045ED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328508A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433A59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74895D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5C814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15CA3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3A2547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2122BD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4" w15:restartNumberingAfterBreak="0">
    <w:nsid w:val="730A1A75"/>
    <w:multiLevelType w:val="hybridMultilevel"/>
    <w:tmpl w:val="6E1E03F6"/>
    <w:lvl w:ilvl="0" w:tplc="3DA2C47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39A979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47084AB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2DAA238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BFA031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B417C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B1A755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05E01A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4A8607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5" w15:restartNumberingAfterBreak="0">
    <w:nsid w:val="740A7100"/>
    <w:multiLevelType w:val="multilevel"/>
    <w:tmpl w:val="CAB65530"/>
    <w:lvl w:ilvl="0">
      <w:start w:val="5"/>
      <w:numFmt w:val="decimal"/>
      <w:lvlText w:val="%1"/>
      <w:lvlJc w:val="left"/>
      <w:pPr>
        <w:ind w:left="567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32"/>
      </w:pPr>
      <w:rPr>
        <w:rFonts w:hint="default"/>
      </w:rPr>
    </w:lvl>
    <w:lvl w:ilvl="3">
      <w:numFmt w:val="bullet"/>
      <w:lvlText w:val="•"/>
      <w:lvlJc w:val="left"/>
      <w:pPr>
        <w:ind w:left="3339" w:hanging="332"/>
      </w:pPr>
      <w:rPr>
        <w:rFonts w:hint="default"/>
      </w:rPr>
    </w:lvl>
    <w:lvl w:ilvl="4">
      <w:numFmt w:val="bullet"/>
      <w:lvlText w:val="•"/>
      <w:lvlJc w:val="left"/>
      <w:pPr>
        <w:ind w:left="4266" w:hanging="332"/>
      </w:pPr>
      <w:rPr>
        <w:rFonts w:hint="default"/>
      </w:rPr>
    </w:lvl>
    <w:lvl w:ilvl="5">
      <w:numFmt w:val="bullet"/>
      <w:lvlText w:val="•"/>
      <w:lvlJc w:val="left"/>
      <w:pPr>
        <w:ind w:left="5192" w:hanging="332"/>
      </w:pPr>
      <w:rPr>
        <w:rFonts w:hint="default"/>
      </w:rPr>
    </w:lvl>
    <w:lvl w:ilvl="6">
      <w:numFmt w:val="bullet"/>
      <w:lvlText w:val="•"/>
      <w:lvlJc w:val="left"/>
      <w:pPr>
        <w:ind w:left="6119" w:hanging="332"/>
      </w:pPr>
      <w:rPr>
        <w:rFonts w:hint="default"/>
      </w:rPr>
    </w:lvl>
    <w:lvl w:ilvl="7">
      <w:numFmt w:val="bullet"/>
      <w:lvlText w:val="•"/>
      <w:lvlJc w:val="left"/>
      <w:pPr>
        <w:ind w:left="7045" w:hanging="332"/>
      </w:pPr>
      <w:rPr>
        <w:rFonts w:hint="default"/>
      </w:rPr>
    </w:lvl>
    <w:lvl w:ilvl="8">
      <w:numFmt w:val="bullet"/>
      <w:lvlText w:val="•"/>
      <w:lvlJc w:val="left"/>
      <w:pPr>
        <w:ind w:left="7972" w:hanging="332"/>
      </w:pPr>
      <w:rPr>
        <w:rFonts w:hint="default"/>
      </w:rPr>
    </w:lvl>
  </w:abstractNum>
  <w:abstractNum w:abstractNumId="66" w15:restartNumberingAfterBreak="0">
    <w:nsid w:val="75FD2CE1"/>
    <w:multiLevelType w:val="hybridMultilevel"/>
    <w:tmpl w:val="C88400AC"/>
    <w:lvl w:ilvl="0" w:tplc="FCE47F8C">
      <w:start w:val="1"/>
      <w:numFmt w:val="upperLetter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B3E87E8C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2" w:tplc="38126ED6">
      <w:numFmt w:val="bullet"/>
      <w:lvlText w:val="•"/>
      <w:lvlJc w:val="left"/>
      <w:pPr>
        <w:ind w:left="4700" w:hanging="269"/>
      </w:pPr>
      <w:rPr>
        <w:rFonts w:hint="default"/>
      </w:rPr>
    </w:lvl>
    <w:lvl w:ilvl="3" w:tplc="8140DD12">
      <w:numFmt w:val="bullet"/>
      <w:lvlText w:val="•"/>
      <w:lvlJc w:val="left"/>
      <w:pPr>
        <w:ind w:left="5341" w:hanging="269"/>
      </w:pPr>
      <w:rPr>
        <w:rFonts w:hint="default"/>
      </w:rPr>
    </w:lvl>
    <w:lvl w:ilvl="4" w:tplc="84D2D87A">
      <w:numFmt w:val="bullet"/>
      <w:lvlText w:val="•"/>
      <w:lvlJc w:val="left"/>
      <w:pPr>
        <w:ind w:left="5981" w:hanging="269"/>
      </w:pPr>
      <w:rPr>
        <w:rFonts w:hint="default"/>
      </w:rPr>
    </w:lvl>
    <w:lvl w:ilvl="5" w:tplc="412A4D9C">
      <w:numFmt w:val="bullet"/>
      <w:lvlText w:val="•"/>
      <w:lvlJc w:val="left"/>
      <w:pPr>
        <w:ind w:left="6622" w:hanging="269"/>
      </w:pPr>
      <w:rPr>
        <w:rFonts w:hint="default"/>
      </w:rPr>
    </w:lvl>
    <w:lvl w:ilvl="6" w:tplc="A8EA86EC">
      <w:numFmt w:val="bullet"/>
      <w:lvlText w:val="•"/>
      <w:lvlJc w:val="left"/>
      <w:pPr>
        <w:ind w:left="7263" w:hanging="269"/>
      </w:pPr>
      <w:rPr>
        <w:rFonts w:hint="default"/>
      </w:rPr>
    </w:lvl>
    <w:lvl w:ilvl="7" w:tplc="A024199A">
      <w:numFmt w:val="bullet"/>
      <w:lvlText w:val="•"/>
      <w:lvlJc w:val="left"/>
      <w:pPr>
        <w:ind w:left="7903" w:hanging="269"/>
      </w:pPr>
      <w:rPr>
        <w:rFonts w:hint="default"/>
      </w:rPr>
    </w:lvl>
    <w:lvl w:ilvl="8" w:tplc="A21EC696">
      <w:numFmt w:val="bullet"/>
      <w:lvlText w:val="•"/>
      <w:lvlJc w:val="left"/>
      <w:pPr>
        <w:ind w:left="8544" w:hanging="269"/>
      </w:pPr>
      <w:rPr>
        <w:rFonts w:hint="default"/>
      </w:rPr>
    </w:lvl>
  </w:abstractNum>
  <w:abstractNum w:abstractNumId="67" w15:restartNumberingAfterBreak="0">
    <w:nsid w:val="77C33FAE"/>
    <w:multiLevelType w:val="hybridMultilevel"/>
    <w:tmpl w:val="7C765366"/>
    <w:lvl w:ilvl="0" w:tplc="05528CE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4986FA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1D2BDD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66249A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918C111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2C169BD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98EC59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B4841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B2A23B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8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69" w15:restartNumberingAfterBreak="0">
    <w:nsid w:val="7F1358DE"/>
    <w:multiLevelType w:val="hybridMultilevel"/>
    <w:tmpl w:val="14C656F2"/>
    <w:lvl w:ilvl="0" w:tplc="17B2812E">
      <w:numFmt w:val="bullet"/>
      <w:lvlText w:val=""/>
      <w:lvlJc w:val="left"/>
      <w:pPr>
        <w:ind w:left="1414" w:hanging="6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379CECFC">
      <w:numFmt w:val="bullet"/>
      <w:lvlText w:val="•"/>
      <w:lvlJc w:val="left"/>
      <w:pPr>
        <w:ind w:left="2260" w:hanging="612"/>
      </w:pPr>
      <w:rPr>
        <w:rFonts w:hint="default"/>
      </w:rPr>
    </w:lvl>
    <w:lvl w:ilvl="2" w:tplc="424839D8">
      <w:numFmt w:val="bullet"/>
      <w:lvlText w:val="•"/>
      <w:lvlJc w:val="left"/>
      <w:pPr>
        <w:ind w:left="3101" w:hanging="612"/>
      </w:pPr>
      <w:rPr>
        <w:rFonts w:hint="default"/>
      </w:rPr>
    </w:lvl>
    <w:lvl w:ilvl="3" w:tplc="996E8F34">
      <w:numFmt w:val="bullet"/>
      <w:lvlText w:val="•"/>
      <w:lvlJc w:val="left"/>
      <w:pPr>
        <w:ind w:left="3941" w:hanging="612"/>
      </w:pPr>
      <w:rPr>
        <w:rFonts w:hint="default"/>
      </w:rPr>
    </w:lvl>
    <w:lvl w:ilvl="4" w:tplc="665C565A">
      <w:numFmt w:val="bullet"/>
      <w:lvlText w:val="•"/>
      <w:lvlJc w:val="left"/>
      <w:pPr>
        <w:ind w:left="4782" w:hanging="612"/>
      </w:pPr>
      <w:rPr>
        <w:rFonts w:hint="default"/>
      </w:rPr>
    </w:lvl>
    <w:lvl w:ilvl="5" w:tplc="1778B42A">
      <w:numFmt w:val="bullet"/>
      <w:lvlText w:val="•"/>
      <w:lvlJc w:val="left"/>
      <w:pPr>
        <w:ind w:left="5622" w:hanging="612"/>
      </w:pPr>
      <w:rPr>
        <w:rFonts w:hint="default"/>
      </w:rPr>
    </w:lvl>
    <w:lvl w:ilvl="6" w:tplc="3F5AEAF2">
      <w:numFmt w:val="bullet"/>
      <w:lvlText w:val="•"/>
      <w:lvlJc w:val="left"/>
      <w:pPr>
        <w:ind w:left="6463" w:hanging="612"/>
      </w:pPr>
      <w:rPr>
        <w:rFonts w:hint="default"/>
      </w:rPr>
    </w:lvl>
    <w:lvl w:ilvl="7" w:tplc="08948B60">
      <w:numFmt w:val="bullet"/>
      <w:lvlText w:val="•"/>
      <w:lvlJc w:val="left"/>
      <w:pPr>
        <w:ind w:left="7303" w:hanging="612"/>
      </w:pPr>
      <w:rPr>
        <w:rFonts w:hint="default"/>
      </w:rPr>
    </w:lvl>
    <w:lvl w:ilvl="8" w:tplc="4DD456BA">
      <w:numFmt w:val="bullet"/>
      <w:lvlText w:val="•"/>
      <w:lvlJc w:val="left"/>
      <w:pPr>
        <w:ind w:left="8144" w:hanging="612"/>
      </w:pPr>
      <w:rPr>
        <w:rFonts w:hint="default"/>
      </w:rPr>
    </w:lvl>
  </w:abstractNum>
  <w:abstractNum w:abstractNumId="70" w15:restartNumberingAfterBreak="0">
    <w:nsid w:val="7F180363"/>
    <w:multiLevelType w:val="hybridMultilevel"/>
    <w:tmpl w:val="5CE2C85A"/>
    <w:lvl w:ilvl="0" w:tplc="9DD683B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F989F6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B7671A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2D6010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A261C82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536536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01FEAA3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C24CDE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55C562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1" w15:restartNumberingAfterBreak="0">
    <w:nsid w:val="7F5D5E63"/>
    <w:multiLevelType w:val="hybridMultilevel"/>
    <w:tmpl w:val="78F01E18"/>
    <w:lvl w:ilvl="0" w:tplc="C9B0DE84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0FC448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5CEF63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E40BF8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2A44B9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0695C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364DB9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3E3B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1484ACE">
      <w:numFmt w:val="bullet"/>
      <w:lvlText w:val="•"/>
      <w:lvlJc w:val="left"/>
      <w:pPr>
        <w:ind w:left="8132" w:hanging="557"/>
      </w:pPr>
      <w:rPr>
        <w:rFonts w:hint="default"/>
      </w:rPr>
    </w:lvl>
  </w:abstractNum>
  <w:num w:numId="1">
    <w:abstractNumId w:val="30"/>
  </w:num>
  <w:num w:numId="2">
    <w:abstractNumId w:val="6"/>
  </w:num>
  <w:num w:numId="3">
    <w:abstractNumId w:val="12"/>
  </w:num>
  <w:num w:numId="4">
    <w:abstractNumId w:val="48"/>
  </w:num>
  <w:num w:numId="5">
    <w:abstractNumId w:val="11"/>
  </w:num>
  <w:num w:numId="6">
    <w:abstractNumId w:val="1"/>
  </w:num>
  <w:num w:numId="7">
    <w:abstractNumId w:val="69"/>
  </w:num>
  <w:num w:numId="8">
    <w:abstractNumId w:val="50"/>
  </w:num>
  <w:num w:numId="9">
    <w:abstractNumId w:val="40"/>
  </w:num>
  <w:num w:numId="10">
    <w:abstractNumId w:val="14"/>
  </w:num>
  <w:num w:numId="11">
    <w:abstractNumId w:val="39"/>
  </w:num>
  <w:num w:numId="12">
    <w:abstractNumId w:val="44"/>
  </w:num>
  <w:num w:numId="13">
    <w:abstractNumId w:val="15"/>
  </w:num>
  <w:num w:numId="14">
    <w:abstractNumId w:val="64"/>
  </w:num>
  <w:num w:numId="15">
    <w:abstractNumId w:val="38"/>
  </w:num>
  <w:num w:numId="16">
    <w:abstractNumId w:val="33"/>
  </w:num>
  <w:num w:numId="17">
    <w:abstractNumId w:val="47"/>
  </w:num>
  <w:num w:numId="18">
    <w:abstractNumId w:val="10"/>
  </w:num>
  <w:num w:numId="19">
    <w:abstractNumId w:val="36"/>
  </w:num>
  <w:num w:numId="20">
    <w:abstractNumId w:val="35"/>
  </w:num>
  <w:num w:numId="21">
    <w:abstractNumId w:val="49"/>
  </w:num>
  <w:num w:numId="22">
    <w:abstractNumId w:val="32"/>
  </w:num>
  <w:num w:numId="23">
    <w:abstractNumId w:val="26"/>
  </w:num>
  <w:num w:numId="24">
    <w:abstractNumId w:val="70"/>
  </w:num>
  <w:num w:numId="25">
    <w:abstractNumId w:val="54"/>
  </w:num>
  <w:num w:numId="26">
    <w:abstractNumId w:val="61"/>
  </w:num>
  <w:num w:numId="27">
    <w:abstractNumId w:val="31"/>
  </w:num>
  <w:num w:numId="28">
    <w:abstractNumId w:val="63"/>
  </w:num>
  <w:num w:numId="29">
    <w:abstractNumId w:val="67"/>
  </w:num>
  <w:num w:numId="30">
    <w:abstractNumId w:val="71"/>
  </w:num>
  <w:num w:numId="31">
    <w:abstractNumId w:val="18"/>
  </w:num>
  <w:num w:numId="32">
    <w:abstractNumId w:val="59"/>
  </w:num>
  <w:num w:numId="33">
    <w:abstractNumId w:val="23"/>
  </w:num>
  <w:num w:numId="34">
    <w:abstractNumId w:val="42"/>
  </w:num>
  <w:num w:numId="35">
    <w:abstractNumId w:val="29"/>
  </w:num>
  <w:num w:numId="36">
    <w:abstractNumId w:val="25"/>
  </w:num>
  <w:num w:numId="37">
    <w:abstractNumId w:val="53"/>
  </w:num>
  <w:num w:numId="38">
    <w:abstractNumId w:val="17"/>
  </w:num>
  <w:num w:numId="39">
    <w:abstractNumId w:val="55"/>
  </w:num>
  <w:num w:numId="40">
    <w:abstractNumId w:val="46"/>
  </w:num>
  <w:num w:numId="41">
    <w:abstractNumId w:val="57"/>
  </w:num>
  <w:num w:numId="42">
    <w:abstractNumId w:val="24"/>
  </w:num>
  <w:num w:numId="43">
    <w:abstractNumId w:val="8"/>
  </w:num>
  <w:num w:numId="44">
    <w:abstractNumId w:val="66"/>
  </w:num>
  <w:num w:numId="45">
    <w:abstractNumId w:val="0"/>
  </w:num>
  <w:num w:numId="46">
    <w:abstractNumId w:val="4"/>
  </w:num>
  <w:num w:numId="47">
    <w:abstractNumId w:val="20"/>
  </w:num>
  <w:num w:numId="48">
    <w:abstractNumId w:val="27"/>
  </w:num>
  <w:num w:numId="49">
    <w:abstractNumId w:val="13"/>
  </w:num>
  <w:num w:numId="50">
    <w:abstractNumId w:val="21"/>
  </w:num>
  <w:num w:numId="51">
    <w:abstractNumId w:val="51"/>
  </w:num>
  <w:num w:numId="52">
    <w:abstractNumId w:val="58"/>
  </w:num>
  <w:num w:numId="53">
    <w:abstractNumId w:val="65"/>
  </w:num>
  <w:num w:numId="54">
    <w:abstractNumId w:val="28"/>
  </w:num>
  <w:num w:numId="55">
    <w:abstractNumId w:val="16"/>
  </w:num>
  <w:num w:numId="56">
    <w:abstractNumId w:val="9"/>
  </w:num>
  <w:num w:numId="57">
    <w:abstractNumId w:val="19"/>
  </w:num>
  <w:num w:numId="58">
    <w:abstractNumId w:val="2"/>
  </w:num>
  <w:num w:numId="59">
    <w:abstractNumId w:val="3"/>
  </w:num>
  <w:num w:numId="60">
    <w:abstractNumId w:val="37"/>
  </w:num>
  <w:num w:numId="61">
    <w:abstractNumId w:val="41"/>
  </w:num>
  <w:num w:numId="62">
    <w:abstractNumId w:val="43"/>
  </w:num>
  <w:num w:numId="63">
    <w:abstractNumId w:val="60"/>
  </w:num>
  <w:num w:numId="64">
    <w:abstractNumId w:val="68"/>
  </w:num>
  <w:num w:numId="65">
    <w:abstractNumId w:val="45"/>
  </w:num>
  <w:num w:numId="66">
    <w:abstractNumId w:val="34"/>
  </w:num>
  <w:num w:numId="67">
    <w:abstractNumId w:val="56"/>
  </w:num>
  <w:num w:numId="68">
    <w:abstractNumId w:val="62"/>
  </w:num>
  <w:num w:numId="69">
    <w:abstractNumId w:val="22"/>
  </w:num>
  <w:num w:numId="70">
    <w:abstractNumId w:val="5"/>
  </w:num>
  <w:num w:numId="71">
    <w:abstractNumId w:val="52"/>
  </w:num>
  <w:num w:numId="72">
    <w:abstractNumId w:val="7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5BB1"/>
    <w:rsid w:val="0000686B"/>
    <w:rsid w:val="00007BE3"/>
    <w:rsid w:val="00032340"/>
    <w:rsid w:val="0004584C"/>
    <w:rsid w:val="00053662"/>
    <w:rsid w:val="000566AF"/>
    <w:rsid w:val="000775AF"/>
    <w:rsid w:val="00082664"/>
    <w:rsid w:val="000962EE"/>
    <w:rsid w:val="000A7EA4"/>
    <w:rsid w:val="00101117"/>
    <w:rsid w:val="00101B37"/>
    <w:rsid w:val="00103D01"/>
    <w:rsid w:val="0012081C"/>
    <w:rsid w:val="00123E3B"/>
    <w:rsid w:val="00124116"/>
    <w:rsid w:val="00137660"/>
    <w:rsid w:val="00142607"/>
    <w:rsid w:val="00157F1A"/>
    <w:rsid w:val="001750D5"/>
    <w:rsid w:val="00175156"/>
    <w:rsid w:val="00185337"/>
    <w:rsid w:val="001A3C23"/>
    <w:rsid w:val="001B3663"/>
    <w:rsid w:val="001B6985"/>
    <w:rsid w:val="001E4088"/>
    <w:rsid w:val="001F6A4F"/>
    <w:rsid w:val="00216176"/>
    <w:rsid w:val="00221655"/>
    <w:rsid w:val="0022399C"/>
    <w:rsid w:val="00231B1B"/>
    <w:rsid w:val="00232DE8"/>
    <w:rsid w:val="002367F7"/>
    <w:rsid w:val="00245F98"/>
    <w:rsid w:val="00260702"/>
    <w:rsid w:val="00265F1E"/>
    <w:rsid w:val="0027127A"/>
    <w:rsid w:val="002776D1"/>
    <w:rsid w:val="0028297D"/>
    <w:rsid w:val="0029518D"/>
    <w:rsid w:val="002A78BF"/>
    <w:rsid w:val="002B40EB"/>
    <w:rsid w:val="002D54BE"/>
    <w:rsid w:val="002E3BBC"/>
    <w:rsid w:val="002F42DB"/>
    <w:rsid w:val="002F7643"/>
    <w:rsid w:val="00300222"/>
    <w:rsid w:val="00303786"/>
    <w:rsid w:val="00303BA8"/>
    <w:rsid w:val="00313FE8"/>
    <w:rsid w:val="003314B5"/>
    <w:rsid w:val="003340F9"/>
    <w:rsid w:val="003379BE"/>
    <w:rsid w:val="00352765"/>
    <w:rsid w:val="00362EC2"/>
    <w:rsid w:val="00363C37"/>
    <w:rsid w:val="00375385"/>
    <w:rsid w:val="0039130E"/>
    <w:rsid w:val="00392A77"/>
    <w:rsid w:val="0039378F"/>
    <w:rsid w:val="003A27C3"/>
    <w:rsid w:val="003A4506"/>
    <w:rsid w:val="003B0883"/>
    <w:rsid w:val="003B4B97"/>
    <w:rsid w:val="003B6EEB"/>
    <w:rsid w:val="003C14D8"/>
    <w:rsid w:val="00403CFC"/>
    <w:rsid w:val="004148D4"/>
    <w:rsid w:val="00425B13"/>
    <w:rsid w:val="00435933"/>
    <w:rsid w:val="00435FD0"/>
    <w:rsid w:val="00461709"/>
    <w:rsid w:val="0048577B"/>
    <w:rsid w:val="004864C2"/>
    <w:rsid w:val="00491E1E"/>
    <w:rsid w:val="004A22B6"/>
    <w:rsid w:val="004A3BA1"/>
    <w:rsid w:val="004A7511"/>
    <w:rsid w:val="004B1E20"/>
    <w:rsid w:val="004B24F4"/>
    <w:rsid w:val="004B3C78"/>
    <w:rsid w:val="004C11B6"/>
    <w:rsid w:val="004C330E"/>
    <w:rsid w:val="004E22EC"/>
    <w:rsid w:val="00501B04"/>
    <w:rsid w:val="005044DF"/>
    <w:rsid w:val="00510E75"/>
    <w:rsid w:val="0052010E"/>
    <w:rsid w:val="00520AFA"/>
    <w:rsid w:val="005277F7"/>
    <w:rsid w:val="00533559"/>
    <w:rsid w:val="005534A8"/>
    <w:rsid w:val="00562618"/>
    <w:rsid w:val="00567C40"/>
    <w:rsid w:val="005820E7"/>
    <w:rsid w:val="00585553"/>
    <w:rsid w:val="00585EFA"/>
    <w:rsid w:val="005A57C1"/>
    <w:rsid w:val="005B01BC"/>
    <w:rsid w:val="005E1664"/>
    <w:rsid w:val="005E54F2"/>
    <w:rsid w:val="006015D6"/>
    <w:rsid w:val="00612816"/>
    <w:rsid w:val="0062072F"/>
    <w:rsid w:val="0063517B"/>
    <w:rsid w:val="00651EC3"/>
    <w:rsid w:val="006564EA"/>
    <w:rsid w:val="00660AC7"/>
    <w:rsid w:val="00670C35"/>
    <w:rsid w:val="00677E8A"/>
    <w:rsid w:val="006839FC"/>
    <w:rsid w:val="0068543F"/>
    <w:rsid w:val="006B1E44"/>
    <w:rsid w:val="006C0E25"/>
    <w:rsid w:val="006D5884"/>
    <w:rsid w:val="006E37FD"/>
    <w:rsid w:val="006E5D43"/>
    <w:rsid w:val="006E737B"/>
    <w:rsid w:val="006F0001"/>
    <w:rsid w:val="006F3026"/>
    <w:rsid w:val="006F5D0D"/>
    <w:rsid w:val="00700C83"/>
    <w:rsid w:val="00706DAB"/>
    <w:rsid w:val="00753994"/>
    <w:rsid w:val="0076661B"/>
    <w:rsid w:val="00773930"/>
    <w:rsid w:val="00773F28"/>
    <w:rsid w:val="00790682"/>
    <w:rsid w:val="007917F5"/>
    <w:rsid w:val="007964B8"/>
    <w:rsid w:val="007A41B9"/>
    <w:rsid w:val="007A44C8"/>
    <w:rsid w:val="007C0BF1"/>
    <w:rsid w:val="007D0FD1"/>
    <w:rsid w:val="007D44B5"/>
    <w:rsid w:val="007F630D"/>
    <w:rsid w:val="00802B18"/>
    <w:rsid w:val="00803C29"/>
    <w:rsid w:val="00810C29"/>
    <w:rsid w:val="00811137"/>
    <w:rsid w:val="0082460E"/>
    <w:rsid w:val="00831CA6"/>
    <w:rsid w:val="00832E90"/>
    <w:rsid w:val="008411E7"/>
    <w:rsid w:val="008437A6"/>
    <w:rsid w:val="00870965"/>
    <w:rsid w:val="008725A8"/>
    <w:rsid w:val="00873362"/>
    <w:rsid w:val="00873823"/>
    <w:rsid w:val="008751AB"/>
    <w:rsid w:val="00876D46"/>
    <w:rsid w:val="008877FF"/>
    <w:rsid w:val="00893128"/>
    <w:rsid w:val="008950A9"/>
    <w:rsid w:val="00897ECC"/>
    <w:rsid w:val="008A1459"/>
    <w:rsid w:val="008B7781"/>
    <w:rsid w:val="008B7F81"/>
    <w:rsid w:val="008C0AE5"/>
    <w:rsid w:val="008D7958"/>
    <w:rsid w:val="008F0D3E"/>
    <w:rsid w:val="008F415F"/>
    <w:rsid w:val="00904532"/>
    <w:rsid w:val="00930214"/>
    <w:rsid w:val="00933DB3"/>
    <w:rsid w:val="00944A5B"/>
    <w:rsid w:val="00950339"/>
    <w:rsid w:val="009648CC"/>
    <w:rsid w:val="00964C92"/>
    <w:rsid w:val="009960E5"/>
    <w:rsid w:val="009972A1"/>
    <w:rsid w:val="00997E07"/>
    <w:rsid w:val="009E0A5A"/>
    <w:rsid w:val="009E5763"/>
    <w:rsid w:val="009F50D3"/>
    <w:rsid w:val="00A01F4D"/>
    <w:rsid w:val="00A0333A"/>
    <w:rsid w:val="00A166CB"/>
    <w:rsid w:val="00A2194D"/>
    <w:rsid w:val="00A43F0A"/>
    <w:rsid w:val="00A45475"/>
    <w:rsid w:val="00A45589"/>
    <w:rsid w:val="00A6255E"/>
    <w:rsid w:val="00A76DBD"/>
    <w:rsid w:val="00AC69AC"/>
    <w:rsid w:val="00AC74D1"/>
    <w:rsid w:val="00AE083E"/>
    <w:rsid w:val="00AE4174"/>
    <w:rsid w:val="00AF550C"/>
    <w:rsid w:val="00AF7AAB"/>
    <w:rsid w:val="00B013D5"/>
    <w:rsid w:val="00B273A9"/>
    <w:rsid w:val="00B31A1D"/>
    <w:rsid w:val="00B33724"/>
    <w:rsid w:val="00B42769"/>
    <w:rsid w:val="00B602C9"/>
    <w:rsid w:val="00B620A1"/>
    <w:rsid w:val="00B925EF"/>
    <w:rsid w:val="00B93A73"/>
    <w:rsid w:val="00B9530F"/>
    <w:rsid w:val="00BB3EF2"/>
    <w:rsid w:val="00BD2A42"/>
    <w:rsid w:val="00BE0CC3"/>
    <w:rsid w:val="00BE5854"/>
    <w:rsid w:val="00BF30EC"/>
    <w:rsid w:val="00BF3DB3"/>
    <w:rsid w:val="00C07CF4"/>
    <w:rsid w:val="00C10284"/>
    <w:rsid w:val="00C15FB9"/>
    <w:rsid w:val="00C21B08"/>
    <w:rsid w:val="00C30D97"/>
    <w:rsid w:val="00C34120"/>
    <w:rsid w:val="00C37F46"/>
    <w:rsid w:val="00C43B64"/>
    <w:rsid w:val="00C45C00"/>
    <w:rsid w:val="00C4649C"/>
    <w:rsid w:val="00C556F4"/>
    <w:rsid w:val="00C66AF7"/>
    <w:rsid w:val="00C67A8E"/>
    <w:rsid w:val="00C82210"/>
    <w:rsid w:val="00CB2898"/>
    <w:rsid w:val="00CB37A7"/>
    <w:rsid w:val="00CC3D94"/>
    <w:rsid w:val="00CC646F"/>
    <w:rsid w:val="00CD495B"/>
    <w:rsid w:val="00CE13C8"/>
    <w:rsid w:val="00CE791B"/>
    <w:rsid w:val="00CF7951"/>
    <w:rsid w:val="00D16F84"/>
    <w:rsid w:val="00D37EE1"/>
    <w:rsid w:val="00D40AC7"/>
    <w:rsid w:val="00D45C66"/>
    <w:rsid w:val="00D66A16"/>
    <w:rsid w:val="00D7765B"/>
    <w:rsid w:val="00D8612D"/>
    <w:rsid w:val="00D87238"/>
    <w:rsid w:val="00D925AA"/>
    <w:rsid w:val="00DB3A93"/>
    <w:rsid w:val="00DB7C48"/>
    <w:rsid w:val="00DC1909"/>
    <w:rsid w:val="00DD53BC"/>
    <w:rsid w:val="00DD5527"/>
    <w:rsid w:val="00DE0877"/>
    <w:rsid w:val="00DE175B"/>
    <w:rsid w:val="00DE76EE"/>
    <w:rsid w:val="00DF16E3"/>
    <w:rsid w:val="00E0063B"/>
    <w:rsid w:val="00E01E5A"/>
    <w:rsid w:val="00E12B39"/>
    <w:rsid w:val="00E16ECF"/>
    <w:rsid w:val="00E309DD"/>
    <w:rsid w:val="00E43798"/>
    <w:rsid w:val="00E46A9E"/>
    <w:rsid w:val="00E54B92"/>
    <w:rsid w:val="00E65D0D"/>
    <w:rsid w:val="00E67144"/>
    <w:rsid w:val="00E7206E"/>
    <w:rsid w:val="00E774E6"/>
    <w:rsid w:val="00EC0CAD"/>
    <w:rsid w:val="00EC39B6"/>
    <w:rsid w:val="00EE2036"/>
    <w:rsid w:val="00EF3820"/>
    <w:rsid w:val="00EF6694"/>
    <w:rsid w:val="00EF7943"/>
    <w:rsid w:val="00F05A0C"/>
    <w:rsid w:val="00F11942"/>
    <w:rsid w:val="00F162CB"/>
    <w:rsid w:val="00F16AC3"/>
    <w:rsid w:val="00F1779D"/>
    <w:rsid w:val="00F2291C"/>
    <w:rsid w:val="00F2504B"/>
    <w:rsid w:val="00F302B9"/>
    <w:rsid w:val="00F32B97"/>
    <w:rsid w:val="00F375F6"/>
    <w:rsid w:val="00F43D48"/>
    <w:rsid w:val="00F464AE"/>
    <w:rsid w:val="00F631B5"/>
    <w:rsid w:val="00F666BF"/>
    <w:rsid w:val="00F9122D"/>
    <w:rsid w:val="00F93F49"/>
    <w:rsid w:val="00F95AC9"/>
    <w:rsid w:val="00F975B9"/>
    <w:rsid w:val="00FA3B95"/>
    <w:rsid w:val="00FA46D0"/>
    <w:rsid w:val="00FB3A99"/>
    <w:rsid w:val="00FB49A8"/>
    <w:rsid w:val="00FB6F60"/>
    <w:rsid w:val="00FC3A79"/>
    <w:rsid w:val="00FC7F32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4D748DF"/>
  <w15:docId w15:val="{176260C0-920F-46B9-9CBA-35C5D65E2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14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14D8"/>
    <w:rPr>
      <w:rFonts w:ascii="Segoe UI" w:eastAsia="Times New Roman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77393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393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3930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393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393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incstrkz">
    <w:name w:val="No Spacing"/>
    <w:uiPriority w:val="1"/>
    <w:qFormat/>
    <w:rsid w:val="007964B8"/>
    <w:pPr>
      <w:widowControl/>
      <w:autoSpaceDE/>
      <w:autoSpaceDN/>
    </w:pPr>
    <w:rPr>
      <w:rFonts w:ascii="Times New Roman" w:hAnsi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0962EE"/>
    <w:rPr>
      <w:rFonts w:ascii="Times New Roman" w:eastAsia="Times New Roman" w:hAnsi="Times New Roman" w:cs="Times New Roman"/>
    </w:rPr>
  </w:style>
  <w:style w:type="table" w:styleId="Rcsostblzat">
    <w:name w:val="Table Grid"/>
    <w:basedOn w:val="Normltblzat"/>
    <w:uiPriority w:val="39"/>
    <w:rsid w:val="00303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303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CB78E-5777-4817-8655-4C7038AA4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26</Pages>
  <Words>10122</Words>
  <Characters>69843</Characters>
  <Application>Microsoft Office Word</Application>
  <DocSecurity>0</DocSecurity>
  <Lines>582</Lines>
  <Paragraphs>159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79806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15</cp:revision>
  <cp:lastPrinted>2021-07-02T15:05:00Z</cp:lastPrinted>
  <dcterms:created xsi:type="dcterms:W3CDTF">2025-04-30T08:50:00Z</dcterms:created>
  <dcterms:modified xsi:type="dcterms:W3CDTF">2026-05-06T20:17:00Z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2021-06-16T00:00:00Z</vt:filetime>
  </property>
  <property fmtid="{D5CDD505-2E9C-101B-9397-08002B2CF9AE}" pid="5" name="MSIP_Label_4929bff8-5b33-42aa-95d2-28f72e792cb0_Enabled">
    <vt:lpwstr>true</vt:lpwstr>
  </property>
  <property fmtid="{D5CDD505-2E9C-101B-9397-08002B2CF9AE}" pid="6" name="MSIP_Label_4929bff8-5b33-42aa-95d2-28f72e792cb0_SetDate">
    <vt:lpwstr>2021-06-16T07:24:43Z</vt:lpwstr>
  </property>
  <property fmtid="{D5CDD505-2E9C-101B-9397-08002B2CF9AE}" pid="7" name="MSIP_Label_4929bff8-5b33-42aa-95d2-28f72e792cb0_Method">
    <vt:lpwstr>Standard</vt:lpwstr>
  </property>
  <property fmtid="{D5CDD505-2E9C-101B-9397-08002B2CF9AE}" pid="8" name="MSIP_Label_4929bff8-5b33-42aa-95d2-28f72e792cb0_Name">
    <vt:lpwstr>Internal</vt:lpwstr>
  </property>
  <property fmtid="{D5CDD505-2E9C-101B-9397-08002B2CF9AE}" pid="9" name="MSIP_Label_4929bff8-5b33-42aa-95d2-28f72e792cb0_SiteId">
    <vt:lpwstr>f35a6974-607f-47d4-82d7-ff31d7dc53a5</vt:lpwstr>
  </property>
  <property fmtid="{D5CDD505-2E9C-101B-9397-08002B2CF9AE}" pid="10" name="MSIP_Label_4929bff8-5b33-42aa-95d2-28f72e792cb0_ActionId">
    <vt:lpwstr>c0868ec1-6f7c-46b3-8fc2-1f16dfa1839e</vt:lpwstr>
  </property>
  <property fmtid="{D5CDD505-2E9C-101B-9397-08002B2CF9AE}" pid="11" name="MSIP_Label_4929bff8-5b33-42aa-95d2-28f72e792cb0_ContentBits">
    <vt:lpwstr>0</vt:lpwstr>
  </property>
</Properties>
</file>