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3234D"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b/>
          <w:bCs/>
          <w:color w:val="000000"/>
          <w:kern w:val="0"/>
          <w14:ligatures w14:val="none"/>
        </w:rPr>
      </w:pPr>
      <w:r w:rsidRPr="0043030C">
        <w:rPr>
          <w:rFonts w:ascii="Times New Roman" w:eastAsia="Calibri" w:hAnsi="Times New Roman" w:cs="Times New Roman"/>
          <w:b/>
          <w:bCs/>
          <w:color w:val="000000"/>
          <w:kern w:val="0"/>
          <w14:ligatures w14:val="none"/>
        </w:rPr>
        <w:t>1.</w:t>
      </w:r>
      <w:r w:rsidRPr="0043030C">
        <w:rPr>
          <w:rFonts w:ascii="Times New Roman" w:eastAsia="Calibri" w:hAnsi="Times New Roman" w:cs="Times New Roman"/>
          <w:b/>
          <w:bCs/>
          <w:color w:val="000000"/>
          <w:kern w:val="0"/>
          <w14:ligatures w14:val="none"/>
        </w:rPr>
        <w:tab/>
        <w:t>A GYÓGYSZER NEVE</w:t>
      </w:r>
    </w:p>
    <w:p w14:paraId="13AE409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1EF02E2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Lacosamide Grindeks 50 mg filmtabletta</w:t>
      </w:r>
    </w:p>
    <w:p w14:paraId="7F2682F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Lacosamide Grindeks 100 mg filmtabletta</w:t>
      </w:r>
    </w:p>
    <w:p w14:paraId="037A91C0"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Lacosamide Grindeks 150 mg filmtabletta</w:t>
      </w:r>
    </w:p>
    <w:p w14:paraId="103634C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Lacosamide Grindeks 200 mg filmtabletta</w:t>
      </w:r>
    </w:p>
    <w:p w14:paraId="0A92F7A8"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4333A13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2EBC121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b/>
          <w:bCs/>
          <w:color w:val="000000"/>
          <w:kern w:val="0"/>
          <w14:ligatures w14:val="none"/>
        </w:rPr>
        <w:t>2.</w:t>
      </w:r>
      <w:r w:rsidRPr="0043030C">
        <w:rPr>
          <w:rFonts w:ascii="Times New Roman" w:eastAsia="Calibri" w:hAnsi="Times New Roman" w:cs="Times New Roman"/>
          <w:b/>
          <w:bCs/>
          <w:color w:val="000000"/>
          <w:kern w:val="0"/>
          <w14:ligatures w14:val="none"/>
        </w:rPr>
        <w:tab/>
        <w:t>MINŐSÉGI ÉS MENNYISÉGI ÖSSZETÉTEL</w:t>
      </w:r>
    </w:p>
    <w:p w14:paraId="000E0FA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bCs/>
          <w:color w:val="000000"/>
          <w:kern w:val="0"/>
          <w14:ligatures w14:val="none"/>
        </w:rPr>
      </w:pPr>
    </w:p>
    <w:p w14:paraId="367AA48D"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bookmarkStart w:id="0" w:name="_Hlk102403639"/>
      <w:r w:rsidRPr="0043030C">
        <w:rPr>
          <w:rFonts w:ascii="Times New Roman" w:eastAsia="Calibri" w:hAnsi="Times New Roman" w:cs="Times New Roman"/>
          <w:color w:val="000000"/>
          <w:kern w:val="0"/>
          <w:u w:val="single"/>
          <w14:ligatures w14:val="none"/>
        </w:rPr>
        <w:t>Lacosamide Grindeks 50 mg filmtabletta</w:t>
      </w:r>
    </w:p>
    <w:p w14:paraId="1A0781E1"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50 mg lakozamidot tartalmaz filmtablettánként.</w:t>
      </w:r>
    </w:p>
    <w:p w14:paraId="2D0E4EE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18F50C25"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Lacosamide Grindeks 100 mg filmtabletta</w:t>
      </w:r>
    </w:p>
    <w:p w14:paraId="0BDFAB5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100 mg lakozamidot tartalmaz filmtablettánként.</w:t>
      </w:r>
    </w:p>
    <w:p w14:paraId="1EBC7EB9"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40564471"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Lacosamide Grindeks 150 mg filmtabletta</w:t>
      </w:r>
    </w:p>
    <w:p w14:paraId="488C7698"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150 mg lakozamidot tartalmaz filmtablettánként.</w:t>
      </w:r>
    </w:p>
    <w:p w14:paraId="0D5F7B0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22FF55D8"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Lacosamide Grindeks 200 mg filmtabletta</w:t>
      </w:r>
    </w:p>
    <w:p w14:paraId="388D0FF1"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200 mg lakozamidot tartalmaz filmtablettánként.</w:t>
      </w:r>
      <w:bookmarkEnd w:id="0"/>
    </w:p>
    <w:p w14:paraId="16A96D8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7CDC0A91"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segédanyagok teljes listáját lásd a 6.1 pontban.</w:t>
      </w:r>
    </w:p>
    <w:p w14:paraId="208E48CD"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0D8B982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3F589BB5"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b/>
          <w:bCs/>
          <w:color w:val="000000"/>
          <w:kern w:val="0"/>
          <w14:ligatures w14:val="none"/>
        </w:rPr>
        <w:t>3.</w:t>
      </w:r>
      <w:r w:rsidRPr="0043030C">
        <w:rPr>
          <w:rFonts w:ascii="Times New Roman" w:eastAsia="Calibri" w:hAnsi="Times New Roman" w:cs="Times New Roman"/>
          <w:b/>
          <w:bCs/>
          <w:color w:val="000000"/>
          <w:kern w:val="0"/>
          <w14:ligatures w14:val="none"/>
        </w:rPr>
        <w:tab/>
        <w:t>GYÓGYSZERFORMA</w:t>
      </w:r>
    </w:p>
    <w:p w14:paraId="455A478B"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337782B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Filmtabletta.</w:t>
      </w:r>
    </w:p>
    <w:p w14:paraId="0ADDF9C0"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00C303BC"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Lacosamide Grindeks 50 mg filmtabletta</w:t>
      </w:r>
    </w:p>
    <w:p w14:paraId="5472F3A0"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Halvány vagy világos rózsaszín, hosszúkás, mindkét oldalán domború filmtabletta, egyik oldalán mélynyomású „50” jelöléssel. A tabletta mérete 10,5 mm × 4,9 mm.</w:t>
      </w:r>
    </w:p>
    <w:p w14:paraId="58F92108"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68752864"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color w:val="000000"/>
          <w:spacing w:val="-3"/>
          <w:kern w:val="0"/>
          <w:sz w:val="24"/>
          <w:szCs w:val="24"/>
          <w:u w:val="single"/>
          <w:lang w:eastAsia="hu-HU"/>
          <w14:ligatures w14:val="none"/>
        </w:rPr>
      </w:pPr>
      <w:r w:rsidRPr="0043030C">
        <w:rPr>
          <w:rFonts w:ascii="Times New Roman" w:eastAsia="Calibri" w:hAnsi="Times New Roman" w:cs="Times New Roman"/>
          <w:color w:val="000000"/>
          <w:kern w:val="0"/>
          <w:u w:val="single"/>
          <w14:ligatures w14:val="none"/>
        </w:rPr>
        <w:t>Lacosamide Grindeks 100 mg filmtabletta</w:t>
      </w:r>
    </w:p>
    <w:p w14:paraId="719B6129"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Sárga, hosszúkás, mindkét oldalán domború filmtabletta, egyik oldalán mélynyomású „100” jelöléssel. A tabletta mérete 13,3 mm × 6,2 mm.</w:t>
      </w:r>
    </w:p>
    <w:p w14:paraId="70EB641E"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116CC76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Lacosamide Grindeks 150 mg filmtabletta</w:t>
      </w:r>
    </w:p>
    <w:p w14:paraId="152AF25F"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Rózsaszín, hosszúkás, mindkét oldalán domború filmtabletta, egyik oldalán mélynyomású „150” jelöléssel. A tabletta mérete 15,4 mm × 7,1 mm.</w:t>
      </w:r>
    </w:p>
    <w:p w14:paraId="2BA0D737"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546D355E"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Lacosamide Grindeks 200 mg filmtabletta</w:t>
      </w:r>
    </w:p>
    <w:p w14:paraId="7CA52F8F"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Világoskék vagy kék, hosszúkás, mindkét oldalán domború filmtabletta, egyik oldalán mélynyomású „200” jelöléssel. A tabletta mérete 16,8 mm × 7,8 mm.</w:t>
      </w:r>
    </w:p>
    <w:p w14:paraId="1E17ED43" w14:textId="77777777" w:rsidR="00226CA7" w:rsidRDefault="00226CA7" w:rsidP="00B931EE">
      <w:pPr>
        <w:spacing w:after="0" w:line="240" w:lineRule="auto"/>
        <w:rPr>
          <w:rFonts w:ascii="Times New Roman" w:eastAsia="Calibri" w:hAnsi="Times New Roman" w:cs="Times New Roman"/>
        </w:rPr>
      </w:pPr>
    </w:p>
    <w:p w14:paraId="4948928B" w14:textId="77777777" w:rsidR="00B931EE" w:rsidRPr="003050B8" w:rsidRDefault="00B931EE" w:rsidP="00FF39A3">
      <w:pPr>
        <w:spacing w:after="0" w:line="240" w:lineRule="auto"/>
        <w:rPr>
          <w:rFonts w:ascii="Times New Roman" w:eastAsia="Calibri" w:hAnsi="Times New Roman" w:cs="Times New Roman"/>
        </w:rPr>
      </w:pPr>
    </w:p>
    <w:p w14:paraId="518CC48F" w14:textId="77777777" w:rsidR="0043030C" w:rsidRPr="0043030C" w:rsidRDefault="0043030C" w:rsidP="00FF39A3">
      <w:pPr>
        <w:autoSpaceDE w:val="0"/>
        <w:autoSpaceDN w:val="0"/>
        <w:adjustRightInd w:val="0"/>
        <w:spacing w:after="0" w:line="240" w:lineRule="auto"/>
        <w:rPr>
          <w:rFonts w:ascii="Times New Roman" w:eastAsia="Calibri" w:hAnsi="Times New Roman" w:cs="Times New Roman"/>
          <w:b/>
          <w:bCs/>
          <w:color w:val="000000"/>
          <w:kern w:val="0"/>
          <w14:ligatures w14:val="none"/>
        </w:rPr>
      </w:pPr>
      <w:r w:rsidRPr="0043030C">
        <w:rPr>
          <w:rFonts w:ascii="Times New Roman" w:eastAsia="Calibri" w:hAnsi="Times New Roman" w:cs="Times New Roman"/>
          <w:b/>
          <w:bCs/>
          <w:color w:val="000000"/>
          <w:kern w:val="0"/>
          <w14:ligatures w14:val="none"/>
        </w:rPr>
        <w:t>4.</w:t>
      </w:r>
      <w:r w:rsidRPr="0043030C">
        <w:rPr>
          <w:rFonts w:ascii="Times New Roman" w:eastAsia="Calibri" w:hAnsi="Times New Roman" w:cs="Times New Roman"/>
          <w:b/>
          <w:bCs/>
          <w:color w:val="000000"/>
          <w:kern w:val="0"/>
          <w14:ligatures w14:val="none"/>
        </w:rPr>
        <w:tab/>
        <w:t>KLINIKAI JELLEMZŐK</w:t>
      </w:r>
    </w:p>
    <w:p w14:paraId="205D8648" w14:textId="77777777" w:rsidR="0043030C" w:rsidRPr="0043030C" w:rsidRDefault="0043030C" w:rsidP="00FF39A3">
      <w:pPr>
        <w:autoSpaceDE w:val="0"/>
        <w:autoSpaceDN w:val="0"/>
        <w:adjustRightInd w:val="0"/>
        <w:spacing w:after="0" w:line="240" w:lineRule="auto"/>
        <w:rPr>
          <w:rFonts w:ascii="Times New Roman" w:eastAsia="Calibri" w:hAnsi="Times New Roman" w:cs="Times New Roman"/>
          <w:color w:val="000000"/>
          <w:kern w:val="0"/>
          <w14:ligatures w14:val="none"/>
        </w:rPr>
      </w:pPr>
    </w:p>
    <w:p w14:paraId="3EF533F3" w14:textId="77777777" w:rsidR="0043030C" w:rsidRPr="0043030C" w:rsidRDefault="0043030C" w:rsidP="00FF39A3">
      <w:pPr>
        <w:autoSpaceDE w:val="0"/>
        <w:autoSpaceDN w:val="0"/>
        <w:adjustRightInd w:val="0"/>
        <w:spacing w:after="0" w:line="240" w:lineRule="auto"/>
        <w:ind w:left="567" w:hanging="567"/>
        <w:rPr>
          <w:rFonts w:ascii="Times New Roman" w:eastAsia="Calibri" w:hAnsi="Times New Roman" w:cs="Times New Roman"/>
          <w:b/>
          <w:bCs/>
          <w:color w:val="000000"/>
          <w:kern w:val="0"/>
          <w14:ligatures w14:val="none"/>
        </w:rPr>
      </w:pPr>
      <w:r w:rsidRPr="0043030C">
        <w:rPr>
          <w:rFonts w:ascii="Times New Roman" w:eastAsia="Calibri" w:hAnsi="Times New Roman" w:cs="Times New Roman"/>
          <w:b/>
          <w:bCs/>
          <w:color w:val="000000"/>
          <w:kern w:val="0"/>
          <w14:ligatures w14:val="none"/>
        </w:rPr>
        <w:t>4.1</w:t>
      </w:r>
      <w:r w:rsidRPr="0043030C">
        <w:rPr>
          <w:rFonts w:ascii="Times New Roman" w:eastAsia="Calibri" w:hAnsi="Times New Roman" w:cs="Times New Roman"/>
          <w:b/>
          <w:bCs/>
          <w:color w:val="000000"/>
          <w:kern w:val="0"/>
          <w14:ligatures w14:val="none"/>
        </w:rPr>
        <w:tab/>
        <w:t>Terápiás javallatok</w:t>
      </w:r>
    </w:p>
    <w:p w14:paraId="5FD6C92B" w14:textId="77777777" w:rsidR="0043030C" w:rsidRPr="0043030C" w:rsidRDefault="0043030C" w:rsidP="00FF39A3">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p>
    <w:p w14:paraId="4DF052EF" w14:textId="28EC32D5" w:rsidR="0043030C" w:rsidRPr="0043030C" w:rsidRDefault="0043030C" w:rsidP="00FF39A3">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Lacosamide Grindeks monoterápiaként javallott epilepsziában szenvedő 2 éves vagy annál idősebb gyermekek és serdülők, valamint felnőttek – másodlagos generalizációval járó vagy a</w:t>
      </w:r>
      <w:r w:rsidR="00505D8F">
        <w:rPr>
          <w:rFonts w:ascii="Times New Roman" w:eastAsia="Calibri" w:hAnsi="Times New Roman" w:cs="Times New Roman"/>
          <w:color w:val="000000"/>
          <w:kern w:val="0"/>
          <w14:ligatures w14:val="none"/>
        </w:rPr>
        <w:t xml:space="preserve"> </w:t>
      </w:r>
      <w:r w:rsidRPr="0043030C">
        <w:rPr>
          <w:rFonts w:ascii="Times New Roman" w:eastAsia="Calibri" w:hAnsi="Times New Roman" w:cs="Times New Roman"/>
          <w:color w:val="000000"/>
          <w:kern w:val="0"/>
          <w14:ligatures w14:val="none"/>
        </w:rPr>
        <w:t>nélküli – parciális görcsrohamainak kezelésére.</w:t>
      </w:r>
    </w:p>
    <w:p w14:paraId="17AA6C46" w14:textId="77777777" w:rsidR="0043030C" w:rsidRPr="0043030C" w:rsidRDefault="0043030C" w:rsidP="00FF39A3">
      <w:pPr>
        <w:autoSpaceDE w:val="0"/>
        <w:autoSpaceDN w:val="0"/>
        <w:adjustRightInd w:val="0"/>
        <w:spacing w:after="0" w:line="240" w:lineRule="auto"/>
        <w:rPr>
          <w:rFonts w:ascii="Times New Roman" w:eastAsia="Calibri" w:hAnsi="Times New Roman" w:cs="Times New Roman"/>
          <w:kern w:val="0"/>
          <w14:ligatures w14:val="none"/>
        </w:rPr>
      </w:pPr>
    </w:p>
    <w:p w14:paraId="00087DEB" w14:textId="77777777" w:rsidR="0043030C" w:rsidRPr="0043030C" w:rsidRDefault="0043030C" w:rsidP="0043030C">
      <w:pPr>
        <w:keepNext/>
        <w:autoSpaceDE w:val="0"/>
        <w:autoSpaceDN w:val="0"/>
        <w:adjustRightInd w:val="0"/>
        <w:spacing w:after="0" w:line="240" w:lineRule="auto"/>
        <w:rPr>
          <w:rFonts w:ascii="Times New Roman" w:eastAsia="Calibri" w:hAnsi="Times New Roman" w:cs="Times New Roman"/>
          <w:kern w:val="0"/>
          <w14:ligatures w14:val="none"/>
        </w:rPr>
      </w:pPr>
      <w:r w:rsidRPr="0043030C">
        <w:rPr>
          <w:rFonts w:ascii="Times New Roman" w:eastAsia="Calibri" w:hAnsi="Times New Roman" w:cs="Times New Roman"/>
          <w:kern w:val="0"/>
          <w14:ligatures w14:val="none"/>
        </w:rPr>
        <w:lastRenderedPageBreak/>
        <w:t>A Lacosamide Grindeks adjuváns terápiaként javallott:</w:t>
      </w:r>
    </w:p>
    <w:p w14:paraId="60D35498" w14:textId="0866D4FF" w:rsidR="0043030C" w:rsidRPr="0043030C" w:rsidRDefault="0043030C" w:rsidP="0043030C">
      <w:pPr>
        <w:numPr>
          <w:ilvl w:val="0"/>
          <w:numId w:val="14"/>
        </w:numPr>
        <w:autoSpaceDE w:val="0"/>
        <w:autoSpaceDN w:val="0"/>
        <w:adjustRightInd w:val="0"/>
        <w:spacing w:after="0" w:line="240" w:lineRule="auto"/>
        <w:ind w:left="567" w:hanging="567"/>
        <w:rPr>
          <w:rFonts w:ascii="Times New Roman" w:eastAsia="Calibri" w:hAnsi="Times New Roman" w:cs="Times New Roman"/>
          <w:kern w:val="0"/>
          <w14:ligatures w14:val="none"/>
        </w:rPr>
      </w:pPr>
      <w:r w:rsidRPr="0043030C">
        <w:rPr>
          <w:rFonts w:ascii="Times New Roman" w:eastAsia="Calibri" w:hAnsi="Times New Roman" w:cs="Times New Roman"/>
          <w:kern w:val="0"/>
          <w14:ligatures w14:val="none"/>
        </w:rPr>
        <w:t>epilepsziában szenvedő, 2 éves vagy annál idősebb gyermekek, serdülők és felnőttek – másodlagos generalizációval járó vagy a</w:t>
      </w:r>
      <w:r w:rsidR="00505D8F">
        <w:rPr>
          <w:rFonts w:ascii="Times New Roman" w:eastAsia="Calibri" w:hAnsi="Times New Roman" w:cs="Times New Roman"/>
          <w:kern w:val="0"/>
          <w14:ligatures w14:val="none"/>
        </w:rPr>
        <w:t xml:space="preserve"> </w:t>
      </w:r>
      <w:r w:rsidRPr="0043030C">
        <w:rPr>
          <w:rFonts w:ascii="Times New Roman" w:eastAsia="Calibri" w:hAnsi="Times New Roman" w:cs="Times New Roman"/>
          <w:kern w:val="0"/>
          <w14:ligatures w14:val="none"/>
        </w:rPr>
        <w:t>nélküli – parciális görcsrohamainak kezelésére.</w:t>
      </w:r>
    </w:p>
    <w:p w14:paraId="26613C37" w14:textId="77777777" w:rsidR="0043030C" w:rsidRPr="0043030C" w:rsidRDefault="0043030C" w:rsidP="0043030C">
      <w:pPr>
        <w:numPr>
          <w:ilvl w:val="0"/>
          <w:numId w:val="14"/>
        </w:numPr>
        <w:autoSpaceDE w:val="0"/>
        <w:autoSpaceDN w:val="0"/>
        <w:adjustRightInd w:val="0"/>
        <w:spacing w:after="0" w:line="240" w:lineRule="auto"/>
        <w:ind w:left="567" w:hanging="567"/>
        <w:rPr>
          <w:rFonts w:ascii="Times New Roman" w:eastAsia="Calibri" w:hAnsi="Times New Roman" w:cs="Times New Roman"/>
          <w:kern w:val="0"/>
          <w14:ligatures w14:val="none"/>
        </w:rPr>
      </w:pPr>
      <w:r w:rsidRPr="0043030C">
        <w:rPr>
          <w:rFonts w:ascii="Times New Roman" w:eastAsia="Calibri" w:hAnsi="Times New Roman" w:cs="Times New Roman"/>
          <w:kern w:val="0"/>
          <w14:ligatures w14:val="none"/>
        </w:rPr>
        <w:t>idiopátiás generalizált epilepsziában szenvedő, 4 éves vagy annál idősebb gyermekek, serdülők és felnőttek elsődleges generalizált tónusos-klónusos görcsrohamainak kezelésére.</w:t>
      </w:r>
      <w:r w:rsidRPr="0043030C">
        <w:rPr>
          <w:rFonts w:ascii="Times New Roman" w:eastAsia="Calibri" w:hAnsi="Times New Roman" w:cs="Times New Roman"/>
          <w:kern w:val="0"/>
          <w14:ligatures w14:val="none"/>
        </w:rPr>
        <w:cr/>
      </w:r>
    </w:p>
    <w:p w14:paraId="7B4FC7CB"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b/>
          <w:bCs/>
          <w:color w:val="000000"/>
          <w:kern w:val="0"/>
          <w14:ligatures w14:val="none"/>
        </w:rPr>
      </w:pPr>
      <w:r w:rsidRPr="0043030C">
        <w:rPr>
          <w:rFonts w:ascii="Times New Roman" w:eastAsia="Calibri" w:hAnsi="Times New Roman" w:cs="Times New Roman"/>
          <w:b/>
          <w:bCs/>
          <w:color w:val="000000"/>
          <w:kern w:val="0"/>
          <w14:ligatures w14:val="none"/>
        </w:rPr>
        <w:t>4.2</w:t>
      </w:r>
      <w:r w:rsidRPr="0043030C">
        <w:rPr>
          <w:rFonts w:ascii="Times New Roman" w:eastAsia="Calibri" w:hAnsi="Times New Roman" w:cs="Times New Roman"/>
          <w:b/>
          <w:bCs/>
          <w:color w:val="000000"/>
          <w:kern w:val="0"/>
          <w14:ligatures w14:val="none"/>
        </w:rPr>
        <w:tab/>
        <w:t>Adagolás és alkalmazás</w:t>
      </w:r>
    </w:p>
    <w:p w14:paraId="3EB0B154"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p>
    <w:p w14:paraId="1B8FC3A7"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Adagolás</w:t>
      </w:r>
    </w:p>
    <w:p w14:paraId="755192DD"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Az orvosnak a testtömeg és a dózis szerinti legmegfelelőbb gyógyszerformát és hatáserősséget kell felírnia.</w:t>
      </w:r>
    </w:p>
    <w:p w14:paraId="557C272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felnőttek, a serdülők és a 2 éves vagy annál idősebb gyermekek ajánlott adagolását az alábbi táblázat foglalja össze.</w:t>
      </w:r>
    </w:p>
    <w:p w14:paraId="16F6577D"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lakozamid filmtablettát naponta kétszer, körülbelül 12 órás időközönként kell bevenni.</w:t>
      </w:r>
    </w:p>
    <w:p w14:paraId="03870DDC" w14:textId="1F29FEE8"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 xml:space="preserve">Ha egy dózis kimarad, a betegnek azt kell tanácsolni, hogy haladéktalanul vegye be a kimaradt dózist, majd a következő dózis lakozamidot a szokásos tervezett időben vegye be. Ha a beteg a következő dózis bevételét megelőző 6 órán belül észleli, hogy kihagyott egy dózist, akkor azt kell tanácsolni neki, hogy a következő dózis lakozamidot az előírt megszokott időben vegye be. A betegnek nem szabad kétszeres </w:t>
      </w:r>
      <w:r w:rsidR="00A3683F">
        <w:rPr>
          <w:rFonts w:ascii="Times New Roman" w:eastAsia="Calibri" w:hAnsi="Times New Roman" w:cs="Times New Roman"/>
          <w:color w:val="000000"/>
          <w:kern w:val="0"/>
          <w14:ligatures w14:val="none"/>
        </w:rPr>
        <w:t>dózist</w:t>
      </w:r>
      <w:r w:rsidRPr="0043030C">
        <w:rPr>
          <w:rFonts w:ascii="Times New Roman" w:eastAsia="Calibri" w:hAnsi="Times New Roman" w:cs="Times New Roman"/>
          <w:color w:val="000000"/>
          <w:kern w:val="0"/>
          <w14:ligatures w14:val="none"/>
        </w:rPr>
        <w:t xml:space="preserve"> bevennie.</w:t>
      </w:r>
    </w:p>
    <w:p w14:paraId="6F2B7448" w14:textId="77777777" w:rsidR="0043030C" w:rsidRPr="0043030C" w:rsidRDefault="0043030C" w:rsidP="0043030C">
      <w:pPr>
        <w:spacing w:after="0" w:line="240" w:lineRule="auto"/>
        <w:rPr>
          <w:rFonts w:ascii="Times New Roman" w:eastAsia="Times New Roman" w:hAnsi="Times New Roman" w:cs="Times New Roman"/>
          <w:snapToGrid w:val="0"/>
          <w:kern w:val="0"/>
          <w:lang w:eastAsia="hu-HU"/>
          <w14:ligatures w14:val="none"/>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2835"/>
        <w:gridCol w:w="3544"/>
      </w:tblGrid>
      <w:tr w:rsidR="0043030C" w:rsidRPr="0043030C" w14:paraId="2BC00C66" w14:textId="77777777" w:rsidTr="00A3683F">
        <w:trPr>
          <w:trHeight w:val="152"/>
        </w:trPr>
        <w:tc>
          <w:tcPr>
            <w:tcW w:w="9322" w:type="dxa"/>
            <w:gridSpan w:val="3"/>
          </w:tcPr>
          <w:p w14:paraId="7118D34F" w14:textId="6977A963" w:rsidR="0043030C" w:rsidRPr="0043030C" w:rsidRDefault="0043030C" w:rsidP="0043030C">
            <w:pPr>
              <w:autoSpaceDE w:val="0"/>
              <w:autoSpaceDN w:val="0"/>
              <w:adjustRightInd w:val="0"/>
              <w:spacing w:after="0" w:line="240" w:lineRule="auto"/>
              <w:rPr>
                <w:rFonts w:ascii="Times New Roman" w:eastAsia="Calibri" w:hAnsi="Times New Roman" w:cs="Times New Roman"/>
                <w:b/>
                <w:bCs/>
                <w:color w:val="000000"/>
                <w:kern w:val="0"/>
                <w:u w:val="single"/>
                <w:lang w:eastAsia="hu-HU"/>
                <w14:ligatures w14:val="none"/>
              </w:rPr>
            </w:pPr>
            <w:r w:rsidRPr="0043030C">
              <w:rPr>
                <w:rFonts w:ascii="Times New Roman" w:eastAsia="Calibri" w:hAnsi="Times New Roman" w:cs="Times New Roman"/>
                <w:b/>
                <w:bCs/>
                <w:color w:val="000000"/>
                <w:kern w:val="0"/>
                <w:u w:val="single"/>
                <w:lang w:eastAsia="hu-HU"/>
                <w14:ligatures w14:val="none"/>
              </w:rPr>
              <w:t>50 kg</w:t>
            </w:r>
            <w:r w:rsidR="004D7B44">
              <w:rPr>
                <w:rFonts w:ascii="Times New Roman" w:eastAsia="Calibri" w:hAnsi="Times New Roman" w:cs="Times New Roman"/>
                <w:b/>
                <w:bCs/>
                <w:color w:val="000000"/>
                <w:kern w:val="0"/>
                <w:u w:val="single"/>
                <w:lang w:eastAsia="hu-HU"/>
                <w14:ligatures w14:val="none"/>
              </w:rPr>
              <w:t>-os</w:t>
            </w:r>
            <w:r w:rsidRPr="0043030C">
              <w:rPr>
                <w:rFonts w:ascii="Times New Roman" w:eastAsia="Calibri" w:hAnsi="Times New Roman" w:cs="Times New Roman"/>
                <w:b/>
                <w:bCs/>
                <w:color w:val="000000"/>
                <w:kern w:val="0"/>
                <w:u w:val="single"/>
                <w:lang w:eastAsia="hu-HU"/>
                <w14:ligatures w14:val="none"/>
              </w:rPr>
              <w:t xml:space="preserve"> vagy annál nagyobb testtömegű gyermekek, serdülők és felnőttek</w:t>
            </w:r>
          </w:p>
          <w:p w14:paraId="606F5FEE"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lang w:eastAsia="hu-HU"/>
                <w14:ligatures w14:val="none"/>
              </w:rPr>
            </w:pPr>
          </w:p>
        </w:tc>
      </w:tr>
      <w:tr w:rsidR="0043030C" w:rsidRPr="0043030C" w14:paraId="23B8451E" w14:textId="77777777" w:rsidTr="00A3683F">
        <w:trPr>
          <w:trHeight w:val="405"/>
        </w:trPr>
        <w:tc>
          <w:tcPr>
            <w:tcW w:w="2943" w:type="dxa"/>
          </w:tcPr>
          <w:p w14:paraId="01A85DDB"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b/>
                <w:bCs/>
                <w:color w:val="000000"/>
                <w:kern w:val="0"/>
                <w:lang w:eastAsia="hu-HU"/>
                <w14:ligatures w14:val="none"/>
              </w:rPr>
              <w:t xml:space="preserve">Kezdő dózis </w:t>
            </w:r>
          </w:p>
        </w:tc>
        <w:tc>
          <w:tcPr>
            <w:tcW w:w="2835" w:type="dxa"/>
          </w:tcPr>
          <w:p w14:paraId="332541E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b/>
                <w:bCs/>
                <w:color w:val="000000"/>
                <w:kern w:val="0"/>
                <w:lang w:eastAsia="hu-HU"/>
                <w14:ligatures w14:val="none"/>
              </w:rPr>
            </w:pPr>
            <w:r w:rsidRPr="0043030C">
              <w:rPr>
                <w:rFonts w:ascii="Times New Roman" w:eastAsia="Calibri" w:hAnsi="Times New Roman" w:cs="Times New Roman"/>
                <w:b/>
                <w:bCs/>
                <w:color w:val="000000"/>
                <w:kern w:val="0"/>
                <w:lang w:eastAsia="hu-HU"/>
                <w14:ligatures w14:val="none"/>
              </w:rPr>
              <w:t>Titrálás</w:t>
            </w:r>
          </w:p>
          <w:p w14:paraId="375DD5E5"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b/>
                <w:bCs/>
                <w:color w:val="000000"/>
                <w:kern w:val="0"/>
                <w:lang w:eastAsia="hu-HU"/>
                <w14:ligatures w14:val="none"/>
              </w:rPr>
              <w:t xml:space="preserve">(lépcsőzetesen növelve) </w:t>
            </w:r>
          </w:p>
        </w:tc>
        <w:tc>
          <w:tcPr>
            <w:tcW w:w="3544" w:type="dxa"/>
          </w:tcPr>
          <w:p w14:paraId="25E38028"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b/>
                <w:bCs/>
                <w:color w:val="000000"/>
                <w:kern w:val="0"/>
                <w:lang w:eastAsia="hu-HU"/>
                <w14:ligatures w14:val="none"/>
              </w:rPr>
              <w:t xml:space="preserve">Maximális ajánlott dózis </w:t>
            </w:r>
          </w:p>
        </w:tc>
      </w:tr>
      <w:tr w:rsidR="0043030C" w:rsidRPr="0043030C" w14:paraId="5192ED16" w14:textId="77777777" w:rsidTr="00A3683F">
        <w:trPr>
          <w:trHeight w:val="782"/>
        </w:trPr>
        <w:tc>
          <w:tcPr>
            <w:tcW w:w="2943" w:type="dxa"/>
          </w:tcPr>
          <w:p w14:paraId="6F40476B"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b/>
                <w:bCs/>
                <w:color w:val="000000"/>
                <w:kern w:val="0"/>
                <w:lang w:eastAsia="hu-HU"/>
                <w14:ligatures w14:val="none"/>
              </w:rPr>
              <w:t xml:space="preserve">Monoterápia: </w:t>
            </w:r>
            <w:r w:rsidRPr="0043030C">
              <w:rPr>
                <w:rFonts w:ascii="Times New Roman" w:eastAsia="Calibri" w:hAnsi="Times New Roman" w:cs="Times New Roman"/>
                <w:color w:val="000000"/>
                <w:kern w:val="0"/>
                <w:lang w:eastAsia="hu-HU"/>
                <w14:ligatures w14:val="none"/>
              </w:rPr>
              <w:t>50 mg naponta kétszer (100 mg/nap) vagy 100 mg naponta kétszer (200 mg/nap)</w:t>
            </w:r>
          </w:p>
          <w:p w14:paraId="1000C491"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lang w:eastAsia="hu-HU"/>
                <w14:ligatures w14:val="none"/>
              </w:rPr>
            </w:pPr>
          </w:p>
          <w:p w14:paraId="0881A959"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b/>
                <w:bCs/>
                <w:color w:val="000000"/>
                <w:kern w:val="0"/>
                <w:lang w:eastAsia="hu-HU"/>
                <w14:ligatures w14:val="none"/>
              </w:rPr>
              <w:t xml:space="preserve">Adjuváns terápia: </w:t>
            </w:r>
            <w:r w:rsidRPr="0043030C">
              <w:rPr>
                <w:rFonts w:ascii="Times New Roman" w:eastAsia="Calibri" w:hAnsi="Times New Roman" w:cs="Times New Roman"/>
                <w:color w:val="000000"/>
                <w:kern w:val="0"/>
                <w:lang w:eastAsia="hu-HU"/>
                <w14:ligatures w14:val="none"/>
              </w:rPr>
              <w:t>50 mg naponta kétszer (100 mg/nap)</w:t>
            </w:r>
          </w:p>
          <w:p w14:paraId="714A776C"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lang w:eastAsia="hu-HU"/>
                <w14:ligatures w14:val="none"/>
              </w:rPr>
            </w:pPr>
          </w:p>
        </w:tc>
        <w:tc>
          <w:tcPr>
            <w:tcW w:w="2835" w:type="dxa"/>
          </w:tcPr>
          <w:p w14:paraId="50D45DFF"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color w:val="000000"/>
                <w:kern w:val="0"/>
                <w:lang w:eastAsia="hu-HU"/>
                <w14:ligatures w14:val="none"/>
              </w:rPr>
              <w:t xml:space="preserve">50 mg kétszer egy nap (100 mg/nap) heti rendszerességgel </w:t>
            </w:r>
          </w:p>
        </w:tc>
        <w:tc>
          <w:tcPr>
            <w:tcW w:w="3544" w:type="dxa"/>
          </w:tcPr>
          <w:p w14:paraId="7E26F1E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b/>
                <w:bCs/>
                <w:color w:val="000000"/>
                <w:kern w:val="0"/>
                <w:lang w:eastAsia="hu-HU"/>
                <w14:ligatures w14:val="none"/>
              </w:rPr>
              <w:t xml:space="preserve">Monoterápia: </w:t>
            </w:r>
            <w:r w:rsidRPr="0043030C">
              <w:rPr>
                <w:rFonts w:ascii="Times New Roman" w:eastAsia="Calibri" w:hAnsi="Times New Roman" w:cs="Times New Roman"/>
                <w:color w:val="000000"/>
                <w:kern w:val="0"/>
                <w:lang w:eastAsia="hu-HU"/>
                <w14:ligatures w14:val="none"/>
              </w:rPr>
              <w:t>legfeljebb 300 mg naponta kétszer (600 mg/nap)</w:t>
            </w:r>
          </w:p>
          <w:p w14:paraId="371B04D5"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lang w:eastAsia="hu-HU"/>
                <w14:ligatures w14:val="none"/>
              </w:rPr>
            </w:pPr>
          </w:p>
          <w:p w14:paraId="22953805"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b/>
                <w:bCs/>
                <w:color w:val="000000"/>
                <w:kern w:val="0"/>
                <w:lang w:eastAsia="hu-HU"/>
                <w14:ligatures w14:val="none"/>
              </w:rPr>
              <w:t xml:space="preserve">Adjuváns terápia: </w:t>
            </w:r>
            <w:r w:rsidRPr="0043030C">
              <w:rPr>
                <w:rFonts w:ascii="Times New Roman" w:eastAsia="Calibri" w:hAnsi="Times New Roman" w:cs="Times New Roman"/>
                <w:color w:val="000000"/>
                <w:kern w:val="0"/>
                <w:lang w:eastAsia="hu-HU"/>
                <w14:ligatures w14:val="none"/>
              </w:rPr>
              <w:t xml:space="preserve">legfeljebb 200 mg naponta kétszer (400 mg/nap) </w:t>
            </w:r>
          </w:p>
        </w:tc>
      </w:tr>
      <w:tr w:rsidR="0043030C" w:rsidRPr="0043030C" w14:paraId="0D32DF59" w14:textId="77777777" w:rsidTr="00A3683F">
        <w:trPr>
          <w:trHeight w:val="276"/>
        </w:trPr>
        <w:tc>
          <w:tcPr>
            <w:tcW w:w="9322" w:type="dxa"/>
            <w:gridSpan w:val="3"/>
          </w:tcPr>
          <w:p w14:paraId="0C9E3398"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b/>
                <w:bCs/>
                <w:color w:val="000000"/>
                <w:kern w:val="0"/>
                <w:lang w:eastAsia="hu-HU"/>
                <w14:ligatures w14:val="none"/>
              </w:rPr>
              <w:t xml:space="preserve">Alternatív kezdeti adagolás* </w:t>
            </w:r>
            <w:r w:rsidRPr="0043030C">
              <w:rPr>
                <w:rFonts w:ascii="Times New Roman" w:eastAsia="Calibri" w:hAnsi="Times New Roman" w:cs="Times New Roman"/>
                <w:color w:val="000000"/>
                <w:kern w:val="0"/>
                <w:lang w:eastAsia="hu-HU"/>
                <w14:ligatures w14:val="none"/>
              </w:rPr>
              <w:t>(ha alkalmazható):</w:t>
            </w:r>
          </w:p>
          <w:p w14:paraId="2C2E167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color w:val="000000"/>
                <w:kern w:val="0"/>
                <w:lang w:eastAsia="hu-HU"/>
                <w14:ligatures w14:val="none"/>
              </w:rPr>
              <w:t>200 mg egyszeri telítő dózis, amelyet naponta kétszer 100 mg követ (200 mg/nap)</w:t>
            </w:r>
          </w:p>
          <w:p w14:paraId="7F20178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lang w:eastAsia="hu-HU"/>
                <w14:ligatures w14:val="none"/>
              </w:rPr>
            </w:pPr>
          </w:p>
        </w:tc>
      </w:tr>
      <w:tr w:rsidR="0043030C" w:rsidRPr="0043030C" w14:paraId="1FE117F9" w14:textId="77777777" w:rsidTr="00A3683F">
        <w:trPr>
          <w:trHeight w:val="476"/>
        </w:trPr>
        <w:tc>
          <w:tcPr>
            <w:tcW w:w="9322" w:type="dxa"/>
            <w:gridSpan w:val="3"/>
          </w:tcPr>
          <w:p w14:paraId="73AF1C6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sz w:val="18"/>
                <w:szCs w:val="18"/>
                <w:lang w:eastAsia="hu-HU"/>
                <w14:ligatures w14:val="none"/>
              </w:rPr>
            </w:pPr>
            <w:r w:rsidRPr="0043030C">
              <w:rPr>
                <w:rFonts w:ascii="Times New Roman" w:eastAsia="Calibri" w:hAnsi="Times New Roman" w:cs="Times New Roman"/>
                <w:color w:val="000000"/>
                <w:kern w:val="0"/>
                <w:sz w:val="18"/>
                <w:szCs w:val="18"/>
                <w:lang w:eastAsia="hu-HU"/>
                <w14:ligatures w14:val="none"/>
              </w:rPr>
              <w:t xml:space="preserve">*A telítő dózis alkalmazása olyan körülmények között kezdhető el, amikor az orvos úgy dönt, hogy a lakozamid dinamikus egyensúlyi állapotban mért plazmakoncentrációjának és terápiás hatásának gyors elérése indokolt. Ezt orvosi felügyelet mellett kell alkalmazni, figyelembe véve a súlyos szívritmuszavar és a központi idegrendszeri mellékhatások előfordulási gyakoriságának esetleges növekedését (lásd 4.8 pont). A telítő dózis alkalmazását nem vizsgálták akut körülmények között, például status epilepticusban. </w:t>
            </w:r>
          </w:p>
        </w:tc>
      </w:tr>
    </w:tbl>
    <w:p w14:paraId="196177D0" w14:textId="77777777" w:rsidR="0043030C" w:rsidRPr="0043030C" w:rsidRDefault="0043030C" w:rsidP="0043030C">
      <w:pPr>
        <w:spacing w:after="0" w:line="240" w:lineRule="auto"/>
        <w:rPr>
          <w:rFonts w:ascii="Times New Roman" w:eastAsia="Times New Roman" w:hAnsi="Times New Roman" w:cs="Times New Roman"/>
          <w:snapToGrid w:val="0"/>
          <w:kern w:val="0"/>
          <w:u w:val="single"/>
          <w:lang w:eastAsia="hu-HU"/>
          <w14:ligatures w14:val="none"/>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8"/>
        <w:gridCol w:w="2888"/>
        <w:gridCol w:w="3546"/>
      </w:tblGrid>
      <w:tr w:rsidR="0043030C" w:rsidRPr="0043030C" w14:paraId="2133D197" w14:textId="77777777" w:rsidTr="00A3683F">
        <w:trPr>
          <w:trHeight w:val="152"/>
        </w:trPr>
        <w:tc>
          <w:tcPr>
            <w:tcW w:w="9322" w:type="dxa"/>
            <w:gridSpan w:val="3"/>
          </w:tcPr>
          <w:p w14:paraId="4B3E1D8F" w14:textId="77777777" w:rsidR="0043030C" w:rsidRPr="0043030C" w:rsidRDefault="0043030C" w:rsidP="0043030C">
            <w:pPr>
              <w:keepNext/>
              <w:autoSpaceDE w:val="0"/>
              <w:autoSpaceDN w:val="0"/>
              <w:adjustRightInd w:val="0"/>
              <w:spacing w:after="0" w:line="240" w:lineRule="auto"/>
              <w:rPr>
                <w:rFonts w:ascii="Times New Roman" w:eastAsia="Calibri" w:hAnsi="Times New Roman" w:cs="Times New Roman"/>
                <w:b/>
                <w:bCs/>
                <w:color w:val="000000"/>
                <w:kern w:val="0"/>
                <w:u w:val="single"/>
                <w:lang w:eastAsia="hu-HU"/>
                <w14:ligatures w14:val="none"/>
              </w:rPr>
            </w:pPr>
            <w:r w:rsidRPr="0043030C">
              <w:rPr>
                <w:rFonts w:ascii="Times New Roman" w:eastAsia="Calibri" w:hAnsi="Times New Roman" w:cs="Times New Roman"/>
                <w:b/>
                <w:bCs/>
                <w:color w:val="000000"/>
                <w:kern w:val="0"/>
                <w:u w:val="single"/>
                <w:lang w:eastAsia="hu-HU"/>
                <w14:ligatures w14:val="none"/>
              </w:rPr>
              <w:lastRenderedPageBreak/>
              <w:t>2 éves és annál idősebb gyermekek és 50 kg-nál kisebb testtömegű serdülők*</w:t>
            </w:r>
          </w:p>
          <w:p w14:paraId="2900DD3A" w14:textId="77777777" w:rsidR="0043030C" w:rsidRPr="0043030C" w:rsidRDefault="0043030C" w:rsidP="0043030C">
            <w:pPr>
              <w:keepNext/>
              <w:autoSpaceDE w:val="0"/>
              <w:autoSpaceDN w:val="0"/>
              <w:adjustRightInd w:val="0"/>
              <w:spacing w:after="0" w:line="240" w:lineRule="auto"/>
              <w:rPr>
                <w:rFonts w:ascii="Times New Roman" w:eastAsia="Calibri" w:hAnsi="Times New Roman" w:cs="Times New Roman"/>
                <w:color w:val="000000"/>
                <w:kern w:val="0"/>
                <w:u w:val="single"/>
                <w:lang w:eastAsia="hu-HU"/>
                <w14:ligatures w14:val="none"/>
              </w:rPr>
            </w:pPr>
          </w:p>
        </w:tc>
      </w:tr>
      <w:tr w:rsidR="0043030C" w:rsidRPr="0043030C" w14:paraId="16F5057C" w14:textId="77777777" w:rsidTr="00A3683F">
        <w:trPr>
          <w:trHeight w:val="406"/>
        </w:trPr>
        <w:tc>
          <w:tcPr>
            <w:tcW w:w="2888" w:type="dxa"/>
          </w:tcPr>
          <w:p w14:paraId="5BFC4753" w14:textId="77777777" w:rsidR="0043030C" w:rsidRPr="0043030C" w:rsidRDefault="0043030C" w:rsidP="0043030C">
            <w:pPr>
              <w:keepNext/>
              <w:autoSpaceDE w:val="0"/>
              <w:autoSpaceDN w:val="0"/>
              <w:adjustRightInd w:val="0"/>
              <w:spacing w:after="0" w:line="240" w:lineRule="auto"/>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b/>
                <w:bCs/>
                <w:color w:val="000000"/>
                <w:kern w:val="0"/>
                <w:lang w:eastAsia="hu-HU"/>
                <w14:ligatures w14:val="none"/>
              </w:rPr>
              <w:t xml:space="preserve">Kezdő dózis </w:t>
            </w:r>
          </w:p>
        </w:tc>
        <w:tc>
          <w:tcPr>
            <w:tcW w:w="2888" w:type="dxa"/>
          </w:tcPr>
          <w:p w14:paraId="78492134" w14:textId="77777777" w:rsidR="0043030C" w:rsidRPr="0043030C" w:rsidRDefault="0043030C" w:rsidP="0043030C">
            <w:pPr>
              <w:keepNext/>
              <w:autoSpaceDE w:val="0"/>
              <w:autoSpaceDN w:val="0"/>
              <w:adjustRightInd w:val="0"/>
              <w:spacing w:after="0" w:line="240" w:lineRule="auto"/>
              <w:rPr>
                <w:rFonts w:ascii="Times New Roman" w:eastAsia="Calibri" w:hAnsi="Times New Roman" w:cs="Times New Roman"/>
                <w:b/>
                <w:bCs/>
                <w:color w:val="000000"/>
                <w:kern w:val="0"/>
                <w:lang w:eastAsia="hu-HU"/>
                <w14:ligatures w14:val="none"/>
              </w:rPr>
            </w:pPr>
            <w:r w:rsidRPr="0043030C">
              <w:rPr>
                <w:rFonts w:ascii="Times New Roman" w:eastAsia="Calibri" w:hAnsi="Times New Roman" w:cs="Times New Roman"/>
                <w:b/>
                <w:bCs/>
                <w:color w:val="000000"/>
                <w:kern w:val="0"/>
                <w:lang w:eastAsia="hu-HU"/>
                <w14:ligatures w14:val="none"/>
              </w:rPr>
              <w:t>Titrálás</w:t>
            </w:r>
          </w:p>
          <w:p w14:paraId="288BB0DE" w14:textId="77777777" w:rsidR="0043030C" w:rsidRPr="0043030C" w:rsidRDefault="0043030C" w:rsidP="0043030C">
            <w:pPr>
              <w:keepNext/>
              <w:autoSpaceDE w:val="0"/>
              <w:autoSpaceDN w:val="0"/>
              <w:adjustRightInd w:val="0"/>
              <w:spacing w:after="0" w:line="240" w:lineRule="auto"/>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b/>
                <w:bCs/>
                <w:color w:val="000000"/>
                <w:kern w:val="0"/>
                <w:lang w:eastAsia="hu-HU"/>
                <w14:ligatures w14:val="none"/>
              </w:rPr>
              <w:t xml:space="preserve">(lépcsőzetesen növelve) </w:t>
            </w:r>
          </w:p>
        </w:tc>
        <w:tc>
          <w:tcPr>
            <w:tcW w:w="3546" w:type="dxa"/>
          </w:tcPr>
          <w:p w14:paraId="120CFA8F" w14:textId="77777777" w:rsidR="0043030C" w:rsidRPr="0043030C" w:rsidRDefault="0043030C" w:rsidP="0043030C">
            <w:pPr>
              <w:keepNext/>
              <w:autoSpaceDE w:val="0"/>
              <w:autoSpaceDN w:val="0"/>
              <w:adjustRightInd w:val="0"/>
              <w:spacing w:after="0" w:line="240" w:lineRule="auto"/>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b/>
                <w:bCs/>
                <w:color w:val="000000"/>
                <w:kern w:val="0"/>
                <w:lang w:eastAsia="hu-HU"/>
                <w14:ligatures w14:val="none"/>
              </w:rPr>
              <w:t xml:space="preserve">Maximális ajánlott dózis </w:t>
            </w:r>
          </w:p>
        </w:tc>
      </w:tr>
      <w:tr w:rsidR="0043030C" w:rsidRPr="0043030C" w14:paraId="774952C4" w14:textId="77777777" w:rsidTr="00A3683F">
        <w:trPr>
          <w:trHeight w:val="908"/>
        </w:trPr>
        <w:tc>
          <w:tcPr>
            <w:tcW w:w="2888" w:type="dxa"/>
            <w:vMerge w:val="restart"/>
          </w:tcPr>
          <w:p w14:paraId="50E02F1A" w14:textId="77777777" w:rsidR="0043030C" w:rsidRPr="0043030C" w:rsidRDefault="0043030C" w:rsidP="0043030C">
            <w:pPr>
              <w:keepNext/>
              <w:autoSpaceDE w:val="0"/>
              <w:autoSpaceDN w:val="0"/>
              <w:adjustRightInd w:val="0"/>
              <w:spacing w:after="0" w:line="240" w:lineRule="auto"/>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b/>
                <w:bCs/>
                <w:color w:val="000000"/>
                <w:kern w:val="0"/>
                <w:lang w:eastAsia="hu-HU"/>
                <w14:ligatures w14:val="none"/>
              </w:rPr>
              <w:t xml:space="preserve">Monoterápia és adjuváns terápia: </w:t>
            </w:r>
          </w:p>
          <w:p w14:paraId="437BD61B" w14:textId="77777777" w:rsidR="0043030C" w:rsidRPr="0043030C" w:rsidRDefault="0043030C" w:rsidP="0043030C">
            <w:pPr>
              <w:keepNext/>
              <w:autoSpaceDE w:val="0"/>
              <w:autoSpaceDN w:val="0"/>
              <w:adjustRightInd w:val="0"/>
              <w:spacing w:after="0" w:line="240" w:lineRule="auto"/>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color w:val="000000"/>
                <w:kern w:val="0"/>
                <w:lang w:eastAsia="hu-HU"/>
                <w14:ligatures w14:val="none"/>
              </w:rPr>
              <w:t>1 mg/ttkg naponta kétszer (2 mg/ttkg/nap)</w:t>
            </w:r>
          </w:p>
        </w:tc>
        <w:tc>
          <w:tcPr>
            <w:tcW w:w="2888" w:type="dxa"/>
            <w:vMerge w:val="restart"/>
          </w:tcPr>
          <w:p w14:paraId="00D1A59A" w14:textId="77777777" w:rsidR="0043030C" w:rsidRPr="0043030C" w:rsidRDefault="0043030C" w:rsidP="0043030C">
            <w:pPr>
              <w:keepNext/>
              <w:autoSpaceDE w:val="0"/>
              <w:autoSpaceDN w:val="0"/>
              <w:adjustRightInd w:val="0"/>
              <w:spacing w:after="0" w:line="240" w:lineRule="auto"/>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color w:val="000000"/>
                <w:kern w:val="0"/>
                <w:lang w:eastAsia="hu-HU"/>
                <w14:ligatures w14:val="none"/>
              </w:rPr>
              <w:t xml:space="preserve">1 mg/ttkg naponta kétszer (2 mg/ttkg/nap) heti rendszerességgel </w:t>
            </w:r>
          </w:p>
        </w:tc>
        <w:tc>
          <w:tcPr>
            <w:tcW w:w="3546" w:type="dxa"/>
          </w:tcPr>
          <w:p w14:paraId="05CAA59E" w14:textId="77777777" w:rsidR="0043030C" w:rsidRPr="0043030C" w:rsidRDefault="0043030C" w:rsidP="0043030C">
            <w:pPr>
              <w:keepNext/>
              <w:autoSpaceDE w:val="0"/>
              <w:autoSpaceDN w:val="0"/>
              <w:adjustRightInd w:val="0"/>
              <w:spacing w:after="0" w:line="240" w:lineRule="auto"/>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b/>
                <w:bCs/>
                <w:color w:val="000000"/>
                <w:kern w:val="0"/>
                <w:lang w:eastAsia="hu-HU"/>
                <w14:ligatures w14:val="none"/>
              </w:rPr>
              <w:t>Monoterápia:</w:t>
            </w:r>
          </w:p>
          <w:p w14:paraId="4A40595E" w14:textId="77777777" w:rsidR="0043030C" w:rsidRPr="0043030C" w:rsidRDefault="0043030C" w:rsidP="0043030C">
            <w:pPr>
              <w:keepNext/>
              <w:numPr>
                <w:ilvl w:val="0"/>
                <w:numId w:val="15"/>
              </w:numPr>
              <w:autoSpaceDE w:val="0"/>
              <w:autoSpaceDN w:val="0"/>
              <w:adjustRightInd w:val="0"/>
              <w:spacing w:after="0" w:line="240" w:lineRule="auto"/>
              <w:ind w:left="320"/>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color w:val="000000"/>
                <w:kern w:val="0"/>
                <w:lang w:eastAsia="hu-HU"/>
                <w14:ligatures w14:val="none"/>
              </w:rPr>
              <w:t>legfeljebb 6 mg/ttkg naponta kétszer (12 mg/ttkg/nap)</w:t>
            </w:r>
          </w:p>
          <w:p w14:paraId="21B14E9D" w14:textId="77777777" w:rsidR="0043030C" w:rsidRPr="0043030C" w:rsidRDefault="0043030C" w:rsidP="0043030C">
            <w:pPr>
              <w:keepNext/>
              <w:autoSpaceDE w:val="0"/>
              <w:autoSpaceDN w:val="0"/>
              <w:adjustRightInd w:val="0"/>
              <w:spacing w:after="0" w:line="240" w:lineRule="auto"/>
              <w:ind w:left="320"/>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color w:val="000000"/>
                <w:kern w:val="0"/>
                <w:lang w:eastAsia="hu-HU"/>
                <w14:ligatures w14:val="none"/>
              </w:rPr>
              <w:t xml:space="preserve">≥ 10 kg – &lt; 40 kg testtömegű betegeknél </w:t>
            </w:r>
          </w:p>
          <w:p w14:paraId="2A21A0FF" w14:textId="77777777" w:rsidR="0043030C" w:rsidRPr="0043030C" w:rsidRDefault="0043030C" w:rsidP="0043030C">
            <w:pPr>
              <w:keepNext/>
              <w:numPr>
                <w:ilvl w:val="0"/>
                <w:numId w:val="15"/>
              </w:numPr>
              <w:autoSpaceDE w:val="0"/>
              <w:autoSpaceDN w:val="0"/>
              <w:adjustRightInd w:val="0"/>
              <w:spacing w:after="0" w:line="240" w:lineRule="auto"/>
              <w:ind w:left="320"/>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color w:val="000000"/>
                <w:kern w:val="0"/>
                <w:lang w:eastAsia="hu-HU"/>
                <w14:ligatures w14:val="none"/>
              </w:rPr>
              <w:t>legfeljebb 5 mg/ttkg naponta kétszer (10 mg/ttkg/nap)</w:t>
            </w:r>
          </w:p>
          <w:p w14:paraId="672A26CF" w14:textId="77777777" w:rsidR="0043030C" w:rsidRPr="0043030C" w:rsidRDefault="0043030C" w:rsidP="0043030C">
            <w:pPr>
              <w:keepNext/>
              <w:autoSpaceDE w:val="0"/>
              <w:autoSpaceDN w:val="0"/>
              <w:adjustRightInd w:val="0"/>
              <w:spacing w:after="0" w:line="240" w:lineRule="auto"/>
              <w:ind w:left="320"/>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color w:val="000000"/>
                <w:kern w:val="0"/>
                <w:lang w:eastAsia="hu-HU"/>
                <w14:ligatures w14:val="none"/>
              </w:rPr>
              <w:t xml:space="preserve">≥ 40 kg – &lt; 50 kg testtömegű betegeknél </w:t>
            </w:r>
          </w:p>
          <w:p w14:paraId="571FBAAD" w14:textId="77777777" w:rsidR="0043030C" w:rsidRPr="0043030C" w:rsidRDefault="0043030C" w:rsidP="0043030C">
            <w:pPr>
              <w:keepNext/>
              <w:autoSpaceDE w:val="0"/>
              <w:autoSpaceDN w:val="0"/>
              <w:adjustRightInd w:val="0"/>
              <w:spacing w:after="0" w:line="240" w:lineRule="auto"/>
              <w:rPr>
                <w:rFonts w:ascii="Times New Roman" w:eastAsia="Calibri" w:hAnsi="Times New Roman" w:cs="Times New Roman"/>
                <w:color w:val="000000"/>
                <w:kern w:val="0"/>
                <w:lang w:eastAsia="hu-HU"/>
                <w14:ligatures w14:val="none"/>
              </w:rPr>
            </w:pPr>
          </w:p>
        </w:tc>
      </w:tr>
      <w:tr w:rsidR="0043030C" w:rsidRPr="0043030C" w14:paraId="4D43F2F6" w14:textId="77777777" w:rsidTr="00A3683F">
        <w:trPr>
          <w:trHeight w:val="908"/>
        </w:trPr>
        <w:tc>
          <w:tcPr>
            <w:tcW w:w="2888" w:type="dxa"/>
            <w:vMerge/>
          </w:tcPr>
          <w:p w14:paraId="52F913D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b/>
                <w:bCs/>
                <w:color w:val="000000"/>
                <w:kern w:val="0"/>
                <w:lang w:eastAsia="hu-HU"/>
                <w14:ligatures w14:val="none"/>
              </w:rPr>
            </w:pPr>
          </w:p>
        </w:tc>
        <w:tc>
          <w:tcPr>
            <w:tcW w:w="2888" w:type="dxa"/>
            <w:vMerge/>
          </w:tcPr>
          <w:p w14:paraId="387A71C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lang w:eastAsia="hu-HU"/>
                <w14:ligatures w14:val="none"/>
              </w:rPr>
            </w:pPr>
          </w:p>
        </w:tc>
        <w:tc>
          <w:tcPr>
            <w:tcW w:w="3546" w:type="dxa"/>
          </w:tcPr>
          <w:p w14:paraId="4C6B96E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b/>
                <w:bCs/>
                <w:color w:val="000000"/>
                <w:kern w:val="0"/>
                <w:lang w:eastAsia="hu-HU"/>
                <w14:ligatures w14:val="none"/>
              </w:rPr>
              <w:t>Adjuváns terápia:</w:t>
            </w:r>
          </w:p>
          <w:p w14:paraId="56887A20" w14:textId="77777777" w:rsidR="0043030C" w:rsidRPr="0043030C" w:rsidRDefault="0043030C" w:rsidP="0043030C">
            <w:pPr>
              <w:numPr>
                <w:ilvl w:val="0"/>
                <w:numId w:val="16"/>
              </w:numPr>
              <w:autoSpaceDE w:val="0"/>
              <w:autoSpaceDN w:val="0"/>
              <w:adjustRightInd w:val="0"/>
              <w:spacing w:after="0" w:line="240" w:lineRule="auto"/>
              <w:ind w:left="320" w:hanging="284"/>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color w:val="000000"/>
                <w:kern w:val="0"/>
                <w:lang w:eastAsia="hu-HU"/>
                <w14:ligatures w14:val="none"/>
              </w:rPr>
              <w:t xml:space="preserve">legfeljebb 6 mg/ttkg naponta kétszer (12 mg/ttkg/nap) </w:t>
            </w:r>
          </w:p>
          <w:p w14:paraId="4CC1FA89" w14:textId="77777777" w:rsidR="0043030C" w:rsidRPr="0043030C" w:rsidRDefault="0043030C" w:rsidP="0043030C">
            <w:pPr>
              <w:autoSpaceDE w:val="0"/>
              <w:autoSpaceDN w:val="0"/>
              <w:adjustRightInd w:val="0"/>
              <w:spacing w:after="0" w:line="240" w:lineRule="auto"/>
              <w:ind w:left="320"/>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color w:val="000000"/>
                <w:kern w:val="0"/>
                <w:lang w:eastAsia="hu-HU"/>
                <w14:ligatures w14:val="none"/>
              </w:rPr>
              <w:t>≥ 10 kg – &lt; 20 kg testtömegű betegeknél</w:t>
            </w:r>
          </w:p>
          <w:p w14:paraId="48B53C9A" w14:textId="77777777" w:rsidR="0043030C" w:rsidRPr="0043030C" w:rsidRDefault="0043030C" w:rsidP="0043030C">
            <w:pPr>
              <w:numPr>
                <w:ilvl w:val="0"/>
                <w:numId w:val="16"/>
              </w:numPr>
              <w:autoSpaceDE w:val="0"/>
              <w:autoSpaceDN w:val="0"/>
              <w:adjustRightInd w:val="0"/>
              <w:spacing w:after="0" w:line="240" w:lineRule="auto"/>
              <w:ind w:left="320" w:hanging="284"/>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color w:val="000000"/>
                <w:kern w:val="0"/>
                <w:lang w:eastAsia="hu-HU"/>
                <w14:ligatures w14:val="none"/>
              </w:rPr>
              <w:t xml:space="preserve">legfeljebb 5 mg/ttkg naponta kétszer (10 mg/ttkg/nap) </w:t>
            </w:r>
          </w:p>
          <w:p w14:paraId="6BE2A9D2" w14:textId="77777777" w:rsidR="0043030C" w:rsidRPr="0043030C" w:rsidRDefault="0043030C" w:rsidP="0043030C">
            <w:pPr>
              <w:autoSpaceDE w:val="0"/>
              <w:autoSpaceDN w:val="0"/>
              <w:adjustRightInd w:val="0"/>
              <w:spacing w:after="0" w:line="240" w:lineRule="auto"/>
              <w:ind w:left="320"/>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color w:val="000000"/>
                <w:kern w:val="0"/>
                <w:lang w:eastAsia="hu-HU"/>
                <w14:ligatures w14:val="none"/>
              </w:rPr>
              <w:t>≥ 20 kg – &lt; 30 kg testtömegű betegeknél</w:t>
            </w:r>
          </w:p>
          <w:p w14:paraId="7199E13C" w14:textId="77777777" w:rsidR="0043030C" w:rsidRPr="0043030C" w:rsidRDefault="0043030C" w:rsidP="0043030C">
            <w:pPr>
              <w:numPr>
                <w:ilvl w:val="0"/>
                <w:numId w:val="16"/>
              </w:numPr>
              <w:autoSpaceDE w:val="0"/>
              <w:autoSpaceDN w:val="0"/>
              <w:adjustRightInd w:val="0"/>
              <w:spacing w:after="0" w:line="240" w:lineRule="auto"/>
              <w:ind w:left="320" w:hanging="284"/>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color w:val="000000"/>
                <w:kern w:val="0"/>
                <w:lang w:eastAsia="hu-HU"/>
                <w14:ligatures w14:val="none"/>
              </w:rPr>
              <w:t xml:space="preserve">legfeljebb 4 mg/ttkg naponta kétszer (8 mg/ttkg/nap) </w:t>
            </w:r>
          </w:p>
          <w:p w14:paraId="3762B60E" w14:textId="77777777" w:rsidR="0043030C" w:rsidRPr="0043030C" w:rsidRDefault="0043030C" w:rsidP="0043030C">
            <w:pPr>
              <w:autoSpaceDE w:val="0"/>
              <w:autoSpaceDN w:val="0"/>
              <w:adjustRightInd w:val="0"/>
              <w:spacing w:after="0" w:line="240" w:lineRule="auto"/>
              <w:ind w:left="320"/>
              <w:rPr>
                <w:rFonts w:ascii="Times New Roman" w:eastAsia="Calibri" w:hAnsi="Times New Roman" w:cs="Times New Roman"/>
                <w:color w:val="000000"/>
                <w:kern w:val="0"/>
                <w:lang w:eastAsia="hu-HU"/>
                <w14:ligatures w14:val="none"/>
              </w:rPr>
            </w:pPr>
            <w:r w:rsidRPr="0043030C">
              <w:rPr>
                <w:rFonts w:ascii="Times New Roman" w:eastAsia="Calibri" w:hAnsi="Times New Roman" w:cs="Times New Roman"/>
                <w:color w:val="000000"/>
                <w:kern w:val="0"/>
                <w:lang w:eastAsia="hu-HU"/>
                <w14:ligatures w14:val="none"/>
              </w:rPr>
              <w:t>≥ 30 kg – &lt; 50 kg testtömegű betegeknél</w:t>
            </w:r>
          </w:p>
          <w:p w14:paraId="60EF0948"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b/>
                <w:bCs/>
                <w:color w:val="000000"/>
                <w:kern w:val="0"/>
                <w:lang w:eastAsia="hu-HU"/>
                <w14:ligatures w14:val="none"/>
              </w:rPr>
            </w:pPr>
          </w:p>
        </w:tc>
      </w:tr>
      <w:tr w:rsidR="0043030C" w:rsidRPr="0043030C" w14:paraId="3F00C38C" w14:textId="77777777" w:rsidTr="00A3683F">
        <w:trPr>
          <w:trHeight w:val="275"/>
        </w:trPr>
        <w:tc>
          <w:tcPr>
            <w:tcW w:w="9322" w:type="dxa"/>
            <w:gridSpan w:val="3"/>
          </w:tcPr>
          <w:p w14:paraId="42CC9F1C"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sz w:val="18"/>
                <w:szCs w:val="18"/>
                <w:lang w:eastAsia="hu-HU"/>
                <w14:ligatures w14:val="none"/>
              </w:rPr>
            </w:pPr>
            <w:r w:rsidRPr="0043030C">
              <w:rPr>
                <w:rFonts w:ascii="Times New Roman" w:eastAsia="Calibri" w:hAnsi="Times New Roman" w:cs="Times New Roman"/>
                <w:color w:val="000000"/>
                <w:kern w:val="0"/>
                <w:sz w:val="18"/>
                <w:szCs w:val="18"/>
                <w:lang w:eastAsia="hu-HU"/>
                <w14:ligatures w14:val="none"/>
              </w:rPr>
              <w:t xml:space="preserve">* Az 50 kg-nál kisebb testtömegű gyermekek esetén a kezelést lehetőleg </w:t>
            </w:r>
            <w:r w:rsidRPr="0043030C">
              <w:rPr>
                <w:rFonts w:ascii="Times New Roman" w:eastAsia="Times New Roman" w:hAnsi="Times New Roman" w:cs="Times New Roman"/>
                <w:snapToGrid w:val="0"/>
                <w:kern w:val="0"/>
                <w:sz w:val="18"/>
                <w:szCs w:val="18"/>
                <w:lang w:eastAsia="hu-HU"/>
                <w14:ligatures w14:val="none"/>
              </w:rPr>
              <w:t xml:space="preserve">lakozamid </w:t>
            </w:r>
            <w:r w:rsidRPr="0043030C">
              <w:rPr>
                <w:rFonts w:ascii="Times New Roman" w:eastAsia="Calibri" w:hAnsi="Times New Roman" w:cs="Times New Roman"/>
                <w:color w:val="000000"/>
                <w:kern w:val="0"/>
                <w:sz w:val="18"/>
                <w:szCs w:val="18"/>
                <w:lang w:eastAsia="hu-HU"/>
                <w14:ligatures w14:val="none"/>
              </w:rPr>
              <w:t xml:space="preserve">10 mg/ml sziruppal kell kezdeni. </w:t>
            </w:r>
          </w:p>
        </w:tc>
      </w:tr>
    </w:tbl>
    <w:p w14:paraId="1B5AAB8D" w14:textId="77777777" w:rsidR="0043030C" w:rsidRPr="0043030C" w:rsidRDefault="0043030C" w:rsidP="0043030C">
      <w:pPr>
        <w:spacing w:after="0" w:line="240" w:lineRule="auto"/>
        <w:rPr>
          <w:rFonts w:ascii="Times New Roman" w:eastAsia="Times New Roman" w:hAnsi="Times New Roman" w:cs="Times New Roman"/>
          <w:snapToGrid w:val="0"/>
          <w:kern w:val="0"/>
          <w:lang w:eastAsia="hu-HU"/>
          <w14:ligatures w14:val="none"/>
        </w:rPr>
      </w:pPr>
    </w:p>
    <w:p w14:paraId="007403F6" w14:textId="07D14683" w:rsidR="0043030C" w:rsidRPr="0043030C" w:rsidRDefault="0043030C" w:rsidP="0043030C">
      <w:pPr>
        <w:keepNext/>
        <w:spacing w:after="0" w:line="240" w:lineRule="auto"/>
        <w:rPr>
          <w:rFonts w:ascii="Times New Roman" w:eastAsia="Times New Roman" w:hAnsi="Times New Roman" w:cs="Times New Roman"/>
          <w:i/>
          <w:kern w:val="0"/>
          <w:u w:val="single"/>
          <w14:ligatures w14:val="none"/>
        </w:rPr>
      </w:pPr>
      <w:r w:rsidRPr="0043030C">
        <w:rPr>
          <w:rFonts w:ascii="Times New Roman" w:eastAsia="Times New Roman" w:hAnsi="Times New Roman" w:cs="Times New Roman"/>
          <w:i/>
          <w:kern w:val="0"/>
          <w:u w:val="single"/>
          <w14:ligatures w14:val="none"/>
        </w:rPr>
        <w:t>50 kg vagy annál nagyobb testtömegű gyermekek</w:t>
      </w:r>
      <w:r w:rsidR="00BB23DD">
        <w:rPr>
          <w:rFonts w:ascii="Times New Roman" w:eastAsia="Times New Roman" w:hAnsi="Times New Roman" w:cs="Times New Roman"/>
          <w:i/>
          <w:kern w:val="0"/>
          <w:u w:val="single"/>
          <w14:ligatures w14:val="none"/>
        </w:rPr>
        <w:t>,</w:t>
      </w:r>
      <w:r w:rsidRPr="0043030C">
        <w:rPr>
          <w:rFonts w:ascii="Times New Roman" w:eastAsia="Times New Roman" w:hAnsi="Times New Roman" w:cs="Times New Roman"/>
          <w:i/>
          <w:kern w:val="0"/>
          <w:u w:val="single"/>
          <w14:ligatures w14:val="none"/>
        </w:rPr>
        <w:t xml:space="preserve"> serdülők </w:t>
      </w:r>
      <w:r w:rsidR="008A2213">
        <w:rPr>
          <w:rFonts w:ascii="Times New Roman" w:eastAsia="Times New Roman" w:hAnsi="Times New Roman" w:cs="Times New Roman"/>
          <w:i/>
          <w:kern w:val="0"/>
          <w:u w:val="single"/>
          <w14:ligatures w14:val="none"/>
        </w:rPr>
        <w:t>és</w:t>
      </w:r>
      <w:r w:rsidR="008A2213" w:rsidRPr="0043030C">
        <w:rPr>
          <w:rFonts w:ascii="Times New Roman" w:eastAsia="Times New Roman" w:hAnsi="Times New Roman" w:cs="Times New Roman"/>
          <w:i/>
          <w:kern w:val="0"/>
          <w:u w:val="single"/>
          <w14:ligatures w14:val="none"/>
        </w:rPr>
        <w:t xml:space="preserve"> </w:t>
      </w:r>
      <w:r w:rsidRPr="0043030C">
        <w:rPr>
          <w:rFonts w:ascii="Times New Roman" w:eastAsia="Times New Roman" w:hAnsi="Times New Roman" w:cs="Times New Roman"/>
          <w:i/>
          <w:kern w:val="0"/>
          <w:u w:val="single"/>
          <w14:ligatures w14:val="none"/>
        </w:rPr>
        <w:t>felnőttek</w:t>
      </w:r>
    </w:p>
    <w:p w14:paraId="7DC8AFA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1706CDB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i/>
          <w:iCs/>
          <w:color w:val="000000"/>
          <w:kern w:val="0"/>
          <w14:ligatures w14:val="none"/>
        </w:rPr>
        <w:t>Monoterápia (a parciális görcsrohamok kezelésére)</w:t>
      </w:r>
    </w:p>
    <w:p w14:paraId="7B0DDDA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javasolt kezdő dózis naponta kétszer 50 mg</w:t>
      </w:r>
      <w:r w:rsidRPr="0043030C">
        <w:rPr>
          <w:rFonts w:ascii="Times New Roman" w:eastAsia="Calibri" w:hAnsi="Times New Roman" w:cs="Times New Roman"/>
          <w:color w:val="000000"/>
          <w:kern w:val="0"/>
          <w:lang w:eastAsia="hu-HU"/>
          <w14:ligatures w14:val="none"/>
        </w:rPr>
        <w:t xml:space="preserve"> </w:t>
      </w:r>
      <w:r w:rsidRPr="0043030C">
        <w:rPr>
          <w:rFonts w:ascii="Times New Roman" w:eastAsia="Calibri" w:hAnsi="Times New Roman" w:cs="Times New Roman"/>
          <w:color w:val="000000"/>
          <w:kern w:val="0"/>
          <w14:ligatures w14:val="none"/>
        </w:rPr>
        <w:t>(100 mg/nap), amelyet egy héttel később naponta kétszer 100 mg-os</w:t>
      </w:r>
      <w:r w:rsidRPr="0043030C">
        <w:rPr>
          <w:rFonts w:ascii="Times New Roman" w:eastAsia="Calibri" w:hAnsi="Times New Roman" w:cs="Times New Roman"/>
          <w:color w:val="000000"/>
          <w:kern w:val="0"/>
          <w:lang w:eastAsia="hu-HU"/>
          <w14:ligatures w14:val="none"/>
        </w:rPr>
        <w:t xml:space="preserve"> </w:t>
      </w:r>
      <w:r w:rsidRPr="0043030C">
        <w:rPr>
          <w:rFonts w:ascii="Times New Roman" w:eastAsia="Calibri" w:hAnsi="Times New Roman" w:cs="Times New Roman"/>
          <w:color w:val="000000"/>
          <w:kern w:val="0"/>
          <w14:ligatures w14:val="none"/>
        </w:rPr>
        <w:t>(200 mg/nap) kezdő terápiás dózisra kell emelni.</w:t>
      </w:r>
    </w:p>
    <w:p w14:paraId="5DFC83FD"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lakozamid-kezelés naponta kétszer 100 mg-os</w:t>
      </w:r>
      <w:r w:rsidRPr="0043030C">
        <w:rPr>
          <w:rFonts w:ascii="Times New Roman" w:eastAsia="Calibri" w:hAnsi="Times New Roman" w:cs="Times New Roman"/>
          <w:color w:val="000000"/>
          <w:kern w:val="0"/>
          <w:lang w:eastAsia="hu-HU"/>
          <w14:ligatures w14:val="none"/>
        </w:rPr>
        <w:t xml:space="preserve"> </w:t>
      </w:r>
      <w:r w:rsidRPr="0043030C">
        <w:rPr>
          <w:rFonts w:ascii="Times New Roman" w:eastAsia="Calibri" w:hAnsi="Times New Roman" w:cs="Times New Roman"/>
          <w:color w:val="000000"/>
          <w:kern w:val="0"/>
          <w14:ligatures w14:val="none"/>
        </w:rPr>
        <w:t>(200 mg/nap) kezdő dózissal is elindítható, a görcsrohamok csökkentésének szükségessége és a lehetséges mellékhatások figyelembevételével végzett orvosi mérlegelés alapján.</w:t>
      </w:r>
    </w:p>
    <w:p w14:paraId="3B606FBB"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válaszreakciótól és a toleranciától függően a fenntartó dózis minden héten tovább emelhető naponta kétszer 50 mg-mal (100 mg/nap), a naponta kétszer 300 mg maximális ajánlott dózis (600 mg/nap) eléréséig.</w:t>
      </w:r>
    </w:p>
    <w:p w14:paraId="7DAB2535"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Azoknál a betegeknél, akik elérték a napi kétszeri 200 mg-nál (400 mg/nap) nagyobb dózist, és további antiepileptikus gyógyszer adása szükséges, az alábbi, adjuváns terápiára vonatkozó adagolási ajánlást kell követni.</w:t>
      </w:r>
    </w:p>
    <w:p w14:paraId="29BF5F0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2DACBA3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i/>
          <w:iCs/>
          <w:color w:val="000000"/>
          <w:kern w:val="0"/>
          <w14:ligatures w14:val="none"/>
        </w:rPr>
        <w:t>Adjuváns terápia (a parciális görcsrohamok vagy az elsődleges generalizált tónusos-klónusos görcsrohamok kezelésére)</w:t>
      </w:r>
    </w:p>
    <w:p w14:paraId="567014A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javasolt kezdő dózis naponta kétszer 50 mg (100 mg/nap), amelyet egy héttel később naponta kétszer 100 mg-os</w:t>
      </w:r>
      <w:r w:rsidRPr="0043030C">
        <w:rPr>
          <w:rFonts w:ascii="Times New Roman" w:eastAsia="Calibri" w:hAnsi="Times New Roman" w:cs="Times New Roman"/>
          <w:color w:val="000000"/>
          <w:kern w:val="0"/>
          <w:lang w:eastAsia="hu-HU"/>
          <w14:ligatures w14:val="none"/>
        </w:rPr>
        <w:t xml:space="preserve"> </w:t>
      </w:r>
      <w:r w:rsidRPr="0043030C">
        <w:rPr>
          <w:rFonts w:ascii="Times New Roman" w:eastAsia="Calibri" w:hAnsi="Times New Roman" w:cs="Times New Roman"/>
          <w:color w:val="000000"/>
          <w:kern w:val="0"/>
          <w14:ligatures w14:val="none"/>
        </w:rPr>
        <w:t>(200 mg/nap) kezdő terápiás dózisra kell emelni.</w:t>
      </w:r>
    </w:p>
    <w:p w14:paraId="24D4907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válaszreakciótól és a toleranciától függően a fenntartó dózis hetenként naponta kétszer 50 mg-mal (100 mg/nap) tovább emelhető, a napi kétszeri 200 mg-os (400 mg/nap) maximális ajánlott dózis eléréséig.</w:t>
      </w:r>
    </w:p>
    <w:p w14:paraId="09B6607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349ED8FF" w14:textId="77777777" w:rsidR="0043030C" w:rsidRPr="0043030C" w:rsidRDefault="0043030C" w:rsidP="0043030C">
      <w:pPr>
        <w:keepNext/>
        <w:autoSpaceDE w:val="0"/>
        <w:autoSpaceDN w:val="0"/>
        <w:adjustRightInd w:val="0"/>
        <w:spacing w:after="0" w:line="240" w:lineRule="auto"/>
        <w:rPr>
          <w:rFonts w:ascii="Times New Roman" w:eastAsia="Calibri" w:hAnsi="Times New Roman" w:cs="Times New Roman"/>
          <w:i/>
          <w:iCs/>
          <w:color w:val="000000"/>
          <w:kern w:val="0"/>
          <w:u w:val="single"/>
          <w14:ligatures w14:val="none"/>
        </w:rPr>
      </w:pPr>
      <w:r w:rsidRPr="0043030C">
        <w:rPr>
          <w:rFonts w:ascii="Times New Roman" w:eastAsia="Calibri" w:hAnsi="Times New Roman" w:cs="Times New Roman"/>
          <w:i/>
          <w:iCs/>
          <w:color w:val="000000"/>
          <w:kern w:val="0"/>
          <w:u w:val="single"/>
          <w14:ligatures w14:val="none"/>
        </w:rPr>
        <w:lastRenderedPageBreak/>
        <w:t>2 éves és annál idősebb gyermekek és 50 kg-nál kisebb testtömegű serdülők</w:t>
      </w:r>
    </w:p>
    <w:p w14:paraId="4CF77179" w14:textId="77777777" w:rsidR="0043030C" w:rsidRPr="0043030C" w:rsidRDefault="0043030C" w:rsidP="0043030C">
      <w:pPr>
        <w:keepNext/>
        <w:autoSpaceDE w:val="0"/>
        <w:autoSpaceDN w:val="0"/>
        <w:adjustRightInd w:val="0"/>
        <w:spacing w:after="0" w:line="240" w:lineRule="auto"/>
        <w:rPr>
          <w:rFonts w:ascii="Times New Roman" w:eastAsia="Calibri" w:hAnsi="Times New Roman" w:cs="Times New Roman"/>
          <w:color w:val="000000"/>
          <w:kern w:val="0"/>
          <w:u w:val="single"/>
          <w14:ligatures w14:val="none"/>
        </w:rPr>
      </w:pPr>
    </w:p>
    <w:p w14:paraId="2C9206AF" w14:textId="21981E44" w:rsidR="007F31E7" w:rsidRPr="0043030C" w:rsidRDefault="0043030C" w:rsidP="007F31E7">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 xml:space="preserve">A dózis a testtömeg alapján kerül meghatározásra. </w:t>
      </w:r>
      <w:r w:rsidR="00DB2212">
        <w:rPr>
          <w:rFonts w:ascii="Times New Roman" w:eastAsia="Calibri" w:hAnsi="Times New Roman" w:cs="Times New Roman"/>
          <w:color w:val="000000"/>
          <w:kern w:val="0"/>
          <w14:ligatures w14:val="none"/>
        </w:rPr>
        <w:t>E</w:t>
      </w:r>
      <w:r w:rsidRPr="0043030C">
        <w:rPr>
          <w:rFonts w:ascii="Times New Roman" w:eastAsia="Calibri" w:hAnsi="Times New Roman" w:cs="Times New Roman"/>
          <w:color w:val="000000"/>
          <w:kern w:val="0"/>
          <w14:ligatures w14:val="none"/>
        </w:rPr>
        <w:t xml:space="preserve">zért a kezelést ajánlott sziruppal elkezdeni és amennyiben szükséges, tablettára áttérni. A szirup gyógyszerforma felírásakor a dózist </w:t>
      </w:r>
      <w:r w:rsidR="007F31E7" w:rsidRPr="0043030C">
        <w:rPr>
          <w:rFonts w:ascii="Times New Roman" w:eastAsia="Calibri" w:hAnsi="Times New Roman" w:cs="Times New Roman"/>
          <w:color w:val="000000"/>
          <w:kern w:val="0"/>
          <w14:ligatures w14:val="none"/>
        </w:rPr>
        <w:t>térfogatban (ml) kell meghatározni</w:t>
      </w:r>
      <w:r w:rsidR="007F31E7">
        <w:rPr>
          <w:rFonts w:ascii="Times New Roman" w:eastAsia="Calibri" w:hAnsi="Times New Roman" w:cs="Times New Roman"/>
          <w:color w:val="000000"/>
          <w:kern w:val="0"/>
          <w14:ligatures w14:val="none"/>
        </w:rPr>
        <w:t xml:space="preserve">, </w:t>
      </w:r>
      <w:r w:rsidR="007F31E7" w:rsidRPr="007F31E7">
        <w:rPr>
          <w:rFonts w:ascii="Times New Roman" w:eastAsia="Calibri" w:hAnsi="Times New Roman" w:cs="Times New Roman"/>
          <w:color w:val="000000"/>
          <w:kern w:val="0"/>
          <w14:ligatures w14:val="none"/>
        </w:rPr>
        <w:t>tömeg (mg) helyett</w:t>
      </w:r>
      <w:r w:rsidR="007F31E7">
        <w:rPr>
          <w:rFonts w:ascii="Times New Roman" w:eastAsia="Calibri" w:hAnsi="Times New Roman" w:cs="Times New Roman"/>
          <w:color w:val="000000"/>
          <w:kern w:val="0"/>
          <w14:ligatures w14:val="none"/>
        </w:rPr>
        <w:t>.</w:t>
      </w:r>
    </w:p>
    <w:p w14:paraId="7A85CA3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79AC07BB"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i/>
          <w:iCs/>
          <w:color w:val="000000"/>
          <w:kern w:val="0"/>
          <w14:ligatures w14:val="none"/>
        </w:rPr>
        <w:t>Monoterápia (parciális görcsrohamok kezelésében)</w:t>
      </w:r>
    </w:p>
    <w:p w14:paraId="57B18A17"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Az ajánlott kezdő dózis 1 mg/ttkg naponta kétszer (2 mg/ttkg/nap), amelyet egy hét elteltével napi kétszeri 2 mg/ttkg (4 mg/ttkg/nap) kezdeti terápiás dózisra kell emelni.</w:t>
      </w:r>
    </w:p>
    <w:p w14:paraId="510B899E" w14:textId="430513C6"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 xml:space="preserve">A kezelésre adott választól és a toleranciától függően a fenntartó dózis minden héten tovább emelhető napi kétszer 1 mg/ttkg-mal (2 mg/ttkg/nap). A dózist fokozatosan kell emelni az optimális válaszreakció eléréséig. A legkisebb hatásos dózis alkalmazandó. A 10 kg </w:t>
      </w:r>
      <w:r w:rsidR="000772E6" w:rsidRPr="003050B8">
        <w:rPr>
          <w:rFonts w:ascii="Times New Roman" w:eastAsia="Calibri" w:hAnsi="Times New Roman" w:cs="Times New Roman"/>
          <w:color w:val="000000"/>
          <w:kern w:val="0"/>
          <w:lang w:eastAsia="hu-HU"/>
          <w14:ligatures w14:val="none"/>
        </w:rPr>
        <w:t>és</w:t>
      </w:r>
      <w:r w:rsidRPr="0043030C">
        <w:rPr>
          <w:rFonts w:ascii="Times New Roman" w:eastAsia="Calibri" w:hAnsi="Times New Roman" w:cs="Times New Roman"/>
          <w:color w:val="000000"/>
          <w:kern w:val="0"/>
          <w14:ligatures w14:val="none"/>
        </w:rPr>
        <w:t xml:space="preserve"> </w:t>
      </w:r>
      <w:r w:rsidR="00307E02">
        <w:rPr>
          <w:rFonts w:ascii="Times New Roman" w:eastAsia="Calibri" w:hAnsi="Times New Roman" w:cs="Times New Roman"/>
          <w:color w:val="000000"/>
          <w:kern w:val="0"/>
          <w:lang w:eastAsia="hu-HU"/>
          <w14:ligatures w14:val="none"/>
        </w:rPr>
        <w:t>kevesebb mint</w:t>
      </w:r>
      <w:r w:rsidRPr="0043030C">
        <w:rPr>
          <w:rFonts w:ascii="Times New Roman" w:eastAsia="Calibri" w:hAnsi="Times New Roman" w:cs="Times New Roman"/>
          <w:color w:val="000000"/>
          <w:kern w:val="0"/>
          <w:sz w:val="24"/>
          <w:szCs w:val="24"/>
          <w:lang w:eastAsia="hu-HU"/>
          <w14:ligatures w14:val="none"/>
        </w:rPr>
        <w:t> </w:t>
      </w:r>
      <w:r w:rsidRPr="0043030C">
        <w:rPr>
          <w:rFonts w:ascii="Times New Roman" w:eastAsia="Calibri" w:hAnsi="Times New Roman" w:cs="Times New Roman"/>
          <w:color w:val="000000"/>
          <w:kern w:val="0"/>
          <w14:ligatures w14:val="none"/>
        </w:rPr>
        <w:t xml:space="preserve">40 kg </w:t>
      </w:r>
      <w:r w:rsidR="00307E02">
        <w:rPr>
          <w:rFonts w:ascii="Times New Roman" w:eastAsia="Calibri" w:hAnsi="Times New Roman" w:cs="Times New Roman"/>
          <w:color w:val="000000"/>
          <w:kern w:val="0"/>
          <w14:ligatures w14:val="none"/>
        </w:rPr>
        <w:t xml:space="preserve">közötti </w:t>
      </w:r>
      <w:r w:rsidRPr="0043030C">
        <w:rPr>
          <w:rFonts w:ascii="Times New Roman" w:eastAsia="Calibri" w:hAnsi="Times New Roman" w:cs="Times New Roman"/>
          <w:color w:val="000000"/>
          <w:kern w:val="0"/>
          <w14:ligatures w14:val="none"/>
        </w:rPr>
        <w:t>testtömegű gyermekek esetében az ajánlott maximális dózis legfeljebb napi kétszer 6 mg/ttkg (12 mg/ttkg/nap). A 40 kg</w:t>
      </w:r>
      <w:r w:rsidR="005D4D14">
        <w:rPr>
          <w:rFonts w:ascii="Times New Roman" w:eastAsia="Calibri" w:hAnsi="Times New Roman" w:cs="Times New Roman"/>
          <w:color w:val="000000"/>
          <w:kern w:val="0"/>
          <w:sz w:val="24"/>
          <w:szCs w:val="24"/>
          <w:lang w:eastAsia="hu-HU"/>
          <w14:ligatures w14:val="none"/>
        </w:rPr>
        <w:t xml:space="preserve"> </w:t>
      </w:r>
      <w:r w:rsidR="005D4D14" w:rsidRPr="003050B8">
        <w:rPr>
          <w:rFonts w:ascii="Times New Roman" w:eastAsia="Calibri" w:hAnsi="Times New Roman" w:cs="Times New Roman"/>
          <w:color w:val="000000"/>
          <w:kern w:val="0"/>
          <w:lang w:eastAsia="hu-HU"/>
          <w14:ligatures w14:val="none"/>
        </w:rPr>
        <w:t>és keve</w:t>
      </w:r>
      <w:r w:rsidR="005D4D14">
        <w:rPr>
          <w:rFonts w:ascii="Times New Roman" w:eastAsia="Calibri" w:hAnsi="Times New Roman" w:cs="Times New Roman"/>
          <w:color w:val="000000"/>
          <w:kern w:val="0"/>
          <w:lang w:eastAsia="hu-HU"/>
          <w14:ligatures w14:val="none"/>
        </w:rPr>
        <w:t>sebb mint</w:t>
      </w:r>
      <w:r w:rsidR="005D4D14">
        <w:rPr>
          <w:rFonts w:ascii="Times New Roman" w:eastAsia="Calibri" w:hAnsi="Times New Roman" w:cs="Times New Roman"/>
          <w:color w:val="000000"/>
          <w:kern w:val="0"/>
          <w:sz w:val="24"/>
          <w:szCs w:val="24"/>
          <w:lang w:eastAsia="hu-HU"/>
          <w14:ligatures w14:val="none"/>
        </w:rPr>
        <w:t xml:space="preserve"> </w:t>
      </w:r>
      <w:r w:rsidRPr="0043030C">
        <w:rPr>
          <w:rFonts w:ascii="Times New Roman" w:eastAsia="Calibri" w:hAnsi="Times New Roman" w:cs="Times New Roman"/>
          <w:color w:val="000000"/>
          <w:kern w:val="0"/>
          <w14:ligatures w14:val="none"/>
        </w:rPr>
        <w:t xml:space="preserve">50 kg </w:t>
      </w:r>
      <w:r w:rsidR="005D4D14">
        <w:rPr>
          <w:rFonts w:ascii="Times New Roman" w:eastAsia="Calibri" w:hAnsi="Times New Roman" w:cs="Times New Roman"/>
          <w:color w:val="000000"/>
          <w:kern w:val="0"/>
          <w14:ligatures w14:val="none"/>
        </w:rPr>
        <w:t xml:space="preserve">közötti </w:t>
      </w:r>
      <w:r w:rsidRPr="0043030C">
        <w:rPr>
          <w:rFonts w:ascii="Times New Roman" w:eastAsia="Calibri" w:hAnsi="Times New Roman" w:cs="Times New Roman"/>
          <w:color w:val="000000"/>
          <w:kern w:val="0"/>
          <w14:ligatures w14:val="none"/>
        </w:rPr>
        <w:t>testtömegű gyermekek esetében az ajánlott maximális dózis napi kétszer 5 mg/ttkg (10 mg/ttkg/nap).</w:t>
      </w:r>
    </w:p>
    <w:p w14:paraId="42AB5681"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4222601D"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i/>
          <w:iCs/>
          <w:color w:val="000000"/>
          <w:kern w:val="0"/>
          <w14:ligatures w14:val="none"/>
        </w:rPr>
        <w:t xml:space="preserve">Adjuváns terápia (elsődleges generalizált tónusos-klónusos görcsrohamok kezelésére 4 éves kortól, vagy parciális görcsrohamok kezelésére 2 éves kortól) </w:t>
      </w:r>
    </w:p>
    <w:p w14:paraId="3BCE1CCA" w14:textId="34D461FB"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javasolt kezdő dózis 1 mg/ttkg naponta kétszer (2 mg/ttkg/nap), amelyet egy hét után napi kétszer 2 mg/ttkg (4 mg/ttkg/nap) kezdeti terápiás dózisra kell emelni.</w:t>
      </w:r>
    </w:p>
    <w:p w14:paraId="6D334C91" w14:textId="3F553D90"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 xml:space="preserve">A válaszreakciótól és a toleranciától függően a fenntartó dózis minden héten tovább emelhető napi kétszer 1 mg/ttkg-mal (2 mg/ttkg/nap). A dózist fokozatosan kell beállítani az optimális válaszreakció eléréséig. A legkisebb hatásos dózist kell alkalmazni. A felnőttekéhez képest nagyobb clearance miatt </w:t>
      </w:r>
      <w:r w:rsidR="00DC5BC7">
        <w:rPr>
          <w:rFonts w:ascii="Times New Roman" w:eastAsia="Calibri" w:hAnsi="Times New Roman" w:cs="Times New Roman"/>
          <w:color w:val="000000"/>
          <w:kern w:val="0"/>
          <w14:ligatures w14:val="none"/>
        </w:rPr>
        <w:t xml:space="preserve">a </w:t>
      </w:r>
      <w:r w:rsidRPr="0043030C">
        <w:rPr>
          <w:rFonts w:ascii="Times New Roman" w:eastAsia="Calibri" w:hAnsi="Times New Roman" w:cs="Times New Roman"/>
          <w:color w:val="000000"/>
          <w:kern w:val="0"/>
          <w14:ligatures w14:val="none"/>
        </w:rPr>
        <w:t xml:space="preserve">10 kg </w:t>
      </w:r>
      <w:r w:rsidR="00DC5BC7" w:rsidRPr="003050B8">
        <w:rPr>
          <w:rFonts w:ascii="Times New Roman" w:eastAsia="Calibri" w:hAnsi="Times New Roman" w:cs="Times New Roman"/>
          <w:color w:val="000000"/>
          <w:kern w:val="0"/>
          <w:lang w:eastAsia="hu-HU"/>
          <w14:ligatures w14:val="none"/>
        </w:rPr>
        <w:t>és kevesebb mint</w:t>
      </w:r>
      <w:r w:rsidRPr="0043030C">
        <w:rPr>
          <w:rFonts w:ascii="Times New Roman" w:eastAsia="Calibri" w:hAnsi="Times New Roman" w:cs="Times New Roman"/>
          <w:color w:val="000000"/>
          <w:kern w:val="0"/>
          <w14:ligatures w14:val="none"/>
        </w:rPr>
        <w:t xml:space="preserve"> 20 kg </w:t>
      </w:r>
      <w:r w:rsidR="00DC5BC7">
        <w:rPr>
          <w:rFonts w:ascii="Times New Roman" w:eastAsia="Calibri" w:hAnsi="Times New Roman" w:cs="Times New Roman"/>
          <w:color w:val="000000"/>
          <w:kern w:val="0"/>
          <w14:ligatures w14:val="none"/>
        </w:rPr>
        <w:t xml:space="preserve">közötti </w:t>
      </w:r>
      <w:r w:rsidRPr="0043030C">
        <w:rPr>
          <w:rFonts w:ascii="Times New Roman" w:eastAsia="Calibri" w:hAnsi="Times New Roman" w:cs="Times New Roman"/>
          <w:color w:val="000000"/>
          <w:kern w:val="0"/>
          <w14:ligatures w14:val="none"/>
        </w:rPr>
        <w:t xml:space="preserve">testtömegű gyermekeknél napi kétszer 6 mg/ttkg (12 mg/ttkg/nap) maximális dózis ajánlott. </w:t>
      </w:r>
      <w:r w:rsidR="00E826CF">
        <w:rPr>
          <w:rFonts w:ascii="Times New Roman" w:eastAsia="Calibri" w:hAnsi="Times New Roman" w:cs="Times New Roman"/>
          <w:color w:val="000000"/>
          <w:kern w:val="0"/>
          <w14:ligatures w14:val="none"/>
        </w:rPr>
        <w:t xml:space="preserve">A </w:t>
      </w:r>
      <w:r w:rsidRPr="0043030C">
        <w:rPr>
          <w:rFonts w:ascii="Times New Roman" w:eastAsia="Calibri" w:hAnsi="Times New Roman" w:cs="Times New Roman"/>
          <w:color w:val="000000"/>
          <w:kern w:val="0"/>
          <w14:ligatures w14:val="none"/>
        </w:rPr>
        <w:t xml:space="preserve">20 kg </w:t>
      </w:r>
      <w:r w:rsidR="00E826CF">
        <w:rPr>
          <w:rFonts w:ascii="Times New Roman" w:eastAsia="Calibri" w:hAnsi="Times New Roman" w:cs="Times New Roman"/>
          <w:color w:val="000000"/>
          <w:kern w:val="0"/>
          <w14:ligatures w14:val="none"/>
        </w:rPr>
        <w:t>és kevesebb mint</w:t>
      </w:r>
      <w:r w:rsidRPr="0043030C">
        <w:rPr>
          <w:rFonts w:ascii="Times New Roman" w:eastAsia="Calibri" w:hAnsi="Times New Roman" w:cs="Times New Roman"/>
          <w:color w:val="000000"/>
          <w:kern w:val="0"/>
          <w14:ligatures w14:val="none"/>
        </w:rPr>
        <w:t xml:space="preserve"> 30 kg </w:t>
      </w:r>
      <w:r w:rsidR="00E826CF">
        <w:rPr>
          <w:rFonts w:ascii="Times New Roman" w:eastAsia="Calibri" w:hAnsi="Times New Roman" w:cs="Times New Roman"/>
          <w:color w:val="000000"/>
          <w:kern w:val="0"/>
          <w14:ligatures w14:val="none"/>
        </w:rPr>
        <w:t xml:space="preserve">közötti </w:t>
      </w:r>
      <w:r w:rsidRPr="0043030C">
        <w:rPr>
          <w:rFonts w:ascii="Times New Roman" w:eastAsia="Calibri" w:hAnsi="Times New Roman" w:cs="Times New Roman"/>
          <w:color w:val="000000"/>
          <w:kern w:val="0"/>
          <w14:ligatures w14:val="none"/>
        </w:rPr>
        <w:t xml:space="preserve">testtömegű gyermekeknél napi kétszeri 5 mg/ttkg (10 mg/ttkg/nap) maximális dózis ajánlott, és </w:t>
      </w:r>
      <w:r w:rsidR="00E826CF">
        <w:rPr>
          <w:rFonts w:ascii="Times New Roman" w:eastAsia="Calibri" w:hAnsi="Times New Roman" w:cs="Times New Roman"/>
          <w:color w:val="000000"/>
          <w:kern w:val="0"/>
          <w14:ligatures w14:val="none"/>
        </w:rPr>
        <w:t xml:space="preserve">a </w:t>
      </w:r>
      <w:r w:rsidRPr="0043030C">
        <w:rPr>
          <w:rFonts w:ascii="Times New Roman" w:eastAsia="Calibri" w:hAnsi="Times New Roman" w:cs="Times New Roman"/>
          <w:color w:val="000000"/>
          <w:kern w:val="0"/>
          <w14:ligatures w14:val="none"/>
        </w:rPr>
        <w:t xml:space="preserve">30 kg </w:t>
      </w:r>
      <w:r w:rsidR="00E826CF" w:rsidRPr="003050B8">
        <w:rPr>
          <w:rFonts w:ascii="Times New Roman" w:eastAsia="Calibri" w:hAnsi="Times New Roman" w:cs="Times New Roman"/>
          <w:color w:val="000000"/>
          <w:kern w:val="0"/>
          <w:lang w:eastAsia="hu-HU"/>
          <w14:ligatures w14:val="none"/>
        </w:rPr>
        <w:t>és kevesebb mint</w:t>
      </w:r>
      <w:r w:rsidRPr="0043030C">
        <w:rPr>
          <w:rFonts w:ascii="Times New Roman" w:eastAsia="Calibri" w:hAnsi="Times New Roman" w:cs="Times New Roman"/>
          <w:color w:val="000000"/>
          <w:kern w:val="0"/>
          <w14:ligatures w14:val="none"/>
        </w:rPr>
        <w:t xml:space="preserve"> 50 kg </w:t>
      </w:r>
      <w:r w:rsidR="00E826CF">
        <w:rPr>
          <w:rFonts w:ascii="Times New Roman" w:eastAsia="Calibri" w:hAnsi="Times New Roman" w:cs="Times New Roman"/>
          <w:color w:val="000000"/>
          <w:kern w:val="0"/>
          <w14:ligatures w14:val="none"/>
        </w:rPr>
        <w:t xml:space="preserve">közötti </w:t>
      </w:r>
      <w:r w:rsidRPr="0043030C">
        <w:rPr>
          <w:rFonts w:ascii="Times New Roman" w:eastAsia="Calibri" w:hAnsi="Times New Roman" w:cs="Times New Roman"/>
          <w:color w:val="000000"/>
          <w:kern w:val="0"/>
          <w14:ligatures w14:val="none"/>
        </w:rPr>
        <w:t>testtömegű gyermekeknél napi kétszer 4 mg/ttkg (8 mg/ttkg/nap) maximális dózis ajánlott, bár a nyílt elrendezésű vizsgálatokban (lásd 4.8 és 5.2 pont) ez utóbbi csoportból kisszámú gyermek esetében legfeljebb napi kétszer 6 mg/ttkg (12 mg/ttkg/nap) dózist alkalmaztak.</w:t>
      </w:r>
    </w:p>
    <w:p w14:paraId="640D590D"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6F1E23A8" w14:textId="5FFDE5A3"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i/>
          <w:iCs/>
          <w:color w:val="000000"/>
          <w:kern w:val="0"/>
          <w14:ligatures w14:val="none"/>
        </w:rPr>
        <w:t xml:space="preserve">A lakozamid-kezelés </w:t>
      </w:r>
      <w:r w:rsidR="00220CDF">
        <w:rPr>
          <w:rFonts w:ascii="Times New Roman" w:eastAsia="Calibri" w:hAnsi="Times New Roman" w:cs="Times New Roman"/>
          <w:i/>
          <w:iCs/>
          <w:color w:val="000000"/>
          <w:kern w:val="0"/>
          <w14:ligatures w14:val="none"/>
        </w:rPr>
        <w:t>meg</w:t>
      </w:r>
      <w:r w:rsidRPr="0043030C">
        <w:rPr>
          <w:rFonts w:ascii="Times New Roman" w:eastAsia="Calibri" w:hAnsi="Times New Roman" w:cs="Times New Roman"/>
          <w:i/>
          <w:iCs/>
          <w:color w:val="000000"/>
          <w:kern w:val="0"/>
          <w14:ligatures w14:val="none"/>
        </w:rPr>
        <w:t>kezdése telítő dózissal (kezdeti monoterápia vagy átállás monoterápiára a parciális görcsrohamok kezelése esetén, vagy adjuváns terápia a parciális görcsrohamok kezelése esetén, vagy adjuváns terápia az elsődleges generalizált tónusos-klónusos görcsrohamok kezelése esetén)</w:t>
      </w:r>
    </w:p>
    <w:p w14:paraId="724ADF5C"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 xml:space="preserve">Az 50 kg-os vagy annál nagyobb testtömegű gyermekeknél és serdülőknél, valamint felnőtteknél a lakozamid-kezelés elkezdhető egyetlen 200 mg-os telítő dózissal is, amelyet körülbelül 12 órával később naponta kétszer 100 mg-os (200 mg/nap) fenntartó adagolás követ. A válaszreakciótól és a toleranciától függően a dózis tovább módosítható a fent leírtak szerint. A telítő dózis alkalmazása olyan körülmények között kezdhető el, amikor az orvos úgy dönt, hogy a lakozamid dinamikus egyensúlyi állapotban mért plazmakoncentrációjának és terápiás hatásának gyors elérése indokolt. Ezt orvosi felügyelet mellett kell alkalmazni, figyelembe véve </w:t>
      </w:r>
      <w:r w:rsidRPr="0043030C">
        <w:rPr>
          <w:rFonts w:ascii="Times New Roman" w:eastAsia="Calibri" w:hAnsi="Times New Roman" w:cs="Times New Roman"/>
          <w:kern w:val="0"/>
          <w14:ligatures w14:val="none"/>
        </w:rPr>
        <w:t xml:space="preserve">a súlyos szívritmuszavar és </w:t>
      </w:r>
      <w:r w:rsidRPr="0043030C">
        <w:rPr>
          <w:rFonts w:ascii="Times New Roman" w:eastAsia="Calibri" w:hAnsi="Times New Roman" w:cs="Times New Roman"/>
          <w:color w:val="000000"/>
          <w:kern w:val="0"/>
          <w14:ligatures w14:val="none"/>
        </w:rPr>
        <w:t>a központi idegrendszeri mellékhatások előfordulási gyakoriságának esetleges megnövekedését (lásd 4.8 pont). A telítő dózis alkalmazását nem vizsgálták akut körülmények között, például status epilepticusban.</w:t>
      </w:r>
    </w:p>
    <w:p w14:paraId="3D67CC0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520AE8E8"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i/>
          <w:iCs/>
          <w:color w:val="000000"/>
          <w:kern w:val="0"/>
          <w14:ligatures w14:val="none"/>
        </w:rPr>
        <w:t>A kezelés leállítása</w:t>
      </w:r>
    </w:p>
    <w:p w14:paraId="0795E73F" w14:textId="7E6D57E9"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Amennyiben a lakozamid</w:t>
      </w:r>
      <w:r w:rsidR="009C7F4F">
        <w:rPr>
          <w:rFonts w:ascii="Times New Roman" w:eastAsia="Calibri" w:hAnsi="Times New Roman" w:cs="Times New Roman"/>
          <w:color w:val="000000"/>
          <w:kern w:val="0"/>
          <w14:ligatures w14:val="none"/>
        </w:rPr>
        <w:t>-kezelést</w:t>
      </w:r>
      <w:r w:rsidRPr="0043030C">
        <w:rPr>
          <w:rFonts w:ascii="Times New Roman" w:eastAsia="Calibri" w:hAnsi="Times New Roman" w:cs="Times New Roman"/>
          <w:color w:val="000000"/>
          <w:kern w:val="0"/>
          <w14:ligatures w14:val="none"/>
        </w:rPr>
        <w:t xml:space="preserve"> le kell állítani, ajánlatos ezt fokozatosan végezni, heti 4 mg/ttkg/nap (50 kg-nál kisebb testtömegű betegeknél) vagy 200 mg/nap (50 kg vagy </w:t>
      </w:r>
      <w:r w:rsidR="009C7F4F">
        <w:rPr>
          <w:rFonts w:ascii="Times New Roman" w:eastAsia="Calibri" w:hAnsi="Times New Roman" w:cs="Times New Roman"/>
          <w:color w:val="000000"/>
          <w:kern w:val="0"/>
          <w14:ligatures w14:val="none"/>
        </w:rPr>
        <w:t xml:space="preserve">annál </w:t>
      </w:r>
      <w:r w:rsidRPr="0043030C">
        <w:rPr>
          <w:rFonts w:ascii="Times New Roman" w:eastAsia="Calibri" w:hAnsi="Times New Roman" w:cs="Times New Roman"/>
          <w:color w:val="000000"/>
          <w:kern w:val="0"/>
          <w14:ligatures w14:val="none"/>
        </w:rPr>
        <w:t>nagyobb testtömegű betegeknél) lépésekben azoknál a betegeknél, akik elérték a ≥ 6 mg/ttkg/nap vagy a ≥ 300 mg/nap lakozamid-dózist. Heti 2 mg/ttkg/nap vagy 100 mg/nap lépésekben történő lass</w:t>
      </w:r>
      <w:r w:rsidR="009C7F4F">
        <w:rPr>
          <w:rFonts w:ascii="Times New Roman" w:eastAsia="Calibri" w:hAnsi="Times New Roman" w:cs="Times New Roman"/>
          <w:color w:val="000000"/>
          <w:kern w:val="0"/>
          <w14:ligatures w14:val="none"/>
        </w:rPr>
        <w:t>a</w:t>
      </w:r>
      <w:r w:rsidRPr="0043030C">
        <w:rPr>
          <w:rFonts w:ascii="Times New Roman" w:eastAsia="Calibri" w:hAnsi="Times New Roman" w:cs="Times New Roman"/>
          <w:color w:val="000000"/>
          <w:kern w:val="0"/>
          <w14:ligatures w14:val="none"/>
        </w:rPr>
        <w:t>bb csökkentés is megfontolható, orvo</w:t>
      </w:r>
      <w:r w:rsidR="00793DA1">
        <w:rPr>
          <w:rFonts w:ascii="Times New Roman" w:eastAsia="Calibri" w:hAnsi="Times New Roman" w:cs="Times New Roman"/>
          <w:color w:val="000000"/>
          <w:kern w:val="0"/>
          <w14:ligatures w14:val="none"/>
        </w:rPr>
        <w:t>s által indokolt esetben</w:t>
      </w:r>
      <w:r w:rsidRPr="0043030C">
        <w:rPr>
          <w:rFonts w:ascii="Times New Roman" w:eastAsia="Calibri" w:hAnsi="Times New Roman" w:cs="Times New Roman"/>
          <w:color w:val="000000"/>
          <w:kern w:val="0"/>
          <w14:ligatures w14:val="none"/>
        </w:rPr>
        <w:t>.</w:t>
      </w:r>
    </w:p>
    <w:p w14:paraId="1CD522FF"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Azoknál a betegeknél, akiknél súlyos szívritmusszavar jelentkezik, az előny/kockázat mérlegelése után, szükség esetén a lakozamid-kezelést le kell állítani.</w:t>
      </w:r>
    </w:p>
    <w:p w14:paraId="37AC529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68E8A53F" w14:textId="77777777" w:rsidR="0043030C" w:rsidRPr="0043030C" w:rsidRDefault="0043030C" w:rsidP="0043030C">
      <w:pPr>
        <w:keepNext/>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lastRenderedPageBreak/>
        <w:t>Különleges betegcsoportok</w:t>
      </w:r>
    </w:p>
    <w:p w14:paraId="4018458B" w14:textId="77777777" w:rsidR="0043030C" w:rsidRPr="0043030C" w:rsidRDefault="0043030C" w:rsidP="0043030C">
      <w:pPr>
        <w:keepNext/>
        <w:autoSpaceDE w:val="0"/>
        <w:autoSpaceDN w:val="0"/>
        <w:adjustRightInd w:val="0"/>
        <w:spacing w:after="0" w:line="240" w:lineRule="auto"/>
        <w:rPr>
          <w:rFonts w:ascii="Times New Roman" w:eastAsia="Calibri" w:hAnsi="Times New Roman" w:cs="Times New Roman"/>
          <w:color w:val="000000"/>
          <w:kern w:val="0"/>
          <w14:ligatures w14:val="none"/>
        </w:rPr>
      </w:pPr>
    </w:p>
    <w:p w14:paraId="7E30AF4C" w14:textId="77777777" w:rsidR="0043030C" w:rsidRPr="0043030C" w:rsidRDefault="0043030C" w:rsidP="0043030C">
      <w:pPr>
        <w:keepNext/>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i/>
          <w:iCs/>
          <w:color w:val="000000"/>
          <w:kern w:val="0"/>
          <w14:ligatures w14:val="none"/>
        </w:rPr>
        <w:t>Idősek (65 éves kor felett)</w:t>
      </w:r>
    </w:p>
    <w:p w14:paraId="2CC1F397" w14:textId="43D28A31"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Időseknél nincs szükség a dózis csökkentésére. Időseknél figyelembe kell venni az életkorral járó vese-clearance</w:t>
      </w:r>
      <w:r w:rsidR="00C74065">
        <w:rPr>
          <w:rFonts w:ascii="Times New Roman" w:eastAsia="Calibri" w:hAnsi="Times New Roman" w:cs="Times New Roman"/>
          <w:color w:val="000000"/>
          <w:kern w:val="0"/>
          <w14:ligatures w14:val="none"/>
        </w:rPr>
        <w:t>-</w:t>
      </w:r>
      <w:r w:rsidRPr="0043030C">
        <w:rPr>
          <w:rFonts w:ascii="Times New Roman" w:eastAsia="Calibri" w:hAnsi="Times New Roman" w:cs="Times New Roman"/>
          <w:color w:val="000000"/>
          <w:kern w:val="0"/>
          <w14:ligatures w14:val="none"/>
        </w:rPr>
        <w:t>csökkenést és az AUC-szintek emelkedését (lásd a következő, „Vesekárosodás” című bekezdést és az 5.2 pontot). Epilepsziában szenvedő időseknél, különösen napi 400 mg-ot meghaladó dózis alkalmazásakor, a lakozamiddal kapcsolatban csak korlátozottan állnak rendelkezésre klinikai adatok (lásd 4.4, 4.8 és 5.1 pont).</w:t>
      </w:r>
    </w:p>
    <w:p w14:paraId="27AAC0CC"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5CB31CE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i/>
          <w:iCs/>
          <w:color w:val="000000"/>
          <w:kern w:val="0"/>
          <w14:ligatures w14:val="none"/>
        </w:rPr>
        <w:t>Vesekárosodás</w:t>
      </w:r>
    </w:p>
    <w:p w14:paraId="5E6814F1" w14:textId="78F9364C"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Enyhe vagy közepesen súlyos fokú vesekárosodásban szenvedő felnőt</w:t>
      </w:r>
      <w:r w:rsidR="00C74065">
        <w:rPr>
          <w:rFonts w:ascii="Times New Roman" w:eastAsia="Calibri" w:hAnsi="Times New Roman" w:cs="Times New Roman"/>
          <w:color w:val="000000"/>
          <w:kern w:val="0"/>
          <w14:ligatures w14:val="none"/>
        </w:rPr>
        <w:t>teknél, gyermekeknél és serdülőknél</w:t>
      </w:r>
      <w:r w:rsidRPr="0043030C">
        <w:rPr>
          <w:rFonts w:ascii="Times New Roman" w:eastAsia="Calibri" w:hAnsi="Times New Roman" w:cs="Times New Roman"/>
          <w:color w:val="000000"/>
          <w:kern w:val="0"/>
          <w14:ligatures w14:val="none"/>
        </w:rPr>
        <w:t xml:space="preserve"> (kreatinin-clearance &gt; 30 ml/perc) nem szükséges a dózis módosítása. Enyhe vagy közepesen súlyos fokú vesekárosodásban szenvedő, 50 kg vagy annál nagyobb testtömegű </w:t>
      </w:r>
      <w:r w:rsidR="00C74065">
        <w:rPr>
          <w:rFonts w:ascii="Times New Roman" w:eastAsia="Calibri" w:hAnsi="Times New Roman" w:cs="Times New Roman"/>
          <w:color w:val="000000"/>
          <w:kern w:val="0"/>
          <w14:ligatures w14:val="none"/>
        </w:rPr>
        <w:t>gyermekeknél és serdülőknél</w:t>
      </w:r>
      <w:r w:rsidRPr="0043030C">
        <w:rPr>
          <w:rFonts w:ascii="Times New Roman" w:eastAsia="Calibri" w:hAnsi="Times New Roman" w:cs="Times New Roman"/>
          <w:color w:val="000000"/>
          <w:kern w:val="0"/>
          <w14:ligatures w14:val="none"/>
        </w:rPr>
        <w:t xml:space="preserve">, valamit felnőtt betegeknél megfontolható a 200 mg-os telítő dózis alkalmazása, de a dózis további emelését (&gt; 200 mg/nap) elővigyázatosan kell végezni. Az 50 kg vagy annál nagyobb testtömegű gyermek és serdülő, vagy felnőtt, súlyos fokú vesekárosodásban (kreatinin-clearance ≤ 30 ml/perc) vagy végstádiumú vesebetegségben szenvedő betegeknél az ajánlott maximális dózis napi 250 mg és a dózis emelését </w:t>
      </w:r>
      <w:r w:rsidR="002B066F">
        <w:rPr>
          <w:rFonts w:ascii="Times New Roman" w:eastAsia="Calibri" w:hAnsi="Times New Roman" w:cs="Times New Roman"/>
          <w:color w:val="000000"/>
          <w:kern w:val="0"/>
          <w14:ligatures w14:val="none"/>
        </w:rPr>
        <w:t>elővigyázatosan</w:t>
      </w:r>
      <w:r w:rsidRPr="0043030C">
        <w:rPr>
          <w:rFonts w:ascii="Times New Roman" w:eastAsia="Calibri" w:hAnsi="Times New Roman" w:cs="Times New Roman"/>
          <w:color w:val="000000"/>
          <w:kern w:val="0"/>
          <w14:ligatures w14:val="none"/>
        </w:rPr>
        <w:t xml:space="preserve"> kell végezni. Amennyiben telítő dózis javallott, a 100 mg-os kezdő dózist az első héten naponta kétszer 50 mg-os adagolással kell folytatni. Az 50 kg-nál kisebb testtömegű, súlyos vesekárosodásban (kreatinin-clearance </w:t>
      </w:r>
      <w:r w:rsidRPr="0043030C">
        <w:rPr>
          <w:rFonts w:ascii="Times New Roman" w:eastAsia="Times New Roman" w:hAnsi="Times New Roman" w:cs="Times New Roman"/>
          <w:color w:val="000000"/>
          <w:kern w:val="0"/>
          <w:lang w:eastAsia="de-DE"/>
          <w14:ligatures w14:val="none"/>
        </w:rPr>
        <w:t>≤ </w:t>
      </w:r>
      <w:r w:rsidRPr="0043030C">
        <w:rPr>
          <w:rFonts w:ascii="Times New Roman" w:eastAsia="Calibri" w:hAnsi="Times New Roman" w:cs="Times New Roman"/>
          <w:color w:val="000000"/>
          <w:kern w:val="0"/>
          <w14:ligatures w14:val="none"/>
        </w:rPr>
        <w:t>30 ml/perc) vagy végstádiumú vesebetegségben szenvedő gyermekeknél a maximális dózis 25%-os csökkentése javasolt. Minden olyan beteg esetében, akinek hemodialízisre van szüksé</w:t>
      </w:r>
      <w:r w:rsidR="002B066F">
        <w:rPr>
          <w:rFonts w:ascii="Times New Roman" w:eastAsia="Calibri" w:hAnsi="Times New Roman" w:cs="Times New Roman"/>
          <w:color w:val="000000"/>
          <w:kern w:val="0"/>
          <w14:ligatures w14:val="none"/>
        </w:rPr>
        <w:t>ge</w:t>
      </w:r>
      <w:r w:rsidRPr="0043030C">
        <w:rPr>
          <w:rFonts w:ascii="Times New Roman" w:eastAsia="Calibri" w:hAnsi="Times New Roman" w:cs="Times New Roman"/>
          <w:color w:val="000000"/>
          <w:kern w:val="0"/>
          <w14:ligatures w14:val="none"/>
        </w:rPr>
        <w:t>, a megosztott napi dózis legfeljebb 50%-ának megfelelő kiegészítő dózis alkalmazása ajánlott, közvetlenül a hemodialízis befejezését követően. A végstádiumú vesebetegségben szenvedő betegek kezelését elővigyázatossággal kell végezni, mivel kevés a klinikai tapasztalat egy (ismeretlen farmakológiai hatású) metabolit felhalmozódásával kapcsolatban.</w:t>
      </w:r>
    </w:p>
    <w:p w14:paraId="59F851A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2660F698"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i/>
          <w:iCs/>
          <w:color w:val="000000"/>
          <w:kern w:val="0"/>
          <w14:ligatures w14:val="none"/>
        </w:rPr>
        <w:t>Májkárosodás</w:t>
      </w:r>
    </w:p>
    <w:p w14:paraId="70E0DBE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Enyhe vagy közepesen súlyos fokú májkárosodásban szenvedő, 50 kg-os vagy annál nagyobb testtömegű gyermekeknél és serdülőknél, valamint felnőtt betegeknél az ajánlott maximális dózis napi 300 mg.</w:t>
      </w:r>
    </w:p>
    <w:p w14:paraId="7D6190C5" w14:textId="55ECC72B"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dózisemelést ezeknél a betegeknél elővigyázatosan kell végezni, figyelembe véve az egyidejűleg fennálló vesekárosodást. Serdülők és 50 kg-os vagy annál nagyobb testtömegű felnőttek esetén megfontolható a 200 mg-os telítő dózis alkalmazása, de a dózis további emelését (&gt; 200 mg/nap) körültekintően kell végezni. Felnőttek adatai alapján, az 50 kg-nál kisebb testtömegű, enyhe vagy közepesen súlyos fokú májkárosodásban szenvedő gyermek</w:t>
      </w:r>
      <w:r w:rsidR="00D5308B">
        <w:rPr>
          <w:rFonts w:ascii="Times New Roman" w:eastAsia="Calibri" w:hAnsi="Times New Roman" w:cs="Times New Roman"/>
          <w:color w:val="000000"/>
          <w:kern w:val="0"/>
          <w14:ligatures w14:val="none"/>
        </w:rPr>
        <w:t>eknél és serdülőknél</w:t>
      </w:r>
      <w:r w:rsidRPr="0043030C">
        <w:rPr>
          <w:rFonts w:ascii="Times New Roman" w:eastAsia="Calibri" w:hAnsi="Times New Roman" w:cs="Times New Roman"/>
          <w:color w:val="000000"/>
          <w:kern w:val="0"/>
          <w14:ligatures w14:val="none"/>
        </w:rPr>
        <w:t xml:space="preserve"> a maximális dózis 25%-os csökkentését kell alkalmazni. A lakozamid farmakokinetikáját súlyos fokú májkárosodásban szenvedő betegek esetében nem vizsgálták (lásd 5.2 pont). A lakozamid csak akkor adható súlyos fokú májkárosodásban szenvedő felnőtt</w:t>
      </w:r>
      <w:r w:rsidR="00D5308B">
        <w:rPr>
          <w:rFonts w:ascii="Times New Roman" w:eastAsia="Calibri" w:hAnsi="Times New Roman" w:cs="Times New Roman"/>
          <w:color w:val="000000"/>
          <w:kern w:val="0"/>
          <w14:ligatures w14:val="none"/>
        </w:rPr>
        <w:t xml:space="preserve">eknek, gyermekeknek és serdülőknek, </w:t>
      </w:r>
      <w:r w:rsidRPr="0043030C">
        <w:rPr>
          <w:rFonts w:ascii="Times New Roman" w:eastAsia="Calibri" w:hAnsi="Times New Roman" w:cs="Times New Roman"/>
          <w:color w:val="000000"/>
          <w:kern w:val="0"/>
          <w14:ligatures w14:val="none"/>
        </w:rPr>
        <w:t>ha a várható terápiás előny meghaladja a lehetséges kockázatot. Dózismódosításra lehet szükség, és a betegnél gondosan figyelni kell a betegség aktivitását és a lehetséges mellékhatásokat.</w:t>
      </w:r>
    </w:p>
    <w:p w14:paraId="22FBE40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3466DFBE"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Gyermekek és serdülők</w:t>
      </w:r>
    </w:p>
    <w:p w14:paraId="69A24CA5"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126340DE"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lakozamid alkalmazása nem ajánlott 4 évesnél fiatalabb gyermekeknél elsődleges generalizált tónusos-klónusos görcsrohamok kezelésére, és 2 évesnél fiatalabb gyermekeknél parciális görcsrohamok kezelésére, mivel ezeknél a korcsoportoknál csak korlátozottan állnak rendelkezésre biztonságossággal és hatásossággal kapcsolatos adatok.</w:t>
      </w:r>
    </w:p>
    <w:p w14:paraId="04BC3FD9"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44EA07F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i/>
          <w:iCs/>
          <w:color w:val="000000"/>
          <w:kern w:val="0"/>
          <w14:ligatures w14:val="none"/>
        </w:rPr>
        <w:t>Telítő dózis</w:t>
      </w:r>
    </w:p>
    <w:p w14:paraId="6140D8BC" w14:textId="77A1A0DF"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 xml:space="preserve">Telítő dózis alkalmazását gyermekeknél </w:t>
      </w:r>
      <w:r w:rsidR="00D5308B">
        <w:rPr>
          <w:rFonts w:ascii="Times New Roman" w:eastAsia="Calibri" w:hAnsi="Times New Roman" w:cs="Times New Roman"/>
          <w:color w:val="000000"/>
          <w:kern w:val="0"/>
          <w14:ligatures w14:val="none"/>
        </w:rPr>
        <w:t xml:space="preserve">és serdülőknél </w:t>
      </w:r>
      <w:r w:rsidRPr="0043030C">
        <w:rPr>
          <w:rFonts w:ascii="Times New Roman" w:eastAsia="Calibri" w:hAnsi="Times New Roman" w:cs="Times New Roman"/>
          <w:color w:val="000000"/>
          <w:kern w:val="0"/>
          <w14:ligatures w14:val="none"/>
        </w:rPr>
        <w:t xml:space="preserve">nem vizsgálták. 50 kg-nál kisebb testtömegű gyermekeknél </w:t>
      </w:r>
      <w:r w:rsidR="00D5308B">
        <w:rPr>
          <w:rFonts w:ascii="Times New Roman" w:eastAsia="Calibri" w:hAnsi="Times New Roman" w:cs="Times New Roman"/>
          <w:color w:val="000000"/>
          <w:kern w:val="0"/>
          <w14:ligatures w14:val="none"/>
        </w:rPr>
        <w:t xml:space="preserve">és serdülőknél </w:t>
      </w:r>
      <w:r w:rsidRPr="0043030C">
        <w:rPr>
          <w:rFonts w:ascii="Times New Roman" w:eastAsia="Calibri" w:hAnsi="Times New Roman" w:cs="Times New Roman"/>
          <w:color w:val="000000"/>
          <w:kern w:val="0"/>
          <w14:ligatures w14:val="none"/>
        </w:rPr>
        <w:t>a telítő dózis alkalmazása nem ajánlott.</w:t>
      </w:r>
    </w:p>
    <w:p w14:paraId="0FC7991D"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7749A7D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Az alkalmazás módja</w:t>
      </w:r>
    </w:p>
    <w:p w14:paraId="5FB855FE"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3DC7D35B" w14:textId="0EA58C91"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lakozamid filmtablett</w:t>
      </w:r>
      <w:r w:rsidR="00983499">
        <w:rPr>
          <w:rFonts w:ascii="Times New Roman" w:eastAsia="Calibri" w:hAnsi="Times New Roman" w:cs="Times New Roman"/>
          <w:color w:val="000000"/>
          <w:kern w:val="0"/>
          <w14:ligatures w14:val="none"/>
        </w:rPr>
        <w:t>át</w:t>
      </w:r>
      <w:r w:rsidRPr="0043030C">
        <w:rPr>
          <w:rFonts w:ascii="Times New Roman" w:eastAsia="Calibri" w:hAnsi="Times New Roman" w:cs="Times New Roman"/>
          <w:color w:val="000000"/>
          <w:kern w:val="0"/>
          <w14:ligatures w14:val="none"/>
        </w:rPr>
        <w:t xml:space="preserve"> szájon át kell bevenni. A lakozamid étkezés közben vagy étkezéstől függetlenül is bevehető.</w:t>
      </w:r>
    </w:p>
    <w:p w14:paraId="36041AFB"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568BEF9E"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b/>
          <w:bCs/>
          <w:color w:val="000000"/>
          <w:kern w:val="0"/>
          <w14:ligatures w14:val="none"/>
        </w:rPr>
      </w:pPr>
      <w:r w:rsidRPr="0043030C">
        <w:rPr>
          <w:rFonts w:ascii="Times New Roman" w:eastAsia="Calibri" w:hAnsi="Times New Roman" w:cs="Times New Roman"/>
          <w:b/>
          <w:bCs/>
          <w:color w:val="000000"/>
          <w:kern w:val="0"/>
          <w14:ligatures w14:val="none"/>
        </w:rPr>
        <w:t>4.3</w:t>
      </w:r>
      <w:r w:rsidRPr="0043030C">
        <w:rPr>
          <w:rFonts w:ascii="Times New Roman" w:eastAsia="Calibri" w:hAnsi="Times New Roman" w:cs="Times New Roman"/>
          <w:b/>
          <w:bCs/>
          <w:color w:val="000000"/>
          <w:kern w:val="0"/>
          <w14:ligatures w14:val="none"/>
        </w:rPr>
        <w:tab/>
        <w:t>Ellenjavallatok</w:t>
      </w:r>
    </w:p>
    <w:p w14:paraId="51745178"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p>
    <w:p w14:paraId="766656F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készítmény hatóanyagával vagy a 6.1 pontban felsorolt bármely segédanyagával szembeni túlérzékenység.</w:t>
      </w:r>
    </w:p>
    <w:p w14:paraId="4F230A8F"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0E58FF1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Ismert másod- vagy harmadfokú atrioventricularis (AV-) blokk.</w:t>
      </w:r>
    </w:p>
    <w:p w14:paraId="073E175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7411B76C"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b/>
          <w:bCs/>
          <w:color w:val="000000"/>
          <w:kern w:val="0"/>
          <w14:ligatures w14:val="none"/>
        </w:rPr>
      </w:pPr>
      <w:r w:rsidRPr="0043030C">
        <w:rPr>
          <w:rFonts w:ascii="Times New Roman" w:eastAsia="Calibri" w:hAnsi="Times New Roman" w:cs="Times New Roman"/>
          <w:b/>
          <w:bCs/>
          <w:color w:val="000000"/>
          <w:kern w:val="0"/>
          <w14:ligatures w14:val="none"/>
        </w:rPr>
        <w:t>4.4</w:t>
      </w:r>
      <w:r w:rsidRPr="0043030C">
        <w:rPr>
          <w:rFonts w:ascii="Times New Roman" w:eastAsia="Calibri" w:hAnsi="Times New Roman" w:cs="Times New Roman"/>
          <w:b/>
          <w:bCs/>
          <w:color w:val="000000"/>
          <w:kern w:val="0"/>
          <w14:ligatures w14:val="none"/>
        </w:rPr>
        <w:tab/>
        <w:t>Különleges figyelmeztetések és az alkalmazással kapcsolatos óvintézkedések</w:t>
      </w:r>
    </w:p>
    <w:p w14:paraId="66B69621"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p>
    <w:p w14:paraId="05AA5F69"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Öngyilkossági gondolatok és öngyilkos magatartás</w:t>
      </w:r>
    </w:p>
    <w:p w14:paraId="741AF670"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496D28D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Antiepilepsziás gyógyszerekkel különböző indikációkban kezelt betegeknél öngyilkossági gondolatokról és öngyilkos magatartásról számoltak be. Antiepilepsziás gyógyszerek randomizált, placebokontrollos vizsgálatainak metaanalízise is az öngyilkossági gondolatok és öngyilkos magatartás kismértékben emelkedett kockázatát mutatta ki. Ezen kockázat mechanizmusa nem ismert, és a rendelkezésre álló adatok nem zárják ki az emelkedett kockázat lehetőségét a lakozamid esetében.</w:t>
      </w:r>
    </w:p>
    <w:p w14:paraId="7BC4873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Ezért a betegeknél monitorozni kell az öngyilkossági gondolatok és az öngyilkos magatartás jeleit, és fontolóra kell venni a megfelelő kezelést. A betegek (és a betegek gondozóinak) figyelmét fel kell hívni arra, hogy kérjenek orvosi tanácsot, amennyiben öngyilkossági gondolatok vagy öngyilkos magatartás jelei jelennek meg (lásd 4.8 pont).</w:t>
      </w:r>
    </w:p>
    <w:p w14:paraId="3D840AEB"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0DA3AD38"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Szívritmus és ingerületvezetés</w:t>
      </w:r>
    </w:p>
    <w:p w14:paraId="5B38FAA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33F40905"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bookmarkStart w:id="1" w:name="_Hlk25325075"/>
      <w:r w:rsidRPr="0043030C">
        <w:rPr>
          <w:rFonts w:ascii="Times New Roman" w:eastAsia="Calibri" w:hAnsi="Times New Roman" w:cs="Times New Roman"/>
          <w:color w:val="000000"/>
          <w:kern w:val="0"/>
          <w14:ligatures w14:val="none"/>
        </w:rPr>
        <w:t>Klinikai vizsgálatokban azt tapasztalták, hogy a lakozamid a PR-intervallum dózisfüggő megnyúlását okozza. A lakozamidot elővigyázatossággal kell alkalmazni proarrhythmiás állapotú betegeknél, például akiknek ismerten szív ingerületvezetési zavarai vannak, vagy súlyos szívbetegségben (például myocardialis ischaemia/infarctus, szívelégtelenség, strukturális szívbetegség, a szív nátriumion-csatornáinak működési zavarai) szenvednek, vagy akiket a szív ingerületvezetését befolyásoló gyógyszerekkel kezelnek, ideértve az antiarrhythmiás gyógyszereket és a nátriumcsatorna-blokkoló antiepileptikus gyógyszereket is (lásd 4.5 pont), továbbá idős betegeknél.</w:t>
      </w:r>
    </w:p>
    <w:p w14:paraId="340ADB6F"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Ezeknél a betegeknél a lakozamid dózisának napi 400 mg fölé történő emelése előtt, és a lakozamid dinamikus egyensúlyi állapotának elérése után megfontolandó egy EKG-vizsgálat elvégzése.</w:t>
      </w:r>
    </w:p>
    <w:p w14:paraId="1F910A4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1A439D7C"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Az epilepsziás betegeknél lakozamiddal végzett, placebokontrollos vizsgálatokban nem jelentettek pitvarfibrillációt illetve pitvarlebegést; mindkettő előfordult azonban a nyílt elrendezésű epilepszia-vizsgálatokban és a forgalomba hozatal utáni tapasztalatok során.</w:t>
      </w:r>
    </w:p>
    <w:p w14:paraId="2EFD5C2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48C580FD"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forgalomba hozatalt követően AV-blokkot jelentettek (ideértve a másodfokú vagy súlyosabb AV-blokkot). Proarrhythmiás állapotú betegeknél ventricularis tachyarrhythmiáról számoltak be. Ritka esetekben ezek az események asystoléhez, szívmegálláshoz és halálhoz vezettek proarrhythmiás állapotú betegeknél.</w:t>
      </w:r>
    </w:p>
    <w:p w14:paraId="5BF2398F"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7697000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betegeket tájékoztatni kell a szívritmuszavar tüneteiről (pl. lassú, gyors vagy szabálytalan pulzus, szívdobogásérzés, légszomj, szédülés érzése, ájulás). A betegeknek azt kell tanácsolni, hogy azonnal forduljanak orvoshoz, ha ezek a tünetek jelentkeznek.</w:t>
      </w:r>
    </w:p>
    <w:bookmarkEnd w:id="1"/>
    <w:p w14:paraId="19E83D7F"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7D8BF2D8"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Szédülés</w:t>
      </w:r>
    </w:p>
    <w:p w14:paraId="7CF0542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2AD88C5F" w14:textId="000E4C6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 xml:space="preserve">Lakozamiddal végzett kezelés során szédülést tapasztaltak, ami növelheti az esetleges sérülések és az elesések előfordulását. Emiatt a betegeknek azt kell tanácsolni, hogy legyenek </w:t>
      </w:r>
      <w:r w:rsidR="00BF3995">
        <w:rPr>
          <w:rFonts w:ascii="Times New Roman" w:eastAsia="Calibri" w:hAnsi="Times New Roman" w:cs="Times New Roman"/>
          <w:color w:val="000000"/>
          <w:kern w:val="0"/>
          <w14:ligatures w14:val="none"/>
        </w:rPr>
        <w:t>elővigyázatosak</w:t>
      </w:r>
      <w:r w:rsidRPr="0043030C">
        <w:rPr>
          <w:rFonts w:ascii="Times New Roman" w:eastAsia="Calibri" w:hAnsi="Times New Roman" w:cs="Times New Roman"/>
          <w:color w:val="000000"/>
          <w:kern w:val="0"/>
          <w14:ligatures w14:val="none"/>
        </w:rPr>
        <w:t xml:space="preserve"> mindaddig, amíg meg nem ismerik a gyógyszer potenciális hatásait (lásd 4.8 pont).</w:t>
      </w:r>
    </w:p>
    <w:p w14:paraId="508DE14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6E07D5D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Mioklónusos görcsrohamok újonnan történő kialakulásának vagy rosszabbodásának lehetősége</w:t>
      </w:r>
    </w:p>
    <w:p w14:paraId="3DA3F878"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567FD93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 xml:space="preserve">Újonnan kialakult vagy rosszabbodó mioklónusos görcsrohamokról számoltak be olyan felnőtteknél, gyermekeknél és serdülőknél, akiknél az elsődleges generalizált tónusos-klónusos görcsrohamok </w:t>
      </w:r>
      <w:r w:rsidRPr="0043030C">
        <w:rPr>
          <w:rFonts w:ascii="Times New Roman" w:eastAsia="Calibri" w:hAnsi="Times New Roman" w:cs="Times New Roman"/>
          <w:color w:val="000000"/>
          <w:kern w:val="0"/>
          <w14:ligatures w14:val="none"/>
        </w:rPr>
        <w:lastRenderedPageBreak/>
        <w:t>(primary generalised tonic-clonic seizures – PGTCS) miatt kaptak kezelést, különösen a titrálás alatt. Az egynél több görcsrohamtípussal bíró betegek esetében mérlegelni kell az egyik görcsrohamtípus kontrollálásának előnyeit a többi típus megfigyelhető rosszabbodásával szemben.</w:t>
      </w:r>
    </w:p>
    <w:p w14:paraId="01BC6FEB"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351E3D8C"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Az elektro-klinikai romlás lehetősége specifikus gyermekgyógyászati epilepsziás szindrómákban</w:t>
      </w:r>
    </w:p>
    <w:p w14:paraId="642C000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0709C0B2" w14:textId="3F95C7F6"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lakozamid biztonságosságát és hatásosságát még nem vizsgálták olyan epilepszia</w:t>
      </w:r>
      <w:r w:rsidR="000F2B77">
        <w:rPr>
          <w:rFonts w:ascii="Times New Roman" w:eastAsia="Calibri" w:hAnsi="Times New Roman" w:cs="Times New Roman"/>
          <w:color w:val="000000"/>
          <w:kern w:val="0"/>
          <w14:ligatures w14:val="none"/>
        </w:rPr>
        <w:t xml:space="preserve"> </w:t>
      </w:r>
      <w:r w:rsidRPr="0043030C">
        <w:rPr>
          <w:rFonts w:ascii="Times New Roman" w:eastAsia="Calibri" w:hAnsi="Times New Roman" w:cs="Times New Roman"/>
          <w:color w:val="000000"/>
          <w:kern w:val="0"/>
          <w14:ligatures w14:val="none"/>
        </w:rPr>
        <w:t>szindrómákban szenvedő gyermek</w:t>
      </w:r>
      <w:r w:rsidR="000F2B77">
        <w:rPr>
          <w:rFonts w:ascii="Times New Roman" w:eastAsia="Calibri" w:hAnsi="Times New Roman" w:cs="Times New Roman"/>
          <w:color w:val="000000"/>
          <w:kern w:val="0"/>
          <w14:ligatures w14:val="none"/>
        </w:rPr>
        <w:t>eknél és serdülőknél</w:t>
      </w:r>
      <w:r w:rsidRPr="0043030C">
        <w:rPr>
          <w:rFonts w:ascii="Times New Roman" w:eastAsia="Calibri" w:hAnsi="Times New Roman" w:cs="Times New Roman"/>
          <w:color w:val="000000"/>
          <w:kern w:val="0"/>
          <w14:ligatures w14:val="none"/>
        </w:rPr>
        <w:t xml:space="preserve">, akiknél a fokális és </w:t>
      </w:r>
      <w:r w:rsidR="00336F37">
        <w:rPr>
          <w:rFonts w:ascii="Times New Roman" w:eastAsia="Calibri" w:hAnsi="Times New Roman" w:cs="Times New Roman"/>
          <w:color w:val="000000"/>
          <w:kern w:val="0"/>
          <w14:ligatures w14:val="none"/>
        </w:rPr>
        <w:t xml:space="preserve">a </w:t>
      </w:r>
      <w:r w:rsidRPr="0043030C">
        <w:rPr>
          <w:rFonts w:ascii="Times New Roman" w:eastAsia="Calibri" w:hAnsi="Times New Roman" w:cs="Times New Roman"/>
          <w:color w:val="000000"/>
          <w:kern w:val="0"/>
          <w14:ligatures w14:val="none"/>
        </w:rPr>
        <w:t>generalizált rohamok egyidejűleg lehetnek jelen.</w:t>
      </w:r>
    </w:p>
    <w:p w14:paraId="0253A81B"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5E64BFCA"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b/>
          <w:bCs/>
          <w:color w:val="000000"/>
          <w:kern w:val="0"/>
          <w14:ligatures w14:val="none"/>
        </w:rPr>
      </w:pPr>
      <w:r w:rsidRPr="0043030C">
        <w:rPr>
          <w:rFonts w:ascii="Times New Roman" w:eastAsia="Calibri" w:hAnsi="Times New Roman" w:cs="Times New Roman"/>
          <w:b/>
          <w:bCs/>
          <w:color w:val="000000"/>
          <w:kern w:val="0"/>
          <w14:ligatures w14:val="none"/>
        </w:rPr>
        <w:t>4.5</w:t>
      </w:r>
      <w:r w:rsidRPr="0043030C">
        <w:rPr>
          <w:rFonts w:ascii="Times New Roman" w:eastAsia="Calibri" w:hAnsi="Times New Roman" w:cs="Times New Roman"/>
          <w:b/>
          <w:bCs/>
          <w:color w:val="000000"/>
          <w:kern w:val="0"/>
          <w14:ligatures w14:val="none"/>
        </w:rPr>
        <w:tab/>
        <w:t>Gyógyszerkölcsönhatások és egyéb interakciók</w:t>
      </w:r>
    </w:p>
    <w:p w14:paraId="5A1E9A20"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p>
    <w:p w14:paraId="630BA420"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lakozamidot elővigyázatossággal kell alkalmazni azoknál a betegeknél, akiket olyan gyógyszerekkel kezelnek, amelyek ismerten kapcsolatba hozhatók a PR-szakasz-megnyúlással (ideértve a nátriumcsatorna-blokkoló antiepilektikumokat), valamint antiarrhythmiás gyógyszerekkel kezelt betegeknél. A klinikai vizsgálatok alcsoportelemzése azonban nem igazolta a PR-megnyúlás fokozott mértékét azoknál a betegeknél, akik egyidejűleg karbamazepint vagy lamotrigint kaptak.</w:t>
      </w:r>
    </w:p>
    <w:p w14:paraId="50A44C0C"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4A063BD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i/>
          <w:iCs/>
          <w:color w:val="000000"/>
          <w:kern w:val="0"/>
          <w:u w:val="single"/>
          <w14:ligatures w14:val="none"/>
        </w:rPr>
        <w:t xml:space="preserve">In vitro </w:t>
      </w:r>
      <w:r w:rsidRPr="0043030C">
        <w:rPr>
          <w:rFonts w:ascii="Times New Roman" w:eastAsia="Calibri" w:hAnsi="Times New Roman" w:cs="Times New Roman"/>
          <w:color w:val="000000"/>
          <w:kern w:val="0"/>
          <w:u w:val="single"/>
          <w14:ligatures w14:val="none"/>
        </w:rPr>
        <w:t>adatok</w:t>
      </w:r>
    </w:p>
    <w:p w14:paraId="6C321B31"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 xml:space="preserve">Az adatok általában arra utalnak, hogy a lakozamid kölcsönhatási potenciálja alacsony. </w:t>
      </w:r>
      <w:r w:rsidRPr="0043030C">
        <w:rPr>
          <w:rFonts w:ascii="Times New Roman" w:eastAsia="Calibri" w:hAnsi="Times New Roman" w:cs="Times New Roman"/>
          <w:i/>
          <w:iCs/>
          <w:color w:val="000000"/>
          <w:kern w:val="0"/>
          <w14:ligatures w14:val="none"/>
        </w:rPr>
        <w:t xml:space="preserve">In vitro </w:t>
      </w:r>
      <w:r w:rsidRPr="0043030C">
        <w:rPr>
          <w:rFonts w:ascii="Times New Roman" w:eastAsia="Calibri" w:hAnsi="Times New Roman" w:cs="Times New Roman"/>
          <w:color w:val="000000"/>
          <w:kern w:val="0"/>
          <w14:ligatures w14:val="none"/>
        </w:rPr>
        <w:t xml:space="preserve">vizsgálatok azt mutatják, hogy a lakozamid nem indukálja a CYP1A2, CYP2B6 és CYP2C9, és nem gátolja a CYP1A1, CYP1A2, CYP2A6, CYP2B6, CYP2C8, CYP2C9, CYP2D6 és CYP2E1 enzimeket a klinikai vizsgálatokban megfigyelt plazmakoncentrációkban. Egy </w:t>
      </w:r>
      <w:r w:rsidRPr="0043030C">
        <w:rPr>
          <w:rFonts w:ascii="Times New Roman" w:eastAsia="Calibri" w:hAnsi="Times New Roman" w:cs="Times New Roman"/>
          <w:i/>
          <w:iCs/>
          <w:color w:val="000000"/>
          <w:kern w:val="0"/>
          <w14:ligatures w14:val="none"/>
        </w:rPr>
        <w:t xml:space="preserve">in vitro </w:t>
      </w:r>
      <w:r w:rsidRPr="0043030C">
        <w:rPr>
          <w:rFonts w:ascii="Times New Roman" w:eastAsia="Calibri" w:hAnsi="Times New Roman" w:cs="Times New Roman"/>
          <w:color w:val="000000"/>
          <w:kern w:val="0"/>
          <w14:ligatures w14:val="none"/>
        </w:rPr>
        <w:t xml:space="preserve">vizsgálat arra utalt, hogy a bélben a lakozamidot nem szállítja a P-glükoprotein. </w:t>
      </w:r>
      <w:r w:rsidRPr="0043030C">
        <w:rPr>
          <w:rFonts w:ascii="Times New Roman" w:eastAsia="Calibri" w:hAnsi="Times New Roman" w:cs="Times New Roman"/>
          <w:i/>
          <w:iCs/>
          <w:color w:val="000000"/>
          <w:kern w:val="0"/>
          <w14:ligatures w14:val="none"/>
        </w:rPr>
        <w:t xml:space="preserve">In vitro </w:t>
      </w:r>
      <w:r w:rsidRPr="0043030C">
        <w:rPr>
          <w:rFonts w:ascii="Times New Roman" w:eastAsia="Calibri" w:hAnsi="Times New Roman" w:cs="Times New Roman"/>
          <w:color w:val="000000"/>
          <w:kern w:val="0"/>
          <w14:ligatures w14:val="none"/>
        </w:rPr>
        <w:t>adatok azt mutatják, hogy a CYP2C9, a CYP2C19 és a CYP3A4 katalizálni képes az O-dezmetil metabolit képződését.</w:t>
      </w:r>
    </w:p>
    <w:p w14:paraId="594A053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07B6BD5D"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i/>
          <w:iCs/>
          <w:color w:val="000000"/>
          <w:kern w:val="0"/>
          <w:u w:val="single"/>
          <w14:ligatures w14:val="none"/>
        </w:rPr>
        <w:t xml:space="preserve">In vivo </w:t>
      </w:r>
      <w:r w:rsidRPr="0043030C">
        <w:rPr>
          <w:rFonts w:ascii="Times New Roman" w:eastAsia="Calibri" w:hAnsi="Times New Roman" w:cs="Times New Roman"/>
          <w:color w:val="000000"/>
          <w:kern w:val="0"/>
          <w:u w:val="single"/>
          <w14:ligatures w14:val="none"/>
        </w:rPr>
        <w:t>adatok</w:t>
      </w:r>
    </w:p>
    <w:p w14:paraId="088B5CF9"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lakozamid nem gátolja és nem indukálja klinikailag jelentős mértékben a CYP2C19 és a CYP3A4 enzimet. A lakozamid (naponta kétszer 200 mg-os dózisban) nem befolyásolta a (CYP3A4 által metabolizált) midazolám AUC-értékét, de a midazolám C</w:t>
      </w:r>
      <w:r w:rsidRPr="0043030C">
        <w:rPr>
          <w:rFonts w:ascii="Times New Roman" w:eastAsia="Calibri" w:hAnsi="Times New Roman" w:cs="Times New Roman"/>
          <w:color w:val="000000"/>
          <w:kern w:val="0"/>
          <w:vertAlign w:val="subscript"/>
          <w14:ligatures w14:val="none"/>
        </w:rPr>
        <w:t>max</w:t>
      </w:r>
      <w:r w:rsidRPr="0043030C">
        <w:rPr>
          <w:rFonts w:ascii="Times New Roman" w:eastAsia="Calibri" w:hAnsi="Times New Roman" w:cs="Times New Roman"/>
          <w:color w:val="000000"/>
          <w:kern w:val="0"/>
          <w14:ligatures w14:val="none"/>
        </w:rPr>
        <w:t>-értéke enyhén (30%-kal) emelkedett. A lakozamid (naponta kétszer 300 mg-os dózisban) nem befolyásolta az (CYP2C19 és 3A4 által metabolizált) omeprazol farmakokinetikáját.</w:t>
      </w:r>
    </w:p>
    <w:p w14:paraId="657A7B2C"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CYP2C19-gátló omeprazol (40 mg-os napi egyszeri dózisban) nem okozott klinikailag jelentős változást a lakozamid-expozícióban. A CYP2C19 mérsékelt inhibitorai tehát valószínűleg nem befolyásolják klinikailag jelentős mértékben a szisztémás lakozamid-expozíciót.</w:t>
      </w:r>
    </w:p>
    <w:p w14:paraId="26D42219"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 xml:space="preserve">A CYP2C9 és a CYP3A4 erős inhibitoraival (pl. flukonazol, illetve itrakonazol, ketokonazol, ritonavir, klaritromicin) történő egyidejű kezelés esetén elővigyázatosság javasolt, mert ez a lakozamid szisztémás expozíciójának növekedéséhez vezethet. Az ilyen kölcsönhatásokat </w:t>
      </w:r>
      <w:r w:rsidRPr="0043030C">
        <w:rPr>
          <w:rFonts w:ascii="Times New Roman" w:eastAsia="Calibri" w:hAnsi="Times New Roman" w:cs="Times New Roman"/>
          <w:i/>
          <w:iCs/>
          <w:color w:val="000000"/>
          <w:kern w:val="0"/>
          <w14:ligatures w14:val="none"/>
        </w:rPr>
        <w:t xml:space="preserve">in vivo </w:t>
      </w:r>
      <w:r w:rsidRPr="0043030C">
        <w:rPr>
          <w:rFonts w:ascii="Times New Roman" w:eastAsia="Calibri" w:hAnsi="Times New Roman" w:cs="Times New Roman"/>
          <w:color w:val="000000"/>
          <w:kern w:val="0"/>
          <w14:ligatures w14:val="none"/>
        </w:rPr>
        <w:t xml:space="preserve">körülmények között nem bizonyították, de az </w:t>
      </w:r>
      <w:r w:rsidRPr="0043030C">
        <w:rPr>
          <w:rFonts w:ascii="Times New Roman" w:eastAsia="Calibri" w:hAnsi="Times New Roman" w:cs="Times New Roman"/>
          <w:i/>
          <w:iCs/>
          <w:color w:val="000000"/>
          <w:kern w:val="0"/>
          <w14:ligatures w14:val="none"/>
        </w:rPr>
        <w:t xml:space="preserve">in vitro </w:t>
      </w:r>
      <w:r w:rsidRPr="0043030C">
        <w:rPr>
          <w:rFonts w:ascii="Times New Roman" w:eastAsia="Calibri" w:hAnsi="Times New Roman" w:cs="Times New Roman"/>
          <w:color w:val="000000"/>
          <w:kern w:val="0"/>
          <w14:ligatures w14:val="none"/>
        </w:rPr>
        <w:t>adatok alapján valószínűnek tekinthetők.</w:t>
      </w:r>
    </w:p>
    <w:p w14:paraId="332CEE20"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5DB821AE"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 xml:space="preserve">Erős enziminduktorok, például a rifampicin vagy </w:t>
      </w:r>
      <w:r w:rsidRPr="008F58DD">
        <w:rPr>
          <w:rFonts w:ascii="Times New Roman" w:eastAsia="Calibri" w:hAnsi="Times New Roman" w:cs="Times New Roman"/>
          <w:color w:val="000000"/>
          <w:kern w:val="0"/>
          <w14:ligatures w14:val="none"/>
        </w:rPr>
        <w:t>a közönséges orbáncfű</w:t>
      </w:r>
      <w:r w:rsidRPr="0043030C">
        <w:rPr>
          <w:rFonts w:ascii="Times New Roman" w:eastAsia="Calibri" w:hAnsi="Times New Roman" w:cs="Times New Roman"/>
          <w:color w:val="000000"/>
          <w:kern w:val="0"/>
          <w14:ligatures w14:val="none"/>
        </w:rPr>
        <w:t xml:space="preserve"> </w:t>
      </w:r>
      <w:bookmarkStart w:id="2" w:name="_Hlk210076104"/>
      <w:r w:rsidRPr="0043030C">
        <w:rPr>
          <w:rFonts w:ascii="Times New Roman" w:eastAsia="Calibri" w:hAnsi="Times New Roman" w:cs="Times New Roman"/>
          <w:color w:val="000000"/>
          <w:kern w:val="0"/>
          <w14:ligatures w14:val="none"/>
        </w:rPr>
        <w:t>(</w:t>
      </w:r>
      <w:r w:rsidRPr="0043030C">
        <w:rPr>
          <w:rFonts w:ascii="Times New Roman" w:eastAsia="Calibri" w:hAnsi="Times New Roman" w:cs="Times New Roman"/>
          <w:i/>
          <w:iCs/>
          <w:color w:val="000000"/>
          <w:kern w:val="0"/>
          <w14:ligatures w14:val="none"/>
        </w:rPr>
        <w:t>Hypericum perforatum</w:t>
      </w:r>
      <w:r w:rsidRPr="0043030C">
        <w:rPr>
          <w:rFonts w:ascii="Times New Roman" w:eastAsia="Calibri" w:hAnsi="Times New Roman" w:cs="Times New Roman"/>
          <w:color w:val="000000"/>
          <w:kern w:val="0"/>
          <w14:ligatures w14:val="none"/>
        </w:rPr>
        <w:t xml:space="preserve">) </w:t>
      </w:r>
      <w:bookmarkEnd w:id="2"/>
      <w:r w:rsidRPr="0043030C">
        <w:rPr>
          <w:rFonts w:ascii="Times New Roman" w:eastAsia="Calibri" w:hAnsi="Times New Roman" w:cs="Times New Roman"/>
          <w:color w:val="000000"/>
          <w:kern w:val="0"/>
          <w14:ligatures w14:val="none"/>
        </w:rPr>
        <w:t>közepes mértékben csökkenthetik a szisztémás lakozamid-expozíciót. Emiatt az ezen enziminduktorokkal történő kezelést elővigyázatossággal kell elkezdeni és befejezni.</w:t>
      </w:r>
    </w:p>
    <w:p w14:paraId="7BF10B2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69464D3B" w14:textId="7024F937" w:rsidR="0043030C" w:rsidRPr="0043030C" w:rsidRDefault="0069401F"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Pr>
          <w:rFonts w:ascii="Times New Roman" w:eastAsia="Calibri" w:hAnsi="Times New Roman" w:cs="Times New Roman"/>
          <w:color w:val="000000"/>
          <w:kern w:val="0"/>
          <w:u w:val="single"/>
          <w14:ligatures w14:val="none"/>
        </w:rPr>
        <w:t>Antiepileptikumok</w:t>
      </w:r>
    </w:p>
    <w:p w14:paraId="490DBDC1"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p>
    <w:p w14:paraId="2F356F7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Interakciós vizsgálatokban a lakozamid nem befolyásolta jelentősen a karbamazepin és a valproinsav plazmakoncentrációit. A lakozamid plazmakoncentrációit nem befolyásolta a karbamazepin és a valproinsav. Egy különböző korcsoportokban elvégzett populációs farmakokinetikai analízis becslése szerint más, ismert enziminduktor hatású antiepilepsziás gyógyszerrel (karbamazepin, fenitoin, fenobarbitál, különböző dózisokban) való együttes kezelés 25%-kal csökkentette a teljes szisztémás lakozamid-expozíciót felnőtteknél, és 17%-kal gyermekeknél és serdülőknél.</w:t>
      </w:r>
    </w:p>
    <w:p w14:paraId="30027769"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69ABB3AF" w14:textId="77777777" w:rsidR="0043030C" w:rsidRPr="0043030C" w:rsidRDefault="0043030C" w:rsidP="00FF39A3">
      <w:pPr>
        <w:keepNext/>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lastRenderedPageBreak/>
        <w:t>Orális fogamzásgátlók</w:t>
      </w:r>
    </w:p>
    <w:p w14:paraId="7B1937C8" w14:textId="77777777" w:rsidR="0043030C" w:rsidRPr="0043030C" w:rsidRDefault="0043030C" w:rsidP="00FF39A3">
      <w:pPr>
        <w:keepNext/>
        <w:autoSpaceDE w:val="0"/>
        <w:autoSpaceDN w:val="0"/>
        <w:adjustRightInd w:val="0"/>
        <w:spacing w:after="0" w:line="240" w:lineRule="auto"/>
        <w:rPr>
          <w:rFonts w:ascii="Times New Roman" w:eastAsia="Calibri" w:hAnsi="Times New Roman" w:cs="Times New Roman"/>
          <w:color w:val="000000"/>
          <w:kern w:val="0"/>
          <w:u w:val="single"/>
          <w14:ligatures w14:val="none"/>
        </w:rPr>
      </w:pPr>
    </w:p>
    <w:p w14:paraId="117DF37D"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Egy interakciós vizsgálatban nem volt klinikailag jelentős kölcsönhatás a lakozamid és az etinilösztradiol és levonorgesztrel orális fogamzásgátlók között. A progeszteron koncentrációi nem változtak, amikor a gyógyszereket egyidejűleg alkalmazták.</w:t>
      </w:r>
    </w:p>
    <w:p w14:paraId="27F2B16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248C1EE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Egyéb</w:t>
      </w:r>
    </w:p>
    <w:p w14:paraId="2E8A21A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p>
    <w:p w14:paraId="043A54DF"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Interakciós vizsgálatok azt mutatták, hogy a lakozamid nem befolyásolta a digoxin farmakokinetikáját. Nem volt klinikailag jelentős interakció a lakozamid és a metformin között.</w:t>
      </w:r>
    </w:p>
    <w:p w14:paraId="4CD6A7E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Lakozamid és warfarin együttes alkalmazása nem eredményez klinikailag jelentős változást a warfarin farmakokinetikájában és farmakodinamikájában.</w:t>
      </w:r>
    </w:p>
    <w:p w14:paraId="61F35DC5" w14:textId="77777777" w:rsidR="0043030C" w:rsidRPr="0043030C" w:rsidRDefault="0043030C" w:rsidP="0043030C">
      <w:pPr>
        <w:spacing w:after="0" w:line="240" w:lineRule="auto"/>
        <w:rPr>
          <w:rFonts w:ascii="Times New Roman" w:eastAsia="Calibri" w:hAnsi="Times New Roman" w:cs="Times New Roman"/>
          <w:kern w:val="0"/>
          <w14:ligatures w14:val="none"/>
        </w:rPr>
      </w:pPr>
      <w:r w:rsidRPr="0043030C">
        <w:rPr>
          <w:rFonts w:ascii="Times New Roman" w:eastAsia="Calibri" w:hAnsi="Times New Roman" w:cs="Times New Roman"/>
          <w:kern w:val="0"/>
          <w14:ligatures w14:val="none"/>
        </w:rPr>
        <w:t>Annak ellenére, hogy a lakozamid és az alkohol kölcsönhatásáról nem állnak rendelkezésre farmakokinetikai adatok, a farmakodinámiás hatást nem lehet kizárni.</w:t>
      </w:r>
    </w:p>
    <w:p w14:paraId="50613225"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lakozamid fehérjekötődése alacsony, kisebb 15%-nál. Valószínűtlennek tekinthető tehát, hogy fehérjekötési helyekért történő versengés révén klinikailag jelentős kölcsönhatások lépnének fel más gyógyszerekkel.</w:t>
      </w:r>
    </w:p>
    <w:p w14:paraId="3BCD9EA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5A4BD451"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b/>
          <w:bCs/>
          <w:color w:val="000000"/>
          <w:kern w:val="0"/>
          <w14:ligatures w14:val="none"/>
        </w:rPr>
      </w:pPr>
      <w:r w:rsidRPr="0043030C">
        <w:rPr>
          <w:rFonts w:ascii="Times New Roman" w:eastAsia="Calibri" w:hAnsi="Times New Roman" w:cs="Times New Roman"/>
          <w:b/>
          <w:bCs/>
          <w:color w:val="000000"/>
          <w:kern w:val="0"/>
          <w14:ligatures w14:val="none"/>
        </w:rPr>
        <w:t>4.6</w:t>
      </w:r>
      <w:r w:rsidRPr="0043030C">
        <w:rPr>
          <w:rFonts w:ascii="Times New Roman" w:eastAsia="Calibri" w:hAnsi="Times New Roman" w:cs="Times New Roman"/>
          <w:b/>
          <w:bCs/>
          <w:color w:val="000000"/>
          <w:kern w:val="0"/>
          <w14:ligatures w14:val="none"/>
        </w:rPr>
        <w:tab/>
        <w:t>Termékenység, terhesség és szoptatás</w:t>
      </w:r>
    </w:p>
    <w:p w14:paraId="2A1CFFFE"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sz w:val="24"/>
          <w:szCs w:val="24"/>
          <w:u w:val="single"/>
          <w14:ligatures w14:val="none"/>
        </w:rPr>
      </w:pPr>
    </w:p>
    <w:p w14:paraId="3595819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Fogamzóképes nők</w:t>
      </w:r>
    </w:p>
    <w:p w14:paraId="4398B720"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54B60E7B"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Az orvosoknak meg kell beszélniük a családtervezést és a fogamzásgátlást a lakozamidot szedő fogamzóképes nőkkel (lásd Terhesség).</w:t>
      </w:r>
    </w:p>
    <w:p w14:paraId="675665F0"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Ha egy nő úgy dönt, hogy terhességet vállal, a lakozamid alkalmazását gondosan újra kell értékelni.</w:t>
      </w:r>
    </w:p>
    <w:p w14:paraId="78919F8C"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05A2A54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Terhesség</w:t>
      </w:r>
    </w:p>
    <w:p w14:paraId="4BAAC84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p>
    <w:p w14:paraId="71D2ADA0" w14:textId="55799A15" w:rsidR="0043030C" w:rsidRPr="0043030C" w:rsidRDefault="0043030C" w:rsidP="0043030C">
      <w:pPr>
        <w:autoSpaceDE w:val="0"/>
        <w:autoSpaceDN w:val="0"/>
        <w:adjustRightInd w:val="0"/>
        <w:spacing w:after="0" w:line="240" w:lineRule="auto"/>
        <w:rPr>
          <w:rFonts w:ascii="Times New Roman" w:eastAsia="Calibri" w:hAnsi="Times New Roman" w:cs="Times New Roman"/>
          <w:i/>
          <w:iCs/>
          <w:color w:val="000000"/>
          <w:kern w:val="0"/>
          <w14:ligatures w14:val="none"/>
        </w:rPr>
      </w:pPr>
      <w:r w:rsidRPr="0043030C">
        <w:rPr>
          <w:rFonts w:ascii="Times New Roman" w:eastAsia="Calibri" w:hAnsi="Times New Roman" w:cs="Times New Roman"/>
          <w:i/>
          <w:iCs/>
          <w:color w:val="000000"/>
          <w:kern w:val="0"/>
          <w14:ligatures w14:val="none"/>
        </w:rPr>
        <w:t xml:space="preserve">Általában az epilepsziával és az </w:t>
      </w:r>
      <w:r w:rsidR="0089313B">
        <w:rPr>
          <w:rFonts w:ascii="Times New Roman" w:eastAsia="Calibri" w:hAnsi="Times New Roman" w:cs="Times New Roman"/>
          <w:i/>
          <w:iCs/>
          <w:color w:val="000000"/>
          <w:kern w:val="0"/>
          <w14:ligatures w14:val="none"/>
        </w:rPr>
        <w:t>antiepileptikumokkal</w:t>
      </w:r>
      <w:r w:rsidRPr="0043030C">
        <w:rPr>
          <w:rFonts w:ascii="Times New Roman" w:eastAsia="Calibri" w:hAnsi="Times New Roman" w:cs="Times New Roman"/>
          <w:i/>
          <w:iCs/>
          <w:color w:val="000000"/>
          <w:kern w:val="0"/>
          <w14:ligatures w14:val="none"/>
        </w:rPr>
        <w:t xml:space="preserve"> kapcsolatos kockázat</w:t>
      </w:r>
    </w:p>
    <w:p w14:paraId="3A5BBECC" w14:textId="18985E68"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 xml:space="preserve">Valamennyi </w:t>
      </w:r>
      <w:r w:rsidR="0089313B">
        <w:rPr>
          <w:rFonts w:ascii="Times New Roman" w:eastAsia="Calibri" w:hAnsi="Times New Roman" w:cs="Times New Roman"/>
          <w:color w:val="000000"/>
          <w:kern w:val="0"/>
          <w14:ligatures w14:val="none"/>
        </w:rPr>
        <w:t>antiepileptikum</w:t>
      </w:r>
      <w:r w:rsidRPr="0043030C">
        <w:rPr>
          <w:rFonts w:ascii="Times New Roman" w:eastAsia="Calibri" w:hAnsi="Times New Roman" w:cs="Times New Roman"/>
          <w:color w:val="000000"/>
          <w:kern w:val="0"/>
          <w14:ligatures w14:val="none"/>
        </w:rPr>
        <w:t xml:space="preserve"> esetében kimutatták, hogy a kezelt epilepsziás nők gyermekeinél kétszer-háromszor nagyobb a fejlődési rendellenességek prevalenciája, mint az átlagos népességben megfigyelt, körülbelül 3%-os arány. A kezelt populációban a fejlődési rendellenességek növekedését figyelték meg politerápia esetén, nem tisztázott azonban, hogy ebben milyen mértékben játszik szerepet a kezelés</w:t>
      </w:r>
      <w:r w:rsidR="0089313B" w:rsidRPr="0089313B">
        <w:rPr>
          <w:rFonts w:ascii="Times New Roman" w:eastAsia="Calibri" w:hAnsi="Times New Roman" w:cs="Times New Roman"/>
          <w:color w:val="000000"/>
          <w:kern w:val="0"/>
          <w14:ligatures w14:val="none"/>
        </w:rPr>
        <w:t>, illetve</w:t>
      </w:r>
      <w:r w:rsidRPr="0043030C">
        <w:rPr>
          <w:rFonts w:ascii="Times New Roman" w:eastAsia="Calibri" w:hAnsi="Times New Roman" w:cs="Times New Roman"/>
          <w:color w:val="000000"/>
          <w:kern w:val="0"/>
          <w14:ligatures w14:val="none"/>
        </w:rPr>
        <w:t xml:space="preserve"> a betegség.</w:t>
      </w:r>
    </w:p>
    <w:p w14:paraId="6CB372B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Másfelől, a hatásos antiepilepsziás terápiát nem szabad megszakítani, mivel a betegség súlyosbodása mind az anyára, mind a magzatra nézve káros.</w:t>
      </w:r>
    </w:p>
    <w:p w14:paraId="3B4407A8"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3BE68E9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i/>
          <w:iCs/>
          <w:color w:val="000000"/>
          <w:kern w:val="0"/>
          <w14:ligatures w14:val="none"/>
        </w:rPr>
        <w:t>A lakozamiddal kapcsolatos kockázat</w:t>
      </w:r>
    </w:p>
    <w:p w14:paraId="16F86F60"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lakozamid terhes nőknél történő alkalmazására vonatkozóan nem állnak rendelkezésre megfelelő adatok. Az állatokkal végzett vizsgálatok nem utalnak teratogén hatásra patkányoknál és nyulaknál, de ezeknél az állatoknál az anyai toxikus dózisok esetében embriotoxicitást figyeltek meg (lásd 5.3 pont). Embernél a potenciális kockázat nem ismert.</w:t>
      </w:r>
    </w:p>
    <w:p w14:paraId="53D584C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lakozamidot a terhesség ideje alatt nem szabad alkalmazni, hacsak nem feltétlenül szükséges (ha a kezelés előnye az anyára nézve meghaladja a magzatra gyakorolt esetleges kockázatot). Ha egy nő úgy dönt, hogy terhességet vállal, a készítmény alkalmazását gondosan újra kell értékelni.</w:t>
      </w:r>
    </w:p>
    <w:p w14:paraId="41538409"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3BFD1A85"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Szoptatás</w:t>
      </w:r>
    </w:p>
    <w:p w14:paraId="77EF4491"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p>
    <w:p w14:paraId="3126703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lakozamid kiválasztódik az emberi anyatejbe. Az anyatejjel táplált újszülött/csecsemő vonatkozásában a kockázatot nem lehet kizárni. A lakozamiddal végzett kezelés ideje alatt szoptatást ajánlott abbahagyni.</w:t>
      </w:r>
    </w:p>
    <w:p w14:paraId="2AAC3D29"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2CB30A70"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Termékenység</w:t>
      </w:r>
    </w:p>
    <w:p w14:paraId="6BA43B88"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p>
    <w:p w14:paraId="168CD03D"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 xml:space="preserve">Nem észleltek mellékhatásokat a hím és nőstény patkányok termékenységére vagy reprodukciójára vonatkozóan olyan dózisok alkalmazásakor, amelyek az ajánlott maximális humán dózisok (maximum </w:t>
      </w:r>
      <w:r w:rsidRPr="0043030C">
        <w:rPr>
          <w:rFonts w:ascii="Times New Roman" w:eastAsia="Calibri" w:hAnsi="Times New Roman" w:cs="Times New Roman"/>
          <w:color w:val="000000"/>
          <w:kern w:val="0"/>
          <w14:ligatures w14:val="none"/>
        </w:rPr>
        <w:lastRenderedPageBreak/>
        <w:t>recommended human dose – MHRD) alkalmazásakor embereknél mért plazma AUC-érték körülbelül kétszeresének megfelelő plazmaexpozíciós értéket (AUC) eredményeztek.</w:t>
      </w:r>
    </w:p>
    <w:p w14:paraId="331D632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097131A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b/>
          <w:bCs/>
          <w:color w:val="000000"/>
          <w:kern w:val="0"/>
          <w14:ligatures w14:val="none"/>
        </w:rPr>
      </w:pPr>
      <w:r w:rsidRPr="0043030C">
        <w:rPr>
          <w:rFonts w:ascii="Times New Roman" w:eastAsia="Calibri" w:hAnsi="Times New Roman" w:cs="Times New Roman"/>
          <w:b/>
          <w:bCs/>
          <w:color w:val="000000"/>
          <w:kern w:val="0"/>
          <w14:ligatures w14:val="none"/>
        </w:rPr>
        <w:t>4.7</w:t>
      </w:r>
      <w:r w:rsidRPr="0043030C">
        <w:rPr>
          <w:rFonts w:ascii="Times New Roman" w:eastAsia="Calibri" w:hAnsi="Times New Roman" w:cs="Times New Roman"/>
          <w:b/>
          <w:bCs/>
          <w:color w:val="000000"/>
          <w:kern w:val="0"/>
          <w14:ligatures w14:val="none"/>
        </w:rPr>
        <w:tab/>
        <w:t>A készítmény hatásai a gépjárművezetéshez és a gépek kezeléséhez szükséges képességekre</w:t>
      </w:r>
    </w:p>
    <w:p w14:paraId="568A716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182DCD9F"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lakozamid kis vagy közepes mértékben befolyásolja a gépjárművezetéshez és a gépek kezeléséhez szükséges képességeket. A lakozamid-kezelés során szédülést vagy homályos látást észleltek.</w:t>
      </w:r>
    </w:p>
    <w:p w14:paraId="303605A2" w14:textId="7A88ADF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Ennek megfelelően a betegeket figyelmeztetni kell arra, hogy ne vezessenek gépjár</w:t>
      </w:r>
      <w:r w:rsidR="00E956A5">
        <w:rPr>
          <w:rFonts w:ascii="Times New Roman" w:eastAsia="Calibri" w:hAnsi="Times New Roman" w:cs="Times New Roman"/>
          <w:color w:val="000000"/>
          <w:kern w:val="0"/>
          <w14:ligatures w14:val="none"/>
        </w:rPr>
        <w:t>m</w:t>
      </w:r>
      <w:r w:rsidRPr="0043030C">
        <w:rPr>
          <w:rFonts w:ascii="Times New Roman" w:eastAsia="Calibri" w:hAnsi="Times New Roman" w:cs="Times New Roman"/>
          <w:color w:val="000000"/>
          <w:kern w:val="0"/>
          <w14:ligatures w14:val="none"/>
        </w:rPr>
        <w:t>űvet, és ne kezeljenek potenciálisan veszélyes gépeket mindaddig, amíg meg nem ismerik a lakozamid hatásait az ilyen tevékenységek végzéséhez szükséges képességeikre.</w:t>
      </w:r>
    </w:p>
    <w:p w14:paraId="2382EC8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70B88DE5"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b/>
          <w:bCs/>
          <w:color w:val="000000"/>
          <w:kern w:val="0"/>
          <w14:ligatures w14:val="none"/>
        </w:rPr>
      </w:pPr>
      <w:r w:rsidRPr="0043030C">
        <w:rPr>
          <w:rFonts w:ascii="Times New Roman" w:eastAsia="Calibri" w:hAnsi="Times New Roman" w:cs="Times New Roman"/>
          <w:b/>
          <w:bCs/>
          <w:color w:val="000000"/>
          <w:kern w:val="0"/>
          <w14:ligatures w14:val="none"/>
        </w:rPr>
        <w:t>4.8</w:t>
      </w:r>
      <w:r w:rsidRPr="0043030C">
        <w:rPr>
          <w:rFonts w:ascii="Times New Roman" w:eastAsia="Calibri" w:hAnsi="Times New Roman" w:cs="Times New Roman"/>
          <w:b/>
          <w:bCs/>
          <w:color w:val="000000"/>
          <w:kern w:val="0"/>
          <w14:ligatures w14:val="none"/>
        </w:rPr>
        <w:tab/>
        <w:t>Nemkívánatos hatások, mellékhatások</w:t>
      </w:r>
    </w:p>
    <w:p w14:paraId="7328736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71DF9E10"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A biztonságossági profil összefoglalása</w:t>
      </w:r>
    </w:p>
    <w:p w14:paraId="2ABFCAD1"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1AD48946" w14:textId="286A7F98"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 xml:space="preserve">1308, parciális görcsrohamokban szenvedő betegekkel végzett, placebokontrollos, adjuváns terápiás klinikai vizsgálatok összesített elemzése alapján a lakozamid-csoportba randomizált betegek összesen 61,9%-ánál, a placebocsoportba randomizált betegeknek pedig 35,2%-ánál jelentettek legalább 1 mellékhatást. A lakozamid-kezeléssel összefüggő, leggyakrabban jelentett mellékhatások (≥ 10%) a szédülés, a fejfájás, az émelygés és a kettőslátás voltak. Ezek intenzitása általában enyhe vagy közepes fokú volt. Egy részük dózisfüggő, és a dózis csökkentésével enyhíthető volt. A központi idegrendszeri és az emésztőrendszeri mellékhatások előfordulási gyakorisága és súlyossága általában </w:t>
      </w:r>
      <w:r w:rsidR="00982764">
        <w:rPr>
          <w:rFonts w:ascii="Times New Roman" w:eastAsia="Calibri" w:hAnsi="Times New Roman" w:cs="Times New Roman"/>
          <w:color w:val="000000"/>
          <w:kern w:val="0"/>
          <w14:ligatures w14:val="none"/>
        </w:rPr>
        <w:t>az idő függvényében</w:t>
      </w:r>
      <w:r w:rsidRPr="0043030C">
        <w:rPr>
          <w:rFonts w:ascii="Times New Roman" w:eastAsia="Calibri" w:hAnsi="Times New Roman" w:cs="Times New Roman"/>
          <w:color w:val="000000"/>
          <w:kern w:val="0"/>
          <w14:ligatures w14:val="none"/>
        </w:rPr>
        <w:t xml:space="preserve"> csökkent.</w:t>
      </w:r>
    </w:p>
    <w:p w14:paraId="66A2F1A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Az összes kontrollos vizsgálatban együttesen, a kezelés mellékhatások miatt történt megszakításának aránya 12,2% volt a lakozamiddal kezelt betegek esetében, és 1,6% a placebót szedő betegeknél. A lakozamid-terápia abbahagyásához vezető leggyakoribb mellékhatás a szédülés volt.</w:t>
      </w:r>
    </w:p>
    <w:p w14:paraId="141CBE5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központi idegrendszeri mellékhatások, például a szédülés előfordulási gyakorisága nagyobb lehet a telítő dózis alkalmazása után.</w:t>
      </w:r>
    </w:p>
    <w:p w14:paraId="2DBE544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79B36D92" w14:textId="1210BD0A"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Egy, a lakozamid és a szabályozott hatóanyag</w:t>
      </w:r>
      <w:r w:rsidR="004F49F8">
        <w:rPr>
          <w:rFonts w:ascii="Times New Roman" w:eastAsia="Calibri" w:hAnsi="Times New Roman" w:cs="Times New Roman"/>
          <w:color w:val="000000"/>
          <w:kern w:val="0"/>
          <w14:ligatures w14:val="none"/>
        </w:rPr>
        <w:t>-</w:t>
      </w:r>
      <w:r w:rsidRPr="0043030C">
        <w:rPr>
          <w:rFonts w:ascii="Times New Roman" w:eastAsia="Calibri" w:hAnsi="Times New Roman" w:cs="Times New Roman"/>
          <w:color w:val="000000"/>
          <w:kern w:val="0"/>
          <w14:ligatures w14:val="none"/>
        </w:rPr>
        <w:t>leadású karbamazepin készítmény monoterápiáját összehasonlító „non-inferiority” típusú klinikai vizsgálatból származó adatok elemzése alapján a lakozamid-kezeléssel összefüggő, leggyakrabban jelentett mellékhatások (≥ 10%) a fejfájás és a szédülés voltak. Azoknak a betegeknek az aránya, akiknél mellékhatások miatt meg kellett szakítani a kezelést, a lakozamiddal kezelteknél 10,6%, a szabályozott hatóanyag</w:t>
      </w:r>
      <w:r w:rsidR="004F49F8">
        <w:rPr>
          <w:rFonts w:ascii="Times New Roman" w:eastAsia="Calibri" w:hAnsi="Times New Roman" w:cs="Times New Roman"/>
          <w:color w:val="000000"/>
          <w:kern w:val="0"/>
          <w14:ligatures w14:val="none"/>
        </w:rPr>
        <w:t>-</w:t>
      </w:r>
      <w:r w:rsidRPr="0043030C">
        <w:rPr>
          <w:rFonts w:ascii="Times New Roman" w:eastAsia="Calibri" w:hAnsi="Times New Roman" w:cs="Times New Roman"/>
          <w:color w:val="000000"/>
          <w:kern w:val="0"/>
          <w14:ligatures w14:val="none"/>
        </w:rPr>
        <w:t>leadású karbamazepin készítménnyel kezelteknél pedig 15,6% volt.</w:t>
      </w:r>
    </w:p>
    <w:p w14:paraId="737F751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7BBB174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Egy 4 éves vagy annál idősebb, elsődleges generalizált tónusos-klónusos görcsrohamokkal (PGTCS) járó, idiopátiás generalizált epilepsziában szenvedő betegek körében végzett vizsgálatban a lakozamid biztonságossági profilja konzisztens volt a parciális görcsrohamokban szenvedő betegekkel végzett, összevont, placebokontrollos klinikai vizsgálatokban megfigyelt biztonságossági profillal. A PGTCS-es betegeknél megfigyelt további mellékhatások a mioklónusos epilepszia (2,5% a lakozamid-csoportban és 0% a placebocsoportban) és az ataxia (3,3% a lakozamid-csoportban és 0% a placebocsoportban) voltak. A leggyakrabban jelentett mellékhatás a szédülés és az aluszékonyság volt. A lakozamid-terápia leállítását leggyakrabban okozó mellékhatások a szédülés és az öngyilkossági gondolatok voltak. A terápia mellékhatások miatti abbahagyásának aránya 9,1% volt a lakozamid-csoportban, és 4,1% volt a placebocsoportban.</w:t>
      </w:r>
    </w:p>
    <w:p w14:paraId="537882E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5143248C"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A mellékhatások táblázatos felsorolása</w:t>
      </w:r>
    </w:p>
    <w:p w14:paraId="17DDEB0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378E08B1" w14:textId="77777777" w:rsidR="0043030C" w:rsidRPr="0043030C" w:rsidRDefault="0043030C" w:rsidP="0043030C">
      <w:pPr>
        <w:spacing w:after="0" w:line="240" w:lineRule="auto"/>
        <w:rPr>
          <w:rFonts w:ascii="Times New Roman" w:eastAsia="Calibri" w:hAnsi="Times New Roman" w:cs="Times New Roman"/>
          <w:kern w:val="0"/>
          <w14:ligatures w14:val="none"/>
        </w:rPr>
      </w:pPr>
      <w:r w:rsidRPr="0043030C">
        <w:rPr>
          <w:rFonts w:ascii="Times New Roman" w:eastAsia="Calibri" w:hAnsi="Times New Roman" w:cs="Times New Roman"/>
          <w:kern w:val="0"/>
          <w14:ligatures w14:val="none"/>
        </w:rPr>
        <w:t>Az alábbi táblázat azon mellékhatások gyakoriságát mutatja, amelyeket a klinikai vizsgálatok során és a forgalomba hozatalt követően jelentettek. A gyakoriságok meghatározása a következő: nagyon gyakori (≥ 1/10), gyakori (≥ 1/100 – &lt; 1/10), nem gyakori (≥ 1/1000 – &lt; 1/100) és nem ismert (a gyakoriság a rendelkezésre álló adatokból nem állapítható meg). Az egyes gyakorisági kategóriákon belül a mellékhatások csökkenő súlyosság szerint kerülnek megadásra.</w:t>
      </w:r>
    </w:p>
    <w:p w14:paraId="5EF03B07" w14:textId="77777777" w:rsidR="0043030C" w:rsidRPr="0043030C" w:rsidRDefault="0043030C" w:rsidP="0043030C">
      <w:pPr>
        <w:spacing w:after="0" w:line="240" w:lineRule="auto"/>
        <w:rPr>
          <w:rFonts w:ascii="Times New Roman" w:eastAsia="Calibri" w:hAnsi="Times New Roman" w:cs="Times New Roman"/>
          <w:kern w:val="0"/>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1"/>
        <w:gridCol w:w="1308"/>
        <w:gridCol w:w="1868"/>
        <w:gridCol w:w="2033"/>
        <w:gridCol w:w="1850"/>
      </w:tblGrid>
      <w:tr w:rsidR="0043030C" w:rsidRPr="0043030C" w14:paraId="336BF8BB" w14:textId="77777777" w:rsidTr="00A3683F">
        <w:trPr>
          <w:tblHeader/>
        </w:trPr>
        <w:tc>
          <w:tcPr>
            <w:tcW w:w="1104" w:type="pct"/>
          </w:tcPr>
          <w:p w14:paraId="41155562" w14:textId="77777777" w:rsidR="0043030C" w:rsidRPr="0043030C" w:rsidRDefault="0043030C" w:rsidP="0043030C">
            <w:pPr>
              <w:keepNext/>
              <w:spacing w:after="0" w:line="240" w:lineRule="auto"/>
              <w:rPr>
                <w:rFonts w:ascii="Times New Roman" w:eastAsia="Times New Roman" w:hAnsi="Times New Roman" w:cs="Times New Roman"/>
                <w:bCs/>
                <w:kern w:val="0"/>
                <w14:ligatures w14:val="none"/>
              </w:rPr>
            </w:pPr>
            <w:r w:rsidRPr="0043030C">
              <w:rPr>
                <w:rFonts w:ascii="Times New Roman" w:eastAsia="Times New Roman" w:hAnsi="Times New Roman" w:cs="Times New Roman"/>
                <w:bCs/>
                <w:kern w:val="0"/>
                <w14:ligatures w14:val="none"/>
              </w:rPr>
              <w:lastRenderedPageBreak/>
              <w:t>Szervrendszeri kategória</w:t>
            </w:r>
          </w:p>
        </w:tc>
        <w:tc>
          <w:tcPr>
            <w:tcW w:w="722" w:type="pct"/>
          </w:tcPr>
          <w:p w14:paraId="6A796245" w14:textId="77777777" w:rsidR="0043030C" w:rsidRPr="0043030C" w:rsidRDefault="0043030C" w:rsidP="0043030C">
            <w:pPr>
              <w:keepNext/>
              <w:spacing w:after="0" w:line="240" w:lineRule="auto"/>
              <w:rPr>
                <w:rFonts w:ascii="Times New Roman" w:eastAsia="Times New Roman" w:hAnsi="Times New Roman" w:cs="Times New Roman"/>
                <w:bCs/>
                <w:kern w:val="0"/>
                <w14:ligatures w14:val="none"/>
              </w:rPr>
            </w:pPr>
            <w:r w:rsidRPr="0043030C">
              <w:rPr>
                <w:rFonts w:ascii="Times New Roman" w:eastAsia="Times New Roman" w:hAnsi="Times New Roman" w:cs="Times New Roman"/>
                <w:bCs/>
                <w:kern w:val="0"/>
                <w14:ligatures w14:val="none"/>
              </w:rPr>
              <w:t>Nagyon gyakori</w:t>
            </w:r>
          </w:p>
        </w:tc>
        <w:tc>
          <w:tcPr>
            <w:tcW w:w="1031" w:type="pct"/>
          </w:tcPr>
          <w:p w14:paraId="4DBBF0D2" w14:textId="77777777" w:rsidR="0043030C" w:rsidRPr="0043030C" w:rsidRDefault="0043030C" w:rsidP="0043030C">
            <w:pPr>
              <w:keepNext/>
              <w:spacing w:after="0" w:line="240" w:lineRule="auto"/>
              <w:rPr>
                <w:rFonts w:ascii="Times New Roman" w:eastAsia="Times New Roman" w:hAnsi="Times New Roman" w:cs="Times New Roman"/>
                <w:bCs/>
                <w:kern w:val="0"/>
                <w14:ligatures w14:val="none"/>
              </w:rPr>
            </w:pPr>
            <w:r w:rsidRPr="0043030C">
              <w:rPr>
                <w:rFonts w:ascii="Times New Roman" w:eastAsia="Times New Roman" w:hAnsi="Times New Roman" w:cs="Times New Roman"/>
                <w:bCs/>
                <w:kern w:val="0"/>
                <w14:ligatures w14:val="none"/>
              </w:rPr>
              <w:t>Gyakori</w:t>
            </w:r>
          </w:p>
        </w:tc>
        <w:tc>
          <w:tcPr>
            <w:tcW w:w="1122" w:type="pct"/>
          </w:tcPr>
          <w:p w14:paraId="3E127684" w14:textId="77777777" w:rsidR="0043030C" w:rsidRPr="0043030C" w:rsidRDefault="0043030C" w:rsidP="0043030C">
            <w:pPr>
              <w:keepNext/>
              <w:spacing w:after="0" w:line="240" w:lineRule="auto"/>
              <w:rPr>
                <w:rFonts w:ascii="Times New Roman" w:eastAsia="Times New Roman" w:hAnsi="Times New Roman" w:cs="Times New Roman"/>
                <w:bCs/>
                <w:kern w:val="0"/>
                <w14:ligatures w14:val="none"/>
              </w:rPr>
            </w:pPr>
            <w:r w:rsidRPr="0043030C">
              <w:rPr>
                <w:rFonts w:ascii="Times New Roman" w:eastAsia="Times New Roman" w:hAnsi="Times New Roman" w:cs="Times New Roman"/>
                <w:bCs/>
                <w:kern w:val="0"/>
                <w14:ligatures w14:val="none"/>
              </w:rPr>
              <w:t>Nem gyakori</w:t>
            </w:r>
          </w:p>
        </w:tc>
        <w:tc>
          <w:tcPr>
            <w:tcW w:w="1021" w:type="pct"/>
          </w:tcPr>
          <w:p w14:paraId="655971B4" w14:textId="77777777" w:rsidR="0043030C" w:rsidRPr="0043030C" w:rsidRDefault="0043030C" w:rsidP="0043030C">
            <w:pPr>
              <w:keepNext/>
              <w:spacing w:after="0" w:line="240" w:lineRule="auto"/>
              <w:rPr>
                <w:rFonts w:ascii="Times New Roman" w:eastAsia="Times New Roman" w:hAnsi="Times New Roman" w:cs="Times New Roman"/>
                <w:bCs/>
                <w:kern w:val="0"/>
                <w14:ligatures w14:val="none"/>
              </w:rPr>
            </w:pPr>
            <w:r w:rsidRPr="0043030C">
              <w:rPr>
                <w:rFonts w:ascii="Times New Roman" w:eastAsia="Times New Roman" w:hAnsi="Times New Roman" w:cs="Times New Roman"/>
                <w:bCs/>
                <w:kern w:val="0"/>
                <w14:ligatures w14:val="none"/>
              </w:rPr>
              <w:t>Nem ismert</w:t>
            </w:r>
          </w:p>
        </w:tc>
      </w:tr>
      <w:tr w:rsidR="0043030C" w:rsidRPr="0043030C" w14:paraId="11B45085" w14:textId="77777777" w:rsidTr="00A3683F">
        <w:tc>
          <w:tcPr>
            <w:tcW w:w="1104" w:type="pct"/>
          </w:tcPr>
          <w:p w14:paraId="5031FED1"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kern w:val="0"/>
                <w14:ligatures w14:val="none"/>
              </w:rPr>
            </w:pPr>
            <w:r w:rsidRPr="0043030C">
              <w:rPr>
                <w:rFonts w:ascii="Times New Roman" w:eastAsia="Times New Roman" w:hAnsi="Times New Roman" w:cs="Times New Roman"/>
                <w:kern w:val="0"/>
                <w:lang w:eastAsia="de-DE"/>
                <w14:ligatures w14:val="none"/>
              </w:rPr>
              <w:t>Vérképzőszervi és nyirokrendszeri betegségek és tünetek</w:t>
            </w:r>
          </w:p>
        </w:tc>
        <w:tc>
          <w:tcPr>
            <w:tcW w:w="722" w:type="pct"/>
          </w:tcPr>
          <w:p w14:paraId="29096C72"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c>
          <w:tcPr>
            <w:tcW w:w="1031" w:type="pct"/>
          </w:tcPr>
          <w:p w14:paraId="6992270E"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c>
          <w:tcPr>
            <w:tcW w:w="1122" w:type="pct"/>
          </w:tcPr>
          <w:p w14:paraId="26F13587"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c>
          <w:tcPr>
            <w:tcW w:w="1021" w:type="pct"/>
          </w:tcPr>
          <w:p w14:paraId="0E9F5609"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r w:rsidRPr="0043030C">
              <w:rPr>
                <w:rFonts w:ascii="Times New Roman" w:eastAsia="Times New Roman" w:hAnsi="Times New Roman" w:cs="Times New Roman"/>
                <w:kern w:val="0"/>
                <w:lang w:eastAsia="de-DE"/>
                <w14:ligatures w14:val="none"/>
              </w:rPr>
              <w:t>agranulocytosis</w:t>
            </w:r>
            <w:r w:rsidRPr="0043030C">
              <w:rPr>
                <w:rFonts w:ascii="Times New Roman" w:eastAsia="Times New Roman" w:hAnsi="Times New Roman" w:cs="Times New Roman"/>
                <w:kern w:val="0"/>
                <w:vertAlign w:val="superscript"/>
                <w:lang w:eastAsia="de-DE"/>
                <w14:ligatures w14:val="none"/>
              </w:rPr>
              <w:t>(1)</w:t>
            </w:r>
          </w:p>
        </w:tc>
      </w:tr>
      <w:tr w:rsidR="0043030C" w:rsidRPr="0043030C" w14:paraId="7514C916" w14:textId="77777777" w:rsidTr="00A3683F">
        <w:tc>
          <w:tcPr>
            <w:tcW w:w="1104" w:type="pct"/>
          </w:tcPr>
          <w:p w14:paraId="4D81A91A"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kern w:val="0"/>
                <w14:ligatures w14:val="none"/>
              </w:rPr>
            </w:pPr>
            <w:r w:rsidRPr="0043030C">
              <w:rPr>
                <w:rFonts w:ascii="Times New Roman" w:eastAsia="Times New Roman" w:hAnsi="Times New Roman" w:cs="Times New Roman"/>
                <w:kern w:val="0"/>
                <w:lang w:eastAsia="de-DE"/>
                <w14:ligatures w14:val="none"/>
              </w:rPr>
              <w:t>Immunrendszeri betegségek és tünetek</w:t>
            </w:r>
          </w:p>
        </w:tc>
        <w:tc>
          <w:tcPr>
            <w:tcW w:w="722" w:type="pct"/>
          </w:tcPr>
          <w:p w14:paraId="0241196C"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c>
          <w:tcPr>
            <w:tcW w:w="1031" w:type="pct"/>
          </w:tcPr>
          <w:p w14:paraId="167908F2"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c>
          <w:tcPr>
            <w:tcW w:w="1122" w:type="pct"/>
          </w:tcPr>
          <w:p w14:paraId="3C58F50C"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kern w:val="0"/>
                <w14:ligatures w14:val="none"/>
              </w:rPr>
            </w:pPr>
            <w:r w:rsidRPr="0043030C">
              <w:rPr>
                <w:rFonts w:ascii="Times New Roman" w:eastAsia="Times New Roman" w:hAnsi="Times New Roman" w:cs="Times New Roman"/>
                <w:kern w:val="0"/>
                <w:lang w:eastAsia="de-DE"/>
                <w14:ligatures w14:val="none"/>
              </w:rPr>
              <w:t>gyógyszer-túlérzékenység</w:t>
            </w:r>
            <w:r w:rsidRPr="0043030C">
              <w:rPr>
                <w:rFonts w:ascii="Times New Roman" w:eastAsia="Times New Roman" w:hAnsi="Times New Roman" w:cs="Times New Roman"/>
                <w:kern w:val="0"/>
                <w:vertAlign w:val="superscript"/>
                <w:lang w:eastAsia="de-DE"/>
                <w14:ligatures w14:val="none"/>
              </w:rPr>
              <w:t>(1)</w:t>
            </w:r>
          </w:p>
        </w:tc>
        <w:tc>
          <w:tcPr>
            <w:tcW w:w="1021" w:type="pct"/>
          </w:tcPr>
          <w:p w14:paraId="3BBDA2A1"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kern w:val="0"/>
                <w14:ligatures w14:val="none"/>
              </w:rPr>
            </w:pPr>
            <w:r w:rsidRPr="0043030C">
              <w:rPr>
                <w:rFonts w:ascii="Times New Roman" w:eastAsia="Times New Roman" w:hAnsi="Times New Roman" w:cs="Times New Roman"/>
                <w:kern w:val="0"/>
                <w:lang w:eastAsia="de-DE"/>
                <w14:ligatures w14:val="none"/>
              </w:rPr>
              <w:t>eosinophiliával és szisztémás tünetekkel járó gyógyszerreakció (DRESS)</w:t>
            </w:r>
            <w:r w:rsidRPr="0043030C">
              <w:rPr>
                <w:rFonts w:ascii="Times New Roman" w:eastAsia="Times New Roman" w:hAnsi="Times New Roman" w:cs="Times New Roman"/>
                <w:kern w:val="0"/>
                <w:vertAlign w:val="superscript"/>
                <w:lang w:eastAsia="de-DE"/>
                <w14:ligatures w14:val="none"/>
              </w:rPr>
              <w:t>(1,2)</w:t>
            </w:r>
          </w:p>
        </w:tc>
      </w:tr>
      <w:tr w:rsidR="0043030C" w:rsidRPr="0043030C" w14:paraId="3FD439C8" w14:textId="77777777" w:rsidTr="00A3683F">
        <w:tc>
          <w:tcPr>
            <w:tcW w:w="1104" w:type="pct"/>
          </w:tcPr>
          <w:p w14:paraId="39733F96"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kern w:val="0"/>
                <w14:ligatures w14:val="none"/>
              </w:rPr>
            </w:pPr>
            <w:r w:rsidRPr="0043030C">
              <w:rPr>
                <w:rFonts w:ascii="Times New Roman" w:eastAsia="Times New Roman" w:hAnsi="Times New Roman" w:cs="Times New Roman"/>
                <w:kern w:val="0"/>
                <w:lang w:eastAsia="de-DE"/>
                <w14:ligatures w14:val="none"/>
              </w:rPr>
              <w:t>Pszichiátriai kórképek</w:t>
            </w:r>
          </w:p>
        </w:tc>
        <w:tc>
          <w:tcPr>
            <w:tcW w:w="722" w:type="pct"/>
          </w:tcPr>
          <w:p w14:paraId="155B3B3B"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c>
          <w:tcPr>
            <w:tcW w:w="1031" w:type="pct"/>
          </w:tcPr>
          <w:p w14:paraId="67FC02D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depresszió;</w:t>
            </w:r>
          </w:p>
          <w:p w14:paraId="4A0541ED"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zavartság;</w:t>
            </w:r>
          </w:p>
          <w:p w14:paraId="46BF02CE"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kern w:val="0"/>
                <w14:ligatures w14:val="none"/>
              </w:rPr>
            </w:pPr>
            <w:r w:rsidRPr="0043030C">
              <w:rPr>
                <w:rFonts w:ascii="Times New Roman" w:eastAsia="Calibri" w:hAnsi="Times New Roman" w:cs="Times New Roman"/>
                <w:kern w:val="0"/>
                <w14:ligatures w14:val="none"/>
              </w:rPr>
              <w:t>álmatlanság</w:t>
            </w:r>
            <w:r w:rsidRPr="0043030C">
              <w:rPr>
                <w:rFonts w:ascii="Times New Roman" w:eastAsia="Calibri" w:hAnsi="Times New Roman" w:cs="Times New Roman"/>
                <w:kern w:val="0"/>
                <w:vertAlign w:val="superscript"/>
                <w14:ligatures w14:val="none"/>
              </w:rPr>
              <w:t>(1)</w:t>
            </w:r>
            <w:r w:rsidRPr="0043030C">
              <w:rPr>
                <w:rFonts w:ascii="Times New Roman" w:eastAsia="Calibri" w:hAnsi="Times New Roman" w:cs="Times New Roman"/>
                <w:kern w:val="0"/>
                <w:position w:val="8"/>
                <w:vertAlign w:val="superscript"/>
                <w14:ligatures w14:val="none"/>
              </w:rPr>
              <w:t xml:space="preserve"> </w:t>
            </w:r>
          </w:p>
        </w:tc>
        <w:tc>
          <w:tcPr>
            <w:tcW w:w="1122" w:type="pct"/>
          </w:tcPr>
          <w:p w14:paraId="28DB6D48"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agresszivitás;</w:t>
            </w:r>
          </w:p>
          <w:p w14:paraId="04FC31D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izgatottság</w:t>
            </w:r>
            <w:r w:rsidRPr="0043030C">
              <w:rPr>
                <w:rFonts w:ascii="Times New Roman" w:eastAsia="Calibri" w:hAnsi="Times New Roman" w:cs="Times New Roman"/>
                <w:color w:val="000000"/>
                <w:kern w:val="0"/>
                <w:vertAlign w:val="superscript"/>
                <w14:ligatures w14:val="none"/>
              </w:rPr>
              <w:t>(1)</w:t>
            </w:r>
            <w:r w:rsidRPr="0043030C">
              <w:rPr>
                <w:rFonts w:ascii="Times New Roman" w:eastAsia="Calibri" w:hAnsi="Times New Roman" w:cs="Times New Roman"/>
                <w:color w:val="000000"/>
                <w:kern w:val="0"/>
                <w14:ligatures w14:val="none"/>
              </w:rPr>
              <w:t>;</w:t>
            </w:r>
          </w:p>
          <w:p w14:paraId="5A108794" w14:textId="18ADAC75"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eufóri</w:t>
            </w:r>
            <w:r w:rsidR="007B586A">
              <w:rPr>
                <w:rFonts w:ascii="Times New Roman" w:eastAsia="Calibri" w:hAnsi="Times New Roman" w:cs="Times New Roman"/>
                <w:color w:val="000000"/>
                <w:kern w:val="0"/>
                <w14:ligatures w14:val="none"/>
              </w:rPr>
              <w:t>kus</w:t>
            </w:r>
            <w:r w:rsidRPr="0043030C">
              <w:rPr>
                <w:rFonts w:ascii="Times New Roman" w:eastAsia="Calibri" w:hAnsi="Times New Roman" w:cs="Times New Roman"/>
                <w:color w:val="000000"/>
                <w:kern w:val="0"/>
                <w14:ligatures w14:val="none"/>
              </w:rPr>
              <w:t xml:space="preserve"> hangulat</w:t>
            </w:r>
            <w:r w:rsidRPr="0043030C">
              <w:rPr>
                <w:rFonts w:ascii="Times New Roman" w:eastAsia="Calibri" w:hAnsi="Times New Roman" w:cs="Times New Roman"/>
                <w:color w:val="000000"/>
                <w:kern w:val="0"/>
                <w:vertAlign w:val="superscript"/>
                <w14:ligatures w14:val="none"/>
              </w:rPr>
              <w:t>(1)</w:t>
            </w:r>
            <w:r w:rsidRPr="0043030C">
              <w:rPr>
                <w:rFonts w:ascii="Times New Roman" w:eastAsia="Calibri" w:hAnsi="Times New Roman" w:cs="Times New Roman"/>
                <w:color w:val="000000"/>
                <w:kern w:val="0"/>
                <w14:ligatures w14:val="none"/>
              </w:rPr>
              <w:t>;</w:t>
            </w:r>
          </w:p>
          <w:p w14:paraId="472E1261"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pszichotikus zavar</w:t>
            </w:r>
            <w:r w:rsidRPr="0043030C">
              <w:rPr>
                <w:rFonts w:ascii="Times New Roman" w:eastAsia="Calibri" w:hAnsi="Times New Roman" w:cs="Times New Roman"/>
                <w:color w:val="000000"/>
                <w:kern w:val="0"/>
                <w:vertAlign w:val="superscript"/>
                <w14:ligatures w14:val="none"/>
              </w:rPr>
              <w:t>(1)</w:t>
            </w:r>
            <w:r w:rsidRPr="0043030C">
              <w:rPr>
                <w:rFonts w:ascii="Times New Roman" w:eastAsia="Calibri" w:hAnsi="Times New Roman" w:cs="Times New Roman"/>
                <w:color w:val="000000"/>
                <w:kern w:val="0"/>
                <w14:ligatures w14:val="none"/>
              </w:rPr>
              <w:t>;</w:t>
            </w:r>
          </w:p>
          <w:p w14:paraId="4D83F65E"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öngyilkossági kísérlet</w:t>
            </w:r>
            <w:r w:rsidRPr="0043030C">
              <w:rPr>
                <w:rFonts w:ascii="Times New Roman" w:eastAsia="Calibri" w:hAnsi="Times New Roman" w:cs="Times New Roman"/>
                <w:color w:val="000000"/>
                <w:kern w:val="0"/>
                <w:vertAlign w:val="superscript"/>
                <w14:ligatures w14:val="none"/>
              </w:rPr>
              <w:t>(1)</w:t>
            </w:r>
            <w:r w:rsidRPr="0043030C">
              <w:rPr>
                <w:rFonts w:ascii="Times New Roman" w:eastAsia="Calibri" w:hAnsi="Times New Roman" w:cs="Times New Roman"/>
                <w:color w:val="000000"/>
                <w:kern w:val="0"/>
                <w14:ligatures w14:val="none"/>
              </w:rPr>
              <w:t>;</w:t>
            </w:r>
          </w:p>
          <w:p w14:paraId="5A8F59E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öngyilkossági gondolatok</w:t>
            </w:r>
            <w:r w:rsidRPr="0043030C">
              <w:rPr>
                <w:rFonts w:ascii="Times New Roman" w:eastAsia="Calibri" w:hAnsi="Times New Roman" w:cs="Times New Roman"/>
                <w:color w:val="000000"/>
                <w:kern w:val="0"/>
                <w:vertAlign w:val="superscript"/>
                <w14:ligatures w14:val="none"/>
              </w:rPr>
              <w:t>(1)</w:t>
            </w:r>
            <w:r w:rsidRPr="0043030C">
              <w:rPr>
                <w:rFonts w:ascii="Times New Roman" w:eastAsia="Calibri" w:hAnsi="Times New Roman" w:cs="Times New Roman"/>
                <w:color w:val="000000"/>
                <w:kern w:val="0"/>
                <w14:ligatures w14:val="none"/>
              </w:rPr>
              <w:t>;</w:t>
            </w:r>
          </w:p>
          <w:p w14:paraId="4878C005"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r w:rsidRPr="0043030C">
              <w:rPr>
                <w:rFonts w:ascii="Times New Roman" w:eastAsia="Calibri" w:hAnsi="Times New Roman" w:cs="Times New Roman"/>
                <w:kern w:val="0"/>
                <w14:ligatures w14:val="none"/>
              </w:rPr>
              <w:t>hallucináció</w:t>
            </w:r>
            <w:r w:rsidRPr="0043030C">
              <w:rPr>
                <w:rFonts w:ascii="Calibri" w:eastAsia="Calibri" w:hAnsi="Calibri" w:cs="Times New Roman"/>
                <w:kern w:val="0"/>
                <w:vertAlign w:val="superscript"/>
                <w14:ligatures w14:val="none"/>
              </w:rPr>
              <w:t>(1)</w:t>
            </w:r>
          </w:p>
        </w:tc>
        <w:tc>
          <w:tcPr>
            <w:tcW w:w="1021" w:type="pct"/>
          </w:tcPr>
          <w:p w14:paraId="5B6B5622"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r>
      <w:tr w:rsidR="0043030C" w:rsidRPr="0043030C" w14:paraId="6D01FE82" w14:textId="77777777" w:rsidTr="00A3683F">
        <w:tc>
          <w:tcPr>
            <w:tcW w:w="1104" w:type="pct"/>
          </w:tcPr>
          <w:p w14:paraId="4BB988EB"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Idegrendszeri betegségek és tünetek</w:t>
            </w:r>
          </w:p>
          <w:p w14:paraId="27C6825A"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kern w:val="0"/>
                <w14:ligatures w14:val="none"/>
              </w:rPr>
            </w:pPr>
          </w:p>
        </w:tc>
        <w:tc>
          <w:tcPr>
            <w:tcW w:w="722" w:type="pct"/>
          </w:tcPr>
          <w:p w14:paraId="05838E8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szédülés;</w:t>
            </w:r>
          </w:p>
          <w:p w14:paraId="22FF0CEF"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r w:rsidRPr="0043030C">
              <w:rPr>
                <w:rFonts w:ascii="Times New Roman" w:eastAsia="Calibri" w:hAnsi="Times New Roman" w:cs="Times New Roman"/>
                <w:kern w:val="0"/>
                <w14:ligatures w14:val="none"/>
              </w:rPr>
              <w:t>fejfájás</w:t>
            </w:r>
          </w:p>
        </w:tc>
        <w:tc>
          <w:tcPr>
            <w:tcW w:w="1031" w:type="pct"/>
          </w:tcPr>
          <w:p w14:paraId="2DA00265"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mioklónusos görcsrohamok</w:t>
            </w:r>
            <w:r w:rsidRPr="0043030C">
              <w:rPr>
                <w:rFonts w:ascii="Times New Roman" w:eastAsia="Calibri" w:hAnsi="Times New Roman" w:cs="Times New Roman"/>
                <w:color w:val="000000"/>
                <w:kern w:val="0"/>
                <w:vertAlign w:val="superscript"/>
                <w14:ligatures w14:val="none"/>
              </w:rPr>
              <w:t>(3)</w:t>
            </w:r>
            <w:r w:rsidRPr="0043030C">
              <w:rPr>
                <w:rFonts w:ascii="Times New Roman" w:eastAsia="Calibri" w:hAnsi="Times New Roman" w:cs="Times New Roman"/>
                <w:color w:val="000000"/>
                <w:kern w:val="0"/>
                <w14:ligatures w14:val="none"/>
              </w:rPr>
              <w:t>;</w:t>
            </w:r>
          </w:p>
          <w:p w14:paraId="6E88A0CC"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ataxia;</w:t>
            </w:r>
          </w:p>
          <w:p w14:paraId="0A8DB69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egyensúlyzavar;</w:t>
            </w:r>
          </w:p>
          <w:p w14:paraId="79A2515C"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memóriazavar;</w:t>
            </w:r>
          </w:p>
          <w:p w14:paraId="6318317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kognitív zavar;</w:t>
            </w:r>
          </w:p>
          <w:p w14:paraId="322E12DF"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aluszékonyság;</w:t>
            </w:r>
          </w:p>
          <w:p w14:paraId="2C96C5C9"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tremor;</w:t>
            </w:r>
          </w:p>
          <w:p w14:paraId="2F2E828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nystagmus;</w:t>
            </w:r>
          </w:p>
          <w:p w14:paraId="2651DB45" w14:textId="77777777" w:rsidR="0043030C" w:rsidRPr="0043030C" w:rsidRDefault="0043030C" w:rsidP="0043030C">
            <w:pPr>
              <w:spacing w:after="0" w:line="240" w:lineRule="auto"/>
              <w:rPr>
                <w:rFonts w:ascii="Times New Roman" w:eastAsia="Calibri" w:hAnsi="Times New Roman" w:cs="Times New Roman"/>
                <w:kern w:val="0"/>
                <w14:ligatures w14:val="none"/>
              </w:rPr>
            </w:pPr>
            <w:r w:rsidRPr="0043030C">
              <w:rPr>
                <w:rFonts w:ascii="Times New Roman" w:eastAsia="Calibri" w:hAnsi="Times New Roman" w:cs="Times New Roman"/>
                <w:kern w:val="0"/>
                <w14:ligatures w14:val="none"/>
              </w:rPr>
              <w:t>hypaesthesia</w:t>
            </w:r>
            <w:r w:rsidRPr="0043030C">
              <w:rPr>
                <w:rFonts w:ascii="Calibri" w:eastAsia="Calibri" w:hAnsi="Calibri" w:cs="Times New Roman"/>
                <w:kern w:val="0"/>
                <w14:ligatures w14:val="none"/>
              </w:rPr>
              <w:t>;</w:t>
            </w:r>
          </w:p>
          <w:p w14:paraId="2D55AD5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dysarthria;</w:t>
            </w:r>
          </w:p>
          <w:p w14:paraId="4AE71907"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figyelemzavar;</w:t>
            </w:r>
          </w:p>
          <w:p w14:paraId="1EB7ED26"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r w:rsidRPr="0043030C">
              <w:rPr>
                <w:rFonts w:ascii="Times New Roman" w:eastAsia="Calibri" w:hAnsi="Times New Roman" w:cs="Times New Roman"/>
                <w:kern w:val="0"/>
                <w14:ligatures w14:val="none"/>
              </w:rPr>
              <w:t>paraesthesia</w:t>
            </w:r>
          </w:p>
        </w:tc>
        <w:tc>
          <w:tcPr>
            <w:tcW w:w="1122" w:type="pct"/>
          </w:tcPr>
          <w:p w14:paraId="111188D9" w14:textId="77777777" w:rsidR="0043030C" w:rsidRPr="0043030C" w:rsidRDefault="0043030C" w:rsidP="0043030C">
            <w:pPr>
              <w:spacing w:after="0" w:line="240" w:lineRule="auto"/>
              <w:rPr>
                <w:rFonts w:ascii="Times New Roman" w:eastAsia="Times New Roman" w:hAnsi="Times New Roman" w:cs="Times New Roman"/>
                <w:kern w:val="0"/>
                <w:lang w:eastAsia="de-DE"/>
                <w14:ligatures w14:val="none"/>
              </w:rPr>
            </w:pPr>
            <w:r w:rsidRPr="0043030C">
              <w:rPr>
                <w:rFonts w:ascii="Times New Roman" w:eastAsia="Times New Roman" w:hAnsi="Times New Roman" w:cs="Times New Roman"/>
                <w:kern w:val="0"/>
                <w14:ligatures w14:val="none"/>
              </w:rPr>
              <w:t xml:space="preserve">syncope </w:t>
            </w:r>
            <w:r w:rsidRPr="0043030C">
              <w:rPr>
                <w:rFonts w:ascii="Times New Roman" w:eastAsia="Times New Roman" w:hAnsi="Times New Roman" w:cs="Times New Roman"/>
                <w:kern w:val="0"/>
                <w:vertAlign w:val="superscript"/>
                <w:lang w:eastAsia="de-DE"/>
                <w14:ligatures w14:val="none"/>
              </w:rPr>
              <w:t>(2)</w:t>
            </w:r>
            <w:r w:rsidRPr="0043030C">
              <w:rPr>
                <w:rFonts w:ascii="Calibri" w:eastAsia="Calibri" w:hAnsi="Calibri" w:cs="Times New Roman"/>
                <w:kern w:val="0"/>
                <w14:ligatures w14:val="none"/>
              </w:rPr>
              <w:t>;</w:t>
            </w:r>
          </w:p>
          <w:p w14:paraId="68BBAF97"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r w:rsidRPr="0043030C">
              <w:rPr>
                <w:rFonts w:ascii="Times New Roman" w:eastAsia="Times New Roman" w:hAnsi="Times New Roman" w:cs="Times New Roman"/>
                <w:kern w:val="0"/>
                <w14:ligatures w14:val="none"/>
              </w:rPr>
              <w:t>koordinációs zavar</w:t>
            </w:r>
            <w:r w:rsidRPr="0043030C">
              <w:rPr>
                <w:rFonts w:ascii="Calibri" w:eastAsia="Calibri" w:hAnsi="Calibri" w:cs="Times New Roman"/>
                <w:kern w:val="0"/>
                <w14:ligatures w14:val="none"/>
              </w:rPr>
              <w:t>;</w:t>
            </w:r>
          </w:p>
          <w:p w14:paraId="034C2DFE"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r w:rsidRPr="0043030C">
              <w:rPr>
                <w:rFonts w:ascii="Times New Roman" w:eastAsia="Times New Roman" w:hAnsi="Times New Roman" w:cs="Times New Roman"/>
                <w:kern w:val="0"/>
                <w14:ligatures w14:val="none"/>
              </w:rPr>
              <w:t>dyskinesia</w:t>
            </w:r>
          </w:p>
        </w:tc>
        <w:tc>
          <w:tcPr>
            <w:tcW w:w="1021" w:type="pct"/>
          </w:tcPr>
          <w:p w14:paraId="1C8D1F99" w14:textId="59BDCDDC" w:rsidR="0043030C" w:rsidRPr="0043030C" w:rsidRDefault="0043030C" w:rsidP="0043030C">
            <w:pPr>
              <w:spacing w:after="0" w:line="240" w:lineRule="auto"/>
              <w:rPr>
                <w:rFonts w:ascii="Times New Roman" w:eastAsia="Times New Roman" w:hAnsi="Times New Roman" w:cs="Times New Roman"/>
                <w:kern w:val="0"/>
                <w14:ligatures w14:val="none"/>
              </w:rPr>
            </w:pPr>
            <w:r w:rsidRPr="0043030C">
              <w:rPr>
                <w:rFonts w:ascii="Times New Roman" w:eastAsia="Times New Roman" w:hAnsi="Times New Roman" w:cs="Times New Roman"/>
                <w:spacing w:val="-1"/>
                <w:kern w:val="0"/>
                <w14:ligatures w14:val="none"/>
              </w:rPr>
              <w:t>convulsio</w:t>
            </w:r>
          </w:p>
        </w:tc>
      </w:tr>
      <w:tr w:rsidR="0043030C" w:rsidRPr="0043030C" w14:paraId="49AFA885" w14:textId="77777777" w:rsidTr="00A3683F">
        <w:tc>
          <w:tcPr>
            <w:tcW w:w="1104" w:type="pct"/>
          </w:tcPr>
          <w:p w14:paraId="008DAE7A"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Szembetegségek és szemészeti tünetek</w:t>
            </w:r>
          </w:p>
        </w:tc>
        <w:tc>
          <w:tcPr>
            <w:tcW w:w="722" w:type="pct"/>
          </w:tcPr>
          <w:p w14:paraId="566B2B80"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kettőslátás</w:t>
            </w:r>
          </w:p>
        </w:tc>
        <w:tc>
          <w:tcPr>
            <w:tcW w:w="1031" w:type="pct"/>
          </w:tcPr>
          <w:p w14:paraId="6870BBA5"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homályos látás</w:t>
            </w:r>
          </w:p>
        </w:tc>
        <w:tc>
          <w:tcPr>
            <w:tcW w:w="1122" w:type="pct"/>
          </w:tcPr>
          <w:p w14:paraId="47DB8EB2"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c>
          <w:tcPr>
            <w:tcW w:w="1021" w:type="pct"/>
          </w:tcPr>
          <w:p w14:paraId="4CFE0FC4"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r>
      <w:tr w:rsidR="0043030C" w:rsidRPr="0043030C" w14:paraId="29519EA9" w14:textId="77777777" w:rsidTr="00A3683F">
        <w:tc>
          <w:tcPr>
            <w:tcW w:w="1104" w:type="pct"/>
          </w:tcPr>
          <w:p w14:paraId="72E0D9BE"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fül és az egyensúly-érzékelő szerv betegségei és tünetei</w:t>
            </w:r>
          </w:p>
        </w:tc>
        <w:tc>
          <w:tcPr>
            <w:tcW w:w="722" w:type="pct"/>
          </w:tcPr>
          <w:p w14:paraId="370E4FA6"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c>
          <w:tcPr>
            <w:tcW w:w="1031" w:type="pct"/>
          </w:tcPr>
          <w:p w14:paraId="3B12766F"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kern w:val="0"/>
                <w:lang w:eastAsia="de-DE"/>
                <w14:ligatures w14:val="none"/>
              </w:rPr>
            </w:pPr>
            <w:r w:rsidRPr="0043030C">
              <w:rPr>
                <w:rFonts w:ascii="Times New Roman" w:eastAsia="Times New Roman" w:hAnsi="Times New Roman" w:cs="Times New Roman"/>
                <w:kern w:val="0"/>
                <w:lang w:eastAsia="de-DE"/>
                <w14:ligatures w14:val="none"/>
              </w:rPr>
              <w:t>vertigo;</w:t>
            </w:r>
          </w:p>
          <w:p w14:paraId="4E566614"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r w:rsidRPr="0043030C">
              <w:rPr>
                <w:rFonts w:ascii="Times New Roman" w:eastAsia="Times New Roman" w:hAnsi="Times New Roman" w:cs="Times New Roman"/>
                <w:kern w:val="0"/>
                <w:lang w:eastAsia="de-DE"/>
                <w14:ligatures w14:val="none"/>
              </w:rPr>
              <w:t>tinnitus</w:t>
            </w:r>
          </w:p>
        </w:tc>
        <w:tc>
          <w:tcPr>
            <w:tcW w:w="1122" w:type="pct"/>
          </w:tcPr>
          <w:p w14:paraId="6396DA5D"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c>
          <w:tcPr>
            <w:tcW w:w="1021" w:type="pct"/>
          </w:tcPr>
          <w:p w14:paraId="2D441E78"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r>
      <w:tr w:rsidR="0043030C" w:rsidRPr="0043030C" w14:paraId="70A30B51" w14:textId="77777777" w:rsidTr="00A3683F">
        <w:tc>
          <w:tcPr>
            <w:tcW w:w="1104" w:type="pct"/>
          </w:tcPr>
          <w:p w14:paraId="3B4094A8"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Szívbetegségek és a szívvel kapcsolatos tünetek</w:t>
            </w:r>
          </w:p>
        </w:tc>
        <w:tc>
          <w:tcPr>
            <w:tcW w:w="722" w:type="pct"/>
          </w:tcPr>
          <w:p w14:paraId="3793D403"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c>
          <w:tcPr>
            <w:tcW w:w="1031" w:type="pct"/>
          </w:tcPr>
          <w:p w14:paraId="3D394EE8"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c>
          <w:tcPr>
            <w:tcW w:w="1122" w:type="pct"/>
          </w:tcPr>
          <w:p w14:paraId="5A94EFA0"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atrioventricularis blokk</w:t>
            </w:r>
            <w:r w:rsidRPr="0043030C">
              <w:rPr>
                <w:rFonts w:ascii="Times New Roman" w:eastAsia="Calibri" w:hAnsi="Times New Roman" w:cs="Times New Roman"/>
                <w:color w:val="000000"/>
                <w:kern w:val="0"/>
                <w:vertAlign w:val="superscript"/>
                <w14:ligatures w14:val="none"/>
              </w:rPr>
              <w:t>(1, 2)</w:t>
            </w:r>
            <w:r w:rsidRPr="0043030C">
              <w:rPr>
                <w:rFonts w:ascii="Times New Roman" w:eastAsia="Calibri" w:hAnsi="Times New Roman" w:cs="Times New Roman"/>
                <w:color w:val="000000"/>
                <w:kern w:val="0"/>
                <w14:ligatures w14:val="none"/>
              </w:rPr>
              <w:t>;</w:t>
            </w:r>
          </w:p>
          <w:p w14:paraId="1EB9A2B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bradycardia</w:t>
            </w:r>
            <w:r w:rsidRPr="0043030C">
              <w:rPr>
                <w:rFonts w:ascii="Times New Roman" w:eastAsia="Calibri" w:hAnsi="Times New Roman" w:cs="Times New Roman"/>
                <w:color w:val="000000"/>
                <w:kern w:val="0"/>
                <w:vertAlign w:val="superscript"/>
                <w14:ligatures w14:val="none"/>
              </w:rPr>
              <w:t>(1, 2)</w:t>
            </w:r>
            <w:r w:rsidRPr="0043030C">
              <w:rPr>
                <w:rFonts w:ascii="Times New Roman" w:eastAsia="Calibri" w:hAnsi="Times New Roman" w:cs="Times New Roman"/>
                <w:color w:val="000000"/>
                <w:kern w:val="0"/>
                <w14:ligatures w14:val="none"/>
              </w:rPr>
              <w:t>;</w:t>
            </w:r>
          </w:p>
          <w:p w14:paraId="52A34AC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pitvarfibrilláció</w:t>
            </w:r>
            <w:r w:rsidRPr="0043030C">
              <w:rPr>
                <w:rFonts w:ascii="Times New Roman" w:eastAsia="Calibri" w:hAnsi="Times New Roman" w:cs="Times New Roman"/>
                <w:color w:val="000000"/>
                <w:kern w:val="0"/>
                <w:vertAlign w:val="superscript"/>
                <w14:ligatures w14:val="none"/>
              </w:rPr>
              <w:t>(1, 2)</w:t>
            </w:r>
            <w:r w:rsidRPr="0043030C">
              <w:rPr>
                <w:rFonts w:ascii="Times New Roman" w:eastAsia="Calibri" w:hAnsi="Times New Roman" w:cs="Times New Roman"/>
                <w:color w:val="000000"/>
                <w:kern w:val="0"/>
                <w14:ligatures w14:val="none"/>
              </w:rPr>
              <w:t>;</w:t>
            </w:r>
          </w:p>
          <w:p w14:paraId="5D786C0A"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r w:rsidRPr="0043030C">
              <w:rPr>
                <w:rFonts w:ascii="Times New Roman" w:eastAsia="Calibri" w:hAnsi="Times New Roman" w:cs="Times New Roman"/>
                <w:kern w:val="0"/>
                <w14:ligatures w14:val="none"/>
              </w:rPr>
              <w:t>pitvarlebegés</w:t>
            </w:r>
            <w:r w:rsidRPr="0043030C">
              <w:rPr>
                <w:rFonts w:ascii="Times New Roman" w:eastAsia="Calibri" w:hAnsi="Times New Roman" w:cs="Times New Roman"/>
                <w:kern w:val="0"/>
                <w:vertAlign w:val="superscript"/>
                <w14:ligatures w14:val="none"/>
              </w:rPr>
              <w:t>(1, 2)</w:t>
            </w:r>
          </w:p>
        </w:tc>
        <w:tc>
          <w:tcPr>
            <w:tcW w:w="1021" w:type="pct"/>
          </w:tcPr>
          <w:p w14:paraId="6FD59ADD"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r w:rsidRPr="0043030C">
              <w:rPr>
                <w:rFonts w:ascii="Times New Roman" w:eastAsia="Times New Roman" w:hAnsi="Times New Roman" w:cs="Times New Roman"/>
                <w:kern w:val="0"/>
                <w14:ligatures w14:val="none"/>
              </w:rPr>
              <w:t>ventricularis tachyarrhythmia</w:t>
            </w:r>
            <w:r w:rsidRPr="0043030C">
              <w:rPr>
                <w:rFonts w:ascii="Times New Roman" w:eastAsia="Times New Roman" w:hAnsi="Times New Roman" w:cs="Times New Roman"/>
                <w:kern w:val="0"/>
                <w:vertAlign w:val="superscript"/>
                <w14:ligatures w14:val="none"/>
              </w:rPr>
              <w:t>(1)</w:t>
            </w:r>
          </w:p>
        </w:tc>
      </w:tr>
      <w:tr w:rsidR="0043030C" w:rsidRPr="0043030C" w14:paraId="5FB20003" w14:textId="77777777" w:rsidTr="00A3683F">
        <w:tc>
          <w:tcPr>
            <w:tcW w:w="1104" w:type="pct"/>
          </w:tcPr>
          <w:p w14:paraId="39F60628"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Emésztőrendszeri betegségek és tünetek</w:t>
            </w:r>
          </w:p>
        </w:tc>
        <w:tc>
          <w:tcPr>
            <w:tcW w:w="722" w:type="pct"/>
          </w:tcPr>
          <w:p w14:paraId="2E56FD61"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émelygés</w:t>
            </w:r>
          </w:p>
        </w:tc>
        <w:tc>
          <w:tcPr>
            <w:tcW w:w="1031" w:type="pct"/>
          </w:tcPr>
          <w:p w14:paraId="5A434BB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hányás;</w:t>
            </w:r>
          </w:p>
          <w:p w14:paraId="62BC0D95"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székrekedés;</w:t>
            </w:r>
          </w:p>
          <w:p w14:paraId="6361FB1F"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flatulencia;</w:t>
            </w:r>
          </w:p>
          <w:p w14:paraId="40EBC6F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dyspepsia;</w:t>
            </w:r>
          </w:p>
          <w:p w14:paraId="303D422F"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szájszárazság;</w:t>
            </w:r>
          </w:p>
          <w:p w14:paraId="3920C4FD"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r w:rsidRPr="0043030C">
              <w:rPr>
                <w:rFonts w:ascii="Times New Roman" w:eastAsia="Calibri" w:hAnsi="Times New Roman" w:cs="Times New Roman"/>
                <w:kern w:val="0"/>
                <w14:ligatures w14:val="none"/>
              </w:rPr>
              <w:t>hasmenés</w:t>
            </w:r>
          </w:p>
        </w:tc>
        <w:tc>
          <w:tcPr>
            <w:tcW w:w="1122" w:type="pct"/>
          </w:tcPr>
          <w:p w14:paraId="3931F56D"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c>
          <w:tcPr>
            <w:tcW w:w="1021" w:type="pct"/>
          </w:tcPr>
          <w:p w14:paraId="4CA1366E"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r>
      <w:tr w:rsidR="0043030C" w:rsidRPr="0043030C" w14:paraId="278CDAF8" w14:textId="77777777" w:rsidTr="00A3683F">
        <w:tc>
          <w:tcPr>
            <w:tcW w:w="1104" w:type="pct"/>
          </w:tcPr>
          <w:p w14:paraId="4AB75C10"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Máj- és epebetegségek, illetve tünetek</w:t>
            </w:r>
          </w:p>
        </w:tc>
        <w:tc>
          <w:tcPr>
            <w:tcW w:w="722" w:type="pct"/>
          </w:tcPr>
          <w:p w14:paraId="7753BE02"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c>
          <w:tcPr>
            <w:tcW w:w="1031" w:type="pct"/>
          </w:tcPr>
          <w:p w14:paraId="62AD37A7"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c>
          <w:tcPr>
            <w:tcW w:w="1122" w:type="pct"/>
          </w:tcPr>
          <w:p w14:paraId="2A3CF549"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kóros májfunkciós vizsgálati eredmények</w:t>
            </w:r>
            <w:r w:rsidRPr="0043030C">
              <w:rPr>
                <w:rFonts w:ascii="Times New Roman" w:eastAsia="Calibri" w:hAnsi="Times New Roman" w:cs="Times New Roman"/>
                <w:color w:val="000000"/>
                <w:kern w:val="0"/>
                <w:vertAlign w:val="superscript"/>
                <w14:ligatures w14:val="none"/>
              </w:rPr>
              <w:t>(2)</w:t>
            </w:r>
            <w:r w:rsidRPr="0043030C">
              <w:rPr>
                <w:rFonts w:ascii="Times New Roman" w:eastAsia="Calibri" w:hAnsi="Times New Roman" w:cs="Times New Roman"/>
                <w:color w:val="000000"/>
                <w:kern w:val="0"/>
                <w14:ligatures w14:val="none"/>
              </w:rPr>
              <w:t>;</w:t>
            </w:r>
          </w:p>
          <w:p w14:paraId="7F9AAF68"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color w:val="000000"/>
                <w:kern w:val="0"/>
                <w14:ligatures w14:val="none"/>
              </w:rPr>
            </w:pPr>
            <w:r w:rsidRPr="0043030C">
              <w:rPr>
                <w:rFonts w:ascii="Times New Roman" w:eastAsia="Calibri" w:hAnsi="Times New Roman" w:cs="Times New Roman"/>
                <w:color w:val="000000"/>
                <w:kern w:val="0"/>
                <w14:ligatures w14:val="none"/>
              </w:rPr>
              <w:lastRenderedPageBreak/>
              <w:t xml:space="preserve">emelkedett májenzimértékek (a normálérték felső határának több mint 2-szerese) </w:t>
            </w:r>
            <w:r w:rsidRPr="0043030C">
              <w:rPr>
                <w:rFonts w:ascii="Times New Roman" w:eastAsia="Calibri" w:hAnsi="Times New Roman" w:cs="Times New Roman"/>
                <w:color w:val="000000"/>
                <w:kern w:val="0"/>
                <w:vertAlign w:val="superscript"/>
                <w14:ligatures w14:val="none"/>
              </w:rPr>
              <w:t>(1)</w:t>
            </w:r>
          </w:p>
        </w:tc>
        <w:tc>
          <w:tcPr>
            <w:tcW w:w="1021" w:type="pct"/>
          </w:tcPr>
          <w:p w14:paraId="6C482A54"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r>
      <w:tr w:rsidR="0043030C" w:rsidRPr="0043030C" w14:paraId="3C984295" w14:textId="77777777" w:rsidTr="00A3683F">
        <w:tc>
          <w:tcPr>
            <w:tcW w:w="1104" w:type="pct"/>
          </w:tcPr>
          <w:p w14:paraId="61B918B6"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bőr és a bőr alatti szövet betegségei és tünetei</w:t>
            </w:r>
          </w:p>
        </w:tc>
        <w:tc>
          <w:tcPr>
            <w:tcW w:w="722" w:type="pct"/>
          </w:tcPr>
          <w:p w14:paraId="14F5D5F0"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c>
          <w:tcPr>
            <w:tcW w:w="1031" w:type="pct"/>
          </w:tcPr>
          <w:p w14:paraId="361D072B"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kern w:val="0"/>
                <w:lang w:eastAsia="de-DE"/>
                <w14:ligatures w14:val="none"/>
              </w:rPr>
            </w:pPr>
            <w:r w:rsidRPr="0043030C">
              <w:rPr>
                <w:rFonts w:ascii="Times New Roman" w:eastAsia="Times New Roman" w:hAnsi="Times New Roman" w:cs="Times New Roman"/>
                <w:kern w:val="0"/>
                <w:lang w:eastAsia="de-DE"/>
                <w14:ligatures w14:val="none"/>
              </w:rPr>
              <w:t>pruritus;</w:t>
            </w:r>
          </w:p>
          <w:p w14:paraId="12A8D231"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r w:rsidRPr="0043030C">
              <w:rPr>
                <w:rFonts w:ascii="Times New Roman" w:eastAsia="Times New Roman" w:hAnsi="Times New Roman" w:cs="Times New Roman"/>
                <w:kern w:val="0"/>
                <w:lang w:eastAsia="de-DE"/>
                <w14:ligatures w14:val="none"/>
              </w:rPr>
              <w:t>bőrkiütés</w:t>
            </w:r>
            <w:r w:rsidRPr="0043030C">
              <w:rPr>
                <w:rFonts w:ascii="Times New Roman" w:eastAsia="Times New Roman" w:hAnsi="Times New Roman" w:cs="Times New Roman"/>
                <w:kern w:val="0"/>
                <w:vertAlign w:val="superscript"/>
                <w:lang w:eastAsia="de-DE"/>
                <w14:ligatures w14:val="none"/>
              </w:rPr>
              <w:t>(1)</w:t>
            </w:r>
          </w:p>
        </w:tc>
        <w:tc>
          <w:tcPr>
            <w:tcW w:w="1122" w:type="pct"/>
          </w:tcPr>
          <w:p w14:paraId="719465E8"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kern w:val="0"/>
                <w:lang w:eastAsia="de-DE"/>
                <w14:ligatures w14:val="none"/>
              </w:rPr>
            </w:pPr>
            <w:r w:rsidRPr="0043030C">
              <w:rPr>
                <w:rFonts w:ascii="Times New Roman" w:eastAsia="Times New Roman" w:hAnsi="Times New Roman" w:cs="Times New Roman"/>
                <w:kern w:val="0"/>
                <w:lang w:eastAsia="de-DE"/>
                <w14:ligatures w14:val="none"/>
              </w:rPr>
              <w:t>angioedema</w:t>
            </w:r>
            <w:r w:rsidRPr="0043030C">
              <w:rPr>
                <w:rFonts w:ascii="Times New Roman" w:eastAsia="Times New Roman" w:hAnsi="Times New Roman" w:cs="Times New Roman"/>
                <w:kern w:val="0"/>
                <w:vertAlign w:val="superscript"/>
                <w:lang w:eastAsia="de-DE"/>
                <w14:ligatures w14:val="none"/>
              </w:rPr>
              <w:t>(1)</w:t>
            </w:r>
            <w:r w:rsidRPr="0043030C">
              <w:rPr>
                <w:rFonts w:ascii="Times New Roman" w:eastAsia="Times New Roman" w:hAnsi="Times New Roman" w:cs="Times New Roman"/>
                <w:kern w:val="0"/>
                <w:lang w:eastAsia="de-DE"/>
                <w14:ligatures w14:val="none"/>
              </w:rPr>
              <w:t>;</w:t>
            </w:r>
          </w:p>
          <w:p w14:paraId="651679C1"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r w:rsidRPr="0043030C">
              <w:rPr>
                <w:rFonts w:ascii="Times New Roman" w:eastAsia="Times New Roman" w:hAnsi="Times New Roman" w:cs="Times New Roman"/>
                <w:kern w:val="0"/>
                <w:lang w:eastAsia="de-DE"/>
                <w14:ligatures w14:val="none"/>
              </w:rPr>
              <w:t>urticaria</w:t>
            </w:r>
            <w:r w:rsidRPr="0043030C">
              <w:rPr>
                <w:rFonts w:ascii="Times New Roman" w:eastAsia="Times New Roman" w:hAnsi="Times New Roman" w:cs="Times New Roman"/>
                <w:kern w:val="0"/>
                <w:vertAlign w:val="superscript"/>
                <w:lang w:eastAsia="de-DE"/>
                <w14:ligatures w14:val="none"/>
              </w:rPr>
              <w:t>(1)</w:t>
            </w:r>
          </w:p>
        </w:tc>
        <w:tc>
          <w:tcPr>
            <w:tcW w:w="1021" w:type="pct"/>
          </w:tcPr>
          <w:p w14:paraId="2A49C059"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Stevens–Johnson-szindróma</w:t>
            </w:r>
            <w:r w:rsidRPr="0043030C">
              <w:rPr>
                <w:rFonts w:ascii="Times New Roman" w:eastAsia="Calibri" w:hAnsi="Times New Roman" w:cs="Times New Roman"/>
                <w:color w:val="000000"/>
                <w:kern w:val="0"/>
                <w:vertAlign w:val="superscript"/>
                <w14:ligatures w14:val="none"/>
              </w:rPr>
              <w:t>(1)</w:t>
            </w:r>
            <w:r w:rsidRPr="0043030C">
              <w:rPr>
                <w:rFonts w:ascii="Times New Roman" w:eastAsia="Calibri" w:hAnsi="Times New Roman" w:cs="Times New Roman"/>
                <w:color w:val="000000"/>
                <w:kern w:val="0"/>
                <w14:ligatures w14:val="none"/>
              </w:rPr>
              <w:t>;</w:t>
            </w:r>
          </w:p>
          <w:p w14:paraId="6A64EB00"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kern w:val="0"/>
                <w14:ligatures w14:val="none"/>
              </w:rPr>
            </w:pPr>
            <w:r w:rsidRPr="0043030C">
              <w:rPr>
                <w:rFonts w:ascii="Times New Roman" w:eastAsia="Calibri" w:hAnsi="Times New Roman" w:cs="Times New Roman"/>
                <w:kern w:val="0"/>
                <w14:ligatures w14:val="none"/>
              </w:rPr>
              <w:t>toxicus epidermalis necrolysis</w:t>
            </w:r>
            <w:r w:rsidRPr="0043030C">
              <w:rPr>
                <w:rFonts w:ascii="Times New Roman" w:eastAsia="Calibri" w:hAnsi="Times New Roman" w:cs="Times New Roman"/>
                <w:kern w:val="0"/>
                <w:vertAlign w:val="superscript"/>
                <w14:ligatures w14:val="none"/>
              </w:rPr>
              <w:t>(1)</w:t>
            </w:r>
            <w:r w:rsidRPr="0043030C">
              <w:rPr>
                <w:rFonts w:ascii="Times New Roman" w:eastAsia="Calibri" w:hAnsi="Times New Roman" w:cs="Times New Roman"/>
                <w:kern w:val="0"/>
                <w:position w:val="8"/>
                <w:vertAlign w:val="superscript"/>
                <w14:ligatures w14:val="none"/>
              </w:rPr>
              <w:t xml:space="preserve"> </w:t>
            </w:r>
          </w:p>
        </w:tc>
      </w:tr>
      <w:tr w:rsidR="0043030C" w:rsidRPr="0043030C" w14:paraId="211BD953" w14:textId="77777777" w:rsidTr="00A3683F">
        <w:tc>
          <w:tcPr>
            <w:tcW w:w="1104" w:type="pct"/>
          </w:tcPr>
          <w:p w14:paraId="383F10F7"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csont- és izomrendszer, valamint a kötőszövet betegségei és tünetei</w:t>
            </w:r>
          </w:p>
        </w:tc>
        <w:tc>
          <w:tcPr>
            <w:tcW w:w="722" w:type="pct"/>
          </w:tcPr>
          <w:p w14:paraId="667AAE77"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c>
          <w:tcPr>
            <w:tcW w:w="1031" w:type="pct"/>
          </w:tcPr>
          <w:p w14:paraId="0B840A2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izomgörcsök</w:t>
            </w:r>
          </w:p>
        </w:tc>
        <w:tc>
          <w:tcPr>
            <w:tcW w:w="1122" w:type="pct"/>
          </w:tcPr>
          <w:p w14:paraId="63869531"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c>
          <w:tcPr>
            <w:tcW w:w="1021" w:type="pct"/>
          </w:tcPr>
          <w:p w14:paraId="3D1671E3"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r>
      <w:tr w:rsidR="0043030C" w:rsidRPr="0043030C" w14:paraId="29A1463A" w14:textId="77777777" w:rsidTr="00A3683F">
        <w:tc>
          <w:tcPr>
            <w:tcW w:w="1104" w:type="pct"/>
          </w:tcPr>
          <w:p w14:paraId="446D000C"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Általános tünetek, az alkalmazás helyén fellépő reakciók</w:t>
            </w:r>
          </w:p>
        </w:tc>
        <w:tc>
          <w:tcPr>
            <w:tcW w:w="722" w:type="pct"/>
          </w:tcPr>
          <w:p w14:paraId="24A79D5C"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c>
          <w:tcPr>
            <w:tcW w:w="1031" w:type="pct"/>
          </w:tcPr>
          <w:p w14:paraId="4D4C937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járászavar;</w:t>
            </w:r>
          </w:p>
          <w:p w14:paraId="0DC1E2D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asthenia;</w:t>
            </w:r>
          </w:p>
          <w:p w14:paraId="62275AAB"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fáradtság;</w:t>
            </w:r>
          </w:p>
          <w:p w14:paraId="1ACE3DCC"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ingerlékenység;</w:t>
            </w:r>
          </w:p>
          <w:p w14:paraId="75256F42" w14:textId="798A66B5" w:rsidR="0043030C" w:rsidRPr="0043030C" w:rsidRDefault="0043030C" w:rsidP="0043030C">
            <w:pPr>
              <w:spacing w:after="0" w:line="240" w:lineRule="auto"/>
              <w:rPr>
                <w:rFonts w:ascii="Times New Roman" w:eastAsia="Times New Roman" w:hAnsi="Times New Roman" w:cs="Times New Roman"/>
                <w:kern w:val="0"/>
                <w14:ligatures w14:val="none"/>
              </w:rPr>
            </w:pPr>
            <w:r w:rsidRPr="0043030C">
              <w:rPr>
                <w:rFonts w:ascii="Times New Roman" w:eastAsia="Calibri" w:hAnsi="Times New Roman" w:cs="Times New Roman"/>
                <w:kern w:val="0"/>
                <w14:ligatures w14:val="none"/>
              </w:rPr>
              <w:t xml:space="preserve">részegségérzés </w:t>
            </w:r>
          </w:p>
        </w:tc>
        <w:tc>
          <w:tcPr>
            <w:tcW w:w="1122" w:type="pct"/>
          </w:tcPr>
          <w:p w14:paraId="382A2100"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c>
          <w:tcPr>
            <w:tcW w:w="1021" w:type="pct"/>
          </w:tcPr>
          <w:p w14:paraId="4340D7BD"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r>
      <w:tr w:rsidR="0043030C" w:rsidRPr="0043030C" w14:paraId="6E21795C" w14:textId="77777777" w:rsidTr="00A3683F">
        <w:tc>
          <w:tcPr>
            <w:tcW w:w="1104" w:type="pct"/>
          </w:tcPr>
          <w:p w14:paraId="2B0FED5F"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sz w:val="24"/>
                <w:szCs w:val="24"/>
                <w14:ligatures w14:val="none"/>
              </w:rPr>
            </w:pPr>
            <w:r w:rsidRPr="0043030C">
              <w:rPr>
                <w:rFonts w:ascii="Times New Roman" w:eastAsia="Calibri" w:hAnsi="Times New Roman" w:cs="Times New Roman"/>
                <w:color w:val="000000"/>
                <w:kern w:val="0"/>
                <w14:ligatures w14:val="none"/>
              </w:rPr>
              <w:t>Sérülés, mérgezés és a beavatkozással kapcsolatos szövődmények</w:t>
            </w:r>
          </w:p>
        </w:tc>
        <w:tc>
          <w:tcPr>
            <w:tcW w:w="722" w:type="pct"/>
          </w:tcPr>
          <w:p w14:paraId="1D12283C"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c>
          <w:tcPr>
            <w:tcW w:w="1031" w:type="pct"/>
          </w:tcPr>
          <w:p w14:paraId="5C9E4DA7"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elesés;</w:t>
            </w:r>
          </w:p>
          <w:p w14:paraId="4015E0ED"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bőr-laceratio;</w:t>
            </w:r>
          </w:p>
          <w:p w14:paraId="2262B519"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r w:rsidRPr="0043030C">
              <w:rPr>
                <w:rFonts w:ascii="Times New Roman" w:eastAsia="Calibri" w:hAnsi="Times New Roman" w:cs="Times New Roman"/>
                <w:kern w:val="0"/>
                <w14:ligatures w14:val="none"/>
              </w:rPr>
              <w:t>zúzódás</w:t>
            </w:r>
          </w:p>
        </w:tc>
        <w:tc>
          <w:tcPr>
            <w:tcW w:w="1122" w:type="pct"/>
          </w:tcPr>
          <w:p w14:paraId="3FCA411F"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c>
          <w:tcPr>
            <w:tcW w:w="1021" w:type="pct"/>
          </w:tcPr>
          <w:p w14:paraId="4D310F36" w14:textId="77777777" w:rsidR="0043030C" w:rsidRPr="0043030C" w:rsidRDefault="0043030C" w:rsidP="0043030C">
            <w:pPr>
              <w:spacing w:after="0" w:line="240" w:lineRule="auto"/>
              <w:rPr>
                <w:rFonts w:ascii="Times New Roman" w:eastAsia="Times New Roman" w:hAnsi="Times New Roman" w:cs="Times New Roman"/>
                <w:kern w:val="0"/>
                <w14:ligatures w14:val="none"/>
              </w:rPr>
            </w:pPr>
          </w:p>
        </w:tc>
      </w:tr>
    </w:tbl>
    <w:p w14:paraId="1539AA19"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vertAlign w:val="superscript"/>
          <w14:ligatures w14:val="none"/>
        </w:rPr>
        <w:t>(1)</w:t>
      </w:r>
      <w:r w:rsidRPr="0043030C">
        <w:rPr>
          <w:rFonts w:ascii="Times New Roman" w:eastAsia="Calibri" w:hAnsi="Times New Roman" w:cs="Times New Roman"/>
          <w:color w:val="000000"/>
          <w:kern w:val="0"/>
          <w:position w:val="8"/>
          <w:vertAlign w:val="superscript"/>
          <w14:ligatures w14:val="none"/>
        </w:rPr>
        <w:t xml:space="preserve"> </w:t>
      </w:r>
      <w:r w:rsidRPr="0043030C">
        <w:rPr>
          <w:rFonts w:ascii="Times New Roman" w:eastAsia="Calibri" w:hAnsi="Times New Roman" w:cs="Times New Roman"/>
          <w:color w:val="000000"/>
          <w:kern w:val="0"/>
          <w14:ligatures w14:val="none"/>
        </w:rPr>
        <w:t>A forgalomba hozatalt követően jelentett mellékhatások</w:t>
      </w:r>
    </w:p>
    <w:p w14:paraId="603F354E"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vertAlign w:val="superscript"/>
          <w14:ligatures w14:val="none"/>
        </w:rPr>
        <w:t>(2)</w:t>
      </w:r>
      <w:r w:rsidRPr="0043030C">
        <w:rPr>
          <w:rFonts w:ascii="Times New Roman" w:eastAsia="Calibri" w:hAnsi="Times New Roman" w:cs="Times New Roman"/>
          <w:color w:val="000000"/>
          <w:kern w:val="0"/>
          <w:position w:val="8"/>
          <w:vertAlign w:val="superscript"/>
          <w14:ligatures w14:val="none"/>
        </w:rPr>
        <w:t xml:space="preserve"> </w:t>
      </w:r>
      <w:r w:rsidRPr="0043030C">
        <w:rPr>
          <w:rFonts w:ascii="Times New Roman" w:eastAsia="Calibri" w:hAnsi="Times New Roman" w:cs="Times New Roman"/>
          <w:color w:val="000000"/>
          <w:kern w:val="0"/>
          <w14:ligatures w14:val="none"/>
        </w:rPr>
        <w:t>Lásd „Egyes mellékhatások leírása”</w:t>
      </w:r>
    </w:p>
    <w:p w14:paraId="73ECE25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vertAlign w:val="superscript"/>
          <w14:ligatures w14:val="none"/>
        </w:rPr>
        <w:t xml:space="preserve">(3) </w:t>
      </w:r>
      <w:r w:rsidRPr="0043030C">
        <w:rPr>
          <w:rFonts w:ascii="Times New Roman" w:eastAsia="Calibri" w:hAnsi="Times New Roman" w:cs="Times New Roman"/>
          <w:color w:val="000000"/>
          <w:kern w:val="0"/>
          <w14:ligatures w14:val="none"/>
        </w:rPr>
        <w:t>PGTCS vizsgálatokban jelentették</w:t>
      </w:r>
    </w:p>
    <w:p w14:paraId="61B3870E"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3F511C7F"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Egyes mellékhatások leírása</w:t>
      </w:r>
    </w:p>
    <w:p w14:paraId="25BF0A0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2CEFA859" w14:textId="169EDA5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lakozamid alkalmazásával összefügg a PR-intervallum dózisfüggő növekedése. A PR-intervallum megnyúlásával kapcsolatban mellékhatások (pl. atrioventricularis-blokk, syncope, bradycardia) léphetnek fel. Az adjuváns kezelésre vonatkozó klinikai vizsgálatok során epilepsziás betegeknél a jelentett elsőfokú AV-blokk előfordulási gyakorisága „nem gyakori”, 0,7%, 0%, 0,5% illetve 0% volt 200 mg, 400 mg és 600 mg lakozamid, illetve placebo esetében. Másodfokú vagy súlyosabb AV-blokkot nem észleltek ezekben a vizsgálatokban. A forgalomba hozatalt követően azonban beszámoltak másod- és harmadfokú AV-blokk előfordulásáról a lakozamid-kezelés során. A lakozamid és a szabályozott hatóanyag</w:t>
      </w:r>
      <w:r w:rsidR="004F49F8">
        <w:rPr>
          <w:rFonts w:ascii="Times New Roman" w:eastAsia="Calibri" w:hAnsi="Times New Roman" w:cs="Times New Roman"/>
          <w:color w:val="000000"/>
          <w:kern w:val="0"/>
          <w14:ligatures w14:val="none"/>
        </w:rPr>
        <w:t>-</w:t>
      </w:r>
      <w:r w:rsidRPr="0043030C">
        <w:rPr>
          <w:rFonts w:ascii="Times New Roman" w:eastAsia="Calibri" w:hAnsi="Times New Roman" w:cs="Times New Roman"/>
          <w:color w:val="000000"/>
          <w:kern w:val="0"/>
          <w14:ligatures w14:val="none"/>
        </w:rPr>
        <w:t>leadású karbamazepin készítmény monoterápiáját összehasonlító klinikai vizsgálatban a PR-intervallum-megnyúlás mértéke közel azonos volt a lakozamid- és a karbamazepin-csoportban. Az összesített, adjuváns kezelésre vonatkozó klinikai vizsgálatokban a syncope előfordulási gyakorisága „nem gyakori” volt, és nem különbözött a lakozamiddal kezelt (n = 944) epilepsziás betegek (0,1%) és a placebóval kezelt (n = 364) epilepsziás betegek között (0,3%). A lakozamid és a szabályozott hatóanyag</w:t>
      </w:r>
      <w:r w:rsidR="004F49F8">
        <w:rPr>
          <w:rFonts w:ascii="Times New Roman" w:eastAsia="Calibri" w:hAnsi="Times New Roman" w:cs="Times New Roman"/>
          <w:color w:val="000000"/>
          <w:kern w:val="0"/>
          <w14:ligatures w14:val="none"/>
        </w:rPr>
        <w:t>-</w:t>
      </w:r>
      <w:r w:rsidRPr="0043030C">
        <w:rPr>
          <w:rFonts w:ascii="Times New Roman" w:eastAsia="Calibri" w:hAnsi="Times New Roman" w:cs="Times New Roman"/>
          <w:color w:val="000000"/>
          <w:kern w:val="0"/>
          <w14:ligatures w14:val="none"/>
        </w:rPr>
        <w:t>leadású karbamazepin készítmény monoterápiáját összehasonlító klinikai vizsgálatban a lakozamiddal kezelt 444 beteg közül 7-nél (1,6%), míg a szabályozott hatóanyag</w:t>
      </w:r>
      <w:r w:rsidR="004F49F8">
        <w:rPr>
          <w:rFonts w:ascii="Times New Roman" w:eastAsia="Calibri" w:hAnsi="Times New Roman" w:cs="Times New Roman"/>
          <w:color w:val="000000"/>
          <w:kern w:val="0"/>
          <w14:ligatures w14:val="none"/>
        </w:rPr>
        <w:t>-</w:t>
      </w:r>
      <w:r w:rsidRPr="0043030C">
        <w:rPr>
          <w:rFonts w:ascii="Times New Roman" w:eastAsia="Calibri" w:hAnsi="Times New Roman" w:cs="Times New Roman"/>
          <w:color w:val="000000"/>
          <w:kern w:val="0"/>
          <w14:ligatures w14:val="none"/>
        </w:rPr>
        <w:t>leadású karbamazepin készítménnyel kezelt 442 beteg közül 1</w:t>
      </w:r>
      <w:r w:rsidRPr="0043030C">
        <w:rPr>
          <w:rFonts w:ascii="Times New Roman" w:eastAsia="Calibri" w:hAnsi="Times New Roman" w:cs="Times New Roman"/>
          <w:color w:val="000000"/>
          <w:kern w:val="0"/>
          <w:vertAlign w:val="subscript"/>
          <w14:ligatures w14:val="none"/>
        </w:rPr>
        <w:noBreakHyphen/>
      </w:r>
      <w:r w:rsidRPr="0043030C">
        <w:rPr>
          <w:rFonts w:ascii="Times New Roman" w:eastAsia="Calibri" w:hAnsi="Times New Roman" w:cs="Times New Roman"/>
          <w:color w:val="000000"/>
          <w:kern w:val="0"/>
          <w14:ligatures w14:val="none"/>
        </w:rPr>
        <w:t>nél (0,2%) syncope esetét jelentették.</w:t>
      </w:r>
    </w:p>
    <w:p w14:paraId="011A2BF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Pitvarfibrillációt vagy pitvarlebegést nem jelentettek rövid távú klinikai vizsgálatokban; mindkettő előfordult azonban a nyílt elrendezésű epilepszia-vizsgálatokban és a forgalomba hozatalt követően.</w:t>
      </w:r>
    </w:p>
    <w:p w14:paraId="641536BC"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1CE1B73F"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i/>
          <w:iCs/>
          <w:color w:val="000000"/>
          <w:kern w:val="0"/>
          <w14:ligatures w14:val="none"/>
        </w:rPr>
        <w:t>Laboratóriumi eltérések</w:t>
      </w:r>
    </w:p>
    <w:p w14:paraId="1A3FAEE0"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 xml:space="preserve">Kóros májfunkciós vizsgálati eredményeket figyeltek meg lakozamiddal végzett placebokontrollos klinikai vizsgálatokban olyan, parciális görcsrohamokban szenvedő felnőtt betegek esetében, akik egyidejűleg 1–3 antiepilepsziás gyógyszert szedtek. A GPT- (ALAT-) szint normálérték felső </w:t>
      </w:r>
      <w:r w:rsidRPr="0043030C">
        <w:rPr>
          <w:rFonts w:ascii="Times New Roman" w:eastAsia="Calibri" w:hAnsi="Times New Roman" w:cs="Times New Roman"/>
          <w:color w:val="000000"/>
          <w:kern w:val="0"/>
          <w14:ligatures w14:val="none"/>
        </w:rPr>
        <w:lastRenderedPageBreak/>
        <w:t>határának 3-szorosára vagy magasabbra történő emelkedése a lakozamiddal kezelt betegek 0,7%-ánál (7/935), a placebóval kezelt betegeknek pedig 0%-ánál (0/356) fordult elő.</w:t>
      </w:r>
    </w:p>
    <w:p w14:paraId="182489B0"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4CC2F543" w14:textId="77777777" w:rsidR="0043030C" w:rsidRPr="0043030C" w:rsidRDefault="0043030C" w:rsidP="0043030C">
      <w:pPr>
        <w:keepNext/>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i/>
          <w:iCs/>
          <w:color w:val="000000"/>
          <w:kern w:val="0"/>
          <w14:ligatures w14:val="none"/>
        </w:rPr>
        <w:t>Több szervet érintő túlérzékenységi reakció</w:t>
      </w:r>
    </w:p>
    <w:p w14:paraId="6E47DA6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Egyes antiepilepsziás gyógyszerekkel kezelt betegeknél több szervet érintő túlérzékenységi reakciót jelentettek (eosinophiliával és szisztémás tünetekkel járó gyógyszerreakció [DRESS] néven is ismert). Ezeknek a reakcióknak a megjelenési formája változatos, de tipikusan lázzal és bőrkiütéssel járnak, és különböző szervrendszereket érinthetnek. Amennyiben több szervet érintő túlérzékenységi reakció gyanúja áll fenn, a lakozamid-kezelést abba kell hagyni.</w:t>
      </w:r>
    </w:p>
    <w:p w14:paraId="5591FA01"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5C30E3E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Gyermekek és serdülők</w:t>
      </w:r>
    </w:p>
    <w:p w14:paraId="5AA3480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450F99E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lakozamid placebokontrollos (255 beteg [1 hónapos– ˂ 4 éves] és 343 beteg [4–˂ 17 éves]) és nyílt elrendezésű klinikai vizsgálatokban (847 beteg [˃ 1 hónapos – ≤ 18 éves]), adjuváns terápiában, parciális görcsrohamokban szenvedő gyermekeknél és serdülőknél mutatott biztonságossági profilja megegyezik a felnőtteknél megfigyelt biztonságossági profillal. Mivel a 2 évesnél fiatalabb gyermekekről rendelkezésre álló adatok korlátozottak, a lakozamid nem ajánlott ebben a korcsoportban.</w:t>
      </w:r>
    </w:p>
    <w:p w14:paraId="028FE679"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gyermekeknél és serdülőknél megfigyelt további mellékhatások a láz, a nasopharyngitis, a pharyngitis, a csökkent étvágy, a szokatlan viselkedés és a letargia voltak. Aluszékonyságot nagyobb gyakorisággal jelentettek gyermekeknél és serdülőknél (≥ 1/10) a felnőttekhez képest (≥ 1/100 – &lt; 1/10).</w:t>
      </w:r>
    </w:p>
    <w:p w14:paraId="6589623B"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628A6D11"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Idősek</w:t>
      </w:r>
    </w:p>
    <w:p w14:paraId="73870AC7"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1EB559D3" w14:textId="44E03769" w:rsidR="0043030C" w:rsidRPr="0043030C" w:rsidRDefault="0043030C" w:rsidP="0043030C">
      <w:pPr>
        <w:spacing w:after="0" w:line="240" w:lineRule="auto"/>
        <w:rPr>
          <w:rFonts w:ascii="Times New Roman" w:eastAsia="Calibri" w:hAnsi="Times New Roman" w:cs="Times New Roman"/>
          <w:kern w:val="0"/>
          <w14:ligatures w14:val="none"/>
        </w:rPr>
      </w:pPr>
      <w:r w:rsidRPr="0043030C">
        <w:rPr>
          <w:rFonts w:ascii="Times New Roman" w:eastAsia="Calibri" w:hAnsi="Times New Roman" w:cs="Times New Roman"/>
          <w:kern w:val="0"/>
          <w14:ligatures w14:val="none"/>
        </w:rPr>
        <w:t>A lakozamid és a szabályozott hatóanyag</w:t>
      </w:r>
      <w:r w:rsidR="004F49F8">
        <w:rPr>
          <w:rFonts w:ascii="Times New Roman" w:eastAsia="Calibri" w:hAnsi="Times New Roman" w:cs="Times New Roman"/>
          <w:kern w:val="0"/>
          <w14:ligatures w14:val="none"/>
        </w:rPr>
        <w:t>-</w:t>
      </w:r>
      <w:r w:rsidRPr="0043030C">
        <w:rPr>
          <w:rFonts w:ascii="Times New Roman" w:eastAsia="Calibri" w:hAnsi="Times New Roman" w:cs="Times New Roman"/>
          <w:kern w:val="0"/>
          <w14:ligatures w14:val="none"/>
        </w:rPr>
        <w:t>leadású karbamazepin készítmény monoterápiáját összehasonlító klinikai vizsgálatban a lakozamiddal összefüggő mellékhatások típusa az időseknél (≥ 65 év) hasonló volt, mint a 65 évesnél fiatalabb betegeknél. Ugyanakkor, az elesés, a hasmenés és a tremor mellékhatásokat gyakrabban (≥ 5% különbség) jelentették időseknél, mint fiatalabb felnőtteknél. A fiatalabb felnőttekhez képest az időseknél előforduló leggyakoribb szívet érintő mellékhatás az elsőfokú AV-blokk volt. Ezt a lakozamiddal kezelt idős betegek 4,8%-ánál (3/62), míg a fiatalabb felnőttek 1,6%-ánál (6/382) jelentették. A lakozamid-kezelést mellékhatások miatt megszakítók aránya 21,0% (13/62) volt az időseknél, míg a fiatalabb felnőtteknél ez az arány 9,2% (35/382) volt. Ezek az idősek és fiatalabb felnőtt betegek között megfigyelt különbségek hasonlóak voltak az aktív komparátor csoportban.</w:t>
      </w:r>
    </w:p>
    <w:p w14:paraId="2E43ABED"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75276661"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Feltételezett mellékhatások bejelentése</w:t>
      </w:r>
    </w:p>
    <w:p w14:paraId="038F9BC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3758544C"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14:ligatures w14:val="none"/>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w:history="1">
        <w:r w:rsidRPr="0043030C">
          <w:rPr>
            <w:rFonts w:ascii="Times New Roman" w:eastAsia="Calibri" w:hAnsi="Times New Roman" w:cs="Times New Roman"/>
            <w:color w:val="0000FF"/>
            <w:kern w:val="0"/>
            <w:highlight w:val="lightGray"/>
            <w:u w:val="single"/>
            <w14:ligatures w14:val="none"/>
          </w:rPr>
          <w:t>V. füg</w:t>
        </w:r>
        <w:bookmarkStart w:id="3" w:name="_Hlt352075914"/>
        <w:bookmarkStart w:id="4" w:name="_Hlt352075915"/>
        <w:r w:rsidRPr="0043030C">
          <w:rPr>
            <w:rFonts w:ascii="Times New Roman" w:eastAsia="Calibri" w:hAnsi="Times New Roman" w:cs="Times New Roman"/>
            <w:color w:val="0000FF"/>
            <w:kern w:val="0"/>
            <w:highlight w:val="lightGray"/>
            <w:u w:val="single"/>
            <w14:ligatures w14:val="none"/>
          </w:rPr>
          <w:t>g</w:t>
        </w:r>
        <w:bookmarkEnd w:id="3"/>
        <w:bookmarkEnd w:id="4"/>
        <w:r w:rsidRPr="0043030C">
          <w:rPr>
            <w:rFonts w:ascii="Times New Roman" w:eastAsia="Calibri" w:hAnsi="Times New Roman" w:cs="Times New Roman"/>
            <w:color w:val="0000FF"/>
            <w:kern w:val="0"/>
            <w:highlight w:val="lightGray"/>
            <w:u w:val="single"/>
            <w14:ligatures w14:val="none"/>
          </w:rPr>
          <w:t>elékben</w:t>
        </w:r>
      </w:hyperlink>
      <w:r w:rsidRPr="0043030C">
        <w:rPr>
          <w:rFonts w:ascii="Times New Roman" w:eastAsia="Calibri" w:hAnsi="Times New Roman" w:cs="Times New Roman"/>
          <w:color w:val="000000"/>
          <w:kern w:val="0"/>
          <w:highlight w:val="lightGray"/>
          <w14:ligatures w14:val="none"/>
        </w:rPr>
        <w:t xml:space="preserve"> található elérhetőségek valamelyikén keresztül.</w:t>
      </w:r>
    </w:p>
    <w:p w14:paraId="52A6BF20"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61FF0E75"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b/>
          <w:bCs/>
          <w:color w:val="000000"/>
          <w:kern w:val="0"/>
          <w14:ligatures w14:val="none"/>
        </w:rPr>
      </w:pPr>
      <w:r w:rsidRPr="0043030C">
        <w:rPr>
          <w:rFonts w:ascii="Times New Roman" w:eastAsia="Calibri" w:hAnsi="Times New Roman" w:cs="Times New Roman"/>
          <w:b/>
          <w:bCs/>
          <w:color w:val="000000"/>
          <w:kern w:val="0"/>
          <w14:ligatures w14:val="none"/>
        </w:rPr>
        <w:t>4.9</w:t>
      </w:r>
      <w:r w:rsidRPr="0043030C">
        <w:rPr>
          <w:rFonts w:ascii="Times New Roman" w:eastAsia="Calibri" w:hAnsi="Times New Roman" w:cs="Times New Roman"/>
          <w:b/>
          <w:bCs/>
          <w:color w:val="000000"/>
          <w:kern w:val="0"/>
          <w14:ligatures w14:val="none"/>
        </w:rPr>
        <w:tab/>
        <w:t>Túladagolás</w:t>
      </w:r>
    </w:p>
    <w:p w14:paraId="10DA848F"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p>
    <w:p w14:paraId="2A1C2490"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Tünetek</w:t>
      </w:r>
    </w:p>
    <w:p w14:paraId="14B36E2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p>
    <w:p w14:paraId="4295665F"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lakozamid véletlen vagy szándékos túladagolását követően elsősorban központi idegrendszeri és emésztőrendszeri tüneteket figyeltek meg.</w:t>
      </w:r>
    </w:p>
    <w:p w14:paraId="788517AF" w14:textId="4D93275D" w:rsidR="0043030C" w:rsidRPr="0043030C" w:rsidRDefault="0043030C" w:rsidP="0043030C">
      <w:pPr>
        <w:numPr>
          <w:ilvl w:val="0"/>
          <w:numId w:val="14"/>
        </w:num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400 mg és 800 mg közötti dózisokat kapó betegeknél tapasztalt mellékhatások típusai klinikailag nem különböztek a lakozamid javasolt dózisaival kezelt betegeknél megfigyeltektől.</w:t>
      </w:r>
    </w:p>
    <w:p w14:paraId="24EA983A" w14:textId="1A1CAE73" w:rsidR="0043030C" w:rsidRPr="0043030C" w:rsidRDefault="0043030C" w:rsidP="0043030C">
      <w:pPr>
        <w:numPr>
          <w:ilvl w:val="0"/>
          <w:numId w:val="14"/>
        </w:num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800 mg-ot meghaladó dózist követően szédülést, hányást, görcsrohamokat (generalizált tónusos-clonusos görcsök, status epilepticus) jelentettek. A szív ingerületvezetési zavarait, sokkot és kómát szintén megfigyeltek. Végzetes kimenetelről egyszer</w:t>
      </w:r>
      <w:r w:rsidR="000C2E02">
        <w:rPr>
          <w:rFonts w:ascii="Times New Roman" w:eastAsia="Calibri" w:hAnsi="Times New Roman" w:cs="Times New Roman"/>
          <w:color w:val="000000"/>
          <w:kern w:val="0"/>
          <w14:ligatures w14:val="none"/>
        </w:rPr>
        <w:t>i, nagyobb</w:t>
      </w:r>
      <w:r w:rsidRPr="0043030C">
        <w:rPr>
          <w:rFonts w:ascii="Times New Roman" w:eastAsia="Calibri" w:hAnsi="Times New Roman" w:cs="Times New Roman"/>
          <w:color w:val="000000"/>
          <w:kern w:val="0"/>
          <w14:ligatures w14:val="none"/>
        </w:rPr>
        <w:t xml:space="preserve"> dózisban történő, akut lakozamid</w:t>
      </w:r>
      <w:r w:rsidR="000C2E02">
        <w:rPr>
          <w:rFonts w:ascii="Times New Roman" w:eastAsia="Calibri" w:hAnsi="Times New Roman" w:cs="Times New Roman"/>
          <w:color w:val="000000"/>
          <w:kern w:val="0"/>
          <w14:ligatures w14:val="none"/>
        </w:rPr>
        <w:t>-</w:t>
      </w:r>
      <w:r w:rsidRPr="0043030C">
        <w:rPr>
          <w:rFonts w:ascii="Times New Roman" w:eastAsia="Calibri" w:hAnsi="Times New Roman" w:cs="Times New Roman"/>
          <w:color w:val="000000"/>
          <w:kern w:val="0"/>
          <w14:ligatures w14:val="none"/>
        </w:rPr>
        <w:t>túladagolást követően számoltak be.</w:t>
      </w:r>
    </w:p>
    <w:p w14:paraId="56DEA217"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p>
    <w:p w14:paraId="35FD2EF6" w14:textId="77777777" w:rsidR="0043030C" w:rsidRPr="0043030C" w:rsidRDefault="0043030C" w:rsidP="0043030C">
      <w:pPr>
        <w:keepNext/>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lastRenderedPageBreak/>
        <w:t>Kezelés</w:t>
      </w:r>
    </w:p>
    <w:p w14:paraId="4CFF6EB4" w14:textId="77777777" w:rsidR="0043030C" w:rsidRPr="0043030C" w:rsidRDefault="0043030C" w:rsidP="0043030C">
      <w:pPr>
        <w:keepNext/>
        <w:autoSpaceDE w:val="0"/>
        <w:autoSpaceDN w:val="0"/>
        <w:adjustRightInd w:val="0"/>
        <w:spacing w:after="0" w:line="240" w:lineRule="auto"/>
        <w:rPr>
          <w:rFonts w:ascii="Times New Roman" w:eastAsia="Calibri" w:hAnsi="Times New Roman" w:cs="Times New Roman"/>
          <w:color w:val="000000"/>
          <w:kern w:val="0"/>
          <w:u w:val="single"/>
          <w14:ligatures w14:val="none"/>
        </w:rPr>
      </w:pPr>
    </w:p>
    <w:p w14:paraId="7E46D956" w14:textId="6A16CA7C"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lakozamiddal történt túladagolásnak nincs specifikus antid</w:t>
      </w:r>
      <w:r w:rsidR="002A137A">
        <w:rPr>
          <w:rFonts w:ascii="Times New Roman" w:eastAsia="Calibri" w:hAnsi="Times New Roman" w:cs="Times New Roman"/>
          <w:color w:val="000000"/>
          <w:kern w:val="0"/>
          <w14:ligatures w14:val="none"/>
        </w:rPr>
        <w:t>ó</w:t>
      </w:r>
      <w:r w:rsidRPr="0043030C">
        <w:rPr>
          <w:rFonts w:ascii="Times New Roman" w:eastAsia="Calibri" w:hAnsi="Times New Roman" w:cs="Times New Roman"/>
          <w:color w:val="000000"/>
          <w:kern w:val="0"/>
          <w14:ligatures w14:val="none"/>
        </w:rPr>
        <w:t>tuma. A lakozamid</w:t>
      </w:r>
      <w:r w:rsidR="002A137A">
        <w:rPr>
          <w:rFonts w:ascii="Times New Roman" w:eastAsia="Calibri" w:hAnsi="Times New Roman" w:cs="Times New Roman"/>
          <w:color w:val="000000"/>
          <w:kern w:val="0"/>
          <w14:ligatures w14:val="none"/>
        </w:rPr>
        <w:t>-</w:t>
      </w:r>
      <w:r w:rsidRPr="0043030C">
        <w:rPr>
          <w:rFonts w:ascii="Times New Roman" w:eastAsia="Calibri" w:hAnsi="Times New Roman" w:cs="Times New Roman"/>
          <w:color w:val="000000"/>
          <w:kern w:val="0"/>
          <w14:ligatures w14:val="none"/>
        </w:rPr>
        <w:t>túladagolás kezelésekor általános szupportív beavatkozásokat kell végezni, és szükség esetén sor kerülhet hemodialízisre is (lásd 5.2 pont).</w:t>
      </w:r>
    </w:p>
    <w:p w14:paraId="7F0CB24C"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252109C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7F807D4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b/>
          <w:bCs/>
          <w:color w:val="000000"/>
          <w:kern w:val="0"/>
          <w14:ligatures w14:val="none"/>
        </w:rPr>
      </w:pPr>
      <w:r w:rsidRPr="0043030C">
        <w:rPr>
          <w:rFonts w:ascii="Times New Roman" w:eastAsia="Calibri" w:hAnsi="Times New Roman" w:cs="Times New Roman"/>
          <w:b/>
          <w:bCs/>
          <w:color w:val="000000"/>
          <w:kern w:val="0"/>
          <w14:ligatures w14:val="none"/>
        </w:rPr>
        <w:t>5.</w:t>
      </w:r>
      <w:r w:rsidRPr="0043030C">
        <w:rPr>
          <w:rFonts w:ascii="Times New Roman" w:eastAsia="Calibri" w:hAnsi="Times New Roman" w:cs="Times New Roman"/>
          <w:b/>
          <w:bCs/>
          <w:color w:val="000000"/>
          <w:kern w:val="0"/>
          <w14:ligatures w14:val="none"/>
        </w:rPr>
        <w:tab/>
        <w:t>FARMAKOLÓGIAI TULAJDONSÁGOK</w:t>
      </w:r>
    </w:p>
    <w:p w14:paraId="7F537EF5"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413A7F9B"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b/>
          <w:bCs/>
          <w:color w:val="000000"/>
          <w:kern w:val="0"/>
          <w14:ligatures w14:val="none"/>
        </w:rPr>
      </w:pPr>
      <w:r w:rsidRPr="0043030C">
        <w:rPr>
          <w:rFonts w:ascii="Times New Roman" w:eastAsia="Calibri" w:hAnsi="Times New Roman" w:cs="Times New Roman"/>
          <w:b/>
          <w:bCs/>
          <w:color w:val="000000"/>
          <w:kern w:val="0"/>
          <w14:ligatures w14:val="none"/>
        </w:rPr>
        <w:t>5.1</w:t>
      </w:r>
      <w:r w:rsidRPr="0043030C">
        <w:rPr>
          <w:rFonts w:ascii="Times New Roman" w:eastAsia="Calibri" w:hAnsi="Times New Roman" w:cs="Times New Roman"/>
          <w:b/>
          <w:bCs/>
          <w:color w:val="000000"/>
          <w:kern w:val="0"/>
          <w14:ligatures w14:val="none"/>
        </w:rPr>
        <w:tab/>
        <w:t>Farmakodinámiás tulajdonságok</w:t>
      </w:r>
    </w:p>
    <w:p w14:paraId="7C3E27DC"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778C18DB"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Farmakoterápiás csoport: antiepileptikumok, egyéb antiepiletikumok, ATC kód: N03AX18</w:t>
      </w:r>
    </w:p>
    <w:p w14:paraId="54A2862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p>
    <w:p w14:paraId="7A01D5CB"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Hatásmechanizmus</w:t>
      </w:r>
    </w:p>
    <w:p w14:paraId="3373B319"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78AAA4B7"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hatóanyag, a lakozamid (R-2-acetamido-N-benzil-3-metoxi-propionamid) egy funkcionalizált aminosav.</w:t>
      </w:r>
    </w:p>
    <w:p w14:paraId="457DEA21"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 xml:space="preserve">Még nem teljesen tisztázott a pontos mechanizmusa annak, ahogyan a lakozamid kifejti antiepilepsziás hatását embernél. </w:t>
      </w:r>
      <w:r w:rsidRPr="0043030C">
        <w:rPr>
          <w:rFonts w:ascii="Times New Roman" w:eastAsia="Calibri" w:hAnsi="Times New Roman" w:cs="Times New Roman"/>
          <w:i/>
          <w:iCs/>
          <w:color w:val="000000"/>
          <w:kern w:val="0"/>
          <w14:ligatures w14:val="none"/>
        </w:rPr>
        <w:t xml:space="preserve">In vitro </w:t>
      </w:r>
      <w:r w:rsidRPr="0043030C">
        <w:rPr>
          <w:rFonts w:ascii="Times New Roman" w:eastAsia="Calibri" w:hAnsi="Times New Roman" w:cs="Times New Roman"/>
          <w:color w:val="000000"/>
          <w:kern w:val="0"/>
          <w14:ligatures w14:val="none"/>
        </w:rPr>
        <w:t>elektrofiziológiai vizsgálatok azt mutatták, hogy a lakozamid szelektíven fokozza a feszültségfüggő nátriumcsatornák lassú inaktivációját, ami a hiperexcitábilis idegsejtmembránok stabilizációját eredményezi.</w:t>
      </w:r>
    </w:p>
    <w:p w14:paraId="0A8BD25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311087EE"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Farmakodinámiás hatások</w:t>
      </w:r>
    </w:p>
    <w:p w14:paraId="623B7DC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1F54ACE9" w14:textId="77777777" w:rsidR="0043030C" w:rsidRPr="0043030C" w:rsidRDefault="0043030C" w:rsidP="0043030C">
      <w:pPr>
        <w:spacing w:after="0" w:line="240" w:lineRule="auto"/>
        <w:rPr>
          <w:rFonts w:ascii="Times New Roman" w:eastAsia="Calibri" w:hAnsi="Times New Roman" w:cs="Times New Roman"/>
          <w:kern w:val="0"/>
          <w14:ligatures w14:val="none"/>
        </w:rPr>
      </w:pPr>
      <w:r w:rsidRPr="0043030C">
        <w:rPr>
          <w:rFonts w:ascii="Times New Roman" w:eastAsia="Calibri" w:hAnsi="Times New Roman" w:cs="Times New Roman"/>
          <w:kern w:val="0"/>
          <w14:ligatures w14:val="none"/>
        </w:rPr>
        <w:t>A lakozamid parciális és elsődleges generalizált görcsrohamok állatmodelljeinek széles tartományában védelmet biztosított a görcsrohamokkal szemben, és késleltette az ún. “kindling” kialakulását.</w:t>
      </w:r>
    </w:p>
    <w:p w14:paraId="0E7A1EEB" w14:textId="77777777" w:rsidR="0043030C" w:rsidRPr="0043030C" w:rsidRDefault="0043030C" w:rsidP="0043030C">
      <w:pPr>
        <w:spacing w:after="0" w:line="240" w:lineRule="auto"/>
        <w:rPr>
          <w:rFonts w:ascii="Times New Roman" w:eastAsia="Calibri" w:hAnsi="Times New Roman" w:cs="Times New Roman"/>
          <w:kern w:val="0"/>
          <w14:ligatures w14:val="none"/>
        </w:rPr>
      </w:pPr>
      <w:r w:rsidRPr="0043030C">
        <w:rPr>
          <w:rFonts w:ascii="Times New Roman" w:eastAsia="Calibri" w:hAnsi="Times New Roman" w:cs="Times New Roman"/>
          <w:kern w:val="0"/>
          <w14:ligatures w14:val="none"/>
        </w:rPr>
        <w:t>Nem klinikai vizsgálatokban a lakozamid levetiracetámmal, karbamazepinnel, fenitoinnal, valproáttal, lamotriginnel, topiramáttal vagy gabapentinnel kombinálva szinergista vagy additív antikonvulzív hatásokat mutatott.</w:t>
      </w:r>
    </w:p>
    <w:p w14:paraId="7E00E0A7" w14:textId="77777777" w:rsidR="0043030C" w:rsidRPr="0043030C" w:rsidRDefault="0043030C" w:rsidP="0043030C">
      <w:pPr>
        <w:spacing w:after="0" w:line="240" w:lineRule="auto"/>
        <w:rPr>
          <w:rFonts w:ascii="Times New Roman" w:eastAsia="Calibri" w:hAnsi="Times New Roman" w:cs="Times New Roman"/>
          <w:kern w:val="0"/>
          <w14:ligatures w14:val="none"/>
        </w:rPr>
      </w:pPr>
    </w:p>
    <w:p w14:paraId="02B76B38"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Klinikai hatásosság és biztonságosság (parciális görcsrohamok)</w:t>
      </w:r>
    </w:p>
    <w:p w14:paraId="51990342"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Felnőtt betegcsoport</w:t>
      </w:r>
    </w:p>
    <w:p w14:paraId="761ED27E"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p>
    <w:p w14:paraId="177E229D"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r w:rsidRPr="0043030C">
        <w:rPr>
          <w:rFonts w:ascii="Times New Roman" w:eastAsia="Calibri" w:hAnsi="Times New Roman" w:cs="Times New Roman"/>
          <w:i/>
          <w:iCs/>
          <w:color w:val="000000"/>
          <w:kern w:val="0"/>
          <w14:ligatures w14:val="none"/>
        </w:rPr>
        <w:t>Monoterápia</w:t>
      </w:r>
    </w:p>
    <w:p w14:paraId="5D0297CE" w14:textId="76AF1238"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lakozamid hatásosságát monoterápiában egy kettős vak, párhuzamos elrendezésű, szabályozott hatóanyag</w:t>
      </w:r>
      <w:r w:rsidR="004F49F8">
        <w:rPr>
          <w:rFonts w:ascii="Times New Roman" w:eastAsia="Calibri" w:hAnsi="Times New Roman" w:cs="Times New Roman"/>
          <w:color w:val="000000"/>
          <w:kern w:val="0"/>
          <w14:ligatures w14:val="none"/>
        </w:rPr>
        <w:t>-</w:t>
      </w:r>
      <w:r w:rsidRPr="0043030C">
        <w:rPr>
          <w:rFonts w:ascii="Times New Roman" w:eastAsia="Calibri" w:hAnsi="Times New Roman" w:cs="Times New Roman"/>
          <w:color w:val="000000"/>
          <w:kern w:val="0"/>
          <w14:ligatures w14:val="none"/>
        </w:rPr>
        <w:t>leadású karbamazepin készítménnyel szembeni „non-inferiority” típusú klinikai vizsgálatban igazolták. A vizsgálatba 886 olyan 16 éves vagy annál idősebb beteget vontak be, akiknél az epilepsziát újonnan vagy nemrégiben diagnosztizálták. A betegek anamnézisében másodlagos generalizációval járó vagy a</w:t>
      </w:r>
      <w:r w:rsidR="006A0076">
        <w:rPr>
          <w:rFonts w:ascii="Times New Roman" w:eastAsia="Calibri" w:hAnsi="Times New Roman" w:cs="Times New Roman"/>
          <w:color w:val="000000"/>
          <w:kern w:val="0"/>
          <w14:ligatures w14:val="none"/>
        </w:rPr>
        <w:t xml:space="preserve"> </w:t>
      </w:r>
      <w:r w:rsidRPr="0043030C">
        <w:rPr>
          <w:rFonts w:ascii="Times New Roman" w:eastAsia="Calibri" w:hAnsi="Times New Roman" w:cs="Times New Roman"/>
          <w:color w:val="000000"/>
          <w:kern w:val="0"/>
          <w14:ligatures w14:val="none"/>
        </w:rPr>
        <w:t>nélkül fellépő, nem provokált parciális görcsrohamok szerepeltek. A betegek a szabályozott hatóanyag</w:t>
      </w:r>
      <w:r w:rsidR="004F49F8">
        <w:rPr>
          <w:rFonts w:ascii="Times New Roman" w:eastAsia="Calibri" w:hAnsi="Times New Roman" w:cs="Times New Roman"/>
          <w:color w:val="000000"/>
          <w:kern w:val="0"/>
          <w14:ligatures w14:val="none"/>
        </w:rPr>
        <w:t>-</w:t>
      </w:r>
      <w:r w:rsidRPr="0043030C">
        <w:rPr>
          <w:rFonts w:ascii="Times New Roman" w:eastAsia="Calibri" w:hAnsi="Times New Roman" w:cs="Times New Roman"/>
          <w:color w:val="000000"/>
          <w:kern w:val="0"/>
          <w14:ligatures w14:val="none"/>
        </w:rPr>
        <w:t xml:space="preserve">leadású karbamazepin készítményt vagy lakozamidot kapták tabletta formájában, és 1:1 arányban randomizálták őket. A dózist a </w:t>
      </w:r>
      <w:r w:rsidR="006A0076">
        <w:rPr>
          <w:rFonts w:ascii="Times New Roman" w:eastAsia="Calibri" w:hAnsi="Times New Roman" w:cs="Times New Roman"/>
          <w:color w:val="000000"/>
          <w:kern w:val="0"/>
          <w14:ligatures w14:val="none"/>
        </w:rPr>
        <w:t>dózisfüggő</w:t>
      </w:r>
      <w:r w:rsidRPr="0043030C">
        <w:rPr>
          <w:rFonts w:ascii="Times New Roman" w:eastAsia="Calibri" w:hAnsi="Times New Roman" w:cs="Times New Roman"/>
          <w:color w:val="000000"/>
          <w:kern w:val="0"/>
          <w14:ligatures w14:val="none"/>
        </w:rPr>
        <w:t xml:space="preserve"> válaszreakció alapján állapították meg, és a szabályozott hatóanyag</w:t>
      </w:r>
      <w:r w:rsidR="004F49F8">
        <w:rPr>
          <w:rFonts w:ascii="Times New Roman" w:eastAsia="Calibri" w:hAnsi="Times New Roman" w:cs="Times New Roman"/>
          <w:color w:val="000000"/>
          <w:kern w:val="0"/>
          <w14:ligatures w14:val="none"/>
        </w:rPr>
        <w:t>-</w:t>
      </w:r>
      <w:r w:rsidRPr="0043030C">
        <w:rPr>
          <w:rFonts w:ascii="Times New Roman" w:eastAsia="Calibri" w:hAnsi="Times New Roman" w:cs="Times New Roman"/>
          <w:color w:val="000000"/>
          <w:kern w:val="0"/>
          <w14:ligatures w14:val="none"/>
        </w:rPr>
        <w:t>leadású karbamazepin készítmény esetén 400</w:t>
      </w:r>
      <w:r w:rsidRPr="0043030C">
        <w:rPr>
          <w:rFonts w:ascii="Times New Roman" w:eastAsia="Calibri" w:hAnsi="Times New Roman" w:cs="Times New Roman"/>
          <w:color w:val="000000"/>
          <w:kern w:val="0"/>
          <w14:ligatures w14:val="none"/>
        </w:rPr>
        <w:noBreakHyphen/>
        <w:t>1200 mg/nap, míg a lakozamid esetén 200–600 mg/nap volt. A kezelés a válaszreakciótól függően legfeljebb 121 hétig tartott.</w:t>
      </w:r>
    </w:p>
    <w:p w14:paraId="4786B19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Kaplan–Meier-féle túlélési analízissel végzett becslés alapján azoknak a betegeknek az aránya, akiknél 6 hónapig nem lépett fel görcsroham, 89,8% volt a lakozamiddal, és 91,1% volt a karbamazepinnel kezelt betegeknél. A két kezelés közötti korrigált abszolút különbség –1,3% (95%-os CI: –5,5; 2,8) volt. A Kaplan–Meier-féle becslés alapján azoknak a betegeknek az aránya, akiknél 12 hónapig nem lépett fel görcsroham, 77,8% volt a lakozamiddal, és 82,7% volt a karbamazepinnel kezelt betegeknél.</w:t>
      </w:r>
    </w:p>
    <w:p w14:paraId="155711EC"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Azon betegek aránya, akiknél 6 hónapig nem lépett fel görcsroham a 65 éves és annál idősebb betegek között (62 beteg a lakozamiddal és 57 beteg a karbamazepinnel kezelt betegek közül), hasonló volt a két csoportban. Az arányok a teljes populációban megfigyelt alanyok tekintetében is megegyeztek. Az idősebb betegeknél a fenntartó dózis lakozamid esetén 55 betegnél (88,7%) 200 mg/nap, 6 betegnél (9,7%) 400 mg/nap volt, és a dózist 1 betegnél (1,6%) emelték 400 mg/nap fölé.</w:t>
      </w:r>
    </w:p>
    <w:p w14:paraId="48574315"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56B546E2" w14:textId="77777777" w:rsidR="0043030C" w:rsidRPr="0043030C" w:rsidRDefault="0043030C" w:rsidP="0043030C">
      <w:pPr>
        <w:keepNext/>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r w:rsidRPr="0043030C">
        <w:rPr>
          <w:rFonts w:ascii="Times New Roman" w:eastAsia="Calibri" w:hAnsi="Times New Roman" w:cs="Times New Roman"/>
          <w:i/>
          <w:iCs/>
          <w:color w:val="000000"/>
          <w:kern w:val="0"/>
          <w14:ligatures w14:val="none"/>
        </w:rPr>
        <w:lastRenderedPageBreak/>
        <w:t>Áttérés monoterápiára</w:t>
      </w:r>
    </w:p>
    <w:p w14:paraId="036D262B" w14:textId="794DE755"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lakozamid hatásosságát és biztonságosságát monoterápiára történő váltás esetén hisztorikus-kontrollos, multicentrikus, kettős vak, randomizált klinikai vizsgálatban értékelték. A vizsgálatba 425 olyan 16 és 70 év közötti beteget vontak be, akiknek az anamnézisében nem</w:t>
      </w:r>
      <w:r w:rsidR="00411E0A">
        <w:rPr>
          <w:rFonts w:ascii="Times New Roman" w:eastAsia="Calibri" w:hAnsi="Times New Roman" w:cs="Times New Roman"/>
          <w:color w:val="000000"/>
          <w:kern w:val="0"/>
          <w14:ligatures w14:val="none"/>
        </w:rPr>
        <w:t xml:space="preserve"> </w:t>
      </w:r>
      <w:r w:rsidRPr="0043030C">
        <w:rPr>
          <w:rFonts w:ascii="Times New Roman" w:eastAsia="Calibri" w:hAnsi="Times New Roman" w:cs="Times New Roman"/>
          <w:color w:val="000000"/>
          <w:kern w:val="0"/>
          <w14:ligatures w14:val="none"/>
        </w:rPr>
        <w:t>kontrollált parciális görcsrohamok szerepeltek, és 1 vagy 2, állandó dózisú, forgalomban lévő antiepileptikumot szedtek. A betegeket randomizált módon állították át lakozamid</w:t>
      </w:r>
      <w:r w:rsidR="00411E0A">
        <w:rPr>
          <w:rFonts w:ascii="Times New Roman" w:eastAsia="Calibri" w:hAnsi="Times New Roman" w:cs="Times New Roman"/>
          <w:color w:val="000000"/>
          <w:kern w:val="0"/>
          <w14:ligatures w14:val="none"/>
        </w:rPr>
        <w:t>-</w:t>
      </w:r>
      <w:r w:rsidRPr="0043030C">
        <w:rPr>
          <w:rFonts w:ascii="Times New Roman" w:eastAsia="Calibri" w:hAnsi="Times New Roman" w:cs="Times New Roman"/>
          <w:color w:val="000000"/>
          <w:kern w:val="0"/>
          <w14:ligatures w14:val="none"/>
        </w:rPr>
        <w:t>monoterápiára (400 mg/nap vagy 300 mg/nap dózist kaptak 3:1 arányban). Azoknál a kezelt betegeknél, akiknél a titrálás befejeződött, és elkezdték elvonni az antiepileptikumokat (sorrendben 284 és 99), a monoterápia a betegek 71,5%-ánál, illetve 70,7%-ánál 57–105 napig (középérték 71 nap), a célként kitűzött, 70 napos megfigyelési időtartamnál hosszabb ideig fennmaradt.</w:t>
      </w:r>
    </w:p>
    <w:p w14:paraId="0D5DFFD7"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6A2C81C4"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r w:rsidRPr="0043030C">
        <w:rPr>
          <w:rFonts w:ascii="Times New Roman" w:eastAsia="Calibri" w:hAnsi="Times New Roman" w:cs="Times New Roman"/>
          <w:i/>
          <w:iCs/>
          <w:color w:val="000000"/>
          <w:kern w:val="0"/>
          <w14:ligatures w14:val="none"/>
        </w:rPr>
        <w:t>Adjuváns terápia</w:t>
      </w:r>
    </w:p>
    <w:p w14:paraId="487B31EA" w14:textId="3CB09BB8"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Az ajánlott dózisokban (200 mg/nap, 400 mg/nap) adjuváns terápiaként alkalmazott lakozamid hatásosságát 3 multicentrikus, randomizált, placebokontrollos, 12 hetes fenntartó periódusú klinikai vizsgálatban állapították meg. A lakozamid 600 mg/nap dózisban is hatásosnak bizonyult a kontrollos adjuváns terápiás vizsgálatokban, bár a hatásosság hasonló volt a napi 400 mg-os dóziséhoz, és a betegek kevésbé jól tolerálták ezt a dózist a központi idegrendszeri és emésztőrendszeri mellékhatások miatt. Emiatt a 600 mg/nap dózis nem ajánlott. A maximális ajánlott dózis naponta 400 mg. Ezeket az 1308 olyan beteg részvételével végzett vizsgálatokat, akiknek az anamnézisében átlagosan 23 éve szerepeltek parciális görcsrohamok, úgy tervezték, hogy 1–3 antiepilepsziás gyógyszer egyidejű alkalmazása mellett értékelték a lakozamid hatásosságát és biztonságosságát, nem</w:t>
      </w:r>
      <w:r w:rsidR="00411E0A">
        <w:rPr>
          <w:rFonts w:ascii="Times New Roman" w:eastAsia="Calibri" w:hAnsi="Times New Roman" w:cs="Times New Roman"/>
          <w:color w:val="000000"/>
          <w:kern w:val="0"/>
          <w14:ligatures w14:val="none"/>
        </w:rPr>
        <w:t xml:space="preserve"> </w:t>
      </w:r>
      <w:r w:rsidRPr="0043030C">
        <w:rPr>
          <w:rFonts w:ascii="Times New Roman" w:eastAsia="Calibri" w:hAnsi="Times New Roman" w:cs="Times New Roman"/>
          <w:color w:val="000000"/>
          <w:kern w:val="0"/>
          <w14:ligatures w14:val="none"/>
        </w:rPr>
        <w:t>kontrollált, másodlagos generalizációval járó vagy a</w:t>
      </w:r>
      <w:r w:rsidR="00411E0A">
        <w:rPr>
          <w:rFonts w:ascii="Times New Roman" w:eastAsia="Calibri" w:hAnsi="Times New Roman" w:cs="Times New Roman"/>
          <w:color w:val="000000"/>
          <w:kern w:val="0"/>
          <w14:ligatures w14:val="none"/>
        </w:rPr>
        <w:t xml:space="preserve"> </w:t>
      </w:r>
      <w:r w:rsidRPr="0043030C">
        <w:rPr>
          <w:rFonts w:ascii="Times New Roman" w:eastAsia="Calibri" w:hAnsi="Times New Roman" w:cs="Times New Roman"/>
          <w:color w:val="000000"/>
          <w:kern w:val="0"/>
          <w14:ligatures w14:val="none"/>
        </w:rPr>
        <w:t>nélkül fellépő parciális görcsrohamokban szenvedő betegeknél. Összességében azon betegek aránya, akiknél 50%-os csökkenést tapasztaltak a görcsrohamok gyakoriságában, 23%, 34%, illetve 40% volt a placebo, a 200 mg/nap lakozamid, illetve a 400 mg/nap lakozamid esetében.</w:t>
      </w:r>
    </w:p>
    <w:p w14:paraId="3936C58F"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0545D9D7" w14:textId="77777777" w:rsidR="0043030C" w:rsidRPr="0043030C" w:rsidRDefault="0043030C" w:rsidP="0043030C">
      <w:pPr>
        <w:spacing w:after="0" w:line="240" w:lineRule="auto"/>
        <w:rPr>
          <w:rFonts w:ascii="Times New Roman" w:eastAsia="Calibri" w:hAnsi="Times New Roman" w:cs="Times New Roman"/>
          <w:kern w:val="0"/>
          <w14:ligatures w14:val="none"/>
        </w:rPr>
      </w:pPr>
      <w:r w:rsidRPr="0043030C">
        <w:rPr>
          <w:rFonts w:ascii="Times New Roman" w:eastAsia="Calibri" w:hAnsi="Times New Roman" w:cs="Times New Roman"/>
          <w:kern w:val="0"/>
          <w14:ligatures w14:val="none"/>
        </w:rPr>
        <w:t xml:space="preserve">Az intravénás lakozamid egyetlen telítő dózisának farmakokinetikáját és biztonságosságát egy multicentrikus, nyílt elrendezésű vizsgálatban tanulmányozták, melynek célja a gyors indítású lakozamid-alkalmazás biztonságosságának és tolerálhatóságának megállapítása volt, egyetlen intravénás telítő dózis alkalmazásával (beleértve a 200 mg-ot is), melyet naponta kétszer </w:t>
      </w:r>
      <w:r w:rsidRPr="0043030C">
        <w:rPr>
          <w:rFonts w:ascii="Times New Roman" w:eastAsia="Calibri" w:hAnsi="Times New Roman" w:cs="Times New Roman"/>
          <w:i/>
          <w:iCs/>
          <w:kern w:val="0"/>
          <w14:ligatures w14:val="none"/>
        </w:rPr>
        <w:t xml:space="preserve">per os </w:t>
      </w:r>
      <w:r w:rsidRPr="0043030C">
        <w:rPr>
          <w:rFonts w:ascii="Times New Roman" w:eastAsia="Calibri" w:hAnsi="Times New Roman" w:cs="Times New Roman"/>
          <w:kern w:val="0"/>
          <w14:ligatures w14:val="none"/>
        </w:rPr>
        <w:t>adagolás követ (az intravénás dózissal azonos dózisban), adjuváns kezelésként, 16–60 éves, parciális görcsrohamokban szenvedő felnőtt vizsgálati alanyoknál.</w:t>
      </w:r>
    </w:p>
    <w:p w14:paraId="63C2CD3E" w14:textId="77777777" w:rsidR="0043030C" w:rsidRPr="0043030C" w:rsidRDefault="0043030C" w:rsidP="0043030C">
      <w:pPr>
        <w:spacing w:after="0" w:line="240" w:lineRule="auto"/>
        <w:rPr>
          <w:rFonts w:ascii="Times New Roman" w:eastAsia="Calibri" w:hAnsi="Times New Roman" w:cs="Times New Roman"/>
          <w:kern w:val="0"/>
          <w14:ligatures w14:val="none"/>
        </w:rPr>
      </w:pPr>
    </w:p>
    <w:p w14:paraId="4348AFF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Gyermekek és serdülők</w:t>
      </w:r>
    </w:p>
    <w:p w14:paraId="5692AA6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539F58C7" w14:textId="5E52B4CA"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parciális rohamok hasonló kórélettant és klinikai manifesztációt mutatnak a 2 évesnél idősebb gyermekeknél</w:t>
      </w:r>
      <w:r w:rsidR="00234117">
        <w:rPr>
          <w:rFonts w:ascii="Times New Roman" w:eastAsia="Calibri" w:hAnsi="Times New Roman" w:cs="Times New Roman"/>
          <w:color w:val="000000"/>
          <w:kern w:val="0"/>
          <w14:ligatures w14:val="none"/>
        </w:rPr>
        <w:t>, serdülőknél</w:t>
      </w:r>
      <w:r w:rsidRPr="0043030C">
        <w:rPr>
          <w:rFonts w:ascii="Times New Roman" w:eastAsia="Calibri" w:hAnsi="Times New Roman" w:cs="Times New Roman"/>
          <w:color w:val="000000"/>
          <w:kern w:val="0"/>
          <w14:ligatures w14:val="none"/>
        </w:rPr>
        <w:t xml:space="preserve"> és felnőtteknél. A 2 éves és annál idősebb gyermekeknél </w:t>
      </w:r>
      <w:r w:rsidR="00234117">
        <w:rPr>
          <w:rFonts w:ascii="Times New Roman" w:eastAsia="Calibri" w:hAnsi="Times New Roman" w:cs="Times New Roman"/>
          <w:color w:val="000000"/>
          <w:kern w:val="0"/>
          <w14:ligatures w14:val="none"/>
        </w:rPr>
        <w:t xml:space="preserve">és serdülőknél </w:t>
      </w:r>
      <w:r w:rsidRPr="0043030C">
        <w:rPr>
          <w:rFonts w:ascii="Times New Roman" w:eastAsia="Calibri" w:hAnsi="Times New Roman" w:cs="Times New Roman"/>
          <w:color w:val="000000"/>
          <w:kern w:val="0"/>
          <w14:ligatures w14:val="none"/>
        </w:rPr>
        <w:t xml:space="preserve">a lakozamid hatásosságát a </w:t>
      </w:r>
      <w:r w:rsidR="003E261C">
        <w:rPr>
          <w:rFonts w:ascii="Times New Roman" w:eastAsia="Calibri" w:hAnsi="Times New Roman" w:cs="Times New Roman"/>
          <w:color w:val="000000"/>
          <w:kern w:val="0"/>
          <w14:ligatures w14:val="none"/>
        </w:rPr>
        <w:t xml:space="preserve">parciális </w:t>
      </w:r>
      <w:r w:rsidRPr="0043030C">
        <w:rPr>
          <w:rFonts w:ascii="Times New Roman" w:eastAsia="Calibri" w:hAnsi="Times New Roman" w:cs="Times New Roman"/>
          <w:color w:val="000000"/>
          <w:kern w:val="0"/>
          <w14:ligatures w14:val="none"/>
        </w:rPr>
        <w:t>rohamokkal küzdő serdülők és felnőttek adataiból extrapolálták, akiknél hasonló válasz volt várható, feltéve, hogy a gyermekgyógyászati dózismódosítások megtörténtek (lásd 4.2 pont), és a biztonságosságot igazolták (lásd 4.8 pont).</w:t>
      </w:r>
    </w:p>
    <w:p w14:paraId="231DA8B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fent említett extrapolációs alapelv által alátámasztott hatásosságot egy kettős vak, randomizált, placebokontrollos klinikai vizsgálat igazolta. A vizsgálat egy 8 hetes kiindulási időszakból, majd egy azt követő 6 hetes titrálási időszakból állt. Az alkalmasnak minősülő, 1–≤ 3 antiepilepsziás gyógyszer stabil dózisát alkalmazó betegeket, akik a szűrést megelőző 4 héten belül még legalább 2 parciális rohamot tapasztaltak, majd a kiindulási időszakba történő belépést megelőző 8 hetes időszak alatt legfeljebb 21 napig tapasztaltak rohammentes fázist, vagy placebóra (n = 172) vagy lakozamidra (n = 171) randomizálták.</w:t>
      </w:r>
    </w:p>
    <w:p w14:paraId="43DDD622" w14:textId="063BCB5E"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Az adagolás 2 mg/ttkg/nap dózissal kezdődött az 50 kg-nál kisebb testtömegű betegeknél, és 100 mg/nap dózis</w:t>
      </w:r>
      <w:r w:rsidR="00234117">
        <w:rPr>
          <w:rFonts w:ascii="Times New Roman" w:eastAsia="Calibri" w:hAnsi="Times New Roman" w:cs="Times New Roman"/>
          <w:color w:val="000000"/>
          <w:kern w:val="0"/>
          <w14:ligatures w14:val="none"/>
        </w:rPr>
        <w:t>sal</w:t>
      </w:r>
      <w:r w:rsidRPr="0043030C">
        <w:rPr>
          <w:rFonts w:ascii="Times New Roman" w:eastAsia="Calibri" w:hAnsi="Times New Roman" w:cs="Times New Roman"/>
          <w:color w:val="000000"/>
          <w:kern w:val="0"/>
          <w14:ligatures w14:val="none"/>
        </w:rPr>
        <w:t xml:space="preserve"> az 50 kg-os vagy annál nagyobb testtömegű betegeknél,</w:t>
      </w:r>
      <w:r w:rsidR="00234117">
        <w:rPr>
          <w:rFonts w:ascii="Times New Roman" w:eastAsia="Calibri" w:hAnsi="Times New Roman" w:cs="Times New Roman"/>
          <w:color w:val="000000"/>
          <w:kern w:val="0"/>
          <w14:ligatures w14:val="none"/>
        </w:rPr>
        <w:t xml:space="preserve"> két részre osztva</w:t>
      </w:r>
      <w:r w:rsidRPr="0043030C">
        <w:rPr>
          <w:rFonts w:ascii="Times New Roman" w:eastAsia="Calibri" w:hAnsi="Times New Roman" w:cs="Times New Roman"/>
          <w:color w:val="000000"/>
          <w:kern w:val="0"/>
          <w14:ligatures w14:val="none"/>
        </w:rPr>
        <w:t>. A titrálási időszak alatt a fenntartó időszak kitűzött dózistartományának eléréséhez a lakozamid dózisokat hetente 1 vagy 2 mg/ttkg/nap egységekkel módosították az 50 kg-nál kisebb testtömegű alanyoknál, valamint 50 vagy 100 mg/nap egységekkel az 50 kg-os vagy annál nagyobb testtömegű alanyoknál.</w:t>
      </w:r>
    </w:p>
    <w:p w14:paraId="306CC0E7"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Az alanyoknak el kellett érniük a testtömeg-kategóriájukhoz tartozó minimális céldózist a titrálási időszak utolsó 3 napjára ahhoz, hogy alkalmasak legyenek a 10 hetes fenntartó időszakba való belépéshez. Az alanyoknak továbbra is stabil lakozamid-dózist kellett kapniuk a fenntartó időszak alatt, vagy kiléptették őket és beléptek a vak elrendezésű dóziscsökkentő időszakba.</w:t>
      </w:r>
    </w:p>
    <w:p w14:paraId="57311CA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lastRenderedPageBreak/>
        <w:t>A parciális rohamoknak a vizsgálat megkezdésekor észlelt 28 naponkénti gyakoriságában a fenntartó időszak alatt egy statisztikailag szignifikáns (p = 0,0003) és klinikailag jelentős csökkenése volt megfigyelhető a lakozamid és a placebocsoport között. A kovariancia</w:t>
      </w:r>
      <w:r w:rsidRPr="0043030C">
        <w:rPr>
          <w:rFonts w:ascii="Times New Roman" w:eastAsia="Calibri" w:hAnsi="Times New Roman" w:cs="Times New Roman"/>
          <w:color w:val="000000"/>
          <w:kern w:val="0"/>
          <w14:ligatures w14:val="none"/>
        </w:rPr>
        <w:noBreakHyphen/>
        <w:t>analízisen alapuló, placebóval szembeni százalékos csökkenés 31,72% volt (95%-os CI: 16,342–44,277).</w:t>
      </w:r>
    </w:p>
    <w:p w14:paraId="12244DF8" w14:textId="3EF58B9F"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Összességében azoknak a betegeknek az aránya, akiknél a parciális rohamoknak a vizsgálat megkezdésekor észlelt 28 naponkénti gyakoriságában legalább 50%-os csökkenés volt megfigyelhető, 52,9% volt a lakozamid</w:t>
      </w:r>
      <w:r w:rsidR="00977A5D">
        <w:rPr>
          <w:rFonts w:ascii="Times New Roman" w:eastAsia="Calibri" w:hAnsi="Times New Roman" w:cs="Times New Roman"/>
          <w:color w:val="000000"/>
          <w:kern w:val="0"/>
          <w14:ligatures w14:val="none"/>
        </w:rPr>
        <w:t>-</w:t>
      </w:r>
      <w:r w:rsidRPr="0043030C">
        <w:rPr>
          <w:rFonts w:ascii="Times New Roman" w:eastAsia="Calibri" w:hAnsi="Times New Roman" w:cs="Times New Roman"/>
          <w:color w:val="000000"/>
          <w:kern w:val="0"/>
          <w14:ligatures w14:val="none"/>
        </w:rPr>
        <w:t>csoportban és 33,3% a placebocsoportban.</w:t>
      </w:r>
    </w:p>
    <w:p w14:paraId="15CFD1C7"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gyermekgyógyászati életminőség kérdőív (Pediatric Quality of Life Inventory) alapján felmért életminőség jelzése alapján mind a lakozamid, mind a placebocsoport alanyai egészségügyi szempontból hasonló és stabil életminőséget jeleztek a teljes kezelési időszak alatt.</w:t>
      </w:r>
    </w:p>
    <w:p w14:paraId="60AF78FC"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46C15681"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Klinikai hatásosság és biztonságosság (elsődleges generalizált tónusos-klónusos görcsrohamok)</w:t>
      </w:r>
    </w:p>
    <w:p w14:paraId="02206F7B"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31616247" w14:textId="6CFA2E9F"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 xml:space="preserve">Az elsődleges generalizált tónusos-klónusos görcsrohamokkal (PGTCS) járó idiopátiás generalizált epilepsziában szenvedő, 4 éves vagy </w:t>
      </w:r>
      <w:r w:rsidR="004E4105">
        <w:rPr>
          <w:rFonts w:ascii="Times New Roman" w:eastAsia="Calibri" w:hAnsi="Times New Roman" w:cs="Times New Roman"/>
          <w:color w:val="000000"/>
          <w:kern w:val="0"/>
          <w14:ligatures w14:val="none"/>
        </w:rPr>
        <w:t xml:space="preserve">annál </w:t>
      </w:r>
      <w:r w:rsidRPr="0043030C">
        <w:rPr>
          <w:rFonts w:ascii="Times New Roman" w:eastAsia="Calibri" w:hAnsi="Times New Roman" w:cs="Times New Roman"/>
          <w:color w:val="000000"/>
          <w:kern w:val="0"/>
          <w14:ligatures w14:val="none"/>
        </w:rPr>
        <w:t>idősebb betegeknél adjuváns terápiaként alkalmazott lakozamid hatásosságát vizsgálták egy 24 hetes, kettős vak, randomizált, placebokontrollos, párhuzamos csoportos, multicentrikus klinikai vizsgálatban. A vizsgálat egy 12 hetes hisztorikus kiindulási időszakból, egy 4 hetes prospektív kiindulási időszakból, valamint egy 24 hetes kezelési időszakból (amely egy 6 hetes titrálási időszakból és egy 18 hetes fenntartó időszakból) állt. A részvételre alkalmas, 1–3 féle epilepszia elleni gyógyszert stabil dózisban szedő, a 16 hetes kombinált kiindulási időszakban legalább 3 dokumentált PGTCS-en átesett betegeket 1:1 arányban randomizálták a lakozamidot vagy placebót kapók csoportjába (a teljes elemzési populáció betegei: lakozamid n = 118, placebo n = 121; közülük 8 beteg a ≥ 4 – &lt; 12 éves korcsoportba, 16 beteg pedig a ≥ 12 – &lt; 18 éves korcsoportba tartozott a lakozamid-csoportban, 9</w:t>
      </w:r>
      <w:r w:rsidR="004E4105">
        <w:rPr>
          <w:rFonts w:ascii="Times New Roman" w:eastAsia="Calibri" w:hAnsi="Times New Roman" w:cs="Times New Roman"/>
          <w:color w:val="000000"/>
          <w:kern w:val="0"/>
          <w14:ligatures w14:val="none"/>
        </w:rPr>
        <w:t>, illetve</w:t>
      </w:r>
      <w:r w:rsidRPr="0043030C">
        <w:rPr>
          <w:rFonts w:ascii="Times New Roman" w:eastAsia="Calibri" w:hAnsi="Times New Roman" w:cs="Times New Roman"/>
          <w:color w:val="000000"/>
          <w:kern w:val="0"/>
          <w14:ligatures w14:val="none"/>
        </w:rPr>
        <w:t xml:space="preserve"> 16 beteg pedig a placebocsoportban). </w:t>
      </w:r>
    </w:p>
    <w:p w14:paraId="0004182A" w14:textId="54DB7E20"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betegek</w:t>
      </w:r>
      <w:r w:rsidR="00231ACD">
        <w:rPr>
          <w:rFonts w:ascii="Times New Roman" w:eastAsia="Calibri" w:hAnsi="Times New Roman" w:cs="Times New Roman"/>
          <w:color w:val="000000"/>
          <w:kern w:val="0"/>
          <w14:ligatures w14:val="none"/>
        </w:rPr>
        <w:t xml:space="preserve"> dózisát</w:t>
      </w:r>
      <w:r w:rsidRPr="0043030C">
        <w:rPr>
          <w:rFonts w:ascii="Times New Roman" w:eastAsia="Calibri" w:hAnsi="Times New Roman" w:cs="Times New Roman"/>
          <w:color w:val="000000"/>
          <w:kern w:val="0"/>
          <w14:ligatures w14:val="none"/>
        </w:rPr>
        <w:t xml:space="preserve"> feltitrálták a fenntartó időszak céldózisára, amely 12 mg/ttkg/nap a 30 kg-nál kisebb testtömegűek esetében, 8 mg/ttkg/nap a 30–50 kg testtömegűek esetében, illetve 400 mg/nap a legalább 50 kg testtömegűek esetében.</w:t>
      </w:r>
    </w:p>
    <w:p w14:paraId="381FA99F"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81"/>
        <w:gridCol w:w="2158"/>
        <w:gridCol w:w="2316"/>
      </w:tblGrid>
      <w:tr w:rsidR="0043030C" w:rsidRPr="0043030C" w14:paraId="40B5F375" w14:textId="77777777" w:rsidTr="00A3683F">
        <w:trPr>
          <w:trHeight w:val="279"/>
        </w:trPr>
        <w:tc>
          <w:tcPr>
            <w:tcW w:w="2502" w:type="pct"/>
          </w:tcPr>
          <w:p w14:paraId="31BB129A"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bCs/>
                <w:kern w:val="0"/>
                <w:lang w:val="en-GB" w:eastAsia="de-DE"/>
                <w14:ligatures w14:val="none"/>
              </w:rPr>
            </w:pPr>
            <w:r w:rsidRPr="0043030C">
              <w:rPr>
                <w:rFonts w:ascii="Times New Roman" w:eastAsia="Times New Roman" w:hAnsi="Times New Roman" w:cs="Times New Roman"/>
                <w:bCs/>
                <w:kern w:val="0"/>
                <w:lang w:val="en-GB" w:eastAsia="de-DE"/>
                <w14:ligatures w14:val="none"/>
              </w:rPr>
              <w:t>Hatásossági változó</w:t>
            </w:r>
          </w:p>
          <w:p w14:paraId="70C57D7A"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bCs/>
                <w:kern w:val="0"/>
                <w:lang w:val="en-GB" w:eastAsia="de-DE"/>
                <w14:ligatures w14:val="none"/>
              </w:rPr>
            </w:pPr>
            <w:r w:rsidRPr="0043030C">
              <w:rPr>
                <w:rFonts w:ascii="Times New Roman" w:eastAsia="Times New Roman" w:hAnsi="Times New Roman" w:cs="Times New Roman"/>
                <w:bCs/>
                <w:kern w:val="0"/>
                <w:lang w:val="en-GB" w:eastAsia="de-DE"/>
                <w14:ligatures w14:val="none"/>
              </w:rPr>
              <w:t>Paraméter</w:t>
            </w:r>
          </w:p>
        </w:tc>
        <w:tc>
          <w:tcPr>
            <w:tcW w:w="1205" w:type="pct"/>
          </w:tcPr>
          <w:p w14:paraId="636BA1DC" w14:textId="77777777" w:rsidR="0043030C" w:rsidRPr="0043030C" w:rsidRDefault="0043030C" w:rsidP="0043030C">
            <w:pPr>
              <w:autoSpaceDE w:val="0"/>
              <w:autoSpaceDN w:val="0"/>
              <w:adjustRightInd w:val="0"/>
              <w:spacing w:after="0" w:line="240" w:lineRule="auto"/>
              <w:jc w:val="center"/>
              <w:rPr>
                <w:rFonts w:ascii="Times New Roman" w:eastAsia="Times New Roman" w:hAnsi="Times New Roman" w:cs="Times New Roman"/>
                <w:bCs/>
                <w:kern w:val="0"/>
                <w:lang w:val="en-GB" w:eastAsia="de-DE"/>
                <w14:ligatures w14:val="none"/>
              </w:rPr>
            </w:pPr>
            <w:r w:rsidRPr="0043030C">
              <w:rPr>
                <w:rFonts w:ascii="Times New Roman" w:eastAsia="Times New Roman" w:hAnsi="Times New Roman" w:cs="Times New Roman"/>
                <w:bCs/>
                <w:kern w:val="0"/>
                <w:lang w:val="en-GB" w:eastAsia="de-DE"/>
                <w14:ligatures w14:val="none"/>
              </w:rPr>
              <w:t>Placebo</w:t>
            </w:r>
          </w:p>
          <w:p w14:paraId="332D6E88" w14:textId="77777777" w:rsidR="0043030C" w:rsidRPr="0043030C" w:rsidRDefault="0043030C" w:rsidP="0043030C">
            <w:pPr>
              <w:autoSpaceDE w:val="0"/>
              <w:autoSpaceDN w:val="0"/>
              <w:adjustRightInd w:val="0"/>
              <w:spacing w:after="0" w:line="240" w:lineRule="auto"/>
              <w:jc w:val="center"/>
              <w:rPr>
                <w:rFonts w:ascii="Times New Roman" w:eastAsia="Times New Roman" w:hAnsi="Times New Roman" w:cs="Times New Roman"/>
                <w:bCs/>
                <w:kern w:val="0"/>
                <w:lang w:val="en-GB" w:eastAsia="de-DE"/>
                <w14:ligatures w14:val="none"/>
              </w:rPr>
            </w:pPr>
            <w:r w:rsidRPr="0043030C">
              <w:rPr>
                <w:rFonts w:ascii="Times New Roman" w:eastAsia="Times New Roman" w:hAnsi="Times New Roman" w:cs="Times New Roman"/>
                <w:bCs/>
                <w:kern w:val="0"/>
                <w:lang w:val="en-GB" w:eastAsia="de-DE"/>
                <w14:ligatures w14:val="none"/>
              </w:rPr>
              <w:t>n = 121</w:t>
            </w:r>
          </w:p>
        </w:tc>
        <w:tc>
          <w:tcPr>
            <w:tcW w:w="1293" w:type="pct"/>
          </w:tcPr>
          <w:p w14:paraId="70F629AD" w14:textId="77777777" w:rsidR="0043030C" w:rsidRPr="0043030C" w:rsidRDefault="0043030C" w:rsidP="0043030C">
            <w:pPr>
              <w:autoSpaceDE w:val="0"/>
              <w:autoSpaceDN w:val="0"/>
              <w:adjustRightInd w:val="0"/>
              <w:spacing w:after="0" w:line="240" w:lineRule="auto"/>
              <w:jc w:val="center"/>
              <w:rPr>
                <w:rFonts w:ascii="Times New Roman" w:eastAsia="Times New Roman" w:hAnsi="Times New Roman" w:cs="Times New Roman"/>
                <w:bCs/>
                <w:kern w:val="0"/>
                <w:lang w:val="en-GB" w:eastAsia="de-DE"/>
                <w14:ligatures w14:val="none"/>
              </w:rPr>
            </w:pPr>
            <w:r w:rsidRPr="0043030C">
              <w:rPr>
                <w:rFonts w:ascii="Times New Roman" w:eastAsia="Times New Roman" w:hAnsi="Times New Roman" w:cs="Times New Roman"/>
                <w:bCs/>
                <w:kern w:val="0"/>
                <w:lang w:val="en-GB" w:eastAsia="de-DE"/>
                <w14:ligatures w14:val="none"/>
              </w:rPr>
              <w:t>Lakozamid</w:t>
            </w:r>
          </w:p>
          <w:p w14:paraId="2EA9BC9F" w14:textId="77777777" w:rsidR="0043030C" w:rsidRPr="0043030C" w:rsidRDefault="0043030C" w:rsidP="0043030C">
            <w:pPr>
              <w:autoSpaceDE w:val="0"/>
              <w:autoSpaceDN w:val="0"/>
              <w:adjustRightInd w:val="0"/>
              <w:spacing w:after="0" w:line="240" w:lineRule="auto"/>
              <w:jc w:val="center"/>
              <w:rPr>
                <w:rFonts w:ascii="Times New Roman" w:eastAsia="Times New Roman" w:hAnsi="Times New Roman" w:cs="Times New Roman"/>
                <w:bCs/>
                <w:kern w:val="0"/>
                <w:lang w:val="en-GB" w:eastAsia="de-DE"/>
                <w14:ligatures w14:val="none"/>
              </w:rPr>
            </w:pPr>
            <w:r w:rsidRPr="0043030C">
              <w:rPr>
                <w:rFonts w:ascii="Times New Roman" w:eastAsia="Times New Roman" w:hAnsi="Times New Roman" w:cs="Times New Roman"/>
                <w:bCs/>
                <w:kern w:val="0"/>
                <w:lang w:val="en-GB" w:eastAsia="de-DE"/>
                <w14:ligatures w14:val="none"/>
              </w:rPr>
              <w:t>n = 118</w:t>
            </w:r>
          </w:p>
        </w:tc>
      </w:tr>
      <w:tr w:rsidR="0043030C" w:rsidRPr="0043030C" w14:paraId="67544DC0" w14:textId="77777777" w:rsidTr="00A3683F">
        <w:trPr>
          <w:trHeight w:val="148"/>
        </w:trPr>
        <w:tc>
          <w:tcPr>
            <w:tcW w:w="5000" w:type="pct"/>
            <w:gridSpan w:val="3"/>
          </w:tcPr>
          <w:p w14:paraId="1F49A539" w14:textId="77777777" w:rsidR="0043030C" w:rsidRPr="0043030C" w:rsidRDefault="0043030C" w:rsidP="0043030C">
            <w:pPr>
              <w:autoSpaceDE w:val="0"/>
              <w:autoSpaceDN w:val="0"/>
              <w:adjustRightInd w:val="0"/>
              <w:spacing w:after="0" w:line="240" w:lineRule="auto"/>
              <w:rPr>
                <w:rFonts w:ascii="Times New Roman" w:eastAsia="Times New Roman" w:hAnsi="Times New Roman" w:cs="Times New Roman"/>
                <w:kern w:val="0"/>
                <w:lang w:val="en-GB" w:eastAsia="de-DE"/>
                <w14:ligatures w14:val="none"/>
              </w:rPr>
            </w:pPr>
            <w:r w:rsidRPr="0043030C">
              <w:rPr>
                <w:rFonts w:ascii="Times New Roman" w:eastAsia="Times New Roman" w:hAnsi="Times New Roman" w:cs="Times New Roman"/>
                <w:kern w:val="0"/>
                <w:lang w:val="en-GB" w:eastAsia="de-DE"/>
                <w14:ligatures w14:val="none"/>
              </w:rPr>
              <w:t xml:space="preserve">A második PGTCS-ig eltelt idő </w:t>
            </w:r>
          </w:p>
        </w:tc>
      </w:tr>
      <w:tr w:rsidR="0043030C" w:rsidRPr="0043030C" w14:paraId="50C1FB9E" w14:textId="77777777" w:rsidTr="00A3683F">
        <w:trPr>
          <w:trHeight w:val="148"/>
        </w:trPr>
        <w:tc>
          <w:tcPr>
            <w:tcW w:w="2502" w:type="pct"/>
          </w:tcPr>
          <w:p w14:paraId="2837BAFC" w14:textId="77777777" w:rsidR="0043030C" w:rsidRPr="0043030C" w:rsidRDefault="0043030C" w:rsidP="0043030C">
            <w:pPr>
              <w:autoSpaceDE w:val="0"/>
              <w:autoSpaceDN w:val="0"/>
              <w:adjustRightInd w:val="0"/>
              <w:spacing w:after="0" w:line="240" w:lineRule="auto"/>
              <w:ind w:left="179"/>
              <w:rPr>
                <w:rFonts w:ascii="Times New Roman" w:eastAsia="Times New Roman" w:hAnsi="Times New Roman" w:cs="Times New Roman"/>
                <w:kern w:val="0"/>
                <w:lang w:val="en-GB" w:eastAsia="de-DE"/>
                <w14:ligatures w14:val="none"/>
              </w:rPr>
            </w:pPr>
            <w:r w:rsidRPr="0043030C">
              <w:rPr>
                <w:rFonts w:ascii="Times New Roman" w:eastAsia="Times New Roman" w:hAnsi="Times New Roman" w:cs="Times New Roman"/>
                <w:kern w:val="0"/>
                <w:lang w:val="en-GB" w:eastAsia="de-DE"/>
                <w14:ligatures w14:val="none"/>
              </w:rPr>
              <w:t xml:space="preserve">Medián (nap) </w:t>
            </w:r>
          </w:p>
        </w:tc>
        <w:tc>
          <w:tcPr>
            <w:tcW w:w="1205" w:type="pct"/>
          </w:tcPr>
          <w:p w14:paraId="7D0D0F2A" w14:textId="77777777" w:rsidR="0043030C" w:rsidRPr="0043030C" w:rsidRDefault="0043030C" w:rsidP="0043030C">
            <w:pPr>
              <w:autoSpaceDE w:val="0"/>
              <w:autoSpaceDN w:val="0"/>
              <w:adjustRightInd w:val="0"/>
              <w:spacing w:after="0" w:line="240" w:lineRule="auto"/>
              <w:jc w:val="center"/>
              <w:rPr>
                <w:rFonts w:ascii="Times New Roman" w:eastAsia="Times New Roman" w:hAnsi="Times New Roman" w:cs="Times New Roman"/>
                <w:kern w:val="0"/>
                <w:lang w:val="en-GB" w:eastAsia="de-DE"/>
                <w14:ligatures w14:val="none"/>
              </w:rPr>
            </w:pPr>
            <w:r w:rsidRPr="0043030C">
              <w:rPr>
                <w:rFonts w:ascii="Times New Roman" w:eastAsia="Times New Roman" w:hAnsi="Times New Roman" w:cs="Times New Roman"/>
                <w:kern w:val="0"/>
                <w:lang w:val="en-GB" w:eastAsia="de-DE"/>
                <w14:ligatures w14:val="none"/>
              </w:rPr>
              <w:t>77,0</w:t>
            </w:r>
          </w:p>
        </w:tc>
        <w:tc>
          <w:tcPr>
            <w:tcW w:w="1293" w:type="pct"/>
          </w:tcPr>
          <w:p w14:paraId="790BB23E" w14:textId="77777777" w:rsidR="0043030C" w:rsidRPr="0043030C" w:rsidRDefault="0043030C" w:rsidP="0043030C">
            <w:pPr>
              <w:autoSpaceDE w:val="0"/>
              <w:autoSpaceDN w:val="0"/>
              <w:adjustRightInd w:val="0"/>
              <w:spacing w:after="0" w:line="240" w:lineRule="auto"/>
              <w:jc w:val="center"/>
              <w:rPr>
                <w:rFonts w:ascii="Times New Roman" w:eastAsia="Times New Roman" w:hAnsi="Times New Roman" w:cs="Times New Roman"/>
                <w:kern w:val="0"/>
                <w:lang w:val="en-GB" w:eastAsia="de-DE"/>
                <w14:ligatures w14:val="none"/>
              </w:rPr>
            </w:pPr>
            <w:r w:rsidRPr="0043030C">
              <w:rPr>
                <w:rFonts w:ascii="Times New Roman" w:eastAsia="Times New Roman" w:hAnsi="Times New Roman" w:cs="Times New Roman"/>
                <w:kern w:val="0"/>
                <w:lang w:val="en-GB" w:eastAsia="de-DE"/>
                <w14:ligatures w14:val="none"/>
              </w:rPr>
              <w:t>-</w:t>
            </w:r>
          </w:p>
        </w:tc>
      </w:tr>
      <w:tr w:rsidR="0043030C" w:rsidRPr="0043030C" w14:paraId="617DA6B3" w14:textId="77777777" w:rsidTr="00A3683F">
        <w:trPr>
          <w:trHeight w:val="148"/>
        </w:trPr>
        <w:tc>
          <w:tcPr>
            <w:tcW w:w="2502" w:type="pct"/>
          </w:tcPr>
          <w:p w14:paraId="3CDEC96B" w14:textId="77777777" w:rsidR="0043030C" w:rsidRPr="0043030C" w:rsidRDefault="0043030C" w:rsidP="0043030C">
            <w:pPr>
              <w:autoSpaceDE w:val="0"/>
              <w:autoSpaceDN w:val="0"/>
              <w:adjustRightInd w:val="0"/>
              <w:spacing w:after="0" w:line="240" w:lineRule="auto"/>
              <w:ind w:left="179"/>
              <w:rPr>
                <w:rFonts w:ascii="Times New Roman" w:eastAsia="Times New Roman" w:hAnsi="Times New Roman" w:cs="Times New Roman"/>
                <w:kern w:val="0"/>
                <w:lang w:val="en-GB" w:eastAsia="de-DE"/>
                <w14:ligatures w14:val="none"/>
              </w:rPr>
            </w:pPr>
            <w:r w:rsidRPr="0043030C">
              <w:rPr>
                <w:rFonts w:ascii="Times New Roman" w:eastAsia="Times New Roman" w:hAnsi="Times New Roman" w:cs="Times New Roman"/>
                <w:kern w:val="0"/>
                <w:lang w:val="en-GB" w:eastAsia="de-DE"/>
                <w14:ligatures w14:val="none"/>
              </w:rPr>
              <w:t xml:space="preserve">95%-os CI </w:t>
            </w:r>
          </w:p>
        </w:tc>
        <w:tc>
          <w:tcPr>
            <w:tcW w:w="1205" w:type="pct"/>
          </w:tcPr>
          <w:p w14:paraId="49E1F2B9" w14:textId="77777777" w:rsidR="0043030C" w:rsidRPr="0043030C" w:rsidRDefault="0043030C" w:rsidP="0043030C">
            <w:pPr>
              <w:autoSpaceDE w:val="0"/>
              <w:autoSpaceDN w:val="0"/>
              <w:adjustRightInd w:val="0"/>
              <w:spacing w:after="0" w:line="240" w:lineRule="auto"/>
              <w:jc w:val="center"/>
              <w:rPr>
                <w:rFonts w:ascii="Times New Roman" w:eastAsia="Times New Roman" w:hAnsi="Times New Roman" w:cs="Times New Roman"/>
                <w:kern w:val="0"/>
                <w:lang w:val="en-GB" w:eastAsia="de-DE"/>
                <w14:ligatures w14:val="none"/>
              </w:rPr>
            </w:pPr>
            <w:r w:rsidRPr="0043030C">
              <w:rPr>
                <w:rFonts w:ascii="Times New Roman" w:eastAsia="Times New Roman" w:hAnsi="Times New Roman" w:cs="Times New Roman"/>
                <w:kern w:val="0"/>
                <w:lang w:val="en-GB" w:eastAsia="de-DE"/>
                <w14:ligatures w14:val="none"/>
              </w:rPr>
              <w:t>49,0; 128,0</w:t>
            </w:r>
          </w:p>
        </w:tc>
        <w:tc>
          <w:tcPr>
            <w:tcW w:w="1293" w:type="pct"/>
          </w:tcPr>
          <w:p w14:paraId="7C298FC6" w14:textId="77777777" w:rsidR="0043030C" w:rsidRPr="0043030C" w:rsidRDefault="0043030C" w:rsidP="0043030C">
            <w:pPr>
              <w:autoSpaceDE w:val="0"/>
              <w:autoSpaceDN w:val="0"/>
              <w:adjustRightInd w:val="0"/>
              <w:spacing w:after="0" w:line="240" w:lineRule="auto"/>
              <w:jc w:val="center"/>
              <w:rPr>
                <w:rFonts w:ascii="Times New Roman" w:eastAsia="Times New Roman" w:hAnsi="Times New Roman" w:cs="Times New Roman"/>
                <w:kern w:val="0"/>
                <w:lang w:val="en-GB" w:eastAsia="de-DE"/>
                <w14:ligatures w14:val="none"/>
              </w:rPr>
            </w:pPr>
            <w:r w:rsidRPr="0043030C">
              <w:rPr>
                <w:rFonts w:ascii="Times New Roman" w:eastAsia="Times New Roman" w:hAnsi="Times New Roman" w:cs="Times New Roman"/>
                <w:kern w:val="0"/>
                <w:lang w:val="en-GB" w:eastAsia="de-DE"/>
                <w14:ligatures w14:val="none"/>
              </w:rPr>
              <w:t>-</w:t>
            </w:r>
          </w:p>
        </w:tc>
      </w:tr>
      <w:tr w:rsidR="0043030C" w:rsidRPr="0043030C" w14:paraId="06185F88" w14:textId="77777777" w:rsidTr="00A3683F">
        <w:trPr>
          <w:trHeight w:val="148"/>
        </w:trPr>
        <w:tc>
          <w:tcPr>
            <w:tcW w:w="5000" w:type="pct"/>
            <w:gridSpan w:val="3"/>
          </w:tcPr>
          <w:p w14:paraId="2C70FFF7" w14:textId="77777777" w:rsidR="0043030C" w:rsidRPr="0043030C" w:rsidRDefault="0043030C" w:rsidP="0043030C">
            <w:pPr>
              <w:autoSpaceDE w:val="0"/>
              <w:autoSpaceDN w:val="0"/>
              <w:adjustRightInd w:val="0"/>
              <w:spacing w:after="0" w:line="240" w:lineRule="auto"/>
              <w:ind w:left="179"/>
              <w:rPr>
                <w:rFonts w:ascii="Times New Roman" w:eastAsia="Times New Roman" w:hAnsi="Times New Roman" w:cs="Times New Roman"/>
                <w:kern w:val="0"/>
                <w:lang w:val="en-GB" w:eastAsia="de-DE"/>
                <w14:ligatures w14:val="none"/>
              </w:rPr>
            </w:pPr>
            <w:r w:rsidRPr="0043030C">
              <w:rPr>
                <w:rFonts w:ascii="Times New Roman" w:eastAsia="Times New Roman" w:hAnsi="Times New Roman" w:cs="Times New Roman"/>
                <w:kern w:val="0"/>
                <w:lang w:val="en-GB" w:eastAsia="de-DE"/>
                <w14:ligatures w14:val="none"/>
              </w:rPr>
              <w:t xml:space="preserve">Lakozamid – Placebo </w:t>
            </w:r>
          </w:p>
        </w:tc>
      </w:tr>
      <w:tr w:rsidR="0043030C" w:rsidRPr="0043030C" w14:paraId="3AF9A508" w14:textId="77777777" w:rsidTr="00A3683F">
        <w:trPr>
          <w:trHeight w:val="148"/>
        </w:trPr>
        <w:tc>
          <w:tcPr>
            <w:tcW w:w="2502" w:type="pct"/>
          </w:tcPr>
          <w:p w14:paraId="70158BBE" w14:textId="77777777" w:rsidR="0043030C" w:rsidRPr="0043030C" w:rsidRDefault="0043030C" w:rsidP="0043030C">
            <w:pPr>
              <w:autoSpaceDE w:val="0"/>
              <w:autoSpaceDN w:val="0"/>
              <w:adjustRightInd w:val="0"/>
              <w:spacing w:after="0" w:line="240" w:lineRule="auto"/>
              <w:ind w:left="179"/>
              <w:rPr>
                <w:rFonts w:ascii="Times New Roman" w:eastAsia="Times New Roman" w:hAnsi="Times New Roman" w:cs="Times New Roman"/>
                <w:kern w:val="0"/>
                <w:lang w:val="en-GB" w:eastAsia="de-DE"/>
                <w14:ligatures w14:val="none"/>
              </w:rPr>
            </w:pPr>
            <w:r w:rsidRPr="0043030C">
              <w:rPr>
                <w:rFonts w:ascii="Times New Roman" w:eastAsia="Times New Roman" w:hAnsi="Times New Roman" w:cs="Times New Roman"/>
                <w:kern w:val="0"/>
                <w:lang w:val="en-GB" w:eastAsia="de-DE"/>
                <w14:ligatures w14:val="none"/>
              </w:rPr>
              <w:t>Kockázati arány</w:t>
            </w:r>
          </w:p>
        </w:tc>
        <w:tc>
          <w:tcPr>
            <w:tcW w:w="2498" w:type="pct"/>
            <w:gridSpan w:val="2"/>
          </w:tcPr>
          <w:p w14:paraId="059EDFBA" w14:textId="77777777" w:rsidR="0043030C" w:rsidRPr="0043030C" w:rsidRDefault="0043030C" w:rsidP="0043030C">
            <w:pPr>
              <w:autoSpaceDE w:val="0"/>
              <w:autoSpaceDN w:val="0"/>
              <w:adjustRightInd w:val="0"/>
              <w:spacing w:after="0" w:line="240" w:lineRule="auto"/>
              <w:jc w:val="center"/>
              <w:rPr>
                <w:rFonts w:ascii="Times New Roman" w:eastAsia="Times New Roman" w:hAnsi="Times New Roman" w:cs="Times New Roman"/>
                <w:kern w:val="0"/>
                <w:lang w:val="en-GB" w:eastAsia="de-DE"/>
                <w14:ligatures w14:val="none"/>
              </w:rPr>
            </w:pPr>
            <w:r w:rsidRPr="0043030C">
              <w:rPr>
                <w:rFonts w:ascii="Times New Roman" w:eastAsia="Times New Roman" w:hAnsi="Times New Roman" w:cs="Times New Roman"/>
                <w:kern w:val="0"/>
                <w:lang w:val="en-GB" w:eastAsia="de-DE"/>
                <w14:ligatures w14:val="none"/>
              </w:rPr>
              <w:t>0,540</w:t>
            </w:r>
          </w:p>
        </w:tc>
      </w:tr>
      <w:tr w:rsidR="0043030C" w:rsidRPr="0043030C" w14:paraId="49C93263" w14:textId="77777777" w:rsidTr="00A3683F">
        <w:trPr>
          <w:trHeight w:val="148"/>
        </w:trPr>
        <w:tc>
          <w:tcPr>
            <w:tcW w:w="2502" w:type="pct"/>
          </w:tcPr>
          <w:p w14:paraId="163D022B" w14:textId="77777777" w:rsidR="0043030C" w:rsidRPr="0043030C" w:rsidRDefault="0043030C" w:rsidP="0043030C">
            <w:pPr>
              <w:autoSpaceDE w:val="0"/>
              <w:autoSpaceDN w:val="0"/>
              <w:adjustRightInd w:val="0"/>
              <w:spacing w:after="0" w:line="240" w:lineRule="auto"/>
              <w:ind w:left="179"/>
              <w:rPr>
                <w:rFonts w:ascii="Times New Roman" w:eastAsia="Times New Roman" w:hAnsi="Times New Roman" w:cs="Times New Roman"/>
                <w:kern w:val="0"/>
                <w:lang w:val="en-GB" w:eastAsia="de-DE"/>
                <w14:ligatures w14:val="none"/>
              </w:rPr>
            </w:pPr>
            <w:r w:rsidRPr="0043030C">
              <w:rPr>
                <w:rFonts w:ascii="Times New Roman" w:eastAsia="Times New Roman" w:hAnsi="Times New Roman" w:cs="Times New Roman"/>
                <w:kern w:val="0"/>
                <w:lang w:val="en-GB" w:eastAsia="de-DE"/>
                <w14:ligatures w14:val="none"/>
              </w:rPr>
              <w:t xml:space="preserve">95%-os CI </w:t>
            </w:r>
          </w:p>
        </w:tc>
        <w:tc>
          <w:tcPr>
            <w:tcW w:w="2498" w:type="pct"/>
            <w:gridSpan w:val="2"/>
          </w:tcPr>
          <w:p w14:paraId="3D88F26E" w14:textId="77777777" w:rsidR="0043030C" w:rsidRPr="0043030C" w:rsidRDefault="0043030C" w:rsidP="0043030C">
            <w:pPr>
              <w:autoSpaceDE w:val="0"/>
              <w:autoSpaceDN w:val="0"/>
              <w:adjustRightInd w:val="0"/>
              <w:spacing w:after="0" w:line="240" w:lineRule="auto"/>
              <w:jc w:val="center"/>
              <w:rPr>
                <w:rFonts w:ascii="Times New Roman" w:eastAsia="Times New Roman" w:hAnsi="Times New Roman" w:cs="Times New Roman"/>
                <w:kern w:val="0"/>
                <w:lang w:val="en-GB" w:eastAsia="de-DE"/>
                <w14:ligatures w14:val="none"/>
              </w:rPr>
            </w:pPr>
            <w:r w:rsidRPr="0043030C">
              <w:rPr>
                <w:rFonts w:ascii="Times New Roman" w:eastAsia="Times New Roman" w:hAnsi="Times New Roman" w:cs="Times New Roman"/>
                <w:kern w:val="0"/>
                <w:lang w:val="en-GB" w:eastAsia="de-DE"/>
                <w14:ligatures w14:val="none"/>
              </w:rPr>
              <w:t>0,377; 0,774</w:t>
            </w:r>
          </w:p>
        </w:tc>
      </w:tr>
      <w:tr w:rsidR="0043030C" w:rsidRPr="0043030C" w14:paraId="648E8E4F" w14:textId="77777777" w:rsidTr="00A3683F">
        <w:trPr>
          <w:trHeight w:val="148"/>
        </w:trPr>
        <w:tc>
          <w:tcPr>
            <w:tcW w:w="2502" w:type="pct"/>
          </w:tcPr>
          <w:p w14:paraId="469EE44B" w14:textId="77777777" w:rsidR="0043030C" w:rsidRPr="0043030C" w:rsidRDefault="0043030C" w:rsidP="0043030C">
            <w:pPr>
              <w:autoSpaceDE w:val="0"/>
              <w:autoSpaceDN w:val="0"/>
              <w:adjustRightInd w:val="0"/>
              <w:spacing w:after="0" w:line="240" w:lineRule="auto"/>
              <w:ind w:left="179"/>
              <w:rPr>
                <w:rFonts w:ascii="Times New Roman" w:eastAsia="Times New Roman" w:hAnsi="Times New Roman" w:cs="Times New Roman"/>
                <w:kern w:val="0"/>
                <w:lang w:val="en-GB" w:eastAsia="de-DE"/>
                <w14:ligatures w14:val="none"/>
              </w:rPr>
            </w:pPr>
            <w:r w:rsidRPr="0043030C">
              <w:rPr>
                <w:rFonts w:ascii="Times New Roman" w:eastAsia="Times New Roman" w:hAnsi="Times New Roman" w:cs="Times New Roman"/>
                <w:kern w:val="0"/>
                <w:lang w:val="en-GB" w:eastAsia="de-DE"/>
                <w14:ligatures w14:val="none"/>
              </w:rPr>
              <w:t xml:space="preserve">p-érték </w:t>
            </w:r>
          </w:p>
        </w:tc>
        <w:tc>
          <w:tcPr>
            <w:tcW w:w="2498" w:type="pct"/>
            <w:gridSpan w:val="2"/>
          </w:tcPr>
          <w:p w14:paraId="58A8F367" w14:textId="77777777" w:rsidR="0043030C" w:rsidRPr="0043030C" w:rsidRDefault="0043030C" w:rsidP="0043030C">
            <w:pPr>
              <w:autoSpaceDE w:val="0"/>
              <w:autoSpaceDN w:val="0"/>
              <w:adjustRightInd w:val="0"/>
              <w:spacing w:after="0" w:line="240" w:lineRule="auto"/>
              <w:jc w:val="center"/>
              <w:rPr>
                <w:rFonts w:ascii="Times New Roman" w:eastAsia="Times New Roman" w:hAnsi="Times New Roman" w:cs="Times New Roman"/>
                <w:kern w:val="0"/>
                <w:lang w:val="en-GB" w:eastAsia="de-DE"/>
                <w14:ligatures w14:val="none"/>
              </w:rPr>
            </w:pPr>
            <w:r w:rsidRPr="0043030C">
              <w:rPr>
                <w:rFonts w:ascii="Times New Roman" w:eastAsia="Times New Roman" w:hAnsi="Times New Roman" w:cs="Times New Roman"/>
                <w:kern w:val="0"/>
                <w:lang w:val="en-GB" w:eastAsia="de-DE"/>
                <w14:ligatures w14:val="none"/>
              </w:rPr>
              <w:t>&lt; 0,001</w:t>
            </w:r>
          </w:p>
        </w:tc>
      </w:tr>
      <w:tr w:rsidR="0043030C" w:rsidRPr="0043030C" w14:paraId="425BC989" w14:textId="77777777" w:rsidTr="00A3683F">
        <w:trPr>
          <w:trHeight w:val="210"/>
        </w:trPr>
        <w:tc>
          <w:tcPr>
            <w:tcW w:w="5000" w:type="pct"/>
            <w:gridSpan w:val="3"/>
          </w:tcPr>
          <w:p w14:paraId="4BF64903" w14:textId="77777777" w:rsidR="0043030C" w:rsidRPr="0043030C" w:rsidRDefault="0043030C" w:rsidP="0043030C">
            <w:pPr>
              <w:spacing w:after="0" w:line="240" w:lineRule="auto"/>
              <w:rPr>
                <w:rFonts w:ascii="Times New Roman" w:eastAsia="Times New Roman" w:hAnsi="Times New Roman" w:cs="Times New Roman"/>
                <w:kern w:val="0"/>
                <w:lang w:val="en-GB" w:eastAsia="de-DE"/>
                <w14:ligatures w14:val="none"/>
              </w:rPr>
            </w:pPr>
            <w:r w:rsidRPr="0043030C">
              <w:rPr>
                <w:rFonts w:ascii="Times New Roman" w:eastAsia="Calibri" w:hAnsi="Times New Roman" w:cs="Times New Roman"/>
                <w:kern w:val="0"/>
                <w14:ligatures w14:val="none"/>
              </w:rPr>
              <w:t>Görcsrohammentesség</w:t>
            </w:r>
          </w:p>
        </w:tc>
      </w:tr>
      <w:tr w:rsidR="0043030C" w:rsidRPr="0043030C" w14:paraId="5D233AAC" w14:textId="77777777" w:rsidTr="00A3683F">
        <w:trPr>
          <w:trHeight w:val="148"/>
        </w:trPr>
        <w:tc>
          <w:tcPr>
            <w:tcW w:w="2502" w:type="pct"/>
          </w:tcPr>
          <w:p w14:paraId="564F779E" w14:textId="77777777" w:rsidR="0043030C" w:rsidRPr="0043030C" w:rsidRDefault="0043030C" w:rsidP="0043030C">
            <w:pPr>
              <w:autoSpaceDE w:val="0"/>
              <w:autoSpaceDN w:val="0"/>
              <w:adjustRightInd w:val="0"/>
              <w:spacing w:after="0" w:line="240" w:lineRule="auto"/>
              <w:ind w:left="179"/>
              <w:rPr>
                <w:rFonts w:ascii="Times New Roman" w:eastAsia="Times New Roman" w:hAnsi="Times New Roman" w:cs="Times New Roman"/>
                <w:kern w:val="0"/>
                <w:lang w:val="en-GB" w:eastAsia="de-DE"/>
                <w14:ligatures w14:val="none"/>
              </w:rPr>
            </w:pPr>
            <w:r w:rsidRPr="0043030C">
              <w:rPr>
                <w:rFonts w:ascii="Times New Roman" w:eastAsia="Times New Roman" w:hAnsi="Times New Roman" w:cs="Times New Roman"/>
                <w:kern w:val="0"/>
                <w:lang w:val="en-GB" w:eastAsia="de-DE"/>
                <w14:ligatures w14:val="none"/>
              </w:rPr>
              <w:t xml:space="preserve">Rétegezett Kaplan–Meier-becslés (%) </w:t>
            </w:r>
          </w:p>
        </w:tc>
        <w:tc>
          <w:tcPr>
            <w:tcW w:w="1205" w:type="pct"/>
          </w:tcPr>
          <w:p w14:paraId="41ACC2FD" w14:textId="77777777" w:rsidR="0043030C" w:rsidRPr="0043030C" w:rsidRDefault="0043030C" w:rsidP="0043030C">
            <w:pPr>
              <w:autoSpaceDE w:val="0"/>
              <w:autoSpaceDN w:val="0"/>
              <w:adjustRightInd w:val="0"/>
              <w:spacing w:after="0" w:line="240" w:lineRule="auto"/>
              <w:jc w:val="center"/>
              <w:rPr>
                <w:rFonts w:ascii="Times New Roman" w:eastAsia="Times New Roman" w:hAnsi="Times New Roman" w:cs="Times New Roman"/>
                <w:kern w:val="0"/>
                <w:lang w:val="en-GB" w:eastAsia="de-DE"/>
                <w14:ligatures w14:val="none"/>
              </w:rPr>
            </w:pPr>
            <w:r w:rsidRPr="0043030C">
              <w:rPr>
                <w:rFonts w:ascii="Times New Roman" w:eastAsia="Times New Roman" w:hAnsi="Times New Roman" w:cs="Times New Roman"/>
                <w:kern w:val="0"/>
                <w:lang w:val="en-GB" w:eastAsia="de-DE"/>
                <w14:ligatures w14:val="none"/>
              </w:rPr>
              <w:t>17,2</w:t>
            </w:r>
          </w:p>
        </w:tc>
        <w:tc>
          <w:tcPr>
            <w:tcW w:w="1293" w:type="pct"/>
          </w:tcPr>
          <w:p w14:paraId="1BC12E8B" w14:textId="77777777" w:rsidR="0043030C" w:rsidRPr="0043030C" w:rsidRDefault="0043030C" w:rsidP="0043030C">
            <w:pPr>
              <w:autoSpaceDE w:val="0"/>
              <w:autoSpaceDN w:val="0"/>
              <w:adjustRightInd w:val="0"/>
              <w:spacing w:after="0" w:line="240" w:lineRule="auto"/>
              <w:jc w:val="center"/>
              <w:rPr>
                <w:rFonts w:ascii="Times New Roman" w:eastAsia="Times New Roman" w:hAnsi="Times New Roman" w:cs="Times New Roman"/>
                <w:kern w:val="0"/>
                <w:lang w:val="en-GB" w:eastAsia="de-DE"/>
                <w14:ligatures w14:val="none"/>
              </w:rPr>
            </w:pPr>
            <w:r w:rsidRPr="0043030C">
              <w:rPr>
                <w:rFonts w:ascii="Times New Roman" w:eastAsia="Times New Roman" w:hAnsi="Times New Roman" w:cs="Times New Roman"/>
                <w:kern w:val="0"/>
                <w:lang w:val="en-GB" w:eastAsia="de-DE"/>
                <w14:ligatures w14:val="none"/>
              </w:rPr>
              <w:t>31,3</w:t>
            </w:r>
          </w:p>
        </w:tc>
      </w:tr>
      <w:tr w:rsidR="0043030C" w:rsidRPr="0043030C" w14:paraId="480411BF" w14:textId="77777777" w:rsidTr="00A3683F">
        <w:trPr>
          <w:trHeight w:val="148"/>
        </w:trPr>
        <w:tc>
          <w:tcPr>
            <w:tcW w:w="2502" w:type="pct"/>
          </w:tcPr>
          <w:p w14:paraId="2B8ED0D2" w14:textId="77777777" w:rsidR="0043030C" w:rsidRPr="0043030C" w:rsidRDefault="0043030C" w:rsidP="0043030C">
            <w:pPr>
              <w:autoSpaceDE w:val="0"/>
              <w:autoSpaceDN w:val="0"/>
              <w:adjustRightInd w:val="0"/>
              <w:spacing w:after="0" w:line="240" w:lineRule="auto"/>
              <w:ind w:left="179"/>
              <w:rPr>
                <w:rFonts w:ascii="Times New Roman" w:eastAsia="Times New Roman" w:hAnsi="Times New Roman" w:cs="Times New Roman"/>
                <w:kern w:val="0"/>
                <w:lang w:val="en-GB" w:eastAsia="de-DE"/>
                <w14:ligatures w14:val="none"/>
              </w:rPr>
            </w:pPr>
            <w:r w:rsidRPr="0043030C">
              <w:rPr>
                <w:rFonts w:ascii="Times New Roman" w:eastAsia="Times New Roman" w:hAnsi="Times New Roman" w:cs="Times New Roman"/>
                <w:kern w:val="0"/>
                <w:lang w:val="en-GB" w:eastAsia="de-DE"/>
                <w14:ligatures w14:val="none"/>
              </w:rPr>
              <w:t xml:space="preserve">95%-os CI </w:t>
            </w:r>
          </w:p>
        </w:tc>
        <w:tc>
          <w:tcPr>
            <w:tcW w:w="1205" w:type="pct"/>
          </w:tcPr>
          <w:p w14:paraId="20EDD731" w14:textId="77777777" w:rsidR="0043030C" w:rsidRPr="0043030C" w:rsidRDefault="0043030C" w:rsidP="0043030C">
            <w:pPr>
              <w:autoSpaceDE w:val="0"/>
              <w:autoSpaceDN w:val="0"/>
              <w:adjustRightInd w:val="0"/>
              <w:spacing w:after="0" w:line="240" w:lineRule="auto"/>
              <w:jc w:val="center"/>
              <w:rPr>
                <w:rFonts w:ascii="Times New Roman" w:eastAsia="Times New Roman" w:hAnsi="Times New Roman" w:cs="Times New Roman"/>
                <w:kern w:val="0"/>
                <w:lang w:val="en-GB" w:eastAsia="de-DE"/>
                <w14:ligatures w14:val="none"/>
              </w:rPr>
            </w:pPr>
            <w:r w:rsidRPr="0043030C">
              <w:rPr>
                <w:rFonts w:ascii="Times New Roman" w:eastAsia="Times New Roman" w:hAnsi="Times New Roman" w:cs="Times New Roman"/>
                <w:kern w:val="0"/>
                <w:lang w:val="en-GB" w:eastAsia="de-DE"/>
                <w14:ligatures w14:val="none"/>
              </w:rPr>
              <w:t>10,4; 24,0</w:t>
            </w:r>
          </w:p>
        </w:tc>
        <w:tc>
          <w:tcPr>
            <w:tcW w:w="1293" w:type="pct"/>
          </w:tcPr>
          <w:p w14:paraId="5F65308A" w14:textId="77777777" w:rsidR="0043030C" w:rsidRPr="0043030C" w:rsidRDefault="0043030C" w:rsidP="0043030C">
            <w:pPr>
              <w:autoSpaceDE w:val="0"/>
              <w:autoSpaceDN w:val="0"/>
              <w:adjustRightInd w:val="0"/>
              <w:spacing w:after="0" w:line="240" w:lineRule="auto"/>
              <w:jc w:val="center"/>
              <w:rPr>
                <w:rFonts w:ascii="Times New Roman" w:eastAsia="Times New Roman" w:hAnsi="Times New Roman" w:cs="Times New Roman"/>
                <w:kern w:val="0"/>
                <w:lang w:val="en-GB" w:eastAsia="de-DE"/>
                <w14:ligatures w14:val="none"/>
              </w:rPr>
            </w:pPr>
            <w:r w:rsidRPr="0043030C">
              <w:rPr>
                <w:rFonts w:ascii="Times New Roman" w:eastAsia="Times New Roman" w:hAnsi="Times New Roman" w:cs="Times New Roman"/>
                <w:kern w:val="0"/>
                <w:lang w:val="en-GB" w:eastAsia="de-DE"/>
                <w14:ligatures w14:val="none"/>
              </w:rPr>
              <w:t>22,8; 39,9</w:t>
            </w:r>
          </w:p>
        </w:tc>
      </w:tr>
      <w:tr w:rsidR="0043030C" w:rsidRPr="0043030C" w14:paraId="54C26137" w14:textId="77777777" w:rsidTr="00A3683F">
        <w:trPr>
          <w:trHeight w:val="148"/>
        </w:trPr>
        <w:tc>
          <w:tcPr>
            <w:tcW w:w="2502" w:type="pct"/>
          </w:tcPr>
          <w:p w14:paraId="5F29B0A4" w14:textId="77777777" w:rsidR="0043030C" w:rsidRPr="0043030C" w:rsidRDefault="0043030C" w:rsidP="0043030C">
            <w:pPr>
              <w:autoSpaceDE w:val="0"/>
              <w:autoSpaceDN w:val="0"/>
              <w:adjustRightInd w:val="0"/>
              <w:spacing w:after="0" w:line="240" w:lineRule="auto"/>
              <w:ind w:left="179"/>
              <w:rPr>
                <w:rFonts w:ascii="Times New Roman" w:eastAsia="Times New Roman" w:hAnsi="Times New Roman" w:cs="Times New Roman"/>
                <w:kern w:val="0"/>
                <w:lang w:val="en-GB" w:eastAsia="de-DE"/>
                <w14:ligatures w14:val="none"/>
              </w:rPr>
            </w:pPr>
            <w:r w:rsidRPr="0043030C">
              <w:rPr>
                <w:rFonts w:ascii="Times New Roman" w:eastAsia="Times New Roman" w:hAnsi="Times New Roman" w:cs="Times New Roman"/>
                <w:kern w:val="0"/>
                <w:lang w:val="en-GB" w:eastAsia="de-DE"/>
                <w14:ligatures w14:val="none"/>
              </w:rPr>
              <w:t xml:space="preserve">Lakozamid – Placebo </w:t>
            </w:r>
          </w:p>
        </w:tc>
        <w:tc>
          <w:tcPr>
            <w:tcW w:w="2498" w:type="pct"/>
            <w:gridSpan w:val="2"/>
          </w:tcPr>
          <w:p w14:paraId="5D6A5EC4" w14:textId="77777777" w:rsidR="0043030C" w:rsidRPr="0043030C" w:rsidRDefault="0043030C" w:rsidP="0043030C">
            <w:pPr>
              <w:autoSpaceDE w:val="0"/>
              <w:autoSpaceDN w:val="0"/>
              <w:adjustRightInd w:val="0"/>
              <w:spacing w:after="0" w:line="240" w:lineRule="auto"/>
              <w:jc w:val="center"/>
              <w:rPr>
                <w:rFonts w:ascii="Times New Roman" w:eastAsia="Times New Roman" w:hAnsi="Times New Roman" w:cs="Times New Roman"/>
                <w:kern w:val="0"/>
                <w:lang w:val="en-GB" w:eastAsia="de-DE"/>
                <w14:ligatures w14:val="none"/>
              </w:rPr>
            </w:pPr>
            <w:r w:rsidRPr="0043030C">
              <w:rPr>
                <w:rFonts w:ascii="Times New Roman" w:eastAsia="Times New Roman" w:hAnsi="Times New Roman" w:cs="Times New Roman"/>
                <w:kern w:val="0"/>
                <w:lang w:val="en-GB" w:eastAsia="de-DE"/>
                <w14:ligatures w14:val="none"/>
              </w:rPr>
              <w:t>14,1</w:t>
            </w:r>
          </w:p>
        </w:tc>
      </w:tr>
      <w:tr w:rsidR="0043030C" w:rsidRPr="0043030C" w14:paraId="11EFC4B3" w14:textId="77777777" w:rsidTr="00A3683F">
        <w:trPr>
          <w:trHeight w:val="148"/>
        </w:trPr>
        <w:tc>
          <w:tcPr>
            <w:tcW w:w="2502" w:type="pct"/>
          </w:tcPr>
          <w:p w14:paraId="401856EB" w14:textId="77777777" w:rsidR="0043030C" w:rsidRPr="0043030C" w:rsidRDefault="0043030C" w:rsidP="0043030C">
            <w:pPr>
              <w:autoSpaceDE w:val="0"/>
              <w:autoSpaceDN w:val="0"/>
              <w:adjustRightInd w:val="0"/>
              <w:spacing w:after="0" w:line="240" w:lineRule="auto"/>
              <w:ind w:left="179"/>
              <w:rPr>
                <w:rFonts w:ascii="Times New Roman" w:eastAsia="Times New Roman" w:hAnsi="Times New Roman" w:cs="Times New Roman"/>
                <w:kern w:val="0"/>
                <w:lang w:eastAsia="de-DE"/>
                <w14:ligatures w14:val="none"/>
              </w:rPr>
            </w:pPr>
            <w:r w:rsidRPr="0043030C">
              <w:rPr>
                <w:rFonts w:ascii="Times New Roman" w:eastAsia="Times New Roman" w:hAnsi="Times New Roman" w:cs="Times New Roman"/>
                <w:kern w:val="0"/>
                <w:lang w:eastAsia="de-DE"/>
                <w14:ligatures w14:val="none"/>
              </w:rPr>
              <w:t xml:space="preserve">95%-os CI </w:t>
            </w:r>
          </w:p>
        </w:tc>
        <w:tc>
          <w:tcPr>
            <w:tcW w:w="2498" w:type="pct"/>
            <w:gridSpan w:val="2"/>
          </w:tcPr>
          <w:p w14:paraId="00CB4A58" w14:textId="77777777" w:rsidR="0043030C" w:rsidRPr="0043030C" w:rsidRDefault="0043030C" w:rsidP="0043030C">
            <w:pPr>
              <w:autoSpaceDE w:val="0"/>
              <w:autoSpaceDN w:val="0"/>
              <w:adjustRightInd w:val="0"/>
              <w:spacing w:after="0" w:line="240" w:lineRule="auto"/>
              <w:jc w:val="center"/>
              <w:rPr>
                <w:rFonts w:ascii="Times New Roman" w:eastAsia="Times New Roman" w:hAnsi="Times New Roman" w:cs="Times New Roman"/>
                <w:kern w:val="0"/>
                <w:lang w:eastAsia="de-DE"/>
                <w14:ligatures w14:val="none"/>
              </w:rPr>
            </w:pPr>
            <w:r w:rsidRPr="0043030C">
              <w:rPr>
                <w:rFonts w:ascii="Times New Roman" w:eastAsia="Times New Roman" w:hAnsi="Times New Roman" w:cs="Times New Roman"/>
                <w:kern w:val="0"/>
                <w:lang w:eastAsia="de-DE"/>
                <w14:ligatures w14:val="none"/>
              </w:rPr>
              <w:t>3,2; 25,1</w:t>
            </w:r>
          </w:p>
        </w:tc>
      </w:tr>
      <w:tr w:rsidR="0043030C" w:rsidRPr="0043030C" w14:paraId="77D140FB" w14:textId="77777777" w:rsidTr="00A3683F">
        <w:trPr>
          <w:trHeight w:val="148"/>
        </w:trPr>
        <w:tc>
          <w:tcPr>
            <w:tcW w:w="2502" w:type="pct"/>
          </w:tcPr>
          <w:p w14:paraId="3659B962" w14:textId="77777777" w:rsidR="0043030C" w:rsidRPr="0043030C" w:rsidRDefault="0043030C" w:rsidP="0043030C">
            <w:pPr>
              <w:autoSpaceDE w:val="0"/>
              <w:autoSpaceDN w:val="0"/>
              <w:adjustRightInd w:val="0"/>
              <w:spacing w:after="0" w:line="240" w:lineRule="auto"/>
              <w:ind w:left="179"/>
              <w:rPr>
                <w:rFonts w:ascii="Times New Roman" w:eastAsia="Times New Roman" w:hAnsi="Times New Roman" w:cs="Times New Roman"/>
                <w:kern w:val="0"/>
                <w:lang w:eastAsia="de-DE"/>
                <w14:ligatures w14:val="none"/>
              </w:rPr>
            </w:pPr>
            <w:r w:rsidRPr="0043030C">
              <w:rPr>
                <w:rFonts w:ascii="Times New Roman" w:eastAsia="Times New Roman" w:hAnsi="Times New Roman" w:cs="Times New Roman"/>
                <w:kern w:val="0"/>
                <w:lang w:eastAsia="de-DE"/>
                <w14:ligatures w14:val="none"/>
              </w:rPr>
              <w:t xml:space="preserve">p-érték </w:t>
            </w:r>
          </w:p>
        </w:tc>
        <w:tc>
          <w:tcPr>
            <w:tcW w:w="2498" w:type="pct"/>
            <w:gridSpan w:val="2"/>
          </w:tcPr>
          <w:p w14:paraId="2B29A5FA" w14:textId="77777777" w:rsidR="0043030C" w:rsidRPr="0043030C" w:rsidRDefault="0043030C" w:rsidP="0043030C">
            <w:pPr>
              <w:autoSpaceDE w:val="0"/>
              <w:autoSpaceDN w:val="0"/>
              <w:adjustRightInd w:val="0"/>
              <w:spacing w:after="0" w:line="240" w:lineRule="auto"/>
              <w:jc w:val="center"/>
              <w:rPr>
                <w:rFonts w:ascii="Times New Roman" w:eastAsia="Times New Roman" w:hAnsi="Times New Roman" w:cs="Times New Roman"/>
                <w:kern w:val="0"/>
                <w:lang w:eastAsia="de-DE"/>
                <w14:ligatures w14:val="none"/>
              </w:rPr>
            </w:pPr>
            <w:r w:rsidRPr="0043030C">
              <w:rPr>
                <w:rFonts w:ascii="Times New Roman" w:eastAsia="Times New Roman" w:hAnsi="Times New Roman" w:cs="Times New Roman"/>
                <w:kern w:val="0"/>
                <w:lang w:eastAsia="de-DE"/>
                <w14:ligatures w14:val="none"/>
              </w:rPr>
              <w:t>0,011</w:t>
            </w:r>
          </w:p>
        </w:tc>
      </w:tr>
    </w:tbl>
    <w:p w14:paraId="31B6E33B"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Megjegyzés: A lakozamid-csoportban a második PGTCS-ig eltelt idő mediánját nem lehetett megbecsülni Kaplan–Meier-módszerrel, mert a betegek &gt; 50%-ánál nem lépett fel második PGTCS a 166. napig.</w:t>
      </w:r>
    </w:p>
    <w:p w14:paraId="503826A0"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152E99F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gyermekek és serdülők alcsoportjában tett megfigyelések konzisztensek voltak a teljes populáció eredményeivel az elsődleges, másodlagos és egyéb hatásossági végpontok esetében.</w:t>
      </w:r>
    </w:p>
    <w:p w14:paraId="37D4C03E"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77DFD081" w14:textId="77777777" w:rsidR="0043030C" w:rsidRPr="0043030C" w:rsidRDefault="0043030C" w:rsidP="003050B8">
      <w:pPr>
        <w:keepNext/>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b/>
          <w:bCs/>
          <w:color w:val="000000"/>
          <w:kern w:val="0"/>
          <w14:ligatures w14:val="none"/>
        </w:rPr>
        <w:lastRenderedPageBreak/>
        <w:t>5.2</w:t>
      </w:r>
      <w:r w:rsidRPr="0043030C">
        <w:rPr>
          <w:rFonts w:ascii="Times New Roman" w:eastAsia="Calibri" w:hAnsi="Times New Roman" w:cs="Times New Roman"/>
          <w:b/>
          <w:bCs/>
          <w:color w:val="000000"/>
          <w:kern w:val="0"/>
          <w14:ligatures w14:val="none"/>
        </w:rPr>
        <w:tab/>
        <w:t>Farmakokinetikai tulajdonságok</w:t>
      </w:r>
    </w:p>
    <w:p w14:paraId="604ED7BA" w14:textId="77777777" w:rsidR="0043030C" w:rsidRPr="0043030C" w:rsidRDefault="0043030C" w:rsidP="003050B8">
      <w:pPr>
        <w:keepNext/>
        <w:autoSpaceDE w:val="0"/>
        <w:autoSpaceDN w:val="0"/>
        <w:adjustRightInd w:val="0"/>
        <w:spacing w:after="0" w:line="240" w:lineRule="auto"/>
        <w:rPr>
          <w:rFonts w:ascii="Times New Roman" w:eastAsia="Calibri" w:hAnsi="Times New Roman" w:cs="Times New Roman"/>
          <w:color w:val="000000"/>
          <w:kern w:val="0"/>
          <w14:ligatures w14:val="none"/>
        </w:rPr>
      </w:pPr>
    </w:p>
    <w:p w14:paraId="4BB6E5F1" w14:textId="77777777" w:rsidR="0043030C" w:rsidRPr="0043030C" w:rsidRDefault="0043030C" w:rsidP="003050B8">
      <w:pPr>
        <w:keepNext/>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Felszívódás</w:t>
      </w:r>
    </w:p>
    <w:p w14:paraId="42A0338E" w14:textId="77777777" w:rsidR="0043030C" w:rsidRPr="0043030C" w:rsidRDefault="0043030C" w:rsidP="003050B8">
      <w:pPr>
        <w:keepNext/>
        <w:autoSpaceDE w:val="0"/>
        <w:autoSpaceDN w:val="0"/>
        <w:adjustRightInd w:val="0"/>
        <w:spacing w:after="0" w:line="240" w:lineRule="auto"/>
        <w:rPr>
          <w:rFonts w:ascii="Times New Roman" w:eastAsia="Calibri" w:hAnsi="Times New Roman" w:cs="Times New Roman"/>
          <w:color w:val="000000"/>
          <w:kern w:val="0"/>
          <w14:ligatures w14:val="none"/>
        </w:rPr>
      </w:pPr>
    </w:p>
    <w:p w14:paraId="16E6A2BC"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Szájon át történő alkalmazást követően a lakozamid gyorsan és teljesen felszívódik</w:t>
      </w:r>
      <w:r w:rsidRPr="0043030C">
        <w:rPr>
          <w:rFonts w:ascii="Times New Roman" w:eastAsia="Calibri" w:hAnsi="Times New Roman" w:cs="Times New Roman"/>
          <w:b/>
          <w:bCs/>
          <w:i/>
          <w:iCs/>
          <w:color w:val="000000"/>
          <w:kern w:val="0"/>
          <w14:ligatures w14:val="none"/>
        </w:rPr>
        <w:t xml:space="preserve">. </w:t>
      </w:r>
      <w:r w:rsidRPr="0043030C">
        <w:rPr>
          <w:rFonts w:ascii="Times New Roman" w:eastAsia="Calibri" w:hAnsi="Times New Roman" w:cs="Times New Roman"/>
          <w:color w:val="000000"/>
          <w:kern w:val="0"/>
          <w14:ligatures w14:val="none"/>
        </w:rPr>
        <w:t xml:space="preserve">A </w:t>
      </w:r>
      <w:r w:rsidRPr="0043030C">
        <w:rPr>
          <w:rFonts w:ascii="Times New Roman" w:eastAsia="Calibri" w:hAnsi="Times New Roman" w:cs="Times New Roman"/>
          <w:i/>
          <w:color w:val="000000"/>
          <w:kern w:val="0"/>
          <w14:ligatures w14:val="none"/>
        </w:rPr>
        <w:t>per os</w:t>
      </w:r>
      <w:r w:rsidRPr="0043030C">
        <w:rPr>
          <w:rFonts w:ascii="Times New Roman" w:eastAsia="Calibri" w:hAnsi="Times New Roman" w:cs="Times New Roman"/>
          <w:color w:val="000000"/>
          <w:kern w:val="0"/>
          <w14:ligatures w14:val="none"/>
        </w:rPr>
        <w:t xml:space="preserve"> lakozamid tabletta biohasznosulása közel 100%. Szájon át történő alkalmazást követően a változatlan formájú lakozamid plazmakoncentrációja gyorsan növekszik, és C</w:t>
      </w:r>
      <w:r w:rsidRPr="0043030C">
        <w:rPr>
          <w:rFonts w:ascii="Times New Roman" w:eastAsia="Calibri" w:hAnsi="Times New Roman" w:cs="Times New Roman"/>
          <w:color w:val="000000"/>
          <w:kern w:val="0"/>
          <w:vertAlign w:val="subscript"/>
          <w14:ligatures w14:val="none"/>
        </w:rPr>
        <w:t>max</w:t>
      </w:r>
      <w:r w:rsidRPr="0043030C">
        <w:rPr>
          <w:rFonts w:ascii="Times New Roman" w:eastAsia="Calibri" w:hAnsi="Times New Roman" w:cs="Times New Roman"/>
          <w:color w:val="000000"/>
          <w:kern w:val="0"/>
          <w:position w:val="-8"/>
          <w:vertAlign w:val="subscript"/>
          <w14:ligatures w14:val="none"/>
        </w:rPr>
        <w:t xml:space="preserve"> </w:t>
      </w:r>
      <w:r w:rsidRPr="0043030C">
        <w:rPr>
          <w:rFonts w:ascii="Times New Roman" w:eastAsia="Calibri" w:hAnsi="Times New Roman" w:cs="Times New Roman"/>
          <w:color w:val="000000"/>
          <w:kern w:val="0"/>
          <w14:ligatures w14:val="none"/>
        </w:rPr>
        <w:t>-értékét az adagolást követően körülbelül 0,5–4 óra múlva éri el. A lakozamid tabletta és szirup biológiailag egyenértékűek. A táplálék nem befolyásolja a felszívódás sebességét és mértékét.</w:t>
      </w:r>
    </w:p>
    <w:p w14:paraId="28FDB91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28B2D3C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Eloszlás</w:t>
      </w:r>
    </w:p>
    <w:p w14:paraId="6F72DE51"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24C7BAA5"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Az eloszlási térfogat körülbelül 0,6 l/kg. A lakozamidnak kevesebb, mint 15%-a kötődik plazmafehérjékhez.</w:t>
      </w:r>
    </w:p>
    <w:p w14:paraId="1D50111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23ACDF0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Biotranszformáció</w:t>
      </w:r>
    </w:p>
    <w:p w14:paraId="39F4B515"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7BD3C08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dózis 95%-a ürül a vizelettel, hatóanyag és metabolitjai formájában. A lakozamid metabolizmusa még nem teljesen ismert.</w:t>
      </w:r>
    </w:p>
    <w:p w14:paraId="058E6D2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 xml:space="preserve">A vizelettel kiválasztott legfontosabb vegyületek a változatlan lakozamid (körülbelül a dózis 40%-a) és az </w:t>
      </w:r>
      <w:r w:rsidRPr="0043030C">
        <w:rPr>
          <w:rFonts w:ascii="Times New Roman" w:eastAsia="Calibri" w:hAnsi="Times New Roman" w:cs="Times New Roman"/>
          <w:iCs/>
          <w:color w:val="000000"/>
          <w:kern w:val="0"/>
          <w14:ligatures w14:val="none"/>
        </w:rPr>
        <w:t>O</w:t>
      </w:r>
      <w:r w:rsidRPr="0043030C">
        <w:rPr>
          <w:rFonts w:ascii="Times New Roman" w:eastAsia="Calibri" w:hAnsi="Times New Roman" w:cs="Times New Roman"/>
          <w:color w:val="000000"/>
          <w:kern w:val="0"/>
          <w14:ligatures w14:val="none"/>
        </w:rPr>
        <w:t>-dezmetil metabolitja, 30%-nál kisebb arányban.</w:t>
      </w:r>
    </w:p>
    <w:p w14:paraId="43FDAD0F"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vizeletben körülbelül 20%-ot tesz ki egy poláris frakció – valószínűleg egy szerin-származék –, amely azonban csak kis mennyiségben (0–2%) volt kimutatható a humán plazmában, egyes vizsgálati alanyoknál. További metabolitok kis mennyiségben (0,5–2%) találhatók meg a vizeletben.</w:t>
      </w:r>
    </w:p>
    <w:p w14:paraId="75E4EE04" w14:textId="0C23C225"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i/>
          <w:iCs/>
          <w:color w:val="000000"/>
          <w:kern w:val="0"/>
          <w14:ligatures w14:val="none"/>
        </w:rPr>
        <w:t xml:space="preserve">In vitro </w:t>
      </w:r>
      <w:r w:rsidRPr="0043030C">
        <w:rPr>
          <w:rFonts w:ascii="Times New Roman" w:eastAsia="Calibri" w:hAnsi="Times New Roman" w:cs="Times New Roman"/>
          <w:color w:val="000000"/>
          <w:kern w:val="0"/>
          <w14:ligatures w14:val="none"/>
        </w:rPr>
        <w:t xml:space="preserve">adatok azt mutatják, hogy a CYP2C9, a CYP2C19 és a CYP3A4 katalizálni képes az </w:t>
      </w:r>
      <w:r w:rsidRPr="0043030C">
        <w:rPr>
          <w:rFonts w:ascii="Times New Roman" w:eastAsia="Calibri" w:hAnsi="Times New Roman" w:cs="Times New Roman"/>
          <w:iCs/>
          <w:color w:val="000000"/>
          <w:kern w:val="0"/>
          <w14:ligatures w14:val="none"/>
        </w:rPr>
        <w:t>O</w:t>
      </w:r>
      <w:r w:rsidRPr="0043030C">
        <w:rPr>
          <w:rFonts w:ascii="Times New Roman" w:eastAsia="Calibri" w:hAnsi="Times New Roman" w:cs="Times New Roman"/>
          <w:color w:val="000000"/>
          <w:kern w:val="0"/>
          <w14:ligatures w14:val="none"/>
        </w:rPr>
        <w:noBreakHyphen/>
        <w:t xml:space="preserve">dezmetil metabolit képződését, de </w:t>
      </w:r>
      <w:r w:rsidRPr="0043030C">
        <w:rPr>
          <w:rFonts w:ascii="Times New Roman" w:eastAsia="Calibri" w:hAnsi="Times New Roman" w:cs="Times New Roman"/>
          <w:i/>
          <w:iCs/>
          <w:color w:val="000000"/>
          <w:kern w:val="0"/>
          <w14:ligatures w14:val="none"/>
        </w:rPr>
        <w:t xml:space="preserve">in vivo </w:t>
      </w:r>
      <w:r w:rsidRPr="0043030C">
        <w:rPr>
          <w:rFonts w:ascii="Times New Roman" w:eastAsia="Calibri" w:hAnsi="Times New Roman" w:cs="Times New Roman"/>
          <w:color w:val="000000"/>
          <w:kern w:val="0"/>
          <w14:ligatures w14:val="none"/>
        </w:rPr>
        <w:t xml:space="preserve">a legfontosabb szerepet játszó izoenzimet nem azonosították. Nem találtak klinikai szempontból jelentős különbséget a lakozamid-expozícióban, amikor összehasonlították a lakozamid farmakokinetikáját </w:t>
      </w:r>
      <w:r w:rsidR="002B5EF6">
        <w:rPr>
          <w:rFonts w:ascii="Times New Roman" w:eastAsia="Calibri" w:hAnsi="Times New Roman" w:cs="Times New Roman"/>
          <w:color w:val="000000"/>
          <w:kern w:val="0"/>
          <w14:ligatures w14:val="none"/>
        </w:rPr>
        <w:t xml:space="preserve">a </w:t>
      </w:r>
      <w:r w:rsidRPr="0043030C">
        <w:rPr>
          <w:rFonts w:ascii="Times New Roman" w:eastAsia="Calibri" w:hAnsi="Times New Roman" w:cs="Times New Roman"/>
          <w:color w:val="000000"/>
          <w:kern w:val="0"/>
          <w14:ligatures w14:val="none"/>
        </w:rPr>
        <w:t xml:space="preserve">gyors metabolizálók (akiknél megtalálható a funkcionális CYP2C19) és </w:t>
      </w:r>
      <w:r w:rsidR="002B5EF6">
        <w:rPr>
          <w:rFonts w:ascii="Times New Roman" w:eastAsia="Calibri" w:hAnsi="Times New Roman" w:cs="Times New Roman"/>
          <w:color w:val="000000"/>
          <w:kern w:val="0"/>
          <w14:ligatures w14:val="none"/>
        </w:rPr>
        <w:t xml:space="preserve">a </w:t>
      </w:r>
      <w:r w:rsidRPr="0043030C">
        <w:rPr>
          <w:rFonts w:ascii="Times New Roman" w:eastAsia="Calibri" w:hAnsi="Times New Roman" w:cs="Times New Roman"/>
          <w:color w:val="000000"/>
          <w:kern w:val="0"/>
          <w14:ligatures w14:val="none"/>
        </w:rPr>
        <w:t xml:space="preserve">lassú metabolizálók között (akiknél hiányzik a funkcionális CYP2C19). Továbbá, egy omeprazollal (CYP2C19-inhibitor) végzett interakciós vizsgálat nem mutatott ki klinikailag lényeges változásokat a lakozamid plazmakoncentrációiban, ami arra utal, hogy ezen mechanizmus jelentősége csekély. Az </w:t>
      </w:r>
      <w:r w:rsidRPr="0043030C">
        <w:rPr>
          <w:rFonts w:ascii="Times New Roman" w:eastAsia="Calibri" w:hAnsi="Times New Roman" w:cs="Times New Roman"/>
          <w:iCs/>
          <w:color w:val="000000"/>
          <w:kern w:val="0"/>
          <w14:ligatures w14:val="none"/>
        </w:rPr>
        <w:t>O</w:t>
      </w:r>
      <w:r w:rsidRPr="0043030C">
        <w:rPr>
          <w:rFonts w:ascii="Times New Roman" w:eastAsia="Calibri" w:hAnsi="Times New Roman" w:cs="Times New Roman"/>
          <w:color w:val="000000"/>
          <w:kern w:val="0"/>
          <w14:ligatures w14:val="none"/>
        </w:rPr>
        <w:t>-dezmetil-lakozamid plazmakoncentrációja körülbelül 15%-a a lakozamid plazmakoncentrációjának. Ennek a fő metabolitnak nincs ismert farmakológiai hatása.</w:t>
      </w:r>
    </w:p>
    <w:p w14:paraId="6A8BF9ED"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16FFD749"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Elimináció</w:t>
      </w:r>
    </w:p>
    <w:p w14:paraId="6FF2CB5B"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507058F8" w14:textId="03826EEA" w:rsidR="0043030C" w:rsidRPr="0043030C" w:rsidRDefault="0043030C" w:rsidP="0043030C">
      <w:pPr>
        <w:spacing w:after="0" w:line="240" w:lineRule="auto"/>
        <w:rPr>
          <w:rFonts w:ascii="Times New Roman" w:eastAsia="Calibri" w:hAnsi="Times New Roman" w:cs="Times New Roman"/>
          <w:kern w:val="0"/>
          <w14:ligatures w14:val="none"/>
        </w:rPr>
      </w:pPr>
      <w:r w:rsidRPr="0043030C">
        <w:rPr>
          <w:rFonts w:ascii="Times New Roman" w:eastAsia="Calibri" w:hAnsi="Times New Roman" w:cs="Times New Roman"/>
          <w:kern w:val="0"/>
          <w14:ligatures w14:val="none"/>
        </w:rPr>
        <w:t>A lakozamid elsősorban a vesén keresztül és biotranszformáció révén választódik ki a szisztémás keringésből. Radioaktív jelzéssel ellátott lakozamid orális és intravénás alkalmazását követően a beadott radioaktivitás körülbelül 95%-a volt visszanyerhető a vizeletből, és kevesebb, mint 0,5%-a a székletből. A lakozamid eliminációs felezési ideje körülbelül 13 óra. A farmakokinetika a dózissal arányos és az idő függvényében állandó, alacsony, egyéneken belüli és egyének közötti variabilitással. Naponta kétszeri adagolást követően a</w:t>
      </w:r>
      <w:r w:rsidR="000253A4">
        <w:rPr>
          <w:rFonts w:ascii="Times New Roman" w:eastAsia="Calibri" w:hAnsi="Times New Roman" w:cs="Times New Roman"/>
          <w:kern w:val="0"/>
          <w14:ligatures w14:val="none"/>
        </w:rPr>
        <w:t xml:space="preserve"> dinamikus</w:t>
      </w:r>
      <w:r w:rsidRPr="0043030C">
        <w:rPr>
          <w:rFonts w:ascii="Times New Roman" w:eastAsia="Calibri" w:hAnsi="Times New Roman" w:cs="Times New Roman"/>
          <w:kern w:val="0"/>
          <w14:ligatures w14:val="none"/>
        </w:rPr>
        <w:t xml:space="preserve"> egyensúlyi állapot (steady-state) plazmakoncentrációi 3 napos időszak után érhetők el. A plazmakoncentráció körülbelül 2-es akkumulációs faktorral növekszik.</w:t>
      </w:r>
    </w:p>
    <w:p w14:paraId="01120621" w14:textId="77777777" w:rsidR="0043030C" w:rsidRPr="0043030C" w:rsidRDefault="0043030C" w:rsidP="0043030C">
      <w:pPr>
        <w:spacing w:after="0" w:line="240" w:lineRule="auto"/>
        <w:rPr>
          <w:rFonts w:ascii="Times New Roman" w:eastAsia="Calibri" w:hAnsi="Times New Roman" w:cs="Times New Roman"/>
          <w:kern w:val="0"/>
          <w14:ligatures w14:val="none"/>
        </w:rPr>
      </w:pPr>
    </w:p>
    <w:p w14:paraId="2B81BFE9"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 xml:space="preserve">Egyetlen 200 mg-os telítő dózissal megközelítőleg ugyanolyan dinamikus egyensúlyi állapotú koncentrációk érhetők el, mint a naponta kétszer 100 mg-os </w:t>
      </w:r>
      <w:r w:rsidRPr="0043030C">
        <w:rPr>
          <w:rFonts w:ascii="Times New Roman" w:eastAsia="Calibri" w:hAnsi="Times New Roman" w:cs="Times New Roman"/>
          <w:i/>
          <w:iCs/>
          <w:color w:val="000000"/>
          <w:kern w:val="0"/>
          <w14:ligatures w14:val="none"/>
        </w:rPr>
        <w:t xml:space="preserve">per os </w:t>
      </w:r>
      <w:r w:rsidRPr="0043030C">
        <w:rPr>
          <w:rFonts w:ascii="Times New Roman" w:eastAsia="Calibri" w:hAnsi="Times New Roman" w:cs="Times New Roman"/>
          <w:color w:val="000000"/>
          <w:kern w:val="0"/>
          <w14:ligatures w14:val="none"/>
        </w:rPr>
        <w:t>dózis alkalmazása után.</w:t>
      </w:r>
    </w:p>
    <w:p w14:paraId="2BAC0FA9"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02E1865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Farmakokinetika különleges betegcsoportoknál</w:t>
      </w:r>
    </w:p>
    <w:p w14:paraId="20EBCC27"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1103BEC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i/>
          <w:iCs/>
          <w:color w:val="000000"/>
          <w:kern w:val="0"/>
          <w14:ligatures w14:val="none"/>
        </w:rPr>
      </w:pPr>
      <w:r w:rsidRPr="0043030C">
        <w:rPr>
          <w:rFonts w:ascii="Times New Roman" w:eastAsia="Calibri" w:hAnsi="Times New Roman" w:cs="Times New Roman"/>
          <w:i/>
          <w:iCs/>
          <w:color w:val="000000"/>
          <w:kern w:val="0"/>
          <w14:ligatures w14:val="none"/>
        </w:rPr>
        <w:t>Nem</w:t>
      </w:r>
    </w:p>
    <w:p w14:paraId="57BA15B8"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Klinikai vizsgálatok azt mutatják, hogy a nemnek nincs klinikailag lényeges hatása a lakozamid plazmakoncentrációira.</w:t>
      </w:r>
    </w:p>
    <w:p w14:paraId="18E011FE"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671F0CD8" w14:textId="77777777" w:rsidR="0043030C" w:rsidRPr="0043030C" w:rsidRDefault="0043030C" w:rsidP="003050B8">
      <w:pPr>
        <w:keepNext/>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i/>
          <w:iCs/>
          <w:color w:val="000000"/>
          <w:kern w:val="0"/>
          <w14:ligatures w14:val="none"/>
        </w:rPr>
        <w:lastRenderedPageBreak/>
        <w:t>Vesekárosodás</w:t>
      </w:r>
    </w:p>
    <w:p w14:paraId="2D3CB6ED"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lakozamid AUC-értéke körülbelül 30%-kal emelkedett enyhe vagy közepesen súlyos fokú, és 60%</w:t>
      </w:r>
      <w:r w:rsidRPr="0043030C">
        <w:rPr>
          <w:rFonts w:ascii="Times New Roman" w:eastAsia="Calibri" w:hAnsi="Times New Roman" w:cs="Times New Roman"/>
          <w:color w:val="000000"/>
          <w:kern w:val="0"/>
          <w14:ligatures w14:val="none"/>
        </w:rPr>
        <w:noBreakHyphen/>
        <w:t>kal súlyos fokú vesekárosodásban szenvedő és hemodialízisre szoruló, végstádiumú vesebetegségben szenvedő betegeknél, az egészséges vizsgálati alanyokkal összehasonlítva, a C</w:t>
      </w:r>
      <w:r w:rsidRPr="0043030C">
        <w:rPr>
          <w:rFonts w:ascii="Times New Roman" w:eastAsia="Calibri" w:hAnsi="Times New Roman" w:cs="Times New Roman"/>
          <w:color w:val="000000"/>
          <w:kern w:val="0"/>
          <w:vertAlign w:val="subscript"/>
          <w14:ligatures w14:val="none"/>
        </w:rPr>
        <w:t>max</w:t>
      </w:r>
      <w:r w:rsidRPr="0043030C">
        <w:rPr>
          <w:rFonts w:ascii="Times New Roman" w:eastAsia="Calibri" w:hAnsi="Times New Roman" w:cs="Times New Roman"/>
          <w:color w:val="000000"/>
          <w:kern w:val="0"/>
          <w14:ligatures w14:val="none"/>
        </w:rPr>
        <w:noBreakHyphen/>
        <w:t>értéke azonban nem változott.</w:t>
      </w:r>
    </w:p>
    <w:p w14:paraId="0D4270A0" w14:textId="3DE5BFF4"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 xml:space="preserve">A lakozamid hatásosan eltávolítható a plazmából hemodialízissel. Egy 4 órás hemodialízis-kezelést követően a lakozamid AUC-értéke körülbelül 50%-kal csökken. Emiatt ajánlott az dózisok kiegészítése hemodialízist követően (lásd 4.2 pont). Az </w:t>
      </w:r>
      <w:r w:rsidRPr="0043030C">
        <w:rPr>
          <w:rFonts w:ascii="Times New Roman" w:eastAsia="Calibri" w:hAnsi="Times New Roman" w:cs="Times New Roman"/>
          <w:iCs/>
          <w:color w:val="000000"/>
          <w:kern w:val="0"/>
          <w14:ligatures w14:val="none"/>
        </w:rPr>
        <w:t>O</w:t>
      </w:r>
      <w:r w:rsidRPr="0043030C">
        <w:rPr>
          <w:rFonts w:ascii="Times New Roman" w:eastAsia="Calibri" w:hAnsi="Times New Roman" w:cs="Times New Roman"/>
          <w:color w:val="000000"/>
          <w:kern w:val="0"/>
          <w14:ligatures w14:val="none"/>
        </w:rPr>
        <w:t>-dezmetil</w:t>
      </w:r>
      <w:r w:rsidR="000253A4">
        <w:rPr>
          <w:rFonts w:ascii="Times New Roman" w:eastAsia="Calibri" w:hAnsi="Times New Roman" w:cs="Times New Roman"/>
          <w:color w:val="000000"/>
          <w:kern w:val="0"/>
          <w14:ligatures w14:val="none"/>
        </w:rPr>
        <w:t>-</w:t>
      </w:r>
      <w:r w:rsidRPr="0043030C">
        <w:rPr>
          <w:rFonts w:ascii="Times New Roman" w:eastAsia="Calibri" w:hAnsi="Times New Roman" w:cs="Times New Roman"/>
          <w:color w:val="000000"/>
          <w:kern w:val="0"/>
          <w14:ligatures w14:val="none"/>
        </w:rPr>
        <w:t>metabolit-expozíció többszörösére nőtt közepesen súlyos és súlyos fokú vesekárosodásban szenvedő betegek esetében. Végstádiumú vesebetegségben szenvedő betegeknél hemodialízis hiányában a szintek magasabbak voltak, és folyamatosan emelkedtek a 24 órás mintavétel alatt. Nem ismert, hogy a végstádiumú vesebetegségben szenvedő egyéneknél a magasabb metabolit-expozíció okozhat-e mellékhatásokat, farmakológiai aktivitást azonban nem találtak a metabolit esetében.</w:t>
      </w:r>
    </w:p>
    <w:p w14:paraId="48E76B6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710F96D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i/>
          <w:iCs/>
          <w:color w:val="000000"/>
          <w:kern w:val="0"/>
          <w14:ligatures w14:val="none"/>
        </w:rPr>
        <w:t>Májkárosodás</w:t>
      </w:r>
    </w:p>
    <w:p w14:paraId="7E19D8AB"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Közepesen súlyos fokú májkárosodásban (Child–Pugh B) szenvedő egyéneknél magasabbak voltak a lakozamid plazmakoncentrációi (körülbelül 50%-kal magasabb AUC</w:t>
      </w:r>
      <w:r w:rsidRPr="0043030C">
        <w:rPr>
          <w:rFonts w:ascii="Times New Roman" w:eastAsia="Calibri" w:hAnsi="Times New Roman" w:cs="Times New Roman"/>
          <w:color w:val="000000"/>
          <w:kern w:val="0"/>
          <w:vertAlign w:val="subscript"/>
          <w14:ligatures w14:val="none"/>
        </w:rPr>
        <w:t>norm</w:t>
      </w:r>
      <w:r w:rsidRPr="0043030C">
        <w:rPr>
          <w:rFonts w:ascii="Times New Roman" w:eastAsia="Calibri" w:hAnsi="Times New Roman" w:cs="Times New Roman"/>
          <w:color w:val="000000"/>
          <w:kern w:val="0"/>
          <w14:ligatures w14:val="none"/>
        </w:rPr>
        <w:t>). A magasabb expozíció részben a vizsgált személyek csökkent vesefunkciójának volt tulajdonítható. A vizsgálatba bevont betegek nem renalis clearance-ének csökkenése a becslések szerint a lakozamid AUC 20%-os növekedését eredményezte. A lakozamid farmakokinetikáját nem vizsgálták súlyos fokú májkárosodásban (lásd 4.2 pont).</w:t>
      </w:r>
    </w:p>
    <w:p w14:paraId="409A04FE"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6FBE5B4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i/>
          <w:iCs/>
          <w:color w:val="000000"/>
          <w:kern w:val="0"/>
          <w14:ligatures w14:val="none"/>
        </w:rPr>
        <w:t>Idősek (65 éves kor felett)</w:t>
      </w:r>
    </w:p>
    <w:p w14:paraId="74C0151E"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Egy idős férfiakkal és nőkkel végzett vizsgálatban – amelybe négy 75 éves kor feletti beteget vontak be – az AUC-érték körülbelül 30, illetve 50%-kal volt magasabb a fiatal férfiak értékeihez képest. Ez részben az alacsonyabb testtömegnek tulajdonítható. A testtömeggel korrigált különbség 26, illetve 23%. Fokozott variabilitást is megfigyeltek az expozíció tekintetében. A lakozamid renális clearance-e csak enyhén csökkent az időseknél ebben a vizsgálatban.</w:t>
      </w:r>
    </w:p>
    <w:p w14:paraId="07F722CD"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Általános dóziscsökkentés nem szükséges, hacsak a csökkent vesefunkció miatt nem indokolt (lásd 4.2 pont).</w:t>
      </w:r>
    </w:p>
    <w:p w14:paraId="2EFED28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00DFB73A"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i/>
          <w:iCs/>
          <w:color w:val="000000"/>
          <w:kern w:val="0"/>
          <w14:ligatures w14:val="none"/>
        </w:rPr>
        <w:t>Gyermekek és serdülők</w:t>
      </w:r>
    </w:p>
    <w:p w14:paraId="2184DD4D"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lakozamid gyermekgyógyászati farmakokinetikai profilját egy populációs farmakokinetikai analízisben határozták meg 6 placebokontrollos, randomizált klinikai vizsgálatból, és 5 nyílt elrendezésű vizsgálatból nyert, 1655 felnőtt és olyan epilepsziás gyermek és serdülő szórványos plazmakoncentráció-adatait felhasználva, akiknek életkora 1 hónaptól 17 éves korig terjedt. Ezen vizsgálatok közül hármat felnőtteknél, hetet gyermekeknél és serdülőknél, egyet pedig vegyes korcsoportúaknál végeztek. Az alkalmazott lakozamid-dózis napi kétszeri bevitel mellett 2</w:t>
      </w:r>
      <w:r w:rsidRPr="0043030C">
        <w:rPr>
          <w:rFonts w:ascii="Times New Roman" w:eastAsia="Calibri" w:hAnsi="Times New Roman" w:cs="Times New Roman"/>
          <w:color w:val="000000"/>
          <w:kern w:val="0"/>
          <w14:ligatures w14:val="none"/>
        </w:rPr>
        <w:noBreakHyphen/>
        <w:t>17,8 mg/ttkg/nap volt, de legfeljebb 600 mg/nap.</w:t>
      </w:r>
    </w:p>
    <w:p w14:paraId="012A936B"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10 kg-os, 20 kg-os, a 30 kg-os és az 50 kg-os testtömegű gyermekeknél a becsült plazma-clearance 0,46 l/óra, 0,81 l/óra, 1,03 l/óra és 1,34 l/óra volt. Összehasonlításképpen, felnőtteknél (70 kg testtömeg) a becsült plazma-clearance 1,74 l/óra volt.</w:t>
      </w:r>
    </w:p>
    <w:p w14:paraId="5966109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PGTCS-vizsgálatból származó, szórványos farmakokinetikai mintákkal végzett populációs farmakokinetikai elemzés hasonló expozíciót mutatott a PGTCS-es betegeknél és a parciális görcsrohamokban szenvedő betegeknél.</w:t>
      </w:r>
    </w:p>
    <w:p w14:paraId="3B96CF67"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239F70A5"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b/>
          <w:bCs/>
          <w:color w:val="000000"/>
          <w:kern w:val="0"/>
          <w14:ligatures w14:val="none"/>
        </w:rPr>
        <w:t>5.3</w:t>
      </w:r>
      <w:r w:rsidRPr="0043030C">
        <w:rPr>
          <w:rFonts w:ascii="Times New Roman" w:eastAsia="Calibri" w:hAnsi="Times New Roman" w:cs="Times New Roman"/>
          <w:b/>
          <w:bCs/>
          <w:color w:val="000000"/>
          <w:kern w:val="0"/>
          <w14:ligatures w14:val="none"/>
        </w:rPr>
        <w:tab/>
        <w:t>A preklinikai biztonságossági vizsgálatok eredményei</w:t>
      </w:r>
    </w:p>
    <w:p w14:paraId="36B135B2"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4765B9A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 toxicitási vizsgálatokban kapott lakozamid plazmakoncentrációk hasonlóak, vagy csak alig voltak magasabbak a betegek esetében megfigyelt értékeknél, ami a humán expozíció csekély vagy nem létező eltérésére utal.</w:t>
      </w:r>
    </w:p>
    <w:p w14:paraId="248FA97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bookmarkStart w:id="5" w:name="_Hlk31890568"/>
      <w:bookmarkStart w:id="6" w:name="_Hlk31889766"/>
      <w:r w:rsidRPr="0043030C">
        <w:rPr>
          <w:rFonts w:ascii="Times New Roman" w:eastAsia="Calibri" w:hAnsi="Times New Roman" w:cs="Times New Roman"/>
          <w:color w:val="000000"/>
          <w:kern w:val="0"/>
          <w14:ligatures w14:val="none"/>
        </w:rPr>
        <w:t xml:space="preserve">Egy intravénás lakozamid alkalmazásával, altatott kutyákkal végzett biztonságossági farmakológiai </w:t>
      </w:r>
      <w:bookmarkStart w:id="7" w:name="_Hlk31889736"/>
      <w:r w:rsidRPr="0043030C">
        <w:rPr>
          <w:rFonts w:ascii="Times New Roman" w:eastAsia="Calibri" w:hAnsi="Times New Roman" w:cs="Times New Roman"/>
          <w:color w:val="000000"/>
          <w:kern w:val="0"/>
          <w14:ligatures w14:val="none"/>
        </w:rPr>
        <w:t xml:space="preserve">vizsgálatban a PR-intervallum és a QRS-komplexum időtartamának átmeneti növekedését, és a </w:t>
      </w:r>
      <w:bookmarkEnd w:id="7"/>
      <w:r w:rsidRPr="0043030C">
        <w:rPr>
          <w:rFonts w:ascii="Times New Roman" w:eastAsia="Calibri" w:hAnsi="Times New Roman" w:cs="Times New Roman"/>
          <w:color w:val="000000"/>
          <w:kern w:val="0"/>
          <w14:ligatures w14:val="none"/>
        </w:rPr>
        <w:t xml:space="preserve">vérnyomás csökkenését </w:t>
      </w:r>
      <w:bookmarkEnd w:id="5"/>
      <w:r w:rsidRPr="0043030C">
        <w:rPr>
          <w:rFonts w:ascii="Times New Roman" w:eastAsia="Calibri" w:hAnsi="Times New Roman" w:cs="Times New Roman"/>
          <w:color w:val="000000"/>
          <w:kern w:val="0"/>
          <w14:ligatures w14:val="none"/>
        </w:rPr>
        <w:t>figyelték meg, val</w:t>
      </w:r>
      <w:bookmarkEnd w:id="6"/>
      <w:r w:rsidRPr="0043030C">
        <w:rPr>
          <w:rFonts w:ascii="Times New Roman" w:eastAsia="Calibri" w:hAnsi="Times New Roman" w:cs="Times New Roman"/>
          <w:color w:val="000000"/>
          <w:kern w:val="0"/>
          <w14:ligatures w14:val="none"/>
        </w:rPr>
        <w:t xml:space="preserve">ószínűleg cardiodepresszáns hatás következtében. Ezek az átmeneti változások ugyanabban a koncentrációtartományban kezdődtek, mint a maximális ajánlott klinikai adagolás utáni tartomány. Altatott kutyáknál és Cynomolgus majmoknál 15–60 mg/ttkg-os </w:t>
      </w:r>
      <w:r w:rsidRPr="0043030C">
        <w:rPr>
          <w:rFonts w:ascii="Times New Roman" w:eastAsia="Calibri" w:hAnsi="Times New Roman" w:cs="Times New Roman"/>
          <w:color w:val="000000"/>
          <w:kern w:val="0"/>
          <w14:ligatures w14:val="none"/>
        </w:rPr>
        <w:lastRenderedPageBreak/>
        <w:t>intravénás dózisok esetében a pitvari és kamrai ingervezetés csökkenését, atrioventricularis-blokkot és atrioventricularis disszociációt figyeltek meg.</w:t>
      </w:r>
    </w:p>
    <w:p w14:paraId="3664E86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Ismételt adagolású dózistoxicitási vizsgálatokban enyhe, reverzibilis változásokat figyeltek meg patkányok májában a klinikai expozíció körülbelül 3-szorosától kezdődően. Ezek közé a változások közé tartozik a szerv tömegének növekedése, a májsejtek hypertrophiája, a májenzimek szérumkoncentrációinak emelkedése, valamint az összkoleszterin- és trigliceridszintek emelkedése. A májsejtek hypertrophiáján kívül más kórszövettani eltérést nem figyeltek meg.</w:t>
      </w:r>
    </w:p>
    <w:p w14:paraId="5833F39B"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Rágcsálókkal és nyulakkal végzett reprodukciós és fejlődéstoxicitási vizsgálatokban nem észleltek teratogén hatásokat, de a halvaszületett utódok számának és a szülés körüli időszakban elhalt utódok számának növekedését, valamint az élő alomlétszám és az utódok testtömegének enyhe csökkenését figyelték meg patkányoknál olyan anyai toxikus dózisok esetében, amelyek megfelelnek a várt klinikai expozícióhoz hasonló szisztémás expozíciós szinteknek. Mivel magasabb expozíciós szinteket az anyai toxicitás miatt nem vizsgálhattak állatoknál, az adatok nem elegendőek ahhoz, hogy teljes mértékben jellemezni lehessen a lakozamid embrio-foetotoxikus és teratogén potenciálját.</w:t>
      </w:r>
    </w:p>
    <w:p w14:paraId="5C1572C0" w14:textId="3201CF4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Patkányokkal végzett vizsgálatok azt mutatták, hogy a lakozamid</w:t>
      </w:r>
      <w:r w:rsidR="0089313B">
        <w:rPr>
          <w:rFonts w:ascii="Times New Roman" w:eastAsia="Calibri" w:hAnsi="Times New Roman" w:cs="Times New Roman"/>
          <w:color w:val="000000"/>
          <w:kern w:val="0"/>
          <w14:ligatures w14:val="none"/>
        </w:rPr>
        <w:t xml:space="preserve">, illetve </w:t>
      </w:r>
      <w:r w:rsidRPr="0043030C">
        <w:rPr>
          <w:rFonts w:ascii="Times New Roman" w:eastAsia="Calibri" w:hAnsi="Times New Roman" w:cs="Times New Roman"/>
          <w:color w:val="000000"/>
          <w:kern w:val="0"/>
          <w14:ligatures w14:val="none"/>
        </w:rPr>
        <w:t>metabolitjai könnyen átjutnak a placenta barrieren.</w:t>
      </w:r>
    </w:p>
    <w:p w14:paraId="3DE009BD" w14:textId="77777777" w:rsidR="0043030C" w:rsidRPr="0043030C" w:rsidRDefault="0043030C" w:rsidP="0043030C">
      <w:pPr>
        <w:spacing w:after="0" w:line="240" w:lineRule="auto"/>
        <w:rPr>
          <w:rFonts w:ascii="Times New Roman" w:eastAsia="Calibri" w:hAnsi="Times New Roman" w:cs="Times New Roman"/>
          <w:kern w:val="0"/>
          <w14:ligatures w14:val="none"/>
        </w:rPr>
      </w:pPr>
      <w:r w:rsidRPr="0043030C">
        <w:rPr>
          <w:rFonts w:ascii="Times New Roman" w:eastAsia="Calibri" w:hAnsi="Times New Roman" w:cs="Times New Roman"/>
          <w:kern w:val="0"/>
          <w14:ligatures w14:val="none"/>
        </w:rPr>
        <w:t>A fiatal patkányoknál és kutyáknál megfigyelt toxicitási típusok minőségileg nem különböznek a felnőtt állatoknál megfigyeltektől. Fiatal patkányoknál a testtömeg csökkenését figyelték meg a várt klinikai expozícióhoz hasonló szisztémás expozíciós szintek mellett. Fiatal kutyáknál tranziens és dózisfüggő központi idegrendszeri klinikai tüneteket figyeltek meg a várható klinikai expozíciónál alacsonyabb szisztémás expozíciós szintek mellett.</w:t>
      </w:r>
    </w:p>
    <w:p w14:paraId="56E27745" w14:textId="77777777" w:rsidR="0043030C" w:rsidRPr="0043030C" w:rsidRDefault="0043030C" w:rsidP="0043030C">
      <w:pPr>
        <w:spacing w:after="0" w:line="240" w:lineRule="auto"/>
        <w:rPr>
          <w:rFonts w:ascii="Times New Roman" w:eastAsia="Calibri" w:hAnsi="Times New Roman" w:cs="Times New Roman"/>
          <w:kern w:val="0"/>
          <w14:ligatures w14:val="none"/>
        </w:rPr>
      </w:pPr>
    </w:p>
    <w:p w14:paraId="49066337" w14:textId="77777777" w:rsidR="0043030C" w:rsidRPr="0043030C" w:rsidRDefault="0043030C" w:rsidP="0043030C">
      <w:pPr>
        <w:spacing w:after="0" w:line="240" w:lineRule="auto"/>
        <w:rPr>
          <w:rFonts w:ascii="Times New Roman" w:eastAsia="Calibri" w:hAnsi="Times New Roman" w:cs="Times New Roman"/>
          <w:kern w:val="0"/>
          <w14:ligatures w14:val="none"/>
        </w:rPr>
      </w:pPr>
    </w:p>
    <w:p w14:paraId="151903F5"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b/>
          <w:bCs/>
          <w:color w:val="000000"/>
          <w:kern w:val="0"/>
          <w14:ligatures w14:val="none"/>
        </w:rPr>
      </w:pPr>
      <w:r w:rsidRPr="0043030C">
        <w:rPr>
          <w:rFonts w:ascii="Times New Roman" w:eastAsia="Calibri" w:hAnsi="Times New Roman" w:cs="Times New Roman"/>
          <w:b/>
          <w:bCs/>
          <w:color w:val="000000"/>
          <w:kern w:val="0"/>
          <w14:ligatures w14:val="none"/>
        </w:rPr>
        <w:t>6.</w:t>
      </w:r>
      <w:r w:rsidRPr="0043030C">
        <w:rPr>
          <w:rFonts w:ascii="Times New Roman" w:eastAsia="Calibri" w:hAnsi="Times New Roman" w:cs="Times New Roman"/>
          <w:b/>
          <w:bCs/>
          <w:color w:val="000000"/>
          <w:kern w:val="0"/>
          <w14:ligatures w14:val="none"/>
        </w:rPr>
        <w:tab/>
        <w:t>GYÓGYSZERÉSZETI JELLEMZŐK</w:t>
      </w:r>
    </w:p>
    <w:p w14:paraId="7BB992B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p>
    <w:p w14:paraId="193E3F9D"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b/>
          <w:bCs/>
          <w:color w:val="000000"/>
          <w:kern w:val="0"/>
          <w14:ligatures w14:val="none"/>
        </w:rPr>
      </w:pPr>
      <w:r w:rsidRPr="0043030C">
        <w:rPr>
          <w:rFonts w:ascii="Times New Roman" w:eastAsia="Calibri" w:hAnsi="Times New Roman" w:cs="Times New Roman"/>
          <w:b/>
          <w:bCs/>
          <w:color w:val="000000"/>
          <w:kern w:val="0"/>
          <w14:ligatures w14:val="none"/>
        </w:rPr>
        <w:t>6.1</w:t>
      </w:r>
      <w:r w:rsidRPr="0043030C">
        <w:rPr>
          <w:rFonts w:ascii="Times New Roman" w:eastAsia="Calibri" w:hAnsi="Times New Roman" w:cs="Times New Roman"/>
          <w:b/>
          <w:bCs/>
          <w:color w:val="000000"/>
          <w:kern w:val="0"/>
          <w14:ligatures w14:val="none"/>
        </w:rPr>
        <w:tab/>
        <w:t>Segédanyagok felsorolása</w:t>
      </w:r>
    </w:p>
    <w:p w14:paraId="041B284E"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p>
    <w:p w14:paraId="20E5E9A4"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Tablettamag</w:t>
      </w:r>
    </w:p>
    <w:p w14:paraId="2F40FFFC" w14:textId="0A79B641"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mikrokristályos cellulóz</w:t>
      </w:r>
    </w:p>
    <w:p w14:paraId="6BA9445B"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alacsony szubsztitúciós fokú hidroxipropilcellulóz</w:t>
      </w:r>
    </w:p>
    <w:p w14:paraId="57B040C8" w14:textId="2846DBDF"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hidroxipropilcellulóz</w:t>
      </w:r>
    </w:p>
    <w:p w14:paraId="1FB21DE3"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szilikátos mikrokristályos cellulóz (mikrokristályos cellulóz, vízmentes kolloid szilícium-dioxid)</w:t>
      </w:r>
    </w:p>
    <w:p w14:paraId="0F315028"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kroszpovidon</w:t>
      </w:r>
    </w:p>
    <w:p w14:paraId="71DCB4F7" w14:textId="416DBDF9"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magnézium-sztearát</w:t>
      </w:r>
    </w:p>
    <w:p w14:paraId="3B176EE7"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u w:val="single"/>
          <w14:ligatures w14:val="none"/>
        </w:rPr>
      </w:pPr>
    </w:p>
    <w:p w14:paraId="0D066179"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Filmbevonat</w:t>
      </w:r>
    </w:p>
    <w:p w14:paraId="48D6125C"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u w:val="single"/>
          <w14:ligatures w14:val="none"/>
        </w:rPr>
      </w:pPr>
    </w:p>
    <w:p w14:paraId="578B1E20"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i/>
          <w:iCs/>
          <w:color w:val="000000"/>
          <w:kern w:val="0"/>
          <w:u w:val="single"/>
          <w14:ligatures w14:val="none"/>
        </w:rPr>
        <w:t>Lacosamide Grindeks 50 mg filmtabletta</w:t>
      </w:r>
    </w:p>
    <w:p w14:paraId="0F0F8F24" w14:textId="2A1DC9A2"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makrogol-poli(vinil-alkohol) fésűs kopolimer</w:t>
      </w:r>
    </w:p>
    <w:p w14:paraId="62F2FF90" w14:textId="53CD0CF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talkum</w:t>
      </w:r>
    </w:p>
    <w:p w14:paraId="1F432CF4" w14:textId="7C7733A6"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kalcium-karbonát</w:t>
      </w:r>
    </w:p>
    <w:p w14:paraId="6F2046DB" w14:textId="040551EE"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glicerin-monokaprilokaprinát</w:t>
      </w:r>
    </w:p>
    <w:p w14:paraId="444B44EE" w14:textId="5B24DD38"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poli(vinil-alkohol)</w:t>
      </w:r>
    </w:p>
    <w:p w14:paraId="16A04497"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vörös vas-oxid (E172)</w:t>
      </w:r>
    </w:p>
    <w:p w14:paraId="1D741E70"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kármin (E120)</w:t>
      </w:r>
    </w:p>
    <w:p w14:paraId="0AC07067"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indigókármin alumínium lakk (E132)</w:t>
      </w:r>
    </w:p>
    <w:p w14:paraId="13A4DE5C"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p>
    <w:p w14:paraId="36F3391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i/>
          <w:iCs/>
          <w:color w:val="000000"/>
          <w:kern w:val="0"/>
          <w:u w:val="single"/>
          <w14:ligatures w14:val="none"/>
        </w:rPr>
        <w:t>Lacosamide Grindeks 100 mg filmtabletta</w:t>
      </w:r>
    </w:p>
    <w:p w14:paraId="2BE17CF3" w14:textId="30478B4E"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makrogol-poli(vinil-alkohol) fésűs kopolimer</w:t>
      </w:r>
    </w:p>
    <w:p w14:paraId="0483311A" w14:textId="43B800A2"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talkum</w:t>
      </w:r>
    </w:p>
    <w:p w14:paraId="37FF561D" w14:textId="04FD23C4"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kalcium-karbonát</w:t>
      </w:r>
    </w:p>
    <w:p w14:paraId="59975BB1" w14:textId="7E51D2AB"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glicerin-monokaprilokaprinát</w:t>
      </w:r>
    </w:p>
    <w:p w14:paraId="1EA5883E" w14:textId="240BDA5E"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poli(vinil-alkohol)</w:t>
      </w:r>
    </w:p>
    <w:p w14:paraId="4F687E6D"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sárga vas-oxid (E172)</w:t>
      </w:r>
    </w:p>
    <w:p w14:paraId="76C6F582"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p>
    <w:p w14:paraId="49C57B3B" w14:textId="77777777" w:rsidR="0043030C" w:rsidRPr="0043030C" w:rsidRDefault="0043030C" w:rsidP="003050B8">
      <w:pPr>
        <w:keepNext/>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i/>
          <w:iCs/>
          <w:color w:val="000000"/>
          <w:kern w:val="0"/>
          <w:u w:val="single"/>
          <w14:ligatures w14:val="none"/>
        </w:rPr>
        <w:lastRenderedPageBreak/>
        <w:t>Lacosamide Grindeks 150 mg filmtabletta</w:t>
      </w:r>
    </w:p>
    <w:p w14:paraId="38155BC7" w14:textId="75C4FF84" w:rsidR="0043030C" w:rsidRPr="0043030C" w:rsidRDefault="0043030C" w:rsidP="003050B8">
      <w:pPr>
        <w:keepNext/>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makrogol-poli(vinil-alkohol) fésűs kopolimer</w:t>
      </w:r>
    </w:p>
    <w:p w14:paraId="266EB6DD" w14:textId="218B7413"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talkum</w:t>
      </w:r>
    </w:p>
    <w:p w14:paraId="006A0066" w14:textId="7DF0BFF6"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kalcium-karbonát</w:t>
      </w:r>
    </w:p>
    <w:p w14:paraId="7D9E00CC" w14:textId="18013003"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glicerin-monokaprilokaprinát</w:t>
      </w:r>
    </w:p>
    <w:p w14:paraId="319197B6" w14:textId="009BAF72"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poli(vinil-alkohol)</w:t>
      </w:r>
    </w:p>
    <w:p w14:paraId="2251374E" w14:textId="23DF0962" w:rsidR="00857460" w:rsidRPr="0043030C" w:rsidRDefault="00857460" w:rsidP="00857460">
      <w:pPr>
        <w:autoSpaceDE w:val="0"/>
        <w:autoSpaceDN w:val="0"/>
        <w:adjustRightInd w:val="0"/>
        <w:spacing w:after="0" w:line="240" w:lineRule="auto"/>
        <w:rPr>
          <w:rFonts w:ascii="Times New Roman" w:eastAsia="Calibri" w:hAnsi="Times New Roman" w:cs="Times New Roman"/>
          <w:color w:val="000000"/>
          <w:kern w:val="0"/>
          <w14:ligatures w14:val="none"/>
        </w:rPr>
      </w:pPr>
      <w:r>
        <w:rPr>
          <w:rFonts w:ascii="Times New Roman" w:eastAsia="Calibri" w:hAnsi="Times New Roman" w:cs="Times New Roman"/>
          <w:color w:val="000000"/>
          <w:kern w:val="0"/>
          <w14:ligatures w14:val="none"/>
        </w:rPr>
        <w:t>vörös</w:t>
      </w:r>
      <w:r w:rsidRPr="0043030C">
        <w:rPr>
          <w:rFonts w:ascii="Times New Roman" w:eastAsia="Calibri" w:hAnsi="Times New Roman" w:cs="Times New Roman"/>
          <w:color w:val="000000"/>
          <w:kern w:val="0"/>
          <w14:ligatures w14:val="none"/>
        </w:rPr>
        <w:t xml:space="preserve"> vas-oxid (E172)</w:t>
      </w:r>
    </w:p>
    <w:p w14:paraId="74A34EFA" w14:textId="31B66D1C" w:rsidR="00857460" w:rsidRPr="0043030C" w:rsidRDefault="00857460" w:rsidP="00857460">
      <w:pPr>
        <w:autoSpaceDE w:val="0"/>
        <w:autoSpaceDN w:val="0"/>
        <w:adjustRightInd w:val="0"/>
        <w:spacing w:after="0" w:line="240" w:lineRule="auto"/>
        <w:rPr>
          <w:rFonts w:ascii="Times New Roman" w:eastAsia="Calibri" w:hAnsi="Times New Roman" w:cs="Times New Roman"/>
          <w:color w:val="000000"/>
          <w:kern w:val="0"/>
          <w14:ligatures w14:val="none"/>
        </w:rPr>
      </w:pPr>
      <w:r>
        <w:rPr>
          <w:rFonts w:ascii="Times New Roman" w:eastAsia="Calibri" w:hAnsi="Times New Roman" w:cs="Times New Roman"/>
          <w:color w:val="000000"/>
          <w:kern w:val="0"/>
          <w14:ligatures w14:val="none"/>
        </w:rPr>
        <w:t>fekete</w:t>
      </w:r>
      <w:r w:rsidRPr="0043030C">
        <w:rPr>
          <w:rFonts w:ascii="Times New Roman" w:eastAsia="Calibri" w:hAnsi="Times New Roman" w:cs="Times New Roman"/>
          <w:color w:val="000000"/>
          <w:kern w:val="0"/>
          <w14:ligatures w14:val="none"/>
        </w:rPr>
        <w:t xml:space="preserve"> vas-oxid (E172)</w:t>
      </w:r>
    </w:p>
    <w:p w14:paraId="70CFFAA8"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p>
    <w:p w14:paraId="75CFFBC9"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i/>
          <w:iCs/>
          <w:color w:val="000000"/>
          <w:kern w:val="0"/>
          <w:u w:val="single"/>
          <w14:ligatures w14:val="none"/>
        </w:rPr>
        <w:t>Lacosamide Grindeks 200 mg filmtabletta</w:t>
      </w:r>
    </w:p>
    <w:p w14:paraId="46FB387E" w14:textId="6FA65F69"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makrogol-poli(vinil-alkohol) fésűs kopolimer</w:t>
      </w:r>
    </w:p>
    <w:p w14:paraId="2EB317F6" w14:textId="5CA7256C"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talkum</w:t>
      </w:r>
    </w:p>
    <w:p w14:paraId="27AAF835" w14:textId="1353835E"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kalcium-karbonát</w:t>
      </w:r>
    </w:p>
    <w:p w14:paraId="6500D9CD" w14:textId="05E36C8B"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glicerin-monokaprilokaprinát</w:t>
      </w:r>
    </w:p>
    <w:p w14:paraId="6CB0716D" w14:textId="00C7B73D"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poli(vinil-alkohol)</w:t>
      </w:r>
    </w:p>
    <w:p w14:paraId="47FC484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14:ligatures w14:val="none"/>
        </w:rPr>
      </w:pPr>
      <w:r w:rsidRPr="0043030C">
        <w:rPr>
          <w:rFonts w:ascii="Times New Roman" w:eastAsia="Calibri" w:hAnsi="Times New Roman" w:cs="Times New Roman"/>
          <w:color w:val="000000"/>
          <w:kern w:val="0"/>
          <w14:ligatures w14:val="none"/>
        </w:rPr>
        <w:t>indigókármin alumínium lakk (E132)</w:t>
      </w:r>
    </w:p>
    <w:p w14:paraId="346D9200"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kern w:val="0"/>
          <w:u w:val="single"/>
          <w14:ligatures w14:val="none"/>
        </w:rPr>
      </w:pPr>
    </w:p>
    <w:p w14:paraId="6A86EB68"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b/>
          <w:bCs/>
          <w:kern w:val="0"/>
          <w14:ligatures w14:val="none"/>
        </w:rPr>
      </w:pPr>
      <w:r w:rsidRPr="0043030C">
        <w:rPr>
          <w:rFonts w:ascii="Times New Roman" w:eastAsia="Calibri" w:hAnsi="Times New Roman" w:cs="Times New Roman"/>
          <w:b/>
          <w:bCs/>
          <w:kern w:val="0"/>
          <w14:ligatures w14:val="none"/>
        </w:rPr>
        <w:t>6.2</w:t>
      </w:r>
      <w:r w:rsidRPr="0043030C">
        <w:rPr>
          <w:rFonts w:ascii="Times New Roman" w:eastAsia="Calibri" w:hAnsi="Times New Roman" w:cs="Times New Roman"/>
          <w:b/>
          <w:bCs/>
          <w:kern w:val="0"/>
          <w14:ligatures w14:val="none"/>
        </w:rPr>
        <w:tab/>
        <w:t>Inkompatibilitások</w:t>
      </w:r>
    </w:p>
    <w:p w14:paraId="5501D3B7"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kern w:val="0"/>
          <w14:ligatures w14:val="none"/>
        </w:rPr>
      </w:pPr>
    </w:p>
    <w:p w14:paraId="4223F2A4"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kern w:val="0"/>
          <w14:ligatures w14:val="none"/>
        </w:rPr>
      </w:pPr>
      <w:r w:rsidRPr="0043030C">
        <w:rPr>
          <w:rFonts w:ascii="Times New Roman" w:eastAsia="Calibri" w:hAnsi="Times New Roman" w:cs="Times New Roman"/>
          <w:kern w:val="0"/>
          <w14:ligatures w14:val="none"/>
        </w:rPr>
        <w:t>Nem értelmezhető.</w:t>
      </w:r>
    </w:p>
    <w:p w14:paraId="78204B47"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kern w:val="0"/>
          <w14:ligatures w14:val="none"/>
        </w:rPr>
      </w:pPr>
    </w:p>
    <w:p w14:paraId="09F4CA7F"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b/>
          <w:bCs/>
          <w:kern w:val="0"/>
          <w14:ligatures w14:val="none"/>
        </w:rPr>
      </w:pPr>
      <w:r w:rsidRPr="0043030C">
        <w:rPr>
          <w:rFonts w:ascii="Times New Roman" w:eastAsia="Calibri" w:hAnsi="Times New Roman" w:cs="Times New Roman"/>
          <w:b/>
          <w:bCs/>
          <w:kern w:val="0"/>
          <w14:ligatures w14:val="none"/>
        </w:rPr>
        <w:t>6.3</w:t>
      </w:r>
      <w:r w:rsidRPr="0043030C">
        <w:rPr>
          <w:rFonts w:ascii="Times New Roman" w:eastAsia="Calibri" w:hAnsi="Times New Roman" w:cs="Times New Roman"/>
          <w:b/>
          <w:bCs/>
          <w:kern w:val="0"/>
          <w14:ligatures w14:val="none"/>
        </w:rPr>
        <w:tab/>
        <w:t>Felhasználhatósági időtartam</w:t>
      </w:r>
    </w:p>
    <w:p w14:paraId="0F092C9A"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kern w:val="0"/>
          <w14:ligatures w14:val="none"/>
        </w:rPr>
      </w:pPr>
    </w:p>
    <w:p w14:paraId="6E00C7D7"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kern w:val="0"/>
          <w14:ligatures w14:val="none"/>
        </w:rPr>
      </w:pPr>
      <w:r w:rsidRPr="0043030C">
        <w:rPr>
          <w:rFonts w:ascii="Times New Roman" w:eastAsia="Calibri" w:hAnsi="Times New Roman" w:cs="Times New Roman"/>
          <w:kern w:val="0"/>
          <w14:ligatures w14:val="none"/>
        </w:rPr>
        <w:t>30 hónap.</w:t>
      </w:r>
    </w:p>
    <w:p w14:paraId="2EFF7047"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kern w:val="0"/>
          <w14:ligatures w14:val="none"/>
        </w:rPr>
      </w:pPr>
    </w:p>
    <w:p w14:paraId="1883204C"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b/>
          <w:bCs/>
          <w:kern w:val="0"/>
          <w14:ligatures w14:val="none"/>
        </w:rPr>
      </w:pPr>
      <w:r w:rsidRPr="0043030C">
        <w:rPr>
          <w:rFonts w:ascii="Times New Roman" w:eastAsia="Calibri" w:hAnsi="Times New Roman" w:cs="Times New Roman"/>
          <w:b/>
          <w:bCs/>
          <w:kern w:val="0"/>
          <w14:ligatures w14:val="none"/>
        </w:rPr>
        <w:t>6.4</w:t>
      </w:r>
      <w:r w:rsidRPr="0043030C">
        <w:rPr>
          <w:rFonts w:ascii="Times New Roman" w:eastAsia="Calibri" w:hAnsi="Times New Roman" w:cs="Times New Roman"/>
          <w:b/>
          <w:bCs/>
          <w:kern w:val="0"/>
          <w14:ligatures w14:val="none"/>
        </w:rPr>
        <w:tab/>
        <w:t>Különleges tárolási előírások</w:t>
      </w:r>
    </w:p>
    <w:p w14:paraId="797AC88A"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kern w:val="0"/>
          <w14:ligatures w14:val="none"/>
        </w:rPr>
      </w:pPr>
    </w:p>
    <w:p w14:paraId="35D9EBBF"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kern w:val="0"/>
          <w14:ligatures w14:val="none"/>
        </w:rPr>
      </w:pPr>
      <w:r w:rsidRPr="0043030C">
        <w:rPr>
          <w:rFonts w:ascii="Times New Roman" w:eastAsia="Calibri" w:hAnsi="Times New Roman" w:cs="Times New Roman"/>
          <w:kern w:val="0"/>
          <w14:ligatures w14:val="none"/>
        </w:rPr>
        <w:t>Ez a gyógyszer nem igényel különleges tárolást.</w:t>
      </w:r>
    </w:p>
    <w:p w14:paraId="59653223"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kern w:val="0"/>
          <w14:ligatures w14:val="none"/>
        </w:rPr>
      </w:pPr>
    </w:p>
    <w:p w14:paraId="1A4143E8" w14:textId="77777777" w:rsidR="0043030C" w:rsidRPr="0043030C" w:rsidRDefault="0043030C" w:rsidP="0043030C">
      <w:pPr>
        <w:spacing w:after="0" w:line="240" w:lineRule="auto"/>
        <w:rPr>
          <w:rFonts w:ascii="Times New Roman" w:eastAsia="Calibri" w:hAnsi="Times New Roman" w:cs="Times New Roman"/>
          <w:b/>
          <w:bCs/>
          <w:kern w:val="0"/>
          <w14:ligatures w14:val="none"/>
        </w:rPr>
      </w:pPr>
      <w:r w:rsidRPr="0043030C">
        <w:rPr>
          <w:rFonts w:ascii="Times New Roman" w:eastAsia="Calibri" w:hAnsi="Times New Roman" w:cs="Times New Roman"/>
          <w:b/>
          <w:bCs/>
          <w:kern w:val="0"/>
          <w14:ligatures w14:val="none"/>
        </w:rPr>
        <w:t>6.5</w:t>
      </w:r>
      <w:r w:rsidRPr="0043030C">
        <w:rPr>
          <w:rFonts w:ascii="Times New Roman" w:eastAsia="Calibri" w:hAnsi="Times New Roman" w:cs="Times New Roman"/>
          <w:b/>
          <w:bCs/>
          <w:kern w:val="0"/>
          <w14:ligatures w14:val="none"/>
        </w:rPr>
        <w:tab/>
        <w:t>Csomagolás típusa és kiszerelése</w:t>
      </w:r>
    </w:p>
    <w:p w14:paraId="54D6D0EE" w14:textId="77777777" w:rsidR="0043030C" w:rsidRPr="0043030C" w:rsidRDefault="0043030C" w:rsidP="0043030C">
      <w:pPr>
        <w:spacing w:after="0" w:line="240" w:lineRule="auto"/>
        <w:rPr>
          <w:rFonts w:ascii="Times New Roman" w:eastAsia="Calibri" w:hAnsi="Times New Roman" w:cs="Times New Roman"/>
          <w:b/>
          <w:bCs/>
          <w:kern w:val="0"/>
          <w14:ligatures w14:val="none"/>
        </w:rPr>
      </w:pPr>
    </w:p>
    <w:p w14:paraId="501A166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Lacosamide Grindeks 50 mg és 100 mg filmtabletta</w:t>
      </w:r>
    </w:p>
    <w:p w14:paraId="13DA1C07"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kern w:val="0"/>
          <w14:ligatures w14:val="none"/>
        </w:rPr>
      </w:pPr>
      <w:r w:rsidRPr="0043030C">
        <w:rPr>
          <w:rFonts w:ascii="Times New Roman" w:eastAsia="Calibri" w:hAnsi="Times New Roman" w:cs="Times New Roman"/>
          <w:kern w:val="0"/>
          <w14:ligatures w14:val="none"/>
        </w:rPr>
        <w:t xml:space="preserve">14 db, 56 db vagy 168 db filmtabletta </w:t>
      </w:r>
      <w:r w:rsidRPr="0043030C">
        <w:rPr>
          <w:rFonts w:ascii="Times New Roman" w:eastAsia="Calibri" w:hAnsi="Times New Roman" w:cs="Times New Roman"/>
          <w:color w:val="000000"/>
          <w:kern w:val="0"/>
          <w14:ligatures w14:val="none"/>
        </w:rPr>
        <w:t xml:space="preserve">PVC/PVDC//Al </w:t>
      </w:r>
      <w:r w:rsidRPr="0043030C">
        <w:rPr>
          <w:rFonts w:ascii="Times New Roman" w:eastAsia="Calibri" w:hAnsi="Times New Roman" w:cs="Times New Roman"/>
          <w:kern w:val="0"/>
          <w14:ligatures w14:val="none"/>
        </w:rPr>
        <w:t>vagy OPA/Al/PVC//Al buborékcsomagolásban és dobozban.</w:t>
      </w:r>
    </w:p>
    <w:p w14:paraId="3171EB45"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kern w:val="0"/>
          <w14:ligatures w14:val="none"/>
        </w:rPr>
      </w:pPr>
    </w:p>
    <w:p w14:paraId="7A5B8EC7"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color w:val="000000"/>
          <w:kern w:val="0"/>
          <w:u w:val="single"/>
          <w14:ligatures w14:val="none"/>
        </w:rPr>
      </w:pPr>
      <w:r w:rsidRPr="0043030C">
        <w:rPr>
          <w:rFonts w:ascii="Times New Roman" w:eastAsia="Calibri" w:hAnsi="Times New Roman" w:cs="Times New Roman"/>
          <w:color w:val="000000"/>
          <w:kern w:val="0"/>
          <w:u w:val="single"/>
          <w14:ligatures w14:val="none"/>
        </w:rPr>
        <w:t>Lacosamide Grindeks 150 mg és 200 mg filmtabletta</w:t>
      </w:r>
    </w:p>
    <w:p w14:paraId="25816AE5" w14:textId="08CD4F1E" w:rsidR="0043030C" w:rsidRPr="0043030C" w:rsidRDefault="0043030C" w:rsidP="0043030C">
      <w:pPr>
        <w:autoSpaceDE w:val="0"/>
        <w:autoSpaceDN w:val="0"/>
        <w:adjustRightInd w:val="0"/>
        <w:spacing w:after="0" w:line="240" w:lineRule="auto"/>
        <w:rPr>
          <w:rFonts w:ascii="Times New Roman" w:eastAsia="Calibri" w:hAnsi="Times New Roman" w:cs="Times New Roman"/>
          <w:kern w:val="0"/>
          <w14:ligatures w14:val="none"/>
        </w:rPr>
      </w:pPr>
      <w:r w:rsidRPr="0043030C">
        <w:rPr>
          <w:rFonts w:ascii="Times New Roman" w:eastAsia="Calibri" w:hAnsi="Times New Roman" w:cs="Times New Roman"/>
          <w:kern w:val="0"/>
          <w14:ligatures w14:val="none"/>
        </w:rPr>
        <w:t>56 db</w:t>
      </w:r>
      <w:r w:rsidR="009F0954">
        <w:rPr>
          <w:rFonts w:ascii="Times New Roman" w:eastAsia="Calibri" w:hAnsi="Times New Roman" w:cs="Times New Roman"/>
          <w:kern w:val="0"/>
          <w14:ligatures w14:val="none"/>
        </w:rPr>
        <w:t xml:space="preserve"> vagy</w:t>
      </w:r>
      <w:r w:rsidRPr="0043030C">
        <w:rPr>
          <w:rFonts w:ascii="Times New Roman" w:eastAsia="Calibri" w:hAnsi="Times New Roman" w:cs="Times New Roman"/>
          <w:kern w:val="0"/>
          <w14:ligatures w14:val="none"/>
        </w:rPr>
        <w:t xml:space="preserve"> 168 db filmtabletta</w:t>
      </w:r>
      <w:r w:rsidR="009F0954">
        <w:rPr>
          <w:rFonts w:ascii="Times New Roman" w:eastAsia="Calibri" w:hAnsi="Times New Roman" w:cs="Times New Roman"/>
          <w:kern w:val="0"/>
          <w14:ligatures w14:val="none"/>
        </w:rPr>
        <w:t>,</w:t>
      </w:r>
      <w:r w:rsidRPr="0043030C">
        <w:rPr>
          <w:rFonts w:ascii="Times New Roman" w:eastAsia="Calibri" w:hAnsi="Times New Roman" w:cs="Times New Roman"/>
          <w:kern w:val="0"/>
          <w14:ligatures w14:val="none"/>
        </w:rPr>
        <w:t xml:space="preserve"> vagy 168 db-os gyűjtőcsomagolás (3 doboz 56 db filmtablettát tartalmazó csomagolás) </w:t>
      </w:r>
      <w:r w:rsidRPr="0043030C">
        <w:rPr>
          <w:rFonts w:ascii="Times New Roman" w:eastAsia="Calibri" w:hAnsi="Times New Roman" w:cs="Times New Roman"/>
          <w:color w:val="000000"/>
          <w:kern w:val="0"/>
          <w14:ligatures w14:val="none"/>
        </w:rPr>
        <w:t xml:space="preserve">PVC/PVDC//Al </w:t>
      </w:r>
      <w:r w:rsidRPr="0043030C">
        <w:rPr>
          <w:rFonts w:ascii="Times New Roman" w:eastAsia="Calibri" w:hAnsi="Times New Roman" w:cs="Times New Roman"/>
          <w:kern w:val="0"/>
          <w14:ligatures w14:val="none"/>
        </w:rPr>
        <w:t>vagy OPA/Al/PVC//Al buborékcsomagolásban és dobozban.</w:t>
      </w:r>
    </w:p>
    <w:p w14:paraId="70EE9DBE"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kern w:val="0"/>
          <w14:ligatures w14:val="none"/>
        </w:rPr>
      </w:pPr>
    </w:p>
    <w:p w14:paraId="0D2677F7"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kern w:val="0"/>
          <w14:ligatures w14:val="none"/>
        </w:rPr>
      </w:pPr>
      <w:r w:rsidRPr="0043030C">
        <w:rPr>
          <w:rFonts w:ascii="Times New Roman" w:eastAsia="Calibri" w:hAnsi="Times New Roman" w:cs="Times New Roman"/>
          <w:kern w:val="0"/>
          <w14:ligatures w14:val="none"/>
        </w:rPr>
        <w:t>Nem feltétlenül mindegyik kiszerelés kerül kereskedelmi forgalomba.</w:t>
      </w:r>
    </w:p>
    <w:p w14:paraId="17D4EE9D"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kern w:val="0"/>
          <w14:ligatures w14:val="none"/>
        </w:rPr>
      </w:pPr>
    </w:p>
    <w:p w14:paraId="5ED2B322" w14:textId="77777777" w:rsidR="0043030C" w:rsidRPr="0043030C" w:rsidRDefault="0043030C" w:rsidP="0043030C">
      <w:pPr>
        <w:tabs>
          <w:tab w:val="left" w:pos="567"/>
        </w:tabs>
        <w:spacing w:after="0" w:line="240" w:lineRule="auto"/>
        <w:ind w:left="567" w:hanging="567"/>
        <w:outlineLvl w:val="0"/>
        <w:rPr>
          <w:rFonts w:ascii="Times New Roman" w:eastAsia="Times New Roman" w:hAnsi="Times New Roman" w:cs="Times New Roman"/>
          <w:b/>
          <w:noProof/>
          <w:kern w:val="0"/>
          <w14:ligatures w14:val="none"/>
        </w:rPr>
      </w:pPr>
      <w:r w:rsidRPr="0043030C">
        <w:rPr>
          <w:rFonts w:ascii="Times New Roman" w:eastAsia="Times New Roman" w:hAnsi="Times New Roman" w:cs="Times New Roman"/>
          <w:b/>
          <w:noProof/>
          <w:kern w:val="0"/>
          <w14:ligatures w14:val="none"/>
        </w:rPr>
        <w:t>6.6</w:t>
      </w:r>
      <w:r w:rsidRPr="0043030C">
        <w:rPr>
          <w:rFonts w:ascii="Times New Roman" w:eastAsia="Times New Roman" w:hAnsi="Times New Roman" w:cs="Times New Roman"/>
          <w:b/>
          <w:noProof/>
          <w:kern w:val="0"/>
          <w14:ligatures w14:val="none"/>
        </w:rPr>
        <w:tab/>
        <w:t>A megsemmisítésre vonatkozó különleges óvintézkedések és egyéb, a készítmény kezelésével kapcsolatos információk</w:t>
      </w:r>
    </w:p>
    <w:p w14:paraId="542EFEBC"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kern w:val="0"/>
          <w14:ligatures w14:val="none"/>
        </w:rPr>
      </w:pPr>
    </w:p>
    <w:p w14:paraId="29EF54E7" w14:textId="77777777" w:rsidR="0043030C" w:rsidRPr="0043030C" w:rsidRDefault="0043030C" w:rsidP="0043030C">
      <w:pPr>
        <w:spacing w:after="0" w:line="240" w:lineRule="auto"/>
        <w:rPr>
          <w:rFonts w:ascii="Times New Roman" w:eastAsia="Times New Roman" w:hAnsi="Times New Roman" w:cs="Times New Roman"/>
          <w:snapToGrid w:val="0"/>
          <w:kern w:val="0"/>
          <w:lang w:eastAsia="hu-HU"/>
          <w14:ligatures w14:val="none"/>
        </w:rPr>
      </w:pPr>
      <w:r w:rsidRPr="0043030C">
        <w:rPr>
          <w:rFonts w:ascii="Times New Roman" w:eastAsia="Times New Roman" w:hAnsi="Times New Roman" w:cs="Times New Roman"/>
          <w:snapToGrid w:val="0"/>
          <w:kern w:val="0"/>
          <w:lang w:eastAsia="hu-HU"/>
          <w14:ligatures w14:val="none"/>
        </w:rPr>
        <w:t>Bármilyen fel nem használt gyógyszer, illetve hulladékanyag megsemmisítését a gyógyszerekre vonatkozó előírások szerint kell végrehajtani.</w:t>
      </w:r>
    </w:p>
    <w:p w14:paraId="5D98FD41"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kern w:val="0"/>
          <w14:ligatures w14:val="none"/>
        </w:rPr>
      </w:pPr>
    </w:p>
    <w:p w14:paraId="556CA848" w14:textId="77777777" w:rsidR="00034745" w:rsidRPr="001B1E49" w:rsidRDefault="00034745" w:rsidP="003050B8">
      <w:pPr>
        <w:keepNext/>
        <w:spacing w:after="0" w:line="240" w:lineRule="auto"/>
        <w:rPr>
          <w:rFonts w:ascii="Times New Roman" w:eastAsia="Times New Roman" w:hAnsi="Times New Roman"/>
          <w:lang w:eastAsia="hu-HU"/>
        </w:rPr>
      </w:pPr>
      <w:r w:rsidRPr="001B1E49">
        <w:rPr>
          <w:rFonts w:ascii="Times New Roman" w:eastAsia="MS Mincho" w:hAnsi="Times New Roman"/>
          <w:b/>
          <w:snapToGrid w:val="0"/>
          <w:lang w:eastAsia="hu-HU"/>
        </w:rPr>
        <w:t>Megjegyzés</w:t>
      </w:r>
      <w:r w:rsidRPr="001B1E49">
        <w:rPr>
          <w:rFonts w:ascii="Times New Roman" w:eastAsia="MS Mincho" w:hAnsi="Times New Roman"/>
          <w:snapToGrid w:val="0"/>
          <w:lang w:eastAsia="hu-HU"/>
        </w:rPr>
        <w:t xml:space="preserve">: </w:t>
      </w:r>
      <w:r w:rsidRPr="001B1E49">
        <w:rPr>
          <w:rFonts w:ascii="Times New Roman" w:eastAsia="MS Mincho" w:hAnsi="Times New Roman"/>
          <w:snapToGrid w:val="0"/>
          <w:lang w:eastAsia="hu-HU"/>
        </w:rPr>
        <w:sym w:font="Wingdings" w:char="F058"/>
      </w:r>
      <w:r w:rsidRPr="001B1E49">
        <w:rPr>
          <w:rFonts w:ascii="Times New Roman" w:eastAsia="MS Mincho" w:hAnsi="Times New Roman"/>
          <w:snapToGrid w:val="0"/>
          <w:lang w:eastAsia="hu-HU"/>
        </w:rPr>
        <w:t xml:space="preserve"> (egy kereszt)</w:t>
      </w:r>
    </w:p>
    <w:p w14:paraId="4480A2EE" w14:textId="77777777" w:rsidR="00034745" w:rsidRPr="001B1E49" w:rsidRDefault="00034745" w:rsidP="003050B8">
      <w:pPr>
        <w:keepNext/>
        <w:spacing w:after="0" w:line="240" w:lineRule="auto"/>
        <w:rPr>
          <w:rFonts w:ascii="Times New Roman" w:eastAsia="MS Mincho" w:hAnsi="Times New Roman"/>
          <w:b/>
          <w:snapToGrid w:val="0"/>
          <w:lang w:eastAsia="hu-HU"/>
        </w:rPr>
      </w:pPr>
      <w:r w:rsidRPr="001B1E49">
        <w:rPr>
          <w:rFonts w:ascii="Times New Roman" w:eastAsia="MS Mincho" w:hAnsi="Times New Roman"/>
          <w:b/>
          <w:snapToGrid w:val="0"/>
          <w:lang w:eastAsia="hu-HU"/>
        </w:rPr>
        <w:t>Osztályozás: II/2. csoport</w:t>
      </w:r>
    </w:p>
    <w:p w14:paraId="15F7626D" w14:textId="77777777" w:rsidR="00034745" w:rsidRPr="001B1E49" w:rsidRDefault="00034745" w:rsidP="00034745">
      <w:pPr>
        <w:spacing w:after="0" w:line="240" w:lineRule="auto"/>
        <w:rPr>
          <w:rFonts w:ascii="Times New Roman" w:eastAsia="MS Mincho" w:hAnsi="Times New Roman"/>
          <w:bCs/>
          <w:snapToGrid w:val="0"/>
          <w:lang w:eastAsia="hu-HU"/>
        </w:rPr>
      </w:pPr>
      <w:r w:rsidRPr="001B1E49">
        <w:rPr>
          <w:rFonts w:ascii="Times New Roman" w:eastAsia="MS Mincho" w:hAnsi="Times New Roman"/>
          <w:snapToGrid w:val="0"/>
          <w:lang w:eastAsia="hu-HU"/>
        </w:rPr>
        <w:t>Korlátozott érvényű orvosi rendelvényhez kötött, szakorvosi/kórházi diagnózist követően folyamatos szakorvosi ellenőrzés mellett alkalmazható gyógyszer (Sz).</w:t>
      </w:r>
    </w:p>
    <w:p w14:paraId="51389090" w14:textId="77777777" w:rsidR="0043030C" w:rsidRDefault="0043030C" w:rsidP="0043030C">
      <w:pPr>
        <w:autoSpaceDE w:val="0"/>
        <w:autoSpaceDN w:val="0"/>
        <w:adjustRightInd w:val="0"/>
        <w:spacing w:after="0" w:line="240" w:lineRule="auto"/>
        <w:rPr>
          <w:rFonts w:ascii="Times New Roman" w:eastAsia="Calibri" w:hAnsi="Times New Roman" w:cs="Times New Roman"/>
          <w:kern w:val="0"/>
          <w14:ligatures w14:val="none"/>
        </w:rPr>
      </w:pPr>
    </w:p>
    <w:p w14:paraId="395267C4" w14:textId="77777777" w:rsidR="00B931EE" w:rsidRPr="0043030C" w:rsidRDefault="00B931EE" w:rsidP="0043030C">
      <w:pPr>
        <w:autoSpaceDE w:val="0"/>
        <w:autoSpaceDN w:val="0"/>
        <w:adjustRightInd w:val="0"/>
        <w:spacing w:after="0" w:line="240" w:lineRule="auto"/>
        <w:rPr>
          <w:rFonts w:ascii="Times New Roman" w:eastAsia="Calibri" w:hAnsi="Times New Roman" w:cs="Times New Roman"/>
          <w:kern w:val="0"/>
          <w14:ligatures w14:val="none"/>
        </w:rPr>
      </w:pPr>
    </w:p>
    <w:p w14:paraId="020EB803" w14:textId="77777777" w:rsidR="0043030C" w:rsidRPr="0043030C" w:rsidRDefault="0043030C" w:rsidP="00FF39A3">
      <w:pPr>
        <w:keepNext/>
        <w:autoSpaceDE w:val="0"/>
        <w:autoSpaceDN w:val="0"/>
        <w:adjustRightInd w:val="0"/>
        <w:spacing w:after="0" w:line="240" w:lineRule="auto"/>
        <w:ind w:left="567" w:hanging="567"/>
        <w:rPr>
          <w:rFonts w:ascii="Times New Roman" w:eastAsia="Calibri" w:hAnsi="Times New Roman" w:cs="Times New Roman"/>
          <w:b/>
          <w:bCs/>
          <w:kern w:val="0"/>
          <w14:ligatures w14:val="none"/>
        </w:rPr>
      </w:pPr>
      <w:r w:rsidRPr="0043030C">
        <w:rPr>
          <w:rFonts w:ascii="Times New Roman" w:eastAsia="Calibri" w:hAnsi="Times New Roman" w:cs="Times New Roman"/>
          <w:b/>
          <w:bCs/>
          <w:kern w:val="0"/>
          <w14:ligatures w14:val="none"/>
        </w:rPr>
        <w:lastRenderedPageBreak/>
        <w:t>7.</w:t>
      </w:r>
      <w:r w:rsidRPr="0043030C">
        <w:rPr>
          <w:rFonts w:ascii="Times New Roman" w:eastAsia="Calibri" w:hAnsi="Times New Roman" w:cs="Times New Roman"/>
          <w:b/>
          <w:bCs/>
          <w:kern w:val="0"/>
          <w14:ligatures w14:val="none"/>
        </w:rPr>
        <w:tab/>
        <w:t>A FORGALOMBA HOZATALI ENGEDÉLY JOGOSULTJA</w:t>
      </w:r>
    </w:p>
    <w:p w14:paraId="09B5FA73" w14:textId="77777777" w:rsidR="0043030C" w:rsidRPr="0043030C" w:rsidRDefault="0043030C" w:rsidP="00FF39A3">
      <w:pPr>
        <w:keepNext/>
        <w:autoSpaceDE w:val="0"/>
        <w:autoSpaceDN w:val="0"/>
        <w:adjustRightInd w:val="0"/>
        <w:spacing w:after="0" w:line="240" w:lineRule="auto"/>
        <w:ind w:left="567" w:hanging="567"/>
        <w:rPr>
          <w:rFonts w:ascii="Times New Roman" w:eastAsia="Calibri" w:hAnsi="Times New Roman" w:cs="Times New Roman"/>
          <w:kern w:val="0"/>
          <w14:ligatures w14:val="none"/>
        </w:rPr>
      </w:pPr>
    </w:p>
    <w:p w14:paraId="2555B977" w14:textId="77777777" w:rsidR="0043030C" w:rsidRPr="0043030C" w:rsidRDefault="0043030C" w:rsidP="00FF39A3">
      <w:pPr>
        <w:keepNext/>
        <w:tabs>
          <w:tab w:val="left" w:pos="567"/>
        </w:tabs>
        <w:autoSpaceDE w:val="0"/>
        <w:autoSpaceDN w:val="0"/>
        <w:spacing w:after="0" w:line="240" w:lineRule="auto"/>
        <w:rPr>
          <w:rFonts w:ascii="Times New Roman" w:eastAsia="Times New Roman" w:hAnsi="Times New Roman" w:cs="Times New Roman"/>
          <w:snapToGrid w:val="0"/>
          <w:kern w:val="0"/>
          <w:szCs w:val="20"/>
          <w:lang w:val="en-US" w:eastAsia="zh-CN"/>
          <w14:ligatures w14:val="none"/>
        </w:rPr>
      </w:pPr>
      <w:bookmarkStart w:id="8" w:name="_Hlk102403936"/>
      <w:r w:rsidRPr="0043030C">
        <w:rPr>
          <w:rFonts w:ascii="Times New Roman" w:eastAsia="Times New Roman" w:hAnsi="Times New Roman" w:cs="Times New Roman"/>
          <w:snapToGrid w:val="0"/>
          <w:kern w:val="0"/>
          <w:szCs w:val="20"/>
          <w:lang w:val="en-US" w:eastAsia="zh-CN"/>
          <w14:ligatures w14:val="none"/>
        </w:rPr>
        <w:t>AS GRINDEKS</w:t>
      </w:r>
    </w:p>
    <w:p w14:paraId="64B8D0BA" w14:textId="77777777" w:rsidR="0043030C" w:rsidRPr="0043030C" w:rsidRDefault="0043030C" w:rsidP="00FF39A3">
      <w:pPr>
        <w:keepNext/>
        <w:tabs>
          <w:tab w:val="left" w:pos="567"/>
        </w:tabs>
        <w:autoSpaceDE w:val="0"/>
        <w:autoSpaceDN w:val="0"/>
        <w:spacing w:after="0" w:line="240" w:lineRule="auto"/>
        <w:rPr>
          <w:rFonts w:ascii="Times New Roman" w:eastAsia="Times New Roman" w:hAnsi="Times New Roman" w:cs="Times New Roman"/>
          <w:snapToGrid w:val="0"/>
          <w:kern w:val="0"/>
          <w:szCs w:val="20"/>
          <w:lang w:val="en-US" w:eastAsia="zh-CN"/>
          <w14:ligatures w14:val="none"/>
        </w:rPr>
      </w:pPr>
      <w:r w:rsidRPr="0043030C">
        <w:rPr>
          <w:rFonts w:ascii="Times New Roman" w:eastAsia="Times New Roman" w:hAnsi="Times New Roman" w:cs="Times New Roman"/>
          <w:snapToGrid w:val="0"/>
          <w:kern w:val="0"/>
          <w:szCs w:val="20"/>
          <w:lang w:val="en-US" w:eastAsia="zh-CN"/>
          <w14:ligatures w14:val="none"/>
        </w:rPr>
        <w:t xml:space="preserve">Krustpils iela 53, </w:t>
      </w:r>
    </w:p>
    <w:p w14:paraId="212C5D9B" w14:textId="77777777" w:rsidR="0043030C" w:rsidRPr="0043030C" w:rsidRDefault="0043030C" w:rsidP="0043030C">
      <w:pPr>
        <w:widowControl w:val="0"/>
        <w:tabs>
          <w:tab w:val="left" w:pos="567"/>
        </w:tabs>
        <w:autoSpaceDE w:val="0"/>
        <w:autoSpaceDN w:val="0"/>
        <w:spacing w:after="0" w:line="240" w:lineRule="auto"/>
        <w:rPr>
          <w:rFonts w:ascii="Times New Roman" w:eastAsia="Times New Roman" w:hAnsi="Times New Roman" w:cs="Times New Roman"/>
          <w:snapToGrid w:val="0"/>
          <w:kern w:val="0"/>
          <w:szCs w:val="20"/>
          <w:lang w:val="en-US" w:eastAsia="zh-CN"/>
          <w14:ligatures w14:val="none"/>
        </w:rPr>
      </w:pPr>
      <w:r w:rsidRPr="0043030C">
        <w:rPr>
          <w:rFonts w:ascii="Times New Roman" w:eastAsia="Times New Roman" w:hAnsi="Times New Roman" w:cs="Times New Roman"/>
          <w:snapToGrid w:val="0"/>
          <w:kern w:val="0"/>
          <w:szCs w:val="20"/>
          <w:lang w:val="en-US" w:eastAsia="zh-CN"/>
          <w14:ligatures w14:val="none"/>
        </w:rPr>
        <w:t xml:space="preserve">Rīga, LV-1057, </w:t>
      </w:r>
    </w:p>
    <w:p w14:paraId="3E0FC000" w14:textId="77777777" w:rsidR="0043030C" w:rsidRPr="0043030C" w:rsidRDefault="0043030C" w:rsidP="0043030C">
      <w:pPr>
        <w:widowControl w:val="0"/>
        <w:tabs>
          <w:tab w:val="left" w:pos="567"/>
        </w:tabs>
        <w:autoSpaceDE w:val="0"/>
        <w:autoSpaceDN w:val="0"/>
        <w:spacing w:after="0" w:line="240" w:lineRule="auto"/>
        <w:rPr>
          <w:rFonts w:ascii="Times New Roman" w:eastAsia="Times New Roman" w:hAnsi="Times New Roman" w:cs="Times New Roman"/>
          <w:snapToGrid w:val="0"/>
          <w:kern w:val="0"/>
          <w:szCs w:val="20"/>
          <w:lang w:val="en-US" w:eastAsia="zh-CN"/>
          <w14:ligatures w14:val="none"/>
        </w:rPr>
      </w:pPr>
      <w:r w:rsidRPr="0043030C">
        <w:rPr>
          <w:rFonts w:ascii="Times New Roman" w:eastAsia="Times New Roman" w:hAnsi="Times New Roman" w:cs="Times New Roman"/>
          <w:snapToGrid w:val="0"/>
          <w:kern w:val="0"/>
          <w:szCs w:val="20"/>
          <w:lang w:val="en-US" w:eastAsia="zh-CN"/>
          <w14:ligatures w14:val="none"/>
        </w:rPr>
        <w:t>Lettország</w:t>
      </w:r>
    </w:p>
    <w:p w14:paraId="7D459EC8" w14:textId="77777777" w:rsidR="0043030C" w:rsidRPr="0043030C" w:rsidRDefault="0043030C" w:rsidP="0043030C">
      <w:pPr>
        <w:autoSpaceDE w:val="0"/>
        <w:autoSpaceDN w:val="0"/>
        <w:adjustRightInd w:val="0"/>
        <w:spacing w:after="0" w:line="240" w:lineRule="auto"/>
        <w:ind w:left="567" w:hanging="567"/>
        <w:rPr>
          <w:rFonts w:ascii="Times New Roman" w:eastAsia="Times New Roman" w:hAnsi="Times New Roman" w:cs="Times New Roman"/>
          <w:kern w:val="0"/>
          <w14:ligatures w14:val="none"/>
        </w:rPr>
      </w:pPr>
    </w:p>
    <w:bookmarkEnd w:id="8"/>
    <w:p w14:paraId="72E9563D"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kern w:val="0"/>
          <w14:ligatures w14:val="none"/>
        </w:rPr>
      </w:pPr>
    </w:p>
    <w:p w14:paraId="7C9E5E76"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b/>
          <w:bCs/>
          <w:kern w:val="0"/>
          <w14:ligatures w14:val="none"/>
        </w:rPr>
      </w:pPr>
      <w:r w:rsidRPr="0043030C">
        <w:rPr>
          <w:rFonts w:ascii="Times New Roman" w:eastAsia="Calibri" w:hAnsi="Times New Roman" w:cs="Times New Roman"/>
          <w:b/>
          <w:bCs/>
          <w:kern w:val="0"/>
          <w14:ligatures w14:val="none"/>
        </w:rPr>
        <w:t>8.</w:t>
      </w:r>
      <w:r w:rsidRPr="0043030C">
        <w:rPr>
          <w:rFonts w:ascii="Times New Roman" w:eastAsia="Calibri" w:hAnsi="Times New Roman" w:cs="Times New Roman"/>
          <w:b/>
          <w:bCs/>
          <w:kern w:val="0"/>
          <w14:ligatures w14:val="none"/>
        </w:rPr>
        <w:tab/>
        <w:t>A FORGALOMBA HOZATALI ENGEDÉLY SZÁMA(I)</w:t>
      </w:r>
    </w:p>
    <w:p w14:paraId="629AE241"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b/>
          <w:bCs/>
          <w:kern w:val="0"/>
          <w14:ligatures w14:val="none"/>
        </w:rPr>
      </w:pPr>
    </w:p>
    <w:p w14:paraId="6AE6CE86"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kern w:val="0"/>
          <w:u w:val="single"/>
          <w14:ligatures w14:val="none"/>
        </w:rPr>
      </w:pPr>
      <w:r w:rsidRPr="0043030C">
        <w:rPr>
          <w:rFonts w:ascii="Times New Roman" w:eastAsia="Calibri" w:hAnsi="Times New Roman" w:cs="Times New Roman"/>
          <w:kern w:val="0"/>
          <w:u w:val="single"/>
          <w14:ligatures w14:val="none"/>
        </w:rPr>
        <w:t>Lacosamide Grindeks 50 mg filmtabletta</w:t>
      </w:r>
    </w:p>
    <w:p w14:paraId="62370B58" w14:textId="259855F2" w:rsidR="005B6C23" w:rsidRPr="005B6C23" w:rsidRDefault="005B6C23" w:rsidP="00FF39A3">
      <w:pPr>
        <w:tabs>
          <w:tab w:val="left" w:pos="2268"/>
          <w:tab w:val="left" w:pos="2977"/>
        </w:tabs>
        <w:autoSpaceDE w:val="0"/>
        <w:autoSpaceDN w:val="0"/>
        <w:adjustRightInd w:val="0"/>
        <w:spacing w:after="0" w:line="240" w:lineRule="auto"/>
        <w:ind w:left="567" w:hanging="567"/>
        <w:rPr>
          <w:rFonts w:ascii="Times New Roman" w:eastAsia="Calibri" w:hAnsi="Times New Roman" w:cs="Times New Roman"/>
          <w:kern w:val="0"/>
          <w14:ligatures w14:val="none"/>
        </w:rPr>
      </w:pPr>
      <w:r w:rsidRPr="005B6C23">
        <w:rPr>
          <w:rFonts w:ascii="Times New Roman" w:eastAsia="Calibri" w:hAnsi="Times New Roman" w:cs="Times New Roman"/>
          <w:kern w:val="0"/>
          <w14:ligatures w14:val="none"/>
        </w:rPr>
        <w:t>OGYI-T-24738/</w:t>
      </w:r>
      <w:r w:rsidR="00565C7A" w:rsidRPr="005B6C23">
        <w:rPr>
          <w:rFonts w:ascii="Times New Roman" w:eastAsia="Calibri" w:hAnsi="Times New Roman" w:cs="Times New Roman"/>
          <w:kern w:val="0"/>
          <w14:ligatures w14:val="none"/>
        </w:rPr>
        <w:t>01</w:t>
      </w:r>
      <w:r w:rsidR="00565C7A">
        <w:rPr>
          <w:rFonts w:ascii="Times New Roman" w:eastAsia="Calibri" w:hAnsi="Times New Roman" w:cs="Times New Roman"/>
          <w:kern w:val="0"/>
          <w14:ligatures w14:val="none"/>
        </w:rPr>
        <w:tab/>
      </w:r>
      <w:r w:rsidRPr="005B6C23">
        <w:rPr>
          <w:rFonts w:ascii="Times New Roman" w:eastAsia="Calibri" w:hAnsi="Times New Roman" w:cs="Times New Roman"/>
          <w:kern w:val="0"/>
          <w14:ligatures w14:val="none"/>
        </w:rPr>
        <w:t>14</w:t>
      </w:r>
      <w:r w:rsidR="00565C7A" w:rsidRPr="005B6C23">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5B6C23">
        <w:rPr>
          <w:rFonts w:ascii="Times New Roman" w:eastAsia="Calibri" w:hAnsi="Times New Roman" w:cs="Times New Roman"/>
          <w:kern w:val="0"/>
          <w14:ligatures w14:val="none"/>
        </w:rPr>
        <w:t>PVC/PVDC//Al buborékcsomagolásban</w:t>
      </w:r>
    </w:p>
    <w:p w14:paraId="74BB285A" w14:textId="29EDA358" w:rsidR="005B6C23" w:rsidRPr="005B6C23" w:rsidRDefault="005B6C23" w:rsidP="00FF39A3">
      <w:pPr>
        <w:tabs>
          <w:tab w:val="left" w:pos="2268"/>
          <w:tab w:val="left" w:pos="2977"/>
        </w:tabs>
        <w:autoSpaceDE w:val="0"/>
        <w:autoSpaceDN w:val="0"/>
        <w:adjustRightInd w:val="0"/>
        <w:spacing w:after="0" w:line="240" w:lineRule="auto"/>
        <w:ind w:left="567" w:hanging="567"/>
        <w:rPr>
          <w:rFonts w:ascii="Times New Roman" w:eastAsia="Calibri" w:hAnsi="Times New Roman" w:cs="Times New Roman"/>
          <w:kern w:val="0"/>
          <w14:ligatures w14:val="none"/>
        </w:rPr>
      </w:pPr>
      <w:r w:rsidRPr="005B6C23">
        <w:rPr>
          <w:rFonts w:ascii="Times New Roman" w:eastAsia="Calibri" w:hAnsi="Times New Roman" w:cs="Times New Roman"/>
          <w:kern w:val="0"/>
          <w14:ligatures w14:val="none"/>
        </w:rPr>
        <w:t>OGYI-T-24738/</w:t>
      </w:r>
      <w:r w:rsidR="00565C7A" w:rsidRPr="005B6C23">
        <w:rPr>
          <w:rFonts w:ascii="Times New Roman" w:eastAsia="Calibri" w:hAnsi="Times New Roman" w:cs="Times New Roman"/>
          <w:kern w:val="0"/>
          <w14:ligatures w14:val="none"/>
        </w:rPr>
        <w:t>02</w:t>
      </w:r>
      <w:r w:rsidR="00565C7A">
        <w:rPr>
          <w:rFonts w:ascii="Times New Roman" w:eastAsia="Calibri" w:hAnsi="Times New Roman" w:cs="Times New Roman"/>
          <w:kern w:val="0"/>
          <w14:ligatures w14:val="none"/>
        </w:rPr>
        <w:tab/>
      </w:r>
      <w:r w:rsidRPr="005B6C23">
        <w:rPr>
          <w:rFonts w:ascii="Times New Roman" w:eastAsia="Calibri" w:hAnsi="Times New Roman" w:cs="Times New Roman"/>
          <w:kern w:val="0"/>
          <w14:ligatures w14:val="none"/>
        </w:rPr>
        <w:t>14</w:t>
      </w:r>
      <w:r w:rsidR="00565C7A" w:rsidRPr="005B6C23">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5B6C23">
        <w:rPr>
          <w:rFonts w:ascii="Times New Roman" w:eastAsia="Calibri" w:hAnsi="Times New Roman" w:cs="Times New Roman"/>
          <w:kern w:val="0"/>
          <w14:ligatures w14:val="none"/>
        </w:rPr>
        <w:t>OPA/Al/PVC//Al buborékcsomagolásban</w:t>
      </w:r>
    </w:p>
    <w:p w14:paraId="4B07E86D" w14:textId="46488BE5" w:rsidR="005B6C23" w:rsidRPr="005B6C23" w:rsidRDefault="005B6C23" w:rsidP="00FF39A3">
      <w:pPr>
        <w:tabs>
          <w:tab w:val="left" w:pos="2268"/>
          <w:tab w:val="left" w:pos="2977"/>
        </w:tabs>
        <w:autoSpaceDE w:val="0"/>
        <w:autoSpaceDN w:val="0"/>
        <w:adjustRightInd w:val="0"/>
        <w:spacing w:after="0" w:line="240" w:lineRule="auto"/>
        <w:ind w:left="567" w:hanging="567"/>
        <w:rPr>
          <w:rFonts w:ascii="Times New Roman" w:eastAsia="Calibri" w:hAnsi="Times New Roman" w:cs="Times New Roman"/>
          <w:kern w:val="0"/>
          <w14:ligatures w14:val="none"/>
        </w:rPr>
      </w:pPr>
      <w:r w:rsidRPr="005B6C23">
        <w:rPr>
          <w:rFonts w:ascii="Times New Roman" w:eastAsia="Calibri" w:hAnsi="Times New Roman" w:cs="Times New Roman"/>
          <w:kern w:val="0"/>
          <w14:ligatures w14:val="none"/>
        </w:rPr>
        <w:t>OGYI-T-24738/</w:t>
      </w:r>
      <w:r w:rsidR="00565C7A" w:rsidRPr="005B6C23">
        <w:rPr>
          <w:rFonts w:ascii="Times New Roman" w:eastAsia="Calibri" w:hAnsi="Times New Roman" w:cs="Times New Roman"/>
          <w:kern w:val="0"/>
          <w14:ligatures w14:val="none"/>
        </w:rPr>
        <w:t>03</w:t>
      </w:r>
      <w:r w:rsidR="00565C7A">
        <w:rPr>
          <w:rFonts w:ascii="Times New Roman" w:eastAsia="Calibri" w:hAnsi="Times New Roman" w:cs="Times New Roman"/>
          <w:kern w:val="0"/>
          <w14:ligatures w14:val="none"/>
        </w:rPr>
        <w:tab/>
      </w:r>
      <w:r w:rsidRPr="005B6C23">
        <w:rPr>
          <w:rFonts w:ascii="Times New Roman" w:eastAsia="Calibri" w:hAnsi="Times New Roman" w:cs="Times New Roman"/>
          <w:kern w:val="0"/>
          <w14:ligatures w14:val="none"/>
        </w:rPr>
        <w:t>56</w:t>
      </w:r>
      <w:r w:rsidR="00565C7A" w:rsidRPr="005B6C23">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5B6C23">
        <w:rPr>
          <w:rFonts w:ascii="Times New Roman" w:eastAsia="Calibri" w:hAnsi="Times New Roman" w:cs="Times New Roman"/>
          <w:kern w:val="0"/>
          <w14:ligatures w14:val="none"/>
        </w:rPr>
        <w:t>PVC/PVDC//Al buborékcsomagolásban</w:t>
      </w:r>
    </w:p>
    <w:p w14:paraId="096C6E73" w14:textId="6E54C482" w:rsidR="005B6C23" w:rsidRPr="005B6C23" w:rsidRDefault="005B6C23" w:rsidP="00FF39A3">
      <w:pPr>
        <w:tabs>
          <w:tab w:val="left" w:pos="2268"/>
          <w:tab w:val="left" w:pos="2977"/>
        </w:tabs>
        <w:autoSpaceDE w:val="0"/>
        <w:autoSpaceDN w:val="0"/>
        <w:adjustRightInd w:val="0"/>
        <w:spacing w:after="0" w:line="240" w:lineRule="auto"/>
        <w:ind w:left="567" w:hanging="567"/>
        <w:rPr>
          <w:rFonts w:ascii="Times New Roman" w:eastAsia="Calibri" w:hAnsi="Times New Roman" w:cs="Times New Roman"/>
          <w:kern w:val="0"/>
          <w14:ligatures w14:val="none"/>
        </w:rPr>
      </w:pPr>
      <w:r w:rsidRPr="005B6C23">
        <w:rPr>
          <w:rFonts w:ascii="Times New Roman" w:eastAsia="Calibri" w:hAnsi="Times New Roman" w:cs="Times New Roman"/>
          <w:kern w:val="0"/>
          <w14:ligatures w14:val="none"/>
        </w:rPr>
        <w:t>OGYI-T-24738/</w:t>
      </w:r>
      <w:r w:rsidR="00565C7A" w:rsidRPr="005B6C23">
        <w:rPr>
          <w:rFonts w:ascii="Times New Roman" w:eastAsia="Calibri" w:hAnsi="Times New Roman" w:cs="Times New Roman"/>
          <w:kern w:val="0"/>
          <w14:ligatures w14:val="none"/>
        </w:rPr>
        <w:t>04</w:t>
      </w:r>
      <w:r w:rsidR="00565C7A">
        <w:rPr>
          <w:rFonts w:ascii="Times New Roman" w:eastAsia="Calibri" w:hAnsi="Times New Roman" w:cs="Times New Roman"/>
          <w:kern w:val="0"/>
          <w14:ligatures w14:val="none"/>
        </w:rPr>
        <w:tab/>
      </w:r>
      <w:r w:rsidRPr="005B6C23">
        <w:rPr>
          <w:rFonts w:ascii="Times New Roman" w:eastAsia="Calibri" w:hAnsi="Times New Roman" w:cs="Times New Roman"/>
          <w:kern w:val="0"/>
          <w14:ligatures w14:val="none"/>
        </w:rPr>
        <w:t>56</w:t>
      </w:r>
      <w:r w:rsidR="00565C7A" w:rsidRPr="005B6C23">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5B6C23">
        <w:rPr>
          <w:rFonts w:ascii="Times New Roman" w:eastAsia="Calibri" w:hAnsi="Times New Roman" w:cs="Times New Roman"/>
          <w:kern w:val="0"/>
          <w14:ligatures w14:val="none"/>
        </w:rPr>
        <w:t>OPA/Al/PVC//Al buborékcsomagolásban</w:t>
      </w:r>
    </w:p>
    <w:p w14:paraId="1FD5E4E1" w14:textId="353AD114" w:rsidR="005B6C23" w:rsidRPr="005B6C23" w:rsidRDefault="005B6C23" w:rsidP="00FF39A3">
      <w:pPr>
        <w:tabs>
          <w:tab w:val="left" w:pos="2268"/>
          <w:tab w:val="left" w:pos="2977"/>
        </w:tabs>
        <w:autoSpaceDE w:val="0"/>
        <w:autoSpaceDN w:val="0"/>
        <w:adjustRightInd w:val="0"/>
        <w:spacing w:after="0" w:line="240" w:lineRule="auto"/>
        <w:ind w:left="567" w:hanging="567"/>
        <w:rPr>
          <w:rFonts w:ascii="Times New Roman" w:eastAsia="Calibri" w:hAnsi="Times New Roman" w:cs="Times New Roman"/>
          <w:kern w:val="0"/>
          <w14:ligatures w14:val="none"/>
        </w:rPr>
      </w:pPr>
      <w:r w:rsidRPr="005B6C23">
        <w:rPr>
          <w:rFonts w:ascii="Times New Roman" w:eastAsia="Calibri" w:hAnsi="Times New Roman" w:cs="Times New Roman"/>
          <w:kern w:val="0"/>
          <w14:ligatures w14:val="none"/>
        </w:rPr>
        <w:t>OGYI-T-24738/</w:t>
      </w:r>
      <w:r w:rsidR="00565C7A" w:rsidRPr="005B6C23">
        <w:rPr>
          <w:rFonts w:ascii="Times New Roman" w:eastAsia="Calibri" w:hAnsi="Times New Roman" w:cs="Times New Roman"/>
          <w:kern w:val="0"/>
          <w14:ligatures w14:val="none"/>
        </w:rPr>
        <w:t>05</w:t>
      </w:r>
      <w:r w:rsidR="00565C7A">
        <w:rPr>
          <w:rFonts w:ascii="Times New Roman" w:eastAsia="Calibri" w:hAnsi="Times New Roman" w:cs="Times New Roman"/>
          <w:kern w:val="0"/>
          <w14:ligatures w14:val="none"/>
        </w:rPr>
        <w:tab/>
      </w:r>
      <w:r w:rsidRPr="005B6C23">
        <w:rPr>
          <w:rFonts w:ascii="Times New Roman" w:eastAsia="Calibri" w:hAnsi="Times New Roman" w:cs="Times New Roman"/>
          <w:kern w:val="0"/>
          <w14:ligatures w14:val="none"/>
        </w:rPr>
        <w:t>168</w:t>
      </w:r>
      <w:r w:rsidR="00565C7A" w:rsidRPr="005B6C23">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5B6C23">
        <w:rPr>
          <w:rFonts w:ascii="Times New Roman" w:eastAsia="Calibri" w:hAnsi="Times New Roman" w:cs="Times New Roman"/>
          <w:kern w:val="0"/>
          <w14:ligatures w14:val="none"/>
        </w:rPr>
        <w:t>PVC/PVDC//Al buborékcsomagolásban</w:t>
      </w:r>
    </w:p>
    <w:p w14:paraId="4681873E" w14:textId="6CC0D6CD" w:rsidR="0043030C" w:rsidRPr="0043030C" w:rsidRDefault="005B6C23" w:rsidP="00FF39A3">
      <w:pPr>
        <w:tabs>
          <w:tab w:val="left" w:pos="2268"/>
          <w:tab w:val="left" w:pos="2977"/>
        </w:tabs>
        <w:autoSpaceDE w:val="0"/>
        <w:autoSpaceDN w:val="0"/>
        <w:adjustRightInd w:val="0"/>
        <w:spacing w:after="0" w:line="240" w:lineRule="auto"/>
        <w:ind w:left="567" w:hanging="567"/>
        <w:rPr>
          <w:rFonts w:ascii="Times New Roman" w:eastAsia="Calibri" w:hAnsi="Times New Roman" w:cs="Times New Roman"/>
          <w:kern w:val="0"/>
          <w14:ligatures w14:val="none"/>
        </w:rPr>
      </w:pPr>
      <w:r w:rsidRPr="005B6C23">
        <w:rPr>
          <w:rFonts w:ascii="Times New Roman" w:eastAsia="Calibri" w:hAnsi="Times New Roman" w:cs="Times New Roman"/>
          <w:kern w:val="0"/>
          <w14:ligatures w14:val="none"/>
        </w:rPr>
        <w:t>OGYI-T-24738/</w:t>
      </w:r>
      <w:r w:rsidR="00565C7A" w:rsidRPr="005B6C23">
        <w:rPr>
          <w:rFonts w:ascii="Times New Roman" w:eastAsia="Calibri" w:hAnsi="Times New Roman" w:cs="Times New Roman"/>
          <w:kern w:val="0"/>
          <w14:ligatures w14:val="none"/>
        </w:rPr>
        <w:t>06</w:t>
      </w:r>
      <w:r w:rsidR="00565C7A">
        <w:rPr>
          <w:rFonts w:ascii="Times New Roman" w:eastAsia="Calibri" w:hAnsi="Times New Roman" w:cs="Times New Roman"/>
          <w:kern w:val="0"/>
          <w14:ligatures w14:val="none"/>
        </w:rPr>
        <w:tab/>
      </w:r>
      <w:r w:rsidRPr="005B6C23">
        <w:rPr>
          <w:rFonts w:ascii="Times New Roman" w:eastAsia="Calibri" w:hAnsi="Times New Roman" w:cs="Times New Roman"/>
          <w:kern w:val="0"/>
          <w14:ligatures w14:val="none"/>
        </w:rPr>
        <w:t>168</w:t>
      </w:r>
      <w:r w:rsidR="00565C7A" w:rsidRPr="005B6C23">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5B6C23">
        <w:rPr>
          <w:rFonts w:ascii="Times New Roman" w:eastAsia="Calibri" w:hAnsi="Times New Roman" w:cs="Times New Roman"/>
          <w:kern w:val="0"/>
          <w14:ligatures w14:val="none"/>
        </w:rPr>
        <w:t>OPA/Al/PVC//Al buborékcsomagolásban</w:t>
      </w:r>
    </w:p>
    <w:p w14:paraId="722E23E5" w14:textId="77777777" w:rsidR="0043030C" w:rsidRPr="0043030C" w:rsidRDefault="0043030C" w:rsidP="00FF39A3">
      <w:pPr>
        <w:tabs>
          <w:tab w:val="left" w:pos="2268"/>
          <w:tab w:val="left" w:pos="2977"/>
        </w:tabs>
        <w:autoSpaceDE w:val="0"/>
        <w:autoSpaceDN w:val="0"/>
        <w:adjustRightInd w:val="0"/>
        <w:spacing w:after="0" w:line="240" w:lineRule="auto"/>
        <w:ind w:left="567" w:hanging="567"/>
        <w:rPr>
          <w:rFonts w:ascii="Times New Roman" w:eastAsia="Calibri" w:hAnsi="Times New Roman" w:cs="Times New Roman"/>
          <w:kern w:val="0"/>
          <w14:ligatures w14:val="none"/>
        </w:rPr>
      </w:pPr>
    </w:p>
    <w:p w14:paraId="6F24083E"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kern w:val="0"/>
          <w:u w:val="single"/>
          <w14:ligatures w14:val="none"/>
        </w:rPr>
      </w:pPr>
      <w:r w:rsidRPr="0043030C">
        <w:rPr>
          <w:rFonts w:ascii="Times New Roman" w:eastAsia="Calibri" w:hAnsi="Times New Roman" w:cs="Times New Roman"/>
          <w:kern w:val="0"/>
          <w:u w:val="single"/>
          <w14:ligatures w14:val="none"/>
        </w:rPr>
        <w:t>Lacosamide Grindeks 100 mg filmtabletta</w:t>
      </w:r>
    </w:p>
    <w:p w14:paraId="569DB521" w14:textId="62993E59" w:rsidR="006D36A1" w:rsidRPr="006D36A1" w:rsidRDefault="006D36A1" w:rsidP="00FF39A3">
      <w:pPr>
        <w:tabs>
          <w:tab w:val="left" w:pos="2268"/>
          <w:tab w:val="left" w:pos="2977"/>
        </w:tabs>
        <w:autoSpaceDE w:val="0"/>
        <w:autoSpaceDN w:val="0"/>
        <w:adjustRightInd w:val="0"/>
        <w:spacing w:after="0" w:line="240" w:lineRule="auto"/>
        <w:ind w:left="567" w:hanging="567"/>
        <w:rPr>
          <w:rFonts w:ascii="Times New Roman" w:eastAsia="Calibri" w:hAnsi="Times New Roman" w:cs="Times New Roman"/>
          <w:kern w:val="0"/>
          <w14:ligatures w14:val="none"/>
        </w:rPr>
      </w:pPr>
      <w:r w:rsidRPr="006D36A1">
        <w:rPr>
          <w:rFonts w:ascii="Times New Roman" w:eastAsia="Calibri" w:hAnsi="Times New Roman" w:cs="Times New Roman"/>
          <w:kern w:val="0"/>
          <w14:ligatures w14:val="none"/>
        </w:rPr>
        <w:t>OGYI-T-24738/</w:t>
      </w:r>
      <w:r w:rsidR="00565C7A" w:rsidRPr="006D36A1">
        <w:rPr>
          <w:rFonts w:ascii="Times New Roman" w:eastAsia="Calibri" w:hAnsi="Times New Roman" w:cs="Times New Roman"/>
          <w:kern w:val="0"/>
          <w14:ligatures w14:val="none"/>
        </w:rPr>
        <w:t>07</w:t>
      </w:r>
      <w:r w:rsidR="00565C7A">
        <w:rPr>
          <w:rFonts w:ascii="Times New Roman" w:eastAsia="Calibri" w:hAnsi="Times New Roman" w:cs="Times New Roman"/>
          <w:kern w:val="0"/>
          <w14:ligatures w14:val="none"/>
        </w:rPr>
        <w:tab/>
      </w:r>
      <w:r w:rsidRPr="006D36A1">
        <w:rPr>
          <w:rFonts w:ascii="Times New Roman" w:eastAsia="Calibri" w:hAnsi="Times New Roman" w:cs="Times New Roman"/>
          <w:kern w:val="0"/>
          <w14:ligatures w14:val="none"/>
        </w:rPr>
        <w:t>14</w:t>
      </w:r>
      <w:r w:rsidR="00565C7A" w:rsidRPr="006D36A1">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6D36A1">
        <w:rPr>
          <w:rFonts w:ascii="Times New Roman" w:eastAsia="Calibri" w:hAnsi="Times New Roman" w:cs="Times New Roman"/>
          <w:kern w:val="0"/>
          <w14:ligatures w14:val="none"/>
        </w:rPr>
        <w:t>PVC/PVDC//Al buborékcsomagolásban</w:t>
      </w:r>
    </w:p>
    <w:p w14:paraId="7B3A9CB5" w14:textId="2A1B7620" w:rsidR="006D36A1" w:rsidRPr="006D36A1" w:rsidRDefault="006D36A1" w:rsidP="00FF39A3">
      <w:pPr>
        <w:tabs>
          <w:tab w:val="left" w:pos="2268"/>
          <w:tab w:val="left" w:pos="2977"/>
        </w:tabs>
        <w:autoSpaceDE w:val="0"/>
        <w:autoSpaceDN w:val="0"/>
        <w:adjustRightInd w:val="0"/>
        <w:spacing w:after="0" w:line="240" w:lineRule="auto"/>
        <w:ind w:left="567" w:hanging="567"/>
        <w:rPr>
          <w:rFonts w:ascii="Times New Roman" w:eastAsia="Calibri" w:hAnsi="Times New Roman" w:cs="Times New Roman"/>
          <w:kern w:val="0"/>
          <w14:ligatures w14:val="none"/>
        </w:rPr>
      </w:pPr>
      <w:r w:rsidRPr="006D36A1">
        <w:rPr>
          <w:rFonts w:ascii="Times New Roman" w:eastAsia="Calibri" w:hAnsi="Times New Roman" w:cs="Times New Roman"/>
          <w:kern w:val="0"/>
          <w14:ligatures w14:val="none"/>
        </w:rPr>
        <w:t>OGYI-T-24738/</w:t>
      </w:r>
      <w:r w:rsidR="00565C7A" w:rsidRPr="006D36A1">
        <w:rPr>
          <w:rFonts w:ascii="Times New Roman" w:eastAsia="Calibri" w:hAnsi="Times New Roman" w:cs="Times New Roman"/>
          <w:kern w:val="0"/>
          <w14:ligatures w14:val="none"/>
        </w:rPr>
        <w:t>08</w:t>
      </w:r>
      <w:r w:rsidR="00565C7A">
        <w:rPr>
          <w:rFonts w:ascii="Times New Roman" w:eastAsia="Calibri" w:hAnsi="Times New Roman" w:cs="Times New Roman"/>
          <w:kern w:val="0"/>
          <w14:ligatures w14:val="none"/>
        </w:rPr>
        <w:tab/>
      </w:r>
      <w:r w:rsidRPr="006D36A1">
        <w:rPr>
          <w:rFonts w:ascii="Times New Roman" w:eastAsia="Calibri" w:hAnsi="Times New Roman" w:cs="Times New Roman"/>
          <w:kern w:val="0"/>
          <w14:ligatures w14:val="none"/>
        </w:rPr>
        <w:t>14</w:t>
      </w:r>
      <w:r w:rsidR="00565C7A" w:rsidRPr="006D36A1">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6D36A1">
        <w:rPr>
          <w:rFonts w:ascii="Times New Roman" w:eastAsia="Calibri" w:hAnsi="Times New Roman" w:cs="Times New Roman"/>
          <w:kern w:val="0"/>
          <w14:ligatures w14:val="none"/>
        </w:rPr>
        <w:t>OPA/Al/PVC//Al buborékcsomagolásban</w:t>
      </w:r>
    </w:p>
    <w:p w14:paraId="129AD746" w14:textId="6DD0281E" w:rsidR="006D36A1" w:rsidRPr="006D36A1" w:rsidRDefault="006D36A1" w:rsidP="00FF39A3">
      <w:pPr>
        <w:tabs>
          <w:tab w:val="left" w:pos="2268"/>
          <w:tab w:val="left" w:pos="2977"/>
        </w:tabs>
        <w:autoSpaceDE w:val="0"/>
        <w:autoSpaceDN w:val="0"/>
        <w:adjustRightInd w:val="0"/>
        <w:spacing w:after="0" w:line="240" w:lineRule="auto"/>
        <w:ind w:left="567" w:hanging="567"/>
        <w:rPr>
          <w:rFonts w:ascii="Times New Roman" w:eastAsia="Calibri" w:hAnsi="Times New Roman" w:cs="Times New Roman"/>
          <w:kern w:val="0"/>
          <w14:ligatures w14:val="none"/>
        </w:rPr>
      </w:pPr>
      <w:r w:rsidRPr="006D36A1">
        <w:rPr>
          <w:rFonts w:ascii="Times New Roman" w:eastAsia="Calibri" w:hAnsi="Times New Roman" w:cs="Times New Roman"/>
          <w:kern w:val="0"/>
          <w14:ligatures w14:val="none"/>
        </w:rPr>
        <w:t>OGYI-T-24738/</w:t>
      </w:r>
      <w:r w:rsidR="00565C7A" w:rsidRPr="006D36A1">
        <w:rPr>
          <w:rFonts w:ascii="Times New Roman" w:eastAsia="Calibri" w:hAnsi="Times New Roman" w:cs="Times New Roman"/>
          <w:kern w:val="0"/>
          <w14:ligatures w14:val="none"/>
        </w:rPr>
        <w:t>09</w:t>
      </w:r>
      <w:r w:rsidR="00565C7A">
        <w:rPr>
          <w:rFonts w:ascii="Times New Roman" w:eastAsia="Calibri" w:hAnsi="Times New Roman" w:cs="Times New Roman"/>
          <w:kern w:val="0"/>
          <w14:ligatures w14:val="none"/>
        </w:rPr>
        <w:tab/>
      </w:r>
      <w:r w:rsidRPr="006D36A1">
        <w:rPr>
          <w:rFonts w:ascii="Times New Roman" w:eastAsia="Calibri" w:hAnsi="Times New Roman" w:cs="Times New Roman"/>
          <w:kern w:val="0"/>
          <w14:ligatures w14:val="none"/>
        </w:rPr>
        <w:t>56</w:t>
      </w:r>
      <w:r w:rsidR="00565C7A" w:rsidRPr="006D36A1">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6D36A1">
        <w:rPr>
          <w:rFonts w:ascii="Times New Roman" w:eastAsia="Calibri" w:hAnsi="Times New Roman" w:cs="Times New Roman"/>
          <w:kern w:val="0"/>
          <w14:ligatures w14:val="none"/>
        </w:rPr>
        <w:t>PVC/PVDC//Al buborékcsomagolásban</w:t>
      </w:r>
    </w:p>
    <w:p w14:paraId="5941544C" w14:textId="443AE4DA" w:rsidR="006D36A1" w:rsidRPr="006D36A1" w:rsidRDefault="006D36A1" w:rsidP="00FF39A3">
      <w:pPr>
        <w:tabs>
          <w:tab w:val="left" w:pos="2268"/>
          <w:tab w:val="left" w:pos="2977"/>
        </w:tabs>
        <w:autoSpaceDE w:val="0"/>
        <w:autoSpaceDN w:val="0"/>
        <w:adjustRightInd w:val="0"/>
        <w:spacing w:after="0" w:line="240" w:lineRule="auto"/>
        <w:ind w:left="567" w:hanging="567"/>
        <w:rPr>
          <w:rFonts w:ascii="Times New Roman" w:eastAsia="Calibri" w:hAnsi="Times New Roman" w:cs="Times New Roman"/>
          <w:kern w:val="0"/>
          <w14:ligatures w14:val="none"/>
        </w:rPr>
      </w:pPr>
      <w:r w:rsidRPr="006D36A1">
        <w:rPr>
          <w:rFonts w:ascii="Times New Roman" w:eastAsia="Calibri" w:hAnsi="Times New Roman" w:cs="Times New Roman"/>
          <w:kern w:val="0"/>
          <w14:ligatures w14:val="none"/>
        </w:rPr>
        <w:t>OGYI-T-24738/</w:t>
      </w:r>
      <w:r w:rsidR="00565C7A" w:rsidRPr="006D36A1">
        <w:rPr>
          <w:rFonts w:ascii="Times New Roman" w:eastAsia="Calibri" w:hAnsi="Times New Roman" w:cs="Times New Roman"/>
          <w:kern w:val="0"/>
          <w14:ligatures w14:val="none"/>
        </w:rPr>
        <w:t>10</w:t>
      </w:r>
      <w:r w:rsidR="00565C7A">
        <w:rPr>
          <w:rFonts w:ascii="Times New Roman" w:eastAsia="Calibri" w:hAnsi="Times New Roman" w:cs="Times New Roman"/>
          <w:kern w:val="0"/>
          <w14:ligatures w14:val="none"/>
        </w:rPr>
        <w:tab/>
      </w:r>
      <w:r w:rsidRPr="006D36A1">
        <w:rPr>
          <w:rFonts w:ascii="Times New Roman" w:eastAsia="Calibri" w:hAnsi="Times New Roman" w:cs="Times New Roman"/>
          <w:kern w:val="0"/>
          <w14:ligatures w14:val="none"/>
        </w:rPr>
        <w:t>56</w:t>
      </w:r>
      <w:r w:rsidR="00565C7A" w:rsidRPr="006D36A1">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6D36A1">
        <w:rPr>
          <w:rFonts w:ascii="Times New Roman" w:eastAsia="Calibri" w:hAnsi="Times New Roman" w:cs="Times New Roman"/>
          <w:kern w:val="0"/>
          <w14:ligatures w14:val="none"/>
        </w:rPr>
        <w:t>OPA/Al/PVC//Al buborékcsomagolásban</w:t>
      </w:r>
    </w:p>
    <w:p w14:paraId="3A4BC678" w14:textId="64AA22A8" w:rsidR="006D36A1" w:rsidRPr="006D36A1" w:rsidRDefault="006D36A1" w:rsidP="00FF39A3">
      <w:pPr>
        <w:tabs>
          <w:tab w:val="left" w:pos="2268"/>
          <w:tab w:val="left" w:pos="2977"/>
        </w:tabs>
        <w:autoSpaceDE w:val="0"/>
        <w:autoSpaceDN w:val="0"/>
        <w:adjustRightInd w:val="0"/>
        <w:spacing w:after="0" w:line="240" w:lineRule="auto"/>
        <w:ind w:left="567" w:hanging="567"/>
        <w:rPr>
          <w:rFonts w:ascii="Times New Roman" w:eastAsia="Calibri" w:hAnsi="Times New Roman" w:cs="Times New Roman"/>
          <w:kern w:val="0"/>
          <w14:ligatures w14:val="none"/>
        </w:rPr>
      </w:pPr>
      <w:r w:rsidRPr="006D36A1">
        <w:rPr>
          <w:rFonts w:ascii="Times New Roman" w:eastAsia="Calibri" w:hAnsi="Times New Roman" w:cs="Times New Roman"/>
          <w:kern w:val="0"/>
          <w14:ligatures w14:val="none"/>
        </w:rPr>
        <w:t>OGYI-T-24738/</w:t>
      </w:r>
      <w:r w:rsidR="00565C7A" w:rsidRPr="006D36A1">
        <w:rPr>
          <w:rFonts w:ascii="Times New Roman" w:eastAsia="Calibri" w:hAnsi="Times New Roman" w:cs="Times New Roman"/>
          <w:kern w:val="0"/>
          <w14:ligatures w14:val="none"/>
        </w:rPr>
        <w:t>11</w:t>
      </w:r>
      <w:r w:rsidR="00565C7A">
        <w:rPr>
          <w:rFonts w:ascii="Times New Roman" w:eastAsia="Calibri" w:hAnsi="Times New Roman" w:cs="Times New Roman"/>
          <w:kern w:val="0"/>
          <w14:ligatures w14:val="none"/>
        </w:rPr>
        <w:tab/>
      </w:r>
      <w:r w:rsidRPr="006D36A1">
        <w:rPr>
          <w:rFonts w:ascii="Times New Roman" w:eastAsia="Calibri" w:hAnsi="Times New Roman" w:cs="Times New Roman"/>
          <w:kern w:val="0"/>
          <w14:ligatures w14:val="none"/>
        </w:rPr>
        <w:t>168</w:t>
      </w:r>
      <w:r w:rsidR="00565C7A" w:rsidRPr="006D36A1">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6D36A1">
        <w:rPr>
          <w:rFonts w:ascii="Times New Roman" w:eastAsia="Calibri" w:hAnsi="Times New Roman" w:cs="Times New Roman"/>
          <w:kern w:val="0"/>
          <w14:ligatures w14:val="none"/>
        </w:rPr>
        <w:t>PVC/PVDC//Al buborékcsomagolásban</w:t>
      </w:r>
    </w:p>
    <w:p w14:paraId="235D71A6" w14:textId="20F86C85" w:rsidR="0043030C" w:rsidRDefault="006D36A1" w:rsidP="00FF39A3">
      <w:pPr>
        <w:tabs>
          <w:tab w:val="left" w:pos="2268"/>
          <w:tab w:val="left" w:pos="2977"/>
        </w:tabs>
        <w:autoSpaceDE w:val="0"/>
        <w:autoSpaceDN w:val="0"/>
        <w:adjustRightInd w:val="0"/>
        <w:spacing w:after="0" w:line="240" w:lineRule="auto"/>
        <w:ind w:left="567" w:hanging="567"/>
        <w:rPr>
          <w:rFonts w:ascii="Times New Roman" w:eastAsia="Calibri" w:hAnsi="Times New Roman" w:cs="Times New Roman"/>
          <w:kern w:val="0"/>
          <w14:ligatures w14:val="none"/>
        </w:rPr>
      </w:pPr>
      <w:r w:rsidRPr="006D36A1">
        <w:rPr>
          <w:rFonts w:ascii="Times New Roman" w:eastAsia="Calibri" w:hAnsi="Times New Roman" w:cs="Times New Roman"/>
          <w:kern w:val="0"/>
          <w14:ligatures w14:val="none"/>
        </w:rPr>
        <w:t>OGYI-T-24738/</w:t>
      </w:r>
      <w:r w:rsidR="00565C7A" w:rsidRPr="006D36A1">
        <w:rPr>
          <w:rFonts w:ascii="Times New Roman" w:eastAsia="Calibri" w:hAnsi="Times New Roman" w:cs="Times New Roman"/>
          <w:kern w:val="0"/>
          <w14:ligatures w14:val="none"/>
        </w:rPr>
        <w:t>12</w:t>
      </w:r>
      <w:r w:rsidR="00565C7A">
        <w:rPr>
          <w:rFonts w:ascii="Times New Roman" w:eastAsia="Calibri" w:hAnsi="Times New Roman" w:cs="Times New Roman"/>
          <w:kern w:val="0"/>
          <w14:ligatures w14:val="none"/>
        </w:rPr>
        <w:tab/>
      </w:r>
      <w:r w:rsidRPr="006D36A1">
        <w:rPr>
          <w:rFonts w:ascii="Times New Roman" w:eastAsia="Calibri" w:hAnsi="Times New Roman" w:cs="Times New Roman"/>
          <w:kern w:val="0"/>
          <w14:ligatures w14:val="none"/>
        </w:rPr>
        <w:t>168</w:t>
      </w:r>
      <w:r w:rsidR="00565C7A" w:rsidRPr="006D36A1">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6D36A1">
        <w:rPr>
          <w:rFonts w:ascii="Times New Roman" w:eastAsia="Calibri" w:hAnsi="Times New Roman" w:cs="Times New Roman"/>
          <w:kern w:val="0"/>
          <w14:ligatures w14:val="none"/>
        </w:rPr>
        <w:t>OPA/Al/PVC//Al buborékcsomagolásban</w:t>
      </w:r>
    </w:p>
    <w:p w14:paraId="5B8BD86E" w14:textId="77777777" w:rsidR="006D36A1" w:rsidRPr="0043030C" w:rsidRDefault="006D36A1" w:rsidP="006D36A1">
      <w:pPr>
        <w:autoSpaceDE w:val="0"/>
        <w:autoSpaceDN w:val="0"/>
        <w:adjustRightInd w:val="0"/>
        <w:spacing w:after="0" w:line="240" w:lineRule="auto"/>
        <w:ind w:left="567" w:hanging="567"/>
        <w:rPr>
          <w:rFonts w:ascii="Times New Roman" w:eastAsia="Calibri" w:hAnsi="Times New Roman" w:cs="Times New Roman"/>
          <w:kern w:val="0"/>
          <w14:ligatures w14:val="none"/>
        </w:rPr>
      </w:pPr>
    </w:p>
    <w:p w14:paraId="52DDB95B"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kern w:val="0"/>
          <w:u w:val="single"/>
          <w14:ligatures w14:val="none"/>
        </w:rPr>
      </w:pPr>
      <w:r w:rsidRPr="0043030C">
        <w:rPr>
          <w:rFonts w:ascii="Times New Roman" w:eastAsia="Calibri" w:hAnsi="Times New Roman" w:cs="Times New Roman"/>
          <w:kern w:val="0"/>
          <w:u w:val="single"/>
          <w14:ligatures w14:val="none"/>
        </w:rPr>
        <w:t>Lacosamide Grindeks 150 mg filmtabletta</w:t>
      </w:r>
    </w:p>
    <w:p w14:paraId="0FCF78DD" w14:textId="2FF0612C" w:rsidR="00CE6E91" w:rsidRPr="00CE6E91" w:rsidRDefault="00CE6E91" w:rsidP="00FF39A3">
      <w:pPr>
        <w:tabs>
          <w:tab w:val="left" w:pos="2268"/>
          <w:tab w:val="left" w:pos="3686"/>
        </w:tabs>
        <w:autoSpaceDE w:val="0"/>
        <w:autoSpaceDN w:val="0"/>
        <w:adjustRightInd w:val="0"/>
        <w:spacing w:after="0" w:line="240" w:lineRule="auto"/>
        <w:ind w:left="567" w:hanging="567"/>
        <w:rPr>
          <w:rFonts w:ascii="Times New Roman" w:eastAsia="Calibri" w:hAnsi="Times New Roman" w:cs="Times New Roman"/>
          <w:kern w:val="0"/>
          <w14:ligatures w14:val="none"/>
        </w:rPr>
      </w:pPr>
      <w:r w:rsidRPr="00CE6E91">
        <w:rPr>
          <w:rFonts w:ascii="Times New Roman" w:eastAsia="Calibri" w:hAnsi="Times New Roman" w:cs="Times New Roman"/>
          <w:kern w:val="0"/>
          <w14:ligatures w14:val="none"/>
        </w:rPr>
        <w:t>OGYI-T-24738/</w:t>
      </w:r>
      <w:r w:rsidR="00565C7A" w:rsidRPr="00CE6E91">
        <w:rPr>
          <w:rFonts w:ascii="Times New Roman" w:eastAsia="Calibri" w:hAnsi="Times New Roman" w:cs="Times New Roman"/>
          <w:kern w:val="0"/>
          <w14:ligatures w14:val="none"/>
        </w:rPr>
        <w:t>13</w:t>
      </w:r>
      <w:r w:rsidR="00565C7A">
        <w:rPr>
          <w:rFonts w:ascii="Times New Roman" w:eastAsia="Calibri" w:hAnsi="Times New Roman" w:cs="Times New Roman"/>
          <w:kern w:val="0"/>
          <w14:ligatures w14:val="none"/>
        </w:rPr>
        <w:tab/>
      </w:r>
      <w:r w:rsidRPr="00CE6E91">
        <w:rPr>
          <w:rFonts w:ascii="Times New Roman" w:eastAsia="Calibri" w:hAnsi="Times New Roman" w:cs="Times New Roman"/>
          <w:kern w:val="0"/>
          <w14:ligatures w14:val="none"/>
        </w:rPr>
        <w:t>56</w:t>
      </w:r>
      <w:r w:rsidR="00565C7A" w:rsidRPr="00CE6E91">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CE6E91">
        <w:rPr>
          <w:rFonts w:ascii="Times New Roman" w:eastAsia="Calibri" w:hAnsi="Times New Roman" w:cs="Times New Roman"/>
          <w:kern w:val="0"/>
          <w14:ligatures w14:val="none"/>
        </w:rPr>
        <w:t>PVC/PVDC//Al buborékcsomagolásban</w:t>
      </w:r>
    </w:p>
    <w:p w14:paraId="255C6950" w14:textId="4EAC22B4" w:rsidR="00CE6E91" w:rsidRPr="00CE6E91" w:rsidRDefault="00CE6E91" w:rsidP="00FF39A3">
      <w:pPr>
        <w:tabs>
          <w:tab w:val="left" w:pos="2268"/>
          <w:tab w:val="left" w:pos="3686"/>
        </w:tabs>
        <w:autoSpaceDE w:val="0"/>
        <w:autoSpaceDN w:val="0"/>
        <w:adjustRightInd w:val="0"/>
        <w:spacing w:after="0" w:line="240" w:lineRule="auto"/>
        <w:ind w:left="567" w:hanging="567"/>
        <w:rPr>
          <w:rFonts w:ascii="Times New Roman" w:eastAsia="Calibri" w:hAnsi="Times New Roman" w:cs="Times New Roman"/>
          <w:kern w:val="0"/>
          <w14:ligatures w14:val="none"/>
        </w:rPr>
      </w:pPr>
      <w:r w:rsidRPr="00CE6E91">
        <w:rPr>
          <w:rFonts w:ascii="Times New Roman" w:eastAsia="Calibri" w:hAnsi="Times New Roman" w:cs="Times New Roman"/>
          <w:kern w:val="0"/>
          <w14:ligatures w14:val="none"/>
        </w:rPr>
        <w:t>OGYI-T-24738/</w:t>
      </w:r>
      <w:r w:rsidR="00565C7A" w:rsidRPr="00CE6E91">
        <w:rPr>
          <w:rFonts w:ascii="Times New Roman" w:eastAsia="Calibri" w:hAnsi="Times New Roman" w:cs="Times New Roman"/>
          <w:kern w:val="0"/>
          <w14:ligatures w14:val="none"/>
        </w:rPr>
        <w:t>14</w:t>
      </w:r>
      <w:r w:rsidR="00565C7A">
        <w:rPr>
          <w:rFonts w:ascii="Times New Roman" w:eastAsia="Calibri" w:hAnsi="Times New Roman" w:cs="Times New Roman"/>
          <w:kern w:val="0"/>
          <w14:ligatures w14:val="none"/>
        </w:rPr>
        <w:tab/>
      </w:r>
      <w:r w:rsidRPr="00CE6E91">
        <w:rPr>
          <w:rFonts w:ascii="Times New Roman" w:eastAsia="Calibri" w:hAnsi="Times New Roman" w:cs="Times New Roman"/>
          <w:kern w:val="0"/>
          <w14:ligatures w14:val="none"/>
        </w:rPr>
        <w:t>56</w:t>
      </w:r>
      <w:r w:rsidR="00565C7A" w:rsidRPr="00CE6E91">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CE6E91">
        <w:rPr>
          <w:rFonts w:ascii="Times New Roman" w:eastAsia="Calibri" w:hAnsi="Times New Roman" w:cs="Times New Roman"/>
          <w:kern w:val="0"/>
          <w14:ligatures w14:val="none"/>
        </w:rPr>
        <w:t>OPA/Al/PVC//Al buborékcsomagolásban</w:t>
      </w:r>
    </w:p>
    <w:p w14:paraId="6540F049" w14:textId="1A034367" w:rsidR="00CE6E91" w:rsidRPr="00CE6E91" w:rsidRDefault="00CE6E91" w:rsidP="00FF39A3">
      <w:pPr>
        <w:tabs>
          <w:tab w:val="left" w:pos="2268"/>
          <w:tab w:val="left" w:pos="3686"/>
        </w:tabs>
        <w:autoSpaceDE w:val="0"/>
        <w:autoSpaceDN w:val="0"/>
        <w:adjustRightInd w:val="0"/>
        <w:spacing w:after="0" w:line="240" w:lineRule="auto"/>
        <w:ind w:left="567" w:hanging="567"/>
        <w:rPr>
          <w:rFonts w:ascii="Times New Roman" w:eastAsia="Calibri" w:hAnsi="Times New Roman" w:cs="Times New Roman"/>
          <w:kern w:val="0"/>
          <w14:ligatures w14:val="none"/>
        </w:rPr>
      </w:pPr>
      <w:r w:rsidRPr="00CE6E91">
        <w:rPr>
          <w:rFonts w:ascii="Times New Roman" w:eastAsia="Calibri" w:hAnsi="Times New Roman" w:cs="Times New Roman"/>
          <w:kern w:val="0"/>
          <w14:ligatures w14:val="none"/>
        </w:rPr>
        <w:t>OGYI-T-24738/</w:t>
      </w:r>
      <w:r w:rsidR="00565C7A" w:rsidRPr="00CE6E91">
        <w:rPr>
          <w:rFonts w:ascii="Times New Roman" w:eastAsia="Calibri" w:hAnsi="Times New Roman" w:cs="Times New Roman"/>
          <w:kern w:val="0"/>
          <w14:ligatures w14:val="none"/>
        </w:rPr>
        <w:t>15</w:t>
      </w:r>
      <w:r w:rsidR="00565C7A">
        <w:rPr>
          <w:rFonts w:ascii="Times New Roman" w:eastAsia="Calibri" w:hAnsi="Times New Roman" w:cs="Times New Roman"/>
          <w:kern w:val="0"/>
          <w14:ligatures w14:val="none"/>
        </w:rPr>
        <w:tab/>
      </w:r>
      <w:r w:rsidRPr="00CE6E91">
        <w:rPr>
          <w:rFonts w:ascii="Times New Roman" w:eastAsia="Calibri" w:hAnsi="Times New Roman" w:cs="Times New Roman"/>
          <w:kern w:val="0"/>
          <w14:ligatures w14:val="none"/>
        </w:rPr>
        <w:t>168</w:t>
      </w:r>
      <w:r w:rsidR="00565C7A" w:rsidRPr="00CE6E91">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CE6E91">
        <w:rPr>
          <w:rFonts w:ascii="Times New Roman" w:eastAsia="Calibri" w:hAnsi="Times New Roman" w:cs="Times New Roman"/>
          <w:kern w:val="0"/>
          <w14:ligatures w14:val="none"/>
        </w:rPr>
        <w:t>PVC/PVDC//Al buborékcsomagolásban</w:t>
      </w:r>
    </w:p>
    <w:p w14:paraId="074F12A4" w14:textId="2DE48BA3" w:rsidR="00CE6E91" w:rsidRPr="00CE6E91" w:rsidRDefault="00CE6E91" w:rsidP="00FF39A3">
      <w:pPr>
        <w:tabs>
          <w:tab w:val="left" w:pos="2268"/>
          <w:tab w:val="left" w:pos="3686"/>
        </w:tabs>
        <w:autoSpaceDE w:val="0"/>
        <w:autoSpaceDN w:val="0"/>
        <w:adjustRightInd w:val="0"/>
        <w:spacing w:after="0" w:line="240" w:lineRule="auto"/>
        <w:ind w:left="567" w:right="-286" w:hanging="567"/>
        <w:rPr>
          <w:rFonts w:ascii="Times New Roman" w:eastAsia="Calibri" w:hAnsi="Times New Roman" w:cs="Times New Roman"/>
          <w:kern w:val="0"/>
          <w14:ligatures w14:val="none"/>
        </w:rPr>
      </w:pPr>
      <w:r w:rsidRPr="00CE6E91">
        <w:rPr>
          <w:rFonts w:ascii="Times New Roman" w:eastAsia="Calibri" w:hAnsi="Times New Roman" w:cs="Times New Roman"/>
          <w:kern w:val="0"/>
          <w14:ligatures w14:val="none"/>
        </w:rPr>
        <w:t>OGYI-T-24738/</w:t>
      </w:r>
      <w:r w:rsidR="00565C7A" w:rsidRPr="00CE6E91">
        <w:rPr>
          <w:rFonts w:ascii="Times New Roman" w:eastAsia="Calibri" w:hAnsi="Times New Roman" w:cs="Times New Roman"/>
          <w:kern w:val="0"/>
          <w14:ligatures w14:val="none"/>
        </w:rPr>
        <w:t>16</w:t>
      </w:r>
      <w:r w:rsidR="00565C7A">
        <w:rPr>
          <w:rFonts w:ascii="Times New Roman" w:eastAsia="Calibri" w:hAnsi="Times New Roman" w:cs="Times New Roman"/>
          <w:kern w:val="0"/>
          <w14:ligatures w14:val="none"/>
        </w:rPr>
        <w:tab/>
      </w:r>
      <w:r w:rsidRPr="00CE6E91">
        <w:rPr>
          <w:rFonts w:ascii="Times New Roman" w:eastAsia="Calibri" w:hAnsi="Times New Roman" w:cs="Times New Roman"/>
          <w:kern w:val="0"/>
          <w14:ligatures w14:val="none"/>
        </w:rPr>
        <w:t>168× (3</w:t>
      </w:r>
      <w:r w:rsidR="00565C7A">
        <w:rPr>
          <w:rFonts w:ascii="Times New Roman" w:eastAsia="Calibri" w:hAnsi="Times New Roman" w:cs="Times New Roman"/>
          <w:kern w:val="0"/>
          <w14:ligatures w14:val="none"/>
        </w:rPr>
        <w:t> </w:t>
      </w:r>
      <w:r w:rsidRPr="00CE6E91">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 </w:t>
      </w:r>
      <w:r w:rsidRPr="00CE6E91">
        <w:rPr>
          <w:rFonts w:ascii="Times New Roman" w:eastAsia="Calibri" w:hAnsi="Times New Roman" w:cs="Times New Roman"/>
          <w:kern w:val="0"/>
          <w14:ligatures w14:val="none"/>
        </w:rPr>
        <w:t>56</w:t>
      </w:r>
      <w:r w:rsidR="00565C7A" w:rsidRPr="00CE6E91">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CE6E91">
        <w:rPr>
          <w:rFonts w:ascii="Times New Roman" w:eastAsia="Calibri" w:hAnsi="Times New Roman" w:cs="Times New Roman"/>
          <w:kern w:val="0"/>
          <w14:ligatures w14:val="none"/>
        </w:rPr>
        <w:t>PVC/PVDC//Al buborékcsomagolásban</w:t>
      </w:r>
      <w:r>
        <w:rPr>
          <w:rFonts w:ascii="Times New Roman" w:eastAsia="Calibri" w:hAnsi="Times New Roman" w:cs="Times New Roman"/>
          <w:kern w:val="0"/>
          <w14:ligatures w14:val="none"/>
        </w:rPr>
        <w:t xml:space="preserve"> </w:t>
      </w:r>
      <w:r w:rsidRPr="00CE6E91">
        <w:rPr>
          <w:rFonts w:ascii="Times New Roman" w:eastAsia="Calibri" w:hAnsi="Times New Roman" w:cs="Times New Roman"/>
          <w:kern w:val="0"/>
          <w14:ligatures w14:val="none"/>
        </w:rPr>
        <w:t>(gyűjtőcsomagolásban)</w:t>
      </w:r>
    </w:p>
    <w:p w14:paraId="7F8AC330" w14:textId="7781A0C6" w:rsidR="00CE6E91" w:rsidRPr="00CE6E91" w:rsidRDefault="00CE6E91" w:rsidP="00FF39A3">
      <w:pPr>
        <w:tabs>
          <w:tab w:val="left" w:pos="2268"/>
          <w:tab w:val="left" w:pos="3686"/>
        </w:tabs>
        <w:autoSpaceDE w:val="0"/>
        <w:autoSpaceDN w:val="0"/>
        <w:adjustRightInd w:val="0"/>
        <w:spacing w:after="0" w:line="240" w:lineRule="auto"/>
        <w:ind w:left="567" w:hanging="567"/>
        <w:rPr>
          <w:rFonts w:ascii="Times New Roman" w:eastAsia="Calibri" w:hAnsi="Times New Roman" w:cs="Times New Roman"/>
          <w:kern w:val="0"/>
          <w14:ligatures w14:val="none"/>
        </w:rPr>
      </w:pPr>
      <w:r w:rsidRPr="00CE6E91">
        <w:rPr>
          <w:rFonts w:ascii="Times New Roman" w:eastAsia="Calibri" w:hAnsi="Times New Roman" w:cs="Times New Roman"/>
          <w:kern w:val="0"/>
          <w14:ligatures w14:val="none"/>
        </w:rPr>
        <w:t>OGYI-T-24738/</w:t>
      </w:r>
      <w:r w:rsidR="00565C7A" w:rsidRPr="00CE6E91">
        <w:rPr>
          <w:rFonts w:ascii="Times New Roman" w:eastAsia="Calibri" w:hAnsi="Times New Roman" w:cs="Times New Roman"/>
          <w:kern w:val="0"/>
          <w14:ligatures w14:val="none"/>
        </w:rPr>
        <w:t>17</w:t>
      </w:r>
      <w:r w:rsidR="00565C7A">
        <w:rPr>
          <w:rFonts w:ascii="Times New Roman" w:eastAsia="Calibri" w:hAnsi="Times New Roman" w:cs="Times New Roman"/>
          <w:kern w:val="0"/>
          <w14:ligatures w14:val="none"/>
        </w:rPr>
        <w:tab/>
      </w:r>
      <w:r w:rsidRPr="00CE6E91">
        <w:rPr>
          <w:rFonts w:ascii="Times New Roman" w:eastAsia="Calibri" w:hAnsi="Times New Roman" w:cs="Times New Roman"/>
          <w:kern w:val="0"/>
          <w14:ligatures w14:val="none"/>
        </w:rPr>
        <w:t>168</w:t>
      </w:r>
      <w:r w:rsidR="00565C7A" w:rsidRPr="00CE6E91">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CE6E91">
        <w:rPr>
          <w:rFonts w:ascii="Times New Roman" w:eastAsia="Calibri" w:hAnsi="Times New Roman" w:cs="Times New Roman"/>
          <w:kern w:val="0"/>
          <w14:ligatures w14:val="none"/>
        </w:rPr>
        <w:t>OPA/Al/PVC//Al buborékcsomagolásban</w:t>
      </w:r>
    </w:p>
    <w:p w14:paraId="22D1A498" w14:textId="0154CDA9" w:rsidR="0043030C" w:rsidRDefault="00CE6E91" w:rsidP="00FF39A3">
      <w:pPr>
        <w:tabs>
          <w:tab w:val="left" w:pos="2268"/>
          <w:tab w:val="left" w:pos="3686"/>
        </w:tabs>
        <w:autoSpaceDE w:val="0"/>
        <w:autoSpaceDN w:val="0"/>
        <w:adjustRightInd w:val="0"/>
        <w:spacing w:after="0" w:line="240" w:lineRule="auto"/>
        <w:ind w:left="567" w:right="-569" w:hanging="567"/>
        <w:rPr>
          <w:rFonts w:ascii="Times New Roman" w:eastAsia="Calibri" w:hAnsi="Times New Roman" w:cs="Times New Roman"/>
          <w:kern w:val="0"/>
          <w14:ligatures w14:val="none"/>
        </w:rPr>
      </w:pPr>
      <w:r w:rsidRPr="00CE6E91">
        <w:rPr>
          <w:rFonts w:ascii="Times New Roman" w:eastAsia="Calibri" w:hAnsi="Times New Roman" w:cs="Times New Roman"/>
          <w:kern w:val="0"/>
          <w14:ligatures w14:val="none"/>
        </w:rPr>
        <w:t>OGYI-T-24738/</w:t>
      </w:r>
      <w:r w:rsidR="00565C7A" w:rsidRPr="00CE6E91">
        <w:rPr>
          <w:rFonts w:ascii="Times New Roman" w:eastAsia="Calibri" w:hAnsi="Times New Roman" w:cs="Times New Roman"/>
          <w:kern w:val="0"/>
          <w14:ligatures w14:val="none"/>
        </w:rPr>
        <w:t>18</w:t>
      </w:r>
      <w:r w:rsidR="00565C7A">
        <w:rPr>
          <w:rFonts w:ascii="Times New Roman" w:eastAsia="Calibri" w:hAnsi="Times New Roman" w:cs="Times New Roman"/>
          <w:kern w:val="0"/>
          <w14:ligatures w14:val="none"/>
        </w:rPr>
        <w:tab/>
      </w:r>
      <w:r w:rsidRPr="00CE6E91">
        <w:rPr>
          <w:rFonts w:ascii="Times New Roman" w:eastAsia="Calibri" w:hAnsi="Times New Roman" w:cs="Times New Roman"/>
          <w:kern w:val="0"/>
          <w14:ligatures w14:val="none"/>
        </w:rPr>
        <w:t>168× (3</w:t>
      </w:r>
      <w:r w:rsidR="00565C7A">
        <w:rPr>
          <w:rFonts w:ascii="Times New Roman" w:eastAsia="Calibri" w:hAnsi="Times New Roman" w:cs="Times New Roman"/>
          <w:kern w:val="0"/>
          <w14:ligatures w14:val="none"/>
        </w:rPr>
        <w:t> </w:t>
      </w:r>
      <w:r w:rsidRPr="00CE6E91">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 </w:t>
      </w:r>
      <w:r w:rsidRPr="00CE6E91">
        <w:rPr>
          <w:rFonts w:ascii="Times New Roman" w:eastAsia="Calibri" w:hAnsi="Times New Roman" w:cs="Times New Roman"/>
          <w:kern w:val="0"/>
          <w14:ligatures w14:val="none"/>
        </w:rPr>
        <w:t>56</w:t>
      </w:r>
      <w:r w:rsidR="00565C7A" w:rsidRPr="00CE6E91">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CE6E91">
        <w:rPr>
          <w:rFonts w:ascii="Times New Roman" w:eastAsia="Calibri" w:hAnsi="Times New Roman" w:cs="Times New Roman"/>
          <w:kern w:val="0"/>
          <w14:ligatures w14:val="none"/>
        </w:rPr>
        <w:t>OPA/Al/PVC//Al buborékcsomagolásban (gyűjtőcsomagolásban)</w:t>
      </w:r>
    </w:p>
    <w:p w14:paraId="394FBD7A" w14:textId="77777777" w:rsidR="00CE6E91" w:rsidRPr="0043030C" w:rsidRDefault="00CE6E91" w:rsidP="00CE6E91">
      <w:pPr>
        <w:autoSpaceDE w:val="0"/>
        <w:autoSpaceDN w:val="0"/>
        <w:adjustRightInd w:val="0"/>
        <w:spacing w:after="0" w:line="240" w:lineRule="auto"/>
        <w:ind w:left="567" w:hanging="567"/>
        <w:rPr>
          <w:rFonts w:ascii="Times New Roman" w:eastAsia="Calibri" w:hAnsi="Times New Roman" w:cs="Times New Roman"/>
          <w:kern w:val="0"/>
          <w:u w:val="single"/>
          <w14:ligatures w14:val="none"/>
        </w:rPr>
      </w:pPr>
    </w:p>
    <w:p w14:paraId="5FA40FE4"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kern w:val="0"/>
          <w:u w:val="single"/>
          <w14:ligatures w14:val="none"/>
        </w:rPr>
      </w:pPr>
      <w:r w:rsidRPr="0043030C">
        <w:rPr>
          <w:rFonts w:ascii="Times New Roman" w:eastAsia="Calibri" w:hAnsi="Times New Roman" w:cs="Times New Roman"/>
          <w:kern w:val="0"/>
          <w:u w:val="single"/>
          <w14:ligatures w14:val="none"/>
        </w:rPr>
        <w:t>Lacosamide Grindeks 200 mg filmtabletta</w:t>
      </w:r>
    </w:p>
    <w:p w14:paraId="198678B7" w14:textId="37C4B4B1" w:rsidR="00495A06" w:rsidRPr="00495A06" w:rsidRDefault="00495A06" w:rsidP="00FF39A3">
      <w:pPr>
        <w:tabs>
          <w:tab w:val="left" w:pos="2268"/>
          <w:tab w:val="left" w:pos="3686"/>
        </w:tabs>
        <w:autoSpaceDE w:val="0"/>
        <w:autoSpaceDN w:val="0"/>
        <w:adjustRightInd w:val="0"/>
        <w:spacing w:after="0" w:line="240" w:lineRule="auto"/>
        <w:ind w:left="567" w:hanging="567"/>
        <w:rPr>
          <w:rFonts w:ascii="Times New Roman" w:eastAsia="Calibri" w:hAnsi="Times New Roman" w:cs="Times New Roman"/>
          <w:kern w:val="0"/>
          <w14:ligatures w14:val="none"/>
        </w:rPr>
      </w:pPr>
      <w:r w:rsidRPr="00495A06">
        <w:rPr>
          <w:rFonts w:ascii="Times New Roman" w:eastAsia="Calibri" w:hAnsi="Times New Roman" w:cs="Times New Roman"/>
          <w:kern w:val="0"/>
          <w14:ligatures w14:val="none"/>
        </w:rPr>
        <w:t>OGYI-T-24738/</w:t>
      </w:r>
      <w:r w:rsidR="00565C7A" w:rsidRPr="00495A06">
        <w:rPr>
          <w:rFonts w:ascii="Times New Roman" w:eastAsia="Calibri" w:hAnsi="Times New Roman" w:cs="Times New Roman"/>
          <w:kern w:val="0"/>
          <w14:ligatures w14:val="none"/>
        </w:rPr>
        <w:t>19</w:t>
      </w:r>
      <w:r w:rsidR="00565C7A">
        <w:rPr>
          <w:rFonts w:ascii="Times New Roman" w:eastAsia="Calibri" w:hAnsi="Times New Roman" w:cs="Times New Roman"/>
          <w:kern w:val="0"/>
          <w14:ligatures w14:val="none"/>
        </w:rPr>
        <w:tab/>
      </w:r>
      <w:r w:rsidRPr="00495A06">
        <w:rPr>
          <w:rFonts w:ascii="Times New Roman" w:eastAsia="Calibri" w:hAnsi="Times New Roman" w:cs="Times New Roman"/>
          <w:kern w:val="0"/>
          <w14:ligatures w14:val="none"/>
        </w:rPr>
        <w:t>56</w:t>
      </w:r>
      <w:r w:rsidR="00565C7A" w:rsidRPr="00495A06">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495A06">
        <w:rPr>
          <w:rFonts w:ascii="Times New Roman" w:eastAsia="Calibri" w:hAnsi="Times New Roman" w:cs="Times New Roman"/>
          <w:kern w:val="0"/>
          <w14:ligatures w14:val="none"/>
        </w:rPr>
        <w:t>PVC/PVDC//Al buborékcsomagolásban</w:t>
      </w:r>
    </w:p>
    <w:p w14:paraId="56D1B854" w14:textId="1FDCD04E" w:rsidR="00495A06" w:rsidRPr="00495A06" w:rsidRDefault="00495A06" w:rsidP="00FF39A3">
      <w:pPr>
        <w:tabs>
          <w:tab w:val="left" w:pos="2268"/>
          <w:tab w:val="left" w:pos="3686"/>
        </w:tabs>
        <w:autoSpaceDE w:val="0"/>
        <w:autoSpaceDN w:val="0"/>
        <w:adjustRightInd w:val="0"/>
        <w:spacing w:after="0" w:line="240" w:lineRule="auto"/>
        <w:ind w:left="567" w:hanging="567"/>
        <w:rPr>
          <w:rFonts w:ascii="Times New Roman" w:eastAsia="Calibri" w:hAnsi="Times New Roman" w:cs="Times New Roman"/>
          <w:kern w:val="0"/>
          <w14:ligatures w14:val="none"/>
        </w:rPr>
      </w:pPr>
      <w:r w:rsidRPr="00495A06">
        <w:rPr>
          <w:rFonts w:ascii="Times New Roman" w:eastAsia="Calibri" w:hAnsi="Times New Roman" w:cs="Times New Roman"/>
          <w:kern w:val="0"/>
          <w14:ligatures w14:val="none"/>
        </w:rPr>
        <w:t>OGYI-T-24738/</w:t>
      </w:r>
      <w:r w:rsidR="00565C7A" w:rsidRPr="00495A06">
        <w:rPr>
          <w:rFonts w:ascii="Times New Roman" w:eastAsia="Calibri" w:hAnsi="Times New Roman" w:cs="Times New Roman"/>
          <w:kern w:val="0"/>
          <w14:ligatures w14:val="none"/>
        </w:rPr>
        <w:t>20</w:t>
      </w:r>
      <w:r w:rsidR="00565C7A">
        <w:rPr>
          <w:rFonts w:ascii="Times New Roman" w:eastAsia="Calibri" w:hAnsi="Times New Roman" w:cs="Times New Roman"/>
          <w:kern w:val="0"/>
          <w14:ligatures w14:val="none"/>
        </w:rPr>
        <w:tab/>
      </w:r>
      <w:r w:rsidRPr="00495A06">
        <w:rPr>
          <w:rFonts w:ascii="Times New Roman" w:eastAsia="Calibri" w:hAnsi="Times New Roman" w:cs="Times New Roman"/>
          <w:kern w:val="0"/>
          <w14:ligatures w14:val="none"/>
        </w:rPr>
        <w:t>56</w:t>
      </w:r>
      <w:r w:rsidR="00565C7A" w:rsidRPr="00495A06">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495A06">
        <w:rPr>
          <w:rFonts w:ascii="Times New Roman" w:eastAsia="Calibri" w:hAnsi="Times New Roman" w:cs="Times New Roman"/>
          <w:kern w:val="0"/>
          <w14:ligatures w14:val="none"/>
        </w:rPr>
        <w:t>OPA/Al/PVC//Al buborékcsomagolásban</w:t>
      </w:r>
    </w:p>
    <w:p w14:paraId="46996307" w14:textId="4D1933AE" w:rsidR="00495A06" w:rsidRPr="00495A06" w:rsidRDefault="00495A06" w:rsidP="00FF39A3">
      <w:pPr>
        <w:tabs>
          <w:tab w:val="left" w:pos="2268"/>
          <w:tab w:val="left" w:pos="3686"/>
        </w:tabs>
        <w:autoSpaceDE w:val="0"/>
        <w:autoSpaceDN w:val="0"/>
        <w:adjustRightInd w:val="0"/>
        <w:spacing w:after="0" w:line="240" w:lineRule="auto"/>
        <w:ind w:left="567" w:hanging="567"/>
        <w:rPr>
          <w:rFonts w:ascii="Times New Roman" w:eastAsia="Calibri" w:hAnsi="Times New Roman" w:cs="Times New Roman"/>
          <w:kern w:val="0"/>
          <w14:ligatures w14:val="none"/>
        </w:rPr>
      </w:pPr>
      <w:r w:rsidRPr="00495A06">
        <w:rPr>
          <w:rFonts w:ascii="Times New Roman" w:eastAsia="Calibri" w:hAnsi="Times New Roman" w:cs="Times New Roman"/>
          <w:kern w:val="0"/>
          <w14:ligatures w14:val="none"/>
        </w:rPr>
        <w:t>OGYI-T-24738/</w:t>
      </w:r>
      <w:r w:rsidR="00565C7A" w:rsidRPr="00495A06">
        <w:rPr>
          <w:rFonts w:ascii="Times New Roman" w:eastAsia="Calibri" w:hAnsi="Times New Roman" w:cs="Times New Roman"/>
          <w:kern w:val="0"/>
          <w14:ligatures w14:val="none"/>
        </w:rPr>
        <w:t>21</w:t>
      </w:r>
      <w:r w:rsidR="00565C7A">
        <w:rPr>
          <w:rFonts w:ascii="Times New Roman" w:eastAsia="Calibri" w:hAnsi="Times New Roman" w:cs="Times New Roman"/>
          <w:kern w:val="0"/>
          <w14:ligatures w14:val="none"/>
        </w:rPr>
        <w:tab/>
      </w:r>
      <w:r w:rsidRPr="00495A06">
        <w:rPr>
          <w:rFonts w:ascii="Times New Roman" w:eastAsia="Calibri" w:hAnsi="Times New Roman" w:cs="Times New Roman"/>
          <w:kern w:val="0"/>
          <w14:ligatures w14:val="none"/>
        </w:rPr>
        <w:t>168</w:t>
      </w:r>
      <w:r w:rsidR="00565C7A" w:rsidRPr="00495A06">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495A06">
        <w:rPr>
          <w:rFonts w:ascii="Times New Roman" w:eastAsia="Calibri" w:hAnsi="Times New Roman" w:cs="Times New Roman"/>
          <w:kern w:val="0"/>
          <w14:ligatures w14:val="none"/>
        </w:rPr>
        <w:t>PVC/PVDC//Al buborékcsomagolásban</w:t>
      </w:r>
    </w:p>
    <w:p w14:paraId="0578EEB2" w14:textId="52E78112" w:rsidR="00495A06" w:rsidRPr="00495A06" w:rsidRDefault="00495A06" w:rsidP="00FF39A3">
      <w:pPr>
        <w:tabs>
          <w:tab w:val="left" w:pos="2268"/>
          <w:tab w:val="left" w:pos="3686"/>
        </w:tabs>
        <w:autoSpaceDE w:val="0"/>
        <w:autoSpaceDN w:val="0"/>
        <w:adjustRightInd w:val="0"/>
        <w:spacing w:after="0" w:line="240" w:lineRule="auto"/>
        <w:ind w:left="567" w:right="-428" w:hanging="567"/>
        <w:rPr>
          <w:rFonts w:ascii="Times New Roman" w:eastAsia="Calibri" w:hAnsi="Times New Roman" w:cs="Times New Roman"/>
          <w:kern w:val="0"/>
          <w14:ligatures w14:val="none"/>
        </w:rPr>
      </w:pPr>
      <w:r w:rsidRPr="00495A06">
        <w:rPr>
          <w:rFonts w:ascii="Times New Roman" w:eastAsia="Calibri" w:hAnsi="Times New Roman" w:cs="Times New Roman"/>
          <w:kern w:val="0"/>
          <w14:ligatures w14:val="none"/>
        </w:rPr>
        <w:t>OGYI-T-24738/</w:t>
      </w:r>
      <w:r w:rsidR="00565C7A" w:rsidRPr="00495A06">
        <w:rPr>
          <w:rFonts w:ascii="Times New Roman" w:eastAsia="Calibri" w:hAnsi="Times New Roman" w:cs="Times New Roman"/>
          <w:kern w:val="0"/>
          <w14:ligatures w14:val="none"/>
        </w:rPr>
        <w:t>22</w:t>
      </w:r>
      <w:r w:rsidR="00565C7A">
        <w:rPr>
          <w:rFonts w:ascii="Times New Roman" w:eastAsia="Calibri" w:hAnsi="Times New Roman" w:cs="Times New Roman"/>
          <w:kern w:val="0"/>
          <w14:ligatures w14:val="none"/>
        </w:rPr>
        <w:tab/>
      </w:r>
      <w:r w:rsidRPr="00495A06">
        <w:rPr>
          <w:rFonts w:ascii="Times New Roman" w:eastAsia="Calibri" w:hAnsi="Times New Roman" w:cs="Times New Roman"/>
          <w:kern w:val="0"/>
          <w14:ligatures w14:val="none"/>
        </w:rPr>
        <w:t>168× (3</w:t>
      </w:r>
      <w:r w:rsidR="00565C7A">
        <w:rPr>
          <w:rFonts w:ascii="Times New Roman" w:eastAsia="Calibri" w:hAnsi="Times New Roman" w:cs="Times New Roman"/>
          <w:kern w:val="0"/>
          <w14:ligatures w14:val="none"/>
        </w:rPr>
        <w:t> </w:t>
      </w:r>
      <w:r w:rsidRPr="00495A06">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 </w:t>
      </w:r>
      <w:r w:rsidRPr="00495A06">
        <w:rPr>
          <w:rFonts w:ascii="Times New Roman" w:eastAsia="Calibri" w:hAnsi="Times New Roman" w:cs="Times New Roman"/>
          <w:kern w:val="0"/>
          <w14:ligatures w14:val="none"/>
        </w:rPr>
        <w:t>56</w:t>
      </w:r>
      <w:r w:rsidR="00565C7A" w:rsidRPr="00495A06">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495A06">
        <w:rPr>
          <w:rFonts w:ascii="Times New Roman" w:eastAsia="Calibri" w:hAnsi="Times New Roman" w:cs="Times New Roman"/>
          <w:kern w:val="0"/>
          <w14:ligatures w14:val="none"/>
        </w:rPr>
        <w:t>PVC/PVDC//Al buborékcsomagolásban (gyűjtőcsomagolásban)</w:t>
      </w:r>
    </w:p>
    <w:p w14:paraId="0B69CC67" w14:textId="0205C355" w:rsidR="00495A06" w:rsidRPr="00495A06" w:rsidRDefault="00495A06" w:rsidP="00FF39A3">
      <w:pPr>
        <w:tabs>
          <w:tab w:val="left" w:pos="2268"/>
          <w:tab w:val="left" w:pos="3686"/>
        </w:tabs>
        <w:autoSpaceDE w:val="0"/>
        <w:autoSpaceDN w:val="0"/>
        <w:adjustRightInd w:val="0"/>
        <w:spacing w:after="0" w:line="240" w:lineRule="auto"/>
        <w:ind w:left="567" w:hanging="567"/>
        <w:rPr>
          <w:rFonts w:ascii="Times New Roman" w:eastAsia="Calibri" w:hAnsi="Times New Roman" w:cs="Times New Roman"/>
          <w:kern w:val="0"/>
          <w14:ligatures w14:val="none"/>
        </w:rPr>
      </w:pPr>
      <w:r w:rsidRPr="00495A06">
        <w:rPr>
          <w:rFonts w:ascii="Times New Roman" w:eastAsia="Calibri" w:hAnsi="Times New Roman" w:cs="Times New Roman"/>
          <w:kern w:val="0"/>
          <w14:ligatures w14:val="none"/>
        </w:rPr>
        <w:t>OGYI-T-24738/</w:t>
      </w:r>
      <w:r w:rsidR="00565C7A" w:rsidRPr="00495A06">
        <w:rPr>
          <w:rFonts w:ascii="Times New Roman" w:eastAsia="Calibri" w:hAnsi="Times New Roman" w:cs="Times New Roman"/>
          <w:kern w:val="0"/>
          <w14:ligatures w14:val="none"/>
        </w:rPr>
        <w:t>23</w:t>
      </w:r>
      <w:r w:rsidR="00565C7A">
        <w:rPr>
          <w:rFonts w:ascii="Times New Roman" w:eastAsia="Calibri" w:hAnsi="Times New Roman" w:cs="Times New Roman"/>
          <w:kern w:val="0"/>
          <w14:ligatures w14:val="none"/>
        </w:rPr>
        <w:tab/>
      </w:r>
      <w:r w:rsidRPr="00495A06">
        <w:rPr>
          <w:rFonts w:ascii="Times New Roman" w:eastAsia="Calibri" w:hAnsi="Times New Roman" w:cs="Times New Roman"/>
          <w:kern w:val="0"/>
          <w14:ligatures w14:val="none"/>
        </w:rPr>
        <w:t>168</w:t>
      </w:r>
      <w:r w:rsidR="00565C7A" w:rsidRPr="00495A06">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495A06">
        <w:rPr>
          <w:rFonts w:ascii="Times New Roman" w:eastAsia="Calibri" w:hAnsi="Times New Roman" w:cs="Times New Roman"/>
          <w:kern w:val="0"/>
          <w14:ligatures w14:val="none"/>
        </w:rPr>
        <w:t>OPA/Al/PVC//Al buborékcsomagolásban</w:t>
      </w:r>
    </w:p>
    <w:p w14:paraId="5EE92A47" w14:textId="1AEBFA6E" w:rsidR="0043030C" w:rsidRPr="0043030C" w:rsidRDefault="00495A06" w:rsidP="00FF39A3">
      <w:pPr>
        <w:tabs>
          <w:tab w:val="left" w:pos="2268"/>
          <w:tab w:val="left" w:pos="3686"/>
        </w:tabs>
        <w:autoSpaceDE w:val="0"/>
        <w:autoSpaceDN w:val="0"/>
        <w:adjustRightInd w:val="0"/>
        <w:spacing w:after="0" w:line="240" w:lineRule="auto"/>
        <w:ind w:left="567" w:right="-569" w:hanging="567"/>
        <w:rPr>
          <w:rFonts w:ascii="Times New Roman" w:eastAsia="Calibri" w:hAnsi="Times New Roman" w:cs="Times New Roman"/>
          <w:kern w:val="0"/>
          <w14:ligatures w14:val="none"/>
        </w:rPr>
      </w:pPr>
      <w:r w:rsidRPr="00495A06">
        <w:rPr>
          <w:rFonts w:ascii="Times New Roman" w:eastAsia="Calibri" w:hAnsi="Times New Roman" w:cs="Times New Roman"/>
          <w:kern w:val="0"/>
          <w14:ligatures w14:val="none"/>
        </w:rPr>
        <w:t>OGYI-T-24738/</w:t>
      </w:r>
      <w:r w:rsidR="00565C7A" w:rsidRPr="00495A06">
        <w:rPr>
          <w:rFonts w:ascii="Times New Roman" w:eastAsia="Calibri" w:hAnsi="Times New Roman" w:cs="Times New Roman"/>
          <w:kern w:val="0"/>
          <w14:ligatures w14:val="none"/>
        </w:rPr>
        <w:t>24</w:t>
      </w:r>
      <w:r w:rsidR="00565C7A">
        <w:rPr>
          <w:rFonts w:ascii="Times New Roman" w:eastAsia="Calibri" w:hAnsi="Times New Roman" w:cs="Times New Roman"/>
          <w:kern w:val="0"/>
          <w14:ligatures w14:val="none"/>
        </w:rPr>
        <w:tab/>
      </w:r>
      <w:r w:rsidRPr="00495A06">
        <w:rPr>
          <w:rFonts w:ascii="Times New Roman" w:eastAsia="Calibri" w:hAnsi="Times New Roman" w:cs="Times New Roman"/>
          <w:kern w:val="0"/>
          <w14:ligatures w14:val="none"/>
        </w:rPr>
        <w:t>168× (3</w:t>
      </w:r>
      <w:r w:rsidR="00565C7A">
        <w:rPr>
          <w:rFonts w:ascii="Times New Roman" w:eastAsia="Calibri" w:hAnsi="Times New Roman" w:cs="Times New Roman"/>
          <w:kern w:val="0"/>
          <w14:ligatures w14:val="none"/>
        </w:rPr>
        <w:t> </w:t>
      </w:r>
      <w:r w:rsidRPr="00495A06">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 </w:t>
      </w:r>
      <w:r w:rsidRPr="00495A06">
        <w:rPr>
          <w:rFonts w:ascii="Times New Roman" w:eastAsia="Calibri" w:hAnsi="Times New Roman" w:cs="Times New Roman"/>
          <w:kern w:val="0"/>
          <w14:ligatures w14:val="none"/>
        </w:rPr>
        <w:t>56</w:t>
      </w:r>
      <w:r w:rsidR="00565C7A" w:rsidRPr="00495A06">
        <w:rPr>
          <w:rFonts w:ascii="Times New Roman" w:eastAsia="Calibri" w:hAnsi="Times New Roman" w:cs="Times New Roman"/>
          <w:kern w:val="0"/>
          <w14:ligatures w14:val="none"/>
        </w:rPr>
        <w:t>)</w:t>
      </w:r>
      <w:r w:rsidR="00565C7A">
        <w:rPr>
          <w:rFonts w:ascii="Times New Roman" w:eastAsia="Calibri" w:hAnsi="Times New Roman" w:cs="Times New Roman"/>
          <w:kern w:val="0"/>
          <w14:ligatures w14:val="none"/>
        </w:rPr>
        <w:tab/>
      </w:r>
      <w:r w:rsidRPr="00495A06">
        <w:rPr>
          <w:rFonts w:ascii="Times New Roman" w:eastAsia="Calibri" w:hAnsi="Times New Roman" w:cs="Times New Roman"/>
          <w:kern w:val="0"/>
          <w14:ligatures w14:val="none"/>
        </w:rPr>
        <w:t>OPA/Al/PVC//Al buborékcsomagolásban (gyűjtőcsomagolásban)</w:t>
      </w:r>
    </w:p>
    <w:p w14:paraId="3207CB52" w14:textId="77777777" w:rsidR="0043030C" w:rsidRDefault="0043030C" w:rsidP="0043030C">
      <w:pPr>
        <w:autoSpaceDE w:val="0"/>
        <w:autoSpaceDN w:val="0"/>
        <w:adjustRightInd w:val="0"/>
        <w:spacing w:after="0" w:line="240" w:lineRule="auto"/>
        <w:rPr>
          <w:rFonts w:ascii="Times New Roman" w:eastAsia="Calibri" w:hAnsi="Times New Roman" w:cs="Times New Roman"/>
          <w:kern w:val="0"/>
          <w14:ligatures w14:val="none"/>
        </w:rPr>
      </w:pPr>
    </w:p>
    <w:p w14:paraId="62EA2054" w14:textId="77777777" w:rsidR="00EE42CB" w:rsidRPr="0043030C" w:rsidRDefault="00EE42CB" w:rsidP="0043030C">
      <w:pPr>
        <w:autoSpaceDE w:val="0"/>
        <w:autoSpaceDN w:val="0"/>
        <w:adjustRightInd w:val="0"/>
        <w:spacing w:after="0" w:line="240" w:lineRule="auto"/>
        <w:rPr>
          <w:rFonts w:ascii="Times New Roman" w:eastAsia="Calibri" w:hAnsi="Times New Roman" w:cs="Times New Roman"/>
          <w:kern w:val="0"/>
          <w14:ligatures w14:val="none"/>
        </w:rPr>
      </w:pPr>
    </w:p>
    <w:p w14:paraId="700FE759"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b/>
          <w:bCs/>
          <w:color w:val="000000"/>
          <w:kern w:val="0"/>
          <w14:ligatures w14:val="none"/>
        </w:rPr>
      </w:pPr>
      <w:r w:rsidRPr="0043030C">
        <w:rPr>
          <w:rFonts w:ascii="Times New Roman" w:eastAsia="Calibri" w:hAnsi="Times New Roman" w:cs="Times New Roman"/>
          <w:b/>
          <w:bCs/>
          <w:color w:val="000000"/>
          <w:kern w:val="0"/>
          <w14:ligatures w14:val="none"/>
        </w:rPr>
        <w:t>9.</w:t>
      </w:r>
      <w:r w:rsidRPr="0043030C">
        <w:rPr>
          <w:rFonts w:ascii="Times New Roman" w:eastAsia="Calibri" w:hAnsi="Times New Roman" w:cs="Times New Roman"/>
          <w:b/>
          <w:bCs/>
          <w:color w:val="000000"/>
          <w:kern w:val="0"/>
          <w14:ligatures w14:val="none"/>
        </w:rPr>
        <w:tab/>
        <w:t>A FORGALOMBA HOZATALI ENGEDÉLY ELSŐ KIADÁSÁNAK/ MEGÚJÍTÁSÁNAK DÁTUMA</w:t>
      </w:r>
    </w:p>
    <w:p w14:paraId="2D2B2404"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p>
    <w:p w14:paraId="6B116978" w14:textId="1C46A262"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r w:rsidRPr="0043030C">
        <w:rPr>
          <w:rFonts w:ascii="Times New Roman" w:eastAsia="Calibri" w:hAnsi="Times New Roman" w:cs="Times New Roman"/>
          <w:kern w:val="0"/>
          <w14:ligatures w14:val="none"/>
        </w:rPr>
        <w:t xml:space="preserve">A forgalomba hozatali engedély első kiadásának dátuma: </w:t>
      </w:r>
      <w:r w:rsidR="001B2528">
        <w:rPr>
          <w:rFonts w:ascii="Times New Roman" w:eastAsia="Calibri" w:hAnsi="Times New Roman" w:cs="Times New Roman"/>
          <w:kern w:val="0"/>
          <w14:ligatures w14:val="none"/>
        </w:rPr>
        <w:t>202</w:t>
      </w:r>
      <w:r w:rsidR="00BE0905">
        <w:rPr>
          <w:rFonts w:ascii="Times New Roman" w:eastAsia="Calibri" w:hAnsi="Times New Roman" w:cs="Times New Roman"/>
          <w:kern w:val="0"/>
          <w14:ligatures w14:val="none"/>
        </w:rPr>
        <w:t>6</w:t>
      </w:r>
      <w:r w:rsidR="001B2528">
        <w:rPr>
          <w:rFonts w:ascii="Times New Roman" w:eastAsia="Calibri" w:hAnsi="Times New Roman" w:cs="Times New Roman"/>
          <w:kern w:val="0"/>
          <w14:ligatures w14:val="none"/>
        </w:rPr>
        <w:t xml:space="preserve">. </w:t>
      </w:r>
      <w:r w:rsidR="005B6C23">
        <w:rPr>
          <w:rFonts w:ascii="Times New Roman" w:eastAsia="Calibri" w:hAnsi="Times New Roman" w:cs="Times New Roman"/>
          <w:kern w:val="0"/>
          <w14:ligatures w14:val="none"/>
        </w:rPr>
        <w:t>május 13.</w:t>
      </w:r>
    </w:p>
    <w:p w14:paraId="16080D64"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p>
    <w:p w14:paraId="4DF68547" w14:textId="77777777" w:rsidR="0043030C" w:rsidRPr="0043030C" w:rsidRDefault="0043030C" w:rsidP="0043030C">
      <w:pPr>
        <w:autoSpaceDE w:val="0"/>
        <w:autoSpaceDN w:val="0"/>
        <w:adjustRightInd w:val="0"/>
        <w:spacing w:after="0" w:line="240" w:lineRule="auto"/>
        <w:ind w:left="567" w:hanging="567"/>
        <w:rPr>
          <w:rFonts w:ascii="Times New Roman" w:eastAsia="Calibri" w:hAnsi="Times New Roman" w:cs="Times New Roman"/>
          <w:color w:val="000000"/>
          <w:kern w:val="0"/>
          <w14:ligatures w14:val="none"/>
        </w:rPr>
      </w:pPr>
    </w:p>
    <w:p w14:paraId="0563C75E"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b/>
          <w:bCs/>
          <w:kern w:val="0"/>
          <w14:ligatures w14:val="none"/>
        </w:rPr>
      </w:pPr>
      <w:r w:rsidRPr="0043030C">
        <w:rPr>
          <w:rFonts w:ascii="Times New Roman" w:eastAsia="Calibri" w:hAnsi="Times New Roman" w:cs="Times New Roman"/>
          <w:b/>
          <w:bCs/>
          <w:kern w:val="0"/>
          <w14:ligatures w14:val="none"/>
        </w:rPr>
        <w:t>10.</w:t>
      </w:r>
      <w:r w:rsidRPr="0043030C">
        <w:rPr>
          <w:rFonts w:ascii="Times New Roman" w:eastAsia="Calibri" w:hAnsi="Times New Roman" w:cs="Times New Roman"/>
          <w:b/>
          <w:bCs/>
          <w:kern w:val="0"/>
          <w14:ligatures w14:val="none"/>
        </w:rPr>
        <w:tab/>
        <w:t>A SZÖVEG ELLENŐRZÉSÉNEK DÁTUMA</w:t>
      </w:r>
    </w:p>
    <w:p w14:paraId="5FE41B11" w14:textId="77777777" w:rsidR="0043030C" w:rsidRPr="0043030C" w:rsidRDefault="0043030C" w:rsidP="0043030C">
      <w:pPr>
        <w:autoSpaceDE w:val="0"/>
        <w:autoSpaceDN w:val="0"/>
        <w:adjustRightInd w:val="0"/>
        <w:spacing w:after="0" w:line="240" w:lineRule="auto"/>
        <w:rPr>
          <w:rFonts w:ascii="Times New Roman" w:eastAsia="Calibri" w:hAnsi="Times New Roman" w:cs="Times New Roman"/>
          <w:b/>
          <w:bCs/>
          <w:kern w:val="0"/>
          <w14:ligatures w14:val="none"/>
        </w:rPr>
      </w:pPr>
    </w:p>
    <w:p w14:paraId="5442F1F8" w14:textId="69F3016F" w:rsidR="00145300" w:rsidRDefault="001B2528" w:rsidP="003050B8">
      <w:pPr>
        <w:autoSpaceDE w:val="0"/>
        <w:autoSpaceDN w:val="0"/>
        <w:adjustRightInd w:val="0"/>
        <w:spacing w:after="0" w:line="240" w:lineRule="auto"/>
      </w:pPr>
      <w:r>
        <w:rPr>
          <w:rFonts w:ascii="Times New Roman" w:eastAsia="Calibri" w:hAnsi="Times New Roman" w:cs="Times New Roman"/>
          <w:kern w:val="0"/>
          <w14:ligatures w14:val="none"/>
        </w:rPr>
        <w:t>202</w:t>
      </w:r>
      <w:r w:rsidR="00BE0905">
        <w:rPr>
          <w:rFonts w:ascii="Times New Roman" w:eastAsia="Calibri" w:hAnsi="Times New Roman" w:cs="Times New Roman"/>
          <w:kern w:val="0"/>
          <w14:ligatures w14:val="none"/>
        </w:rPr>
        <w:t>6</w:t>
      </w:r>
      <w:r>
        <w:rPr>
          <w:rFonts w:ascii="Times New Roman" w:eastAsia="Calibri" w:hAnsi="Times New Roman" w:cs="Times New Roman"/>
          <w:kern w:val="0"/>
          <w14:ligatures w14:val="none"/>
        </w:rPr>
        <w:t xml:space="preserve">. </w:t>
      </w:r>
      <w:r w:rsidR="005B6C23">
        <w:rPr>
          <w:rFonts w:ascii="Times New Roman" w:eastAsia="Calibri" w:hAnsi="Times New Roman" w:cs="Times New Roman"/>
          <w:kern w:val="0"/>
          <w14:ligatures w14:val="none"/>
        </w:rPr>
        <w:t>május 1</w:t>
      </w:r>
      <w:r w:rsidR="00857460">
        <w:rPr>
          <w:rFonts w:ascii="Times New Roman" w:eastAsia="Calibri" w:hAnsi="Times New Roman" w:cs="Times New Roman"/>
          <w:kern w:val="0"/>
          <w14:ligatures w14:val="none"/>
        </w:rPr>
        <w:t>6</w:t>
      </w:r>
      <w:r w:rsidR="005B6C23">
        <w:rPr>
          <w:rFonts w:ascii="Times New Roman" w:eastAsia="Calibri" w:hAnsi="Times New Roman" w:cs="Times New Roman"/>
          <w:kern w:val="0"/>
          <w14:ligatures w14:val="none"/>
        </w:rPr>
        <w:t>.</w:t>
      </w:r>
    </w:p>
    <w:sectPr w:rsidR="00145300" w:rsidSect="0043030C">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9B8D9" w14:textId="77777777" w:rsidR="0084490B" w:rsidRDefault="0084490B">
      <w:pPr>
        <w:spacing w:after="0" w:line="240" w:lineRule="auto"/>
      </w:pPr>
      <w:r>
        <w:separator/>
      </w:r>
    </w:p>
  </w:endnote>
  <w:endnote w:type="continuationSeparator" w:id="0">
    <w:p w14:paraId="32C95735" w14:textId="77777777" w:rsidR="0084490B" w:rsidRDefault="008449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85C46" w14:textId="77777777" w:rsidR="00160BFA" w:rsidRDefault="00160BFA">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89714" w14:textId="77777777" w:rsidR="00160BFA" w:rsidRDefault="00160BFA">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31590" w14:textId="77777777" w:rsidR="00160BFA" w:rsidRPr="00160BFA" w:rsidRDefault="00160BFA" w:rsidP="00160BFA">
    <w:pPr>
      <w:pStyle w:val="llb"/>
      <w:rPr>
        <w:rFonts w:ascii="Times New Roman" w:hAnsi="Times New Roman"/>
        <w:sz w:val="18"/>
        <w:szCs w:val="18"/>
      </w:rPr>
    </w:pPr>
    <w:bookmarkStart w:id="9" w:name="_Hlk210070492"/>
    <w:bookmarkStart w:id="10" w:name="_Hlk210070493"/>
    <w:bookmarkStart w:id="11" w:name="_Hlk210070534"/>
    <w:bookmarkStart w:id="12" w:name="_Hlk210070535"/>
    <w:bookmarkStart w:id="13" w:name="_Hlk210070543"/>
    <w:bookmarkStart w:id="14" w:name="_Hlk210070544"/>
    <w:r w:rsidRPr="00160BFA">
      <w:rPr>
        <w:rFonts w:ascii="Times New Roman" w:hAnsi="Times New Roman"/>
        <w:sz w:val="18"/>
        <w:szCs w:val="18"/>
      </w:rPr>
      <w:t>NNGYK/ETGY/23528/2026</w:t>
    </w:r>
  </w:p>
  <w:p w14:paraId="526EE797" w14:textId="77777777" w:rsidR="00160BFA" w:rsidRPr="00160BFA" w:rsidRDefault="00160BFA" w:rsidP="00160BFA">
    <w:pPr>
      <w:pStyle w:val="llb"/>
      <w:rPr>
        <w:rFonts w:ascii="Times New Roman" w:hAnsi="Times New Roman"/>
        <w:sz w:val="18"/>
        <w:szCs w:val="18"/>
      </w:rPr>
    </w:pPr>
    <w:r w:rsidRPr="00160BFA">
      <w:rPr>
        <w:rFonts w:ascii="Times New Roman" w:hAnsi="Times New Roman"/>
        <w:sz w:val="18"/>
        <w:szCs w:val="18"/>
      </w:rPr>
      <w:t>NNGYK/ETGY/23530/2026</w:t>
    </w:r>
  </w:p>
  <w:p w14:paraId="03B76121" w14:textId="77777777" w:rsidR="00160BFA" w:rsidRPr="00160BFA" w:rsidRDefault="00160BFA" w:rsidP="00160BFA">
    <w:pPr>
      <w:pStyle w:val="llb"/>
      <w:rPr>
        <w:rFonts w:ascii="Times New Roman" w:hAnsi="Times New Roman"/>
        <w:sz w:val="18"/>
        <w:szCs w:val="18"/>
      </w:rPr>
    </w:pPr>
    <w:r w:rsidRPr="00160BFA">
      <w:rPr>
        <w:rFonts w:ascii="Times New Roman" w:hAnsi="Times New Roman"/>
        <w:sz w:val="18"/>
        <w:szCs w:val="18"/>
      </w:rPr>
      <w:t>NNGYK/ETGY/9837/2026</w:t>
    </w:r>
  </w:p>
  <w:p w14:paraId="19C30716" w14:textId="4B0EC5A5" w:rsidR="00505D8F" w:rsidRPr="00072B25" w:rsidRDefault="00160BFA" w:rsidP="00FC3DD1">
    <w:pPr>
      <w:pStyle w:val="llb"/>
      <w:rPr>
        <w:rFonts w:ascii="Times New Roman" w:hAnsi="Times New Roman"/>
        <w:sz w:val="18"/>
        <w:szCs w:val="18"/>
      </w:rPr>
    </w:pPr>
    <w:r w:rsidRPr="00160BFA">
      <w:rPr>
        <w:rFonts w:ascii="Times New Roman" w:hAnsi="Times New Roman"/>
        <w:sz w:val="18"/>
        <w:szCs w:val="18"/>
      </w:rPr>
      <w:t>NNGYK/ETGY/23534/2026</w:t>
    </w:r>
    <w:bookmarkEnd w:id="9"/>
    <w:bookmarkEnd w:id="10"/>
    <w:bookmarkEnd w:id="11"/>
    <w:bookmarkEnd w:id="12"/>
    <w:bookmarkEnd w:id="13"/>
    <w:bookmarkEnd w:id="1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C65FA" w14:textId="77777777" w:rsidR="0084490B" w:rsidRDefault="0084490B">
      <w:pPr>
        <w:spacing w:after="0" w:line="240" w:lineRule="auto"/>
      </w:pPr>
      <w:r>
        <w:separator/>
      </w:r>
    </w:p>
  </w:footnote>
  <w:footnote w:type="continuationSeparator" w:id="0">
    <w:p w14:paraId="3E0107F7" w14:textId="77777777" w:rsidR="0084490B" w:rsidRDefault="008449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FBBBE" w14:textId="77777777" w:rsidR="00160BFA" w:rsidRDefault="00160BFA">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A7119" w14:textId="77777777" w:rsidR="00505D8F" w:rsidRPr="00072B25" w:rsidRDefault="00505D8F">
    <w:pPr>
      <w:pStyle w:val="lfej"/>
      <w:jc w:val="center"/>
      <w:rPr>
        <w:rFonts w:ascii="Times New Roman" w:hAnsi="Times New Roman"/>
        <w:sz w:val="18"/>
        <w:szCs w:val="18"/>
      </w:rPr>
    </w:pPr>
    <w:r w:rsidRPr="00072B25">
      <w:rPr>
        <w:rFonts w:ascii="Times New Roman" w:hAnsi="Times New Roman"/>
        <w:sz w:val="18"/>
        <w:szCs w:val="18"/>
      </w:rPr>
      <w:fldChar w:fldCharType="begin"/>
    </w:r>
    <w:r w:rsidRPr="00072B25">
      <w:rPr>
        <w:rFonts w:ascii="Times New Roman" w:hAnsi="Times New Roman"/>
        <w:sz w:val="18"/>
        <w:szCs w:val="18"/>
      </w:rPr>
      <w:instrText>PAGE   \* MERGEFORMAT</w:instrText>
    </w:r>
    <w:r w:rsidRPr="00072B25">
      <w:rPr>
        <w:rFonts w:ascii="Times New Roman" w:hAnsi="Times New Roman"/>
        <w:sz w:val="18"/>
        <w:szCs w:val="18"/>
      </w:rPr>
      <w:fldChar w:fldCharType="separate"/>
    </w:r>
    <w:r>
      <w:rPr>
        <w:rFonts w:ascii="Times New Roman" w:hAnsi="Times New Roman"/>
        <w:noProof/>
        <w:sz w:val="18"/>
        <w:szCs w:val="18"/>
      </w:rPr>
      <w:t>2</w:t>
    </w:r>
    <w:r w:rsidRPr="00072B25">
      <w:rPr>
        <w:rFonts w:ascii="Times New Roman" w:hAnsi="Times New Roman"/>
        <w:sz w:val="18"/>
        <w:szCs w:val="18"/>
      </w:rPr>
      <w:fldChar w:fldCharType="end"/>
    </w:r>
  </w:p>
  <w:p w14:paraId="0141942B" w14:textId="77777777" w:rsidR="00505D8F" w:rsidRDefault="00505D8F">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EF189" w14:textId="77777777" w:rsidR="00160BFA" w:rsidRDefault="00160BF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2693B"/>
    <w:multiLevelType w:val="hybridMultilevel"/>
    <w:tmpl w:val="728CBEC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7DA6E98"/>
    <w:multiLevelType w:val="multilevel"/>
    <w:tmpl w:val="4C60707A"/>
    <w:lvl w:ilvl="0">
      <w:start w:val="1"/>
      <w:numFmt w:val="decimal"/>
      <w:lvlText w:val="%1."/>
      <w:lvlJc w:val="left"/>
      <w:pPr>
        <w:ind w:left="720" w:hanging="360"/>
      </w:pPr>
      <w:rPr>
        <w:rFonts w:hint="default"/>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E712722"/>
    <w:multiLevelType w:val="hybridMultilevel"/>
    <w:tmpl w:val="A392B718"/>
    <w:lvl w:ilvl="0" w:tplc="040E000F">
      <w:start w:val="4"/>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FBF3BBB"/>
    <w:multiLevelType w:val="hybridMultilevel"/>
    <w:tmpl w:val="5260BE0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30A1C8E"/>
    <w:multiLevelType w:val="hybridMultilevel"/>
    <w:tmpl w:val="C6D68CA2"/>
    <w:lvl w:ilvl="0" w:tplc="040E000F">
      <w:start w:val="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13316DC3"/>
    <w:multiLevelType w:val="hybridMultilevel"/>
    <w:tmpl w:val="46F4788A"/>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63512E2"/>
    <w:multiLevelType w:val="hybridMultilevel"/>
    <w:tmpl w:val="3BD49B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FE67C36"/>
    <w:multiLevelType w:val="hybridMultilevel"/>
    <w:tmpl w:val="0928B95C"/>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77A355A"/>
    <w:multiLevelType w:val="hybridMultilevel"/>
    <w:tmpl w:val="0E08BFB6"/>
    <w:lvl w:ilvl="0" w:tplc="44EC9560">
      <w:start w:val="3"/>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32A05818"/>
    <w:multiLevelType w:val="hybridMultilevel"/>
    <w:tmpl w:val="5DEECF9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4FA69E4"/>
    <w:multiLevelType w:val="hybridMultilevel"/>
    <w:tmpl w:val="27E604EE"/>
    <w:lvl w:ilvl="0" w:tplc="83B2CB68">
      <w:numFmt w:val="bullet"/>
      <w:lvlText w:val="-"/>
      <w:lvlJc w:val="left"/>
      <w:pPr>
        <w:ind w:left="1287" w:hanging="360"/>
      </w:p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1" w15:restartNumberingAfterBreak="0">
    <w:nsid w:val="648768C5"/>
    <w:multiLevelType w:val="hybridMultilevel"/>
    <w:tmpl w:val="F7A40D64"/>
    <w:lvl w:ilvl="0" w:tplc="040E000F">
      <w:start w:val="4"/>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65757886"/>
    <w:multiLevelType w:val="hybridMultilevel"/>
    <w:tmpl w:val="1ED43668"/>
    <w:lvl w:ilvl="0" w:tplc="D55A7892">
      <w:start w:val="2"/>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67F4481F"/>
    <w:multiLevelType w:val="hybridMultilevel"/>
    <w:tmpl w:val="E6166846"/>
    <w:lvl w:ilvl="0" w:tplc="631823E2">
      <w:start w:val="2"/>
      <w:numFmt w:val="decimal"/>
      <w:lvlText w:val="%1."/>
      <w:lvlJc w:val="left"/>
      <w:pPr>
        <w:ind w:left="720" w:hanging="360"/>
      </w:pPr>
      <w:rPr>
        <w:rFonts w:hint="default"/>
        <w:b/>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B0A28FD"/>
    <w:multiLevelType w:val="multilevel"/>
    <w:tmpl w:val="BE1E4086"/>
    <w:lvl w:ilvl="0">
      <w:start w:val="1"/>
      <w:numFmt w:val="decimal"/>
      <w:pStyle w:val="Aufzaehlung"/>
      <w:lvlText w:val="%1."/>
      <w:lvlJc w:val="left"/>
      <w:pPr>
        <w:tabs>
          <w:tab w:val="num" w:pos="360"/>
        </w:tabs>
        <w:ind w:left="360" w:hanging="360"/>
      </w:pPr>
    </w:lvl>
    <w:lvl w:ilvl="1">
      <w:start w:val="1"/>
      <w:numFmt w:val="none"/>
      <w:lvlText w:val="-"/>
      <w:lvlJc w:val="left"/>
      <w:pPr>
        <w:tabs>
          <w:tab w:val="num" w:pos="720"/>
        </w:tabs>
        <w:ind w:left="720" w:hanging="360"/>
      </w:pPr>
      <w:rPr>
        <w:rFonts w:hint="default"/>
      </w:rPr>
    </w:lvl>
    <w:lvl w:ilvl="2">
      <w:start w:val="1"/>
      <w:numFmt w:val="decimal"/>
      <w:lvlText w:val="%3."/>
      <w:lvlJc w:val="left"/>
      <w:pPr>
        <w:tabs>
          <w:tab w:val="num" w:pos="720"/>
        </w:tabs>
        <w:ind w:left="720" w:hanging="363"/>
      </w:pPr>
    </w:lvl>
    <w:lvl w:ilvl="3">
      <w:start w:val="1"/>
      <w:numFmt w:val="none"/>
      <w:lvlText w:val="-"/>
      <w:lvlJc w:val="left"/>
      <w:pPr>
        <w:tabs>
          <w:tab w:val="num" w:pos="1080"/>
        </w:tabs>
        <w:ind w:left="1077" w:hanging="357"/>
      </w:pPr>
    </w:lvl>
    <w:lvl w:ilvl="4">
      <w:start w:val="1"/>
      <w:numFmt w:val="lowerLetter"/>
      <w:lvlText w:val="%5."/>
      <w:lvlJc w:val="left"/>
      <w:pPr>
        <w:tabs>
          <w:tab w:val="num" w:pos="1494"/>
        </w:tabs>
        <w:ind w:left="1440" w:hanging="306"/>
      </w:pPr>
    </w:lvl>
    <w:lvl w:ilvl="5">
      <w:start w:val="1"/>
      <w:numFmt w:val="none"/>
      <w:lvlText w:val="-"/>
      <w:lvlJc w:val="left"/>
      <w:pPr>
        <w:tabs>
          <w:tab w:val="num" w:pos="1891"/>
        </w:tabs>
        <w:ind w:left="1854" w:hanging="323"/>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2127E0B"/>
    <w:multiLevelType w:val="hybridMultilevel"/>
    <w:tmpl w:val="000AFE3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882790258">
    <w:abstractNumId w:val="0"/>
  </w:num>
  <w:num w:numId="2" w16cid:durableId="553546863">
    <w:abstractNumId w:val="6"/>
  </w:num>
  <w:num w:numId="3" w16cid:durableId="838539915">
    <w:abstractNumId w:val="15"/>
  </w:num>
  <w:num w:numId="4" w16cid:durableId="752245762">
    <w:abstractNumId w:val="1"/>
  </w:num>
  <w:num w:numId="5" w16cid:durableId="159930128">
    <w:abstractNumId w:val="14"/>
  </w:num>
  <w:num w:numId="6" w16cid:durableId="1603874658">
    <w:abstractNumId w:val="10"/>
  </w:num>
  <w:num w:numId="7" w16cid:durableId="190724702">
    <w:abstractNumId w:val="9"/>
  </w:num>
  <w:num w:numId="8" w16cid:durableId="742993136">
    <w:abstractNumId w:val="13"/>
  </w:num>
  <w:num w:numId="9" w16cid:durableId="84114811">
    <w:abstractNumId w:val="12"/>
  </w:num>
  <w:num w:numId="10" w16cid:durableId="659819600">
    <w:abstractNumId w:val="8"/>
  </w:num>
  <w:num w:numId="11" w16cid:durableId="1920093037">
    <w:abstractNumId w:val="4"/>
  </w:num>
  <w:num w:numId="12" w16cid:durableId="1603957968">
    <w:abstractNumId w:val="11"/>
  </w:num>
  <w:num w:numId="13" w16cid:durableId="699161350">
    <w:abstractNumId w:val="2"/>
  </w:num>
  <w:num w:numId="14" w16cid:durableId="667755890">
    <w:abstractNumId w:val="5"/>
  </w:num>
  <w:num w:numId="15" w16cid:durableId="1204051244">
    <w:abstractNumId w:val="3"/>
  </w:num>
  <w:num w:numId="16" w16cid:durableId="8185695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30C"/>
    <w:rsid w:val="000253A4"/>
    <w:rsid w:val="00034745"/>
    <w:rsid w:val="00047097"/>
    <w:rsid w:val="000772E6"/>
    <w:rsid w:val="000C2E02"/>
    <w:rsid w:val="000E13F8"/>
    <w:rsid w:val="000F2B77"/>
    <w:rsid w:val="00145300"/>
    <w:rsid w:val="00160BFA"/>
    <w:rsid w:val="001B2528"/>
    <w:rsid w:val="00210740"/>
    <w:rsid w:val="00220CDF"/>
    <w:rsid w:val="00226CA7"/>
    <w:rsid w:val="00231ACD"/>
    <w:rsid w:val="00234117"/>
    <w:rsid w:val="00256696"/>
    <w:rsid w:val="0026051A"/>
    <w:rsid w:val="0026531E"/>
    <w:rsid w:val="002A137A"/>
    <w:rsid w:val="002B066F"/>
    <w:rsid w:val="002B5EF6"/>
    <w:rsid w:val="003050B8"/>
    <w:rsid w:val="00306F76"/>
    <w:rsid w:val="00307E02"/>
    <w:rsid w:val="00336F37"/>
    <w:rsid w:val="00346095"/>
    <w:rsid w:val="003C227B"/>
    <w:rsid w:val="003E261C"/>
    <w:rsid w:val="00411E0A"/>
    <w:rsid w:val="00413665"/>
    <w:rsid w:val="0043030C"/>
    <w:rsid w:val="00495A06"/>
    <w:rsid w:val="004977F5"/>
    <w:rsid w:val="004D7B44"/>
    <w:rsid w:val="004E4105"/>
    <w:rsid w:val="004E51FB"/>
    <w:rsid w:val="004F49F8"/>
    <w:rsid w:val="00505D8F"/>
    <w:rsid w:val="00541BB1"/>
    <w:rsid w:val="00563299"/>
    <w:rsid w:val="00565C7A"/>
    <w:rsid w:val="005964FA"/>
    <w:rsid w:val="005A6236"/>
    <w:rsid w:val="005B6C23"/>
    <w:rsid w:val="005D4D14"/>
    <w:rsid w:val="005D5AB5"/>
    <w:rsid w:val="0064074F"/>
    <w:rsid w:val="0069401F"/>
    <w:rsid w:val="006A0076"/>
    <w:rsid w:val="006C1983"/>
    <w:rsid w:val="006D36A1"/>
    <w:rsid w:val="00733685"/>
    <w:rsid w:val="007610D0"/>
    <w:rsid w:val="00793DA1"/>
    <w:rsid w:val="007B586A"/>
    <w:rsid w:val="007F31E7"/>
    <w:rsid w:val="0084490B"/>
    <w:rsid w:val="00857460"/>
    <w:rsid w:val="0089313B"/>
    <w:rsid w:val="008A2213"/>
    <w:rsid w:val="008F58DD"/>
    <w:rsid w:val="00977A5D"/>
    <w:rsid w:val="00982764"/>
    <w:rsid w:val="00983499"/>
    <w:rsid w:val="009C7F4F"/>
    <w:rsid w:val="009E17C0"/>
    <w:rsid w:val="009F0954"/>
    <w:rsid w:val="00A3683F"/>
    <w:rsid w:val="00A415BE"/>
    <w:rsid w:val="00AC247C"/>
    <w:rsid w:val="00AD63E0"/>
    <w:rsid w:val="00AD6FF4"/>
    <w:rsid w:val="00B931EE"/>
    <w:rsid w:val="00BB23DD"/>
    <w:rsid w:val="00BC1AE2"/>
    <w:rsid w:val="00BE0905"/>
    <w:rsid w:val="00BF3995"/>
    <w:rsid w:val="00C74065"/>
    <w:rsid w:val="00CC25F6"/>
    <w:rsid w:val="00CE6E91"/>
    <w:rsid w:val="00D31804"/>
    <w:rsid w:val="00D42318"/>
    <w:rsid w:val="00D5308B"/>
    <w:rsid w:val="00D64705"/>
    <w:rsid w:val="00D659AA"/>
    <w:rsid w:val="00D71CEE"/>
    <w:rsid w:val="00DB2212"/>
    <w:rsid w:val="00DC5BC7"/>
    <w:rsid w:val="00E01857"/>
    <w:rsid w:val="00E519B9"/>
    <w:rsid w:val="00E826CF"/>
    <w:rsid w:val="00E956A5"/>
    <w:rsid w:val="00EB0710"/>
    <w:rsid w:val="00EE42CB"/>
    <w:rsid w:val="00FC3DD1"/>
    <w:rsid w:val="00FF39A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6DA13"/>
  <w15:chartTrackingRefBased/>
  <w15:docId w15:val="{BD83E508-3A92-48A3-9565-E23531BBC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43030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4303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43030C"/>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43030C"/>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iPriority w:val="9"/>
    <w:semiHidden/>
    <w:unhideWhenUsed/>
    <w:qFormat/>
    <w:rsid w:val="0043030C"/>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iPriority w:val="9"/>
    <w:semiHidden/>
    <w:unhideWhenUsed/>
    <w:qFormat/>
    <w:rsid w:val="0043030C"/>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43030C"/>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43030C"/>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43030C"/>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43030C"/>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uiPriority w:val="9"/>
    <w:semiHidden/>
    <w:rsid w:val="0043030C"/>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semiHidden/>
    <w:rsid w:val="0043030C"/>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43030C"/>
    <w:rPr>
      <w:rFonts w:eastAsiaTheme="majorEastAsia" w:cstheme="majorBidi"/>
      <w:i/>
      <w:iCs/>
      <w:color w:val="2F5496" w:themeColor="accent1" w:themeShade="BF"/>
    </w:rPr>
  </w:style>
  <w:style w:type="character" w:customStyle="1" w:styleId="Cmsor5Char">
    <w:name w:val="Címsor 5 Char"/>
    <w:basedOn w:val="Bekezdsalapbettpusa"/>
    <w:link w:val="Cmsor5"/>
    <w:uiPriority w:val="9"/>
    <w:semiHidden/>
    <w:rsid w:val="0043030C"/>
    <w:rPr>
      <w:rFonts w:eastAsiaTheme="majorEastAsia" w:cstheme="majorBidi"/>
      <w:color w:val="2F5496" w:themeColor="accent1" w:themeShade="BF"/>
    </w:rPr>
  </w:style>
  <w:style w:type="character" w:customStyle="1" w:styleId="Cmsor6Char">
    <w:name w:val="Címsor 6 Char"/>
    <w:basedOn w:val="Bekezdsalapbettpusa"/>
    <w:link w:val="Cmsor6"/>
    <w:uiPriority w:val="9"/>
    <w:semiHidden/>
    <w:rsid w:val="0043030C"/>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43030C"/>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43030C"/>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43030C"/>
    <w:rPr>
      <w:rFonts w:eastAsiaTheme="majorEastAsia" w:cstheme="majorBidi"/>
      <w:color w:val="272727" w:themeColor="text1" w:themeTint="D8"/>
    </w:rPr>
  </w:style>
  <w:style w:type="paragraph" w:styleId="Cm">
    <w:name w:val="Title"/>
    <w:basedOn w:val="Norml"/>
    <w:next w:val="Norml"/>
    <w:link w:val="CmChar"/>
    <w:uiPriority w:val="10"/>
    <w:qFormat/>
    <w:rsid w:val="004303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43030C"/>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43030C"/>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43030C"/>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43030C"/>
    <w:pPr>
      <w:spacing w:before="160"/>
      <w:jc w:val="center"/>
    </w:pPr>
    <w:rPr>
      <w:i/>
      <w:iCs/>
      <w:color w:val="404040" w:themeColor="text1" w:themeTint="BF"/>
    </w:rPr>
  </w:style>
  <w:style w:type="character" w:customStyle="1" w:styleId="IdzetChar">
    <w:name w:val="Idézet Char"/>
    <w:basedOn w:val="Bekezdsalapbettpusa"/>
    <w:link w:val="Idzet"/>
    <w:uiPriority w:val="29"/>
    <w:rsid w:val="0043030C"/>
    <w:rPr>
      <w:i/>
      <w:iCs/>
      <w:color w:val="404040" w:themeColor="text1" w:themeTint="BF"/>
    </w:rPr>
  </w:style>
  <w:style w:type="paragraph" w:styleId="Listaszerbekezds">
    <w:name w:val="List Paragraph"/>
    <w:basedOn w:val="Norml"/>
    <w:uiPriority w:val="34"/>
    <w:qFormat/>
    <w:rsid w:val="0043030C"/>
    <w:pPr>
      <w:ind w:left="720"/>
      <w:contextualSpacing/>
    </w:pPr>
  </w:style>
  <w:style w:type="character" w:styleId="Erskiemels">
    <w:name w:val="Intense Emphasis"/>
    <w:basedOn w:val="Bekezdsalapbettpusa"/>
    <w:uiPriority w:val="21"/>
    <w:qFormat/>
    <w:rsid w:val="0043030C"/>
    <w:rPr>
      <w:i/>
      <w:iCs/>
      <w:color w:val="2F5496" w:themeColor="accent1" w:themeShade="BF"/>
    </w:rPr>
  </w:style>
  <w:style w:type="paragraph" w:styleId="Kiemeltidzet">
    <w:name w:val="Intense Quote"/>
    <w:basedOn w:val="Norml"/>
    <w:next w:val="Norml"/>
    <w:link w:val="KiemeltidzetChar"/>
    <w:uiPriority w:val="30"/>
    <w:qFormat/>
    <w:rsid w:val="004303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43030C"/>
    <w:rPr>
      <w:i/>
      <w:iCs/>
      <w:color w:val="2F5496" w:themeColor="accent1" w:themeShade="BF"/>
    </w:rPr>
  </w:style>
  <w:style w:type="character" w:styleId="Ershivatkozs">
    <w:name w:val="Intense Reference"/>
    <w:basedOn w:val="Bekezdsalapbettpusa"/>
    <w:uiPriority w:val="32"/>
    <w:qFormat/>
    <w:rsid w:val="0043030C"/>
    <w:rPr>
      <w:b/>
      <w:bCs/>
      <w:smallCaps/>
      <w:color w:val="2F5496" w:themeColor="accent1" w:themeShade="BF"/>
      <w:spacing w:val="5"/>
    </w:rPr>
  </w:style>
  <w:style w:type="numbering" w:customStyle="1" w:styleId="Nemlista1">
    <w:name w:val="Nem lista1"/>
    <w:next w:val="Nemlista"/>
    <w:uiPriority w:val="99"/>
    <w:semiHidden/>
    <w:unhideWhenUsed/>
    <w:rsid w:val="0043030C"/>
  </w:style>
  <w:style w:type="paragraph" w:customStyle="1" w:styleId="Default">
    <w:name w:val="Default"/>
    <w:rsid w:val="0043030C"/>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table" w:styleId="Rcsostblzat">
    <w:name w:val="Table Grid"/>
    <w:basedOn w:val="Normltblzat"/>
    <w:uiPriority w:val="39"/>
    <w:rsid w:val="0043030C"/>
    <w:pPr>
      <w:spacing w:after="0" w:line="240" w:lineRule="auto"/>
    </w:pPr>
    <w:rPr>
      <w:rFonts w:ascii="Calibri" w:eastAsia="Calibri" w:hAnsi="Calibri" w:cs="Times New Roman"/>
      <w:kern w:val="0"/>
      <w:sz w:val="20"/>
      <w:szCs w:val="20"/>
      <w:lang w:eastAsia="hu-H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fzaehlung">
    <w:name w:val="Aufzaehlung"/>
    <w:basedOn w:val="Norml"/>
    <w:rsid w:val="0043030C"/>
    <w:pPr>
      <w:widowControl w:val="0"/>
      <w:numPr>
        <w:numId w:val="5"/>
      </w:numPr>
      <w:spacing w:before="120" w:after="120" w:line="240" w:lineRule="auto"/>
    </w:pPr>
    <w:rPr>
      <w:rFonts w:ascii="Calibri" w:eastAsia="Calibri" w:hAnsi="Calibri" w:cs="Times New Roman"/>
      <w:kern w:val="0"/>
      <w:lang w:val="en-US"/>
      <w14:ligatures w14:val="none"/>
    </w:rPr>
  </w:style>
  <w:style w:type="character" w:styleId="Jegyzethivatkozs">
    <w:name w:val="annotation reference"/>
    <w:uiPriority w:val="99"/>
    <w:semiHidden/>
    <w:unhideWhenUsed/>
    <w:rsid w:val="0043030C"/>
    <w:rPr>
      <w:sz w:val="16"/>
      <w:szCs w:val="16"/>
    </w:rPr>
  </w:style>
  <w:style w:type="paragraph" w:styleId="Jegyzetszveg">
    <w:name w:val="annotation text"/>
    <w:basedOn w:val="Norml"/>
    <w:link w:val="JegyzetszvegChar"/>
    <w:uiPriority w:val="99"/>
    <w:unhideWhenUsed/>
    <w:rsid w:val="0043030C"/>
    <w:pPr>
      <w:spacing w:line="240" w:lineRule="auto"/>
    </w:pPr>
    <w:rPr>
      <w:rFonts w:ascii="Calibri" w:eastAsia="Calibri" w:hAnsi="Calibri" w:cs="Times New Roman"/>
      <w:kern w:val="0"/>
      <w:sz w:val="20"/>
      <w:szCs w:val="20"/>
      <w14:ligatures w14:val="none"/>
    </w:rPr>
  </w:style>
  <w:style w:type="character" w:customStyle="1" w:styleId="JegyzetszvegChar">
    <w:name w:val="Jegyzetszöveg Char"/>
    <w:basedOn w:val="Bekezdsalapbettpusa"/>
    <w:link w:val="Jegyzetszveg"/>
    <w:uiPriority w:val="99"/>
    <w:rsid w:val="0043030C"/>
    <w:rPr>
      <w:rFonts w:ascii="Calibri" w:eastAsia="Calibri" w:hAnsi="Calibri" w:cs="Times New Roman"/>
      <w:kern w:val="0"/>
      <w:sz w:val="20"/>
      <w:szCs w:val="20"/>
      <w14:ligatures w14:val="none"/>
    </w:rPr>
  </w:style>
  <w:style w:type="paragraph" w:styleId="Megjegyzstrgya">
    <w:name w:val="annotation subject"/>
    <w:basedOn w:val="Jegyzetszveg"/>
    <w:next w:val="Jegyzetszveg"/>
    <w:link w:val="MegjegyzstrgyaChar"/>
    <w:uiPriority w:val="99"/>
    <w:semiHidden/>
    <w:unhideWhenUsed/>
    <w:rsid w:val="0043030C"/>
    <w:rPr>
      <w:b/>
      <w:bCs/>
    </w:rPr>
  </w:style>
  <w:style w:type="character" w:customStyle="1" w:styleId="MegjegyzstrgyaChar">
    <w:name w:val="Megjegyzés tárgya Char"/>
    <w:basedOn w:val="JegyzetszvegChar"/>
    <w:link w:val="Megjegyzstrgya"/>
    <w:uiPriority w:val="99"/>
    <w:semiHidden/>
    <w:rsid w:val="0043030C"/>
    <w:rPr>
      <w:rFonts w:ascii="Calibri" w:eastAsia="Calibri" w:hAnsi="Calibri" w:cs="Times New Roman"/>
      <w:b/>
      <w:bCs/>
      <w:kern w:val="0"/>
      <w:sz w:val="20"/>
      <w:szCs w:val="20"/>
      <w14:ligatures w14:val="none"/>
    </w:rPr>
  </w:style>
  <w:style w:type="paragraph" w:styleId="Buborkszveg">
    <w:name w:val="Balloon Text"/>
    <w:basedOn w:val="Norml"/>
    <w:link w:val="BuborkszvegChar"/>
    <w:uiPriority w:val="99"/>
    <w:semiHidden/>
    <w:unhideWhenUsed/>
    <w:rsid w:val="0043030C"/>
    <w:pPr>
      <w:spacing w:after="0" w:line="240" w:lineRule="auto"/>
    </w:pPr>
    <w:rPr>
      <w:rFonts w:ascii="Segoe UI" w:eastAsia="Calibri" w:hAnsi="Segoe UI" w:cs="Segoe UI"/>
      <w:kern w:val="0"/>
      <w:sz w:val="18"/>
      <w:szCs w:val="18"/>
      <w14:ligatures w14:val="none"/>
    </w:rPr>
  </w:style>
  <w:style w:type="character" w:customStyle="1" w:styleId="BuborkszvegChar">
    <w:name w:val="Buborékszöveg Char"/>
    <w:basedOn w:val="Bekezdsalapbettpusa"/>
    <w:link w:val="Buborkszveg"/>
    <w:uiPriority w:val="99"/>
    <w:semiHidden/>
    <w:rsid w:val="0043030C"/>
    <w:rPr>
      <w:rFonts w:ascii="Segoe UI" w:eastAsia="Calibri" w:hAnsi="Segoe UI" w:cs="Segoe UI"/>
      <w:kern w:val="0"/>
      <w:sz w:val="18"/>
      <w:szCs w:val="18"/>
      <w14:ligatures w14:val="none"/>
    </w:rPr>
  </w:style>
  <w:style w:type="paragraph" w:styleId="lfej">
    <w:name w:val="header"/>
    <w:basedOn w:val="Norml"/>
    <w:link w:val="lfejChar"/>
    <w:uiPriority w:val="99"/>
    <w:unhideWhenUsed/>
    <w:rsid w:val="0043030C"/>
    <w:pPr>
      <w:tabs>
        <w:tab w:val="center" w:pos="4536"/>
        <w:tab w:val="right" w:pos="9072"/>
      </w:tabs>
      <w:spacing w:after="0" w:line="240" w:lineRule="auto"/>
    </w:pPr>
    <w:rPr>
      <w:rFonts w:ascii="Calibri" w:eastAsia="Calibri" w:hAnsi="Calibri" w:cs="Times New Roman"/>
      <w:kern w:val="0"/>
      <w14:ligatures w14:val="none"/>
    </w:rPr>
  </w:style>
  <w:style w:type="character" w:customStyle="1" w:styleId="lfejChar">
    <w:name w:val="Élőfej Char"/>
    <w:basedOn w:val="Bekezdsalapbettpusa"/>
    <w:link w:val="lfej"/>
    <w:uiPriority w:val="99"/>
    <w:rsid w:val="0043030C"/>
    <w:rPr>
      <w:rFonts w:ascii="Calibri" w:eastAsia="Calibri" w:hAnsi="Calibri" w:cs="Times New Roman"/>
      <w:kern w:val="0"/>
      <w14:ligatures w14:val="none"/>
    </w:rPr>
  </w:style>
  <w:style w:type="paragraph" w:styleId="llb">
    <w:name w:val="footer"/>
    <w:basedOn w:val="Norml"/>
    <w:link w:val="llbChar"/>
    <w:uiPriority w:val="99"/>
    <w:unhideWhenUsed/>
    <w:rsid w:val="0043030C"/>
    <w:pPr>
      <w:tabs>
        <w:tab w:val="center" w:pos="4536"/>
        <w:tab w:val="right" w:pos="9072"/>
      </w:tabs>
      <w:spacing w:after="0" w:line="240" w:lineRule="auto"/>
    </w:pPr>
    <w:rPr>
      <w:rFonts w:ascii="Calibri" w:eastAsia="Calibri" w:hAnsi="Calibri" w:cs="Times New Roman"/>
      <w:kern w:val="0"/>
      <w14:ligatures w14:val="none"/>
    </w:rPr>
  </w:style>
  <w:style w:type="character" w:customStyle="1" w:styleId="llbChar">
    <w:name w:val="Élőláb Char"/>
    <w:basedOn w:val="Bekezdsalapbettpusa"/>
    <w:link w:val="llb"/>
    <w:uiPriority w:val="99"/>
    <w:rsid w:val="0043030C"/>
    <w:rPr>
      <w:rFonts w:ascii="Calibri" w:eastAsia="Calibri" w:hAnsi="Calibri" w:cs="Times New Roman"/>
      <w:kern w:val="0"/>
      <w14:ligatures w14:val="none"/>
    </w:rPr>
  </w:style>
  <w:style w:type="paragraph" w:customStyle="1" w:styleId="Betreff">
    <w:name w:val="Betreff"/>
    <w:basedOn w:val="Norml"/>
    <w:next w:val="Norml"/>
    <w:rsid w:val="0043030C"/>
    <w:pPr>
      <w:widowControl w:val="0"/>
      <w:tabs>
        <w:tab w:val="left" w:pos="6276"/>
      </w:tabs>
      <w:spacing w:after="284" w:line="240" w:lineRule="auto"/>
    </w:pPr>
    <w:rPr>
      <w:rFonts w:ascii="Calibri" w:eastAsia="Calibri" w:hAnsi="Calibri" w:cs="Times New Roman"/>
      <w:b/>
      <w:kern w:val="0"/>
      <w:lang w:val="en-US"/>
      <w14:ligatures w14:val="none"/>
    </w:rPr>
  </w:style>
  <w:style w:type="paragraph" w:styleId="Vltozat">
    <w:name w:val="Revision"/>
    <w:hidden/>
    <w:uiPriority w:val="99"/>
    <w:semiHidden/>
    <w:rsid w:val="0043030C"/>
    <w:pPr>
      <w:spacing w:after="0" w:line="240" w:lineRule="auto"/>
    </w:pPr>
    <w:rPr>
      <w:rFonts w:ascii="Calibri" w:eastAsia="Calibri" w:hAnsi="Calibri" w:cs="Times New Roman"/>
      <w:kern w:val="0"/>
      <w14:ligatures w14:val="none"/>
    </w:rPr>
  </w:style>
  <w:style w:type="character" w:styleId="Hiperhivatkozs">
    <w:name w:val="Hyperlink"/>
    <w:rsid w:val="0043030C"/>
    <w:rPr>
      <w:rFonts w:cs="Times New Roman"/>
      <w:color w:val="0000FF"/>
      <w:u w:val="single"/>
    </w:rPr>
  </w:style>
  <w:style w:type="character" w:styleId="Mrltotthiperhivatkozs">
    <w:name w:val="FollowedHyperlink"/>
    <w:uiPriority w:val="99"/>
    <w:semiHidden/>
    <w:unhideWhenUsed/>
    <w:rsid w:val="0043030C"/>
    <w:rPr>
      <w:color w:val="954F72"/>
      <w:u w:val="single"/>
    </w:rPr>
  </w:style>
  <w:style w:type="paragraph" w:customStyle="1" w:styleId="EMEAEnBodyText">
    <w:name w:val="EMEA En Body Text"/>
    <w:basedOn w:val="Norml"/>
    <w:rsid w:val="0043030C"/>
    <w:pPr>
      <w:spacing w:before="120" w:after="120" w:line="240" w:lineRule="auto"/>
      <w:jc w:val="both"/>
    </w:pPr>
    <w:rPr>
      <w:rFonts w:ascii="Times New Roman" w:eastAsia="Times New Roman" w:hAnsi="Times New Roman" w:cs="Times New Roman"/>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1333</TotalTime>
  <Pages>20</Pages>
  <Words>7533</Words>
  <Characters>51985</Characters>
  <Application>Microsoft Office Word</Application>
  <DocSecurity>0</DocSecurity>
  <Lines>433</Lines>
  <Paragraphs>118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RKV-VV</dc:creator>
  <cp:keywords/>
  <dc:description/>
  <cp:lastModifiedBy>OGYI_62.1</cp:lastModifiedBy>
  <cp:revision>59</cp:revision>
  <dcterms:created xsi:type="dcterms:W3CDTF">2025-08-08T08:15:00Z</dcterms:created>
  <dcterms:modified xsi:type="dcterms:W3CDTF">2026-10-19T12:15:00Z</dcterms:modified>
</cp:coreProperties>
</file>