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0A954" w14:textId="01646D52" w:rsidR="00A53012" w:rsidRPr="00F84E1B" w:rsidRDefault="00A53012" w:rsidP="00F84E1B">
      <w:pPr>
        <w:autoSpaceDE w:val="0"/>
        <w:autoSpaceDN w:val="0"/>
        <w:spacing w:after="0" w:line="240" w:lineRule="auto"/>
        <w:rPr>
          <w:rFonts w:ascii="Times New Roman" w:eastAsia="Times New Roman" w:hAnsi="Times New Roman" w:cs="Times New Roman"/>
          <w:b/>
          <w:noProof/>
          <w:kern w:val="0"/>
          <w:lang w:val="hu-HU"/>
          <w14:ligatures w14:val="none"/>
        </w:rPr>
      </w:pPr>
      <w:r w:rsidRPr="00A53012">
        <w:rPr>
          <w:rFonts w:ascii="Times New Roman" w:eastAsia="Times New Roman" w:hAnsi="Times New Roman" w:cs="Times New Roman"/>
          <w:b/>
          <w:bCs/>
          <w:noProof/>
          <w:kern w:val="0"/>
          <w:lang w:val="hu-HU"/>
          <w14:ligatures w14:val="none"/>
        </w:rPr>
        <w:t>1.</w:t>
      </w:r>
      <w:r w:rsidRPr="00A53012">
        <w:rPr>
          <w:rFonts w:ascii="Times New Roman" w:eastAsia="Times New Roman" w:hAnsi="Times New Roman" w:cs="Times New Roman"/>
          <w:b/>
          <w:bCs/>
          <w:noProof/>
          <w:kern w:val="0"/>
          <w:lang w:val="hu-HU"/>
          <w14:ligatures w14:val="none"/>
        </w:rPr>
        <w:tab/>
        <w:t>A GYÓGYSZER NEVE</w:t>
      </w:r>
    </w:p>
    <w:p w14:paraId="053CE03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B72A2F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5 mg filmtabletta</w:t>
      </w:r>
    </w:p>
    <w:p w14:paraId="47E33A7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10 mg filmtabletta</w:t>
      </w:r>
    </w:p>
    <w:p w14:paraId="7346EBC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15 mg filmtabletta</w:t>
      </w:r>
    </w:p>
    <w:p w14:paraId="02D0178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VORTIOXETINE VIATRIS PHARMA 20 mg filmtabletta</w:t>
      </w:r>
    </w:p>
    <w:p w14:paraId="042233B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F25A48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225CBB7"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2.</w:t>
      </w:r>
      <w:r w:rsidRPr="00A53012">
        <w:rPr>
          <w:rFonts w:ascii="Times New Roman" w:eastAsia="Times New Roman" w:hAnsi="Times New Roman" w:cs="Times New Roman"/>
          <w:b/>
          <w:bCs/>
          <w:noProof/>
          <w:kern w:val="0"/>
          <w:lang w:val="hu-HU"/>
          <w14:ligatures w14:val="none"/>
        </w:rPr>
        <w:tab/>
        <w:t>MINŐSÉGI ÉS MENNYISÉGI ÖSSZETÉTEL</w:t>
      </w:r>
    </w:p>
    <w:p w14:paraId="0F04FFA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4DD0E63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5 mg filmtabletta</w:t>
      </w:r>
    </w:p>
    <w:p w14:paraId="621B99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7DF89F2" w14:textId="5EC1CA18" w:rsidR="00A53012" w:rsidRPr="00A53012" w:rsidRDefault="00A53012" w:rsidP="00A53012">
      <w:pPr>
        <w:tabs>
          <w:tab w:val="left" w:pos="402"/>
        </w:tab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5 mg vortioxetin</w:t>
      </w:r>
      <w:r w:rsidR="00540539">
        <w:rPr>
          <w:rFonts w:ascii="Times New Roman" w:eastAsia="Times New Roman" w:hAnsi="Times New Roman" w:cs="Times New Roman"/>
          <w:noProof/>
          <w:kern w:val="0"/>
          <w:lang w:val="hu-HU"/>
          <w14:ligatures w14:val="none"/>
        </w:rPr>
        <w:t>t</w:t>
      </w:r>
      <w:r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Pr="00A53012">
        <w:rPr>
          <w:rFonts w:ascii="Times New Roman" w:eastAsia="Times New Roman" w:hAnsi="Times New Roman" w:cs="Times New Roman"/>
          <w:noProof/>
          <w:kern w:val="0"/>
          <w:lang w:val="hu-HU"/>
          <w14:ligatures w14:val="none"/>
        </w:rPr>
        <w:t xml:space="preserve"> filmtablettánként.</w:t>
      </w:r>
    </w:p>
    <w:p w14:paraId="35BBF82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72CF2C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10 mg filmtabletta</w:t>
      </w:r>
    </w:p>
    <w:p w14:paraId="626B602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4C540B5C" w14:textId="0156AA7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10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4F44B0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93F5CE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15 mg filmtabletta</w:t>
      </w:r>
    </w:p>
    <w:p w14:paraId="2EDCA94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6256863E" w14:textId="6645DCF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15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2C68F1F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11814E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20 mg filmtabletta</w:t>
      </w:r>
    </w:p>
    <w:p w14:paraId="23E5EEC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2DCE7D57" w14:textId="66B2BEF3" w:rsid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20 mg </w:t>
      </w:r>
      <w:r w:rsidR="00540539" w:rsidRPr="00A53012">
        <w:rPr>
          <w:rFonts w:ascii="Times New Roman" w:eastAsia="Times New Roman" w:hAnsi="Times New Roman" w:cs="Times New Roman"/>
          <w:noProof/>
          <w:kern w:val="0"/>
          <w:lang w:val="hu-HU"/>
          <w14:ligatures w14:val="none"/>
        </w:rPr>
        <w:t>vortioxetin</w:t>
      </w:r>
      <w:r w:rsidR="00540539">
        <w:rPr>
          <w:rFonts w:ascii="Times New Roman" w:eastAsia="Times New Roman" w:hAnsi="Times New Roman" w:cs="Times New Roman"/>
          <w:noProof/>
          <w:kern w:val="0"/>
          <w:lang w:val="hu-HU"/>
          <w14:ligatures w14:val="none"/>
        </w:rPr>
        <w:t>t</w:t>
      </w:r>
      <w:r w:rsidR="00540539" w:rsidRPr="00A53012">
        <w:rPr>
          <w:rFonts w:ascii="Times New Roman" w:eastAsia="Times New Roman" w:hAnsi="Times New Roman" w:cs="Times New Roman"/>
          <w:noProof/>
          <w:kern w:val="0"/>
          <w:lang w:val="hu-HU"/>
          <w14:ligatures w14:val="none"/>
        </w:rPr>
        <w:t xml:space="preserve"> </w:t>
      </w:r>
      <w:r w:rsidR="00540539">
        <w:rPr>
          <w:rFonts w:ascii="Times New Roman" w:eastAsia="Times New Roman" w:hAnsi="Times New Roman" w:cs="Times New Roman"/>
          <w:noProof/>
          <w:kern w:val="0"/>
          <w:lang w:val="hu-HU"/>
          <w14:ligatures w14:val="none"/>
        </w:rPr>
        <w:t>tartalmaz (</w:t>
      </w:r>
      <w:r w:rsidR="00540539" w:rsidRPr="00A53012">
        <w:rPr>
          <w:rFonts w:ascii="Times New Roman" w:eastAsia="Times New Roman" w:hAnsi="Times New Roman" w:cs="Times New Roman"/>
          <w:noProof/>
          <w:kern w:val="0"/>
          <w:lang w:val="hu-HU"/>
          <w14:ligatures w14:val="none"/>
        </w:rPr>
        <w:t>vortioxetin-hidrobromid</w:t>
      </w:r>
      <w:r w:rsidR="00540539">
        <w:rPr>
          <w:rFonts w:ascii="Times New Roman" w:eastAsia="Times New Roman" w:hAnsi="Times New Roman" w:cs="Times New Roman"/>
          <w:noProof/>
          <w:kern w:val="0"/>
          <w:lang w:val="hu-HU"/>
          <w14:ligatures w14:val="none"/>
        </w:rPr>
        <w:t xml:space="preserve"> formájában)</w:t>
      </w:r>
      <w:r w:rsidR="00540539" w:rsidRPr="00A53012">
        <w:rPr>
          <w:rFonts w:ascii="Times New Roman" w:eastAsia="Times New Roman" w:hAnsi="Times New Roman" w:cs="Times New Roman"/>
          <w:noProof/>
          <w:kern w:val="0"/>
          <w:lang w:val="hu-HU"/>
          <w14:ligatures w14:val="none"/>
        </w:rPr>
        <w:t xml:space="preserve"> filmtablettánként.</w:t>
      </w:r>
    </w:p>
    <w:p w14:paraId="2C71B019" w14:textId="77777777" w:rsidR="00540539" w:rsidRPr="00A53012" w:rsidRDefault="00540539"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B4B9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segédanyagok teljes listáját lásd a 6.1 pontban.</w:t>
      </w:r>
    </w:p>
    <w:p w14:paraId="7780E48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6CB2F9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ED57BF"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3.</w:t>
      </w:r>
      <w:r w:rsidRPr="00A53012">
        <w:rPr>
          <w:rFonts w:ascii="Times New Roman" w:eastAsia="Times New Roman" w:hAnsi="Times New Roman" w:cs="Times New Roman"/>
          <w:b/>
          <w:bCs/>
          <w:noProof/>
          <w:kern w:val="0"/>
          <w:lang w:val="hu-HU"/>
          <w14:ligatures w14:val="none"/>
        </w:rPr>
        <w:tab/>
        <w:t>GYÓGYSZERFORMA</w:t>
      </w:r>
    </w:p>
    <w:p w14:paraId="3B4C147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70B9665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Filmtabletta (tabletta).</w:t>
      </w:r>
    </w:p>
    <w:p w14:paraId="13987E1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C29E15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5 mg filmtabletta</w:t>
      </w:r>
    </w:p>
    <w:p w14:paraId="4DB6AE2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74440F6B" w14:textId="5C0DB42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Rózsaszín, ovális, </w:t>
      </w:r>
      <w:r w:rsidR="00BC7E56" w:rsidRPr="00A53012">
        <w:rPr>
          <w:rFonts w:ascii="Times New Roman" w:eastAsia="Times New Roman" w:hAnsi="Times New Roman" w:cs="Times New Roman"/>
          <w:noProof/>
          <w:kern w:val="0"/>
          <w:lang w:val="hu-HU"/>
          <w14:ligatures w14:val="none"/>
        </w:rPr>
        <w:t>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00BC7E5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„5”</w:t>
      </w:r>
      <w:r w:rsidR="00BC7E56">
        <w:rPr>
          <w:rFonts w:ascii="Times New Roman" w:eastAsia="Times New Roman" w:hAnsi="Times New Roman" w:cs="Times New Roman"/>
          <w:noProof/>
          <w:kern w:val="0"/>
          <w:lang w:val="hu-HU"/>
          <w14:ligatures w14:val="none"/>
        </w:rPr>
        <w:t xml:space="preserve"> jelzéssel ellátva</w:t>
      </w:r>
      <w:r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Pr="00A53012">
        <w:rPr>
          <w:rFonts w:ascii="Times New Roman" w:eastAsia="Times New Roman" w:hAnsi="Times New Roman" w:cs="Times New Roman"/>
          <w:noProof/>
          <w:kern w:val="0"/>
          <w:lang w:val="hu-HU"/>
          <w14:ligatures w14:val="none"/>
        </w:rPr>
        <w:t xml:space="preserve"> sima.</w:t>
      </w:r>
    </w:p>
    <w:p w14:paraId="7210625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799AC2E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10 mg filmtabletta</w:t>
      </w:r>
    </w:p>
    <w:p w14:paraId="41351E5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2DDAEA5F" w14:textId="7C92B92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Sárga, ovális</w:t>
      </w:r>
      <w:r w:rsidR="00BC7E56" w:rsidRPr="00A53012">
        <w:rPr>
          <w:rFonts w:ascii="Times New Roman" w:eastAsia="Times New Roman" w:hAnsi="Times New Roman" w:cs="Times New Roman"/>
          <w:noProof/>
          <w:kern w:val="0"/>
          <w:lang w:val="hu-HU"/>
          <w14:ligatures w14:val="none"/>
        </w:rPr>
        <w:t>, 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00BC7E56"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Pr="00A53012">
        <w:rPr>
          <w:rFonts w:ascii="Times New Roman" w:eastAsia="Times New Roman" w:hAnsi="Times New Roman" w:cs="Times New Roman"/>
          <w:noProof/>
          <w:kern w:val="0"/>
          <w:lang w:val="hu-HU"/>
          <w14:ligatures w14:val="none"/>
        </w:rPr>
        <w:t xml:space="preserve"> „10” </w:t>
      </w:r>
      <w:r w:rsidR="00BC7E56">
        <w:rPr>
          <w:rFonts w:ascii="Times New Roman" w:eastAsia="Times New Roman" w:hAnsi="Times New Roman" w:cs="Times New Roman"/>
          <w:noProof/>
          <w:kern w:val="0"/>
          <w:lang w:val="hu-HU"/>
          <w14:ligatures w14:val="none"/>
        </w:rPr>
        <w:t>jelzéssel ellátva</w:t>
      </w:r>
      <w:r w:rsidR="00BC7E56"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00BC7E56" w:rsidRPr="00A53012">
        <w:rPr>
          <w:rFonts w:ascii="Times New Roman" w:eastAsia="Times New Roman" w:hAnsi="Times New Roman" w:cs="Times New Roman"/>
          <w:noProof/>
          <w:kern w:val="0"/>
          <w:lang w:val="hu-HU"/>
          <w14:ligatures w14:val="none"/>
        </w:rPr>
        <w:t xml:space="preserve"> sima</w:t>
      </w:r>
      <w:r w:rsidRPr="00A53012">
        <w:rPr>
          <w:rFonts w:ascii="Times New Roman" w:eastAsia="Times New Roman" w:hAnsi="Times New Roman" w:cs="Times New Roman"/>
          <w:noProof/>
          <w:kern w:val="0"/>
          <w:lang w:val="hu-HU"/>
          <w14:ligatures w14:val="none"/>
        </w:rPr>
        <w:t>.</w:t>
      </w:r>
    </w:p>
    <w:p w14:paraId="425DF96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2A35DBC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15 mg filmtabletta</w:t>
      </w:r>
    </w:p>
    <w:p w14:paraId="6F3D48B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1D1AA19E" w14:textId="23D6146A" w:rsidR="00A53012" w:rsidRPr="00A53012" w:rsidRDefault="00BC7E56"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Pr="00BC7E56">
        <w:rPr>
          <w:rFonts w:ascii="Times New Roman" w:eastAsia="Times New Roman" w:hAnsi="Times New Roman" w:cs="Times New Roman"/>
          <w:noProof/>
          <w:kern w:val="0"/>
          <w:lang w:val="hu-HU"/>
          <w14:ligatures w14:val="none"/>
        </w:rPr>
        <w:t>arancssárga, kerek, 6 mm átmérőjű filmtabletta</w:t>
      </w:r>
      <w:r>
        <w:rPr>
          <w:rFonts w:ascii="Times New Roman" w:eastAsia="Times New Roman" w:hAnsi="Times New Roman" w:cs="Times New Roman"/>
          <w:noProof/>
          <w:kern w:val="0"/>
          <w:lang w:val="hu-HU"/>
          <w14:ligatures w14:val="none"/>
        </w:rPr>
        <w:t>,</w:t>
      </w:r>
      <w:r w:rsidRPr="00BC7E56">
        <w:rPr>
          <w:rFonts w:ascii="Times New Roman" w:eastAsia="Times New Roman" w:hAnsi="Times New Roman" w:cs="Times New Roman"/>
          <w:noProof/>
          <w:kern w:val="0"/>
          <w:lang w:val="hu-HU"/>
          <w14:ligatures w14:val="none"/>
        </w:rPr>
        <w:t xml:space="preserve"> egyik oldalán mélynyomású „15” jelzéssel ellátva, másik oldalán sima</w:t>
      </w:r>
      <w:r w:rsidR="00A53012" w:rsidRPr="00A53012">
        <w:rPr>
          <w:rFonts w:ascii="Times New Roman" w:eastAsia="Times New Roman" w:hAnsi="Times New Roman" w:cs="Times New Roman"/>
          <w:noProof/>
          <w:kern w:val="0"/>
          <w:lang w:val="hu-HU"/>
          <w14:ligatures w14:val="none"/>
        </w:rPr>
        <w:t>.</w:t>
      </w:r>
    </w:p>
    <w:p w14:paraId="21B6F2D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28F87D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ru-RU"/>
          <w14:ligatures w14:val="none"/>
        </w:rPr>
      </w:pPr>
      <w:r w:rsidRPr="00A53012">
        <w:rPr>
          <w:rFonts w:ascii="Times New Roman" w:eastAsia="Times New Roman" w:hAnsi="Times New Roman" w:cs="Times New Roman"/>
          <w:noProof/>
          <w:kern w:val="0"/>
          <w:u w:val="single"/>
          <w:lang w:val="hu-HU"/>
          <w14:ligatures w14:val="none"/>
        </w:rPr>
        <w:t>VORTIOXETINE VIATRIS PHARMA 20 mg filmtabletta</w:t>
      </w:r>
    </w:p>
    <w:p w14:paraId="575AF32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p>
    <w:p w14:paraId="572E49C0" w14:textId="5382F10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Piros, ovális </w:t>
      </w:r>
      <w:r w:rsidR="00BC7E56" w:rsidRPr="00A53012">
        <w:rPr>
          <w:rFonts w:ascii="Times New Roman" w:eastAsia="Times New Roman" w:hAnsi="Times New Roman" w:cs="Times New Roman"/>
          <w:noProof/>
          <w:kern w:val="0"/>
          <w:lang w:val="hu-HU"/>
          <w14:ligatures w14:val="none"/>
        </w:rPr>
        <w:t>9 </w:t>
      </w:r>
      <w:r w:rsidR="00BC7E56">
        <w:rPr>
          <w:rFonts w:ascii="Times New Roman" w:eastAsia="Times New Roman" w:hAnsi="Times New Roman" w:cs="Times New Roman"/>
          <w:noProof/>
          <w:kern w:val="0"/>
          <w:lang w:val="hu-HU"/>
          <w14:ligatures w14:val="none"/>
        </w:rPr>
        <w:t xml:space="preserve">mm </w:t>
      </w:r>
      <w:r w:rsidR="00BC7E56" w:rsidRPr="00A53012">
        <w:rPr>
          <w:rFonts w:ascii="Times New Roman" w:eastAsia="Times New Roman" w:hAnsi="Times New Roman" w:cs="Times New Roman"/>
          <w:noProof/>
          <w:kern w:val="0"/>
          <w:lang w:val="hu-HU"/>
          <w14:ligatures w14:val="none"/>
        </w:rPr>
        <w:t xml:space="preserve">× 6 mm </w:t>
      </w:r>
      <w:r w:rsidR="00BC7E56">
        <w:rPr>
          <w:rFonts w:ascii="Times New Roman" w:eastAsia="Times New Roman" w:hAnsi="Times New Roman" w:cs="Times New Roman"/>
          <w:noProof/>
          <w:kern w:val="0"/>
          <w:lang w:val="hu-HU"/>
          <w14:ligatures w14:val="none"/>
        </w:rPr>
        <w:t xml:space="preserve">méretű filmtabletta, </w:t>
      </w:r>
      <w:r w:rsidR="00BC7E56" w:rsidRPr="00A53012">
        <w:rPr>
          <w:rFonts w:ascii="Times New Roman" w:eastAsia="Times New Roman" w:hAnsi="Times New Roman" w:cs="Times New Roman"/>
          <w:noProof/>
          <w:kern w:val="0"/>
          <w:lang w:val="hu-HU"/>
          <w14:ligatures w14:val="none"/>
        </w:rPr>
        <w:t xml:space="preserve">egyik oldalán </w:t>
      </w:r>
      <w:r w:rsidR="00BC7E56">
        <w:rPr>
          <w:rFonts w:ascii="Times New Roman" w:eastAsia="Times New Roman" w:hAnsi="Times New Roman" w:cs="Times New Roman"/>
          <w:noProof/>
          <w:kern w:val="0"/>
          <w:lang w:val="hu-HU"/>
          <w14:ligatures w14:val="none"/>
        </w:rPr>
        <w:t>mélynyomású</w:t>
      </w:r>
      <w:r w:rsidRPr="00A53012">
        <w:rPr>
          <w:rFonts w:ascii="Times New Roman" w:eastAsia="Times New Roman" w:hAnsi="Times New Roman" w:cs="Times New Roman"/>
          <w:noProof/>
          <w:kern w:val="0"/>
          <w:lang w:val="hu-HU"/>
          <w14:ligatures w14:val="none"/>
        </w:rPr>
        <w:t xml:space="preserve"> „20” </w:t>
      </w:r>
      <w:r w:rsidR="00BC7E56">
        <w:rPr>
          <w:rFonts w:ascii="Times New Roman" w:eastAsia="Times New Roman" w:hAnsi="Times New Roman" w:cs="Times New Roman"/>
          <w:noProof/>
          <w:kern w:val="0"/>
          <w:lang w:val="hu-HU"/>
          <w14:ligatures w14:val="none"/>
        </w:rPr>
        <w:t>jelzéssel ellátva</w:t>
      </w:r>
      <w:r w:rsidR="00BC7E56" w:rsidRPr="00A53012">
        <w:rPr>
          <w:rFonts w:ascii="Times New Roman" w:eastAsia="Times New Roman" w:hAnsi="Times New Roman" w:cs="Times New Roman"/>
          <w:noProof/>
          <w:kern w:val="0"/>
          <w:lang w:val="hu-HU"/>
          <w14:ligatures w14:val="none"/>
        </w:rPr>
        <w:t>, másik oldal</w:t>
      </w:r>
      <w:r w:rsidR="00BC7E56">
        <w:rPr>
          <w:rFonts w:ascii="Times New Roman" w:eastAsia="Times New Roman" w:hAnsi="Times New Roman" w:cs="Times New Roman"/>
          <w:noProof/>
          <w:kern w:val="0"/>
          <w:lang w:val="hu-HU"/>
          <w14:ligatures w14:val="none"/>
        </w:rPr>
        <w:t>án</w:t>
      </w:r>
      <w:r w:rsidR="00BC7E56" w:rsidRPr="00A53012">
        <w:rPr>
          <w:rFonts w:ascii="Times New Roman" w:eastAsia="Times New Roman" w:hAnsi="Times New Roman" w:cs="Times New Roman"/>
          <w:noProof/>
          <w:kern w:val="0"/>
          <w:lang w:val="hu-HU"/>
          <w14:ligatures w14:val="none"/>
        </w:rPr>
        <w:t xml:space="preserve"> sima.</w:t>
      </w:r>
    </w:p>
    <w:p w14:paraId="25D038E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023837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D77DACE"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w:t>
      </w:r>
      <w:r w:rsidRPr="00A53012">
        <w:rPr>
          <w:rFonts w:ascii="Times New Roman" w:eastAsia="Times New Roman" w:hAnsi="Times New Roman" w:cs="Times New Roman"/>
          <w:b/>
          <w:bCs/>
          <w:noProof/>
          <w:kern w:val="0"/>
          <w:lang w:val="hu-HU"/>
          <w14:ligatures w14:val="none"/>
        </w:rPr>
        <w:tab/>
        <w:t>KLINIKAI JELLEMZŐK</w:t>
      </w:r>
    </w:p>
    <w:p w14:paraId="6A11D17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489EEBF9"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4.1</w:t>
      </w:r>
      <w:r w:rsidRPr="00A53012">
        <w:rPr>
          <w:rFonts w:ascii="Times New Roman" w:eastAsia="Times New Roman" w:hAnsi="Times New Roman" w:cs="Times New Roman"/>
          <w:b/>
          <w:bCs/>
          <w:noProof/>
          <w:kern w:val="0"/>
          <w:lang w:val="hu-HU"/>
          <w14:ligatures w14:val="none"/>
        </w:rPr>
        <w:tab/>
        <w:t>Terápiás javallatok</w:t>
      </w:r>
    </w:p>
    <w:p w14:paraId="13CF8C7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C4BB4D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felnőttek major depressziós epizódjainak kezelésére javallott.</w:t>
      </w:r>
    </w:p>
    <w:p w14:paraId="1F65D4F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0A7729A"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4.2</w:t>
      </w:r>
      <w:r w:rsidRPr="00A53012">
        <w:rPr>
          <w:rFonts w:ascii="Times New Roman" w:eastAsia="Times New Roman" w:hAnsi="Times New Roman" w:cs="Times New Roman"/>
          <w:b/>
          <w:bCs/>
          <w:noProof/>
          <w:kern w:val="0"/>
          <w:lang w:val="hu-HU"/>
          <w14:ligatures w14:val="none"/>
        </w:rPr>
        <w:tab/>
        <w:t>Adagolás és alkalmazás</w:t>
      </w:r>
    </w:p>
    <w:p w14:paraId="52E44F3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BC0DA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Adagolás</w:t>
      </w:r>
    </w:p>
    <w:p w14:paraId="5088B72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7E7436A" w14:textId="78A1BC7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kezdő és ajánlott adagja 65 évesnél fiatalabb felnőttek esetében napi egyszer 10 mg</w:t>
      </w:r>
      <w:r w:rsidR="002F6296">
        <w:rPr>
          <w:rFonts w:ascii="Times New Roman" w:eastAsia="Times New Roman" w:hAnsi="Times New Roman" w:cs="Times New Roman"/>
          <w:noProof/>
          <w:kern w:val="0"/>
          <w:lang w:val="hu-HU"/>
          <w14:ligatures w14:val="none"/>
        </w:rPr>
        <w:t xml:space="preserve"> vortioxetin</w:t>
      </w:r>
      <w:r w:rsidRPr="00A53012">
        <w:rPr>
          <w:rFonts w:ascii="Times New Roman" w:eastAsia="Times New Roman" w:hAnsi="Times New Roman" w:cs="Times New Roman"/>
          <w:noProof/>
          <w:kern w:val="0"/>
          <w:lang w:val="hu-HU"/>
          <w14:ligatures w14:val="none"/>
        </w:rPr>
        <w:t>.</w:t>
      </w:r>
    </w:p>
    <w:p w14:paraId="6E11F0B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14D0AC1" w14:textId="3731D725"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az adag legfeljebb napi egyszeri 20 mg vortioxetin</w:t>
      </w:r>
      <w:r w:rsidR="002F6296">
        <w:rPr>
          <w:rFonts w:ascii="Times New Roman" w:eastAsia="Times New Roman" w:hAnsi="Times New Roman" w:cs="Times New Roman"/>
          <w:noProof/>
          <w:kern w:val="0"/>
          <w:lang w:val="hu-HU"/>
          <w14:ligatures w14:val="none"/>
        </w:rPr>
        <w:t>re</w:t>
      </w:r>
      <w:r w:rsidRPr="00A53012">
        <w:rPr>
          <w:rFonts w:ascii="Times New Roman" w:eastAsia="Times New Roman" w:hAnsi="Times New Roman" w:cs="Times New Roman"/>
          <w:noProof/>
          <w:kern w:val="0"/>
          <w:lang w:val="hu-HU"/>
          <w14:ligatures w14:val="none"/>
        </w:rPr>
        <w:t xml:space="preserve"> növelhető, vagy minimum napi egyszeri 5 mg vortioxetin</w:t>
      </w:r>
      <w:r w:rsidR="002F6296">
        <w:rPr>
          <w:rFonts w:ascii="Times New Roman" w:eastAsia="Times New Roman" w:hAnsi="Times New Roman" w:cs="Times New Roman"/>
          <w:noProof/>
          <w:kern w:val="0"/>
          <w:lang w:val="hu-HU"/>
          <w14:ligatures w14:val="none"/>
        </w:rPr>
        <w:t>re</w:t>
      </w:r>
      <w:r w:rsidRPr="00A53012">
        <w:rPr>
          <w:rFonts w:ascii="Times New Roman" w:eastAsia="Times New Roman" w:hAnsi="Times New Roman" w:cs="Times New Roman"/>
          <w:noProof/>
          <w:kern w:val="0"/>
          <w:lang w:val="hu-HU"/>
          <w14:ligatures w14:val="none"/>
        </w:rPr>
        <w:t xml:space="preserve"> csökkenthető.</w:t>
      </w:r>
    </w:p>
    <w:p w14:paraId="43A2594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64766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depresszív tünetek megszűnése után az antidepresszív válasz stabilizálásához legalább 6 hónapos kezelés javasolt.</w:t>
      </w:r>
    </w:p>
    <w:p w14:paraId="3C3A3C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13E7BA0" w14:textId="0E178288"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 xml:space="preserve">A kezelés </w:t>
      </w:r>
      <w:r w:rsidR="002F6296">
        <w:rPr>
          <w:rFonts w:ascii="Times New Roman" w:eastAsia="Times New Roman" w:hAnsi="Times New Roman" w:cs="Times New Roman"/>
          <w:noProof/>
          <w:kern w:val="0"/>
          <w:u w:val="single"/>
          <w:lang w:val="hu-HU"/>
          <w14:ligatures w14:val="none"/>
        </w:rPr>
        <w:t>megszakítása</w:t>
      </w:r>
    </w:p>
    <w:p w14:paraId="751974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C9A283B" w14:textId="36F757F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kezelés </w:t>
      </w:r>
      <w:r w:rsidR="002F6296">
        <w:rPr>
          <w:rFonts w:ascii="Times New Roman" w:eastAsia="Times New Roman" w:hAnsi="Times New Roman" w:cs="Times New Roman"/>
          <w:noProof/>
          <w:kern w:val="0"/>
          <w:lang w:val="hu-HU"/>
          <w14:ligatures w14:val="none"/>
        </w:rPr>
        <w:t>megszakításával</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összefüggő tünetek elkerülése érdekében az adag fokozatos csökkentése mérlegelendő (lásd 4.8 pont). Azonban nem áll rendelkezésre elegendő adat ahhoz, hogy a VORTIOXETINE VIATRIS PHARMA kezelésben részesülő betegek esetében specifikus ajánlásokat lehessen tenni az adagolás fokozatos csökkentésére vonatkozóan.</w:t>
      </w:r>
    </w:p>
    <w:p w14:paraId="710650F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A5C5B5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Különleges betegcsoportok</w:t>
      </w:r>
    </w:p>
    <w:p w14:paraId="6427C83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53953C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6350CD8A" w14:textId="7724631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65 éves</w:t>
      </w:r>
      <w:r w:rsidR="002F6296">
        <w:rPr>
          <w:rFonts w:ascii="Times New Roman" w:eastAsia="Times New Roman" w:hAnsi="Times New Roman" w:cs="Times New Roman"/>
          <w:noProof/>
          <w:kern w:val="0"/>
          <w:lang w:val="hu-HU"/>
          <w14:ligatures w14:val="none"/>
        </w:rPr>
        <w:t xml:space="preserve"> vagy annál</w:t>
      </w:r>
      <w:r w:rsidRPr="00A53012">
        <w:rPr>
          <w:rFonts w:ascii="Times New Roman" w:eastAsia="Times New Roman" w:hAnsi="Times New Roman" w:cs="Times New Roman"/>
          <w:noProof/>
          <w:kern w:val="0"/>
          <w:lang w:val="hu-HU"/>
          <w14:ligatures w14:val="none"/>
        </w:rPr>
        <w:t xml:space="preserve"> idősebb betegek esetében kezdő adagként mindig a legalacsonyabb hatékony adagot (napi egyszeri 5 mg vortioxetint) kell alkalmazni. Óvatosság javasolt, ha 65 éves</w:t>
      </w:r>
      <w:r w:rsidR="002F6296">
        <w:rPr>
          <w:rFonts w:ascii="Times New Roman" w:eastAsia="Times New Roman" w:hAnsi="Times New Roman" w:cs="Times New Roman"/>
          <w:noProof/>
          <w:kern w:val="0"/>
          <w:lang w:val="hu-HU"/>
          <w14:ligatures w14:val="none"/>
        </w:rPr>
        <w:t xml:space="preserve"> vagy annál </w:t>
      </w:r>
      <w:r w:rsidRPr="00A53012">
        <w:rPr>
          <w:rFonts w:ascii="Times New Roman" w:eastAsia="Times New Roman" w:hAnsi="Times New Roman" w:cs="Times New Roman"/>
          <w:noProof/>
          <w:kern w:val="0"/>
          <w:lang w:val="hu-HU"/>
          <w14:ligatures w14:val="none"/>
        </w:rPr>
        <w:t>idősebb betegeket vortioxetin napi egyszeri 10 mg-ot meghaladó adagjával kezelnek, mivel az erre vonatkozó adatok korlátozottak (lásd 4.4 pont).</w:t>
      </w:r>
    </w:p>
    <w:p w14:paraId="2DEA20D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F9CB2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inhibitorok</w:t>
      </w:r>
    </w:p>
    <w:p w14:paraId="4EF3F0E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alacsonyabb vortioxetin-adag alkalmazása mérlegelhető, amennyiben a beteg a vortioxetin-kezelés mellett egy erős CYP2D6 inhibitort (pl. bupropion, kinidin, fluoxetin, paroxetin) kap (lásd 4.5 pont).</w:t>
      </w:r>
    </w:p>
    <w:p w14:paraId="7F6DEEA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768D4C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induktorok</w:t>
      </w:r>
    </w:p>
    <w:p w14:paraId="4BB8CAC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 terápiás válaszától függően a vortioxetin adagjának módosítása mérlegelhető, ha a beteg a vortioxetin-kezelés mellett erős P450 induktort (pl. rifampicin, karbamazepin, fenitoin) kap (lásd 4.5 pont).</w:t>
      </w:r>
    </w:p>
    <w:p w14:paraId="0B47723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EF52D2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2ED1F91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Mivel a hatásosságot nem igazolták, ezért a VORTIOXETINE VIATRIS PHARMA nem alkalmazható major depresszióban (MDD) szenvedő (18 éves kor alatti) gyermekek és serdülők esetén (lásd 5.1 pont). A vortioxetin gyermekeknél és serdülőknél való alkalmazásának biztonságosságáról szóló információkat lásd a 4.4, 4.8 és 5.1 pontban.</w:t>
      </w:r>
    </w:p>
    <w:p w14:paraId="484E1C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7A0CF9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Vese- vagy májkárosodás</w:t>
      </w:r>
    </w:p>
    <w:p w14:paraId="6F48222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vese- vagy májfunkciók alapján az adag módosítása nem szükséges (lásd 4.4 és 5.2 pont).</w:t>
      </w:r>
    </w:p>
    <w:p w14:paraId="3D54083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CC07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Az alkalmazás módja</w:t>
      </w:r>
    </w:p>
    <w:p w14:paraId="3D3BA04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80FC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VORTIOXETINE VIATRIS PHARMA szájon át alkalmazandó.</w:t>
      </w:r>
    </w:p>
    <w:p w14:paraId="7651FE92" w14:textId="49FA3E8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filmtablettákat </w:t>
      </w:r>
      <w:r w:rsidR="002F6296">
        <w:rPr>
          <w:rFonts w:ascii="Times New Roman" w:eastAsia="Times New Roman" w:hAnsi="Times New Roman" w:cs="Times New Roman"/>
          <w:noProof/>
          <w:kern w:val="0"/>
          <w:lang w:val="hu-HU"/>
          <w14:ligatures w14:val="none"/>
        </w:rPr>
        <w:t>étkezés közben</w:t>
      </w:r>
      <w:r w:rsidRPr="00A53012">
        <w:rPr>
          <w:rFonts w:ascii="Times New Roman" w:eastAsia="Times New Roman" w:hAnsi="Times New Roman" w:cs="Times New Roman"/>
          <w:noProof/>
          <w:kern w:val="0"/>
          <w:lang w:val="hu-HU"/>
          <w14:ligatures w14:val="none"/>
        </w:rPr>
        <w:t>, illetve étkezéstől függetlenül is be lehet venni.</w:t>
      </w:r>
    </w:p>
    <w:p w14:paraId="42A0194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F79F54"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4.3</w:t>
      </w:r>
      <w:r w:rsidRPr="00A53012">
        <w:rPr>
          <w:rFonts w:ascii="Times New Roman" w:eastAsia="Times New Roman" w:hAnsi="Times New Roman" w:cs="Times New Roman"/>
          <w:b/>
          <w:bCs/>
          <w:noProof/>
          <w:kern w:val="0"/>
          <w:lang w:val="hu-HU"/>
          <w14:ligatures w14:val="none"/>
        </w:rPr>
        <w:tab/>
        <w:t>Ellenjavallatok</w:t>
      </w:r>
    </w:p>
    <w:p w14:paraId="40A812C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AE493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készítmény hatóanyagával vagy a 6.1 pontban felsorolt bármely segédanyagával szembeni túlérzékenység.</w:t>
      </w:r>
    </w:p>
    <w:p w14:paraId="7E0E1F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EEA0C2C" w14:textId="289098E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szelektív monoaminoxidáz</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inhibitorokkal (monoamine oxidase inhibitors, MAOI) vagy szelektív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inhibitorokkal való egyidejű alkalmazás (lásd 4.5 pont).</w:t>
      </w:r>
    </w:p>
    <w:p w14:paraId="73E1E38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BE383E5"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4.4</w:t>
      </w:r>
      <w:r w:rsidRPr="00A53012">
        <w:rPr>
          <w:rFonts w:ascii="Times New Roman" w:eastAsia="Times New Roman" w:hAnsi="Times New Roman" w:cs="Times New Roman"/>
          <w:b/>
          <w:bCs/>
          <w:noProof/>
          <w:kern w:val="0"/>
          <w:lang w:val="hu-HU"/>
          <w14:ligatures w14:val="none"/>
        </w:rPr>
        <w:tab/>
        <w:t>Különleges figyelmeztetések és az alkalmazással kapcsolatos óvintézkedések</w:t>
      </w:r>
    </w:p>
    <w:p w14:paraId="2247C2C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Cs/>
          <w:noProof/>
          <w:kern w:val="0"/>
          <w:lang w:val="hu-HU"/>
          <w14:ligatures w14:val="none"/>
        </w:rPr>
      </w:pPr>
    </w:p>
    <w:p w14:paraId="36083D4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Alkalmazás gyermekeknél és serdülőknél</w:t>
      </w:r>
    </w:p>
    <w:p w14:paraId="7523F00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EBD67C8" w14:textId="4E466FD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Mivel a hatásosságot nem igazolták, ezért a vortioxetin nem alkalmazható MDD-ben szenvedő, 7–17 éves gyermekek és serdülők esetén (lásd 5.1 pont). Általánosságban véve a vortioxetin mellékhatásprofilja gyermekek és serdülők esetén hasonló volt a felnőttekéhez, eltekintve attól, hogy a felnőttekhez képest nagyobb gyakorisággal fordultak elő hasi fájdalommal kapcsolatos események és – kifejezetten serdülőknél – öngyilkossági gondolatok (lásd 4.8 és 5.1 pont). </w:t>
      </w:r>
      <w:r w:rsidR="002F6296" w:rsidRPr="002F6296">
        <w:rPr>
          <w:rFonts w:ascii="Times New Roman" w:eastAsia="Times New Roman" w:hAnsi="Times New Roman" w:cs="Times New Roman"/>
          <w:noProof/>
          <w:kern w:val="0"/>
          <w:lang w:val="hu-HU"/>
          <w14:ligatures w14:val="none"/>
        </w:rPr>
        <w:t xml:space="preserve">Antidepresszánsokkal </w:t>
      </w:r>
      <w:r w:rsidRPr="00A53012">
        <w:rPr>
          <w:rFonts w:ascii="Times New Roman" w:eastAsia="Times New Roman" w:hAnsi="Times New Roman" w:cs="Times New Roman"/>
          <w:noProof/>
          <w:kern w:val="0"/>
          <w:lang w:val="hu-HU"/>
          <w14:ligatures w14:val="none"/>
        </w:rPr>
        <w:t>folytatott klinikai vizsgálatokban gyermekek és serdülők esetében gyakrabban figyeltek meg szuicid viselkedést (öngyilkossági kísérletet és szuicid gondolatokat), illetve ellenséges magatartást (főként agressziót, ellenkezést és dühreakciót), mint a placebocsoportban.</w:t>
      </w:r>
    </w:p>
    <w:p w14:paraId="4343591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BCD34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Öngyilkosság /öngyilkossági gondolatok vagy a klinikai állapot romlása</w:t>
      </w:r>
    </w:p>
    <w:p w14:paraId="2C02B03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E2F5B96" w14:textId="7F3D857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Depresszió esetén fokozott az öngyilkossági gondolatok, az önkárosító magatartás és az öngyilkosság</w:t>
      </w:r>
      <w:r w:rsidRPr="00A53012">
        <w:rPr>
          <w:rFonts w:ascii="Times New Roman" w:eastAsia="Times New Roman" w:hAnsi="Times New Roman" w:cs="Times New Roman"/>
          <w:i/>
          <w:iCs/>
          <w:noProof/>
          <w:color w:val="000000"/>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(öngyilkossággal kapcsolatos események) megjelenésének </w:t>
      </w:r>
      <w:r w:rsidR="002F6296">
        <w:rPr>
          <w:rFonts w:ascii="Times New Roman" w:eastAsia="Times New Roman" w:hAnsi="Times New Roman" w:cs="Times New Roman"/>
          <w:noProof/>
          <w:kern w:val="0"/>
          <w:lang w:val="hu-HU"/>
          <w14:ligatures w14:val="none"/>
        </w:rPr>
        <w:t>kockázata</w:t>
      </w:r>
      <w:r w:rsidRPr="00A53012">
        <w:rPr>
          <w:rFonts w:ascii="Times New Roman" w:eastAsia="Times New Roman" w:hAnsi="Times New Roman" w:cs="Times New Roman"/>
          <w:noProof/>
          <w:kern w:val="0"/>
          <w:lang w:val="hu-HU"/>
          <w14:ligatures w14:val="none"/>
        </w:rPr>
        <w:t>. A kockázat mindaddig fennáll, amíg jelentős remisszió nem következik be. Mivel előfordulhat, hogy a kezelés első néhány hete alatt, vagy még később sem történik javulás, a betegeket állapotuk javulásáig szoros ellenőrzés alatt kell tartani. Általános klinikai tapasztalat, hogy az öngyilkosság veszélye a gyógyulás korai szakaszában fokozódhat.</w:t>
      </w:r>
    </w:p>
    <w:p w14:paraId="79D9845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8B82C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Azok a betegek, akiknek anamnézisében öngyilkossággal kapcsolatos események szerepelnek, vagy akiket jelentős mértékben foglalkoztatnak öngyilkossági gondolatok a terápia megkezdése előtt, az öngyilkossági gondolatok és kísérletek fokozott kockázatának vannak kitéve, ezért a kezelés alatt gondos megfigyelést igényelnek. A pszichiátriai betegségben szenvedő felnőttek bevonásával végzett, antidepresszívumokat vizsgáló, placebokontrollos klinikai vizsgálatok metaanalízise kimutatta, hogy a 25 évnél fiatalabb betegeknél az öngyilkos magatartás kockázata az antidepresszívumot szedőknél fokozottabb, mint a placebót szedőknél.</w:t>
      </w:r>
    </w:p>
    <w:p w14:paraId="3C90B57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8E9D8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betegeket, különösen a magas kockázati csoportba tartozóakat a gyógyszeres kezelés során gondos felügyelet alatt kell tartani, főként a terápia kezdetén, és a dózismódosításokat követően. A betegeket (és gondviselőiket) figyelmeztetni kell arra, hogy figyeljék a klinikai állapot romlása, az öngyilkos magatartás vagy öngyilkossági gondolatok, vagy szokatlan magatartásbeli változások bármilyen megjelenését, és ha a felsorolt tünetek valamelyikét észlelik, sürgősen forduljanak orvoshoz.</w:t>
      </w:r>
    </w:p>
    <w:p w14:paraId="783F05B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4CAE8A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Görcsrohamok</w:t>
      </w:r>
    </w:p>
    <w:p w14:paraId="174BA70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C53B46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antidepresszívumok szedésekor fennáll a görcsrohamok jelentkezésének kockázata. Ezért a vortioxetin-kezelés megkezdésekor óvatosan kell eljárni, amennyiben a beteg kórtörténetében görcsrohamok fordultak elő, illetve ha a beteg instabil epilepsziában szenved (lásd 4.5 pont). A kezelést meg kell szakítani, ha a betegnél görcsrohamok lépnek fel, vagy a görcsrohamok gyakoribbá válnak.</w:t>
      </w:r>
    </w:p>
    <w:p w14:paraId="423B91E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25837C3" w14:textId="7635F175"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Szerotonin</w:t>
      </w:r>
      <w:r w:rsidR="002F6296">
        <w:rPr>
          <w:rFonts w:ascii="Times New Roman" w:eastAsia="Times New Roman" w:hAnsi="Times New Roman" w:cs="Times New Roman"/>
          <w:noProof/>
          <w:kern w:val="0"/>
          <w:u w:val="single"/>
          <w:lang w:val="hu-HU"/>
          <w14:ligatures w14:val="none"/>
        </w:rPr>
        <w:t>-</w:t>
      </w:r>
      <w:r w:rsidRPr="00A53012">
        <w:rPr>
          <w:rFonts w:ascii="Times New Roman" w:eastAsia="Times New Roman" w:hAnsi="Times New Roman" w:cs="Times New Roman"/>
          <w:noProof/>
          <w:kern w:val="0"/>
          <w:u w:val="single"/>
          <w:lang w:val="hu-HU"/>
          <w14:ligatures w14:val="none"/>
        </w:rPr>
        <w:t>szindróma (SS) és neuroleptikus malignus szindróma (NMS)</w:t>
      </w:r>
    </w:p>
    <w:p w14:paraId="0D5FF13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4B54F08" w14:textId="0E7CFD6F"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alkalmazásakor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(Serotonin Syndrome, SS) vagy neuroleptikus malignus szindróma (Neuroleptic Malignant Syndrome, NMS) (két potenciálisan életveszélyes állapot) alakulhat ki. Az SS és az NMS kockázata szerotonerg hatóanyagok (így az opioidok és a triptánok), a szerotonin lebomlását gátló gyógyszerek (így a MAO-gátlók), antipszichotikumok és más dopamin-antagonisták egyidejű alkalmazása esetén megnő. A betegeknél figyelni kell az SS vagy az NMS okozta jelek és tünetek jelentkezését (lásd 4.3 és 4.5 pont).</w:t>
      </w:r>
    </w:p>
    <w:p w14:paraId="2AA5A9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052DB3F" w14:textId="6C133C6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tünetei közé tartoznak a pszichés állapot változásai (pl. agitáció, hallucinációk, kóma), a vegetatív idegrendszeri instabilitás (pl. tachycardia, labilis vérnyomás, hyperthermia), a neuromuszkuláris eltérések (pl. hyperreflexia, koordinációs zavar) és/vagy az emésztőrendszeri tünetek (pl. hányinger, hányás, hasmenés). Ilyen tünetek jelentkezése esetén a vortioxetin-kezelést azonnal abba kell hagyni, és meg kell kezdeni a tüneti kezelést.</w:t>
      </w:r>
    </w:p>
    <w:p w14:paraId="75B1C7F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05144E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Mánia/hipománia</w:t>
      </w:r>
    </w:p>
    <w:p w14:paraId="08CCC9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6A6C0D" w14:textId="3901144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fokozott óvatossággal alkalmazandó olyan betegeknél, akiknek </w:t>
      </w:r>
      <w:r w:rsidR="002F6296">
        <w:rPr>
          <w:rFonts w:ascii="Times New Roman" w:eastAsia="Times New Roman" w:hAnsi="Times New Roman" w:cs="Times New Roman"/>
          <w:noProof/>
          <w:kern w:val="0"/>
          <w:lang w:val="hu-HU"/>
          <w14:ligatures w14:val="none"/>
        </w:rPr>
        <w:t>anamnézisében</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mánia/hipománia fordult elő, és minden, mániás fázisba kerülő betegnél abba kell hagyni a kezelést.</w:t>
      </w:r>
    </w:p>
    <w:p w14:paraId="14BFEC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1F37D9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Agresszió/agitáció</w:t>
      </w:r>
    </w:p>
    <w:p w14:paraId="15255E2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59A9BCB" w14:textId="7973F87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w:t>
      </w:r>
      <w:r w:rsidR="002F6296" w:rsidRPr="002F6296">
        <w:rPr>
          <w:rFonts w:ascii="Times New Roman" w:eastAsia="Times New Roman" w:hAnsi="Times New Roman" w:cs="Times New Roman"/>
          <w:noProof/>
          <w:kern w:val="0"/>
          <w:lang w:val="hu-HU"/>
          <w14:ligatures w14:val="none"/>
        </w:rPr>
        <w:t>antidepresszánsokkal</w:t>
      </w:r>
      <w:r w:rsidRPr="00A53012">
        <w:rPr>
          <w:rFonts w:ascii="Times New Roman" w:eastAsia="Times New Roman" w:hAnsi="Times New Roman" w:cs="Times New Roman"/>
          <w:noProof/>
          <w:kern w:val="0"/>
          <w:lang w:val="hu-HU"/>
          <w14:ligatures w14:val="none"/>
        </w:rPr>
        <w:t>, így például vortioxetinnel kezelt betegek agressziót, dühöt, agitációt és ingerlékenységet is tapasztalhatnak. Szorosan monitorozni kell a betegek állapotát és betegségstátuszát. A betegeket (és gondviselőiket) figyelmeztetni kell arra, hogy forduljanak orvoshoz, ha agresszív/nyugtalan viselkedés kialakulását vagy súlyosbodását észlelik.</w:t>
      </w:r>
    </w:p>
    <w:p w14:paraId="2757A47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84D74B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Haemorrhagia</w:t>
      </w:r>
    </w:p>
    <w:p w14:paraId="7E84A57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68F5162" w14:textId="071B89C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 többek között a vortioxetin – alkalmazásával összefüggésben ritkán vérzési zavarokat, például ecchymosist, purpurát és egyéb vérzéses eseményeket, például emésztőrendszeri vagy nőgyógyászati vérzést jelentettek. Az SSRI-k/SNRI-k fokozhatják a post partum vérzés kockázatát, és ez a kockázat potenciálisan a vortioxetinre is vonatkozik (lásd: 4.6 pont). Fokozott óvatosság javasolt a véralvadásgátlókat és/vagy a thrombocyta funkciót ismerten befolyásoló gyógyszereket (pl. atípusos antipszichotikumok és fenotiazinok, a triciklusos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többsége, nem-szteroid </w:t>
      </w:r>
      <w:r w:rsidR="001F5BB8" w:rsidRPr="00A53012">
        <w:rPr>
          <w:rFonts w:ascii="Times New Roman" w:eastAsia="Times New Roman" w:hAnsi="Times New Roman" w:cs="Times New Roman"/>
          <w:noProof/>
          <w:kern w:val="0"/>
          <w:lang w:val="hu-HU"/>
          <w14:ligatures w14:val="none"/>
        </w:rPr>
        <w:t>gyulladás</w:t>
      </w:r>
      <w:r w:rsidR="001F5BB8">
        <w:rPr>
          <w:rFonts w:ascii="Times New Roman" w:eastAsia="Times New Roman" w:hAnsi="Times New Roman" w:cs="Times New Roman"/>
          <w:noProof/>
          <w:kern w:val="0"/>
          <w:lang w:val="hu-HU"/>
          <w14:ligatures w14:val="none"/>
        </w:rPr>
        <w:t>csökkentők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[non-steroidal</w:t>
      </w:r>
      <w:r w:rsidR="001F5BB8">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anti-inflammatory drugs, NSAID-ok] és acetilszalicilsav [acetylsalicylic acid, ASA]) szedő betegek (lásd 4.5 pont), illetve olyan betegek esetében, akiknek </w:t>
      </w:r>
      <w:r w:rsidR="002F6296">
        <w:rPr>
          <w:rFonts w:ascii="Times New Roman" w:eastAsia="Times New Roman" w:hAnsi="Times New Roman" w:cs="Times New Roman"/>
          <w:noProof/>
          <w:kern w:val="0"/>
          <w:lang w:val="hu-HU"/>
          <w14:ligatures w14:val="none"/>
        </w:rPr>
        <w:t>anamnézisében</w:t>
      </w:r>
      <w:r w:rsidR="002F6296" w:rsidRPr="00A53012">
        <w:rPr>
          <w:rFonts w:ascii="Times New Roman" w:eastAsia="Times New Roman" w:hAnsi="Times New Roman" w:cs="Times New Roman"/>
          <w:noProof/>
          <w:kern w:val="0"/>
          <w:lang w:val="hu-HU"/>
          <w14:ligatures w14:val="none"/>
        </w:rPr>
        <w:t xml:space="preserve"> </w:t>
      </w:r>
      <w:r w:rsidR="002F6296" w:rsidRPr="002F6296">
        <w:rPr>
          <w:rFonts w:ascii="Times New Roman" w:eastAsia="Times New Roman" w:hAnsi="Times New Roman" w:cs="Times New Roman"/>
          <w:noProof/>
          <w:kern w:val="0"/>
          <w:lang w:val="hu-HU"/>
          <w14:ligatures w14:val="none"/>
        </w:rPr>
        <w:t>vérzési hajlam/</w:t>
      </w:r>
      <w:r w:rsidRPr="00A53012">
        <w:rPr>
          <w:rFonts w:ascii="Times New Roman" w:eastAsia="Times New Roman" w:hAnsi="Times New Roman" w:cs="Times New Roman"/>
          <w:noProof/>
          <w:kern w:val="0"/>
          <w:lang w:val="hu-HU"/>
          <w14:ligatures w14:val="none"/>
        </w:rPr>
        <w:t>vérzési rendellenességek szerepelnek.</w:t>
      </w:r>
    </w:p>
    <w:p w14:paraId="2332140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378BA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Hyponatraemia</w:t>
      </w:r>
    </w:p>
    <w:p w14:paraId="14F4DB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09213E7" w14:textId="046FDE9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(SSRI, SNRI)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alkalmazása mellett ritkán – feltehetően a nem megfelelő antidiuretikushormon-</w:t>
      </w:r>
      <w:r w:rsidR="002F6296">
        <w:rPr>
          <w:rFonts w:ascii="Times New Roman" w:eastAsia="Times New Roman" w:hAnsi="Times New Roman" w:cs="Times New Roman"/>
          <w:noProof/>
          <w:kern w:val="0"/>
          <w:lang w:val="hu-HU"/>
          <w14:ligatures w14:val="none"/>
        </w:rPr>
        <w:t>szekréció</w:t>
      </w:r>
      <w:r w:rsidR="002F6296"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szindróma (SIADH) következtében kialakult – hyponatraemiáról számoltak be. Fokozott óvatossággal kell eljárni a veszélyeztetett – így például az idős korú, a májcirrhosisban szenvedő, illetve az egyidejűleg ismerten hyponatraemiát okozó gyógyszerrel kezelt – betegek esetében.</w:t>
      </w:r>
    </w:p>
    <w:p w14:paraId="4F1246B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hyponatraemia tüneteit mutató betegeknél fontolóra kell venni a vortioxetin leállítását, és meg kell kezdeni a megfelelő orvosi kezelést.</w:t>
      </w:r>
    </w:p>
    <w:p w14:paraId="0B2F53A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1A9664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Glaucoma</w:t>
      </w:r>
    </w:p>
    <w:p w14:paraId="4AC6144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C05ABA2" w14:textId="52BB1288" w:rsidR="00A53012" w:rsidRPr="00A53012" w:rsidRDefault="002F6296"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Pr="002F6296">
        <w:rPr>
          <w:rFonts w:ascii="Times New Roman" w:eastAsia="Times New Roman" w:hAnsi="Times New Roman" w:cs="Times New Roman"/>
          <w:noProof/>
          <w:kern w:val="0"/>
          <w:lang w:val="hu-HU"/>
          <w14:ligatures w14:val="none"/>
        </w:rPr>
        <w:t>ntidepresszánsok</w:t>
      </w:r>
      <w:r w:rsidR="00A53012" w:rsidRPr="00A53012">
        <w:rPr>
          <w:rFonts w:ascii="Times New Roman" w:eastAsia="Times New Roman" w:hAnsi="Times New Roman" w:cs="Times New Roman"/>
          <w:noProof/>
          <w:kern w:val="0"/>
          <w:lang w:val="hu-HU"/>
          <w14:ligatures w14:val="none"/>
        </w:rPr>
        <w:t>, így például a vortioxetin alkalmazásával kapcsolatban beszámoltak mydriasisról. Ez a pupillatágító hatás beszűkítheti a szem csarnokzugát, aminek hatására megnő a szembelnyomás, és zárt</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glaucoma alakul ki. Fokozott óvatosság javasolt, ha olyan betegnek írják fel a vortioxetint, akinek magas a szembelnyomása, vagy akinél fennáll az akut zárt</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glaucoma kockázata.</w:t>
      </w:r>
    </w:p>
    <w:p w14:paraId="709641A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F60F79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Idősek</w:t>
      </w:r>
    </w:p>
    <w:p w14:paraId="5607FD0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B81E755" w14:textId="6DC2D6C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major depressziós epizódban szenvedő idős betegek vortioxetin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kezelésével kapcsolatban rendelkezésre álló adatok korlátozottak. Ezért elővigyázatosság szükséges, amikor 65 évesnél idősebb betegeket napi egyszer 10 mg-ot meghaladó adagban vortioxetinnel kezelnek (lásd 4.2, 4.8 és 5.2 pont).</w:t>
      </w:r>
    </w:p>
    <w:p w14:paraId="119464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4EBB3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Vese- vagy májkárosodás</w:t>
      </w:r>
    </w:p>
    <w:p w14:paraId="614F948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50295E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Mivel a vese- vagy májkárosodásban szenvedő betegek veszélyeztetettek, és ezekben a csoportokban a vortioxetin alkalmazására vonatkozóan rendelkezésre álló adatok korlátozottak, ezért ezen betegek kezelése során elővigyázatossággal kell eljárni (lásd 4.2 és 5.2 pont).</w:t>
      </w:r>
    </w:p>
    <w:p w14:paraId="0F3E817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BFA4A7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r w:rsidRPr="00A53012">
        <w:rPr>
          <w:rFonts w:ascii="Times New Roman" w:eastAsia="Times New Roman" w:hAnsi="Times New Roman" w:cs="Times New Roman"/>
          <w:noProof/>
          <w:kern w:val="0"/>
          <w:u w:val="single"/>
          <w:lang w:val="hu-HU"/>
          <w14:ligatures w14:val="none"/>
        </w:rPr>
        <w:t>Segédanyagok</w:t>
      </w:r>
    </w:p>
    <w:p w14:paraId="7C07779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583DD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Ez a gyógyszer kevesebb mint 1 mmol (23 mg) nátriumot tartalmaz filmtablettánként, azaz gyakorlatilag „nátriummentes”.</w:t>
      </w:r>
    </w:p>
    <w:p w14:paraId="6ECBFB2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26DE5C6"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4.5</w:t>
      </w:r>
      <w:r w:rsidRPr="00A53012">
        <w:rPr>
          <w:rFonts w:ascii="Times New Roman" w:eastAsia="Times New Roman" w:hAnsi="Times New Roman" w:cs="Times New Roman"/>
          <w:b/>
          <w:bCs/>
          <w:noProof/>
          <w:kern w:val="0"/>
          <w:lang w:val="hu-HU"/>
          <w14:ligatures w14:val="none"/>
        </w:rPr>
        <w:tab/>
        <w:t>Gyógyszerkölcsönhatások és egyéb interakciók</w:t>
      </w:r>
    </w:p>
    <w:p w14:paraId="6D14AD2D" w14:textId="77777777" w:rsidR="00A53012" w:rsidRPr="00A53012" w:rsidRDefault="00A53012" w:rsidP="00A53012">
      <w:pPr>
        <w:keepNext/>
        <w:autoSpaceDE w:val="0"/>
        <w:autoSpaceDN w:val="0"/>
        <w:spacing w:after="0" w:line="240" w:lineRule="auto"/>
        <w:ind w:left="567" w:hanging="567"/>
        <w:rPr>
          <w:rFonts w:ascii="Times New Roman" w:eastAsia="Times New Roman" w:hAnsi="Times New Roman" w:cs="Times New Roman"/>
          <w:noProof/>
          <w:kern w:val="0"/>
          <w:lang w:val="hu-HU"/>
          <w14:ligatures w14:val="none"/>
        </w:rPr>
      </w:pPr>
    </w:p>
    <w:p w14:paraId="4D4485C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nagyrészt a májban metabolizálódik, elsősorban oxidáció révén, melyet a CYP2D6, illetve kisebb mértékben a CYP3A4/5 és CYP2C9 katalizál (lásd 5.2 pont).</w:t>
      </w:r>
    </w:p>
    <w:p w14:paraId="58CD8CB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09B5B3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Más gyógyszerek potenciális hatása a vortioxetinre</w:t>
      </w:r>
    </w:p>
    <w:p w14:paraId="4307ED1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221F01C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Irreverzibilis, nem szelektív MAO</w:t>
      </w:r>
      <w:r w:rsidRPr="00A53012">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i/>
          <w:noProof/>
          <w:kern w:val="0"/>
          <w:lang w:val="hu-HU"/>
          <w14:ligatures w14:val="none"/>
        </w:rPr>
        <w:t>gátlók</w:t>
      </w:r>
    </w:p>
    <w:p w14:paraId="1A938C74" w14:textId="00BEB8C2"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szerotonin szindróma kockázata miatt a vortioxetin irreverzibilis, nem szelektív MAO-gátlókkal történő egyidejű alkalmazása ellenjavallt. A vortioxetin alkalmazását az irreverzibilis, nem szelektív MAO-gátló</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 abbahagyása után legalább 14 napig nem szabad megkezdeni. A vortioxetin alkalmazását legalább 14 nappal az irreverzibilis, nem szelektív MAO-gátló</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kezelés megkezdése előtt abba kell hagyni (lásd 4.3 pont).</w:t>
      </w:r>
    </w:p>
    <w:p w14:paraId="2980063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F7B8882" w14:textId="2FC29D4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Reverzibilis, szelektív MAO-A</w:t>
      </w:r>
      <w:r w:rsidR="002F6296">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gátló (moklobemid)</w:t>
      </w:r>
    </w:p>
    <w:p w14:paraId="3130A7DD" w14:textId="58188C7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reverzibilis és szelektív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gátlóval (például moklobemiddel) történő egyidejű alkalmazása ellenjavallt (lásd 4.3 pont). Amennyiben az együttes alkalmazás mégis szükségesnek bizonyul, a hozzáadott gyógyszert a lehető legkisebb dózisban, és a szerotonin-szindróma kialakulása tekintetében történő szoros klinikai monitorozás mellett kell alkalmazni (lásd 4.4 pont).</w:t>
      </w:r>
    </w:p>
    <w:p w14:paraId="32A48B7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D867D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Reverzibilis, nem szelektív MAO-gátló (linezolid)</w:t>
      </w:r>
    </w:p>
    <w:p w14:paraId="5B7C8B8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gyenge, reverzibilis és nem szelektív MAO-gátlóval (például linezolid nevű antibiotikummal) történő egyidejű alkalmazása ellenjavallt (lásd 4.3 pont). Amennyiben az együttes alkalmazás mégis szükségesnek bizonyul, a hozzáadott gyógyszert a lehető legkisebb dózisban, és a szerotonin szindróma kialakulása tekintetében történő szoros klinikai monitorozás mellett kell alkalmazni (lásd 4.4 pont).</w:t>
      </w:r>
    </w:p>
    <w:p w14:paraId="54026B3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BD86316" w14:textId="40D207F0"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Irreverzibilis, szelektív MAO-B</w:t>
      </w:r>
      <w:r w:rsidR="002F6296">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gátló (szelegilin, razagilin)</w:t>
      </w:r>
    </w:p>
    <w:p w14:paraId="375E4D16" w14:textId="24190C92"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Noha a szelektív MAO-B</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 esetében várhatóan alacsonyabb 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kialakulásának kockázata, mint a MAO-A</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 esetében, a vortioxetin az irreverzibilis MAO-B</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gátlókkal, mint például szelegilinnel vagy razagilinnel csak óvatosan adható együtt. Együttes alkalmazás esetén a szerotonin</w:t>
      </w:r>
      <w:r w:rsidR="002F6296">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kialakulása tekintetében történő szoros klinikai monitorozás szükséges (lásd 4.4 pont).</w:t>
      </w:r>
    </w:p>
    <w:p w14:paraId="37C015D7"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F12B29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Szerotonerg gyógyszerek</w:t>
      </w:r>
    </w:p>
    <w:p w14:paraId="6B59603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szerotonerg hatású gyógyszerek pl. opioidok (így a tramadol) és triptánok (így a szumatriptán) egyidejű alkalmazása szerotonin szindróma kialakulásához vezethet (lásd 4.4 pont).</w:t>
      </w:r>
    </w:p>
    <w:p w14:paraId="5ECDA56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50395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Közönséges orbáncfű</w:t>
      </w:r>
    </w:p>
    <w:p w14:paraId="2AB38F6D" w14:textId="640BF42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2F6296">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és a közönséges orbáncfüvet (</w:t>
      </w:r>
      <w:r w:rsidRPr="00A53012">
        <w:rPr>
          <w:rFonts w:ascii="Times New Roman" w:eastAsia="Times New Roman" w:hAnsi="Times New Roman" w:cs="Times New Roman"/>
          <w:i/>
          <w:noProof/>
          <w:kern w:val="0"/>
          <w:lang w:val="hu-HU"/>
          <w14:ligatures w14:val="none"/>
        </w:rPr>
        <w:t>Hypericum perforatum</w:t>
      </w:r>
      <w:r w:rsidRPr="00A53012">
        <w:rPr>
          <w:rFonts w:ascii="Times New Roman" w:eastAsia="Times New Roman" w:hAnsi="Times New Roman" w:cs="Times New Roman"/>
          <w:noProof/>
          <w:kern w:val="0"/>
          <w:lang w:val="hu-HU"/>
          <w14:ligatures w14:val="none"/>
        </w:rPr>
        <w:t>) tartalmazó gyógynövénykészítmények egyidejű alkalmazása a mellékhatások, így a szerotonin</w:t>
      </w:r>
      <w:r w:rsidR="00E90F6C">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szindróma nagyobb előfordulási gyakoriságát eredményezheti (lásd 4.4 pont).</w:t>
      </w:r>
    </w:p>
    <w:p w14:paraId="45920883"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0E5D611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görcsküszöböt csökkentő gyógyszerek</w:t>
      </w:r>
    </w:p>
    <w:p w14:paraId="2F6328A5" w14:textId="2A700FD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szerotonerg hatású </w:t>
      </w:r>
      <w:r w:rsidR="00E90F6C">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 xml:space="preserve">csökkenthetik a görcsküszöböt. Fokozott óvatosság javasolt olyan gyógyszerek egyidejű alkalmazása esetén, amelyek csökkenthetik a görcsküszöböt [pl. antidepresszívumok (triciklusos </w:t>
      </w:r>
      <w:r w:rsidR="00E90F6C">
        <w:rPr>
          <w:rFonts w:ascii="Times New Roman" w:eastAsia="Times New Roman" w:hAnsi="Times New Roman" w:cs="Times New Roman"/>
          <w:noProof/>
          <w:kern w:val="0"/>
          <w:lang w:val="hu-HU"/>
          <w14:ligatures w14:val="none"/>
        </w:rPr>
        <w:t>antidepresszánsok</w:t>
      </w:r>
      <w:r w:rsidRPr="00A53012">
        <w:rPr>
          <w:rFonts w:ascii="Times New Roman" w:eastAsia="Times New Roman" w:hAnsi="Times New Roman" w:cs="Times New Roman"/>
          <w:noProof/>
          <w:kern w:val="0"/>
          <w:lang w:val="hu-HU"/>
          <w14:ligatures w14:val="none"/>
        </w:rPr>
        <w:t>, SSRI-k, SNRI-k), neuroleptikumok (fenotiazinok, tioxantének és butirofenonok), meflokin, bupropion, tramadol] (lásd 4.4 pont).</w:t>
      </w:r>
    </w:p>
    <w:p w14:paraId="0A1B01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91A667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ECT (elektrokonvulzív terápia)</w:t>
      </w:r>
    </w:p>
    <w:p w14:paraId="14D9A91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és ECT egyidejű alkalmazásával nincs klinikai tapasztalat, ezért fokozott óvatosság javasolt.</w:t>
      </w:r>
    </w:p>
    <w:p w14:paraId="7D37AFB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C5DD933" w14:textId="281C6DB8"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CYP2D6</w:t>
      </w:r>
      <w:r w:rsidR="00E90F6C">
        <w:rPr>
          <w:rFonts w:ascii="Times New Roman" w:eastAsia="Times New Roman" w:hAnsi="Times New Roman" w:cs="Times New Roman"/>
          <w:i/>
          <w:noProof/>
          <w:kern w:val="0"/>
          <w:lang w:val="hu-HU"/>
          <w14:ligatures w14:val="none"/>
        </w:rPr>
        <w:t>-</w:t>
      </w:r>
      <w:r w:rsidRPr="00A53012">
        <w:rPr>
          <w:rFonts w:ascii="Times New Roman" w:eastAsia="Times New Roman" w:hAnsi="Times New Roman" w:cs="Times New Roman"/>
          <w:i/>
          <w:noProof/>
          <w:kern w:val="0"/>
          <w:lang w:val="hu-HU"/>
          <w14:ligatures w14:val="none"/>
        </w:rPr>
        <w:t>inhibitorok</w:t>
      </w:r>
    </w:p>
    <w:p w14:paraId="176256F7" w14:textId="43A95EC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Napi 10 mg vortioxetin és napi kétszer 150 mg bupropion (erős CYP2D6 inhibitor) 14 napon át történő egyidejű alkalmazása egészséges önkénteseknél a vortioxetin-expozíciót jelző görbe alatti terület (AUC) értékét 2,3-szeresére növelte. Egyidejű alkalmazás esetén a mellékhatások gyakorisága nagyobb </w:t>
      </w:r>
      <w:r w:rsidR="00D45D17">
        <w:rPr>
          <w:rFonts w:ascii="Times New Roman" w:eastAsia="Times New Roman" w:hAnsi="Times New Roman" w:cs="Times New Roman"/>
          <w:noProof/>
          <w:kern w:val="0"/>
          <w:lang w:val="hu-HU"/>
          <w14:ligatures w14:val="none"/>
        </w:rPr>
        <w:t>volt</w:t>
      </w:r>
      <w:r w:rsidRPr="00A53012">
        <w:rPr>
          <w:rFonts w:ascii="Times New Roman" w:eastAsia="Times New Roman" w:hAnsi="Times New Roman" w:cs="Times New Roman"/>
          <w:noProof/>
          <w:kern w:val="0"/>
          <w:lang w:val="hu-HU"/>
          <w14:ligatures w14:val="none"/>
        </w:rPr>
        <w:t xml:space="preserve"> akkor, amikor a bupropiont adták a meglévő vortioxetin-kezeléshez, mint akkor, amikor a vortioxetint adták a meglévő bupropion-kezeléshez. A beteg</w:t>
      </w:r>
      <w:r w:rsidR="00D45D17">
        <w:rPr>
          <w:rFonts w:ascii="Times New Roman" w:eastAsia="Times New Roman" w:hAnsi="Times New Roman" w:cs="Times New Roman"/>
          <w:noProof/>
          <w:kern w:val="0"/>
          <w:lang w:val="hu-HU"/>
          <w14:ligatures w14:val="none"/>
        </w:rPr>
        <w:t xml:space="preserve"> egyéni</w:t>
      </w:r>
      <w:r w:rsidRPr="00A53012">
        <w:rPr>
          <w:rFonts w:ascii="Times New Roman" w:eastAsia="Times New Roman" w:hAnsi="Times New Roman" w:cs="Times New Roman"/>
          <w:noProof/>
          <w:kern w:val="0"/>
          <w:lang w:val="hu-HU"/>
          <w14:ligatures w14:val="none"/>
        </w:rPr>
        <w:t xml:space="preserve"> terápiás válaszától függően alacsonyabb vortioxetin-adag alkalmazása mérlegelhető, amennyiben a vortioxetin-kezeléshez erős CYP2D6 inhibitort (pl. bupropion, kinidin, fluoxetin, paroxetin) adnak (lásd 4.2 pont).</w:t>
      </w:r>
    </w:p>
    <w:p w14:paraId="32AF089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FEA426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CYP3A4 inhibitorok, valamint CYP2C9 és CYP2C19 inhibitorok</w:t>
      </w:r>
    </w:p>
    <w:p w14:paraId="5903562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AUC-érték 1,3-szeres, illetve 1,5-szeres növekedését figyelték meg, amikor egészséges önkénteseknél a 6 napos, napi 400 mg ketokonazol-kezelést (CYP3A4/5 és P-glikoprotein inhibitor), illetve a 6 napos, napi 200 mg flukonazol-kezelést (CYP2C9, CYP2C19 és CYP3A4/5 inhibitor) követően a kezelést vortioxetinnel egészítették ki. Az adag módosítása nem szükséges.</w:t>
      </w:r>
    </w:p>
    <w:p w14:paraId="700D92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ACB6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figyeltek meg az ismételten alkalmazott vortioxetin farmakokinetikájára gyakorolt gátló hatást egyszeri 40 mg omeprazol (CYP2C19 inhibitor) egészséges önkénteseknél történő alkalmazásakor.</w:t>
      </w:r>
    </w:p>
    <w:p w14:paraId="23E393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B1322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Kölcsönhatások gyenge CYP2D6 metabolizálóknál</w:t>
      </w:r>
    </w:p>
    <w:p w14:paraId="64DE6C9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gyenge CYP2D6 metabolizáló betegeknél (lásd 5.2 pont) nem végeztek kimondottan az erős CYP3A4 inhibitorok (mint pl. itrakonazol, vorikonazol, klaritromicin, telitromicin, nefazodon, konivaptán és a HIV proteáz inhibitorok jelentős része) és a CYP2C9 inhibitorok (mint pl. flukonazol és amiodaron) egyidejű alkalmazására irányuló vizsgálatokat, de ezeknél a betegeknél az együttadás várhatóan kifejezettebb vortioxetin-expozíciót eredményez, mint a fent leírt mérsékelt hatás. </w:t>
      </w:r>
    </w:p>
    <w:p w14:paraId="43F9D0E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adott beteg terápiás válaszától függően alacsonyabb vortioxetin-adag alkalmazása mérlegelhető, amennyiben a gyenge CYP2D6 metabolizálóknak a vortioxetin-kezelés mellett erős CYP3A4- vagy CYP2C9-inhibitort adnak.</w:t>
      </w:r>
    </w:p>
    <w:p w14:paraId="61CEF54B"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BA528D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induktorok</w:t>
      </w:r>
    </w:p>
    <w:p w14:paraId="6A1DB8B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A 10 napos, napi 600 mg rifampicin-kezelést (a CYP izoenzimek erős induktora) követően 20 mg vortioxetin egyszeri együttadása egészséges önkénteseknél a vortioxetin AUC-értékének 72%-os csökkenését eredményezte. A beteg kezelésre adott válaszától függően az adag módosítása</w:t>
      </w:r>
      <w:r w:rsidRPr="00A53012">
        <w:rPr>
          <w:rFonts w:ascii="Times New Roman" w:eastAsia="Times New Roman" w:hAnsi="Times New Roman" w:cs="Times New Roman"/>
          <w:noProof/>
          <w:kern w:val="0"/>
          <w:lang w:val="hu-HU"/>
          <w14:ligatures w14:val="none"/>
        </w:rPr>
        <w:t xml:space="preserve"> mérlegelhető, amennyiben a beteg a vortioxetin-kezelés mellett erős P450 induktort (pl. rifampicint, karbamazepint, fenitoint) kap (lásd 4.2 pont).</w:t>
      </w:r>
    </w:p>
    <w:p w14:paraId="11435B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020117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Alkohol</w:t>
      </w:r>
    </w:p>
    <w:p w14:paraId="494A4550" w14:textId="53A5C578"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egyszeri orális etanol-adag (0,6 g/ttkg) egészséges önkéntesek esetében nem befolyásolta sem az egyszeri 20 mg, illetve 40 mg adagban alkalmazott vortioxetin, sem az etanol farmakokinetikáját, és a placebóhoz viszonyítva nem okozott jelentős mértékű kognitív funkció romlást sem. Ennek ellenére az antidepressz</w:t>
      </w:r>
      <w:r w:rsidR="00D45D17">
        <w:rPr>
          <w:rFonts w:ascii="Times New Roman" w:eastAsia="Times New Roman" w:hAnsi="Times New Roman" w:cs="Times New Roman"/>
          <w:noProof/>
          <w:kern w:val="0"/>
          <w:lang w:val="hu-HU"/>
          <w14:ligatures w14:val="none"/>
        </w:rPr>
        <w:t>áns</w:t>
      </w:r>
      <w:r w:rsidRPr="00A53012">
        <w:rPr>
          <w:rFonts w:ascii="Times New Roman" w:eastAsia="Times New Roman" w:hAnsi="Times New Roman" w:cs="Times New Roman"/>
          <w:noProof/>
          <w:kern w:val="0"/>
          <w:lang w:val="hu-HU"/>
          <w14:ligatures w14:val="none"/>
        </w:rPr>
        <w:t xml:space="preserve"> kezelés ideje alatt nem javasolt az alkoholfogyasztás.</w:t>
      </w:r>
    </w:p>
    <w:p w14:paraId="4151F46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1A64F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Acetilszalicilsav</w:t>
      </w:r>
    </w:p>
    <w:p w14:paraId="0FA13FF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150 mg acetilszalicilsav többszöri adagolása egészséges önkénteseknél nem befolyásolta az ismételten alkalmazott vortioxetin farmakokinetikáját.</w:t>
      </w:r>
    </w:p>
    <w:p w14:paraId="38208CF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3CD204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vortioxetin potenciális hatása más gyógyszerekre</w:t>
      </w:r>
    </w:p>
    <w:p w14:paraId="7F5C1E7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C09401B" w14:textId="199569E2"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Véralvadásgátlók és thrombocytaaggregáció-gátlók</w:t>
      </w:r>
    </w:p>
    <w:p w14:paraId="59ECF7F1" w14:textId="3DCA4B4B"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placebóhoz képest nem figyeltek meg jelentős eltérést </w:t>
      </w:r>
      <w:r w:rsidR="001F5BB8" w:rsidRPr="001F5BB8">
        <w:rPr>
          <w:rFonts w:ascii="Times New Roman" w:eastAsia="Times New Roman" w:hAnsi="Times New Roman" w:cs="Times New Roman"/>
          <w:noProof/>
          <w:kern w:val="0"/>
          <w:lang w:val="hu-HU"/>
          <w14:ligatures w14:val="none"/>
        </w:rPr>
        <w:t>a n</w:t>
      </w:r>
      <w:r w:rsidR="001F5BB8">
        <w:rPr>
          <w:rFonts w:ascii="Times New Roman" w:eastAsia="Times New Roman" w:hAnsi="Times New Roman" w:cs="Times New Roman"/>
          <w:noProof/>
          <w:kern w:val="0"/>
          <w:lang w:val="hu-HU"/>
          <w14:ligatures w14:val="none"/>
        </w:rPr>
        <w:t>emzetközi normalizált arány (</w:t>
      </w:r>
      <w:r w:rsidRPr="00A53012">
        <w:rPr>
          <w:rFonts w:ascii="Times New Roman" w:eastAsia="Times New Roman" w:hAnsi="Times New Roman" w:cs="Times New Roman"/>
          <w:noProof/>
          <w:kern w:val="0"/>
          <w:lang w:val="hu-HU"/>
          <w14:ligatures w14:val="none"/>
        </w:rPr>
        <w:t>INR</w:t>
      </w:r>
      <w:r w:rsidR="001F5BB8">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a prothrombin vagy a plazma R</w:t>
      </w:r>
      <w:r w:rsidRPr="00A53012">
        <w:rPr>
          <w:rFonts w:ascii="Times New Roman" w:eastAsia="Times New Roman" w:hAnsi="Times New Roman" w:cs="Times New Roman"/>
          <w:noProof/>
          <w:kern w:val="0"/>
          <w:lang w:val="hu-HU"/>
          <w14:ligatures w14:val="none"/>
        </w:rPr>
        <w:noBreakHyphen/>
        <w:t>/S</w:t>
      </w:r>
      <w:r w:rsidRPr="00A53012">
        <w:rPr>
          <w:rFonts w:ascii="Times New Roman" w:eastAsia="Times New Roman" w:hAnsi="Times New Roman" w:cs="Times New Roman"/>
          <w:noProof/>
          <w:kern w:val="0"/>
          <w:lang w:val="hu-HU"/>
          <w14:ligatures w14:val="none"/>
        </w:rPr>
        <w:noBreakHyphen/>
        <w:t> warfarin-értékeiben azoknál a warfarinra beállított egészséges önkénteseknél, akiknél emellett ismételten vortioxetint is alkalmaztak. A placebóhoz képest nem figyeltek meg jelentős thrombocytaaggregáció</w:t>
      </w:r>
      <w:r w:rsidR="00D45D17">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gátló, illetve az acetilszalicilsav vagy szalicilsav farmakokinetikájára gyakorolt hatást azoknál a korábban már napi 150 mg acetilszalicilsavval kezelt egészséges önkénteseknél, akiknél ezzel egyidejűleg ismételten vortioxetint is alkalmaztak. Az orális antikoagulánsokkal, thrombocytaaggregáció-gátlókkal vagy fájdalomcsillapítókkal (pl. acetilszalicilsav [ASA] vagy NSAID-ok) együtt alkalmazva azonban a vortioxetin esetében is fokozott óvatossággal kell eljárni, mert ilyenkor fennáll a farmakodinámiás kölcsönhatásból eredő vérzés kockázata (lásd 4.4 pont).</w:t>
      </w:r>
    </w:p>
    <w:p w14:paraId="72F0B1D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E458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Citokróm P450 szubsztrátok</w:t>
      </w:r>
    </w:p>
    <w:p w14:paraId="51338C3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i/>
          <w:noProof/>
          <w:kern w:val="0"/>
          <w:lang w:val="hu-HU"/>
          <w14:ligatures w14:val="none"/>
        </w:rPr>
        <w:t xml:space="preserve">In vitro </w:t>
      </w:r>
      <w:r w:rsidRPr="00A53012">
        <w:rPr>
          <w:rFonts w:ascii="Times New Roman" w:eastAsia="Times New Roman" w:hAnsi="Times New Roman" w:cs="Times New Roman"/>
          <w:noProof/>
          <w:kern w:val="0"/>
          <w:lang w:val="hu-HU"/>
          <w14:ligatures w14:val="none"/>
        </w:rPr>
        <w:t>a vortioxetin nem gátolta vagy indukálta a P450 izoenzimeket (lásd 5.2 pont).</w:t>
      </w:r>
    </w:p>
    <w:p w14:paraId="4197860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FCB4A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Egészséges önkénteseknél a vortioxetin ismételt alkalmazását követően nem figyeltek meg a citokróm P450 CYP2C19 (omeprazol, diazepám), CYP3A4/5 (etinilösztradiol, midazolám), CYP2B6 (bupropion), CYP2C9 (tolbutamid, S-warfarin), CYP1A2 (koffein) vagy a CYP2D6 (dextrometorfán) izoenzimre gyakorolt gátló hatást.</w:t>
      </w:r>
    </w:p>
    <w:p w14:paraId="35AB077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D494A4C" w14:textId="14B753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Nem figyeltek meg farmakodinámiás kölcsönhatásokat. A vortioxetin és egyszeri 10 mg diazepám egyidejű adását követően nem jelentkezett a placebóhoz viszonyítva jelentős mértékű kognitív funkció károsodás. A vortioxetin és kombinált orális fogamzásgátló (etinilösztradiol 30 mikrogramm/levonorgesztrel 150 mikrogramm) egyidejű adását követően a </w:t>
      </w:r>
      <w:r w:rsidR="00D45D17">
        <w:rPr>
          <w:rFonts w:ascii="Times New Roman" w:eastAsia="Times New Roman" w:hAnsi="Times New Roman" w:cs="Times New Roman"/>
          <w:noProof/>
          <w:kern w:val="0"/>
          <w:lang w:val="hu-HU"/>
          <w14:ligatures w14:val="none"/>
        </w:rPr>
        <w:t>nemi hormonok</w:t>
      </w:r>
      <w:r w:rsidR="00D45D17"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szintjében nem észleltek a placebóhoz viszonyítva jelentős mértékű változást.</w:t>
      </w:r>
    </w:p>
    <w:p w14:paraId="7FB4340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F3DCD0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Lítium, triptofán</w:t>
      </w:r>
    </w:p>
    <w:p w14:paraId="40EFA4EA" w14:textId="5809C030"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Nem figyeltek meg klinikailag releváns hatást azoknál az egészséges önkénteseknél, akik a dinamikus egyensúlyi állapotú lítium-expozíció mellett egyidejűleg ismételten vortioxetint is kaptak. Mivel azonban a szerotonerg </w:t>
      </w:r>
      <w:r w:rsidR="00D45D17">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és a lítium vagy triptofán együttadásakor hatásfokozódásáról számoltak be, ezért a vortioxetin ezekkel a gyógyszerekkel egyidejűleg fokozott óvatossággal alkalmazandó.</w:t>
      </w:r>
    </w:p>
    <w:p w14:paraId="44968C4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E8FA55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Vizelet-drogtesztek eredményének megzavarása</w:t>
      </w:r>
    </w:p>
    <w:p w14:paraId="47C764A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Beszámoltak arról, hogy vortioxetint szedő betegeknél a vizeletből végzett enzim-immunvizsgálatok álpozitív eredményt adtak metadonra. Óvatosan kell eljárni a vizeletből végzett drogtesztek pozitív eredményeinek értelmezésekor, és fontolóra kell venni egy másik analitikai technikával (pl. kromatográfiás módszerrel) történő igazolást.</w:t>
      </w:r>
    </w:p>
    <w:p w14:paraId="476E522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51C3E8"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4.6</w:t>
      </w:r>
      <w:r w:rsidRPr="00A53012">
        <w:rPr>
          <w:rFonts w:ascii="Times New Roman" w:eastAsia="Times New Roman" w:hAnsi="Times New Roman" w:cs="Times New Roman"/>
          <w:b/>
          <w:bCs/>
          <w:noProof/>
          <w:kern w:val="0"/>
          <w:lang w:val="hu-HU"/>
          <w14:ligatures w14:val="none"/>
        </w:rPr>
        <w:tab/>
        <w:t>Termékenység, terhesség és szoptatás</w:t>
      </w:r>
    </w:p>
    <w:p w14:paraId="51D5882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07D5172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Terhesség</w:t>
      </w:r>
    </w:p>
    <w:p w14:paraId="14E6555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363BA9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terhes nőknél történő alkalmazása tekintetében korlátozott mennyiségű információ áll rendelkezésre.</w:t>
      </w:r>
    </w:p>
    <w:p w14:paraId="03FA65F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állatkísérletek reprodukciós toxicitást mutattak ki (lásd 5.3 pont).</w:t>
      </w:r>
    </w:p>
    <w:p w14:paraId="382560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CEC926A" w14:textId="728763E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következő tünetek léphetnek fel az újszülöttnél azt követően, hogy az anya a terhesség késői fázisaiban szerotonerg gyógyszert szedett: respiratoricus distress, cyanosis, apnoe, görcsrohamok, instabil testhőmérséklet, szoptatási nehézség, hányás, hypoglykaemia, </w:t>
      </w:r>
      <w:r w:rsidR="00D45D17">
        <w:rPr>
          <w:rFonts w:ascii="Times New Roman" w:eastAsia="Times New Roman" w:hAnsi="Times New Roman" w:cs="Times New Roman"/>
          <w:noProof/>
          <w:kern w:val="0"/>
          <w:lang w:val="hu-HU"/>
          <w14:ligatures w14:val="none"/>
        </w:rPr>
        <w:t>izom-</w:t>
      </w:r>
      <w:r w:rsidRPr="00A53012">
        <w:rPr>
          <w:rFonts w:ascii="Times New Roman" w:eastAsia="Times New Roman" w:hAnsi="Times New Roman" w:cs="Times New Roman"/>
          <w:noProof/>
          <w:kern w:val="0"/>
          <w:lang w:val="hu-HU"/>
          <w14:ligatures w14:val="none"/>
        </w:rPr>
        <w:t xml:space="preserve">hypertonia, </w:t>
      </w:r>
      <w:r w:rsidR="00D45D17">
        <w:rPr>
          <w:rFonts w:ascii="Times New Roman" w:eastAsia="Times New Roman" w:hAnsi="Times New Roman" w:cs="Times New Roman"/>
          <w:noProof/>
          <w:kern w:val="0"/>
          <w:lang w:val="hu-HU"/>
          <w14:ligatures w14:val="none"/>
        </w:rPr>
        <w:t>izom-</w:t>
      </w:r>
      <w:r w:rsidRPr="00A53012">
        <w:rPr>
          <w:rFonts w:ascii="Times New Roman" w:eastAsia="Times New Roman" w:hAnsi="Times New Roman" w:cs="Times New Roman"/>
          <w:noProof/>
          <w:kern w:val="0"/>
          <w:lang w:val="hu-HU"/>
          <w14:ligatures w14:val="none"/>
        </w:rPr>
        <w:t>hypotonia, hyperreflexia, tremor, nyugtalanság, ingerlékenység, letargia, folyamatos sírás, somnolentia és alvászavar. E tüneteket a kezelés abbahagyása vagy a túlzott szerotonerg-aktivitás is eredményezheti. Az esetek többségében ezek a szövődmények közvetlenül vagy nem sokkal a szülés után (24 órán belül) jelentkeztek.</w:t>
      </w:r>
    </w:p>
    <w:p w14:paraId="6AB9AC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01E427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Epidemiológiai adatok azt mutatják, hogy az SSRI-k terhességben, különösen a késői terhességben történő alkalmazása növelheti az újszülöttkori persistáló pulmonalis hypertensio (PPHN) kialakulásának kockázatát. Noha a PPHN és a vortioxetin-kezelés közötti összefüggést nem vizsgálták, ez a potenciális kockázat az érintett hatásmechanizmust (a szerotonin-koncentráció emelkedését) figyelembe véve nem zárható ki.</w:t>
      </w:r>
    </w:p>
    <w:p w14:paraId="53E9B35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792DD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csak akkor lehet terhes nőknél alkalmazni, ha a várható előny meghaladja a magzatra gyakorolt potenciális kockázatot.</w:t>
      </w:r>
    </w:p>
    <w:p w14:paraId="684E854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75C737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megfigyeléses adatok alátámasztották a post partum vérzés fokozott (2-szeresnél kisebb) kockázatát a szülést megelőző hónapban történő SSRI- vagy SNRI-expozíciót követően. Bár egyetlen vizsgálatban sem elemezték a vortioxetin-kezelés és a post partum vérzés összefüggéseit, a hatásmechanizmust figyelembe véve fennáll a potenciális kockázat (lásd: 4.4 pont).</w:t>
      </w:r>
    </w:p>
    <w:p w14:paraId="20C6D20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673638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Szoptatás</w:t>
      </w:r>
    </w:p>
    <w:p w14:paraId="13BE12D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DE602BE" w14:textId="091EE7F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rendelkezésre álló, állatkísérletek során nyert adatok a vortioxetin, illetve metabolitjainak kiválasztódását igazolták az anyatejbe. A vortioxetin várhatóan </w:t>
      </w:r>
      <w:r w:rsidR="00D45D17" w:rsidRPr="00A53012">
        <w:rPr>
          <w:rFonts w:ascii="Times New Roman" w:eastAsia="Times New Roman" w:hAnsi="Times New Roman" w:cs="Times New Roman"/>
          <w:noProof/>
          <w:kern w:val="0"/>
          <w:lang w:val="hu-HU"/>
          <w14:ligatures w14:val="none"/>
        </w:rPr>
        <w:t xml:space="preserve">kiválasztódik </w:t>
      </w:r>
      <w:r w:rsidRPr="00A53012">
        <w:rPr>
          <w:rFonts w:ascii="Times New Roman" w:eastAsia="Times New Roman" w:hAnsi="Times New Roman" w:cs="Times New Roman"/>
          <w:noProof/>
          <w:kern w:val="0"/>
          <w:lang w:val="hu-HU"/>
          <w14:ligatures w14:val="none"/>
        </w:rPr>
        <w:t>a humán anyatejbe is (lásd 5.3 pont).</w:t>
      </w:r>
    </w:p>
    <w:p w14:paraId="7C0433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82B2A0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szoptatott csecsemőre nézve a kockázatot nem lehet kizárni.</w:t>
      </w:r>
    </w:p>
    <w:p w14:paraId="3AF7ED5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458EF2E" w14:textId="4366FEB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alkalmazása előtt el kell dönteni, hogy a szoptatást függesztik fel, vagy megszakítják a vortioxetin-kezelést/tartózkodnak a vortioxetin-kezeléstől – figyelembe véve a szoptatás előnyét a gyermek, valamint a terápia előnyét az anya szempontjából.</w:t>
      </w:r>
    </w:p>
    <w:p w14:paraId="72DCA9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671B5BD"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Termékenység</w:t>
      </w:r>
    </w:p>
    <w:p w14:paraId="2355C5F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C975D7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Hím és nőstény patkányokon végzett termékenységi vizsgálatokban a vortioxetin nem gyakorolt hatást a termékenységre, a spermiumok minőségére, illetve a párzási teljesítményre (lásd 5.3 pont).</w:t>
      </w:r>
    </w:p>
    <w:p w14:paraId="45E9201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B81740B" w14:textId="6147A9A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Embereknél néhány esetben az </w:t>
      </w:r>
      <w:r w:rsidR="00D45D17">
        <w:rPr>
          <w:rFonts w:ascii="Times New Roman" w:eastAsia="Times New Roman" w:hAnsi="Times New Roman" w:cs="Times New Roman"/>
          <w:noProof/>
          <w:kern w:val="0"/>
          <w:lang w:val="hu-HU"/>
          <w14:ligatures w14:val="none"/>
        </w:rPr>
        <w:t xml:space="preserve">antidepresszánsok </w:t>
      </w:r>
      <w:r w:rsidRPr="00A53012">
        <w:rPr>
          <w:rFonts w:ascii="Times New Roman" w:eastAsia="Times New Roman" w:hAnsi="Times New Roman" w:cs="Times New Roman"/>
          <w:noProof/>
          <w:kern w:val="0"/>
          <w:lang w:val="hu-HU"/>
          <w14:ligatures w14:val="none"/>
        </w:rPr>
        <w:t>egyik rokon farmakológiai osztályába (SSRI-k) tartozó gyógyszereknél az ondó minőségére kifejtett reverzibilis hatásokról számoltak be. A humán termékenységet befolyásoló hatást eddig nem figyeltek meg.</w:t>
      </w:r>
    </w:p>
    <w:p w14:paraId="504D815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868D5E7"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4.7</w:t>
      </w:r>
      <w:r w:rsidRPr="00A53012">
        <w:rPr>
          <w:rFonts w:ascii="Times New Roman" w:eastAsia="Times New Roman" w:hAnsi="Times New Roman" w:cs="Times New Roman"/>
          <w:b/>
          <w:bCs/>
          <w:noProof/>
          <w:kern w:val="0"/>
          <w:lang w:val="hu-HU"/>
          <w14:ligatures w14:val="none"/>
        </w:rPr>
        <w:tab/>
        <w:t>A készítmény hatásai a gépjárművezetéshez és a gépek kezeléséhez szükséges képességekre</w:t>
      </w:r>
    </w:p>
    <w:p w14:paraId="78E2E83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F28182" w14:textId="275E09C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nem, vagy csak elhanyagolható mértékben befolyásolja a gépjárművezetéshez és a gépek kezeléséhez szükséges képességeket. Mivel azonban </w:t>
      </w:r>
      <w:r w:rsidR="00D45D17">
        <w:rPr>
          <w:rFonts w:ascii="Times New Roman" w:eastAsia="Times New Roman" w:hAnsi="Times New Roman" w:cs="Times New Roman"/>
          <w:noProof/>
          <w:kern w:val="0"/>
          <w:lang w:val="hu-HU"/>
          <w14:ligatures w14:val="none"/>
        </w:rPr>
        <w:t xml:space="preserve">olyan </w:t>
      </w:r>
      <w:r w:rsidRPr="00A53012">
        <w:rPr>
          <w:rFonts w:ascii="Times New Roman" w:eastAsia="Times New Roman" w:hAnsi="Times New Roman" w:cs="Times New Roman"/>
          <w:noProof/>
          <w:kern w:val="0"/>
          <w:lang w:val="hu-HU"/>
          <w14:ligatures w14:val="none"/>
        </w:rPr>
        <w:t xml:space="preserve">mellékhatásokról számoltak be, </w:t>
      </w:r>
      <w:r w:rsidR="00D45D17">
        <w:rPr>
          <w:rFonts w:ascii="Times New Roman" w:eastAsia="Times New Roman" w:hAnsi="Times New Roman" w:cs="Times New Roman"/>
          <w:noProof/>
          <w:kern w:val="0"/>
          <w:lang w:val="hu-HU"/>
          <w14:ligatures w14:val="none"/>
        </w:rPr>
        <w:t xml:space="preserve">mint a szédülés, a betegnek fokozott óvatosság javasolt </w:t>
      </w:r>
      <w:r w:rsidRPr="00A53012">
        <w:rPr>
          <w:rFonts w:ascii="Times New Roman" w:eastAsia="Times New Roman" w:hAnsi="Times New Roman" w:cs="Times New Roman"/>
          <w:noProof/>
          <w:kern w:val="0"/>
          <w:lang w:val="hu-HU"/>
          <w14:ligatures w14:val="none"/>
        </w:rPr>
        <w:t>gépjárművezetésnél vagy veszélyes gépek kezelés</w:t>
      </w:r>
      <w:r w:rsidR="00D45D17">
        <w:rPr>
          <w:rFonts w:ascii="Times New Roman" w:eastAsia="Times New Roman" w:hAnsi="Times New Roman" w:cs="Times New Roman"/>
          <w:noProof/>
          <w:kern w:val="0"/>
          <w:lang w:val="hu-HU"/>
          <w14:ligatures w14:val="none"/>
        </w:rPr>
        <w:t>énél</w:t>
      </w:r>
      <w:r w:rsidRPr="00A53012">
        <w:rPr>
          <w:rFonts w:ascii="Times New Roman" w:eastAsia="Times New Roman" w:hAnsi="Times New Roman" w:cs="Times New Roman"/>
          <w:noProof/>
          <w:kern w:val="0"/>
          <w:lang w:val="hu-HU"/>
          <w14:ligatures w14:val="none"/>
        </w:rPr>
        <w:t>, különösen a vortioxetin-kezelés megkezdésekor, illetve az adag módosítása esetén.</w:t>
      </w:r>
    </w:p>
    <w:p w14:paraId="795F2CA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3419129"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4.8</w:t>
      </w:r>
      <w:r w:rsidRPr="00A53012">
        <w:rPr>
          <w:rFonts w:ascii="Times New Roman" w:eastAsia="Times New Roman" w:hAnsi="Times New Roman" w:cs="Times New Roman"/>
          <w:b/>
          <w:bCs/>
          <w:noProof/>
          <w:kern w:val="0"/>
          <w:lang w:val="hu-HU"/>
          <w14:ligatures w14:val="none"/>
        </w:rPr>
        <w:tab/>
        <w:t>Nemkívánatos hatások, mellékhatások</w:t>
      </w:r>
    </w:p>
    <w:p w14:paraId="156AA13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36B8AF1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biztonságossági profil összefoglalása</w:t>
      </w:r>
    </w:p>
    <w:p w14:paraId="662146C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25A599E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leggyakoribb mellékhatás a hányinger volt.</w:t>
      </w:r>
    </w:p>
    <w:p w14:paraId="5D0D5F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166B26"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mellékhatások táblázatos felsorolása</w:t>
      </w:r>
    </w:p>
    <w:p w14:paraId="281977FC"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p>
    <w:p w14:paraId="741CB697"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mellékhatások az alábbi gyakorisági kategóriáknak megfelelően kerültek meghatározásra: nagyon gyakori (≥ 1/10), gyakori (≥ 1/100 – &lt; 1/10), nem gyakori (≥ 1/1000 – &lt; 1/100), ritka (≥ 1/10 000 – &lt; 1/1000), nagyon ritka (&lt; 1/10 000), nem ismert (a gyakoriság a rendelkezésre álló adatokból nem állapítható meg). A felsorolás a klinikai vizsgálatokból és a forgalomba hozatalt követő tapasztalatokból származó információkon alapul.</w:t>
      </w:r>
    </w:p>
    <w:p w14:paraId="0C95B9F7" w14:textId="77777777" w:rsidR="00A53012" w:rsidRPr="00A53012" w:rsidRDefault="00A53012" w:rsidP="00A53012">
      <w:pPr>
        <w:autoSpaceDE w:val="0"/>
        <w:autoSpaceDN w:val="0"/>
        <w:spacing w:after="0" w:line="240" w:lineRule="auto"/>
        <w:ind w:firstLine="55"/>
        <w:rPr>
          <w:rFonts w:ascii="Times New Roman" w:eastAsia="Times New Roman" w:hAnsi="Times New Roman" w:cs="Times New Roman"/>
          <w:noProof/>
          <w:kern w:val="0"/>
          <w:lang w:val="hu-HU"/>
          <w14:ligatures w14:val="none"/>
        </w:rPr>
      </w:pPr>
    </w:p>
    <w:tbl>
      <w:tblPr>
        <w:tblW w:w="907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28" w:type="dxa"/>
          <w:bottom w:w="28" w:type="dxa"/>
        </w:tblCellMar>
        <w:tblLook w:val="01E0" w:firstRow="1" w:lastRow="1" w:firstColumn="1" w:lastColumn="1" w:noHBand="0" w:noVBand="0"/>
      </w:tblPr>
      <w:tblGrid>
        <w:gridCol w:w="3399"/>
        <w:gridCol w:w="1843"/>
        <w:gridCol w:w="3830"/>
      </w:tblGrid>
      <w:tr w:rsidR="00A53012" w:rsidRPr="00A53012" w14:paraId="38676E0E" w14:textId="77777777" w:rsidTr="00BC7E56">
        <w:trPr>
          <w:cantSplit/>
          <w:tblHeader/>
        </w:trPr>
        <w:tc>
          <w:tcPr>
            <w:tcW w:w="3399" w:type="dxa"/>
          </w:tcPr>
          <w:p w14:paraId="670BFCFD" w14:textId="5DA9A71A" w:rsidR="00A53012" w:rsidRPr="00A53012" w:rsidRDefault="00A53012" w:rsidP="00D45D17">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SZERVRENDSZERI </w:t>
            </w:r>
            <w:r w:rsidR="00D45D17">
              <w:rPr>
                <w:rFonts w:ascii="Times New Roman" w:eastAsia="Times New Roman" w:hAnsi="Times New Roman" w:cs="Times New Roman"/>
                <w:noProof/>
                <w:kern w:val="0"/>
                <w:lang w:val="hu-HU"/>
                <w14:ligatures w14:val="none"/>
              </w:rPr>
              <w:t>KATEGÓRIA</w:t>
            </w:r>
          </w:p>
        </w:tc>
        <w:tc>
          <w:tcPr>
            <w:tcW w:w="1843" w:type="dxa"/>
          </w:tcPr>
          <w:p w14:paraId="51F561F5"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GYAKORISÁG</w:t>
            </w:r>
          </w:p>
        </w:tc>
        <w:tc>
          <w:tcPr>
            <w:tcW w:w="3830" w:type="dxa"/>
          </w:tcPr>
          <w:p w14:paraId="4DBBCAF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MELLÉKHATÁS</w:t>
            </w:r>
          </w:p>
        </w:tc>
      </w:tr>
      <w:tr w:rsidR="00A53012" w:rsidRPr="00A53012" w14:paraId="410BF745" w14:textId="77777777" w:rsidTr="00BC7E56">
        <w:trPr>
          <w:cantSplit/>
        </w:trPr>
        <w:tc>
          <w:tcPr>
            <w:tcW w:w="3399" w:type="dxa"/>
          </w:tcPr>
          <w:p w14:paraId="72F5EB9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Immunrendszeri betegségek és tünetek</w:t>
            </w:r>
          </w:p>
        </w:tc>
        <w:tc>
          <w:tcPr>
            <w:tcW w:w="1843" w:type="dxa"/>
          </w:tcPr>
          <w:p w14:paraId="5F5D191D"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11994C2C" w14:textId="507C76CC"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nafilaxiás reakció</w:t>
            </w:r>
          </w:p>
        </w:tc>
      </w:tr>
      <w:tr w:rsidR="00A53012" w:rsidRPr="00A53012" w14:paraId="357E59E5" w14:textId="77777777" w:rsidTr="00BC7E56">
        <w:trPr>
          <w:cantSplit/>
        </w:trPr>
        <w:tc>
          <w:tcPr>
            <w:tcW w:w="3399" w:type="dxa"/>
          </w:tcPr>
          <w:p w14:paraId="0319F041"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Endokrin betegségek és tünetek</w:t>
            </w:r>
          </w:p>
        </w:tc>
        <w:tc>
          <w:tcPr>
            <w:tcW w:w="1843" w:type="dxa"/>
          </w:tcPr>
          <w:p w14:paraId="1522AD75"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6E650BB0" w14:textId="51E64E98"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yperprolactinaemia, esetenként galactorrhoeával</w:t>
            </w:r>
          </w:p>
        </w:tc>
      </w:tr>
      <w:tr w:rsidR="00A53012" w:rsidRPr="00A53012" w14:paraId="2E98E377" w14:textId="77777777" w:rsidTr="00BC7E56">
        <w:trPr>
          <w:cantSplit/>
        </w:trPr>
        <w:tc>
          <w:tcPr>
            <w:tcW w:w="3399" w:type="dxa"/>
          </w:tcPr>
          <w:p w14:paraId="4B4B82E1"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Anyagcsere- és táplálkozási betegségek és tünetek</w:t>
            </w:r>
          </w:p>
        </w:tc>
        <w:tc>
          <w:tcPr>
            <w:tcW w:w="1843" w:type="dxa"/>
          </w:tcPr>
          <w:p w14:paraId="2AE8BFAA"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3E0DB300" w14:textId="0B61F8EF"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yponatraemia</w:t>
            </w:r>
          </w:p>
        </w:tc>
      </w:tr>
      <w:tr w:rsidR="00A53012" w:rsidRPr="00A53012" w14:paraId="43F7D124" w14:textId="77777777" w:rsidTr="00BC7E56">
        <w:trPr>
          <w:cantSplit/>
        </w:trPr>
        <w:tc>
          <w:tcPr>
            <w:tcW w:w="3399" w:type="dxa"/>
            <w:vMerge w:val="restart"/>
          </w:tcPr>
          <w:p w14:paraId="3A5B0540"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Pszichiátriai kórképek</w:t>
            </w:r>
          </w:p>
        </w:tc>
        <w:tc>
          <w:tcPr>
            <w:tcW w:w="1843" w:type="dxa"/>
          </w:tcPr>
          <w:p w14:paraId="50E54ADB"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Borders>
              <w:bottom w:val="single" w:sz="4" w:space="0" w:color="000000"/>
            </w:tcBorders>
          </w:tcPr>
          <w:p w14:paraId="07758EE6" w14:textId="4897A8E3"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óros álmok</w:t>
            </w:r>
          </w:p>
        </w:tc>
      </w:tr>
      <w:tr w:rsidR="00A53012" w:rsidRPr="00A53012" w14:paraId="4257FE90" w14:textId="77777777" w:rsidTr="00BC7E56">
        <w:trPr>
          <w:cantSplit/>
        </w:trPr>
        <w:tc>
          <w:tcPr>
            <w:tcW w:w="3399" w:type="dxa"/>
            <w:vMerge/>
            <w:tcBorders>
              <w:top w:val="nil"/>
            </w:tcBorders>
          </w:tcPr>
          <w:p w14:paraId="151F25C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right w:val="single" w:sz="4" w:space="0" w:color="000000"/>
            </w:tcBorders>
          </w:tcPr>
          <w:p w14:paraId="66F8F2A5" w14:textId="77777777" w:rsidR="00A53012" w:rsidRPr="00A37535"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37535">
              <w:rPr>
                <w:rFonts w:ascii="Times New Roman" w:eastAsia="Times New Roman" w:hAnsi="Times New Roman" w:cs="Times New Roman"/>
                <w:noProof/>
                <w:kern w:val="0"/>
                <w:lang w:val="hu-HU"/>
                <w14:ligatures w14:val="none"/>
              </w:rPr>
              <w:t>Nem gyakori</w:t>
            </w:r>
          </w:p>
        </w:tc>
        <w:tc>
          <w:tcPr>
            <w:tcW w:w="3830" w:type="dxa"/>
            <w:tcBorders>
              <w:top w:val="single" w:sz="4" w:space="0" w:color="000000"/>
              <w:left w:val="single" w:sz="4" w:space="0" w:color="000000"/>
              <w:bottom w:val="single" w:sz="4" w:space="0" w:color="000000"/>
              <w:right w:val="single" w:sz="4" w:space="0" w:color="000000"/>
            </w:tcBorders>
          </w:tcPr>
          <w:p w14:paraId="77819C59" w14:textId="7D36F1EA" w:rsidR="00A53012" w:rsidRPr="00A37535"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37535">
              <w:rPr>
                <w:rFonts w:ascii="Times New Roman" w:eastAsia="Times New Roman" w:hAnsi="Times New Roman" w:cs="Times New Roman"/>
                <w:noProof/>
                <w:kern w:val="0"/>
                <w:lang w:val="hu-HU"/>
                <w14:ligatures w14:val="none"/>
              </w:rPr>
              <w:t>h</w:t>
            </w:r>
            <w:r w:rsidR="00A53012" w:rsidRPr="00A37535">
              <w:rPr>
                <w:rFonts w:ascii="Times New Roman" w:eastAsia="Times New Roman" w:hAnsi="Times New Roman" w:cs="Times New Roman"/>
                <w:noProof/>
                <w:kern w:val="0"/>
                <w:lang w:val="hu-HU"/>
                <w14:ligatures w14:val="none"/>
              </w:rPr>
              <w:t>allucinációk</w:t>
            </w:r>
          </w:p>
        </w:tc>
      </w:tr>
      <w:tr w:rsidR="00A53012" w:rsidRPr="00A53012" w14:paraId="481F8965" w14:textId="77777777" w:rsidTr="00BC7E56">
        <w:trPr>
          <w:cantSplit/>
        </w:trPr>
        <w:tc>
          <w:tcPr>
            <w:tcW w:w="3399" w:type="dxa"/>
            <w:vMerge/>
            <w:tcBorders>
              <w:top w:val="nil"/>
            </w:tcBorders>
          </w:tcPr>
          <w:p w14:paraId="44CDBA7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right w:val="single" w:sz="4" w:space="0" w:color="000000"/>
            </w:tcBorders>
          </w:tcPr>
          <w:p w14:paraId="237682FA"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left w:val="single" w:sz="4" w:space="0" w:color="000000"/>
              <w:bottom w:val="single" w:sz="4" w:space="0" w:color="000000"/>
              <w:right w:val="single" w:sz="4" w:space="0" w:color="000000"/>
            </w:tcBorders>
          </w:tcPr>
          <w:p w14:paraId="148B8950" w14:textId="3FEB9BF6"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i</w:t>
            </w:r>
            <w:r w:rsidR="00A53012" w:rsidRPr="00A53012">
              <w:rPr>
                <w:rFonts w:ascii="Times New Roman" w:eastAsia="Times New Roman" w:hAnsi="Times New Roman" w:cs="Times New Roman"/>
                <w:noProof/>
                <w:kern w:val="0"/>
                <w:lang w:val="hu-HU"/>
                <w14:ligatures w14:val="none"/>
              </w:rPr>
              <w:t>nsomnia</w:t>
            </w:r>
          </w:p>
        </w:tc>
      </w:tr>
      <w:tr w:rsidR="00A53012" w:rsidRPr="00A53012" w14:paraId="6D127AE2" w14:textId="77777777" w:rsidTr="00BC7E56">
        <w:trPr>
          <w:cantSplit/>
        </w:trPr>
        <w:tc>
          <w:tcPr>
            <w:tcW w:w="3399" w:type="dxa"/>
            <w:vMerge/>
            <w:tcBorders>
              <w:top w:val="nil"/>
            </w:tcBorders>
          </w:tcPr>
          <w:p w14:paraId="7CE6BE88"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3B285540"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155B5D2E" w14:textId="4CCB133E"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gitáció, agresszió (lásd 4.4 pont)</w:t>
            </w:r>
          </w:p>
        </w:tc>
      </w:tr>
      <w:tr w:rsidR="00A53012" w:rsidRPr="00A53012" w14:paraId="1F39D037" w14:textId="77777777" w:rsidTr="00BC7E56">
        <w:trPr>
          <w:cantSplit/>
        </w:trPr>
        <w:tc>
          <w:tcPr>
            <w:tcW w:w="3399" w:type="dxa"/>
            <w:vMerge w:val="restart"/>
            <w:tcBorders>
              <w:bottom w:val="single" w:sz="4" w:space="0" w:color="000000"/>
            </w:tcBorders>
          </w:tcPr>
          <w:p w14:paraId="790133BF"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Idegrendszeri betegségek és tünetek</w:t>
            </w:r>
          </w:p>
        </w:tc>
        <w:tc>
          <w:tcPr>
            <w:tcW w:w="1843" w:type="dxa"/>
          </w:tcPr>
          <w:p w14:paraId="3E2B2C2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Borders>
              <w:bottom w:val="single" w:sz="4" w:space="0" w:color="000000"/>
            </w:tcBorders>
          </w:tcPr>
          <w:p w14:paraId="1948F709" w14:textId="25AE1A6D"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zédülés</w:t>
            </w:r>
          </w:p>
        </w:tc>
      </w:tr>
      <w:tr w:rsidR="00A53012" w:rsidRPr="00A53012" w14:paraId="0A3D4B68" w14:textId="77777777" w:rsidTr="00BC7E56">
        <w:trPr>
          <w:cantSplit/>
        </w:trPr>
        <w:tc>
          <w:tcPr>
            <w:tcW w:w="3399" w:type="dxa"/>
            <w:vMerge/>
            <w:tcBorders>
              <w:top w:val="nil"/>
              <w:bottom w:val="single" w:sz="4" w:space="0" w:color="000000"/>
            </w:tcBorders>
          </w:tcPr>
          <w:p w14:paraId="07F58D73"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7240227B"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top w:val="single" w:sz="4" w:space="0" w:color="000000"/>
              <w:bottom w:val="single" w:sz="4" w:space="0" w:color="000000"/>
            </w:tcBorders>
          </w:tcPr>
          <w:p w14:paraId="2177C13F" w14:textId="23388677"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remor</w:t>
            </w:r>
          </w:p>
        </w:tc>
      </w:tr>
      <w:tr w:rsidR="00A53012" w:rsidRPr="00A53012" w14:paraId="56BA1EE4" w14:textId="77777777" w:rsidTr="00BC7E56">
        <w:trPr>
          <w:cantSplit/>
        </w:trPr>
        <w:tc>
          <w:tcPr>
            <w:tcW w:w="3399" w:type="dxa"/>
            <w:vMerge/>
            <w:tcBorders>
              <w:top w:val="nil"/>
              <w:bottom w:val="single" w:sz="4" w:space="0" w:color="000000"/>
            </w:tcBorders>
          </w:tcPr>
          <w:p w14:paraId="6C828D20"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676CF53D"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5A0925A9" w14:textId="5C06152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zerotonin</w:t>
            </w:r>
            <w:r>
              <w:rPr>
                <w:rFonts w:ascii="Times New Roman" w:eastAsia="Times New Roman" w:hAnsi="Times New Roman" w:cs="Times New Roman"/>
                <w:noProof/>
                <w:kern w:val="0"/>
                <w:lang w:val="hu-HU"/>
                <w14:ligatures w14:val="none"/>
              </w:rPr>
              <w:t>-</w:t>
            </w:r>
            <w:r w:rsidR="00A53012" w:rsidRPr="00A53012">
              <w:rPr>
                <w:rFonts w:ascii="Times New Roman" w:eastAsia="Times New Roman" w:hAnsi="Times New Roman" w:cs="Times New Roman"/>
                <w:noProof/>
                <w:kern w:val="0"/>
                <w:lang w:val="hu-HU"/>
                <w14:ligatures w14:val="none"/>
              </w:rPr>
              <w:t>szindróma,</w:t>
            </w:r>
          </w:p>
          <w:p w14:paraId="2BF6B1F1" w14:textId="706719CA"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f</w:t>
            </w:r>
            <w:r w:rsidR="00A53012" w:rsidRPr="00A53012">
              <w:rPr>
                <w:rFonts w:ascii="Times New Roman" w:eastAsia="Times New Roman" w:hAnsi="Times New Roman" w:cs="Times New Roman"/>
                <w:noProof/>
                <w:kern w:val="0"/>
                <w:lang w:val="hu-HU"/>
                <w14:ligatures w14:val="none"/>
              </w:rPr>
              <w:t>ejfájás,</w:t>
            </w:r>
          </w:p>
          <w:p w14:paraId="32153375" w14:textId="3E554E4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kathisia,</w:t>
            </w:r>
          </w:p>
          <w:p w14:paraId="7263DF3A" w14:textId="69A99372"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A53012" w:rsidRPr="00A53012">
              <w:rPr>
                <w:rFonts w:ascii="Times New Roman" w:eastAsia="Times New Roman" w:hAnsi="Times New Roman" w:cs="Times New Roman"/>
                <w:noProof/>
                <w:kern w:val="0"/>
                <w:lang w:val="hu-HU"/>
                <w14:ligatures w14:val="none"/>
              </w:rPr>
              <w:t>ruxismus,</w:t>
            </w:r>
          </w:p>
          <w:p w14:paraId="7C779819" w14:textId="298A7473"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rismus,</w:t>
            </w:r>
          </w:p>
          <w:p w14:paraId="1312E3CE" w14:textId="3FA2392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n</w:t>
            </w:r>
            <w:r w:rsidR="00A53012" w:rsidRPr="00A53012">
              <w:rPr>
                <w:rFonts w:ascii="Times New Roman" w:eastAsia="Times New Roman" w:hAnsi="Times New Roman" w:cs="Times New Roman"/>
                <w:noProof/>
                <w:kern w:val="0"/>
                <w:lang w:val="hu-HU"/>
                <w14:ligatures w14:val="none"/>
              </w:rPr>
              <w:t>yugtalanláb-szindróma</w:t>
            </w:r>
          </w:p>
        </w:tc>
      </w:tr>
      <w:tr w:rsidR="00A53012" w:rsidRPr="00A53012" w14:paraId="0EE76349" w14:textId="77777777" w:rsidTr="00BC7E56">
        <w:trPr>
          <w:cantSplit/>
        </w:trPr>
        <w:tc>
          <w:tcPr>
            <w:tcW w:w="3399" w:type="dxa"/>
            <w:vMerge w:val="restart"/>
            <w:tcBorders>
              <w:top w:val="single" w:sz="4" w:space="0" w:color="000000"/>
              <w:left w:val="single" w:sz="4" w:space="0" w:color="000000"/>
              <w:bottom w:val="single" w:sz="4" w:space="0" w:color="000000"/>
              <w:right w:val="single" w:sz="4" w:space="0" w:color="000000"/>
            </w:tcBorders>
          </w:tcPr>
          <w:p w14:paraId="3D3FEE7D"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Szembetegségek és szemészeti tünetek</w:t>
            </w:r>
          </w:p>
        </w:tc>
        <w:tc>
          <w:tcPr>
            <w:tcW w:w="1843" w:type="dxa"/>
            <w:tcBorders>
              <w:left w:val="single" w:sz="4" w:space="0" w:color="000000"/>
              <w:bottom w:val="single" w:sz="4" w:space="0" w:color="000000"/>
            </w:tcBorders>
          </w:tcPr>
          <w:p w14:paraId="58AD0D32"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bottom w:val="single" w:sz="4" w:space="0" w:color="000000"/>
            </w:tcBorders>
          </w:tcPr>
          <w:p w14:paraId="01E02490" w14:textId="4D77F4D9"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omályos látás</w:t>
            </w:r>
          </w:p>
        </w:tc>
      </w:tr>
      <w:tr w:rsidR="00A53012" w:rsidRPr="00A53012" w14:paraId="04A9A1F3" w14:textId="77777777" w:rsidTr="00BC7E56">
        <w:trPr>
          <w:cantSplit/>
        </w:trPr>
        <w:tc>
          <w:tcPr>
            <w:tcW w:w="3399" w:type="dxa"/>
            <w:vMerge/>
            <w:tcBorders>
              <w:top w:val="nil"/>
              <w:left w:val="single" w:sz="4" w:space="0" w:color="000000"/>
              <w:bottom w:val="single" w:sz="4" w:space="0" w:color="000000"/>
              <w:right w:val="single" w:sz="4" w:space="0" w:color="000000"/>
            </w:tcBorders>
          </w:tcPr>
          <w:p w14:paraId="5DD8991F"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top w:val="single" w:sz="4" w:space="0" w:color="000000"/>
              <w:left w:val="single" w:sz="4" w:space="0" w:color="000000"/>
            </w:tcBorders>
          </w:tcPr>
          <w:p w14:paraId="5977348B"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Ritka</w:t>
            </w:r>
          </w:p>
        </w:tc>
        <w:tc>
          <w:tcPr>
            <w:tcW w:w="3830" w:type="dxa"/>
            <w:tcBorders>
              <w:top w:val="single" w:sz="4" w:space="0" w:color="000000"/>
            </w:tcBorders>
          </w:tcPr>
          <w:p w14:paraId="4D27A31E" w14:textId="0DF8F497"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ydriasis (ami akut zárt</w:t>
            </w:r>
            <w:r w:rsidR="00B338F0">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zugú glaucomához vezethet – lásd 4.4 pont)</w:t>
            </w:r>
          </w:p>
        </w:tc>
      </w:tr>
      <w:tr w:rsidR="00A53012" w:rsidRPr="00A53012" w14:paraId="006421AB" w14:textId="77777777" w:rsidTr="00BC7E56">
        <w:trPr>
          <w:cantSplit/>
        </w:trPr>
        <w:tc>
          <w:tcPr>
            <w:tcW w:w="3399" w:type="dxa"/>
            <w:vMerge w:val="restart"/>
            <w:tcBorders>
              <w:top w:val="single" w:sz="4" w:space="0" w:color="000000"/>
            </w:tcBorders>
          </w:tcPr>
          <w:p w14:paraId="7AB697E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Érbetegségek és tünetek</w:t>
            </w:r>
          </w:p>
        </w:tc>
        <w:tc>
          <w:tcPr>
            <w:tcW w:w="1843" w:type="dxa"/>
          </w:tcPr>
          <w:p w14:paraId="49EE74B3"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Pr>
          <w:p w14:paraId="5BFFD390" w14:textId="22CBEA79"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ipirulás</w:t>
            </w:r>
          </w:p>
        </w:tc>
      </w:tr>
      <w:tr w:rsidR="00A53012" w:rsidRPr="00A53012" w14:paraId="6C00AA54" w14:textId="77777777" w:rsidTr="00BC7E56">
        <w:trPr>
          <w:cantSplit/>
        </w:trPr>
        <w:tc>
          <w:tcPr>
            <w:tcW w:w="3399" w:type="dxa"/>
            <w:vMerge/>
            <w:tcBorders>
              <w:top w:val="nil"/>
            </w:tcBorders>
          </w:tcPr>
          <w:p w14:paraId="1C6C553F"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030F073E"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Pr>
          <w:p w14:paraId="72957D9B" w14:textId="03EEDE7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érzés (ide tartozik a zúzódás, véraláfutás, orrvérzés, gasztrointesztinális, illetve hüvelyi vérzés)</w:t>
            </w:r>
          </w:p>
        </w:tc>
      </w:tr>
      <w:tr w:rsidR="00A53012" w:rsidRPr="00A53012" w14:paraId="49C9D870" w14:textId="77777777" w:rsidTr="00BC7E56">
        <w:trPr>
          <w:cantSplit/>
        </w:trPr>
        <w:tc>
          <w:tcPr>
            <w:tcW w:w="3399" w:type="dxa"/>
            <w:vMerge w:val="restart"/>
            <w:tcBorders>
              <w:bottom w:val="single" w:sz="4" w:space="0" w:color="000000"/>
            </w:tcBorders>
          </w:tcPr>
          <w:p w14:paraId="70935591"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Emésztőrendszeri betegségek és tünetek</w:t>
            </w:r>
          </w:p>
        </w:tc>
        <w:tc>
          <w:tcPr>
            <w:tcW w:w="1843" w:type="dxa"/>
          </w:tcPr>
          <w:p w14:paraId="5F46A205"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Nagyon gyakori</w:t>
            </w:r>
          </w:p>
        </w:tc>
        <w:tc>
          <w:tcPr>
            <w:tcW w:w="3830" w:type="dxa"/>
          </w:tcPr>
          <w:p w14:paraId="33C28DE2" w14:textId="7DD9C2D6"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ányinger</w:t>
            </w:r>
          </w:p>
        </w:tc>
      </w:tr>
      <w:tr w:rsidR="00A53012" w:rsidRPr="00A53012" w14:paraId="6CA1BE99" w14:textId="77777777" w:rsidTr="00BC7E56">
        <w:trPr>
          <w:cantSplit/>
        </w:trPr>
        <w:tc>
          <w:tcPr>
            <w:tcW w:w="3399" w:type="dxa"/>
            <w:vMerge/>
            <w:tcBorders>
              <w:top w:val="nil"/>
              <w:bottom w:val="single" w:sz="4" w:space="0" w:color="000000"/>
            </w:tcBorders>
          </w:tcPr>
          <w:p w14:paraId="5F812983"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Pr>
          <w:p w14:paraId="792264D9"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Pr>
          <w:p w14:paraId="3783C601" w14:textId="261487C0"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asmenés,</w:t>
            </w:r>
          </w:p>
          <w:p w14:paraId="554FE0DD" w14:textId="7CA89BE6"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zékrekedés,</w:t>
            </w:r>
          </w:p>
          <w:p w14:paraId="74726994" w14:textId="6B71CDDF"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ányás,</w:t>
            </w:r>
          </w:p>
          <w:p w14:paraId="64495729" w14:textId="07F3E604"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d</w:t>
            </w:r>
            <w:r w:rsidR="00A53012" w:rsidRPr="00A53012">
              <w:rPr>
                <w:rFonts w:ascii="Times New Roman" w:eastAsia="Times New Roman" w:hAnsi="Times New Roman" w:cs="Times New Roman"/>
                <w:noProof/>
                <w:kern w:val="0"/>
                <w:lang w:val="hu-HU"/>
                <w14:ligatures w14:val="none"/>
              </w:rPr>
              <w:t>yspepsia</w:t>
            </w:r>
          </w:p>
        </w:tc>
      </w:tr>
      <w:tr w:rsidR="00A53012" w:rsidRPr="00A53012" w14:paraId="24483283" w14:textId="77777777" w:rsidTr="00BC7E56">
        <w:trPr>
          <w:cantSplit/>
        </w:trPr>
        <w:tc>
          <w:tcPr>
            <w:tcW w:w="3399" w:type="dxa"/>
            <w:vMerge w:val="restart"/>
            <w:tcBorders>
              <w:top w:val="single" w:sz="4" w:space="0" w:color="000000"/>
              <w:bottom w:val="single" w:sz="4" w:space="0" w:color="000000"/>
            </w:tcBorders>
          </w:tcPr>
          <w:p w14:paraId="1419D358"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bőr és a bőr alatti szövet betegségei és tünetei</w:t>
            </w:r>
          </w:p>
        </w:tc>
        <w:tc>
          <w:tcPr>
            <w:tcW w:w="1843" w:type="dxa"/>
          </w:tcPr>
          <w:p w14:paraId="3DCD8FD7"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Gyakori</w:t>
            </w:r>
          </w:p>
        </w:tc>
        <w:tc>
          <w:tcPr>
            <w:tcW w:w="3830" w:type="dxa"/>
          </w:tcPr>
          <w:p w14:paraId="1213FFC7" w14:textId="5275244E"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p</w:t>
            </w:r>
            <w:r w:rsidR="00A53012" w:rsidRPr="00A53012">
              <w:rPr>
                <w:rFonts w:ascii="Times New Roman" w:eastAsia="Times New Roman" w:hAnsi="Times New Roman" w:cs="Times New Roman"/>
                <w:noProof/>
                <w:kern w:val="0"/>
                <w:lang w:val="hu-HU"/>
                <w14:ligatures w14:val="none"/>
              </w:rPr>
              <w:t xml:space="preserve">ruritus, beleértve a generalizált pruritust is, </w:t>
            </w:r>
            <w:r w:rsidR="00B338F0">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yperhidrosis</w:t>
            </w:r>
          </w:p>
        </w:tc>
      </w:tr>
      <w:tr w:rsidR="00A53012" w:rsidRPr="00A53012" w14:paraId="187243F7" w14:textId="77777777" w:rsidTr="00BC7E56">
        <w:trPr>
          <w:cantSplit/>
        </w:trPr>
        <w:tc>
          <w:tcPr>
            <w:tcW w:w="3399" w:type="dxa"/>
            <w:vMerge/>
            <w:tcBorders>
              <w:top w:val="nil"/>
              <w:bottom w:val="single" w:sz="4" w:space="0" w:color="000000"/>
            </w:tcBorders>
          </w:tcPr>
          <w:p w14:paraId="00C68E6E"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bottom w:val="single" w:sz="4" w:space="0" w:color="000000"/>
            </w:tcBorders>
          </w:tcPr>
          <w:p w14:paraId="5C52C656"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gyakori</w:t>
            </w:r>
          </w:p>
        </w:tc>
        <w:tc>
          <w:tcPr>
            <w:tcW w:w="3830" w:type="dxa"/>
            <w:tcBorders>
              <w:bottom w:val="single" w:sz="4" w:space="0" w:color="000000"/>
            </w:tcBorders>
          </w:tcPr>
          <w:p w14:paraId="6E8FA9CE" w14:textId="72FE976E" w:rsidR="00A53012" w:rsidRPr="00A53012" w:rsidRDefault="00D45D17"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é</w:t>
            </w:r>
            <w:r w:rsidR="00A53012" w:rsidRPr="00A53012">
              <w:rPr>
                <w:rFonts w:ascii="Times New Roman" w:eastAsia="Times New Roman" w:hAnsi="Times New Roman" w:cs="Times New Roman"/>
                <w:noProof/>
                <w:kern w:val="0"/>
                <w:lang w:val="hu-HU"/>
                <w14:ligatures w14:val="none"/>
              </w:rPr>
              <w:t>jszakai izzadás</w:t>
            </w:r>
          </w:p>
        </w:tc>
      </w:tr>
      <w:tr w:rsidR="00A53012" w:rsidRPr="00A53012" w14:paraId="420F7D0C" w14:textId="77777777" w:rsidTr="00BC7E56">
        <w:trPr>
          <w:cantSplit/>
        </w:trPr>
        <w:tc>
          <w:tcPr>
            <w:tcW w:w="3399" w:type="dxa"/>
            <w:vMerge/>
            <w:tcBorders>
              <w:top w:val="nil"/>
              <w:bottom w:val="single" w:sz="4" w:space="0" w:color="000000"/>
            </w:tcBorders>
          </w:tcPr>
          <w:p w14:paraId="72A62595"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p>
        </w:tc>
        <w:tc>
          <w:tcPr>
            <w:tcW w:w="1843" w:type="dxa"/>
            <w:tcBorders>
              <w:top w:val="single" w:sz="4" w:space="0" w:color="000000"/>
              <w:bottom w:val="single" w:sz="4" w:space="0" w:color="000000"/>
            </w:tcBorders>
          </w:tcPr>
          <w:p w14:paraId="6AFCB093" w14:textId="77777777" w:rsidR="00A53012" w:rsidRPr="00A53012" w:rsidRDefault="00A53012"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bottom w:val="single" w:sz="4" w:space="0" w:color="000000"/>
            </w:tcBorders>
          </w:tcPr>
          <w:p w14:paraId="7B0EE385" w14:textId="2C0441A9"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a</w:t>
            </w:r>
            <w:r w:rsidR="00A53012" w:rsidRPr="00A53012">
              <w:rPr>
                <w:rFonts w:ascii="Times New Roman" w:eastAsia="Times New Roman" w:hAnsi="Times New Roman" w:cs="Times New Roman"/>
                <w:noProof/>
                <w:kern w:val="0"/>
                <w:lang w:val="hu-HU"/>
                <w14:ligatures w14:val="none"/>
              </w:rPr>
              <w:t>ngiooedema,</w:t>
            </w:r>
          </w:p>
          <w:p w14:paraId="053B69B8" w14:textId="3A57BD0C"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u</w:t>
            </w:r>
            <w:r w:rsidR="00A53012" w:rsidRPr="00A53012">
              <w:rPr>
                <w:rFonts w:ascii="Times New Roman" w:eastAsia="Times New Roman" w:hAnsi="Times New Roman" w:cs="Times New Roman"/>
                <w:noProof/>
                <w:kern w:val="0"/>
                <w:lang w:val="hu-HU"/>
                <w14:ligatures w14:val="none"/>
              </w:rPr>
              <w:t>rticaria,</w:t>
            </w:r>
          </w:p>
          <w:p w14:paraId="535369D2" w14:textId="52FC483B" w:rsidR="00A53012" w:rsidRPr="00A53012" w:rsidRDefault="00D45D17" w:rsidP="00A53012">
            <w:pPr>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b</w:t>
            </w:r>
            <w:r w:rsidR="00A53012" w:rsidRPr="00A53012">
              <w:rPr>
                <w:rFonts w:ascii="Times New Roman" w:eastAsia="Times New Roman" w:hAnsi="Times New Roman" w:cs="Times New Roman"/>
                <w:noProof/>
                <w:kern w:val="0"/>
                <w:lang w:val="hu-HU"/>
                <w14:ligatures w14:val="none"/>
              </w:rPr>
              <w:t>őrkiütés</w:t>
            </w:r>
          </w:p>
        </w:tc>
      </w:tr>
      <w:tr w:rsidR="00A53012" w:rsidRPr="00A53012" w14:paraId="60254DCA" w14:textId="77777777" w:rsidTr="00BC7E56">
        <w:trPr>
          <w:cantSplit/>
        </w:trPr>
        <w:tc>
          <w:tcPr>
            <w:tcW w:w="3399" w:type="dxa"/>
            <w:tcBorders>
              <w:top w:val="single" w:sz="4" w:space="0" w:color="000000"/>
            </w:tcBorders>
          </w:tcPr>
          <w:p w14:paraId="673D1471"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Általános tünetek, az alkalmazás helyén fellépő reakciók</w:t>
            </w:r>
          </w:p>
        </w:tc>
        <w:tc>
          <w:tcPr>
            <w:tcW w:w="1843" w:type="dxa"/>
            <w:tcBorders>
              <w:top w:val="single" w:sz="4" w:space="0" w:color="000000"/>
            </w:tcBorders>
          </w:tcPr>
          <w:p w14:paraId="2D462026" w14:textId="77777777" w:rsidR="00A53012" w:rsidRPr="00A53012" w:rsidRDefault="00A53012"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ismert*</w:t>
            </w:r>
          </w:p>
        </w:tc>
        <w:tc>
          <w:tcPr>
            <w:tcW w:w="3830" w:type="dxa"/>
            <w:tcBorders>
              <w:top w:val="single" w:sz="4" w:space="0" w:color="000000"/>
            </w:tcBorders>
          </w:tcPr>
          <w:p w14:paraId="764C1743" w14:textId="4ADFEB16" w:rsidR="00A53012" w:rsidRPr="00A53012" w:rsidRDefault="00B338F0" w:rsidP="00A53012">
            <w:pPr>
              <w:keepNext/>
              <w:suppressAutoHyphens/>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hAnsi="Times New Roman" w:cs="Times New Roman"/>
              </w:rPr>
              <w:t xml:space="preserve">a </w:t>
            </w:r>
            <w:proofErr w:type="spellStart"/>
            <w:r w:rsidRPr="00ED37A3">
              <w:rPr>
                <w:rFonts w:ascii="Times New Roman" w:hAnsi="Times New Roman" w:cs="Times New Roman"/>
              </w:rPr>
              <w:t>kezelés</w:t>
            </w:r>
            <w:proofErr w:type="spellEnd"/>
            <w:r w:rsidRPr="00ED37A3">
              <w:rPr>
                <w:rFonts w:ascii="Times New Roman" w:hAnsi="Times New Roman" w:cs="Times New Roman"/>
              </w:rPr>
              <w:t xml:space="preserve"> </w:t>
            </w:r>
            <w:proofErr w:type="spellStart"/>
            <w:r w:rsidRPr="00ED37A3">
              <w:rPr>
                <w:rFonts w:ascii="Times New Roman" w:hAnsi="Times New Roman" w:cs="Times New Roman"/>
              </w:rPr>
              <w:t>megszakításával</w:t>
            </w:r>
            <w:proofErr w:type="spellEnd"/>
            <w:r w:rsidRPr="00ED37A3">
              <w:rPr>
                <w:rFonts w:ascii="Times New Roman" w:hAnsi="Times New Roman" w:cs="Times New Roman"/>
              </w:rPr>
              <w:t xml:space="preserve"> </w:t>
            </w:r>
            <w:proofErr w:type="spellStart"/>
            <w:r w:rsidRPr="00ED37A3">
              <w:rPr>
                <w:rFonts w:ascii="Times New Roman" w:hAnsi="Times New Roman" w:cs="Times New Roman"/>
              </w:rPr>
              <w:t>összefüggő</w:t>
            </w:r>
            <w:proofErr w:type="spellEnd"/>
            <w:r w:rsidRPr="00103C52">
              <w:rPr>
                <w:rFonts w:ascii="Times New Roman" w:hAnsi="Times New Roman" w:cs="Times New Roman"/>
              </w:rPr>
              <w:t xml:space="preserve"> </w:t>
            </w:r>
            <w:r w:rsidR="00A53012" w:rsidRPr="00A53012">
              <w:rPr>
                <w:rFonts w:ascii="Times New Roman" w:eastAsia="Times New Roman" w:hAnsi="Times New Roman" w:cs="Times New Roman"/>
                <w:noProof/>
                <w:kern w:val="0"/>
                <w:lang w:val="hu-HU"/>
                <w14:ligatures w14:val="none"/>
              </w:rPr>
              <w:t>szindróma</w:t>
            </w:r>
          </w:p>
        </w:tc>
      </w:tr>
    </w:tbl>
    <w:p w14:paraId="12262051" w14:textId="77777777" w:rsidR="00A53012" w:rsidRPr="00A53012" w:rsidRDefault="00A53012" w:rsidP="00A53012">
      <w:pPr>
        <w:autoSpaceDE w:val="0"/>
        <w:autoSpaceDN w:val="0"/>
        <w:spacing w:after="0" w:line="240" w:lineRule="auto"/>
        <w:ind w:left="284" w:hanging="284"/>
        <w:rPr>
          <w:rFonts w:ascii="Times New Roman" w:eastAsia="Times New Roman" w:hAnsi="Times New Roman" w:cs="Times New Roman"/>
          <w:noProof/>
          <w:kern w:val="0"/>
          <w:sz w:val="20"/>
          <w:szCs w:val="20"/>
          <w:lang w:val="hu-HU"/>
          <w14:ligatures w14:val="none"/>
        </w:rPr>
      </w:pPr>
      <w:r w:rsidRPr="00A53012">
        <w:rPr>
          <w:rFonts w:ascii="Times New Roman" w:eastAsia="Times New Roman" w:hAnsi="Times New Roman" w:cs="Times New Roman"/>
          <w:noProof/>
          <w:kern w:val="0"/>
          <w:sz w:val="20"/>
          <w:szCs w:val="20"/>
          <w:lang w:val="hu-HU"/>
          <w14:ligatures w14:val="none"/>
        </w:rPr>
        <w:t>*</w:t>
      </w:r>
      <w:r w:rsidRPr="00A53012">
        <w:rPr>
          <w:rFonts w:ascii="Times New Roman" w:eastAsia="Times New Roman" w:hAnsi="Times New Roman" w:cs="Times New Roman"/>
          <w:noProof/>
          <w:kern w:val="0"/>
          <w:sz w:val="20"/>
          <w:szCs w:val="20"/>
          <w:lang w:val="hu-HU"/>
          <w14:ligatures w14:val="none"/>
        </w:rPr>
        <w:tab/>
        <w:t>Forgalomba hozatal utáni esetek alapján</w:t>
      </w:r>
    </w:p>
    <w:p w14:paraId="5BB2866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ADB52D1" w14:textId="0B4A7CBE"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 xml:space="preserve">Egyes </w:t>
      </w:r>
      <w:r w:rsidR="00B338F0">
        <w:rPr>
          <w:rFonts w:ascii="Times New Roman" w:eastAsia="Times New Roman" w:hAnsi="Times New Roman" w:cs="Times New Roman"/>
          <w:noProof/>
          <w:kern w:val="0"/>
          <w:u w:val="single"/>
          <w:lang w:val="hu-HU"/>
          <w14:ligatures w14:val="none"/>
        </w:rPr>
        <w:t>kiválasztott</w:t>
      </w:r>
      <w:r w:rsidR="00B338F0" w:rsidRPr="00A53012">
        <w:rPr>
          <w:rFonts w:ascii="Times New Roman" w:eastAsia="Times New Roman" w:hAnsi="Times New Roman" w:cs="Times New Roman"/>
          <w:noProof/>
          <w:kern w:val="0"/>
          <w:u w:val="single"/>
          <w:lang w:val="hu-HU"/>
          <w14:ligatures w14:val="none"/>
        </w:rPr>
        <w:t xml:space="preserve"> </w:t>
      </w:r>
      <w:r w:rsidRPr="00A53012">
        <w:rPr>
          <w:rFonts w:ascii="Times New Roman" w:eastAsia="Times New Roman" w:hAnsi="Times New Roman" w:cs="Times New Roman"/>
          <w:noProof/>
          <w:kern w:val="0"/>
          <w:u w:val="single"/>
          <w:lang w:val="hu-HU"/>
          <w14:ligatures w14:val="none"/>
        </w:rPr>
        <w:t>mellékhatások leírása</w:t>
      </w:r>
    </w:p>
    <w:p w14:paraId="7B05129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0CA7E01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Hányinger</w:t>
      </w:r>
    </w:p>
    <w:p w14:paraId="1F4C77B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hányinger általában enyhe vagy közepesen súlyos volt, és a kezelés első két hetében jelentkezett. A reakciók rendszerint átmenetiek voltak, és általában nem vezettek a terápia megszakításához. Az emésztőrendszeri mellékhatások, mint például a hányinger, gyakrabban fordultak elő a nőknél, mint a férfiaknál.</w:t>
      </w:r>
    </w:p>
    <w:p w14:paraId="539AA65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ED1EA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19BE5AA5" w14:textId="759E6CEB"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napi egyszer 10 mg-os vagy nagyobb vortioxetin-adag alkalmazásakor a </w:t>
      </w:r>
      <w:r w:rsidR="001F5BB8">
        <w:rPr>
          <w:rFonts w:ascii="Times New Roman" w:eastAsia="Times New Roman" w:hAnsi="Times New Roman" w:cs="Times New Roman"/>
          <w:noProof/>
          <w:kern w:val="0"/>
          <w:lang w:val="hu-HU"/>
          <w14:ligatures w14:val="none"/>
        </w:rPr>
        <w:t>vizsgálatokból kivontak aránya</w:t>
      </w:r>
      <w:r w:rsidRPr="00A53012">
        <w:rPr>
          <w:rFonts w:ascii="Times New Roman" w:eastAsia="Times New Roman" w:hAnsi="Times New Roman" w:cs="Times New Roman"/>
          <w:noProof/>
          <w:kern w:val="0"/>
          <w:lang w:val="hu-HU"/>
          <w14:ligatures w14:val="none"/>
        </w:rPr>
        <w:t xml:space="preserve"> a 65 éves vagy idősebb betegeknél magasabb volt.</w:t>
      </w:r>
    </w:p>
    <w:p w14:paraId="36A81B3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A2924C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egyszer 20 mg vortioxetin alkalmazásakor a hányinger és székrekedés gyakrabban fordult elő a 65 éves vagy idősebb betegeknél (42%, illetve 15%), mint a 65 évesnél fiatalabbaknál (27%, illetve 4%) (lásd 4.4 pont).</w:t>
      </w:r>
    </w:p>
    <w:p w14:paraId="47750D0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080E55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Szexuális diszfunkció</w:t>
      </w:r>
    </w:p>
    <w:p w14:paraId="1BEAE564" w14:textId="59C565D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klinikai vizsgálatokban a szexuális diszfunkció mértékét az </w:t>
      </w:r>
      <w:r w:rsidR="001F5BB8" w:rsidRPr="00A53012">
        <w:rPr>
          <w:rFonts w:ascii="Times New Roman" w:eastAsia="Times New Roman" w:hAnsi="Times New Roman" w:cs="Times New Roman"/>
          <w:noProof/>
          <w:kern w:val="0"/>
          <w:lang w:val="hu-HU"/>
          <w14:ligatures w14:val="none"/>
        </w:rPr>
        <w:t xml:space="preserve">ASEX </w:t>
      </w:r>
      <w:r w:rsidR="001F5BB8">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xml:space="preserve">Arizona Sexual Experience) </w:t>
      </w:r>
      <w:r w:rsidR="001F5BB8">
        <w:rPr>
          <w:rFonts w:ascii="Times New Roman" w:eastAsia="Times New Roman" w:hAnsi="Times New Roman" w:cs="Times New Roman"/>
          <w:noProof/>
          <w:kern w:val="0"/>
          <w:lang w:val="hu-HU"/>
          <w14:ligatures w14:val="none"/>
        </w:rPr>
        <w:t xml:space="preserve">kérdőív </w:t>
      </w:r>
      <w:r w:rsidRPr="00A53012">
        <w:rPr>
          <w:rFonts w:ascii="Times New Roman" w:eastAsia="Times New Roman" w:hAnsi="Times New Roman" w:cs="Times New Roman"/>
          <w:noProof/>
          <w:kern w:val="0"/>
          <w:lang w:val="hu-HU"/>
          <w14:ligatures w14:val="none"/>
        </w:rPr>
        <w:t>alkalmazásával mérték fel. Az 5-től 15 mg-ig terjedő dózistartományban a vortioxetin nem különbözött a placebótól. A vortioxetin 20 mg-os adagját alkalmazva azonban a kezelés során megnőtt a szexuális diszfunkció (sexual dysfunction, TESD) gyakorisága (lásd 5.1 pont). A forgalomba hozatalt követően szexuális diszfunkció eseteiről számoltak be a vortioxetin 20 mg alatti adagjai mellett is.</w:t>
      </w:r>
    </w:p>
    <w:p w14:paraId="1D6EFC6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D4E0EA" w14:textId="04E197BF"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A </w:t>
      </w:r>
      <w:r w:rsidR="001F5BB8" w:rsidRPr="00A53012">
        <w:rPr>
          <w:rFonts w:ascii="Times New Roman" w:eastAsia="Times New Roman" w:hAnsi="Times New Roman" w:cs="Times New Roman"/>
          <w:i/>
          <w:noProof/>
          <w:kern w:val="0"/>
          <w:lang w:val="hu-HU"/>
          <w14:ligatures w14:val="none"/>
        </w:rPr>
        <w:t>gyógyszer</w:t>
      </w:r>
      <w:r w:rsidR="001F5BB8">
        <w:rPr>
          <w:rFonts w:ascii="Times New Roman" w:eastAsia="Times New Roman" w:hAnsi="Times New Roman" w:cs="Times New Roman"/>
          <w:i/>
          <w:noProof/>
          <w:kern w:val="0"/>
          <w:lang w:val="hu-HU"/>
          <w14:ligatures w14:val="none"/>
        </w:rPr>
        <w:t>csoportra</w:t>
      </w:r>
      <w:r w:rsidR="001F5BB8" w:rsidRPr="00A53012">
        <w:rPr>
          <w:rFonts w:ascii="Times New Roman" w:eastAsia="Times New Roman" w:hAnsi="Times New Roman" w:cs="Times New Roman"/>
          <w:i/>
          <w:noProof/>
          <w:kern w:val="0"/>
          <w:lang w:val="hu-HU"/>
          <w14:ligatures w14:val="none"/>
        </w:rPr>
        <w:t xml:space="preserve"> </w:t>
      </w:r>
      <w:r w:rsidRPr="00A53012">
        <w:rPr>
          <w:rFonts w:ascii="Times New Roman" w:eastAsia="Times New Roman" w:hAnsi="Times New Roman" w:cs="Times New Roman"/>
          <w:i/>
          <w:noProof/>
          <w:kern w:val="0"/>
          <w:lang w:val="hu-HU"/>
          <w14:ligatures w14:val="none"/>
        </w:rPr>
        <w:t>jellemző mellékhatások</w:t>
      </w:r>
    </w:p>
    <w:p w14:paraId="12C55C62" w14:textId="5D87204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w:t>
      </w:r>
      <w:r w:rsidR="001F5BB8">
        <w:rPr>
          <w:rFonts w:ascii="Times New Roman" w:eastAsia="Times New Roman" w:hAnsi="Times New Roman" w:cs="Times New Roman"/>
          <w:noProof/>
          <w:kern w:val="0"/>
          <w:lang w:val="hu-HU"/>
          <w14:ligatures w14:val="none"/>
        </w:rPr>
        <w:t>antidepresszánsok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rokon farmakológiai osztályaiba sorolt gyógyszerekkel (SSRI-k vagy TCA-k) kezelt, javarészt 50 éves vagy idősebb betegekkel folytatott epidemiológiai vizsgálatokban a csonttörések kockázatának növekedését tapasztalták. A kockázathoz vezető mechanizmus nem ismert, és az sem, hogy ez a kockázat a vortioxetin esetében is fennáll-e.</w:t>
      </w:r>
    </w:p>
    <w:p w14:paraId="3875DA3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C4250A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371D894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kettős vak, placebokontrollos vizsgálatot végeztek, az egyikben összesen 304, major depresszióban (MDD) szenvedő, 7–11 éves korú gyermeket, a másikban 308, major depresszióban (MDD) szenvedő 12–17 éves korú gyermeket és serdülőt kezeltek vortioxetinnel. Általánosságban véve a vortioxetin mellékhatásprofilja gyermekek és serdülők esetén hasonló volt a felnőtteknél megfigyeltekéhez, eltekintve attól, hogy a felnőttekhez képest nagyobb gyakorisággal fordultak elő hasi fájdalommal kapcsolatos események és – kifejezetten serdülőknél – öngyilkossági gondolatok (lásd 5.1 pont).</w:t>
      </w:r>
    </w:p>
    <w:p w14:paraId="0328953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6F0C402" w14:textId="7E1AA4D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hosszú távú, nyílt elrendezésű, kiterjesztett vizsgálatot végeztek 5</w:t>
      </w:r>
      <w:r w:rsidR="001F5BB8">
        <w:rPr>
          <w:rFonts w:ascii="Times New Roman" w:eastAsia="Times New Roman" w:hAnsi="Times New Roman" w:cs="Times New Roman"/>
          <w:noProof/>
          <w:kern w:val="0"/>
          <w:lang w:val="hu-HU"/>
          <w14:ligatures w14:val="none"/>
        </w:rPr>
        <w:t> </w:t>
      </w:r>
      <w:r w:rsidR="001F5BB8"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közötti vortioxetin-adagokkal, 6 hónapos (N = 662), illetve 18 hónapos (N = 94) kezelési időtartammal. A vortioxetin biztonságossági és tolerálhatósági profilja gyermekeknél és serdülőknél a hosszú távú alkalmazás után összességében hasonló volt a rövid távú alkalmazás után megfigyeltekhez.</w:t>
      </w:r>
    </w:p>
    <w:p w14:paraId="1D9C4B9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00C6F38" w14:textId="23EF005E"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A vortioxetin-kezelés </w:t>
      </w:r>
      <w:r w:rsidR="001F5BB8">
        <w:rPr>
          <w:rFonts w:ascii="Times New Roman" w:eastAsia="Times New Roman" w:hAnsi="Times New Roman" w:cs="Times New Roman"/>
          <w:i/>
          <w:noProof/>
          <w:kern w:val="0"/>
          <w:lang w:val="hu-HU"/>
          <w14:ligatures w14:val="none"/>
        </w:rPr>
        <w:t>megszakításakor</w:t>
      </w:r>
      <w:r w:rsidR="001F5BB8" w:rsidRPr="00A53012">
        <w:rPr>
          <w:rFonts w:ascii="Times New Roman" w:eastAsia="Times New Roman" w:hAnsi="Times New Roman" w:cs="Times New Roman"/>
          <w:i/>
          <w:noProof/>
          <w:kern w:val="0"/>
          <w:lang w:val="hu-HU"/>
          <w14:ligatures w14:val="none"/>
        </w:rPr>
        <w:t xml:space="preserve"> </w:t>
      </w:r>
      <w:r w:rsidRPr="00A53012">
        <w:rPr>
          <w:rFonts w:ascii="Times New Roman" w:eastAsia="Times New Roman" w:hAnsi="Times New Roman" w:cs="Times New Roman"/>
          <w:i/>
          <w:noProof/>
          <w:kern w:val="0"/>
          <w:lang w:val="hu-HU"/>
          <w14:ligatures w14:val="none"/>
        </w:rPr>
        <w:t>jelentkező tünetek</w:t>
      </w:r>
    </w:p>
    <w:p w14:paraId="481373E3" w14:textId="0D6F36E0"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klinikai vizsgálatokban a vortioxetin-kezelés hirtelen </w:t>
      </w:r>
      <w:r w:rsidR="001F5BB8">
        <w:rPr>
          <w:rFonts w:ascii="Times New Roman" w:eastAsia="Times New Roman" w:hAnsi="Times New Roman" w:cs="Times New Roman"/>
          <w:noProof/>
          <w:kern w:val="0"/>
          <w:lang w:val="hu-HU"/>
          <w14:ligatures w14:val="none"/>
        </w:rPr>
        <w:t>megszakítását</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követően szisztematikusan értékelték a kezelés </w:t>
      </w:r>
      <w:r w:rsidR="001F5BB8">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tüneteket. A vortioxetinnel történő kezelést követően nem volt klinikailag releváns különbség a placebóhoz képest </w:t>
      </w:r>
      <w:r w:rsidR="001F5BB8" w:rsidRPr="001F5BB8">
        <w:rPr>
          <w:rFonts w:ascii="Times New Roman" w:eastAsia="Times New Roman" w:hAnsi="Times New Roman" w:cs="Times New Roman"/>
          <w:noProof/>
          <w:kern w:val="0"/>
          <w:lang w:val="hu-HU"/>
          <w14:ligatures w14:val="none"/>
        </w:rPr>
        <w:t xml:space="preserve">a kezelés megszakításával </w:t>
      </w:r>
      <w:r w:rsidRPr="00A53012">
        <w:rPr>
          <w:rFonts w:ascii="Times New Roman" w:eastAsia="Times New Roman" w:hAnsi="Times New Roman" w:cs="Times New Roman"/>
          <w:noProof/>
          <w:kern w:val="0"/>
          <w:lang w:val="hu-HU"/>
          <w14:ligatures w14:val="none"/>
        </w:rPr>
        <w:t xml:space="preserve">összefüggő tünetek incidenciája vagy jellege tekintetében (lásd 5.1 pont). A forgalomba hozatalt követő időszakban olyan esetekről számoltak be, amelyek a kezelés </w:t>
      </w:r>
      <w:r w:rsidR="001F5BB8" w:rsidRPr="001F5BB8">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tünetekkel jártak, ilyen volt többek között a szédülés, fejfájás, érzékelési zavarok (beleértve a paraesthesiát, áramütésszerű érzést), alvászavarok (beleértve az álmatlanságot), hányinger és/vagy hányás, szorongás, ingerlékenység, izgatottság, fáradtság és tremor. Ezek a tünetek a vortioxetin-kezelés </w:t>
      </w:r>
      <w:r w:rsidR="001F5BB8">
        <w:rPr>
          <w:rFonts w:ascii="Times New Roman" w:eastAsia="Times New Roman" w:hAnsi="Times New Roman" w:cs="Times New Roman"/>
          <w:noProof/>
          <w:kern w:val="0"/>
          <w:lang w:val="hu-HU"/>
          <w14:ligatures w14:val="none"/>
        </w:rPr>
        <w:t>megszakítását</w:t>
      </w:r>
      <w:r w:rsidR="001F5BB8" w:rsidRPr="001F5BB8">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követő első héten belül jelentkezhetnek.</w:t>
      </w:r>
    </w:p>
    <w:p w14:paraId="2D519C5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EE6828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Feltételezett mellékhatások bejelentése</w:t>
      </w:r>
    </w:p>
    <w:p w14:paraId="5C2A4A3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5D6ECDC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kern w:val="0"/>
          <w:lang w:val="hu-HU"/>
          <w14:ligatures w14:val="none"/>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8" w:history="1">
        <w:r w:rsidRPr="00A53012">
          <w:rPr>
            <w:rFonts w:ascii="Times New Roman" w:eastAsia="Times New Roman" w:hAnsi="Times New Roman" w:cs="Times New Roman"/>
            <w:noProof/>
            <w:color w:val="0000FF"/>
            <w:kern w:val="0"/>
            <w:u w:val="single"/>
            <w:shd w:val="clear" w:color="auto" w:fill="C0C0C0"/>
            <w:lang w:val="hu-HU"/>
            <w14:ligatures w14:val="none"/>
          </w:rPr>
          <w:t>V. függelékben</w:t>
        </w:r>
      </w:hyperlink>
      <w:r w:rsidRPr="00A53012">
        <w:rPr>
          <w:rFonts w:ascii="Times New Roman" w:eastAsia="Times New Roman" w:hAnsi="Times New Roman" w:cs="Times New Roman"/>
          <w:noProof/>
          <w:color w:val="0000FF"/>
          <w:kern w:val="0"/>
          <w:u w:val="single" w:color="0000FF"/>
          <w:shd w:val="clear" w:color="auto" w:fill="C0C0C0"/>
          <w:lang w:val="hu-HU"/>
          <w14:ligatures w14:val="none"/>
        </w:rPr>
        <w:t xml:space="preserve"> </w:t>
      </w:r>
      <w:r w:rsidRPr="00A53012">
        <w:rPr>
          <w:rFonts w:ascii="Times New Roman" w:eastAsia="Times New Roman" w:hAnsi="Times New Roman" w:cs="Times New Roman"/>
          <w:noProof/>
          <w:color w:val="000000"/>
          <w:kern w:val="0"/>
          <w:shd w:val="clear" w:color="auto" w:fill="C0C0C0"/>
          <w:lang w:val="hu-HU"/>
          <w14:ligatures w14:val="none"/>
        </w:rPr>
        <w:t>található elérhetőségek valamelyikén keresztül</w:t>
      </w:r>
      <w:r w:rsidRPr="00A53012">
        <w:rPr>
          <w:rFonts w:ascii="Times New Roman" w:eastAsia="Times New Roman" w:hAnsi="Times New Roman" w:cs="Times New Roman"/>
          <w:noProof/>
          <w:color w:val="000000"/>
          <w:kern w:val="0"/>
          <w:lang w:val="hu-HU"/>
          <w14:ligatures w14:val="none"/>
        </w:rPr>
        <w:t>.</w:t>
      </w:r>
    </w:p>
    <w:p w14:paraId="7ED9B11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6BE972" w14:textId="77777777" w:rsidR="00A53012" w:rsidRPr="00A53012" w:rsidRDefault="00A53012" w:rsidP="00A53012">
      <w:pPr>
        <w:keepNext/>
        <w:autoSpaceDE w:val="0"/>
        <w:autoSpaceDN w:val="0"/>
        <w:spacing w:after="0" w:line="240" w:lineRule="auto"/>
        <w:ind w:left="561" w:hanging="561"/>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4.9</w:t>
      </w:r>
      <w:r w:rsidRPr="00A53012">
        <w:rPr>
          <w:rFonts w:ascii="Times New Roman" w:eastAsia="Times New Roman" w:hAnsi="Times New Roman" w:cs="Times New Roman"/>
          <w:b/>
          <w:bCs/>
          <w:noProof/>
          <w:kern w:val="0"/>
          <w:lang w:val="hu-HU"/>
          <w14:ligatures w14:val="none"/>
        </w:rPr>
        <w:tab/>
        <w:t>Túladagolás</w:t>
      </w:r>
    </w:p>
    <w:p w14:paraId="46E77A7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9527FC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Klinikai vizsgálatokban a 40–75 mg-os dózistartományban a vortioxetin bevétele a következő mellékhatások felerősödését okozta: hányinger, felálláskor jelentkező szédülés, hasmenés, hasi diszkomfortérzés, generalizált pruritus, somnolentia és kipirulás.</w:t>
      </w:r>
    </w:p>
    <w:p w14:paraId="2CFCB1F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544EF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forgalomba hozatalt követő tapasztalatok elsősorban a 80 mg-ig terjedő vortioxetin túladagolásra vonatkoznak. Az esetek többségében tünetmentességről, illetve enyhe tünetekről számoltak be. A leggyakrabban jelentett tünet a hányinger és a hányás volt.</w:t>
      </w:r>
    </w:p>
    <w:p w14:paraId="709E61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6FFF86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80 mg-ot meghaladó vortioxetin túladagolással kapcsolatban korlátozottak a tapasztalatok. A terápiás dózistartomány többszörösét meghaladó dózisok alkalmazását követően görcsrohamok és szerotonin szindróma előfordulásáról számoltak be.</w:t>
      </w:r>
    </w:p>
    <w:p w14:paraId="24E8D4F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33FE4C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Túladagolás esetén a klinikai tünetek kezelése és a beteg állapotának megfelelő monitorozása szükséges. További orvosi felügyelet szakellátást biztosító intézményben javasolt.</w:t>
      </w:r>
    </w:p>
    <w:p w14:paraId="1537506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613365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A1760D3"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w:t>
      </w:r>
      <w:r w:rsidRPr="00A53012">
        <w:rPr>
          <w:rFonts w:ascii="Times New Roman" w:eastAsia="Times New Roman" w:hAnsi="Times New Roman" w:cs="Times New Roman"/>
          <w:b/>
          <w:bCs/>
          <w:noProof/>
          <w:kern w:val="0"/>
          <w:lang w:val="hu-HU"/>
          <w14:ligatures w14:val="none"/>
        </w:rPr>
        <w:tab/>
        <w:t>FARMAKOLÓGIAI TULAJDONSÁGOK</w:t>
      </w:r>
    </w:p>
    <w:p w14:paraId="5DEA363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7D30068B"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5.1</w:t>
      </w:r>
      <w:r w:rsidRPr="00A53012">
        <w:rPr>
          <w:rFonts w:ascii="Times New Roman" w:eastAsia="Times New Roman" w:hAnsi="Times New Roman" w:cs="Times New Roman"/>
          <w:b/>
          <w:bCs/>
          <w:noProof/>
          <w:kern w:val="0"/>
          <w:lang w:val="hu-HU"/>
          <w14:ligatures w14:val="none"/>
        </w:rPr>
        <w:tab/>
        <w:t>Farmakodinámiás tulajdonságok</w:t>
      </w:r>
    </w:p>
    <w:p w14:paraId="367805C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35823966" w14:textId="7E98E07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Farmakoterápiás csoport: Pszichoanaleptikumok; Egyéb </w:t>
      </w:r>
      <w:r w:rsidR="001F5BB8">
        <w:rPr>
          <w:rFonts w:ascii="Times New Roman" w:eastAsia="Times New Roman" w:hAnsi="Times New Roman" w:cs="Times New Roman"/>
          <w:noProof/>
          <w:kern w:val="0"/>
          <w:lang w:val="hu-HU"/>
          <w14:ligatures w14:val="none"/>
        </w:rPr>
        <w:t>antidepresszánsok</w:t>
      </w:r>
      <w:r w:rsidR="001F5BB8"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ATC kód: N06AX26 </w:t>
      </w:r>
    </w:p>
    <w:p w14:paraId="5FE0C7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D62F9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Hatásmechanizmus</w:t>
      </w:r>
    </w:p>
    <w:p w14:paraId="690705F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D7C9FE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hatásmechanizmusa vélhetően egyrészről arra vezethető vissza, hogy közvetlenül modulálja a szerotonerg receptoraktivitást, másrészről pedig gátolja a szerotonin (5-HT) transzportert is. Nem klinikai adatok alapján a vortioxetin 5-HT</w:t>
      </w:r>
      <w:r w:rsidRPr="00A53012">
        <w:rPr>
          <w:rFonts w:ascii="Times New Roman" w:eastAsia="Times New Roman" w:hAnsi="Times New Roman" w:cs="Times New Roman"/>
          <w:noProof/>
          <w:kern w:val="0"/>
          <w:vertAlign w:val="subscript"/>
          <w:lang w:val="hu-HU"/>
          <w14:ligatures w14:val="none"/>
        </w:rPr>
        <w:t>3</w:t>
      </w:r>
      <w:r w:rsidRPr="00A53012">
        <w:rPr>
          <w:rFonts w:ascii="Times New Roman" w:eastAsia="Times New Roman" w:hAnsi="Times New Roman" w:cs="Times New Roman"/>
          <w:noProof/>
          <w:kern w:val="0"/>
          <w:lang w:val="hu-HU"/>
          <w14:ligatures w14:val="none"/>
        </w:rPr>
        <w:t>, 5-HT</w:t>
      </w:r>
      <w:r w:rsidRPr="00A53012">
        <w:rPr>
          <w:rFonts w:ascii="Times New Roman" w:eastAsia="Times New Roman" w:hAnsi="Times New Roman" w:cs="Times New Roman"/>
          <w:noProof/>
          <w:kern w:val="0"/>
          <w:vertAlign w:val="subscript"/>
          <w:lang w:val="hu-HU"/>
          <w14:ligatures w14:val="none"/>
        </w:rPr>
        <w:t>7</w:t>
      </w:r>
      <w:r w:rsidRPr="00A53012">
        <w:rPr>
          <w:rFonts w:ascii="Times New Roman" w:eastAsia="Times New Roman" w:hAnsi="Times New Roman" w:cs="Times New Roman"/>
          <w:noProof/>
          <w:kern w:val="0"/>
          <w:lang w:val="hu-HU"/>
          <w14:ligatures w14:val="none"/>
        </w:rPr>
        <w:t xml:space="preserve"> és 5-HT</w:t>
      </w:r>
      <w:r w:rsidRPr="00A53012">
        <w:rPr>
          <w:rFonts w:ascii="Times New Roman" w:eastAsia="Times New Roman" w:hAnsi="Times New Roman" w:cs="Times New Roman"/>
          <w:noProof/>
          <w:kern w:val="0"/>
          <w:vertAlign w:val="subscript"/>
          <w:lang w:val="hu-HU"/>
          <w14:ligatures w14:val="none"/>
        </w:rPr>
        <w:t>1D</w:t>
      </w:r>
      <w:r w:rsidRPr="00A53012">
        <w:rPr>
          <w:rFonts w:ascii="Times New Roman" w:eastAsia="Times New Roman" w:hAnsi="Times New Roman" w:cs="Times New Roman"/>
          <w:noProof/>
          <w:kern w:val="0"/>
          <w:lang w:val="hu-HU"/>
          <w14:ligatures w14:val="none"/>
        </w:rPr>
        <w:t xml:space="preserve"> receptor antagonista, 5</w:t>
      </w:r>
      <w:r w:rsidRPr="00A53012">
        <w:rPr>
          <w:rFonts w:ascii="Times New Roman" w:eastAsia="Times New Roman" w:hAnsi="Times New Roman" w:cs="Times New Roman"/>
          <w:noProof/>
          <w:kern w:val="0"/>
          <w:lang w:val="hu-HU"/>
          <w14:ligatures w14:val="none"/>
        </w:rPr>
        <w:noBreakHyphen/>
        <w:t>HT</w:t>
      </w:r>
      <w:r w:rsidRPr="00A53012">
        <w:rPr>
          <w:rFonts w:ascii="Times New Roman" w:eastAsia="Times New Roman" w:hAnsi="Times New Roman" w:cs="Times New Roman"/>
          <w:noProof/>
          <w:kern w:val="0"/>
          <w:vertAlign w:val="subscript"/>
          <w:lang w:val="hu-HU"/>
          <w14:ligatures w14:val="none"/>
        </w:rPr>
        <w:t>1B</w:t>
      </w:r>
      <w:r w:rsidRPr="00A53012">
        <w:rPr>
          <w:rFonts w:ascii="Times New Roman" w:eastAsia="Times New Roman" w:hAnsi="Times New Roman" w:cs="Times New Roman"/>
          <w:noProof/>
          <w:kern w:val="0"/>
          <w:lang w:val="hu-HU"/>
          <w14:ligatures w14:val="none"/>
        </w:rPr>
        <w:t> receptor parciális agonista, 5-HT</w:t>
      </w:r>
      <w:r w:rsidRPr="00A53012">
        <w:rPr>
          <w:rFonts w:ascii="Times New Roman" w:eastAsia="Times New Roman" w:hAnsi="Times New Roman" w:cs="Times New Roman"/>
          <w:noProof/>
          <w:kern w:val="0"/>
          <w:vertAlign w:val="subscript"/>
          <w:lang w:val="hu-HU"/>
          <w14:ligatures w14:val="none"/>
        </w:rPr>
        <w:t>1A</w:t>
      </w:r>
      <w:r w:rsidRPr="00A53012">
        <w:rPr>
          <w:rFonts w:ascii="Times New Roman" w:eastAsia="Times New Roman" w:hAnsi="Times New Roman" w:cs="Times New Roman"/>
          <w:noProof/>
          <w:kern w:val="0"/>
          <w:lang w:val="hu-HU"/>
          <w14:ligatures w14:val="none"/>
        </w:rPr>
        <w:t xml:space="preserve"> receptor agonista és 5-HT transzporter inhibitor, ennélfogva több rendszerben, így túlnyomóan a szerotonin-rendszerben, de valószínűleg a noradrenalin-, dopamin-, hisztamin-, acetilkolin-, GABA- és glutamát-rendszerben is modulálja a neurotranszmissziót. Ez a multimodális aktivitás felelős a vortioxetin állatkísérletekben megfigyelt antidepresszív és szorongásoldásszerű, valamint a kognitív funkciókat, a tanulást és a memóriát javító hatásáért. Egyelőre azonban még nem ismert, hogy az egyes célhelyek pontosan milyen szerepet töltenek be az észlelt farmakodinámiás profil összességében, és az állatkísérletes eredmények csak óvatosan extrapolálhatók közvetlenül az emberekre.</w:t>
      </w:r>
    </w:p>
    <w:p w14:paraId="410E820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4A054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Két humán pozitronemissziós tomográfiás (positron emission tomography, PET) vizsgálatot végeztek 5-HT transzporter ligandumok (</w:t>
      </w:r>
      <w:r w:rsidRPr="00A53012">
        <w:rPr>
          <w:rFonts w:ascii="Times New Roman" w:eastAsia="Times New Roman" w:hAnsi="Times New Roman" w:cs="Times New Roman"/>
          <w:noProof/>
          <w:kern w:val="0"/>
          <w:vertAlign w:val="superscript"/>
          <w:lang w:val="hu-HU"/>
          <w14:ligatures w14:val="none"/>
        </w:rPr>
        <w:t>11</w:t>
      </w:r>
      <w:r w:rsidRPr="00A53012">
        <w:rPr>
          <w:rFonts w:ascii="Times New Roman" w:eastAsia="Times New Roman" w:hAnsi="Times New Roman" w:cs="Times New Roman"/>
          <w:noProof/>
          <w:kern w:val="0"/>
          <w:lang w:val="hu-HU"/>
          <w14:ligatures w14:val="none"/>
        </w:rPr>
        <w:t xml:space="preserve">C-MADAM vagy </w:t>
      </w:r>
      <w:r w:rsidRPr="00A53012">
        <w:rPr>
          <w:rFonts w:ascii="Times New Roman" w:eastAsia="Times New Roman" w:hAnsi="Times New Roman" w:cs="Times New Roman"/>
          <w:noProof/>
          <w:kern w:val="0"/>
          <w:vertAlign w:val="superscript"/>
          <w:lang w:val="hu-HU"/>
          <w14:ligatures w14:val="none"/>
        </w:rPr>
        <w:t>11</w:t>
      </w:r>
      <w:r w:rsidRPr="00A53012">
        <w:rPr>
          <w:rFonts w:ascii="Times New Roman" w:eastAsia="Times New Roman" w:hAnsi="Times New Roman" w:cs="Times New Roman"/>
          <w:noProof/>
          <w:kern w:val="0"/>
          <w:lang w:val="hu-HU"/>
          <w14:ligatures w14:val="none"/>
        </w:rPr>
        <w:t>C-DASB) segítségével az agyban található 5</w:t>
      </w:r>
      <w:r w:rsidRPr="00A53012">
        <w:rPr>
          <w:rFonts w:ascii="Times New Roman" w:eastAsia="Times New Roman" w:hAnsi="Times New Roman" w:cs="Times New Roman"/>
          <w:noProof/>
          <w:kern w:val="0"/>
          <w:lang w:val="hu-HU"/>
          <w14:ligatures w14:val="none"/>
        </w:rPr>
        <w:noBreakHyphen/>
        <w:t>HT transzporterek különböző dózisszintek melletti lefedettségének meghatározására. Az 5</w:t>
      </w:r>
      <w:r w:rsidRPr="00A53012">
        <w:rPr>
          <w:rFonts w:ascii="Times New Roman" w:eastAsia="Times New Roman" w:hAnsi="Times New Roman" w:cs="Times New Roman"/>
          <w:noProof/>
          <w:kern w:val="0"/>
          <w:lang w:val="hu-HU"/>
          <w14:ligatures w14:val="none"/>
        </w:rPr>
        <w:noBreakHyphen/>
        <w:t>HT transzporter lefedettség a raphe nucleusokban napi 5 mg adag mellett 50% körüli, napi 10 mg adag mellett 65% körüli, napi 20 mg adag mellett pedig 80% fölötti értékre nőtt.</w:t>
      </w:r>
    </w:p>
    <w:p w14:paraId="75E74CB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76AD92"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Klinikai hatásosság és biztonságosság</w:t>
      </w:r>
    </w:p>
    <w:p w14:paraId="74ED9094"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p>
    <w:p w14:paraId="58D07619"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hatásosságát és biztonságosságát egy, több mint 6700 beteg bevonásával végzett klinikai programban vizsgálták, amelyből összesen 3700 beteget kezeltek vortioxetinnel a major depresszió (major depressive disorder, MDD) rövid távú </w:t>
      </w:r>
      <w:r w:rsidRPr="00A53012">
        <w:rPr>
          <w:rFonts w:ascii="Times New Roman" w:eastAsia="Times New Roman" w:hAnsi="Times New Roman" w:cs="Times New Roman"/>
          <w:noProof/>
          <w:kern w:val="0"/>
          <w:lang w:val="hu-HU"/>
          <w14:ligatures w14:val="none"/>
        </w:rPr>
        <w:t>(≤ 12 hetes) vizsgálataiban. Tizenkét kettős vak, placebokontrollos, 6/8 hetes, fix dózisú vizsgálatot végeztek a vortioxetin MDD kezelésében mutatott rövid távú hatásosságának értékelésére felnőtteknél (az idős betegeket is beleértve). A 12 vizsgálat közül 9 esetében a vortioxetin legalább egy vizsgált dózisa hatásosnak bizonyult a Montgomery és Åsberg depresszió értékelő skála (Montgomery and Åsberg Depression Rating Scale, MADRS) vagy a 24 tételes Hamilton depresszió értékelő skála (Hamilton Depression Rating Scale 24-item, HAM</w:t>
      </w:r>
      <w:r w:rsidRPr="00A53012">
        <w:rPr>
          <w:rFonts w:ascii="Times New Roman" w:eastAsia="Times New Roman" w:hAnsi="Times New Roman" w:cs="Times New Roman"/>
          <w:noProof/>
          <w:kern w:val="0"/>
          <w:lang w:val="hu-HU"/>
          <w14:ligatures w14:val="none"/>
        </w:rPr>
        <w:noBreakHyphen/>
        <w:t>D</w:t>
      </w:r>
      <w:r w:rsidRPr="00A53012">
        <w:rPr>
          <w:rFonts w:ascii="Times New Roman" w:eastAsia="Times New Roman" w:hAnsi="Times New Roman" w:cs="Times New Roman"/>
          <w:noProof/>
          <w:kern w:val="0"/>
          <w:vertAlign w:val="subscript"/>
          <w:lang w:val="hu-HU"/>
          <w14:ligatures w14:val="none"/>
        </w:rPr>
        <w:t>24</w:t>
      </w:r>
      <w:r w:rsidRPr="00A53012">
        <w:rPr>
          <w:rFonts w:ascii="Times New Roman" w:eastAsia="Times New Roman" w:hAnsi="Times New Roman" w:cs="Times New Roman"/>
          <w:noProof/>
          <w:kern w:val="0"/>
          <w:lang w:val="hu-HU"/>
          <w14:ligatures w14:val="none"/>
        </w:rPr>
        <w:t>) összpontszámában a placebóhoz képest elért 2 pontnyi különbség alapján. Ezt az eredményt támasztotta alá, hogy a kezelésre reagáló és nem reagáló betegek aránya, valamint a Klinikai összbenyomás – általános javulását jelző pontszám (Clinical Global Impression – Global Improvement, CGI-I) alapján a hatás klinikailag is relevánsnak bizonyult. A vortioxetin hatásossága az adag emelésével nőtt.</w:t>
      </w:r>
    </w:p>
    <w:p w14:paraId="504F927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7B3DDD1" w14:textId="49E79B01"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egyes vizsgálatokban elért hatást alátámasztotta a felnőtt populációban végzett rövid távú, placebokontrollos vizsgálatok kiindulási MADRS összpontszámához képest a 6.</w:t>
      </w:r>
      <w:r w:rsidR="00590A14">
        <w:rPr>
          <w:rFonts w:ascii="Times New Roman" w:eastAsia="Times New Roman" w:hAnsi="Times New Roman" w:cs="Times New Roman"/>
          <w:noProof/>
          <w:kern w:val="0"/>
          <w:lang w:val="hu-HU"/>
          <w14:ligatures w14:val="none"/>
        </w:rPr>
        <w:t xml:space="preserve"> vagy </w:t>
      </w:r>
      <w:r w:rsidRPr="00A53012">
        <w:rPr>
          <w:rFonts w:ascii="Times New Roman" w:eastAsia="Times New Roman" w:hAnsi="Times New Roman" w:cs="Times New Roman"/>
          <w:noProof/>
          <w:kern w:val="0"/>
          <w:lang w:val="hu-HU"/>
          <w14:ligatures w14:val="none"/>
        </w:rPr>
        <w:t>8. hétre elért átlagos változások metaanalízise (MMRM). A metanalízisben az önálló vizsgálatokban a placebóhoz viszonyítva elért átlagos különbség összességében statisztikailag szignifikáns volt: a napi 5, 10, illetve 20 mg-os adagnál -2,3 pont (p = 0,007), -3,6 pont (p &lt; 0,001), és -4,6 pont (p &lt; 0,001); a metaanalízisben a napi 15 mg-os adag a placebóhoz viszonyítva -2,6 pontos különbséget eredményezett, ami azonban statisztikailag nem különült el a placebótól. A vortioxetin hatásosságát az összesített reszponder analízis is alátámasztotta, melyben a reszponderek aránya a vortioxetin-kezelés mellett 46–49%, míg a placebocsoportban 34% volt (p &lt; 0,01; NRI analízis).</w:t>
      </w:r>
    </w:p>
    <w:p w14:paraId="6A515F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EDA38D4" w14:textId="088DB31D"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Ezen felül a vortioxetin a napi 5–20 mg dózistartományban </w:t>
      </w:r>
      <w:r w:rsidR="00590A14">
        <w:rPr>
          <w:rFonts w:ascii="Times New Roman" w:eastAsia="Times New Roman" w:hAnsi="Times New Roman" w:cs="Times New Roman"/>
          <w:noProof/>
          <w:kern w:val="0"/>
          <w:lang w:val="hu-HU"/>
          <w14:ligatures w14:val="none"/>
        </w:rPr>
        <w:t>hatásosnak</w:t>
      </w:r>
      <w:r w:rsidR="00590A14"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bizonyult </w:t>
      </w:r>
      <w:r w:rsidR="00590A14" w:rsidRPr="00590A14">
        <w:rPr>
          <w:rFonts w:ascii="Times New Roman" w:eastAsia="Times New Roman" w:hAnsi="Times New Roman" w:cs="Times New Roman"/>
          <w:noProof/>
          <w:kern w:val="0"/>
          <w:lang w:val="hu-HU"/>
          <w14:ligatures w14:val="none"/>
        </w:rPr>
        <w:t xml:space="preserve">a depressziós tünetek széles skálájának </w:t>
      </w:r>
      <w:r w:rsidRPr="00A53012">
        <w:rPr>
          <w:rFonts w:ascii="Times New Roman" w:eastAsia="Times New Roman" w:hAnsi="Times New Roman" w:cs="Times New Roman"/>
          <w:noProof/>
          <w:kern w:val="0"/>
          <w:lang w:val="hu-HU"/>
          <w14:ligatures w14:val="none"/>
        </w:rPr>
        <w:t>kezelésében (amit a MADRS skála minden tételének javulása jelzett).</w:t>
      </w:r>
    </w:p>
    <w:p w14:paraId="24C2F12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A8B0F" w14:textId="5534725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10</w:t>
      </w:r>
      <w:r w:rsidR="00590A14">
        <w:rPr>
          <w:rFonts w:ascii="Times New Roman" w:eastAsia="Times New Roman" w:hAnsi="Times New Roman" w:cs="Times New Roman"/>
          <w:noProof/>
          <w:kern w:val="0"/>
          <w:lang w:val="hu-HU"/>
          <w14:ligatures w14:val="none"/>
        </w:rPr>
        <w:t> mg</w:t>
      </w:r>
      <w:r w:rsidRPr="00A53012">
        <w:rPr>
          <w:rFonts w:ascii="Times New Roman" w:eastAsia="Times New Roman" w:hAnsi="Times New Roman" w:cs="Times New Roman"/>
          <w:noProof/>
          <w:kern w:val="0"/>
          <w:lang w:val="hu-HU"/>
          <w14:ligatures w14:val="none"/>
        </w:rPr>
        <w:t xml:space="preserve"> vagy 20 mg adagú vortioxetin hatásosságát igazolta továbbá a napi 25</w:t>
      </w:r>
      <w:r w:rsidR="00590A14">
        <w:rPr>
          <w:rFonts w:ascii="Times New Roman" w:eastAsia="Times New Roman" w:hAnsi="Times New Roman" w:cs="Times New Roman"/>
          <w:noProof/>
          <w:kern w:val="0"/>
          <w:lang w:val="hu-HU"/>
          <w14:ligatures w14:val="none"/>
        </w:rPr>
        <w:t> mg</w:t>
      </w:r>
      <w:r w:rsidRPr="00A53012">
        <w:rPr>
          <w:rFonts w:ascii="Times New Roman" w:eastAsia="Times New Roman" w:hAnsi="Times New Roman" w:cs="Times New Roman"/>
          <w:noProof/>
          <w:kern w:val="0"/>
          <w:lang w:val="hu-HU"/>
          <w14:ligatures w14:val="none"/>
        </w:rPr>
        <w:t xml:space="preserve"> vagy 50 mg dózisú agomelatinnal szemben egy 12 hetes, kettős vak, flexibilis dózisú, MDD-ben szenvedő betegek részvételével végzett összehasonlító vizsgálat. A MADRS összpontszám javulása alapján a vortioxetin statisztikailag szignifikánsan jobbnak bizonyult az agomelatinnál, és ennek klinikai relevanciáját igazolta a reszponderek és a remissziót mutatók aránya, valamint a CGI-I javulása.</w:t>
      </w:r>
    </w:p>
    <w:p w14:paraId="5AA59E2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1EB0567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hatás fenntartása</w:t>
      </w:r>
    </w:p>
    <w:p w14:paraId="6DF2047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hosszú távú antidepresszív hatásosságot egy relapszus-prevenciós vizsgálatban igazolták. A kezdeti 12 hetes nyílt elrendezésű vortioxetin-kezelési időszakban remissziót elérő betegeket napi 5 mg vagy 10 mg vortioxetin, illetve placebokezelésre randomizálták, és a kettős vak szakaszban legalább 24 héten át (24–64 hétig) követték őket, figyelve a relapszus előfordulását. A vortioxetin az elsődleges végpont, az MDD relapszusig eltelt idő tekintetében felülmúlta a placebót (p = 0,004). A relatív hazárd 2,0 volt, vagyis a placebocsoportban kétszer nagyobb volt a relapszus kockázata, mint a vortioxetin- csoportban.</w:t>
      </w:r>
    </w:p>
    <w:p w14:paraId="78A174DC"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650D080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3FFA6C08" w14:textId="3F1D20A6"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depressziós idős betegek (≥ 65 éves, n = 452, ebből 156 vortioxetinnel kezelt) részvételével végzett </w:t>
      </w:r>
      <w:r w:rsidRPr="00A53012">
        <w:rPr>
          <w:rFonts w:ascii="Times New Roman" w:eastAsia="Times New Roman" w:hAnsi="Times New Roman" w:cs="Times New Roman"/>
          <w:noProof/>
          <w:kern w:val="0"/>
          <w:lang w:val="hu-HU"/>
          <w14:ligatures w14:val="none"/>
        </w:rPr>
        <w:t xml:space="preserve">8 hetes, kettős vak, placebokontrollos, fix dózisú vizsgálatban a napi 5 mg vortioxetin a MADRS- és a HAM-D24-összpontszámok javulása alapján felülmúlta a placebót. A 8. hétre a vortioxetin 4,7 pontos különbséget eredményezett </w:t>
      </w:r>
      <w:r w:rsidR="00590A14" w:rsidRPr="00A53012">
        <w:rPr>
          <w:rFonts w:ascii="Times New Roman" w:eastAsia="Times New Roman" w:hAnsi="Times New Roman" w:cs="Times New Roman"/>
          <w:noProof/>
          <w:kern w:val="0"/>
          <w:lang w:val="hu-HU"/>
          <w14:ligatures w14:val="none"/>
        </w:rPr>
        <w:t xml:space="preserve">a placebóéhoz képest </w:t>
      </w:r>
      <w:r w:rsidRPr="00A53012">
        <w:rPr>
          <w:rFonts w:ascii="Times New Roman" w:eastAsia="Times New Roman" w:hAnsi="Times New Roman" w:cs="Times New Roman"/>
          <w:noProof/>
          <w:kern w:val="0"/>
          <w:lang w:val="hu-HU"/>
          <w14:ligatures w14:val="none"/>
        </w:rPr>
        <w:t>a MADRS összpontszámban (MMRM analízis).</w:t>
      </w:r>
    </w:p>
    <w:p w14:paraId="050F472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62A3BC6" w14:textId="5B7A5439"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 xml:space="preserve">Súlyos depresszióban vagy </w:t>
      </w:r>
      <w:proofErr w:type="spellStart"/>
      <w:r w:rsidR="00590A14" w:rsidRPr="00354AB5">
        <w:rPr>
          <w:rFonts w:ascii="Times New Roman" w:hAnsi="Times New Roman" w:cs="Times New Roman"/>
          <w:i/>
        </w:rPr>
        <w:t>súlyos</w:t>
      </w:r>
      <w:proofErr w:type="spellEnd"/>
      <w:r w:rsidR="00590A14" w:rsidRPr="00354AB5">
        <w:rPr>
          <w:rFonts w:ascii="Times New Roman" w:hAnsi="Times New Roman" w:cs="Times New Roman"/>
          <w:i/>
        </w:rPr>
        <w:t xml:space="preserve"> </w:t>
      </w:r>
      <w:proofErr w:type="spellStart"/>
      <w:r w:rsidR="00590A14" w:rsidRPr="00354AB5">
        <w:rPr>
          <w:rFonts w:ascii="Times New Roman" w:hAnsi="Times New Roman" w:cs="Times New Roman"/>
          <w:i/>
        </w:rPr>
        <w:t>szorongással</w:t>
      </w:r>
      <w:proofErr w:type="spellEnd"/>
      <w:r w:rsidR="00590A14" w:rsidRPr="00354AB5">
        <w:rPr>
          <w:rFonts w:ascii="Times New Roman" w:hAnsi="Times New Roman" w:cs="Times New Roman"/>
          <w:i/>
        </w:rPr>
        <w:t xml:space="preserve"> </w:t>
      </w:r>
      <w:proofErr w:type="spellStart"/>
      <w:r w:rsidR="00590A14" w:rsidRPr="00354AB5">
        <w:rPr>
          <w:rFonts w:ascii="Times New Roman" w:hAnsi="Times New Roman" w:cs="Times New Roman"/>
          <w:i/>
        </w:rPr>
        <w:t>társuló</w:t>
      </w:r>
      <w:proofErr w:type="spellEnd"/>
      <w:r w:rsidR="00590A14" w:rsidRPr="00354AB5">
        <w:rPr>
          <w:rFonts w:ascii="Times New Roman" w:hAnsi="Times New Roman" w:cs="Times New Roman"/>
          <w:i/>
        </w:rPr>
        <w:t xml:space="preserve"> </w:t>
      </w:r>
      <w:proofErr w:type="spellStart"/>
      <w:r w:rsidR="00590A14" w:rsidRPr="00590F6C">
        <w:rPr>
          <w:rFonts w:ascii="Times New Roman" w:hAnsi="Times New Roman" w:cs="Times New Roman"/>
          <w:i/>
        </w:rPr>
        <w:t>depresszióban</w:t>
      </w:r>
      <w:proofErr w:type="spellEnd"/>
      <w:r w:rsidR="00590A14" w:rsidRPr="00590F6C">
        <w:rPr>
          <w:rFonts w:ascii="Times New Roman" w:hAnsi="Times New Roman" w:cs="Times New Roman"/>
          <w:i/>
        </w:rPr>
        <w:t xml:space="preserve"> </w:t>
      </w:r>
      <w:r w:rsidRPr="00A53012">
        <w:rPr>
          <w:rFonts w:ascii="Times New Roman" w:eastAsia="Times New Roman" w:hAnsi="Times New Roman" w:cs="Times New Roman"/>
          <w:i/>
          <w:noProof/>
          <w:kern w:val="0"/>
          <w:lang w:val="hu-HU"/>
          <w14:ligatures w14:val="none"/>
        </w:rPr>
        <w:t>szenvedő betegek</w:t>
      </w:r>
    </w:p>
    <w:p w14:paraId="0D43FE23" w14:textId="16FBA34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Súlyos depresszióban (kiindulási MADRS-összpontszám ≥ 30) vagy </w:t>
      </w:r>
      <w:r w:rsidR="00590A14">
        <w:rPr>
          <w:rFonts w:ascii="Times New Roman" w:eastAsia="Times New Roman" w:hAnsi="Times New Roman" w:cs="Times New Roman"/>
          <w:noProof/>
          <w:kern w:val="0"/>
          <w:lang w:val="hu-HU"/>
          <w14:ligatures w14:val="none"/>
        </w:rPr>
        <w:t>súlyos</w:t>
      </w:r>
      <w:r w:rsidR="00590A14"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 xml:space="preserve">szorongással társuló depresszióban (kiindulási HAM-A-összpontszám ≥ 20) szenvedő felnőtt betegekkel végzett rövid távú vizsgálatokban a vortioxetin szintén hatásosnak bizonyult; (a MADRS összpontszámban a 6. </w:t>
      </w:r>
      <w:r w:rsidR="00590A14">
        <w:rPr>
          <w:rFonts w:ascii="Times New Roman" w:eastAsia="Times New Roman" w:hAnsi="Times New Roman" w:cs="Times New Roman"/>
          <w:noProof/>
          <w:kern w:val="0"/>
          <w:lang w:val="hu-HU"/>
          <w14:ligatures w14:val="none"/>
        </w:rPr>
        <w:t>vagy</w:t>
      </w:r>
      <w:r w:rsidRPr="00A53012">
        <w:rPr>
          <w:rFonts w:ascii="Times New Roman" w:eastAsia="Times New Roman" w:hAnsi="Times New Roman" w:cs="Times New Roman"/>
          <w:noProof/>
          <w:kern w:val="0"/>
          <w:lang w:val="hu-HU"/>
          <w14:ligatures w14:val="none"/>
        </w:rPr>
        <w:t xml:space="preserve"> 8. hétre a placebóval szemben elért átlagos különbség összességében 2,8–7,3 </w:t>
      </w:r>
      <w:r w:rsidR="00590A14">
        <w:rPr>
          <w:rFonts w:ascii="Times New Roman" w:eastAsia="Times New Roman" w:hAnsi="Times New Roman" w:cs="Times New Roman"/>
          <w:noProof/>
          <w:kern w:val="0"/>
          <w:lang w:val="hu-HU"/>
          <w14:ligatures w14:val="none"/>
        </w:rPr>
        <w:t>pont,</w:t>
      </w:r>
      <w:r w:rsidRPr="00A53012">
        <w:rPr>
          <w:rFonts w:ascii="Times New Roman" w:eastAsia="Times New Roman" w:hAnsi="Times New Roman" w:cs="Times New Roman"/>
          <w:noProof/>
          <w:kern w:val="0"/>
          <w:lang w:val="hu-HU"/>
          <w14:ligatures w14:val="none"/>
        </w:rPr>
        <w:t xml:space="preserve"> illetve 3,6–7,3 pont között volt </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MMRM analízis</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Ebben a betegcsoportban a vortioxetin az idősek bevonásával végzett vizsgálatban is hatásosnak bizonyult.</w:t>
      </w:r>
    </w:p>
    <w:p w14:paraId="04794B14" w14:textId="4EB4A3F4"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hosszútávú relapszus-prevenciós vizsgálatok az antidepresszív hatásosság </w:t>
      </w:r>
      <w:r w:rsidR="00590A14" w:rsidRPr="00590A14">
        <w:rPr>
          <w:rFonts w:ascii="Times New Roman" w:eastAsia="Times New Roman" w:hAnsi="Times New Roman" w:cs="Times New Roman"/>
          <w:noProof/>
          <w:kern w:val="0"/>
          <w:lang w:val="hu-HU"/>
          <w14:ligatures w14:val="none"/>
        </w:rPr>
        <w:t xml:space="preserve">fenntartását </w:t>
      </w:r>
      <w:r w:rsidRPr="00A53012">
        <w:rPr>
          <w:rFonts w:ascii="Times New Roman" w:eastAsia="Times New Roman" w:hAnsi="Times New Roman" w:cs="Times New Roman"/>
          <w:noProof/>
          <w:kern w:val="0"/>
          <w:lang w:val="hu-HU"/>
          <w14:ligatures w14:val="none"/>
        </w:rPr>
        <w:t>ebben a betegcsoportban</w:t>
      </w:r>
      <w:r w:rsidR="00590A14" w:rsidRPr="00590A14">
        <w:rPr>
          <w:rFonts w:ascii="Times New Roman" w:eastAsia="Times New Roman" w:hAnsi="Times New Roman" w:cs="Times New Roman"/>
          <w:noProof/>
          <w:kern w:val="0"/>
          <w:lang w:val="hu-HU"/>
          <w14:ligatures w14:val="none"/>
        </w:rPr>
        <w:t xml:space="preserve"> </w:t>
      </w:r>
      <w:r w:rsidR="00590A14" w:rsidRPr="00A53012">
        <w:rPr>
          <w:rFonts w:ascii="Times New Roman" w:eastAsia="Times New Roman" w:hAnsi="Times New Roman" w:cs="Times New Roman"/>
          <w:noProof/>
          <w:kern w:val="0"/>
          <w:lang w:val="hu-HU"/>
          <w14:ligatures w14:val="none"/>
        </w:rPr>
        <w:t>is bizonyították</w:t>
      </w:r>
      <w:r w:rsidRPr="00A53012">
        <w:rPr>
          <w:rFonts w:ascii="Times New Roman" w:eastAsia="Times New Roman" w:hAnsi="Times New Roman" w:cs="Times New Roman"/>
          <w:noProof/>
          <w:kern w:val="0"/>
          <w:lang w:val="hu-HU"/>
          <w14:ligatures w14:val="none"/>
        </w:rPr>
        <w:t>.</w:t>
      </w:r>
    </w:p>
    <w:p w14:paraId="3C41E0E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65D14CB" w14:textId="77777777" w:rsidR="00A53012" w:rsidRPr="00A53012" w:rsidRDefault="00A53012" w:rsidP="00A53012">
      <w:pPr>
        <w:keepNext/>
        <w:keepLines/>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A vortioxetin hatásai a szám-szimbólum behelyettesítési teszt (Digit Symbol Substitution Test, DSST) valamint a san diegoi Kalifornia Egyetem teljesítményalapú készségek felmérése (University of California San Diego Performance-Based Skills Assessment, UPSA) alapján megítélt objektív, illetve a megélt deficitek kérdőíve (Perceived Deficits Questionnaire, PDQ) valamint a kognitív és fizikális funkciók kérdőíve (Cognitive and Physical Functioning Questionnaire, CPFQ) alapján értékelt szubjektív mérések eredményeire</w:t>
      </w:r>
    </w:p>
    <w:p w14:paraId="7BF38F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(napi 5–20 mg) hatásosságát a major depresszióban szenvedő betegeknél 2, felnőtt és 1, idős betegekkel végzett rövid távú, placebokontrollos vizsgálatban tanulmányozták.</w:t>
      </w:r>
    </w:p>
    <w:p w14:paraId="49DAE6B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DD0D2D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vortioxetinnek a DSST alapján statisztikailag szignifikáns hatása volt a placebóhoz képest, ami a felnőttekkel végzett két vizsgálatban Δ = 1,75-tól (p = 0,019) 4,26-ig (p &lt; 0,0001) terjedt, az idősekkel végzett vizsgálatban pedig a Δ = 2,79 (p = 0,023) volt. A vortioxetin 0,35 standardizált hatásnagysággal különült el a placebótól (p &lt; 0,05) abban a metaanalízisben is, ami a 3 vizsgálatban a DSST skálán a helyes szimbólumok számának kiindulási értékhez képest elért átlagos változását elemezte (ANCOVA, LOCF). Ugyanezeknek a vizsgálatoknak a metaanalízisében a MADRS-ban bekövetkező változásra történő korrekció után az összpontszám azt mutatta, hogy a vortioxetin 0,24 standardizált hatásnagysággal különült el a placebótól (p &lt; 0,05).</w:t>
      </w:r>
    </w:p>
    <w:p w14:paraId="7F365B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36D8B1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funkcionális teljesítőképességre kifejtett hatását egy vizsgálatban az UPSA felmérés alapján értékelték. A vortioxetin 8 pontos eredménnyel, statisztikailag különbözött a placebóval elért 5,1 ponttól (p = 0,0003).</w:t>
      </w:r>
    </w:p>
    <w:p w14:paraId="7C7DB84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E14AF6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Egy vizsgálatban a vortioxetin a PDQ alapján mért szubjektív értékelésben is felülmúlta a placebót. A mért eredmény a vortioxetinnél -14,6, a placebónál pedig -10,5 volt (p = 0,002). A CPFQ alapján mért szubjektív értékelésben viszont a vortioxetin nem különült el a placebótól, itt a mért érték a vortioxetin esetén -8,1, a placebo esetében -6,9 volt (p = 0,086).</w:t>
      </w:r>
    </w:p>
    <w:p w14:paraId="7A9AC4D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E7E104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Tolerálhatóság és biztonságosság</w:t>
      </w:r>
    </w:p>
    <w:p w14:paraId="654403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biztonságosságát és tolerálhatóságát a napi 5–20 mg dózistartományban rövid és hosszú távú vizsgálatok során igazolták. A nemkívánatos hatásokkal, mellékhatásokkal kapcsolatban lásd a 4.8 pontot.</w:t>
      </w:r>
    </w:p>
    <w:p w14:paraId="7D3DD80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 placebóhoz képest nem növelte az insomnia, illetve a somnolentia gyakoriságát.</w:t>
      </w:r>
    </w:p>
    <w:p w14:paraId="4895C20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441BB59" w14:textId="16AC20D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Rövid és hosszú távú, placebokontrollos klinikai vizsgálatokban a vortioxetin-kezelés hirtelen leállítását követően szisztematikusan értékelték a kezelés </w:t>
      </w:r>
      <w:r w:rsidR="00590A14" w:rsidRPr="00590A14">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 xml:space="preserve">összefüggő lehetséges tüneteket. A kezelés </w:t>
      </w:r>
      <w:r w:rsidR="00590A14" w:rsidRPr="00590A14">
        <w:rPr>
          <w:rFonts w:ascii="Times New Roman" w:eastAsia="Times New Roman" w:hAnsi="Times New Roman" w:cs="Times New Roman"/>
          <w:noProof/>
          <w:kern w:val="0"/>
          <w:lang w:val="hu-HU"/>
          <w14:ligatures w14:val="none"/>
        </w:rPr>
        <w:t xml:space="preserve">megszakításával </w:t>
      </w:r>
      <w:r w:rsidRPr="00A53012">
        <w:rPr>
          <w:rFonts w:ascii="Times New Roman" w:eastAsia="Times New Roman" w:hAnsi="Times New Roman" w:cs="Times New Roman"/>
          <w:noProof/>
          <w:kern w:val="0"/>
          <w:lang w:val="hu-HU"/>
          <w14:ligatures w14:val="none"/>
        </w:rPr>
        <w:t>összefüggő tünetek gyakoriságát, illetve természetét tekintve a rövid (6–12 hetes) és a hosszú távú (24–64 hetes) vortioxetin-kezelés esetén sem volt klinikailag releváns eltérés a placebóhoz képest.</w:t>
      </w:r>
    </w:p>
    <w:p w14:paraId="58BD044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659BB15" w14:textId="69CE627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rövid és hosszú távú klinikai vizsgálataiban a betegek által jelzett szexuális mellékhatások gyakorisága alacsony, és a placebóéhoz hasonló volt. Azokban a vizsgálatokban, amelyekben a szexuális funkciózavar tüneteit az </w:t>
      </w:r>
      <w:r w:rsidR="00590A14" w:rsidRPr="00A53012">
        <w:rPr>
          <w:rFonts w:ascii="Times New Roman" w:eastAsia="Times New Roman" w:hAnsi="Times New Roman" w:cs="Times New Roman"/>
          <w:noProof/>
          <w:color w:val="000000"/>
          <w:kern w:val="0"/>
          <w:lang w:val="hu-HU"/>
          <w14:ligatures w14:val="none"/>
        </w:rPr>
        <w:t xml:space="preserve">ASEX </w:t>
      </w:r>
      <w:r w:rsidR="00590A14">
        <w:rPr>
          <w:rFonts w:ascii="Times New Roman" w:eastAsia="Times New Roman" w:hAnsi="Times New Roman" w:cs="Times New Roman"/>
          <w:noProof/>
          <w:color w:val="000000"/>
          <w:kern w:val="0"/>
          <w:lang w:val="hu-HU"/>
          <w14:ligatures w14:val="none"/>
        </w:rPr>
        <w:t>(</w:t>
      </w:r>
      <w:r w:rsidRPr="00A53012">
        <w:rPr>
          <w:rFonts w:ascii="Times New Roman" w:eastAsia="Times New Roman" w:hAnsi="Times New Roman" w:cs="Times New Roman"/>
          <w:noProof/>
          <w:color w:val="000000"/>
          <w:kern w:val="0"/>
          <w:lang w:val="hu-HU"/>
          <w14:ligatures w14:val="none"/>
        </w:rPr>
        <w:t>Arizona Sexual Experience</w:t>
      </w:r>
      <w:r w:rsidR="00590A14">
        <w:rPr>
          <w:rFonts w:ascii="Times New Roman" w:eastAsia="Times New Roman" w:hAnsi="Times New Roman" w:cs="Times New Roman"/>
          <w:noProof/>
          <w:color w:val="000000"/>
          <w:kern w:val="0"/>
          <w:lang w:val="hu-HU"/>
          <w14:ligatures w14:val="none"/>
        </w:rPr>
        <w:t>) kérdőív</w:t>
      </w:r>
      <w:r w:rsidRPr="00A53012">
        <w:rPr>
          <w:rFonts w:ascii="Times New Roman" w:eastAsia="Times New Roman" w:hAnsi="Times New Roman" w:cs="Times New Roman"/>
          <w:noProof/>
          <w:color w:val="000000"/>
          <w:kern w:val="0"/>
          <w:lang w:val="hu-HU"/>
          <w14:ligatures w14:val="none"/>
        </w:rPr>
        <w:t xml:space="preserve"> segítségével követték, a vortioxetin napi </w:t>
      </w:r>
      <w:r w:rsidRPr="00A53012">
        <w:rPr>
          <w:rFonts w:ascii="Times New Roman" w:eastAsia="Times New Roman" w:hAnsi="Times New Roman" w:cs="Times New Roman"/>
          <w:noProof/>
          <w:kern w:val="0"/>
          <w:lang w:val="hu-HU"/>
          <w14:ligatures w14:val="none"/>
        </w:rPr>
        <w:t>5–15 mg-os dózistartományában sem a kezeléssel összefüggő szexuális funkciózavar (treatment-emergent sexual dysfunction, TESD) gyakorisága, sem pedig az ASEX-összpontszám nem mutatott jelentős különbséget a placebóhoz képest. A napi 20 mg-os adagnál a placebóhoz viszonyítva a TESD növekedését figyelték meg (az incidencia különbsége 14,2%, 95%</w:t>
      </w:r>
      <w:r w:rsidR="00590A14">
        <w:rPr>
          <w:rFonts w:ascii="Times New Roman" w:eastAsia="Times New Roman" w:hAnsi="Times New Roman" w:cs="Times New Roman"/>
          <w:noProof/>
          <w:kern w:val="0"/>
          <w:lang w:val="hu-HU"/>
          <w14:ligatures w14:val="none"/>
        </w:rPr>
        <w:t>-os</w:t>
      </w:r>
      <w:r w:rsidRPr="00A53012">
        <w:rPr>
          <w:rFonts w:ascii="Times New Roman" w:eastAsia="Times New Roman" w:hAnsi="Times New Roman" w:cs="Times New Roman"/>
          <w:noProof/>
          <w:kern w:val="0"/>
          <w:lang w:val="hu-HU"/>
          <w14:ligatures w14:val="none"/>
        </w:rPr>
        <w:t> CI [1,4</w:t>
      </w:r>
      <w:r w:rsidR="00590A14">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 xml:space="preserve"> 27,0]).</w:t>
      </w:r>
    </w:p>
    <w:p w14:paraId="1B6B03A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378BEAA" w14:textId="2DA3B5E9"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szexuális funkciókra gyakorolt hatását egy 8 hetes, kettős vak, flexibilis dózisú eszcitaloprámmal szemben végzett összehasonlító vizsgálatban (n = 424) tovább vizsgálták olyan betegeknél, akik legalább 6 héten keresztül SSRI- (citaloprám, paroxetin vagy szertralin) kezelésben részesültek, enyhe depressziós tüneteket mutattak (kiindulási CGI-S ≤ 3), és a korábbi SSRI-kezelésük szexuális diszfunkcióhoz vezetett. A 8. héten a CSFQ-14 összpontszámban elért változás alapján mérve, a napi 10–20 mg vortioxetin statisztikailag szignifikánsan kevesebb kezelésből eredő szexuális diszfunkcióval járt, mint a napi 10–20 mg eszcitaloprám (2,2 pont, p = 0,013). A válaszadók aránya a 8. héten nem különbözött szignifikáns mértékben a vortioxetin- (162 (74,7%)), illetve az eszcitaloprám- (137 (66,2%)) csoportban (esélyhányados (OR): 1,5 p = 0,057). Az antidepressz</w:t>
      </w:r>
      <w:r w:rsidR="00590A14">
        <w:rPr>
          <w:rFonts w:ascii="Times New Roman" w:eastAsia="Times New Roman" w:hAnsi="Times New Roman" w:cs="Times New Roman"/>
          <w:noProof/>
          <w:kern w:val="0"/>
          <w:lang w:val="hu-HU"/>
          <w14:ligatures w14:val="none"/>
        </w:rPr>
        <w:t>áns</w:t>
      </w:r>
      <w:r w:rsidRPr="00A53012">
        <w:rPr>
          <w:rFonts w:ascii="Times New Roman" w:eastAsia="Times New Roman" w:hAnsi="Times New Roman" w:cs="Times New Roman"/>
          <w:noProof/>
          <w:kern w:val="0"/>
          <w:lang w:val="hu-HU"/>
          <w14:ligatures w14:val="none"/>
        </w:rPr>
        <w:t xml:space="preserve"> hatás mindkét csoportban fennmaradt.</w:t>
      </w:r>
    </w:p>
    <w:p w14:paraId="7A37702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BD64D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rövid és hosszú távú klinikai vizsgálatokban a vortioxetinnek a placebóhoz viszonyítva nem volt hatása a testtömegre, szívfrekvenciára és vérnyomásra.</w:t>
      </w:r>
    </w:p>
    <w:p w14:paraId="27615C2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D19B07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klinikai vizsgálatokban nem tapasztaltak klinikailag jelentős máj- vagy vesefunkció-változást.</w:t>
      </w:r>
    </w:p>
    <w:p w14:paraId="3D94A79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MDD-ben szenvedő betegeknél a vortioxetin nem váltott ki klinikailag jelentős EKG-paraméter változást, így nem befolyásolta a QT-, QTc-, PR- és QRS- intervallumot sem. Egy egészséges önkéntesekkel végzett átfogó QTc vizsgálatban a maximum napi 40 mg-ig terjedő adagolás esetén nem figyeltek meg a QTc-intervallum megnyúlására utaló jeleket.</w:t>
      </w:r>
    </w:p>
    <w:p w14:paraId="0AED3EB2"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A8ADE0C"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4C7552B7" w14:textId="4E993393"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Két rövid távú, randomizált, kettős vak, placebokontrollos, fix dózisú (10 mg/nap és 20 mg/nap vortioxetin), aktív kontrollal (fluoxetin) végzett hatásossági és biztonságossági vizsgálatot végeztek; az egyiket 7–11 éves, MDD-ben szenvedő gyermekeknél, a másikat 12–17 éves, MDD-ben szenvedő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 xml:space="preserve">serdülőknél. A vizsgálatok magukban foglaltak egy négyhetes egyszeres vak elrendezésű, placebo alkalmazásával végzett bevezető időszakot, standardizált pszichoszociális beavatkozással (a kezelt betegek száma a 7–11 éves gyermekekkel végzett vizsgálatban N = 677, a 12–17 éves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 xml:space="preserve">serdülőkkel végzett vizsgálatban N = 777), és csak a bevezető időszakban nem reagálókat randomizálták (7–11 éves gyermekekkel végzett vizsgálatban N = 540, a 12–17 éves </w:t>
      </w:r>
      <w:r w:rsidR="00590A14">
        <w:rPr>
          <w:rFonts w:ascii="Times New Roman" w:eastAsia="Times New Roman" w:hAnsi="Times New Roman" w:cs="Times New Roman"/>
          <w:noProof/>
          <w:kern w:val="0"/>
          <w:lang w:val="hu-HU"/>
          <w14:ligatures w14:val="none"/>
        </w:rPr>
        <w:t xml:space="preserve">gyermekeknél és </w:t>
      </w:r>
      <w:r w:rsidRPr="00A53012">
        <w:rPr>
          <w:rFonts w:ascii="Times New Roman" w:eastAsia="Times New Roman" w:hAnsi="Times New Roman" w:cs="Times New Roman"/>
          <w:noProof/>
          <w:kern w:val="0"/>
          <w:lang w:val="hu-HU"/>
          <w14:ligatures w14:val="none"/>
        </w:rPr>
        <w:t>serdülőkkel végzett vizsgálatban N = 616).</w:t>
      </w:r>
    </w:p>
    <w:p w14:paraId="4BF326F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A2A0467" w14:textId="7C868734"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7–11 éves gyermekekkel végzett vizsgálatban a két vortioxetin-adag (10</w:t>
      </w:r>
      <w:r w:rsidR="00590A14">
        <w:rPr>
          <w:rFonts w:ascii="Times New Roman" w:eastAsia="Times New Roman" w:hAnsi="Times New Roman" w:cs="Times New Roman"/>
          <w:noProof/>
          <w:kern w:val="0"/>
          <w:lang w:val="hu-HU"/>
          <w14:ligatures w14:val="none"/>
        </w:rPr>
        <w:t> </w:t>
      </w:r>
      <w:r w:rsidR="00590A14"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átlagos hatása a 8. héten nem tért el statisztikailag szignifikánsan a placebóhoz képest az átdolgozott Gyermek Depresszió Értékelő Skála (Children´s Depression Rating Scale-Revised, CDRS-R) összesített pontszáma alapján, ahogy az aktív kontroll (20 mg/nap fluoxetin), illetve az egyes vortioxetin-adagok (10</w:t>
      </w:r>
      <w:r w:rsidR="00590A14">
        <w:rPr>
          <w:rFonts w:ascii="Times New Roman" w:eastAsia="Times New Roman" w:hAnsi="Times New Roman" w:cs="Times New Roman"/>
          <w:noProof/>
          <w:kern w:val="0"/>
          <w:lang w:val="hu-HU"/>
          <w14:ligatures w14:val="none"/>
        </w:rPr>
        <w:t> </w:t>
      </w:r>
      <w:r w:rsidR="00590A14" w:rsidRPr="00A53012">
        <w:rPr>
          <w:rFonts w:ascii="Times New Roman" w:eastAsia="Times New Roman" w:hAnsi="Times New Roman" w:cs="Times New Roman"/>
          <w:noProof/>
          <w:kern w:val="0"/>
          <w:lang w:val="hu-HU"/>
          <w14:ligatures w14:val="none"/>
        </w:rPr>
        <w:t>mg/nap</w:t>
      </w:r>
      <w:r w:rsidRPr="00A53012">
        <w:rPr>
          <w:rFonts w:ascii="Times New Roman" w:eastAsia="Times New Roman" w:hAnsi="Times New Roman" w:cs="Times New Roman"/>
          <w:noProof/>
          <w:kern w:val="0"/>
          <w:lang w:val="hu-HU"/>
          <w14:ligatures w14:val="none"/>
        </w:rPr>
        <w:t xml:space="preserve"> és 20 mg/nap) esetében sem mutatkozott nominálisan szignifikáns különbség a placebóhoz képest. Általánosságban véve a vortioxetin mellékhatásprofilja gyermekek esetén hasonló volt a felnőttekéhez, eltekintve attól, hogy gyermekeknél nagyobb gyakorisággal számoltak be hasi fájdalomról. A nemkívánatos események miatt történő kilépés a vizsgálatból 2,0% volt a naponta 20 mg vortioxetinnel kezelt betegeknél, 1,3% a naponta 10 mg vortioxetin esetében, 0,7% a placebo esetében, és nem fordult elő kilépés a fluoxetin esetében. A vortioxetin kezelési csoportokban a leggyakrabban jelentett nemkívánatos események a hányinger, fejfájás, hányás, szédülés és hasi fájdalom voltak. A hányinger, a hányás és a hasi fájdalom gyakorisága nagyobb volt a vortioxetin csoportokban, mint a placebocsoportban. Nemkívánatos eseményként öngyilkossági gondolatokról és viselkedésről mind a négyhetes egyszeres vak elrendezésű bevezető időszakban (placebo 2/677 [0,3%]), mind a nyolchetes kezelési időszakban (10 mg/nap vortioxetin 1/149 [0,7%], placebo 1/153 [0,7%]) beszámoltak. Ezenkívül, a C-SSRS alapján a nyolchetes kezelési időszak alatt 5 betegnél számoltak be a „nem specifikus aktív öngyilkossági gondolatok” eseményről (20 mg/nap vortioxetin 1/153 [0,7%], placebo 1/153 [0,7%] és fluoxetin 3/82 [3,7%]). A Columbia Öngyilkosság Súlyosság Értékelő Skála (Columbia-Suicide Severity Rating Scale, C-SSRS) által mért öngyilkossági gondolatok és viselkedés terén a kezelési csoportok hasonlóak voltak.</w:t>
      </w:r>
    </w:p>
    <w:p w14:paraId="48F7D23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6493A6F" w14:textId="156798CC"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12–17 éves</w:t>
      </w:r>
      <w:r w:rsidR="00590A14">
        <w:rPr>
          <w:rFonts w:ascii="Times New Roman" w:eastAsia="Times New Roman" w:hAnsi="Times New Roman" w:cs="Times New Roman"/>
          <w:noProof/>
          <w:kern w:val="0"/>
          <w:lang w:val="hu-HU"/>
          <w14:ligatures w14:val="none"/>
        </w:rPr>
        <w:t xml:space="preserve"> gyermekekkel és </w:t>
      </w:r>
      <w:r w:rsidRPr="00A53012">
        <w:rPr>
          <w:rFonts w:ascii="Times New Roman" w:eastAsia="Times New Roman" w:hAnsi="Times New Roman" w:cs="Times New Roman"/>
          <w:noProof/>
          <w:kern w:val="0"/>
          <w:lang w:val="hu-HU"/>
          <w14:ligatures w14:val="none"/>
        </w:rPr>
        <w:t xml:space="preserve"> serdülőkkel végzett vizsgálatban sem a 10 mg/nap, sem a 20 mg/nap vortioxetin nem volt statisztikailag szignifikánsan jobb a placebóhoz képest az átdolgozott Gyermek Depresszió Értékelő Skála (Children´s Depression Rating Scale-Revised, CDRS-R) összesített pontszáma alapján. Az aktív kontroll (20 mg/nap fluoxetin) statisztikailag eltérő eredményt adott a placebóhoz képest a CDRS-R összesített pontszáma tekintetében. Általánosságban véve a serdülőknél a vortioxetin mellékhatásprofilja hasonló volt a felnőttekéhez, eltekintve attól, hogy serdülőknél nagyobb gyakorisággal számoltak be hasi fájdalomról és öngyilkossági gondolatokról. A nemkívánatos események miatt történő kilépés a vizsgálatból (főként az öngyilkossági gondolatok, hányinger és hányás miatt) a 20 mg/nap vortioxetinnel (5,6%) kezelt betegeknél volt a legmagasabb, szemben a napi 10 mg vortioxetinnel (2,7%), a fluoxetinnel (3,3%), és placebóval (1,3%) kezelt betegeknél tapasztalttal. A vortioxetin-kezelési csoportokban a leggyakrabban jelentett mellékhatások a hányinger, hányás és fejfájás voltak. Nemkívánatos eseményként öngyilkossági gondolatokról és viselkedésről mind a négyhetes egyszeresen vak elrendezésű bevezető időszakban (placebo 13/777 [1,7%]), mind a nyolchetes kezelési időszakban (10 mg/nap vortioxetin 2/147) [1,4%], 20 mg/nap vortioxetin 6/161 [3,7%], fluoxetin 6/153 [3,9%], placebo 0/154 [0%]) beszámoltak. A C-SSRS által mért öngyilkossági gondolatok és viselkedés terén nem volt különbség a kezelési csoportok között.</w:t>
      </w:r>
    </w:p>
    <w:p w14:paraId="2253B11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FBD36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nem alkalmazható major depresszióban szenvedő (18 éves kor alatti) gyermekek és serdülők esetén (lásd 4.2 pont).</w:t>
      </w:r>
    </w:p>
    <w:p w14:paraId="18E6EEE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E67D0FB" w14:textId="0140B7FA"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Európai Gyógyszerügynökség </w:t>
      </w:r>
      <w:r w:rsidR="0041553C">
        <w:rPr>
          <w:rFonts w:ascii="Times New Roman" w:eastAsia="Times New Roman" w:hAnsi="Times New Roman" w:cs="Times New Roman"/>
          <w:noProof/>
          <w:kern w:val="0"/>
          <w:lang w:val="hu-HU"/>
          <w14:ligatures w14:val="none"/>
        </w:rPr>
        <w:t xml:space="preserve">gyermekek esetén </w:t>
      </w:r>
      <w:r w:rsidRPr="00A53012">
        <w:rPr>
          <w:rFonts w:ascii="Times New Roman" w:eastAsia="Times New Roman" w:hAnsi="Times New Roman" w:cs="Times New Roman"/>
          <w:noProof/>
          <w:kern w:val="0"/>
          <w:lang w:val="hu-HU"/>
          <w14:ligatures w14:val="none"/>
        </w:rPr>
        <w:t>a 7 évesnél fiatalabb korosztálynál eltekint a vortioxetin vizsgálati eredményeinek benyújtási kötelezettségétől major depresszióban (lásd 4.2 pont, gyermekgyógyászati alkalmazásra vonatkozó információk).</w:t>
      </w:r>
    </w:p>
    <w:p w14:paraId="1FC92ED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4159E55"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5.2</w:t>
      </w:r>
      <w:r w:rsidRPr="00A53012">
        <w:rPr>
          <w:rFonts w:ascii="Times New Roman" w:eastAsia="Times New Roman" w:hAnsi="Times New Roman" w:cs="Times New Roman"/>
          <w:b/>
          <w:bCs/>
          <w:noProof/>
          <w:kern w:val="0"/>
          <w:lang w:val="hu-HU"/>
          <w14:ligatures w14:val="none"/>
        </w:rPr>
        <w:tab/>
        <w:t>Farmakokinetikai tulajdonságok</w:t>
      </w:r>
    </w:p>
    <w:p w14:paraId="4C67E245"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8603E2B"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Felszívódás</w:t>
      </w:r>
    </w:p>
    <w:p w14:paraId="2F3DCDF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112539D" w14:textId="4FFDD4B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a szájon át történő alkalmazást követően lassan, de jól felszívódik, és a maximális plazmakoncentrációját a gyógyszerbevételt követő 7–11 órán belül éri el. Napi 5 mg, 10 mg vagy 20 mg ismételt alkalmazása után átlagosan 9–33 ng/ml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értéket figyeltek meg. Az abszolút biohasznosulás 75%. A megfigyelések alapján az </w:t>
      </w:r>
      <w:r w:rsidR="0041553C">
        <w:rPr>
          <w:rFonts w:ascii="Times New Roman" w:eastAsia="Times New Roman" w:hAnsi="Times New Roman" w:cs="Times New Roman"/>
          <w:noProof/>
          <w:kern w:val="0"/>
          <w:lang w:val="hu-HU"/>
          <w14:ligatures w14:val="none"/>
        </w:rPr>
        <w:t>étkezés</w:t>
      </w:r>
      <w:r w:rsidR="0041553C" w:rsidRPr="00A53012">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nem befolyásolta a gyógyszer farmakokinetikáját (lásd 4.2 pont).</w:t>
      </w:r>
    </w:p>
    <w:p w14:paraId="671EAFA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F45C98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Eloszlás</w:t>
      </w:r>
    </w:p>
    <w:p w14:paraId="5350FF6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564126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átlagos eloszlási térfogat (V</w:t>
      </w:r>
      <w:r w:rsidRPr="00A53012">
        <w:rPr>
          <w:rFonts w:ascii="Times New Roman" w:eastAsia="Times New Roman" w:hAnsi="Times New Roman" w:cs="Times New Roman"/>
          <w:noProof/>
          <w:kern w:val="0"/>
          <w:vertAlign w:val="subscript"/>
          <w:lang w:val="hu-HU"/>
          <w14:ligatures w14:val="none"/>
        </w:rPr>
        <w:t>ss</w:t>
      </w:r>
      <w:r w:rsidRPr="00A53012">
        <w:rPr>
          <w:rFonts w:ascii="Times New Roman" w:eastAsia="Times New Roman" w:hAnsi="Times New Roman" w:cs="Times New Roman"/>
          <w:noProof/>
          <w:kern w:val="0"/>
          <w:lang w:val="hu-HU"/>
          <w14:ligatures w14:val="none"/>
        </w:rPr>
        <w:t>) 2600 l, ami kiterjedt extravascularis eloszlásra utal. A vortioxetin nagymértékben (98–99%-ban) kötődik plazmafehérjékhez, és ez a kötődés a vortioxetin plazmakoncentrációjától függetlennek tűnik.</w:t>
      </w:r>
    </w:p>
    <w:p w14:paraId="4B23B5E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3406B57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Biotranszformáció</w:t>
      </w:r>
    </w:p>
    <w:p w14:paraId="006B64F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30CA14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nagyrészt a májban metabolizálódik, elsősorban oxidáció révén, amelyet a CYP2D6, illetve kisebb mértékben a CYP3A4/5 és CYP2C9 katalizál, majd az ezt követő glükuronsav-konjugáció útján.</w:t>
      </w:r>
    </w:p>
    <w:p w14:paraId="069338C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F6A49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gyógyszer-interakciós vizsgálataiban nem figyelték meg CYP izoenzimet gátló vagy indukáló hatást a CYP1A2, CYP2A6, CYP2B6, CYP2C8, CYP2C9, CYP2C19, CYP2D6, CYP2E1 vagy CYP3A4/5 izoenzimeken (lásd 4.5 pont). A vortioxetin a P-gp gyenge szubsztrátja és inhibitora. </w:t>
      </w:r>
    </w:p>
    <w:p w14:paraId="09151913"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6FB26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fő metabolitja farmakológiailag inaktív.</w:t>
      </w:r>
    </w:p>
    <w:p w14:paraId="1D1B5A8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D6DC437"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Elimináció</w:t>
      </w:r>
    </w:p>
    <w:p w14:paraId="370D488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13A40E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átlagos eliminációs felezési idő 66 óra, az orális clearance pedig 33 l/óra.</w:t>
      </w:r>
    </w:p>
    <w:p w14:paraId="17D2EB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inaktív vortioxetin-metabolitok mintegy kétharmada a vizelettel, körülbelül egyharmada pedig a széklettel választódik ki. A vortioxetin mindössze elhanyagolható mennyiségben választódik ki a széklettel. A dinamikus egyensúlyi állapotú plazmakoncentráció körülbelül 2 héten belül alakul ki.</w:t>
      </w:r>
    </w:p>
    <w:p w14:paraId="11A3FDC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B4BAEE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Linearitás/nem-linearitás</w:t>
      </w:r>
    </w:p>
    <w:p w14:paraId="0181DE8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E4308F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farmakokinetika a vizsgált dózistartományban (napi 2,5–60 mg) az időtől függetlenül lineáris.</w:t>
      </w:r>
    </w:p>
    <w:p w14:paraId="1CBB7B0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F6B2FE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5–20 mg ismételt alkalmazását követően az akkumulációs index az AUC</w:t>
      </w:r>
      <w:r w:rsidRPr="00A53012">
        <w:rPr>
          <w:rFonts w:ascii="Times New Roman" w:eastAsia="Times New Roman" w:hAnsi="Times New Roman" w:cs="Times New Roman"/>
          <w:noProof/>
          <w:kern w:val="0"/>
          <w:vertAlign w:val="subscript"/>
          <w:lang w:val="hu-HU"/>
          <w14:ligatures w14:val="none"/>
        </w:rPr>
        <w:t>0–24h</w:t>
      </w:r>
      <w:r w:rsidRPr="00A53012">
        <w:rPr>
          <w:rFonts w:ascii="Times New Roman" w:eastAsia="Times New Roman" w:hAnsi="Times New Roman" w:cs="Times New Roman"/>
          <w:noProof/>
          <w:kern w:val="0"/>
          <w:lang w:val="hu-HU"/>
          <w14:ligatures w14:val="none"/>
        </w:rPr>
        <w:t xml:space="preserve"> érték alapján a felezési időnek megfelelően 5–6.</w:t>
      </w:r>
    </w:p>
    <w:p w14:paraId="2E1A916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4C4820DC"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Különleges betegcsoportok</w:t>
      </w:r>
    </w:p>
    <w:p w14:paraId="062183F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ED09816"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Idősek</w:t>
      </w:r>
    </w:p>
    <w:p w14:paraId="3367596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Napi 10 mg ismételt alkalmazását követően a fiatal (≤ 45 éves), egészséges kontrollhoz képest az idős (≥ 65 éves), egészséges önkénteseknél (n = 20) a vortioxetin-expozíció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és AUC) maximum 27%- kal nőtt. A 65 éves és idősebb betegek esetében kezdő adagként mindig a napi egyszeri 5 mg-os legalacsonyabb hatékony adagot kell alkalmazni (lásd 4.2 pont). Fokozott óvatossággal kell eljárni a napi egyszeri 10 mg-ot meghaladó dózisú vortioxetin idős betegeknél történő alkalmazása esetén (lásd 4.4 pont).</w:t>
      </w:r>
    </w:p>
    <w:p w14:paraId="1EDDEDAF"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42F41290"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Vesekárosodás</w:t>
      </w:r>
    </w:p>
    <w:p w14:paraId="2878FCC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Egyszeri 10 mg vortioxetin alkalmazását követően a Cockcroft–Gault képlet segítségével meghatározott mértékű (enyhe, közepesen súlyos vagy súlyos; n = 8 csoportonként) vesekárosodás a megfelelő egészséges kontrollpárokhoz viszonyítva közepes mértékű (max. 30%-os) expozíciónövekedést okozott. Végstádiumú vesebetegségben szenvedőknél (n = 8) az egyszeri 10 mg vortioxetin alkalmazását követően a dialízis csupán kismértékű vortioxetin frakció veszteséggel járt (az AUC 13%-kal, illetve a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pedig 27%-kal volt alacsonyabb). A vesefunkció alapján az adag módosítása nem szükséges (lásd 4.2 és 4.4 pont).</w:t>
      </w:r>
    </w:p>
    <w:p w14:paraId="4486F9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2AD3B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Májkárosodás</w:t>
      </w:r>
    </w:p>
    <w:p w14:paraId="4B08F8E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enyhe, közepesen súlyos vagy súlyos (Child-Pugh A, B vagy C) májkárosodásban szenvedő betegek farmakokinetikáját az egészséges önkéntesekével hasonlították össze (N = 6–8). Az AUC- értékek változása 10% alatt volt az enyhe vagy közepesen súlyos májkárosodásban szenvedő betegeknél, és 10% felett volt a súlyos májkárosodásban szenvedő betegeknél. A C</w:t>
      </w:r>
      <w:r w:rsidRPr="00A53012">
        <w:rPr>
          <w:rFonts w:ascii="Times New Roman" w:eastAsia="Times New Roman" w:hAnsi="Times New Roman" w:cs="Times New Roman"/>
          <w:noProof/>
          <w:kern w:val="0"/>
          <w:vertAlign w:val="subscript"/>
          <w:lang w:val="hu-HU"/>
          <w14:ligatures w14:val="none"/>
        </w:rPr>
        <w:t>max</w:t>
      </w:r>
      <w:r w:rsidRPr="00A53012">
        <w:rPr>
          <w:rFonts w:ascii="Times New Roman" w:eastAsia="Times New Roman" w:hAnsi="Times New Roman" w:cs="Times New Roman"/>
          <w:noProof/>
          <w:kern w:val="0"/>
          <w:lang w:val="hu-HU"/>
          <w14:ligatures w14:val="none"/>
        </w:rPr>
        <w:t xml:space="preserve"> változása 25% alatt volt minden csoportban. A májfunkció alapján az adag módosítása nem szükséges (lásd 4.2 és 4.4 pont).</w:t>
      </w:r>
    </w:p>
    <w:p w14:paraId="3242C06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5DC894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CYP2D6 genotípusok</w:t>
      </w:r>
    </w:p>
    <w:p w14:paraId="388C7D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plazmakoncentrációja körülbelül kétszer magasabb volt a gyenge CYP2D6</w:t>
      </w:r>
      <w:r w:rsidRPr="00A53012">
        <w:rPr>
          <w:rFonts w:ascii="Times New Roman" w:eastAsia="Times New Roman" w:hAnsi="Times New Roman" w:cs="Times New Roman"/>
          <w:noProof/>
          <w:kern w:val="0"/>
          <w:lang w:val="hu-HU"/>
          <w14:ligatures w14:val="none"/>
        </w:rPr>
        <w:noBreakHyphen/>
        <w:t>metabolizálóknál, mint a gyors CYP2D6 metabolizálóknál. Gyenge CYP2D6 metabolizáló betegeknél az erős CYP3A4/2C9 inhibitorok együttadása potenciálisan magasabb expozíciót eredményezhet (lásd 4.5 pont).</w:t>
      </w:r>
    </w:p>
    <w:p w14:paraId="00BC72D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8E646A"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ultragyors CYP2D6 metabolizálóknál a napi 10 mg vortioxetin-kezelés mellett kialakuló plazma koncentráció a gyors metabolizálóknál napi 5 és 10 mg-os kezeléssel elért koncentrációk közé esett.</w:t>
      </w:r>
    </w:p>
    <w:p w14:paraId="69AF2D3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kezelésre adott választól függően mérlegelhető az adag módosítása (lásd 4.2 pont).</w:t>
      </w:r>
    </w:p>
    <w:p w14:paraId="0065B1AF" w14:textId="77777777" w:rsidR="00A53012" w:rsidRPr="00A53012" w:rsidRDefault="00A53012" w:rsidP="00A53012">
      <w:pPr>
        <w:autoSpaceDE w:val="0"/>
        <w:autoSpaceDN w:val="0"/>
        <w:spacing w:after="0" w:line="240" w:lineRule="auto"/>
        <w:rPr>
          <w:rFonts w:ascii="Times New Roman" w:eastAsia="Times New Roman" w:hAnsi="Times New Roman" w:cs="Times New Roman"/>
          <w:i/>
          <w:noProof/>
          <w:kern w:val="0"/>
          <w:lang w:val="hu-HU"/>
          <w14:ligatures w14:val="none"/>
        </w:rPr>
      </w:pPr>
    </w:p>
    <w:p w14:paraId="585E23D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r w:rsidRPr="00A53012">
        <w:rPr>
          <w:rFonts w:ascii="Times New Roman" w:eastAsia="Times New Roman" w:hAnsi="Times New Roman" w:cs="Times New Roman"/>
          <w:i/>
          <w:noProof/>
          <w:kern w:val="0"/>
          <w:lang w:val="hu-HU"/>
          <w14:ligatures w14:val="none"/>
        </w:rPr>
        <w:t>Gyermekek és serdülők</w:t>
      </w:r>
    </w:p>
    <w:p w14:paraId="2E92FCAE" w14:textId="57D76ACB"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 farmakokinetikáját major depresszióban szenvedő gyermekeknél és serdülőknél 5–20 mg vortioxetin napi egyszeri, szájon át történő adagolását követően egy (7–17 éves gyermekekkel és serdülőkkel végzett) farmakokinetikai vizsgálatból és két (7–17 éves gyermekekkel és serdülőkkel végzett) hatásossági és biztonságossági vizsgálatból származó adatok alapján végzett populációmodellező elemzéssel jellemezték. A vortioxetin gyermekeknél és serdülőknél megfigyelt farmakokinetikája hasonló volt a felnőtt betegeknél megfigyelthez.</w:t>
      </w:r>
    </w:p>
    <w:p w14:paraId="57F458D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400B101" w14:textId="77777777"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5.3</w:t>
      </w:r>
      <w:r w:rsidRPr="00A53012">
        <w:rPr>
          <w:rFonts w:ascii="Times New Roman" w:eastAsia="Times New Roman" w:hAnsi="Times New Roman" w:cs="Times New Roman"/>
          <w:b/>
          <w:bCs/>
          <w:noProof/>
          <w:kern w:val="0"/>
          <w:lang w:val="hu-HU"/>
          <w14:ligatures w14:val="none"/>
        </w:rPr>
        <w:tab/>
        <w:t>A preklinikai biztonságossági vizsgálatok eredményei</w:t>
      </w:r>
    </w:p>
    <w:p w14:paraId="3993541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640E09AA" w14:textId="7E28CB8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Az egereken, patkányokon és kutyákon végzett általános toxicitási vizsgálatokban a vortioxetin alkalmazása főként központi idegrendszeri klinikai tünetekkel járt. Ezek közé tartozott a nyáladzás (patkány és kutya), pupillatágulat (kutya), illetve </w:t>
      </w:r>
      <w:r w:rsidR="0041553C" w:rsidRPr="0041553C">
        <w:rPr>
          <w:rFonts w:ascii="Times New Roman" w:eastAsia="Times New Roman" w:hAnsi="Times New Roman" w:cs="Times New Roman"/>
          <w:noProof/>
          <w:kern w:val="0"/>
          <w:lang w:val="hu-HU"/>
          <w14:ligatures w14:val="none"/>
        </w:rPr>
        <w:t xml:space="preserve">görcsroham kutyáknál két esetben fordult elő </w:t>
      </w:r>
      <w:r w:rsidRPr="00A53012">
        <w:rPr>
          <w:rFonts w:ascii="Times New Roman" w:eastAsia="Times New Roman" w:hAnsi="Times New Roman" w:cs="Times New Roman"/>
          <w:noProof/>
          <w:kern w:val="0"/>
          <w:lang w:val="hu-HU"/>
          <w14:ligatures w14:val="none"/>
        </w:rPr>
        <w:t>az általános toxicitási vizsgálati programban. A görcsöt még nem okozó szintet a 20 mg/nap javasolt terápiás dózis figyelembevételével 5-ös biztonsági küszöbbel határozták meg. A célszervi toxicitás a vesékre (patkányok) és a májra (egerek és patkányok) korlátozódott. A patkányok veséinek (glomerulonephritis, renalis tubularis elzáródás, kristályos anyag a vesetubulusokban), illetve az egerek és patkányok májának (májsejt-hypertrophia, májsejt-necrosis, epevezeték-hyperplasia, kristályos anyag az epevezetékekben) elváltozásai a napi 20 mg-os maximális javasolt terápiás adag esetén létrejövő humán expozíciót 10-szeresen (egereknél), illetve 2-szeresen (patkányoknál) meghaladó expozíció mellett következtek be. Ezek az eredmények főként annak voltak tulajdoníthatók, hogy a vortioxetinből kialakult, rágcsálókra specifikus kristályos anyag elzárta a vesetubulusokat és az epeutakat, és így humán alkalmazás esetén a kockázat alacsonynak tekinthető.</w:t>
      </w:r>
    </w:p>
    <w:p w14:paraId="09959CA6"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BA7304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 xml:space="preserve">A vortioxetin </w:t>
      </w:r>
      <w:r w:rsidRPr="00A53012">
        <w:rPr>
          <w:rFonts w:ascii="Times New Roman" w:eastAsia="Times New Roman" w:hAnsi="Times New Roman" w:cs="Times New Roman"/>
          <w:i/>
          <w:noProof/>
          <w:kern w:val="0"/>
          <w:lang w:val="hu-HU"/>
          <w14:ligatures w14:val="none"/>
        </w:rPr>
        <w:t xml:space="preserve">in vitro </w:t>
      </w:r>
      <w:r w:rsidRPr="00A53012">
        <w:rPr>
          <w:rFonts w:ascii="Times New Roman" w:eastAsia="Times New Roman" w:hAnsi="Times New Roman" w:cs="Times New Roman"/>
          <w:noProof/>
          <w:kern w:val="0"/>
          <w:lang w:val="hu-HU"/>
          <w14:ligatures w14:val="none"/>
        </w:rPr>
        <w:t xml:space="preserve">és </w:t>
      </w:r>
      <w:r w:rsidRPr="00A53012">
        <w:rPr>
          <w:rFonts w:ascii="Times New Roman" w:eastAsia="Times New Roman" w:hAnsi="Times New Roman" w:cs="Times New Roman"/>
          <w:i/>
          <w:noProof/>
          <w:kern w:val="0"/>
          <w:lang w:val="hu-HU"/>
          <w14:ligatures w14:val="none"/>
        </w:rPr>
        <w:t xml:space="preserve">in vivo </w:t>
      </w:r>
      <w:r w:rsidRPr="00A53012">
        <w:rPr>
          <w:rFonts w:ascii="Times New Roman" w:eastAsia="Times New Roman" w:hAnsi="Times New Roman" w:cs="Times New Roman"/>
          <w:noProof/>
          <w:kern w:val="0"/>
          <w:lang w:val="hu-HU"/>
          <w14:ligatures w14:val="none"/>
        </w:rPr>
        <w:t>vizsgálatok egy sorozatában nem volt genotoxikus.</w:t>
      </w:r>
    </w:p>
    <w:p w14:paraId="67F3A8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84A98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Az egereken és patkányokon végzett hagyományos 2 éves karcinogenitási vizsgálat eredményei alapján a vortioxetin humán alkalmazása nem hordoz karcinogén kockázatot.</w:t>
      </w:r>
    </w:p>
    <w:p w14:paraId="4168E0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F7AB398"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color w:val="000000"/>
          <w:kern w:val="0"/>
          <w:lang w:val="hu-HU"/>
          <w14:ligatures w14:val="none"/>
        </w:rPr>
      </w:pPr>
      <w:r w:rsidRPr="00A53012">
        <w:rPr>
          <w:rFonts w:ascii="Times New Roman" w:eastAsia="Times New Roman" w:hAnsi="Times New Roman" w:cs="Times New Roman"/>
          <w:noProof/>
          <w:color w:val="000000"/>
          <w:kern w:val="0"/>
          <w:lang w:val="hu-HU"/>
          <w14:ligatures w14:val="none"/>
        </w:rPr>
        <w:t xml:space="preserve">A vortioxetin a patkányoknál nem befolyásolta a termékenységet, párzási teljesítményt, a reprodukciós szerveket, illetve a hímivarsejtek morfológiáját és mozgékonyságát. A vortioxetin patkányoknál, illetve nyulaknál nem mutatott teratogén hatást, ugyanakkor a magzat tömegének befolyásolása és a csontosodás késleltetése formájában reprodukciós toxicitás volt tapasztalható patkányoknál a napi 20 mg-os maximális javasolt terápiás adag esetén létrejövő, humán expozíciót 10-szeresen meghaladó expozíció mellett. </w:t>
      </w:r>
    </w:p>
    <w:p w14:paraId="5148C78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Hasonló hatást figyeltek meg nyulaknál a szubterápiás expozíció mellett.</w:t>
      </w:r>
    </w:p>
    <w:p w14:paraId="701B62E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5AD2D99" w14:textId="7E15F04E"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Patkányokon végzett pre- és posztnatális vizsgálatokban a vortioxetin anyai toxicitást nem okozó adagban és a humán alkalmazás esetén napi 20 mg vortioxetin</w:t>
      </w:r>
      <w:r w:rsidR="0041553C">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dózisnak megfelelő expozíció mellett az utódoknál a mortalitás növekedésével, a tömeggyarapodás csökkenésével és a fejlődés késlekedésével járt (lásd 4.6 pont).</w:t>
      </w:r>
    </w:p>
    <w:p w14:paraId="3FBB3B1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CD6F2D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vortioxetinnel rokon anyag került be a laktáló patkányok tejébe (lásd 4.6 pont).</w:t>
      </w:r>
    </w:p>
    <w:p w14:paraId="2D2FFEC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Fiatal patkányokon végzett toxicitási vizsgálatokban a vortioxetin-kezeléssel kapcsolatban megfigyelt változások mindegyike megfelelt a felnőtt állatokon tapasztaltaknak.</w:t>
      </w:r>
    </w:p>
    <w:p w14:paraId="254CC5E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D50BA3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környezeti kockázatbecslésre vonatkozó vizsgálatok azt mutatták, hogy a vortioxetin esetében fennáll a perzisztens, bioakkumulatív és toxikus a környezeti hatás lehetősége (a halakra veszélyes). Azonban ha a betegek a vortioxetint javaslat szerint alkalmazzák, a vízi és szárazföldi környezeti kockázat elhanyagolható mértékű (lásd 6.6 pont).</w:t>
      </w:r>
    </w:p>
    <w:p w14:paraId="6D0553AE"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06829C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717A2F7" w14:textId="77777777" w:rsidR="00A53012" w:rsidRPr="00A53012" w:rsidRDefault="00A53012" w:rsidP="00A53012">
      <w:pPr>
        <w:keepNext/>
        <w:tabs>
          <w:tab w:val="left" w:pos="805"/>
        </w:tabs>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w:t>
      </w:r>
      <w:r w:rsidRPr="00A53012">
        <w:rPr>
          <w:rFonts w:ascii="Times New Roman" w:eastAsia="Times New Roman" w:hAnsi="Times New Roman" w:cs="Times New Roman"/>
          <w:b/>
          <w:bCs/>
          <w:noProof/>
          <w:kern w:val="0"/>
          <w:lang w:val="hu-HU"/>
          <w14:ligatures w14:val="none"/>
        </w:rPr>
        <w:tab/>
        <w:t>GYÓGYSZERÉSZETI JELLEMZŐK</w:t>
      </w:r>
    </w:p>
    <w:p w14:paraId="20D3B83F" w14:textId="77777777" w:rsidR="00A53012" w:rsidRPr="00A53012" w:rsidRDefault="00A53012" w:rsidP="00A53012">
      <w:pPr>
        <w:keepNext/>
        <w:widowControl w:val="0"/>
        <w:autoSpaceDE w:val="0"/>
        <w:autoSpaceDN w:val="0"/>
        <w:spacing w:after="0" w:line="240" w:lineRule="auto"/>
        <w:rPr>
          <w:rFonts w:ascii="Times New Roman" w:eastAsia="Times New Roman" w:hAnsi="Times New Roman" w:cs="Times New Roman"/>
          <w:noProof/>
          <w:kern w:val="0"/>
          <w:lang w:val="hu-HU"/>
          <w14:ligatures w14:val="none"/>
        </w:rPr>
      </w:pPr>
    </w:p>
    <w:p w14:paraId="75501AEE"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6.1</w:t>
      </w:r>
      <w:r w:rsidRPr="00A53012">
        <w:rPr>
          <w:rFonts w:ascii="Times New Roman" w:eastAsia="Times New Roman" w:hAnsi="Times New Roman" w:cs="Times New Roman"/>
          <w:b/>
          <w:bCs/>
          <w:noProof/>
          <w:kern w:val="0"/>
          <w:lang w:val="hu-HU"/>
          <w14:ligatures w14:val="none"/>
        </w:rPr>
        <w:tab/>
        <w:t>Segédanyagok felsorolása</w:t>
      </w:r>
    </w:p>
    <w:p w14:paraId="1D2618B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598E1E6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Az összes hatáserősségű filmtabletta tablettamagja</w:t>
      </w:r>
    </w:p>
    <w:p w14:paraId="3C3263E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lang w:val="hu-HU"/>
          <w14:ligatures w14:val="none"/>
        </w:rPr>
      </w:pPr>
    </w:p>
    <w:p w14:paraId="742ED3F4" w14:textId="2AB0EBEE"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annit</w:t>
      </w:r>
    </w:p>
    <w:p w14:paraId="43862556" w14:textId="6057CC38"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ikrokristályos cellulóz</w:t>
      </w:r>
    </w:p>
    <w:p w14:paraId="0C532B16" w14:textId="5E1F55A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k</w:t>
      </w:r>
      <w:r w:rsidR="00A53012" w:rsidRPr="00A53012">
        <w:rPr>
          <w:rFonts w:ascii="Times New Roman" w:eastAsia="Times New Roman" w:hAnsi="Times New Roman" w:cs="Times New Roman"/>
          <w:noProof/>
          <w:kern w:val="0"/>
          <w:lang w:val="hu-HU"/>
          <w14:ligatures w14:val="none"/>
        </w:rPr>
        <w:t>arboximetilkeményítő-nátrium (A-típus)</w:t>
      </w:r>
    </w:p>
    <w:p w14:paraId="6DA8B279" w14:textId="7325BDE8"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idroxipropilcellulóz</w:t>
      </w:r>
    </w:p>
    <w:p w14:paraId="7BD3B0BB" w14:textId="09F3701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agnézium-sztearát</w:t>
      </w:r>
    </w:p>
    <w:p w14:paraId="033001F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3C89A07" w14:textId="5B209B57" w:rsidR="00A53012" w:rsidRPr="00A53012" w:rsidRDefault="00A53012" w:rsidP="00A53012">
      <w:pPr>
        <w:keepNext/>
        <w:autoSpaceDE w:val="0"/>
        <w:autoSpaceDN w:val="0"/>
        <w:spacing w:after="0" w:line="240" w:lineRule="auto"/>
        <w:rPr>
          <w:rFonts w:ascii="Times New Roman" w:eastAsia="Times New Roman" w:hAnsi="Times New Roman" w:cs="Times New Roman"/>
          <w:iCs/>
          <w:noProof/>
          <w:kern w:val="0"/>
          <w:u w:val="single"/>
          <w:lang w:val="ru-R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5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21C9DFF4"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iCs/>
          <w:noProof/>
          <w:kern w:val="0"/>
          <w:u w:val="single"/>
          <w:lang w:val="ru-RU"/>
          <w14:ligatures w14:val="none"/>
        </w:rPr>
      </w:pPr>
    </w:p>
    <w:p w14:paraId="58A16337" w14:textId="0CF4492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42680B13" w14:textId="12A709E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 xml:space="preserve">itán-dioxid (E171) </w:t>
      </w:r>
    </w:p>
    <w:p w14:paraId="2C7DA66E" w14:textId="2D33A741"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6B668B39" w14:textId="31A43544"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57F7EB90"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D14D5D7" w14:textId="039C4494"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u w:val="single"/>
          <w:lang w:val="hu-H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10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035C93D8" w14:textId="37E9F648" w:rsidR="00A53012" w:rsidRPr="00A53012" w:rsidRDefault="00A53012" w:rsidP="00FF7435">
      <w:pPr>
        <w:keepNext/>
        <w:tabs>
          <w:tab w:val="left" w:pos="5955"/>
        </w:tabs>
        <w:autoSpaceDE w:val="0"/>
        <w:autoSpaceDN w:val="0"/>
        <w:spacing w:after="0" w:line="240" w:lineRule="auto"/>
        <w:rPr>
          <w:rFonts w:ascii="Times New Roman" w:eastAsia="Times New Roman" w:hAnsi="Times New Roman" w:cs="Times New Roman"/>
          <w:noProof/>
          <w:kern w:val="0"/>
          <w:u w:val="single"/>
          <w:lang w:val="hu-HU"/>
          <w14:ligatures w14:val="none"/>
        </w:rPr>
      </w:pPr>
    </w:p>
    <w:p w14:paraId="11A066D1" w14:textId="1CFF9133"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51950CE2" w14:textId="1372042F"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5E1C1357" w14:textId="18172A7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761ED741" w14:textId="4BC4AAD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árga vas-oxid (E172)</w:t>
      </w:r>
    </w:p>
    <w:p w14:paraId="1834D2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3D8E65C3" w14:textId="52DBAA63" w:rsidR="00A53012" w:rsidRPr="00A53012" w:rsidRDefault="00A53012" w:rsidP="00A53012">
      <w:pPr>
        <w:keepNext/>
        <w:autoSpaceDE w:val="0"/>
        <w:autoSpaceDN w:val="0"/>
        <w:spacing w:after="0" w:line="240" w:lineRule="auto"/>
        <w:rPr>
          <w:rFonts w:ascii="Times New Roman" w:eastAsia="Times New Roman" w:hAnsi="Times New Roman" w:cs="Times New Roman"/>
          <w:i/>
          <w:noProof/>
          <w:kern w:val="0"/>
          <w:u w:val="single"/>
          <w:lang w:val="hu-HU"/>
          <w14:ligatures w14:val="none"/>
        </w:rPr>
      </w:pPr>
      <w:r w:rsidRPr="00A53012">
        <w:rPr>
          <w:rFonts w:ascii="Times New Roman" w:eastAsia="Times New Roman" w:hAnsi="Times New Roman" w:cs="Times New Roman"/>
          <w:iCs/>
          <w:noProof/>
          <w:kern w:val="0"/>
          <w:u w:val="single"/>
          <w:lang w:val="hu-HU"/>
          <w14:ligatures w14:val="none"/>
        </w:rPr>
        <w:t xml:space="preserve">A VORTIOXETINE VIATRIS PHARMA 15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1AE2B25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5E1B9C3" w14:textId="50248A74"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3FA019C0" w14:textId="24E072F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7C089F28" w14:textId="51A713A5"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71CEBB83" w14:textId="11A9775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s</w:t>
      </w:r>
      <w:r w:rsidR="00A53012" w:rsidRPr="00A53012">
        <w:rPr>
          <w:rFonts w:ascii="Times New Roman" w:eastAsia="Times New Roman" w:hAnsi="Times New Roman" w:cs="Times New Roman"/>
          <w:noProof/>
          <w:kern w:val="0"/>
          <w:lang w:val="hu-HU"/>
          <w14:ligatures w14:val="none"/>
        </w:rPr>
        <w:t>árga vas-oxid (E172)</w:t>
      </w:r>
    </w:p>
    <w:p w14:paraId="22FC85B4" w14:textId="2D53E247"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4CA220A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2CAC351" w14:textId="061C94F0"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ru-RU"/>
          <w14:ligatures w14:val="none"/>
        </w:rPr>
      </w:pPr>
      <w:r w:rsidRPr="00A53012">
        <w:rPr>
          <w:rFonts w:ascii="Times New Roman" w:eastAsia="Times New Roman" w:hAnsi="Times New Roman" w:cs="Times New Roman"/>
          <w:noProof/>
          <w:kern w:val="0"/>
          <w:u w:val="single"/>
          <w:lang w:val="hu-HU"/>
          <w14:ligatures w14:val="none"/>
        </w:rPr>
        <w:t xml:space="preserve">A VORTIOXETINE VIATRIS PHARMA 20 mg filmtabletta </w:t>
      </w:r>
      <w:r w:rsidR="0041553C">
        <w:rPr>
          <w:rFonts w:ascii="Times New Roman" w:eastAsia="Times New Roman" w:hAnsi="Times New Roman" w:cs="Times New Roman"/>
          <w:iCs/>
          <w:noProof/>
          <w:kern w:val="0"/>
          <w:u w:val="single"/>
          <w:lang w:val="hu-HU"/>
          <w14:ligatures w14:val="none"/>
        </w:rPr>
        <w:t>film</w:t>
      </w:r>
      <w:r w:rsidR="0041553C" w:rsidRPr="00A53012">
        <w:rPr>
          <w:rFonts w:ascii="Times New Roman" w:eastAsia="Times New Roman" w:hAnsi="Times New Roman" w:cs="Times New Roman"/>
          <w:iCs/>
          <w:noProof/>
          <w:kern w:val="0"/>
          <w:u w:val="single"/>
          <w:lang w:val="hu-HU"/>
          <w14:ligatures w14:val="none"/>
        </w:rPr>
        <w:t>bevonata</w:t>
      </w:r>
    </w:p>
    <w:p w14:paraId="37B3B372"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03F7FF07" w14:textId="118A782F"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h</w:t>
      </w:r>
      <w:r w:rsidR="00A53012" w:rsidRPr="00A53012">
        <w:rPr>
          <w:rFonts w:ascii="Times New Roman" w:eastAsia="Times New Roman" w:hAnsi="Times New Roman" w:cs="Times New Roman"/>
          <w:noProof/>
          <w:kern w:val="0"/>
          <w:lang w:val="hu-HU"/>
          <w14:ligatures w14:val="none"/>
        </w:rPr>
        <w:t xml:space="preserve">ipromellóz </w:t>
      </w:r>
    </w:p>
    <w:p w14:paraId="5BFF5528" w14:textId="08315102"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itán-dioxid (E171)</w:t>
      </w:r>
    </w:p>
    <w:p w14:paraId="6D72C069" w14:textId="66FD7A76"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t</w:t>
      </w:r>
      <w:r w:rsidR="00A53012" w:rsidRPr="00A53012">
        <w:rPr>
          <w:rFonts w:ascii="Times New Roman" w:eastAsia="Times New Roman" w:hAnsi="Times New Roman" w:cs="Times New Roman"/>
          <w:noProof/>
          <w:kern w:val="0"/>
          <w:lang w:val="hu-HU"/>
          <w14:ligatures w14:val="none"/>
        </w:rPr>
        <w:t>alkum</w:t>
      </w:r>
    </w:p>
    <w:p w14:paraId="664C7706" w14:textId="254FFEAC"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m</w:t>
      </w:r>
      <w:r w:rsidR="00A53012" w:rsidRPr="00A53012">
        <w:rPr>
          <w:rFonts w:ascii="Times New Roman" w:eastAsia="Times New Roman" w:hAnsi="Times New Roman" w:cs="Times New Roman"/>
          <w:noProof/>
          <w:kern w:val="0"/>
          <w:lang w:val="hu-HU"/>
          <w14:ligatures w14:val="none"/>
        </w:rPr>
        <w:t>akrogol</w:t>
      </w:r>
    </w:p>
    <w:p w14:paraId="1E7F1D30" w14:textId="08E9E55A" w:rsidR="00A53012" w:rsidRPr="00A53012" w:rsidRDefault="0041553C"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v</w:t>
      </w:r>
      <w:r w:rsidR="00A53012" w:rsidRPr="00A53012">
        <w:rPr>
          <w:rFonts w:ascii="Times New Roman" w:eastAsia="Times New Roman" w:hAnsi="Times New Roman" w:cs="Times New Roman"/>
          <w:noProof/>
          <w:kern w:val="0"/>
          <w:lang w:val="hu-HU"/>
          <w14:ligatures w14:val="none"/>
        </w:rPr>
        <w:t>örös vas-oxid (E172)</w:t>
      </w:r>
    </w:p>
    <w:p w14:paraId="0D8F8585"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601F2F1"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6.2</w:t>
      </w:r>
      <w:r w:rsidRPr="00A53012">
        <w:rPr>
          <w:rFonts w:ascii="Times New Roman" w:eastAsia="Times New Roman" w:hAnsi="Times New Roman" w:cs="Times New Roman"/>
          <w:b/>
          <w:bCs/>
          <w:noProof/>
          <w:kern w:val="0"/>
          <w:lang w:val="hu-HU"/>
          <w14:ligatures w14:val="none"/>
        </w:rPr>
        <w:tab/>
        <w:t>Inkompatibilitások</w:t>
      </w:r>
    </w:p>
    <w:p w14:paraId="23D1E7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469DE1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értelmezhető.</w:t>
      </w:r>
    </w:p>
    <w:p w14:paraId="31CF31F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4BCE22A"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6.3</w:t>
      </w:r>
      <w:r w:rsidRPr="00A53012">
        <w:rPr>
          <w:rFonts w:ascii="Times New Roman" w:eastAsia="Times New Roman" w:hAnsi="Times New Roman" w:cs="Times New Roman"/>
          <w:b/>
          <w:bCs/>
          <w:noProof/>
          <w:kern w:val="0"/>
          <w:lang w:val="hu-HU"/>
          <w14:ligatures w14:val="none"/>
        </w:rPr>
        <w:tab/>
        <w:t>Felhasználhatósági időtartam</w:t>
      </w:r>
    </w:p>
    <w:p w14:paraId="0D3D54C1" w14:textId="77777777" w:rsidR="00A53012" w:rsidRPr="00A53012" w:rsidRDefault="00A53012" w:rsidP="00A53012">
      <w:pPr>
        <w:keepNext/>
        <w:tabs>
          <w:tab w:val="left" w:pos="402"/>
        </w:tabs>
        <w:autoSpaceDE w:val="0"/>
        <w:autoSpaceDN w:val="0"/>
        <w:spacing w:after="0" w:line="240" w:lineRule="auto"/>
        <w:rPr>
          <w:rFonts w:ascii="Times New Roman" w:eastAsia="Times New Roman" w:hAnsi="Times New Roman" w:cs="Times New Roman"/>
          <w:noProof/>
          <w:kern w:val="0"/>
          <w:lang w:val="hu-HU"/>
          <w14:ligatures w14:val="none"/>
        </w:rPr>
      </w:pPr>
    </w:p>
    <w:p w14:paraId="04E92E6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4 év.</w:t>
      </w:r>
    </w:p>
    <w:p w14:paraId="00A516E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86C89B0"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6.4</w:t>
      </w:r>
      <w:r w:rsidRPr="00A53012">
        <w:rPr>
          <w:rFonts w:ascii="Times New Roman" w:eastAsia="Times New Roman" w:hAnsi="Times New Roman" w:cs="Times New Roman"/>
          <w:b/>
          <w:bCs/>
          <w:noProof/>
          <w:kern w:val="0"/>
          <w:lang w:val="hu-HU"/>
          <w14:ligatures w14:val="none"/>
        </w:rPr>
        <w:tab/>
        <w:t>Különleges tárolási előírások</w:t>
      </w:r>
    </w:p>
    <w:p w14:paraId="56EB02BF"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0D54E9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gyógyszer nem igényel különleges tárolást.</w:t>
      </w:r>
    </w:p>
    <w:p w14:paraId="62343A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8B69182" w14:textId="77777777" w:rsidR="00A53012" w:rsidRPr="00A53012" w:rsidRDefault="00A53012" w:rsidP="00A53012">
      <w:pPr>
        <w:keepNext/>
        <w:tabs>
          <w:tab w:val="left" w:pos="805"/>
        </w:tabs>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6.5</w:t>
      </w:r>
      <w:r w:rsidRPr="00A53012">
        <w:rPr>
          <w:rFonts w:ascii="Times New Roman" w:eastAsia="Times New Roman" w:hAnsi="Times New Roman" w:cs="Times New Roman"/>
          <w:b/>
          <w:bCs/>
          <w:noProof/>
          <w:kern w:val="0"/>
          <w:lang w:val="hu-HU"/>
          <w14:ligatures w14:val="none"/>
        </w:rPr>
        <w:tab/>
        <w:t>Csomagolás típusa és kiszerelése</w:t>
      </w:r>
    </w:p>
    <w:p w14:paraId="5EF8E5BE"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0D9288BC" w14:textId="22DF3458" w:rsidR="00A53012" w:rsidRPr="00A53012" w:rsidRDefault="00FB6D50" w:rsidP="00A53012">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Filmtabletták s</w:t>
      </w:r>
      <w:r w:rsidR="0041553C">
        <w:rPr>
          <w:rFonts w:ascii="Times New Roman" w:eastAsia="Times New Roman" w:hAnsi="Times New Roman" w:cs="Times New Roman"/>
          <w:noProof/>
          <w:kern w:val="0"/>
          <w:lang w:val="hu-HU"/>
          <w14:ligatures w14:val="none"/>
        </w:rPr>
        <w:t>zíntelen, á</w:t>
      </w:r>
      <w:r w:rsidR="00A53012" w:rsidRPr="00A53012">
        <w:rPr>
          <w:rFonts w:ascii="Times New Roman" w:eastAsia="Times New Roman" w:hAnsi="Times New Roman" w:cs="Times New Roman"/>
          <w:noProof/>
          <w:kern w:val="0"/>
          <w:lang w:val="hu-HU"/>
          <w14:ligatures w14:val="none"/>
        </w:rPr>
        <w:t>tlátszó</w:t>
      </w:r>
      <w:r w:rsidR="0041553C">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PVC/PV</w:t>
      </w:r>
      <w:r w:rsidR="0041553C">
        <w:rPr>
          <w:rFonts w:ascii="Times New Roman" w:eastAsia="Times New Roman" w:hAnsi="Times New Roman" w:cs="Times New Roman"/>
          <w:noProof/>
          <w:kern w:val="0"/>
          <w:lang w:val="hu-HU"/>
          <w14:ligatures w14:val="none"/>
        </w:rPr>
        <w:t>D</w:t>
      </w:r>
      <w:r w:rsidR="00A53012" w:rsidRPr="00A53012">
        <w:rPr>
          <w:rFonts w:ascii="Times New Roman" w:eastAsia="Times New Roman" w:hAnsi="Times New Roman" w:cs="Times New Roman"/>
          <w:noProof/>
          <w:kern w:val="0"/>
          <w:lang w:val="hu-HU"/>
          <w14:ligatures w14:val="none"/>
        </w:rPr>
        <w:t>C/</w:t>
      </w:r>
      <w:r w:rsidR="0041553C">
        <w:rPr>
          <w:rFonts w:ascii="Times New Roman" w:eastAsia="Times New Roman" w:hAnsi="Times New Roman" w:cs="Times New Roman"/>
          <w:noProof/>
          <w:kern w:val="0"/>
          <w:lang w:val="hu-HU"/>
          <w14:ligatures w14:val="none"/>
        </w:rPr>
        <w:t>/</w:t>
      </w:r>
      <w:r w:rsidR="00A53012" w:rsidRPr="00A53012">
        <w:rPr>
          <w:rFonts w:ascii="Times New Roman" w:eastAsia="Times New Roman" w:hAnsi="Times New Roman" w:cs="Times New Roman"/>
          <w:noProof/>
          <w:kern w:val="0"/>
          <w:lang w:val="hu-HU"/>
          <w14:ligatures w14:val="none"/>
        </w:rPr>
        <w:t>Al</w:t>
      </w:r>
      <w:r w:rsidR="0041553C">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w:t>
      </w:r>
      <w:r w:rsidR="00A53012" w:rsidRPr="00A53012">
        <w:rPr>
          <w:rFonts w:ascii="Times New Roman" w:eastAsia="Times New Roman" w:hAnsi="Times New Roman" w:cs="Times New Roman"/>
          <w:noProof/>
          <w:kern w:val="0"/>
          <w:lang w:val="hu-HU"/>
          <w14:ligatures w14:val="none"/>
        </w:rPr>
        <w:t xml:space="preserve"> vagy</w:t>
      </w:r>
      <w:r>
        <w:rPr>
          <w:rFonts w:ascii="Times New Roman" w:eastAsia="Times New Roman" w:hAnsi="Times New Roman" w:cs="Times New Roman"/>
          <w:noProof/>
          <w:kern w:val="0"/>
          <w:lang w:val="hu-HU"/>
          <w14:ligatures w14:val="none"/>
        </w:rPr>
        <w:t xml:space="preserve"> színtelen,</w:t>
      </w:r>
      <w:r w:rsidR="00A53012" w:rsidRPr="00A53012">
        <w:rPr>
          <w:rFonts w:ascii="Times New Roman" w:eastAsia="Times New Roman" w:hAnsi="Times New Roman" w:cs="Times New Roman"/>
          <w:noProof/>
          <w:kern w:val="0"/>
          <w:lang w:val="hu-HU"/>
          <w14:ligatures w14:val="none"/>
        </w:rPr>
        <w:t xml:space="preserve"> átlátszó</w:t>
      </w:r>
      <w:r>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PVC/PV</w:t>
      </w:r>
      <w:r>
        <w:rPr>
          <w:rFonts w:ascii="Times New Roman" w:eastAsia="Times New Roman" w:hAnsi="Times New Roman" w:cs="Times New Roman"/>
          <w:noProof/>
          <w:kern w:val="0"/>
          <w:lang w:val="hu-HU"/>
          <w14:ligatures w14:val="none"/>
        </w:rPr>
        <w:t>D</w:t>
      </w:r>
      <w:r w:rsidRPr="00A53012">
        <w:rPr>
          <w:rFonts w:ascii="Times New Roman" w:eastAsia="Times New Roman" w:hAnsi="Times New Roman" w:cs="Times New Roman"/>
          <w:noProof/>
          <w:kern w:val="0"/>
          <w:lang w:val="hu-HU"/>
          <w14:ligatures w14:val="none"/>
        </w:rPr>
        <w:t>C/</w:t>
      </w:r>
      <w:r>
        <w:rPr>
          <w:rFonts w:ascii="Times New Roman" w:eastAsia="Times New Roman" w:hAnsi="Times New Roman" w:cs="Times New Roman"/>
          <w:noProof/>
          <w:kern w:val="0"/>
          <w:lang w:val="hu-HU"/>
          <w14:ligatures w14:val="none"/>
        </w:rPr>
        <w:t>/</w:t>
      </w:r>
      <w:r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adagonként perforlált </w:t>
      </w:r>
      <w:r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vagy színtelen, á</w:t>
      </w:r>
      <w:r w:rsidRPr="00A53012">
        <w:rPr>
          <w:rFonts w:ascii="Times New Roman" w:eastAsia="Times New Roman" w:hAnsi="Times New Roman" w:cs="Times New Roman"/>
          <w:noProof/>
          <w:kern w:val="0"/>
          <w:lang w:val="hu-HU"/>
          <w14:ligatures w14:val="none"/>
        </w:rPr>
        <w:t>tlátszó</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PVC/PE/</w:t>
      </w:r>
      <w:r>
        <w:rPr>
          <w:rFonts w:ascii="Times New Roman" w:eastAsia="Times New Roman" w:hAnsi="Times New Roman" w:cs="Times New Roman"/>
          <w:noProof/>
          <w:kern w:val="0"/>
          <w:lang w:val="hu-HU"/>
          <w14:ligatures w14:val="none"/>
        </w:rPr>
        <w:t>PVDC//</w:t>
      </w:r>
      <w:r w:rsidR="00A53012"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w:t>
      </w:r>
      <w:r w:rsidR="00A53012"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vagy színtelen, á</w:t>
      </w:r>
      <w:r w:rsidRPr="00A53012">
        <w:rPr>
          <w:rFonts w:ascii="Times New Roman" w:eastAsia="Times New Roman" w:hAnsi="Times New Roman" w:cs="Times New Roman"/>
          <w:noProof/>
          <w:kern w:val="0"/>
          <w:lang w:val="hu-HU"/>
          <w14:ligatures w14:val="none"/>
        </w:rPr>
        <w:t>tlátszó</w:t>
      </w:r>
      <w:r>
        <w:rPr>
          <w:rFonts w:ascii="Times New Roman" w:eastAsia="Times New Roman" w:hAnsi="Times New Roman" w:cs="Times New Roman"/>
          <w:noProof/>
          <w:kern w:val="0"/>
          <w:lang w:val="hu-HU"/>
          <w14:ligatures w14:val="none"/>
        </w:rPr>
        <w:t xml:space="preserve"> </w:t>
      </w:r>
      <w:r w:rsidRPr="00A53012">
        <w:rPr>
          <w:rFonts w:ascii="Times New Roman" w:eastAsia="Times New Roman" w:hAnsi="Times New Roman" w:cs="Times New Roman"/>
          <w:noProof/>
          <w:kern w:val="0"/>
          <w:lang w:val="hu-HU"/>
          <w14:ligatures w14:val="none"/>
        </w:rPr>
        <w:t>PVC/PE/</w:t>
      </w:r>
      <w:r>
        <w:rPr>
          <w:rFonts w:ascii="Times New Roman" w:eastAsia="Times New Roman" w:hAnsi="Times New Roman" w:cs="Times New Roman"/>
          <w:noProof/>
          <w:kern w:val="0"/>
          <w:lang w:val="hu-HU"/>
          <w14:ligatures w14:val="none"/>
        </w:rPr>
        <w:t>PVDC//</w:t>
      </w:r>
      <w:r w:rsidRPr="00A53012">
        <w:rPr>
          <w:rFonts w:ascii="Times New Roman" w:eastAsia="Times New Roman" w:hAnsi="Times New Roman" w:cs="Times New Roman"/>
          <w:noProof/>
          <w:kern w:val="0"/>
          <w:lang w:val="hu-HU"/>
          <w14:ligatures w14:val="none"/>
        </w:rPr>
        <w:t>Al</w:t>
      </w:r>
      <w:r>
        <w:rPr>
          <w:rFonts w:ascii="Times New Roman" w:eastAsia="Times New Roman" w:hAnsi="Times New Roman" w:cs="Times New Roman"/>
          <w:noProof/>
          <w:kern w:val="0"/>
          <w:lang w:val="hu-HU"/>
          <w14:ligatures w14:val="none"/>
        </w:rPr>
        <w:t xml:space="preserve"> adagonként perforált </w:t>
      </w:r>
      <w:r w:rsidRPr="00A53012">
        <w:rPr>
          <w:rFonts w:ascii="Times New Roman" w:eastAsia="Times New Roman" w:hAnsi="Times New Roman" w:cs="Times New Roman"/>
          <w:noProof/>
          <w:kern w:val="0"/>
          <w:lang w:val="hu-HU"/>
          <w14:ligatures w14:val="none"/>
        </w:rPr>
        <w:t>buborékcsomagolás</w:t>
      </w:r>
      <w:r>
        <w:rPr>
          <w:rFonts w:ascii="Times New Roman" w:eastAsia="Times New Roman" w:hAnsi="Times New Roman" w:cs="Times New Roman"/>
          <w:noProof/>
          <w:kern w:val="0"/>
          <w:lang w:val="hu-HU"/>
          <w14:ligatures w14:val="none"/>
        </w:rPr>
        <w:t>ban, dobozban.</w:t>
      </w:r>
    </w:p>
    <w:p w14:paraId="49945E8D"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u w:val="single"/>
          <w:lang w:val="hu-HU"/>
          <w14:ligatures w14:val="none"/>
        </w:rPr>
      </w:pPr>
    </w:p>
    <w:p w14:paraId="5BFC214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r w:rsidRPr="00A53012">
        <w:rPr>
          <w:rFonts w:ascii="Times New Roman" w:eastAsia="Times New Roman" w:hAnsi="Times New Roman" w:cs="Times New Roman"/>
          <w:noProof/>
          <w:kern w:val="0"/>
          <w:u w:val="single"/>
          <w:lang w:val="hu-HU"/>
          <w14:ligatures w14:val="none"/>
        </w:rPr>
        <w:t>A VORTIOXETINE VIATRIS PHARMA 5 mg filmtabletta az alábbi kiszerelésekben kapható:</w:t>
      </w:r>
    </w:p>
    <w:p w14:paraId="7295D418"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78F6901B" w14:textId="67E7E736"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db filmtablettát tartalmazó buborékcsomagolás</w:t>
      </w:r>
    </w:p>
    <w:p w14:paraId="26035186" w14:textId="77777777"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14 × 1 vagy 28 × 1 db filmtablettát tartalmazó adagonként perforált buborékcsomagolás</w:t>
      </w:r>
    </w:p>
    <w:p w14:paraId="685B42F1"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023F9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u w:val="single"/>
          <w:lang w:val="hu-HU"/>
          <w14:ligatures w14:val="none"/>
        </w:rPr>
        <w:t>A VORTIOXETINE VIATRIS PHARMA 10 mg, 15 mg és 20 mg filmtabletta az alábbi kiszerelésekben kapható:</w:t>
      </w:r>
    </w:p>
    <w:p w14:paraId="4F23ED2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304E2AB1" w14:textId="469DFB40" w:rsidR="00A53012" w:rsidRPr="00A53012" w:rsidRDefault="00A53012" w:rsidP="00A53012">
      <w:pPr>
        <w:keepNext/>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db filmtablettát tartalmazó buborékcsomagolás</w:t>
      </w:r>
    </w:p>
    <w:p w14:paraId="41C89840" w14:textId="77777777" w:rsidR="00A53012" w:rsidRPr="00A53012" w:rsidRDefault="00A53012" w:rsidP="00A53012">
      <w:pPr>
        <w:widowControl w:val="0"/>
        <w:numPr>
          <w:ilvl w:val="0"/>
          <w:numId w:val="32"/>
        </w:numPr>
        <w:autoSpaceDE w:val="0"/>
        <w:autoSpaceDN w:val="0"/>
        <w:spacing w:after="0" w:line="240" w:lineRule="auto"/>
        <w:ind w:left="567" w:hanging="567"/>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28 × 1 db filmtablettát tartalmazó adagonként perforált buborékcsomagolás</w:t>
      </w:r>
    </w:p>
    <w:p w14:paraId="4785A1D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6C9DD59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Nem feltétlenül mindegyik kiszerelés kerül kereskedelmi forgalomba.</w:t>
      </w:r>
    </w:p>
    <w:p w14:paraId="7E172B8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9EE1D61" w14:textId="07D851E1" w:rsidR="00A53012" w:rsidRPr="00A53012" w:rsidRDefault="00A53012" w:rsidP="00A53012">
      <w:pPr>
        <w:keepNext/>
        <w:autoSpaceDE w:val="0"/>
        <w:autoSpaceDN w:val="0"/>
        <w:spacing w:after="0" w:line="240" w:lineRule="auto"/>
        <w:ind w:left="567" w:hanging="567"/>
        <w:outlineLvl w:val="1"/>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6.6</w:t>
      </w:r>
      <w:r w:rsidRPr="00A53012">
        <w:rPr>
          <w:rFonts w:ascii="Times New Roman" w:eastAsia="Times New Roman" w:hAnsi="Times New Roman" w:cs="Times New Roman"/>
          <w:b/>
          <w:bCs/>
          <w:noProof/>
          <w:kern w:val="0"/>
          <w:lang w:val="hu-HU"/>
          <w14:ligatures w14:val="none"/>
        </w:rPr>
        <w:tab/>
        <w:t>A megsemmisítésre vonatkozó különleges óvintézkedések</w:t>
      </w:r>
      <w:r w:rsidR="00FB6D50">
        <w:rPr>
          <w:rFonts w:ascii="Times New Roman" w:eastAsia="Times New Roman" w:hAnsi="Times New Roman" w:cs="Times New Roman"/>
          <w:b/>
          <w:bCs/>
          <w:noProof/>
          <w:kern w:val="0"/>
          <w:lang w:val="hu-HU"/>
          <w14:ligatures w14:val="none"/>
        </w:rPr>
        <w:t xml:space="preserve"> </w:t>
      </w:r>
      <w:r w:rsidR="00FB6D50" w:rsidRPr="00FB6D50">
        <w:rPr>
          <w:rFonts w:ascii="Times New Roman" w:eastAsia="Times New Roman" w:hAnsi="Times New Roman" w:cs="Times New Roman"/>
          <w:b/>
          <w:bCs/>
          <w:noProof/>
          <w:kern w:val="0"/>
          <w:lang w:val="hu-HU"/>
          <w14:ligatures w14:val="none"/>
        </w:rPr>
        <w:t>és egyéb, a készítmény kezelésével kapcsolatos információk</w:t>
      </w:r>
    </w:p>
    <w:p w14:paraId="1EEA00C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22BE93F"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Ez a gyógyszer kockázatot jelenthet a környezetre (lásd 5.3 pont).</w:t>
      </w:r>
    </w:p>
    <w:p w14:paraId="399FD66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43F0EFF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Bármilyen fel nem használt gyógyszer, illetve hulladékanyag megsemmisítését a gyógyszerekre vonatkozó előírások szerint kell végrehajtani.</w:t>
      </w:r>
    </w:p>
    <w:p w14:paraId="276C5661" w14:textId="77777777" w:rsidR="00FB6D50" w:rsidRPr="00354AB5" w:rsidRDefault="00FB6D50" w:rsidP="00FF7435">
      <w:pPr>
        <w:spacing w:after="0" w:line="240" w:lineRule="auto"/>
        <w:rPr>
          <w:rFonts w:ascii="Times New Roman" w:eastAsia="Times New Roman" w:hAnsi="Times New Roman" w:cs="Times New Roman"/>
        </w:rPr>
      </w:pPr>
    </w:p>
    <w:p w14:paraId="023A9A56" w14:textId="77777777" w:rsidR="00FB6D50" w:rsidRPr="00590F6C" w:rsidRDefault="00FB6D50" w:rsidP="00FF7435">
      <w:pPr>
        <w:adjustRightInd w:val="0"/>
        <w:spacing w:after="0" w:line="240" w:lineRule="auto"/>
        <w:rPr>
          <w:rFonts w:ascii="Times New Roman" w:hAnsi="Times New Roman" w:cs="Times New Roman"/>
        </w:rPr>
      </w:pPr>
      <w:proofErr w:type="spellStart"/>
      <w:r w:rsidRPr="00354AB5">
        <w:rPr>
          <w:rFonts w:ascii="Times New Roman" w:hAnsi="Times New Roman" w:cs="Times New Roman"/>
          <w:b/>
          <w:bCs/>
        </w:rPr>
        <w:t>Megjegyzés</w:t>
      </w:r>
      <w:proofErr w:type="spellEnd"/>
      <w:r w:rsidRPr="00354AB5">
        <w:rPr>
          <w:rFonts w:ascii="Times New Roman" w:hAnsi="Times New Roman" w:cs="Times New Roman"/>
          <w:b/>
          <w:bCs/>
        </w:rPr>
        <w:t>:</w:t>
      </w:r>
      <w:r w:rsidRPr="00590F6C">
        <w:rPr>
          <w:rFonts w:ascii="Times New Roman" w:hAnsi="Times New Roman" w:cs="Times New Roman"/>
          <w:b/>
          <w:bCs/>
        </w:rPr>
        <w:t xml:space="preserve"> </w:t>
      </w:r>
      <w:r w:rsidRPr="00390205">
        <w:rPr>
          <w:rFonts w:ascii="Wingdings" w:hAnsi="Wingdings" w:cs="Wingdings"/>
        </w:rPr>
        <w:t></w:t>
      </w:r>
      <w:r w:rsidRPr="00354AB5">
        <w:rPr>
          <w:rFonts w:ascii="Times New Roman" w:hAnsi="Times New Roman" w:cs="Times New Roman"/>
        </w:rPr>
        <w:t xml:space="preserve"> (</w:t>
      </w:r>
      <w:proofErr w:type="spellStart"/>
      <w:r w:rsidRPr="00354AB5">
        <w:rPr>
          <w:rFonts w:ascii="Times New Roman" w:hAnsi="Times New Roman" w:cs="Times New Roman"/>
        </w:rPr>
        <w:t>egy</w:t>
      </w:r>
      <w:proofErr w:type="spellEnd"/>
      <w:r w:rsidRPr="00354AB5">
        <w:rPr>
          <w:rFonts w:ascii="Times New Roman" w:hAnsi="Times New Roman" w:cs="Times New Roman"/>
        </w:rPr>
        <w:t xml:space="preserve"> </w:t>
      </w:r>
      <w:proofErr w:type="spellStart"/>
      <w:r w:rsidRPr="00354AB5">
        <w:rPr>
          <w:rFonts w:ascii="Times New Roman" w:hAnsi="Times New Roman" w:cs="Times New Roman"/>
        </w:rPr>
        <w:t>keresztes</w:t>
      </w:r>
      <w:proofErr w:type="spellEnd"/>
      <w:r w:rsidRPr="00354AB5">
        <w:rPr>
          <w:rFonts w:ascii="Times New Roman" w:hAnsi="Times New Roman" w:cs="Times New Roman"/>
        </w:rPr>
        <w:t>)</w:t>
      </w:r>
    </w:p>
    <w:p w14:paraId="1D3F9994" w14:textId="77777777" w:rsidR="00FB6D50" w:rsidRPr="00354AB5" w:rsidRDefault="00FB6D50" w:rsidP="00FF7435">
      <w:pPr>
        <w:adjustRightInd w:val="0"/>
        <w:spacing w:after="0" w:line="240" w:lineRule="auto"/>
        <w:rPr>
          <w:rFonts w:ascii="Times New Roman" w:hAnsi="Times New Roman" w:cs="Times New Roman"/>
          <w:b/>
          <w:bCs/>
        </w:rPr>
      </w:pPr>
      <w:proofErr w:type="spellStart"/>
      <w:r w:rsidRPr="00354AB5">
        <w:rPr>
          <w:rFonts w:ascii="Times New Roman" w:hAnsi="Times New Roman" w:cs="Times New Roman"/>
        </w:rPr>
        <w:t>Osztályozás</w:t>
      </w:r>
      <w:proofErr w:type="spellEnd"/>
      <w:r w:rsidRPr="00354AB5">
        <w:rPr>
          <w:rFonts w:ascii="Times New Roman" w:hAnsi="Times New Roman" w:cs="Times New Roman"/>
          <w:b/>
          <w:bCs/>
        </w:rPr>
        <w:t>: II</w:t>
      </w:r>
      <w:proofErr w:type="gramStart"/>
      <w:r w:rsidRPr="00354AB5">
        <w:rPr>
          <w:rFonts w:ascii="Times New Roman" w:hAnsi="Times New Roman" w:cs="Times New Roman"/>
          <w:b/>
          <w:bCs/>
        </w:rPr>
        <w:t>./</w:t>
      </w:r>
      <w:proofErr w:type="gramEnd"/>
      <w:r w:rsidRPr="00354AB5">
        <w:rPr>
          <w:rFonts w:ascii="Times New Roman" w:hAnsi="Times New Roman" w:cs="Times New Roman"/>
          <w:b/>
          <w:bCs/>
        </w:rPr>
        <w:t xml:space="preserve">1. </w:t>
      </w:r>
      <w:proofErr w:type="spellStart"/>
      <w:proofErr w:type="gramStart"/>
      <w:r w:rsidRPr="00354AB5">
        <w:rPr>
          <w:rFonts w:ascii="Times New Roman" w:hAnsi="Times New Roman" w:cs="Times New Roman"/>
          <w:b/>
          <w:bCs/>
        </w:rPr>
        <w:t>csoport</w:t>
      </w:r>
      <w:proofErr w:type="spellEnd"/>
      <w:proofErr w:type="gramEnd"/>
    </w:p>
    <w:p w14:paraId="2BF38F6C" w14:textId="77777777" w:rsidR="00FB6D50" w:rsidRPr="00354AB5" w:rsidRDefault="00FB6D50" w:rsidP="00FB6D50">
      <w:pPr>
        <w:pStyle w:val="Szvegtrzs"/>
        <w:rPr>
          <w:rFonts w:eastAsiaTheme="minorHAnsi"/>
        </w:rPr>
      </w:pPr>
      <w:r w:rsidRPr="00354AB5">
        <w:t>Korlátozott érvényű orvosi rendelvényhez kötött, szakorvosi/kórházi diagnózist követő járóbeteg-ellátásban alkalmazható gyógyszer (J).</w:t>
      </w:r>
    </w:p>
    <w:p w14:paraId="0D3248DF" w14:textId="77777777" w:rsidR="00A53012" w:rsidRPr="00A53012" w:rsidRDefault="00A53012">
      <w:pPr>
        <w:autoSpaceDE w:val="0"/>
        <w:autoSpaceDN w:val="0"/>
        <w:spacing w:after="0" w:line="240" w:lineRule="auto"/>
        <w:rPr>
          <w:rFonts w:ascii="Times New Roman" w:eastAsia="Times New Roman" w:hAnsi="Times New Roman" w:cs="Times New Roman"/>
          <w:noProof/>
          <w:kern w:val="0"/>
          <w:lang w:val="hu-HU"/>
          <w14:ligatures w14:val="none"/>
        </w:rPr>
      </w:pPr>
    </w:p>
    <w:p w14:paraId="5D2255B2"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093E80D5"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7.</w:t>
      </w:r>
      <w:r w:rsidRPr="00A53012">
        <w:rPr>
          <w:rFonts w:ascii="Times New Roman" w:eastAsia="Times New Roman" w:hAnsi="Times New Roman" w:cs="Times New Roman"/>
          <w:b/>
          <w:bCs/>
          <w:noProof/>
          <w:kern w:val="0"/>
          <w:lang w:val="hu-HU"/>
          <w14:ligatures w14:val="none"/>
        </w:rPr>
        <w:tab/>
        <w:t>A FORGALOMBA HOZATALI ENGEDÉLY JOGOSULTJA</w:t>
      </w:r>
    </w:p>
    <w:p w14:paraId="3DE125D3"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191AD792"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Viatris Limited </w:t>
      </w:r>
    </w:p>
    <w:p w14:paraId="35CCC23F"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Damastown Industrial Park </w:t>
      </w:r>
    </w:p>
    <w:p w14:paraId="0B44CC4C"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Mulhuddart, Dublin 15 </w:t>
      </w:r>
    </w:p>
    <w:p w14:paraId="695E382E" w14:textId="77777777" w:rsidR="00350A76" w:rsidRPr="00E26AD8" w:rsidRDefault="00350A76" w:rsidP="00350A76">
      <w:pPr>
        <w:autoSpaceDE w:val="0"/>
        <w:autoSpaceDN w:val="0"/>
        <w:spacing w:after="0" w:line="240" w:lineRule="auto"/>
        <w:rPr>
          <w:rFonts w:ascii="Times New Roman" w:eastAsia="Times New Roman" w:hAnsi="Times New Roman" w:cs="Times New Roman"/>
          <w:noProof/>
          <w:kern w:val="0"/>
          <w14:ligatures w14:val="none"/>
        </w:rPr>
      </w:pPr>
      <w:r w:rsidRPr="00E26AD8">
        <w:rPr>
          <w:rFonts w:ascii="Times New Roman" w:eastAsia="Times New Roman" w:hAnsi="Times New Roman" w:cs="Times New Roman"/>
          <w:noProof/>
          <w:kern w:val="0"/>
          <w14:ligatures w14:val="none"/>
        </w:rPr>
        <w:t xml:space="preserve">DUBLIN </w:t>
      </w:r>
    </w:p>
    <w:p w14:paraId="5E9E1BDE" w14:textId="77777777" w:rsidR="00350A76" w:rsidRPr="001A05EC" w:rsidRDefault="00350A76" w:rsidP="00350A76">
      <w:pPr>
        <w:autoSpaceDE w:val="0"/>
        <w:autoSpaceDN w:val="0"/>
        <w:spacing w:after="0" w:line="240" w:lineRule="auto"/>
        <w:rPr>
          <w:rFonts w:ascii="Times New Roman" w:eastAsia="Times New Roman" w:hAnsi="Times New Roman" w:cs="Times New Roman"/>
          <w:noProof/>
          <w:kern w:val="0"/>
          <w:lang w:val="hu-HU"/>
          <w14:ligatures w14:val="none"/>
        </w:rPr>
      </w:pPr>
      <w:r w:rsidRPr="00E26AD8">
        <w:rPr>
          <w:rFonts w:ascii="Times New Roman" w:eastAsia="Times New Roman" w:hAnsi="Times New Roman" w:cs="Times New Roman"/>
          <w:noProof/>
          <w:kern w:val="0"/>
          <w14:ligatures w14:val="none"/>
        </w:rPr>
        <w:t>Írország</w:t>
      </w:r>
    </w:p>
    <w:p w14:paraId="7B56EDA7"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50E810BC"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71D6E56B"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8.</w:t>
      </w:r>
      <w:r w:rsidRPr="00A53012">
        <w:rPr>
          <w:rFonts w:ascii="Times New Roman" w:eastAsia="Times New Roman" w:hAnsi="Times New Roman" w:cs="Times New Roman"/>
          <w:b/>
          <w:bCs/>
          <w:noProof/>
          <w:kern w:val="0"/>
          <w:lang w:val="hu-HU"/>
          <w14:ligatures w14:val="none"/>
        </w:rPr>
        <w:tab/>
        <w:t>A FORGALOMBA HOZATALI ENGEDÉLY SZÁMA(I)</w:t>
      </w:r>
    </w:p>
    <w:p w14:paraId="5C2C3401"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u w:val="single"/>
          <w:lang w:val="hu-HU"/>
          <w14:ligatures w14:val="none"/>
        </w:rPr>
      </w:pPr>
    </w:p>
    <w:p w14:paraId="321437E4"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5 mg filmtabletta</w:t>
      </w:r>
    </w:p>
    <w:p w14:paraId="4CB10403" w14:textId="2BACDEDD"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GYI-T-24731/01</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3DF3CD4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4D1786C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10 mg filmtabletta</w:t>
      </w:r>
    </w:p>
    <w:p w14:paraId="1A9AFDB4" w14:textId="401ECB0F"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Pr>
          <w:rFonts w:ascii="Times New Roman" w:eastAsia="Times New Roman" w:hAnsi="Times New Roman" w:cs="Times New Roman"/>
          <w:noProof/>
          <w:kern w:val="0"/>
          <w:lang w:val="hu-HU"/>
          <w14:ligatures w14:val="none"/>
        </w:rPr>
        <w:t>OGYI-T-24731/02</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PVC/PVDC//Al buborékcsomagolásban</w:t>
      </w:r>
    </w:p>
    <w:p w14:paraId="4703A1B4"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715F62E2"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15 mg filmtabletta</w:t>
      </w:r>
    </w:p>
    <w:p w14:paraId="736178E7" w14:textId="16F3A67A"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w:t>
      </w:r>
      <w:r>
        <w:rPr>
          <w:rFonts w:ascii="Times New Roman" w:eastAsia="Times New Roman" w:hAnsi="Times New Roman" w:cs="Times New Roman"/>
          <w:noProof/>
          <w:kern w:val="0"/>
          <w:lang w:val="hu-HU"/>
          <w14:ligatures w14:val="none"/>
        </w:rPr>
        <w:t>GYI-T-24731/03</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 xml:space="preserve">PVC/PVDC//Al </w:t>
      </w:r>
      <w:r>
        <w:rPr>
          <w:rFonts w:ascii="Times New Roman" w:eastAsia="Times New Roman" w:hAnsi="Times New Roman" w:cs="Times New Roman"/>
          <w:noProof/>
          <w:kern w:val="0"/>
          <w:lang w:val="hu-HU"/>
          <w14:ligatures w14:val="none"/>
        </w:rPr>
        <w:t>buborékcsomagolásban</w:t>
      </w:r>
    </w:p>
    <w:p w14:paraId="7D68190B"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1D95C730" w14:textId="77777777" w:rsidR="004672D9" w:rsidRPr="004672D9" w:rsidRDefault="004672D9" w:rsidP="004672D9">
      <w:pPr>
        <w:autoSpaceDE w:val="0"/>
        <w:autoSpaceDN w:val="0"/>
        <w:spacing w:after="0" w:line="240" w:lineRule="auto"/>
        <w:rPr>
          <w:rFonts w:ascii="Times New Roman" w:eastAsia="Times New Roman" w:hAnsi="Times New Roman" w:cs="Times New Roman"/>
          <w:noProof/>
          <w:kern w:val="0"/>
          <w:u w:val="single"/>
          <w:lang w:val="hu-HU"/>
          <w14:ligatures w14:val="none"/>
        </w:rPr>
      </w:pPr>
      <w:r w:rsidRPr="004672D9">
        <w:rPr>
          <w:rFonts w:ascii="Times New Roman" w:eastAsia="Times New Roman" w:hAnsi="Times New Roman" w:cs="Times New Roman"/>
          <w:noProof/>
          <w:kern w:val="0"/>
          <w:u w:val="single"/>
          <w:lang w:val="hu-HU"/>
          <w14:ligatures w14:val="none"/>
        </w:rPr>
        <w:t>Vortioxetine Viatris Pharma 20 mg filmtabletta</w:t>
      </w:r>
    </w:p>
    <w:p w14:paraId="2A596B64" w14:textId="61A47B30" w:rsidR="00A53012"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r w:rsidRPr="004672D9">
        <w:rPr>
          <w:rFonts w:ascii="Times New Roman" w:eastAsia="Times New Roman" w:hAnsi="Times New Roman" w:cs="Times New Roman"/>
          <w:noProof/>
          <w:kern w:val="0"/>
          <w:lang w:val="hu-HU"/>
          <w14:ligatures w14:val="none"/>
        </w:rPr>
        <w:t>OGYI</w:t>
      </w:r>
      <w:r>
        <w:rPr>
          <w:rFonts w:ascii="Times New Roman" w:eastAsia="Times New Roman" w:hAnsi="Times New Roman" w:cs="Times New Roman"/>
          <w:noProof/>
          <w:kern w:val="0"/>
          <w:lang w:val="hu-HU"/>
          <w14:ligatures w14:val="none"/>
        </w:rPr>
        <w:t>-T-24731/04</w:t>
      </w:r>
      <w:r>
        <w:rPr>
          <w:rFonts w:ascii="Times New Roman" w:eastAsia="Times New Roman" w:hAnsi="Times New Roman" w:cs="Times New Roman"/>
          <w:noProof/>
          <w:kern w:val="0"/>
          <w:lang w:val="hu-HU"/>
          <w14:ligatures w14:val="none"/>
        </w:rPr>
        <w:tab/>
        <w:t>28×</w:t>
      </w:r>
      <w:r>
        <w:rPr>
          <w:rFonts w:ascii="Times New Roman" w:eastAsia="Times New Roman" w:hAnsi="Times New Roman" w:cs="Times New Roman"/>
          <w:noProof/>
          <w:kern w:val="0"/>
          <w:lang w:val="hu-HU"/>
          <w14:ligatures w14:val="none"/>
        </w:rPr>
        <w:tab/>
      </w:r>
      <w:r w:rsidRPr="004672D9">
        <w:rPr>
          <w:rFonts w:ascii="Times New Roman" w:eastAsia="Times New Roman" w:hAnsi="Times New Roman" w:cs="Times New Roman"/>
          <w:noProof/>
          <w:kern w:val="0"/>
          <w:lang w:val="hu-HU"/>
          <w14:ligatures w14:val="none"/>
        </w:rPr>
        <w:t>PVC/PVDC//Al buborékcsomagolásban</w:t>
      </w:r>
    </w:p>
    <w:p w14:paraId="2AD259C6" w14:textId="77777777" w:rsidR="004672D9" w:rsidRPr="00A53012" w:rsidRDefault="004672D9" w:rsidP="004672D9">
      <w:pPr>
        <w:autoSpaceDE w:val="0"/>
        <w:autoSpaceDN w:val="0"/>
        <w:spacing w:after="0" w:line="240" w:lineRule="auto"/>
        <w:rPr>
          <w:rFonts w:ascii="Times New Roman" w:eastAsia="Times New Roman" w:hAnsi="Times New Roman" w:cs="Times New Roman"/>
          <w:noProof/>
          <w:kern w:val="0"/>
          <w:lang w:val="hu-HU"/>
          <w14:ligatures w14:val="none"/>
        </w:rPr>
      </w:pPr>
    </w:p>
    <w:p w14:paraId="4379A954"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2D61D8BA"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9.</w:t>
      </w:r>
      <w:r w:rsidRPr="00A53012">
        <w:rPr>
          <w:rFonts w:ascii="Times New Roman" w:eastAsia="Times New Roman" w:hAnsi="Times New Roman" w:cs="Times New Roman"/>
          <w:b/>
          <w:bCs/>
          <w:noProof/>
          <w:kern w:val="0"/>
          <w:lang w:val="hu-HU"/>
          <w14:ligatures w14:val="none"/>
        </w:rPr>
        <w:tab/>
        <w:t>A FORGALOMBA HOZATALI ENGEDÉLY ELSŐ KIADÁSÁNAK/ MEGÚJÍTÁSÁNAK DÁTUMA</w:t>
      </w:r>
    </w:p>
    <w:p w14:paraId="1DC42FEA"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b/>
          <w:noProof/>
          <w:kern w:val="0"/>
          <w:lang w:val="hu-HU"/>
          <w14:ligatures w14:val="none"/>
        </w:rPr>
      </w:pPr>
    </w:p>
    <w:p w14:paraId="0A6EDD68" w14:textId="4B5415D6"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r w:rsidRPr="00A53012">
        <w:rPr>
          <w:rFonts w:ascii="Times New Roman" w:eastAsia="Times New Roman" w:hAnsi="Times New Roman" w:cs="Times New Roman"/>
          <w:noProof/>
          <w:kern w:val="0"/>
          <w:lang w:val="hu-HU"/>
          <w14:ligatures w14:val="none"/>
        </w:rPr>
        <w:t>A forgalomba hozatali engedély első kiadásának dátuma:</w:t>
      </w:r>
      <w:r w:rsidR="004672D9">
        <w:rPr>
          <w:rFonts w:ascii="Times New Roman" w:eastAsia="Times New Roman" w:hAnsi="Times New Roman" w:cs="Times New Roman"/>
          <w:noProof/>
          <w:kern w:val="0"/>
          <w:lang w:val="hu-HU"/>
          <w14:ligatures w14:val="none"/>
        </w:rPr>
        <w:t xml:space="preserve"> 2026. április 16.</w:t>
      </w:r>
    </w:p>
    <w:p w14:paraId="1530F699"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271110B" w14:textId="77777777" w:rsidR="00A53012" w:rsidRPr="00A53012" w:rsidRDefault="00A53012" w:rsidP="00A53012">
      <w:pPr>
        <w:autoSpaceDE w:val="0"/>
        <w:autoSpaceDN w:val="0"/>
        <w:spacing w:after="0" w:line="240" w:lineRule="auto"/>
        <w:rPr>
          <w:rFonts w:ascii="Times New Roman" w:eastAsia="Times New Roman" w:hAnsi="Times New Roman" w:cs="Times New Roman"/>
          <w:noProof/>
          <w:kern w:val="0"/>
          <w:lang w:val="hu-HU"/>
          <w14:ligatures w14:val="none"/>
        </w:rPr>
      </w:pPr>
    </w:p>
    <w:p w14:paraId="16A79516" w14:textId="77777777" w:rsidR="00A53012" w:rsidRPr="00A53012" w:rsidRDefault="00A53012" w:rsidP="00A53012">
      <w:pPr>
        <w:keepNext/>
        <w:autoSpaceDE w:val="0"/>
        <w:autoSpaceDN w:val="0"/>
        <w:spacing w:after="0" w:line="240" w:lineRule="auto"/>
        <w:ind w:left="567" w:hanging="567"/>
        <w:outlineLvl w:val="0"/>
        <w:rPr>
          <w:rFonts w:ascii="Times New Roman" w:eastAsia="Times New Roman" w:hAnsi="Times New Roman" w:cs="Times New Roman"/>
          <w:b/>
          <w:bCs/>
          <w:noProof/>
          <w:kern w:val="0"/>
          <w:lang w:val="hu-HU"/>
          <w14:ligatures w14:val="none"/>
        </w:rPr>
      </w:pPr>
      <w:r w:rsidRPr="00A53012">
        <w:rPr>
          <w:rFonts w:ascii="Times New Roman" w:eastAsia="Times New Roman" w:hAnsi="Times New Roman" w:cs="Times New Roman"/>
          <w:b/>
          <w:bCs/>
          <w:noProof/>
          <w:kern w:val="0"/>
          <w:lang w:val="hu-HU"/>
          <w14:ligatures w14:val="none"/>
        </w:rPr>
        <w:t>10.</w:t>
      </w:r>
      <w:r w:rsidRPr="00A53012">
        <w:rPr>
          <w:rFonts w:ascii="Times New Roman" w:eastAsia="Times New Roman" w:hAnsi="Times New Roman" w:cs="Times New Roman"/>
          <w:b/>
          <w:bCs/>
          <w:noProof/>
          <w:kern w:val="0"/>
          <w:lang w:val="hu-HU"/>
          <w14:ligatures w14:val="none"/>
        </w:rPr>
        <w:tab/>
        <w:t>A SZÖVEG ELLENŐRZÉSÉNEK DÁTUMA</w:t>
      </w:r>
    </w:p>
    <w:p w14:paraId="360F2869" w14:textId="77777777" w:rsidR="00A53012" w:rsidRPr="00A53012" w:rsidRDefault="00A53012" w:rsidP="00A53012">
      <w:pPr>
        <w:keepNext/>
        <w:autoSpaceDE w:val="0"/>
        <w:autoSpaceDN w:val="0"/>
        <w:spacing w:after="0" w:line="240" w:lineRule="auto"/>
        <w:rPr>
          <w:rFonts w:ascii="Times New Roman" w:eastAsia="Times New Roman" w:hAnsi="Times New Roman" w:cs="Times New Roman"/>
          <w:noProof/>
          <w:kern w:val="0"/>
          <w:lang w:val="hu-HU"/>
          <w14:ligatures w14:val="none"/>
        </w:rPr>
      </w:pPr>
    </w:p>
    <w:p w14:paraId="67588A96" w14:textId="60277286" w:rsidR="00704558" w:rsidRPr="004672D9" w:rsidRDefault="004672D9">
      <w:pPr>
        <w:rPr>
          <w:rFonts w:ascii="Times New Roman" w:hAnsi="Times New Roman" w:cs="Times New Roman"/>
        </w:rPr>
      </w:pPr>
      <w:r w:rsidRPr="004672D9">
        <w:rPr>
          <w:rFonts w:ascii="Times New Roman" w:hAnsi="Times New Roman" w:cs="Times New Roman"/>
        </w:rPr>
        <w:t xml:space="preserve">2026. </w:t>
      </w:r>
      <w:proofErr w:type="spellStart"/>
      <w:proofErr w:type="gramStart"/>
      <w:r w:rsidRPr="004672D9">
        <w:rPr>
          <w:rFonts w:ascii="Times New Roman" w:hAnsi="Times New Roman" w:cs="Times New Roman"/>
        </w:rPr>
        <w:t>április</w:t>
      </w:r>
      <w:proofErr w:type="spellEnd"/>
      <w:proofErr w:type="gramEnd"/>
      <w:r w:rsidRPr="004672D9">
        <w:rPr>
          <w:rFonts w:ascii="Times New Roman" w:hAnsi="Times New Roman" w:cs="Times New Roman"/>
        </w:rPr>
        <w:t xml:space="preserve"> 16.</w:t>
      </w:r>
      <w:bookmarkStart w:id="0" w:name="_GoBack"/>
      <w:bookmarkEnd w:id="0"/>
    </w:p>
    <w:sectPr w:rsidR="00704558" w:rsidRPr="004672D9" w:rsidSect="00FF7435">
      <w:headerReference w:type="default" r:id="rId9"/>
      <w:footerReference w:type="first" r:id="rId10"/>
      <w:pgSz w:w="12240" w:h="15840"/>
      <w:pgMar w:top="1440" w:right="1440" w:bottom="1440" w:left="1440" w:header="737" w:footer="73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5241CA" w14:textId="77777777" w:rsidR="001F5BB8" w:rsidRDefault="001F5BB8" w:rsidP="00BC7E56">
      <w:pPr>
        <w:spacing w:after="0" w:line="240" w:lineRule="auto"/>
      </w:pPr>
      <w:r>
        <w:separator/>
      </w:r>
    </w:p>
  </w:endnote>
  <w:endnote w:type="continuationSeparator" w:id="0">
    <w:p w14:paraId="71C5836C" w14:textId="77777777" w:rsidR="001F5BB8" w:rsidRDefault="001F5BB8" w:rsidP="00BC7E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3581F1" w14:textId="77777777" w:rsidR="001F5BB8" w:rsidRPr="00FF7435" w:rsidRDefault="001F5BB8" w:rsidP="00BC7E56">
    <w:pPr>
      <w:pStyle w:val="llb"/>
      <w:rPr>
        <w:sz w:val="18"/>
        <w:szCs w:val="18"/>
      </w:rPr>
    </w:pPr>
    <w:r w:rsidRPr="00FF7435">
      <w:rPr>
        <w:sz w:val="18"/>
        <w:szCs w:val="18"/>
      </w:rPr>
      <w:t>OGYÉI/72490/2023</w:t>
    </w:r>
  </w:p>
  <w:p w14:paraId="35C6A257" w14:textId="77777777" w:rsidR="001F5BB8" w:rsidRPr="00FF7435" w:rsidRDefault="001F5BB8" w:rsidP="00BC7E56">
    <w:pPr>
      <w:pStyle w:val="llb"/>
      <w:rPr>
        <w:sz w:val="18"/>
        <w:szCs w:val="18"/>
      </w:rPr>
    </w:pPr>
    <w:r w:rsidRPr="00FF7435">
      <w:rPr>
        <w:sz w:val="18"/>
        <w:szCs w:val="18"/>
      </w:rPr>
      <w:t>OGYÉI/72491/2023</w:t>
    </w:r>
  </w:p>
  <w:p w14:paraId="204EA864" w14:textId="77777777" w:rsidR="001F5BB8" w:rsidRPr="00FF7435" w:rsidRDefault="001F5BB8" w:rsidP="00BC7E56">
    <w:pPr>
      <w:pStyle w:val="llb"/>
      <w:rPr>
        <w:sz w:val="18"/>
        <w:szCs w:val="18"/>
      </w:rPr>
    </w:pPr>
    <w:r w:rsidRPr="00FF7435">
      <w:rPr>
        <w:sz w:val="18"/>
        <w:szCs w:val="18"/>
      </w:rPr>
      <w:t>OGYÉI/72492/2023</w:t>
    </w:r>
  </w:p>
  <w:p w14:paraId="049ED46E" w14:textId="77777777" w:rsidR="001F5BB8" w:rsidRPr="00FF7435" w:rsidRDefault="001F5BB8" w:rsidP="00BC7E56">
    <w:pPr>
      <w:pStyle w:val="llb"/>
      <w:rPr>
        <w:sz w:val="18"/>
        <w:szCs w:val="18"/>
      </w:rPr>
    </w:pPr>
    <w:r w:rsidRPr="00FF7435">
      <w:rPr>
        <w:sz w:val="18"/>
        <w:szCs w:val="18"/>
      </w:rPr>
      <w:t>OGYÉI/72493/2023</w:t>
    </w:r>
  </w:p>
  <w:p w14:paraId="215C75F9" w14:textId="77777777" w:rsidR="001F5BB8" w:rsidRPr="00257512" w:rsidRDefault="001F5BB8" w:rsidP="00BC7E56">
    <w:pPr>
      <w:pStyle w:val="llb"/>
      <w:rPr>
        <w:sz w:val="18"/>
        <w:szCs w:val="18"/>
      </w:rPr>
    </w:pPr>
    <w:r w:rsidRPr="00257512">
      <w:rPr>
        <w:sz w:val="18"/>
        <w:szCs w:val="18"/>
      </w:rPr>
      <w:t>NNGYK/ETGY/24646/2025</w:t>
    </w:r>
  </w:p>
  <w:p w14:paraId="04C60DE6" w14:textId="77777777" w:rsidR="001F5BB8" w:rsidRPr="009A11AF" w:rsidRDefault="001F5BB8" w:rsidP="00BC7E56">
    <w:pPr>
      <w:pStyle w:val="llb"/>
      <w:rPr>
        <w:sz w:val="18"/>
        <w:szCs w:val="18"/>
      </w:rPr>
    </w:pPr>
    <w:r w:rsidRPr="009A11AF">
      <w:rPr>
        <w:sz w:val="18"/>
        <w:szCs w:val="18"/>
      </w:rPr>
      <w:t>NNGYK/ETGY/24649/2025</w:t>
    </w:r>
  </w:p>
  <w:p w14:paraId="76783650" w14:textId="77777777" w:rsidR="001F5BB8" w:rsidRPr="008C0AFA" w:rsidRDefault="001F5BB8" w:rsidP="00BC7E56">
    <w:pPr>
      <w:pStyle w:val="llb"/>
      <w:rPr>
        <w:sz w:val="18"/>
        <w:szCs w:val="18"/>
      </w:rPr>
    </w:pPr>
    <w:r w:rsidRPr="008C0AFA">
      <w:rPr>
        <w:sz w:val="18"/>
        <w:szCs w:val="18"/>
      </w:rPr>
      <w:t>NNGYK/ETGY/24651/2025</w:t>
    </w:r>
  </w:p>
  <w:p w14:paraId="769B50F3" w14:textId="357DE286" w:rsidR="001F5BB8" w:rsidRPr="00FF7435" w:rsidRDefault="001F5BB8" w:rsidP="00BC7E56">
    <w:pPr>
      <w:pStyle w:val="llb"/>
      <w:rPr>
        <w:sz w:val="18"/>
        <w:szCs w:val="18"/>
      </w:rPr>
    </w:pPr>
    <w:r w:rsidRPr="00FF7435">
      <w:rPr>
        <w:sz w:val="18"/>
        <w:szCs w:val="18"/>
      </w:rPr>
      <w:t>NNGYK/ETGY/24652/2025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FE9073" w14:textId="77777777" w:rsidR="001F5BB8" w:rsidRDefault="001F5BB8" w:rsidP="00BC7E56">
      <w:pPr>
        <w:spacing w:after="0" w:line="240" w:lineRule="auto"/>
      </w:pPr>
      <w:r>
        <w:separator/>
      </w:r>
    </w:p>
  </w:footnote>
  <w:footnote w:type="continuationSeparator" w:id="0">
    <w:p w14:paraId="507D7490" w14:textId="77777777" w:rsidR="001F5BB8" w:rsidRDefault="001F5BB8" w:rsidP="00BC7E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3620812"/>
      <w:docPartObj>
        <w:docPartGallery w:val="Page Numbers (Top of Page)"/>
        <w:docPartUnique/>
      </w:docPartObj>
    </w:sdtPr>
    <w:sdtEndPr>
      <w:rPr>
        <w:sz w:val="18"/>
        <w:szCs w:val="18"/>
      </w:rPr>
    </w:sdtEndPr>
    <w:sdtContent>
      <w:p w14:paraId="36844AE1" w14:textId="20B831B7" w:rsidR="001F5BB8" w:rsidRPr="00FF7435" w:rsidRDefault="001F5BB8" w:rsidP="00FF7435">
        <w:pPr>
          <w:pStyle w:val="lfej"/>
          <w:jc w:val="center"/>
          <w:rPr>
            <w:sz w:val="18"/>
            <w:szCs w:val="18"/>
          </w:rPr>
        </w:pPr>
        <w:r w:rsidRPr="00FF7435">
          <w:rPr>
            <w:sz w:val="18"/>
            <w:szCs w:val="18"/>
          </w:rPr>
          <w:fldChar w:fldCharType="begin"/>
        </w:r>
        <w:r w:rsidRPr="00FF7435">
          <w:rPr>
            <w:sz w:val="18"/>
            <w:szCs w:val="18"/>
          </w:rPr>
          <w:instrText>PAGE   \* MERGEFORMAT</w:instrText>
        </w:r>
        <w:r w:rsidRPr="00FF7435">
          <w:rPr>
            <w:sz w:val="18"/>
            <w:szCs w:val="18"/>
          </w:rPr>
          <w:fldChar w:fldCharType="separate"/>
        </w:r>
        <w:r w:rsidR="004672D9">
          <w:rPr>
            <w:sz w:val="18"/>
            <w:szCs w:val="18"/>
          </w:rPr>
          <w:t>21</w:t>
        </w:r>
        <w:r w:rsidRPr="00FF7435">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A18D6"/>
    <w:multiLevelType w:val="hybridMultilevel"/>
    <w:tmpl w:val="F8D6B03A"/>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0430F5"/>
    <w:multiLevelType w:val="hybridMultilevel"/>
    <w:tmpl w:val="BDB082A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522476"/>
    <w:multiLevelType w:val="hybridMultilevel"/>
    <w:tmpl w:val="F232EDA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944919"/>
    <w:multiLevelType w:val="hybridMultilevel"/>
    <w:tmpl w:val="1EC0EFE8"/>
    <w:lvl w:ilvl="0" w:tplc="40CC4792">
      <w:start w:val="1"/>
      <w:numFmt w:val="upperLetter"/>
      <w:lvlText w:val="%1."/>
      <w:lvlJc w:val="left"/>
      <w:pPr>
        <w:ind w:left="806" w:hanging="568"/>
      </w:pPr>
      <w:rPr>
        <w:rFonts w:ascii="Times New Roman" w:eastAsia="Times New Roman" w:hAnsi="Times New Roman" w:cs="Times New Roman" w:hint="default"/>
        <w:b/>
        <w:bCs/>
        <w:i w:val="0"/>
        <w:iCs w:val="0"/>
        <w:spacing w:val="-1"/>
        <w:w w:val="99"/>
        <w:sz w:val="22"/>
        <w:szCs w:val="22"/>
        <w:lang w:val="hu-HU" w:eastAsia="en-US" w:bidi="ar-SA"/>
      </w:rPr>
    </w:lvl>
    <w:lvl w:ilvl="1" w:tplc="3362903C">
      <w:numFmt w:val="bullet"/>
      <w:lvlText w:val="•"/>
      <w:lvlJc w:val="left"/>
      <w:pPr>
        <w:ind w:left="1718" w:hanging="568"/>
      </w:pPr>
      <w:rPr>
        <w:rFonts w:hint="default"/>
        <w:lang w:val="hu-HU" w:eastAsia="en-US" w:bidi="ar-SA"/>
      </w:rPr>
    </w:lvl>
    <w:lvl w:ilvl="2" w:tplc="E8A24CBE">
      <w:numFmt w:val="bullet"/>
      <w:lvlText w:val="•"/>
      <w:lvlJc w:val="left"/>
      <w:pPr>
        <w:ind w:left="2637" w:hanging="568"/>
      </w:pPr>
      <w:rPr>
        <w:rFonts w:hint="default"/>
        <w:lang w:val="hu-HU" w:eastAsia="en-US" w:bidi="ar-SA"/>
      </w:rPr>
    </w:lvl>
    <w:lvl w:ilvl="3" w:tplc="6D9C947A">
      <w:numFmt w:val="bullet"/>
      <w:lvlText w:val="•"/>
      <w:lvlJc w:val="left"/>
      <w:pPr>
        <w:ind w:left="3555" w:hanging="568"/>
      </w:pPr>
      <w:rPr>
        <w:rFonts w:hint="default"/>
        <w:lang w:val="hu-HU" w:eastAsia="en-US" w:bidi="ar-SA"/>
      </w:rPr>
    </w:lvl>
    <w:lvl w:ilvl="4" w:tplc="A6769EF6">
      <w:numFmt w:val="bullet"/>
      <w:lvlText w:val="•"/>
      <w:lvlJc w:val="left"/>
      <w:pPr>
        <w:ind w:left="4474" w:hanging="568"/>
      </w:pPr>
      <w:rPr>
        <w:rFonts w:hint="default"/>
        <w:lang w:val="hu-HU" w:eastAsia="en-US" w:bidi="ar-SA"/>
      </w:rPr>
    </w:lvl>
    <w:lvl w:ilvl="5" w:tplc="CB0C1F02">
      <w:numFmt w:val="bullet"/>
      <w:lvlText w:val="•"/>
      <w:lvlJc w:val="left"/>
      <w:pPr>
        <w:ind w:left="5392" w:hanging="568"/>
      </w:pPr>
      <w:rPr>
        <w:rFonts w:hint="default"/>
        <w:lang w:val="hu-HU" w:eastAsia="en-US" w:bidi="ar-SA"/>
      </w:rPr>
    </w:lvl>
    <w:lvl w:ilvl="6" w:tplc="F8DEE120">
      <w:numFmt w:val="bullet"/>
      <w:lvlText w:val="•"/>
      <w:lvlJc w:val="left"/>
      <w:pPr>
        <w:ind w:left="6311" w:hanging="568"/>
      </w:pPr>
      <w:rPr>
        <w:rFonts w:hint="default"/>
        <w:lang w:val="hu-HU" w:eastAsia="en-US" w:bidi="ar-SA"/>
      </w:rPr>
    </w:lvl>
    <w:lvl w:ilvl="7" w:tplc="3F04F8E2">
      <w:numFmt w:val="bullet"/>
      <w:lvlText w:val="•"/>
      <w:lvlJc w:val="left"/>
      <w:pPr>
        <w:ind w:left="7229" w:hanging="568"/>
      </w:pPr>
      <w:rPr>
        <w:rFonts w:hint="default"/>
        <w:lang w:val="hu-HU" w:eastAsia="en-US" w:bidi="ar-SA"/>
      </w:rPr>
    </w:lvl>
    <w:lvl w:ilvl="8" w:tplc="C2B634EA">
      <w:numFmt w:val="bullet"/>
      <w:lvlText w:val="•"/>
      <w:lvlJc w:val="left"/>
      <w:pPr>
        <w:ind w:left="8148" w:hanging="568"/>
      </w:pPr>
      <w:rPr>
        <w:rFonts w:hint="default"/>
        <w:lang w:val="hu-HU" w:eastAsia="en-US" w:bidi="ar-SA"/>
      </w:rPr>
    </w:lvl>
  </w:abstractNum>
  <w:abstractNum w:abstractNumId="4" w15:restartNumberingAfterBreak="0">
    <w:nsid w:val="125B736C"/>
    <w:multiLevelType w:val="hybridMultilevel"/>
    <w:tmpl w:val="98E2C1F4"/>
    <w:lvl w:ilvl="0" w:tplc="FFFFFFFF">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10379F"/>
    <w:multiLevelType w:val="hybridMultilevel"/>
    <w:tmpl w:val="FF7CCA2C"/>
    <w:lvl w:ilvl="0" w:tplc="A76081C4">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E5661030">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519667D0">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F1167F52">
      <w:numFmt w:val="bullet"/>
      <w:lvlText w:val="•"/>
      <w:lvlJc w:val="left"/>
      <w:pPr>
        <w:ind w:left="3292" w:hanging="154"/>
      </w:pPr>
      <w:rPr>
        <w:rFonts w:hint="default"/>
        <w:lang w:val="hu-HU" w:eastAsia="en-US" w:bidi="ar-SA"/>
      </w:rPr>
    </w:lvl>
    <w:lvl w:ilvl="4" w:tplc="02A27CDC">
      <w:numFmt w:val="bullet"/>
      <w:lvlText w:val="•"/>
      <w:lvlJc w:val="left"/>
      <w:pPr>
        <w:ind w:left="4248" w:hanging="154"/>
      </w:pPr>
      <w:rPr>
        <w:rFonts w:hint="default"/>
        <w:lang w:val="hu-HU" w:eastAsia="en-US" w:bidi="ar-SA"/>
      </w:rPr>
    </w:lvl>
    <w:lvl w:ilvl="5" w:tplc="AA9CA56A">
      <w:numFmt w:val="bullet"/>
      <w:lvlText w:val="•"/>
      <w:lvlJc w:val="left"/>
      <w:pPr>
        <w:ind w:left="5204" w:hanging="154"/>
      </w:pPr>
      <w:rPr>
        <w:rFonts w:hint="default"/>
        <w:lang w:val="hu-HU" w:eastAsia="en-US" w:bidi="ar-SA"/>
      </w:rPr>
    </w:lvl>
    <w:lvl w:ilvl="6" w:tplc="4BF8E0DC">
      <w:numFmt w:val="bullet"/>
      <w:lvlText w:val="•"/>
      <w:lvlJc w:val="left"/>
      <w:pPr>
        <w:ind w:left="6160" w:hanging="154"/>
      </w:pPr>
      <w:rPr>
        <w:rFonts w:hint="default"/>
        <w:lang w:val="hu-HU" w:eastAsia="en-US" w:bidi="ar-SA"/>
      </w:rPr>
    </w:lvl>
    <w:lvl w:ilvl="7" w:tplc="D38E9C36">
      <w:numFmt w:val="bullet"/>
      <w:lvlText w:val="•"/>
      <w:lvlJc w:val="left"/>
      <w:pPr>
        <w:ind w:left="7116" w:hanging="154"/>
      </w:pPr>
      <w:rPr>
        <w:rFonts w:hint="default"/>
        <w:lang w:val="hu-HU" w:eastAsia="en-US" w:bidi="ar-SA"/>
      </w:rPr>
    </w:lvl>
    <w:lvl w:ilvl="8" w:tplc="2EC21E98">
      <w:numFmt w:val="bullet"/>
      <w:lvlText w:val="•"/>
      <w:lvlJc w:val="left"/>
      <w:pPr>
        <w:ind w:left="8073" w:hanging="154"/>
      </w:pPr>
      <w:rPr>
        <w:rFonts w:hint="default"/>
        <w:lang w:val="hu-HU" w:eastAsia="en-US" w:bidi="ar-SA"/>
      </w:rPr>
    </w:lvl>
  </w:abstractNum>
  <w:abstractNum w:abstractNumId="6" w15:restartNumberingAfterBreak="0">
    <w:nsid w:val="19A33BDB"/>
    <w:multiLevelType w:val="hybridMultilevel"/>
    <w:tmpl w:val="05EA2750"/>
    <w:lvl w:ilvl="0" w:tplc="B03ED88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8710EEB0">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7C92654C">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9878C0C8">
      <w:numFmt w:val="bullet"/>
      <w:lvlText w:val="•"/>
      <w:lvlJc w:val="left"/>
      <w:pPr>
        <w:ind w:left="3292" w:hanging="154"/>
      </w:pPr>
      <w:rPr>
        <w:rFonts w:hint="default"/>
        <w:lang w:val="hu-HU" w:eastAsia="en-US" w:bidi="ar-SA"/>
      </w:rPr>
    </w:lvl>
    <w:lvl w:ilvl="4" w:tplc="5DCAA02E">
      <w:numFmt w:val="bullet"/>
      <w:lvlText w:val="•"/>
      <w:lvlJc w:val="left"/>
      <w:pPr>
        <w:ind w:left="4248" w:hanging="154"/>
      </w:pPr>
      <w:rPr>
        <w:rFonts w:hint="default"/>
        <w:lang w:val="hu-HU" w:eastAsia="en-US" w:bidi="ar-SA"/>
      </w:rPr>
    </w:lvl>
    <w:lvl w:ilvl="5" w:tplc="8DA2154A">
      <w:numFmt w:val="bullet"/>
      <w:lvlText w:val="•"/>
      <w:lvlJc w:val="left"/>
      <w:pPr>
        <w:ind w:left="5204" w:hanging="154"/>
      </w:pPr>
      <w:rPr>
        <w:rFonts w:hint="default"/>
        <w:lang w:val="hu-HU" w:eastAsia="en-US" w:bidi="ar-SA"/>
      </w:rPr>
    </w:lvl>
    <w:lvl w:ilvl="6" w:tplc="064AC754">
      <w:numFmt w:val="bullet"/>
      <w:lvlText w:val="•"/>
      <w:lvlJc w:val="left"/>
      <w:pPr>
        <w:ind w:left="6160" w:hanging="154"/>
      </w:pPr>
      <w:rPr>
        <w:rFonts w:hint="default"/>
        <w:lang w:val="hu-HU" w:eastAsia="en-US" w:bidi="ar-SA"/>
      </w:rPr>
    </w:lvl>
    <w:lvl w:ilvl="7" w:tplc="73981A0E">
      <w:numFmt w:val="bullet"/>
      <w:lvlText w:val="•"/>
      <w:lvlJc w:val="left"/>
      <w:pPr>
        <w:ind w:left="7116" w:hanging="154"/>
      </w:pPr>
      <w:rPr>
        <w:rFonts w:hint="default"/>
        <w:lang w:val="hu-HU" w:eastAsia="en-US" w:bidi="ar-SA"/>
      </w:rPr>
    </w:lvl>
    <w:lvl w:ilvl="8" w:tplc="D4D6BCDA">
      <w:numFmt w:val="bullet"/>
      <w:lvlText w:val="•"/>
      <w:lvlJc w:val="left"/>
      <w:pPr>
        <w:ind w:left="8073" w:hanging="154"/>
      </w:pPr>
      <w:rPr>
        <w:rFonts w:hint="default"/>
        <w:lang w:val="hu-HU" w:eastAsia="en-US" w:bidi="ar-SA"/>
      </w:rPr>
    </w:lvl>
  </w:abstractNum>
  <w:abstractNum w:abstractNumId="7" w15:restartNumberingAfterBreak="0">
    <w:nsid w:val="19EB7053"/>
    <w:multiLevelType w:val="hybridMultilevel"/>
    <w:tmpl w:val="2CF87434"/>
    <w:lvl w:ilvl="0" w:tplc="2B302E44">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4360D1"/>
    <w:multiLevelType w:val="hybridMultilevel"/>
    <w:tmpl w:val="D3980CB4"/>
    <w:lvl w:ilvl="0" w:tplc="8C3AEFB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615161"/>
    <w:multiLevelType w:val="hybridMultilevel"/>
    <w:tmpl w:val="7598B2DE"/>
    <w:lvl w:ilvl="0" w:tplc="8E942EA0">
      <w:start w:val="1"/>
      <w:numFmt w:val="upperRoman"/>
      <w:lvlText w:val="%1."/>
      <w:lvlJc w:val="left"/>
      <w:pPr>
        <w:ind w:left="3419" w:hanging="196"/>
        <w:jc w:val="right"/>
      </w:pPr>
      <w:rPr>
        <w:rFonts w:ascii="Times New Roman" w:eastAsia="Times New Roman" w:hAnsi="Times New Roman" w:cs="Times New Roman" w:hint="default"/>
        <w:b/>
        <w:bCs/>
        <w:i w:val="0"/>
        <w:iCs w:val="0"/>
        <w:spacing w:val="0"/>
        <w:w w:val="99"/>
        <w:sz w:val="22"/>
        <w:szCs w:val="22"/>
        <w:lang w:val="hu-HU" w:eastAsia="en-US" w:bidi="ar-SA"/>
      </w:rPr>
    </w:lvl>
    <w:lvl w:ilvl="1" w:tplc="F6FA980C">
      <w:numFmt w:val="bullet"/>
      <w:lvlText w:val="•"/>
      <w:lvlJc w:val="left"/>
      <w:pPr>
        <w:ind w:left="4076" w:hanging="196"/>
      </w:pPr>
      <w:rPr>
        <w:rFonts w:hint="default"/>
        <w:lang w:val="hu-HU" w:eastAsia="en-US" w:bidi="ar-SA"/>
      </w:rPr>
    </w:lvl>
    <w:lvl w:ilvl="2" w:tplc="763C561A">
      <w:numFmt w:val="bullet"/>
      <w:lvlText w:val="•"/>
      <w:lvlJc w:val="left"/>
      <w:pPr>
        <w:ind w:left="4733" w:hanging="196"/>
      </w:pPr>
      <w:rPr>
        <w:rFonts w:hint="default"/>
        <w:lang w:val="hu-HU" w:eastAsia="en-US" w:bidi="ar-SA"/>
      </w:rPr>
    </w:lvl>
    <w:lvl w:ilvl="3" w:tplc="A55E911A">
      <w:numFmt w:val="bullet"/>
      <w:lvlText w:val="•"/>
      <w:lvlJc w:val="left"/>
      <w:pPr>
        <w:ind w:left="5389" w:hanging="196"/>
      </w:pPr>
      <w:rPr>
        <w:rFonts w:hint="default"/>
        <w:lang w:val="hu-HU" w:eastAsia="en-US" w:bidi="ar-SA"/>
      </w:rPr>
    </w:lvl>
    <w:lvl w:ilvl="4" w:tplc="23FE1628">
      <w:numFmt w:val="bullet"/>
      <w:lvlText w:val="•"/>
      <w:lvlJc w:val="left"/>
      <w:pPr>
        <w:ind w:left="6046" w:hanging="196"/>
      </w:pPr>
      <w:rPr>
        <w:rFonts w:hint="default"/>
        <w:lang w:val="hu-HU" w:eastAsia="en-US" w:bidi="ar-SA"/>
      </w:rPr>
    </w:lvl>
    <w:lvl w:ilvl="5" w:tplc="48206E8E">
      <w:numFmt w:val="bullet"/>
      <w:lvlText w:val="•"/>
      <w:lvlJc w:val="left"/>
      <w:pPr>
        <w:ind w:left="6702" w:hanging="196"/>
      </w:pPr>
      <w:rPr>
        <w:rFonts w:hint="default"/>
        <w:lang w:val="hu-HU" w:eastAsia="en-US" w:bidi="ar-SA"/>
      </w:rPr>
    </w:lvl>
    <w:lvl w:ilvl="6" w:tplc="A1D272D6">
      <w:numFmt w:val="bullet"/>
      <w:lvlText w:val="•"/>
      <w:lvlJc w:val="left"/>
      <w:pPr>
        <w:ind w:left="7359" w:hanging="196"/>
      </w:pPr>
      <w:rPr>
        <w:rFonts w:hint="default"/>
        <w:lang w:val="hu-HU" w:eastAsia="en-US" w:bidi="ar-SA"/>
      </w:rPr>
    </w:lvl>
    <w:lvl w:ilvl="7" w:tplc="D8724180">
      <w:numFmt w:val="bullet"/>
      <w:lvlText w:val="•"/>
      <w:lvlJc w:val="left"/>
      <w:pPr>
        <w:ind w:left="8015" w:hanging="196"/>
      </w:pPr>
      <w:rPr>
        <w:rFonts w:hint="default"/>
        <w:lang w:val="hu-HU" w:eastAsia="en-US" w:bidi="ar-SA"/>
      </w:rPr>
    </w:lvl>
    <w:lvl w:ilvl="8" w:tplc="45900644">
      <w:numFmt w:val="bullet"/>
      <w:lvlText w:val="•"/>
      <w:lvlJc w:val="left"/>
      <w:pPr>
        <w:ind w:left="8672" w:hanging="196"/>
      </w:pPr>
      <w:rPr>
        <w:rFonts w:hint="default"/>
        <w:lang w:val="hu-HU" w:eastAsia="en-US" w:bidi="ar-SA"/>
      </w:rPr>
    </w:lvl>
  </w:abstractNum>
  <w:abstractNum w:abstractNumId="10" w15:restartNumberingAfterBreak="0">
    <w:nsid w:val="24CC559E"/>
    <w:multiLevelType w:val="hybridMultilevel"/>
    <w:tmpl w:val="D12880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7E713C"/>
    <w:multiLevelType w:val="hybridMultilevel"/>
    <w:tmpl w:val="93FCC26E"/>
    <w:lvl w:ilvl="0" w:tplc="97C613E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06AC73E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DA5CBD9A">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72C803AC">
      <w:numFmt w:val="bullet"/>
      <w:lvlText w:val="•"/>
      <w:lvlJc w:val="left"/>
      <w:pPr>
        <w:ind w:left="3292" w:hanging="154"/>
      </w:pPr>
      <w:rPr>
        <w:rFonts w:hint="default"/>
        <w:lang w:val="hu-HU" w:eastAsia="en-US" w:bidi="ar-SA"/>
      </w:rPr>
    </w:lvl>
    <w:lvl w:ilvl="4" w:tplc="34E80428">
      <w:numFmt w:val="bullet"/>
      <w:lvlText w:val="•"/>
      <w:lvlJc w:val="left"/>
      <w:pPr>
        <w:ind w:left="4248" w:hanging="154"/>
      </w:pPr>
      <w:rPr>
        <w:rFonts w:hint="default"/>
        <w:lang w:val="hu-HU" w:eastAsia="en-US" w:bidi="ar-SA"/>
      </w:rPr>
    </w:lvl>
    <w:lvl w:ilvl="5" w:tplc="C6C88CEC">
      <w:numFmt w:val="bullet"/>
      <w:lvlText w:val="•"/>
      <w:lvlJc w:val="left"/>
      <w:pPr>
        <w:ind w:left="5204" w:hanging="154"/>
      </w:pPr>
      <w:rPr>
        <w:rFonts w:hint="default"/>
        <w:lang w:val="hu-HU" w:eastAsia="en-US" w:bidi="ar-SA"/>
      </w:rPr>
    </w:lvl>
    <w:lvl w:ilvl="6" w:tplc="B0F099D4">
      <w:numFmt w:val="bullet"/>
      <w:lvlText w:val="•"/>
      <w:lvlJc w:val="left"/>
      <w:pPr>
        <w:ind w:left="6160" w:hanging="154"/>
      </w:pPr>
      <w:rPr>
        <w:rFonts w:hint="default"/>
        <w:lang w:val="hu-HU" w:eastAsia="en-US" w:bidi="ar-SA"/>
      </w:rPr>
    </w:lvl>
    <w:lvl w:ilvl="7" w:tplc="D0BA1460">
      <w:numFmt w:val="bullet"/>
      <w:lvlText w:val="•"/>
      <w:lvlJc w:val="left"/>
      <w:pPr>
        <w:ind w:left="7116" w:hanging="154"/>
      </w:pPr>
      <w:rPr>
        <w:rFonts w:hint="default"/>
        <w:lang w:val="hu-HU" w:eastAsia="en-US" w:bidi="ar-SA"/>
      </w:rPr>
    </w:lvl>
    <w:lvl w:ilvl="8" w:tplc="0E2CF95E">
      <w:numFmt w:val="bullet"/>
      <w:lvlText w:val="•"/>
      <w:lvlJc w:val="left"/>
      <w:pPr>
        <w:ind w:left="8073" w:hanging="154"/>
      </w:pPr>
      <w:rPr>
        <w:rFonts w:hint="default"/>
        <w:lang w:val="hu-HU" w:eastAsia="en-US" w:bidi="ar-SA"/>
      </w:rPr>
    </w:lvl>
  </w:abstractNum>
  <w:abstractNum w:abstractNumId="12" w15:restartNumberingAfterBreak="0">
    <w:nsid w:val="280F7C02"/>
    <w:multiLevelType w:val="hybridMultilevel"/>
    <w:tmpl w:val="3468E090"/>
    <w:lvl w:ilvl="0" w:tplc="793A3566">
      <w:numFmt w:val="bullet"/>
      <w:lvlText w:val=""/>
      <w:lvlJc w:val="left"/>
      <w:pPr>
        <w:ind w:left="806" w:hanging="568"/>
      </w:pPr>
      <w:rPr>
        <w:rFonts w:ascii="Symbol" w:eastAsia="Symbol" w:hAnsi="Symbol" w:cs="Symbol" w:hint="default"/>
        <w:b w:val="0"/>
        <w:bCs w:val="0"/>
        <w:i w:val="0"/>
        <w:iCs w:val="0"/>
        <w:spacing w:val="0"/>
        <w:w w:val="99"/>
        <w:sz w:val="22"/>
        <w:szCs w:val="22"/>
        <w:lang w:val="hu-HU" w:eastAsia="en-US" w:bidi="ar-SA"/>
      </w:rPr>
    </w:lvl>
    <w:lvl w:ilvl="1" w:tplc="DE1A4F36">
      <w:numFmt w:val="bullet"/>
      <w:lvlText w:val="•"/>
      <w:lvlJc w:val="left"/>
      <w:pPr>
        <w:ind w:left="1718" w:hanging="568"/>
      </w:pPr>
      <w:rPr>
        <w:rFonts w:hint="default"/>
        <w:lang w:val="hu-HU" w:eastAsia="en-US" w:bidi="ar-SA"/>
      </w:rPr>
    </w:lvl>
    <w:lvl w:ilvl="2" w:tplc="3EEEB28C">
      <w:numFmt w:val="bullet"/>
      <w:lvlText w:val="•"/>
      <w:lvlJc w:val="left"/>
      <w:pPr>
        <w:ind w:left="2637" w:hanging="568"/>
      </w:pPr>
      <w:rPr>
        <w:rFonts w:hint="default"/>
        <w:lang w:val="hu-HU" w:eastAsia="en-US" w:bidi="ar-SA"/>
      </w:rPr>
    </w:lvl>
    <w:lvl w:ilvl="3" w:tplc="52146164">
      <w:numFmt w:val="bullet"/>
      <w:lvlText w:val="•"/>
      <w:lvlJc w:val="left"/>
      <w:pPr>
        <w:ind w:left="3555" w:hanging="568"/>
      </w:pPr>
      <w:rPr>
        <w:rFonts w:hint="default"/>
        <w:lang w:val="hu-HU" w:eastAsia="en-US" w:bidi="ar-SA"/>
      </w:rPr>
    </w:lvl>
    <w:lvl w:ilvl="4" w:tplc="A1D63B08">
      <w:numFmt w:val="bullet"/>
      <w:lvlText w:val="•"/>
      <w:lvlJc w:val="left"/>
      <w:pPr>
        <w:ind w:left="4474" w:hanging="568"/>
      </w:pPr>
      <w:rPr>
        <w:rFonts w:hint="default"/>
        <w:lang w:val="hu-HU" w:eastAsia="en-US" w:bidi="ar-SA"/>
      </w:rPr>
    </w:lvl>
    <w:lvl w:ilvl="5" w:tplc="2B0A8F40">
      <w:numFmt w:val="bullet"/>
      <w:lvlText w:val="•"/>
      <w:lvlJc w:val="left"/>
      <w:pPr>
        <w:ind w:left="5392" w:hanging="568"/>
      </w:pPr>
      <w:rPr>
        <w:rFonts w:hint="default"/>
        <w:lang w:val="hu-HU" w:eastAsia="en-US" w:bidi="ar-SA"/>
      </w:rPr>
    </w:lvl>
    <w:lvl w:ilvl="6" w:tplc="2D26942C">
      <w:numFmt w:val="bullet"/>
      <w:lvlText w:val="•"/>
      <w:lvlJc w:val="left"/>
      <w:pPr>
        <w:ind w:left="6311" w:hanging="568"/>
      </w:pPr>
      <w:rPr>
        <w:rFonts w:hint="default"/>
        <w:lang w:val="hu-HU" w:eastAsia="en-US" w:bidi="ar-SA"/>
      </w:rPr>
    </w:lvl>
    <w:lvl w:ilvl="7" w:tplc="F432AE64">
      <w:numFmt w:val="bullet"/>
      <w:lvlText w:val="•"/>
      <w:lvlJc w:val="left"/>
      <w:pPr>
        <w:ind w:left="7229" w:hanging="568"/>
      </w:pPr>
      <w:rPr>
        <w:rFonts w:hint="default"/>
        <w:lang w:val="hu-HU" w:eastAsia="en-US" w:bidi="ar-SA"/>
      </w:rPr>
    </w:lvl>
    <w:lvl w:ilvl="8" w:tplc="BED22186">
      <w:numFmt w:val="bullet"/>
      <w:lvlText w:val="•"/>
      <w:lvlJc w:val="left"/>
      <w:pPr>
        <w:ind w:left="8148" w:hanging="568"/>
      </w:pPr>
      <w:rPr>
        <w:rFonts w:hint="default"/>
        <w:lang w:val="hu-HU" w:eastAsia="en-US" w:bidi="ar-SA"/>
      </w:rPr>
    </w:lvl>
  </w:abstractNum>
  <w:abstractNum w:abstractNumId="13" w15:restartNumberingAfterBreak="0">
    <w:nsid w:val="2821391B"/>
    <w:multiLevelType w:val="hybridMultilevel"/>
    <w:tmpl w:val="20FCC9FA"/>
    <w:lvl w:ilvl="0" w:tplc="2BE0BBD0">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8C9836BE">
      <w:numFmt w:val="bullet"/>
      <w:lvlText w:val="•"/>
      <w:lvlJc w:val="left"/>
      <w:pPr>
        <w:ind w:left="1718" w:hanging="568"/>
      </w:pPr>
      <w:rPr>
        <w:rFonts w:hint="default"/>
        <w:lang w:val="hu-HU" w:eastAsia="en-US" w:bidi="ar-SA"/>
      </w:rPr>
    </w:lvl>
    <w:lvl w:ilvl="2" w:tplc="9BD83B06">
      <w:numFmt w:val="bullet"/>
      <w:lvlText w:val="•"/>
      <w:lvlJc w:val="left"/>
      <w:pPr>
        <w:ind w:left="2637" w:hanging="568"/>
      </w:pPr>
      <w:rPr>
        <w:rFonts w:hint="default"/>
        <w:lang w:val="hu-HU" w:eastAsia="en-US" w:bidi="ar-SA"/>
      </w:rPr>
    </w:lvl>
    <w:lvl w:ilvl="3" w:tplc="CFAE0510">
      <w:numFmt w:val="bullet"/>
      <w:lvlText w:val="•"/>
      <w:lvlJc w:val="left"/>
      <w:pPr>
        <w:ind w:left="3555" w:hanging="568"/>
      </w:pPr>
      <w:rPr>
        <w:rFonts w:hint="default"/>
        <w:lang w:val="hu-HU" w:eastAsia="en-US" w:bidi="ar-SA"/>
      </w:rPr>
    </w:lvl>
    <w:lvl w:ilvl="4" w:tplc="98D6D09A">
      <w:numFmt w:val="bullet"/>
      <w:lvlText w:val="•"/>
      <w:lvlJc w:val="left"/>
      <w:pPr>
        <w:ind w:left="4474" w:hanging="568"/>
      </w:pPr>
      <w:rPr>
        <w:rFonts w:hint="default"/>
        <w:lang w:val="hu-HU" w:eastAsia="en-US" w:bidi="ar-SA"/>
      </w:rPr>
    </w:lvl>
    <w:lvl w:ilvl="5" w:tplc="3062ADB0">
      <w:numFmt w:val="bullet"/>
      <w:lvlText w:val="•"/>
      <w:lvlJc w:val="left"/>
      <w:pPr>
        <w:ind w:left="5392" w:hanging="568"/>
      </w:pPr>
      <w:rPr>
        <w:rFonts w:hint="default"/>
        <w:lang w:val="hu-HU" w:eastAsia="en-US" w:bidi="ar-SA"/>
      </w:rPr>
    </w:lvl>
    <w:lvl w:ilvl="6" w:tplc="B4CC6676">
      <w:numFmt w:val="bullet"/>
      <w:lvlText w:val="•"/>
      <w:lvlJc w:val="left"/>
      <w:pPr>
        <w:ind w:left="6311" w:hanging="568"/>
      </w:pPr>
      <w:rPr>
        <w:rFonts w:hint="default"/>
        <w:lang w:val="hu-HU" w:eastAsia="en-US" w:bidi="ar-SA"/>
      </w:rPr>
    </w:lvl>
    <w:lvl w:ilvl="7" w:tplc="374495FE">
      <w:numFmt w:val="bullet"/>
      <w:lvlText w:val="•"/>
      <w:lvlJc w:val="left"/>
      <w:pPr>
        <w:ind w:left="7229" w:hanging="568"/>
      </w:pPr>
      <w:rPr>
        <w:rFonts w:hint="default"/>
        <w:lang w:val="hu-HU" w:eastAsia="en-US" w:bidi="ar-SA"/>
      </w:rPr>
    </w:lvl>
    <w:lvl w:ilvl="8" w:tplc="DD56E3A4">
      <w:numFmt w:val="bullet"/>
      <w:lvlText w:val="•"/>
      <w:lvlJc w:val="left"/>
      <w:pPr>
        <w:ind w:left="8148" w:hanging="568"/>
      </w:pPr>
      <w:rPr>
        <w:rFonts w:hint="default"/>
        <w:lang w:val="hu-HU" w:eastAsia="en-US" w:bidi="ar-SA"/>
      </w:rPr>
    </w:lvl>
  </w:abstractNum>
  <w:abstractNum w:abstractNumId="14" w15:restartNumberingAfterBreak="0">
    <w:nsid w:val="2B1A38B7"/>
    <w:multiLevelType w:val="hybridMultilevel"/>
    <w:tmpl w:val="FC781A30"/>
    <w:lvl w:ilvl="0" w:tplc="19845570">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3B60397C">
      <w:numFmt w:val="bullet"/>
      <w:lvlText w:val="•"/>
      <w:lvlJc w:val="left"/>
      <w:pPr>
        <w:ind w:left="1718" w:hanging="568"/>
      </w:pPr>
      <w:rPr>
        <w:rFonts w:hint="default"/>
        <w:lang w:val="hu-HU" w:eastAsia="en-US" w:bidi="ar-SA"/>
      </w:rPr>
    </w:lvl>
    <w:lvl w:ilvl="2" w:tplc="B2784CBC">
      <w:numFmt w:val="bullet"/>
      <w:lvlText w:val="•"/>
      <w:lvlJc w:val="left"/>
      <w:pPr>
        <w:ind w:left="2637" w:hanging="568"/>
      </w:pPr>
      <w:rPr>
        <w:rFonts w:hint="default"/>
        <w:lang w:val="hu-HU" w:eastAsia="en-US" w:bidi="ar-SA"/>
      </w:rPr>
    </w:lvl>
    <w:lvl w:ilvl="3" w:tplc="32E25B6C">
      <w:numFmt w:val="bullet"/>
      <w:lvlText w:val="•"/>
      <w:lvlJc w:val="left"/>
      <w:pPr>
        <w:ind w:left="3555" w:hanging="568"/>
      </w:pPr>
      <w:rPr>
        <w:rFonts w:hint="default"/>
        <w:lang w:val="hu-HU" w:eastAsia="en-US" w:bidi="ar-SA"/>
      </w:rPr>
    </w:lvl>
    <w:lvl w:ilvl="4" w:tplc="D1D8EDE0">
      <w:numFmt w:val="bullet"/>
      <w:lvlText w:val="•"/>
      <w:lvlJc w:val="left"/>
      <w:pPr>
        <w:ind w:left="4474" w:hanging="568"/>
      </w:pPr>
      <w:rPr>
        <w:rFonts w:hint="default"/>
        <w:lang w:val="hu-HU" w:eastAsia="en-US" w:bidi="ar-SA"/>
      </w:rPr>
    </w:lvl>
    <w:lvl w:ilvl="5" w:tplc="2C5046DA">
      <w:numFmt w:val="bullet"/>
      <w:lvlText w:val="•"/>
      <w:lvlJc w:val="left"/>
      <w:pPr>
        <w:ind w:left="5392" w:hanging="568"/>
      </w:pPr>
      <w:rPr>
        <w:rFonts w:hint="default"/>
        <w:lang w:val="hu-HU" w:eastAsia="en-US" w:bidi="ar-SA"/>
      </w:rPr>
    </w:lvl>
    <w:lvl w:ilvl="6" w:tplc="90048DF4">
      <w:numFmt w:val="bullet"/>
      <w:lvlText w:val="•"/>
      <w:lvlJc w:val="left"/>
      <w:pPr>
        <w:ind w:left="6311" w:hanging="568"/>
      </w:pPr>
      <w:rPr>
        <w:rFonts w:hint="default"/>
        <w:lang w:val="hu-HU" w:eastAsia="en-US" w:bidi="ar-SA"/>
      </w:rPr>
    </w:lvl>
    <w:lvl w:ilvl="7" w:tplc="54D4C4D8">
      <w:numFmt w:val="bullet"/>
      <w:lvlText w:val="•"/>
      <w:lvlJc w:val="left"/>
      <w:pPr>
        <w:ind w:left="7229" w:hanging="568"/>
      </w:pPr>
      <w:rPr>
        <w:rFonts w:hint="default"/>
        <w:lang w:val="hu-HU" w:eastAsia="en-US" w:bidi="ar-SA"/>
      </w:rPr>
    </w:lvl>
    <w:lvl w:ilvl="8" w:tplc="1D4AE53C">
      <w:numFmt w:val="bullet"/>
      <w:lvlText w:val="•"/>
      <w:lvlJc w:val="left"/>
      <w:pPr>
        <w:ind w:left="8148" w:hanging="568"/>
      </w:pPr>
      <w:rPr>
        <w:rFonts w:hint="default"/>
        <w:lang w:val="hu-HU" w:eastAsia="en-US" w:bidi="ar-SA"/>
      </w:rPr>
    </w:lvl>
  </w:abstractNum>
  <w:abstractNum w:abstractNumId="15" w15:restartNumberingAfterBreak="0">
    <w:nsid w:val="2BDC5D87"/>
    <w:multiLevelType w:val="hybridMultilevel"/>
    <w:tmpl w:val="784EBFF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1702A4"/>
    <w:multiLevelType w:val="hybridMultilevel"/>
    <w:tmpl w:val="D69481AE"/>
    <w:lvl w:ilvl="0" w:tplc="6DA23BA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D738FF2C">
      <w:numFmt w:val="bullet"/>
      <w:lvlText w:val="•"/>
      <w:lvlJc w:val="left"/>
      <w:pPr>
        <w:ind w:left="1718" w:hanging="568"/>
      </w:pPr>
      <w:rPr>
        <w:rFonts w:hint="default"/>
        <w:lang w:val="hu-HU" w:eastAsia="en-US" w:bidi="ar-SA"/>
      </w:rPr>
    </w:lvl>
    <w:lvl w:ilvl="2" w:tplc="0422F920">
      <w:numFmt w:val="bullet"/>
      <w:lvlText w:val="•"/>
      <w:lvlJc w:val="left"/>
      <w:pPr>
        <w:ind w:left="2637" w:hanging="568"/>
      </w:pPr>
      <w:rPr>
        <w:rFonts w:hint="default"/>
        <w:lang w:val="hu-HU" w:eastAsia="en-US" w:bidi="ar-SA"/>
      </w:rPr>
    </w:lvl>
    <w:lvl w:ilvl="3" w:tplc="D2BCFB3E">
      <w:numFmt w:val="bullet"/>
      <w:lvlText w:val="•"/>
      <w:lvlJc w:val="left"/>
      <w:pPr>
        <w:ind w:left="3555" w:hanging="568"/>
      </w:pPr>
      <w:rPr>
        <w:rFonts w:hint="default"/>
        <w:lang w:val="hu-HU" w:eastAsia="en-US" w:bidi="ar-SA"/>
      </w:rPr>
    </w:lvl>
    <w:lvl w:ilvl="4" w:tplc="23469228">
      <w:numFmt w:val="bullet"/>
      <w:lvlText w:val="•"/>
      <w:lvlJc w:val="left"/>
      <w:pPr>
        <w:ind w:left="4474" w:hanging="568"/>
      </w:pPr>
      <w:rPr>
        <w:rFonts w:hint="default"/>
        <w:lang w:val="hu-HU" w:eastAsia="en-US" w:bidi="ar-SA"/>
      </w:rPr>
    </w:lvl>
    <w:lvl w:ilvl="5" w:tplc="736453C8">
      <w:numFmt w:val="bullet"/>
      <w:lvlText w:val="•"/>
      <w:lvlJc w:val="left"/>
      <w:pPr>
        <w:ind w:left="5392" w:hanging="568"/>
      </w:pPr>
      <w:rPr>
        <w:rFonts w:hint="default"/>
        <w:lang w:val="hu-HU" w:eastAsia="en-US" w:bidi="ar-SA"/>
      </w:rPr>
    </w:lvl>
    <w:lvl w:ilvl="6" w:tplc="80A25DCE">
      <w:numFmt w:val="bullet"/>
      <w:lvlText w:val="•"/>
      <w:lvlJc w:val="left"/>
      <w:pPr>
        <w:ind w:left="6311" w:hanging="568"/>
      </w:pPr>
      <w:rPr>
        <w:rFonts w:hint="default"/>
        <w:lang w:val="hu-HU" w:eastAsia="en-US" w:bidi="ar-SA"/>
      </w:rPr>
    </w:lvl>
    <w:lvl w:ilvl="7" w:tplc="07E2EC52">
      <w:numFmt w:val="bullet"/>
      <w:lvlText w:val="•"/>
      <w:lvlJc w:val="left"/>
      <w:pPr>
        <w:ind w:left="7229" w:hanging="568"/>
      </w:pPr>
      <w:rPr>
        <w:rFonts w:hint="default"/>
        <w:lang w:val="hu-HU" w:eastAsia="en-US" w:bidi="ar-SA"/>
      </w:rPr>
    </w:lvl>
    <w:lvl w:ilvl="8" w:tplc="92E6E620">
      <w:numFmt w:val="bullet"/>
      <w:lvlText w:val="•"/>
      <w:lvlJc w:val="left"/>
      <w:pPr>
        <w:ind w:left="8148" w:hanging="568"/>
      </w:pPr>
      <w:rPr>
        <w:rFonts w:hint="default"/>
        <w:lang w:val="hu-HU" w:eastAsia="en-US" w:bidi="ar-SA"/>
      </w:rPr>
    </w:lvl>
  </w:abstractNum>
  <w:abstractNum w:abstractNumId="17" w15:restartNumberingAfterBreak="0">
    <w:nsid w:val="2DBC439D"/>
    <w:multiLevelType w:val="hybridMultilevel"/>
    <w:tmpl w:val="56B285B4"/>
    <w:lvl w:ilvl="0" w:tplc="C094887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B08EDCC4">
      <w:numFmt w:val="bullet"/>
      <w:lvlText w:val="•"/>
      <w:lvlJc w:val="left"/>
      <w:pPr>
        <w:ind w:left="1718" w:hanging="568"/>
      </w:pPr>
      <w:rPr>
        <w:rFonts w:hint="default"/>
        <w:lang w:val="hu-HU" w:eastAsia="en-US" w:bidi="ar-SA"/>
      </w:rPr>
    </w:lvl>
    <w:lvl w:ilvl="2" w:tplc="0C5464C2">
      <w:numFmt w:val="bullet"/>
      <w:lvlText w:val="•"/>
      <w:lvlJc w:val="left"/>
      <w:pPr>
        <w:ind w:left="2637" w:hanging="568"/>
      </w:pPr>
      <w:rPr>
        <w:rFonts w:hint="default"/>
        <w:lang w:val="hu-HU" w:eastAsia="en-US" w:bidi="ar-SA"/>
      </w:rPr>
    </w:lvl>
    <w:lvl w:ilvl="3" w:tplc="0038CD06">
      <w:numFmt w:val="bullet"/>
      <w:lvlText w:val="•"/>
      <w:lvlJc w:val="left"/>
      <w:pPr>
        <w:ind w:left="3555" w:hanging="568"/>
      </w:pPr>
      <w:rPr>
        <w:rFonts w:hint="default"/>
        <w:lang w:val="hu-HU" w:eastAsia="en-US" w:bidi="ar-SA"/>
      </w:rPr>
    </w:lvl>
    <w:lvl w:ilvl="4" w:tplc="1BFA8E44">
      <w:numFmt w:val="bullet"/>
      <w:lvlText w:val="•"/>
      <w:lvlJc w:val="left"/>
      <w:pPr>
        <w:ind w:left="4474" w:hanging="568"/>
      </w:pPr>
      <w:rPr>
        <w:rFonts w:hint="default"/>
        <w:lang w:val="hu-HU" w:eastAsia="en-US" w:bidi="ar-SA"/>
      </w:rPr>
    </w:lvl>
    <w:lvl w:ilvl="5" w:tplc="360AAEE4">
      <w:numFmt w:val="bullet"/>
      <w:lvlText w:val="•"/>
      <w:lvlJc w:val="left"/>
      <w:pPr>
        <w:ind w:left="5392" w:hanging="568"/>
      </w:pPr>
      <w:rPr>
        <w:rFonts w:hint="default"/>
        <w:lang w:val="hu-HU" w:eastAsia="en-US" w:bidi="ar-SA"/>
      </w:rPr>
    </w:lvl>
    <w:lvl w:ilvl="6" w:tplc="E722914E">
      <w:numFmt w:val="bullet"/>
      <w:lvlText w:val="•"/>
      <w:lvlJc w:val="left"/>
      <w:pPr>
        <w:ind w:left="6311" w:hanging="568"/>
      </w:pPr>
      <w:rPr>
        <w:rFonts w:hint="default"/>
        <w:lang w:val="hu-HU" w:eastAsia="en-US" w:bidi="ar-SA"/>
      </w:rPr>
    </w:lvl>
    <w:lvl w:ilvl="7" w:tplc="023038E4">
      <w:numFmt w:val="bullet"/>
      <w:lvlText w:val="•"/>
      <w:lvlJc w:val="left"/>
      <w:pPr>
        <w:ind w:left="7229" w:hanging="568"/>
      </w:pPr>
      <w:rPr>
        <w:rFonts w:hint="default"/>
        <w:lang w:val="hu-HU" w:eastAsia="en-US" w:bidi="ar-SA"/>
      </w:rPr>
    </w:lvl>
    <w:lvl w:ilvl="8" w:tplc="FC469D58">
      <w:numFmt w:val="bullet"/>
      <w:lvlText w:val="•"/>
      <w:lvlJc w:val="left"/>
      <w:pPr>
        <w:ind w:left="8148" w:hanging="568"/>
      </w:pPr>
      <w:rPr>
        <w:rFonts w:hint="default"/>
        <w:lang w:val="hu-HU" w:eastAsia="en-US" w:bidi="ar-SA"/>
      </w:rPr>
    </w:lvl>
  </w:abstractNum>
  <w:abstractNum w:abstractNumId="18" w15:restartNumberingAfterBreak="0">
    <w:nsid w:val="300904A8"/>
    <w:multiLevelType w:val="multilevel"/>
    <w:tmpl w:val="B4E0A4E6"/>
    <w:lvl w:ilvl="0">
      <w:start w:val="5"/>
      <w:numFmt w:val="decimal"/>
      <w:lvlText w:val="%1"/>
      <w:lvlJc w:val="left"/>
      <w:pPr>
        <w:ind w:left="238" w:hanging="166"/>
      </w:pPr>
      <w:rPr>
        <w:rFonts w:ascii="Times New Roman" w:eastAsia="Times New Roman" w:hAnsi="Times New Roman" w:cs="Times New Roman" w:hint="default"/>
        <w:b w:val="0"/>
        <w:bCs w:val="0"/>
        <w:i w:val="0"/>
        <w:iCs w:val="0"/>
        <w:spacing w:val="0"/>
        <w:w w:val="99"/>
        <w:sz w:val="22"/>
        <w:szCs w:val="22"/>
        <w:lang w:val="hu-HU" w:eastAsia="en-US" w:bidi="ar-SA"/>
      </w:rPr>
    </w:lvl>
    <w:lvl w:ilvl="1">
      <w:start w:val="1"/>
      <w:numFmt w:val="decimal"/>
      <w:lvlText w:val="%1.%2"/>
      <w:lvlJc w:val="left"/>
      <w:pPr>
        <w:ind w:left="569" w:hanging="332"/>
      </w:pPr>
      <w:rPr>
        <w:rFonts w:ascii="Times New Roman" w:eastAsia="Times New Roman" w:hAnsi="Times New Roman" w:cs="Times New Roman" w:hint="default"/>
        <w:b w:val="0"/>
        <w:bCs w:val="0"/>
        <w:i w:val="0"/>
        <w:iCs w:val="0"/>
        <w:spacing w:val="0"/>
        <w:w w:val="99"/>
        <w:sz w:val="22"/>
        <w:szCs w:val="22"/>
        <w:lang w:val="hu-HU" w:eastAsia="en-US" w:bidi="ar-SA"/>
      </w:rPr>
    </w:lvl>
    <w:lvl w:ilvl="2">
      <w:numFmt w:val="bullet"/>
      <w:lvlText w:val="•"/>
      <w:lvlJc w:val="left"/>
      <w:pPr>
        <w:ind w:left="1607" w:hanging="332"/>
      </w:pPr>
      <w:rPr>
        <w:rFonts w:hint="default"/>
        <w:lang w:val="hu-HU" w:eastAsia="en-US" w:bidi="ar-SA"/>
      </w:rPr>
    </w:lvl>
    <w:lvl w:ilvl="3">
      <w:numFmt w:val="bullet"/>
      <w:lvlText w:val="•"/>
      <w:lvlJc w:val="left"/>
      <w:pPr>
        <w:ind w:left="2654" w:hanging="332"/>
      </w:pPr>
      <w:rPr>
        <w:rFonts w:hint="default"/>
        <w:lang w:val="hu-HU" w:eastAsia="en-US" w:bidi="ar-SA"/>
      </w:rPr>
    </w:lvl>
    <w:lvl w:ilvl="4">
      <w:numFmt w:val="bullet"/>
      <w:lvlText w:val="•"/>
      <w:lvlJc w:val="left"/>
      <w:pPr>
        <w:ind w:left="3701" w:hanging="332"/>
      </w:pPr>
      <w:rPr>
        <w:rFonts w:hint="default"/>
        <w:lang w:val="hu-HU" w:eastAsia="en-US" w:bidi="ar-SA"/>
      </w:rPr>
    </w:lvl>
    <w:lvl w:ilvl="5">
      <w:numFmt w:val="bullet"/>
      <w:lvlText w:val="•"/>
      <w:lvlJc w:val="left"/>
      <w:pPr>
        <w:ind w:left="4749" w:hanging="332"/>
      </w:pPr>
      <w:rPr>
        <w:rFonts w:hint="default"/>
        <w:lang w:val="hu-HU" w:eastAsia="en-US" w:bidi="ar-SA"/>
      </w:rPr>
    </w:lvl>
    <w:lvl w:ilvl="6">
      <w:numFmt w:val="bullet"/>
      <w:lvlText w:val="•"/>
      <w:lvlJc w:val="left"/>
      <w:pPr>
        <w:ind w:left="5796" w:hanging="332"/>
      </w:pPr>
      <w:rPr>
        <w:rFonts w:hint="default"/>
        <w:lang w:val="hu-HU" w:eastAsia="en-US" w:bidi="ar-SA"/>
      </w:rPr>
    </w:lvl>
    <w:lvl w:ilvl="7">
      <w:numFmt w:val="bullet"/>
      <w:lvlText w:val="•"/>
      <w:lvlJc w:val="left"/>
      <w:pPr>
        <w:ind w:left="6843" w:hanging="332"/>
      </w:pPr>
      <w:rPr>
        <w:rFonts w:hint="default"/>
        <w:lang w:val="hu-HU" w:eastAsia="en-US" w:bidi="ar-SA"/>
      </w:rPr>
    </w:lvl>
    <w:lvl w:ilvl="8">
      <w:numFmt w:val="bullet"/>
      <w:lvlText w:val="•"/>
      <w:lvlJc w:val="left"/>
      <w:pPr>
        <w:ind w:left="7890" w:hanging="332"/>
      </w:pPr>
      <w:rPr>
        <w:rFonts w:hint="default"/>
        <w:lang w:val="hu-HU" w:eastAsia="en-US" w:bidi="ar-SA"/>
      </w:rPr>
    </w:lvl>
  </w:abstractNum>
  <w:abstractNum w:abstractNumId="19" w15:restartNumberingAfterBreak="0">
    <w:nsid w:val="3A2E2977"/>
    <w:multiLevelType w:val="hybridMultilevel"/>
    <w:tmpl w:val="04C8EEFC"/>
    <w:lvl w:ilvl="0" w:tplc="E11EC08C">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73C27088">
      <w:numFmt w:val="bullet"/>
      <w:lvlText w:val="•"/>
      <w:lvlJc w:val="left"/>
      <w:pPr>
        <w:ind w:left="1718" w:hanging="568"/>
      </w:pPr>
      <w:rPr>
        <w:rFonts w:hint="default"/>
        <w:lang w:val="hu-HU" w:eastAsia="en-US" w:bidi="ar-SA"/>
      </w:rPr>
    </w:lvl>
    <w:lvl w:ilvl="2" w:tplc="99747D38">
      <w:numFmt w:val="bullet"/>
      <w:lvlText w:val="•"/>
      <w:lvlJc w:val="left"/>
      <w:pPr>
        <w:ind w:left="2637" w:hanging="568"/>
      </w:pPr>
      <w:rPr>
        <w:rFonts w:hint="default"/>
        <w:lang w:val="hu-HU" w:eastAsia="en-US" w:bidi="ar-SA"/>
      </w:rPr>
    </w:lvl>
    <w:lvl w:ilvl="3" w:tplc="4490B8A2">
      <w:numFmt w:val="bullet"/>
      <w:lvlText w:val="•"/>
      <w:lvlJc w:val="left"/>
      <w:pPr>
        <w:ind w:left="3555" w:hanging="568"/>
      </w:pPr>
      <w:rPr>
        <w:rFonts w:hint="default"/>
        <w:lang w:val="hu-HU" w:eastAsia="en-US" w:bidi="ar-SA"/>
      </w:rPr>
    </w:lvl>
    <w:lvl w:ilvl="4" w:tplc="98A0CFAA">
      <w:numFmt w:val="bullet"/>
      <w:lvlText w:val="•"/>
      <w:lvlJc w:val="left"/>
      <w:pPr>
        <w:ind w:left="4474" w:hanging="568"/>
      </w:pPr>
      <w:rPr>
        <w:rFonts w:hint="default"/>
        <w:lang w:val="hu-HU" w:eastAsia="en-US" w:bidi="ar-SA"/>
      </w:rPr>
    </w:lvl>
    <w:lvl w:ilvl="5" w:tplc="4008CC98">
      <w:numFmt w:val="bullet"/>
      <w:lvlText w:val="•"/>
      <w:lvlJc w:val="left"/>
      <w:pPr>
        <w:ind w:left="5392" w:hanging="568"/>
      </w:pPr>
      <w:rPr>
        <w:rFonts w:hint="default"/>
        <w:lang w:val="hu-HU" w:eastAsia="en-US" w:bidi="ar-SA"/>
      </w:rPr>
    </w:lvl>
    <w:lvl w:ilvl="6" w:tplc="59EC3F36">
      <w:numFmt w:val="bullet"/>
      <w:lvlText w:val="•"/>
      <w:lvlJc w:val="left"/>
      <w:pPr>
        <w:ind w:left="6311" w:hanging="568"/>
      </w:pPr>
      <w:rPr>
        <w:rFonts w:hint="default"/>
        <w:lang w:val="hu-HU" w:eastAsia="en-US" w:bidi="ar-SA"/>
      </w:rPr>
    </w:lvl>
    <w:lvl w:ilvl="7" w:tplc="50845480">
      <w:numFmt w:val="bullet"/>
      <w:lvlText w:val="•"/>
      <w:lvlJc w:val="left"/>
      <w:pPr>
        <w:ind w:left="7229" w:hanging="568"/>
      </w:pPr>
      <w:rPr>
        <w:rFonts w:hint="default"/>
        <w:lang w:val="hu-HU" w:eastAsia="en-US" w:bidi="ar-SA"/>
      </w:rPr>
    </w:lvl>
    <w:lvl w:ilvl="8" w:tplc="33909E42">
      <w:numFmt w:val="bullet"/>
      <w:lvlText w:val="•"/>
      <w:lvlJc w:val="left"/>
      <w:pPr>
        <w:ind w:left="8148" w:hanging="568"/>
      </w:pPr>
      <w:rPr>
        <w:rFonts w:hint="default"/>
        <w:lang w:val="hu-HU" w:eastAsia="en-US" w:bidi="ar-SA"/>
      </w:rPr>
    </w:lvl>
  </w:abstractNum>
  <w:abstractNum w:abstractNumId="20" w15:restartNumberingAfterBreak="0">
    <w:nsid w:val="3C4B557F"/>
    <w:multiLevelType w:val="hybridMultilevel"/>
    <w:tmpl w:val="6D3021D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C8B63FB"/>
    <w:multiLevelType w:val="hybridMultilevel"/>
    <w:tmpl w:val="C99C12B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0C3288"/>
    <w:multiLevelType w:val="multilevel"/>
    <w:tmpl w:val="A264626A"/>
    <w:lvl w:ilvl="0">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start w:val="1"/>
      <w:numFmt w:val="decimal"/>
      <w:lvlText w:val="%1.%2"/>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2">
      <w:numFmt w:val="bullet"/>
      <w:lvlText w:val="•"/>
      <w:lvlJc w:val="left"/>
      <w:pPr>
        <w:ind w:left="2637" w:hanging="568"/>
      </w:pPr>
      <w:rPr>
        <w:rFonts w:hint="default"/>
        <w:lang w:val="hu-HU" w:eastAsia="en-US" w:bidi="ar-SA"/>
      </w:rPr>
    </w:lvl>
    <w:lvl w:ilvl="3">
      <w:numFmt w:val="bullet"/>
      <w:lvlText w:val="•"/>
      <w:lvlJc w:val="left"/>
      <w:pPr>
        <w:ind w:left="3555" w:hanging="568"/>
      </w:pPr>
      <w:rPr>
        <w:rFonts w:hint="default"/>
        <w:lang w:val="hu-HU" w:eastAsia="en-US" w:bidi="ar-SA"/>
      </w:rPr>
    </w:lvl>
    <w:lvl w:ilvl="4">
      <w:numFmt w:val="bullet"/>
      <w:lvlText w:val="•"/>
      <w:lvlJc w:val="left"/>
      <w:pPr>
        <w:ind w:left="4474" w:hanging="568"/>
      </w:pPr>
      <w:rPr>
        <w:rFonts w:hint="default"/>
        <w:lang w:val="hu-HU" w:eastAsia="en-US" w:bidi="ar-SA"/>
      </w:rPr>
    </w:lvl>
    <w:lvl w:ilvl="5">
      <w:numFmt w:val="bullet"/>
      <w:lvlText w:val="•"/>
      <w:lvlJc w:val="left"/>
      <w:pPr>
        <w:ind w:left="5392" w:hanging="568"/>
      </w:pPr>
      <w:rPr>
        <w:rFonts w:hint="default"/>
        <w:lang w:val="hu-HU" w:eastAsia="en-US" w:bidi="ar-SA"/>
      </w:rPr>
    </w:lvl>
    <w:lvl w:ilvl="6">
      <w:numFmt w:val="bullet"/>
      <w:lvlText w:val="•"/>
      <w:lvlJc w:val="left"/>
      <w:pPr>
        <w:ind w:left="6311" w:hanging="568"/>
      </w:pPr>
      <w:rPr>
        <w:rFonts w:hint="default"/>
        <w:lang w:val="hu-HU" w:eastAsia="en-US" w:bidi="ar-SA"/>
      </w:rPr>
    </w:lvl>
    <w:lvl w:ilvl="7">
      <w:numFmt w:val="bullet"/>
      <w:lvlText w:val="•"/>
      <w:lvlJc w:val="left"/>
      <w:pPr>
        <w:ind w:left="7229" w:hanging="568"/>
      </w:pPr>
      <w:rPr>
        <w:rFonts w:hint="default"/>
        <w:lang w:val="hu-HU" w:eastAsia="en-US" w:bidi="ar-SA"/>
      </w:rPr>
    </w:lvl>
    <w:lvl w:ilvl="8">
      <w:numFmt w:val="bullet"/>
      <w:lvlText w:val="•"/>
      <w:lvlJc w:val="left"/>
      <w:pPr>
        <w:ind w:left="8148" w:hanging="568"/>
      </w:pPr>
      <w:rPr>
        <w:rFonts w:hint="default"/>
        <w:lang w:val="hu-HU" w:eastAsia="en-US" w:bidi="ar-SA"/>
      </w:rPr>
    </w:lvl>
  </w:abstractNum>
  <w:abstractNum w:abstractNumId="23" w15:restartNumberingAfterBreak="0">
    <w:nsid w:val="3F2E0A2B"/>
    <w:multiLevelType w:val="hybridMultilevel"/>
    <w:tmpl w:val="AE14AB1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4F23798"/>
    <w:multiLevelType w:val="multilevel"/>
    <w:tmpl w:val="EECA66CE"/>
    <w:lvl w:ilvl="0">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start w:val="1"/>
      <w:numFmt w:val="decimal"/>
      <w:lvlText w:val="%1.%2"/>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2">
      <w:numFmt w:val="bullet"/>
      <w:lvlText w:val="•"/>
      <w:lvlJc w:val="left"/>
      <w:pPr>
        <w:ind w:left="2637" w:hanging="568"/>
      </w:pPr>
      <w:rPr>
        <w:rFonts w:hint="default"/>
        <w:lang w:val="hu-HU" w:eastAsia="en-US" w:bidi="ar-SA"/>
      </w:rPr>
    </w:lvl>
    <w:lvl w:ilvl="3">
      <w:numFmt w:val="bullet"/>
      <w:lvlText w:val="•"/>
      <w:lvlJc w:val="left"/>
      <w:pPr>
        <w:ind w:left="3555" w:hanging="568"/>
      </w:pPr>
      <w:rPr>
        <w:rFonts w:hint="default"/>
        <w:lang w:val="hu-HU" w:eastAsia="en-US" w:bidi="ar-SA"/>
      </w:rPr>
    </w:lvl>
    <w:lvl w:ilvl="4">
      <w:numFmt w:val="bullet"/>
      <w:lvlText w:val="•"/>
      <w:lvlJc w:val="left"/>
      <w:pPr>
        <w:ind w:left="4474" w:hanging="568"/>
      </w:pPr>
      <w:rPr>
        <w:rFonts w:hint="default"/>
        <w:lang w:val="hu-HU" w:eastAsia="en-US" w:bidi="ar-SA"/>
      </w:rPr>
    </w:lvl>
    <w:lvl w:ilvl="5">
      <w:numFmt w:val="bullet"/>
      <w:lvlText w:val="•"/>
      <w:lvlJc w:val="left"/>
      <w:pPr>
        <w:ind w:left="5392" w:hanging="568"/>
      </w:pPr>
      <w:rPr>
        <w:rFonts w:hint="default"/>
        <w:lang w:val="hu-HU" w:eastAsia="en-US" w:bidi="ar-SA"/>
      </w:rPr>
    </w:lvl>
    <w:lvl w:ilvl="6">
      <w:numFmt w:val="bullet"/>
      <w:lvlText w:val="•"/>
      <w:lvlJc w:val="left"/>
      <w:pPr>
        <w:ind w:left="6311" w:hanging="568"/>
      </w:pPr>
      <w:rPr>
        <w:rFonts w:hint="default"/>
        <w:lang w:val="hu-HU" w:eastAsia="en-US" w:bidi="ar-SA"/>
      </w:rPr>
    </w:lvl>
    <w:lvl w:ilvl="7">
      <w:numFmt w:val="bullet"/>
      <w:lvlText w:val="•"/>
      <w:lvlJc w:val="left"/>
      <w:pPr>
        <w:ind w:left="7229" w:hanging="568"/>
      </w:pPr>
      <w:rPr>
        <w:rFonts w:hint="default"/>
        <w:lang w:val="hu-HU" w:eastAsia="en-US" w:bidi="ar-SA"/>
      </w:rPr>
    </w:lvl>
    <w:lvl w:ilvl="8">
      <w:numFmt w:val="bullet"/>
      <w:lvlText w:val="•"/>
      <w:lvlJc w:val="left"/>
      <w:pPr>
        <w:ind w:left="8148" w:hanging="568"/>
      </w:pPr>
      <w:rPr>
        <w:rFonts w:hint="default"/>
        <w:lang w:val="hu-HU" w:eastAsia="en-US" w:bidi="ar-SA"/>
      </w:rPr>
    </w:lvl>
  </w:abstractNum>
  <w:abstractNum w:abstractNumId="25" w15:restartNumberingAfterBreak="0">
    <w:nsid w:val="45FA4CE9"/>
    <w:multiLevelType w:val="hybridMultilevel"/>
    <w:tmpl w:val="71E85FFA"/>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68815A0"/>
    <w:multiLevelType w:val="hybridMultilevel"/>
    <w:tmpl w:val="6678624A"/>
    <w:lvl w:ilvl="0" w:tplc="94809C66">
      <w:start w:val="2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7" w15:restartNumberingAfterBreak="0">
    <w:nsid w:val="47B704DC"/>
    <w:multiLevelType w:val="hybridMultilevel"/>
    <w:tmpl w:val="46CC6506"/>
    <w:lvl w:ilvl="0" w:tplc="22F6824C">
      <w:start w:val="1"/>
      <w:numFmt w:val="upperLetter"/>
      <w:lvlText w:val="%1."/>
      <w:lvlJc w:val="left"/>
      <w:pPr>
        <w:ind w:left="1940" w:hanging="708"/>
      </w:pPr>
      <w:rPr>
        <w:rFonts w:ascii="Times New Roman" w:eastAsia="Times New Roman" w:hAnsi="Times New Roman" w:cs="Times New Roman" w:hint="default"/>
        <w:b/>
        <w:bCs/>
        <w:i w:val="0"/>
        <w:iCs w:val="0"/>
        <w:spacing w:val="-1"/>
        <w:w w:val="99"/>
        <w:sz w:val="22"/>
        <w:szCs w:val="22"/>
        <w:lang w:val="hu-HU" w:eastAsia="en-US" w:bidi="ar-SA"/>
      </w:rPr>
    </w:lvl>
    <w:lvl w:ilvl="1" w:tplc="FC422846">
      <w:numFmt w:val="bullet"/>
      <w:lvlText w:val="•"/>
      <w:lvlJc w:val="left"/>
      <w:pPr>
        <w:ind w:left="2744" w:hanging="708"/>
      </w:pPr>
      <w:rPr>
        <w:rFonts w:hint="default"/>
        <w:lang w:val="hu-HU" w:eastAsia="en-US" w:bidi="ar-SA"/>
      </w:rPr>
    </w:lvl>
    <w:lvl w:ilvl="2" w:tplc="80104AAC">
      <w:numFmt w:val="bullet"/>
      <w:lvlText w:val="•"/>
      <w:lvlJc w:val="left"/>
      <w:pPr>
        <w:ind w:left="3549" w:hanging="708"/>
      </w:pPr>
      <w:rPr>
        <w:rFonts w:hint="default"/>
        <w:lang w:val="hu-HU" w:eastAsia="en-US" w:bidi="ar-SA"/>
      </w:rPr>
    </w:lvl>
    <w:lvl w:ilvl="3" w:tplc="221A933C">
      <w:numFmt w:val="bullet"/>
      <w:lvlText w:val="•"/>
      <w:lvlJc w:val="left"/>
      <w:pPr>
        <w:ind w:left="4353" w:hanging="708"/>
      </w:pPr>
      <w:rPr>
        <w:rFonts w:hint="default"/>
        <w:lang w:val="hu-HU" w:eastAsia="en-US" w:bidi="ar-SA"/>
      </w:rPr>
    </w:lvl>
    <w:lvl w:ilvl="4" w:tplc="05CCC378">
      <w:numFmt w:val="bullet"/>
      <w:lvlText w:val="•"/>
      <w:lvlJc w:val="left"/>
      <w:pPr>
        <w:ind w:left="5158" w:hanging="708"/>
      </w:pPr>
      <w:rPr>
        <w:rFonts w:hint="default"/>
        <w:lang w:val="hu-HU" w:eastAsia="en-US" w:bidi="ar-SA"/>
      </w:rPr>
    </w:lvl>
    <w:lvl w:ilvl="5" w:tplc="5E7C22F6">
      <w:numFmt w:val="bullet"/>
      <w:lvlText w:val="•"/>
      <w:lvlJc w:val="left"/>
      <w:pPr>
        <w:ind w:left="5962" w:hanging="708"/>
      </w:pPr>
      <w:rPr>
        <w:rFonts w:hint="default"/>
        <w:lang w:val="hu-HU" w:eastAsia="en-US" w:bidi="ar-SA"/>
      </w:rPr>
    </w:lvl>
    <w:lvl w:ilvl="6" w:tplc="8E44573E">
      <w:numFmt w:val="bullet"/>
      <w:lvlText w:val="•"/>
      <w:lvlJc w:val="left"/>
      <w:pPr>
        <w:ind w:left="6767" w:hanging="708"/>
      </w:pPr>
      <w:rPr>
        <w:rFonts w:hint="default"/>
        <w:lang w:val="hu-HU" w:eastAsia="en-US" w:bidi="ar-SA"/>
      </w:rPr>
    </w:lvl>
    <w:lvl w:ilvl="7" w:tplc="533E06BE">
      <w:numFmt w:val="bullet"/>
      <w:lvlText w:val="•"/>
      <w:lvlJc w:val="left"/>
      <w:pPr>
        <w:ind w:left="7571" w:hanging="708"/>
      </w:pPr>
      <w:rPr>
        <w:rFonts w:hint="default"/>
        <w:lang w:val="hu-HU" w:eastAsia="en-US" w:bidi="ar-SA"/>
      </w:rPr>
    </w:lvl>
    <w:lvl w:ilvl="8" w:tplc="15B4D7F0">
      <w:numFmt w:val="bullet"/>
      <w:lvlText w:val="•"/>
      <w:lvlJc w:val="left"/>
      <w:pPr>
        <w:ind w:left="8376" w:hanging="708"/>
      </w:pPr>
      <w:rPr>
        <w:rFonts w:hint="default"/>
        <w:lang w:val="hu-HU" w:eastAsia="en-US" w:bidi="ar-SA"/>
      </w:rPr>
    </w:lvl>
  </w:abstractNum>
  <w:abstractNum w:abstractNumId="28" w15:restartNumberingAfterBreak="0">
    <w:nsid w:val="4B234E4C"/>
    <w:multiLevelType w:val="hybridMultilevel"/>
    <w:tmpl w:val="0E46E0B2"/>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E167555"/>
    <w:multiLevelType w:val="hybridMultilevel"/>
    <w:tmpl w:val="EFB493AA"/>
    <w:lvl w:ilvl="0" w:tplc="E018B344">
      <w:start w:val="5"/>
      <w:numFmt w:val="decimal"/>
      <w:lvlText w:val="%1"/>
      <w:lvlJc w:val="left"/>
      <w:pPr>
        <w:ind w:left="768" w:hanging="408"/>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0" w15:restartNumberingAfterBreak="0">
    <w:nsid w:val="50340F12"/>
    <w:multiLevelType w:val="hybridMultilevel"/>
    <w:tmpl w:val="A0509330"/>
    <w:lvl w:ilvl="0" w:tplc="17E629B8">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CC7AFB5E">
      <w:numFmt w:val="bullet"/>
      <w:lvlText w:val="•"/>
      <w:lvlJc w:val="left"/>
      <w:pPr>
        <w:ind w:left="1718" w:hanging="568"/>
      </w:pPr>
      <w:rPr>
        <w:rFonts w:hint="default"/>
        <w:lang w:val="hu-HU" w:eastAsia="en-US" w:bidi="ar-SA"/>
      </w:rPr>
    </w:lvl>
    <w:lvl w:ilvl="2" w:tplc="F7505D1A">
      <w:numFmt w:val="bullet"/>
      <w:lvlText w:val="•"/>
      <w:lvlJc w:val="left"/>
      <w:pPr>
        <w:ind w:left="2637" w:hanging="568"/>
      </w:pPr>
      <w:rPr>
        <w:rFonts w:hint="default"/>
        <w:lang w:val="hu-HU" w:eastAsia="en-US" w:bidi="ar-SA"/>
      </w:rPr>
    </w:lvl>
    <w:lvl w:ilvl="3" w:tplc="0616E7B8">
      <w:numFmt w:val="bullet"/>
      <w:lvlText w:val="•"/>
      <w:lvlJc w:val="left"/>
      <w:pPr>
        <w:ind w:left="3555" w:hanging="568"/>
      </w:pPr>
      <w:rPr>
        <w:rFonts w:hint="default"/>
        <w:lang w:val="hu-HU" w:eastAsia="en-US" w:bidi="ar-SA"/>
      </w:rPr>
    </w:lvl>
    <w:lvl w:ilvl="4" w:tplc="0D36380E">
      <w:numFmt w:val="bullet"/>
      <w:lvlText w:val="•"/>
      <w:lvlJc w:val="left"/>
      <w:pPr>
        <w:ind w:left="4474" w:hanging="568"/>
      </w:pPr>
      <w:rPr>
        <w:rFonts w:hint="default"/>
        <w:lang w:val="hu-HU" w:eastAsia="en-US" w:bidi="ar-SA"/>
      </w:rPr>
    </w:lvl>
    <w:lvl w:ilvl="5" w:tplc="D6C60A0C">
      <w:numFmt w:val="bullet"/>
      <w:lvlText w:val="•"/>
      <w:lvlJc w:val="left"/>
      <w:pPr>
        <w:ind w:left="5392" w:hanging="568"/>
      </w:pPr>
      <w:rPr>
        <w:rFonts w:hint="default"/>
        <w:lang w:val="hu-HU" w:eastAsia="en-US" w:bidi="ar-SA"/>
      </w:rPr>
    </w:lvl>
    <w:lvl w:ilvl="6" w:tplc="BCA826FE">
      <w:numFmt w:val="bullet"/>
      <w:lvlText w:val="•"/>
      <w:lvlJc w:val="left"/>
      <w:pPr>
        <w:ind w:left="6311" w:hanging="568"/>
      </w:pPr>
      <w:rPr>
        <w:rFonts w:hint="default"/>
        <w:lang w:val="hu-HU" w:eastAsia="en-US" w:bidi="ar-SA"/>
      </w:rPr>
    </w:lvl>
    <w:lvl w:ilvl="7" w:tplc="28406DF2">
      <w:numFmt w:val="bullet"/>
      <w:lvlText w:val="•"/>
      <w:lvlJc w:val="left"/>
      <w:pPr>
        <w:ind w:left="7229" w:hanging="568"/>
      </w:pPr>
      <w:rPr>
        <w:rFonts w:hint="default"/>
        <w:lang w:val="hu-HU" w:eastAsia="en-US" w:bidi="ar-SA"/>
      </w:rPr>
    </w:lvl>
    <w:lvl w:ilvl="8" w:tplc="43269CA2">
      <w:numFmt w:val="bullet"/>
      <w:lvlText w:val="•"/>
      <w:lvlJc w:val="left"/>
      <w:pPr>
        <w:ind w:left="8148" w:hanging="568"/>
      </w:pPr>
      <w:rPr>
        <w:rFonts w:hint="default"/>
        <w:lang w:val="hu-HU" w:eastAsia="en-US" w:bidi="ar-SA"/>
      </w:rPr>
    </w:lvl>
  </w:abstractNum>
  <w:abstractNum w:abstractNumId="31" w15:restartNumberingAfterBreak="0">
    <w:nsid w:val="56095D6F"/>
    <w:multiLevelType w:val="multilevel"/>
    <w:tmpl w:val="7D1639C2"/>
    <w:lvl w:ilvl="0">
      <w:start w:val="4"/>
      <w:numFmt w:val="decimal"/>
      <w:lvlText w:val="%1"/>
      <w:lvlJc w:val="left"/>
      <w:pPr>
        <w:ind w:left="404" w:hanging="166"/>
      </w:pPr>
      <w:rPr>
        <w:rFonts w:ascii="Times New Roman" w:eastAsia="Times New Roman" w:hAnsi="Times New Roman" w:cs="Times New Roman" w:hint="default"/>
        <w:b w:val="0"/>
        <w:bCs w:val="0"/>
        <w:i w:val="0"/>
        <w:iCs w:val="0"/>
        <w:spacing w:val="0"/>
        <w:w w:val="99"/>
        <w:sz w:val="22"/>
        <w:szCs w:val="22"/>
        <w:lang w:val="hu-HU" w:eastAsia="en-US" w:bidi="ar-SA"/>
      </w:rPr>
    </w:lvl>
    <w:lvl w:ilvl="1">
      <w:start w:val="1"/>
      <w:numFmt w:val="decimal"/>
      <w:lvlText w:val="%1.%2"/>
      <w:lvlJc w:val="left"/>
      <w:pPr>
        <w:ind w:left="569" w:hanging="332"/>
      </w:pPr>
      <w:rPr>
        <w:rFonts w:ascii="Times New Roman" w:eastAsia="Times New Roman" w:hAnsi="Times New Roman" w:cs="Times New Roman" w:hint="default"/>
        <w:b w:val="0"/>
        <w:bCs w:val="0"/>
        <w:i w:val="0"/>
        <w:iCs w:val="0"/>
        <w:spacing w:val="0"/>
        <w:w w:val="99"/>
        <w:sz w:val="22"/>
        <w:szCs w:val="22"/>
        <w:lang w:val="hu-HU" w:eastAsia="en-US" w:bidi="ar-SA"/>
      </w:rPr>
    </w:lvl>
    <w:lvl w:ilvl="2">
      <w:numFmt w:val="bullet"/>
      <w:lvlText w:val="•"/>
      <w:lvlJc w:val="left"/>
      <w:pPr>
        <w:ind w:left="1607" w:hanging="332"/>
      </w:pPr>
      <w:rPr>
        <w:rFonts w:hint="default"/>
        <w:lang w:val="hu-HU" w:eastAsia="en-US" w:bidi="ar-SA"/>
      </w:rPr>
    </w:lvl>
    <w:lvl w:ilvl="3">
      <w:numFmt w:val="bullet"/>
      <w:lvlText w:val="•"/>
      <w:lvlJc w:val="left"/>
      <w:pPr>
        <w:ind w:left="2654" w:hanging="332"/>
      </w:pPr>
      <w:rPr>
        <w:rFonts w:hint="default"/>
        <w:lang w:val="hu-HU" w:eastAsia="en-US" w:bidi="ar-SA"/>
      </w:rPr>
    </w:lvl>
    <w:lvl w:ilvl="4">
      <w:numFmt w:val="bullet"/>
      <w:lvlText w:val="•"/>
      <w:lvlJc w:val="left"/>
      <w:pPr>
        <w:ind w:left="3701" w:hanging="332"/>
      </w:pPr>
      <w:rPr>
        <w:rFonts w:hint="default"/>
        <w:lang w:val="hu-HU" w:eastAsia="en-US" w:bidi="ar-SA"/>
      </w:rPr>
    </w:lvl>
    <w:lvl w:ilvl="5">
      <w:numFmt w:val="bullet"/>
      <w:lvlText w:val="•"/>
      <w:lvlJc w:val="left"/>
      <w:pPr>
        <w:ind w:left="4749" w:hanging="332"/>
      </w:pPr>
      <w:rPr>
        <w:rFonts w:hint="default"/>
        <w:lang w:val="hu-HU" w:eastAsia="en-US" w:bidi="ar-SA"/>
      </w:rPr>
    </w:lvl>
    <w:lvl w:ilvl="6">
      <w:numFmt w:val="bullet"/>
      <w:lvlText w:val="•"/>
      <w:lvlJc w:val="left"/>
      <w:pPr>
        <w:ind w:left="5796" w:hanging="332"/>
      </w:pPr>
      <w:rPr>
        <w:rFonts w:hint="default"/>
        <w:lang w:val="hu-HU" w:eastAsia="en-US" w:bidi="ar-SA"/>
      </w:rPr>
    </w:lvl>
    <w:lvl w:ilvl="7">
      <w:numFmt w:val="bullet"/>
      <w:lvlText w:val="•"/>
      <w:lvlJc w:val="left"/>
      <w:pPr>
        <w:ind w:left="6843" w:hanging="332"/>
      </w:pPr>
      <w:rPr>
        <w:rFonts w:hint="default"/>
        <w:lang w:val="hu-HU" w:eastAsia="en-US" w:bidi="ar-SA"/>
      </w:rPr>
    </w:lvl>
    <w:lvl w:ilvl="8">
      <w:numFmt w:val="bullet"/>
      <w:lvlText w:val="•"/>
      <w:lvlJc w:val="left"/>
      <w:pPr>
        <w:ind w:left="7890" w:hanging="332"/>
      </w:pPr>
      <w:rPr>
        <w:rFonts w:hint="default"/>
        <w:lang w:val="hu-HU" w:eastAsia="en-US" w:bidi="ar-SA"/>
      </w:rPr>
    </w:lvl>
  </w:abstractNum>
  <w:abstractNum w:abstractNumId="32" w15:restartNumberingAfterBreak="0">
    <w:nsid w:val="5885400E"/>
    <w:multiLevelType w:val="hybridMultilevel"/>
    <w:tmpl w:val="14B2541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B97383"/>
    <w:multiLevelType w:val="hybridMultilevel"/>
    <w:tmpl w:val="4D16D296"/>
    <w:lvl w:ilvl="0" w:tplc="77649E0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1C5A144A">
      <w:numFmt w:val="bullet"/>
      <w:lvlText w:val="•"/>
      <w:lvlJc w:val="left"/>
      <w:pPr>
        <w:ind w:left="1718" w:hanging="568"/>
      </w:pPr>
      <w:rPr>
        <w:rFonts w:hint="default"/>
        <w:lang w:val="hu-HU" w:eastAsia="en-US" w:bidi="ar-SA"/>
      </w:rPr>
    </w:lvl>
    <w:lvl w:ilvl="2" w:tplc="A56A5758">
      <w:numFmt w:val="bullet"/>
      <w:lvlText w:val="•"/>
      <w:lvlJc w:val="left"/>
      <w:pPr>
        <w:ind w:left="2637" w:hanging="568"/>
      </w:pPr>
      <w:rPr>
        <w:rFonts w:hint="default"/>
        <w:lang w:val="hu-HU" w:eastAsia="en-US" w:bidi="ar-SA"/>
      </w:rPr>
    </w:lvl>
    <w:lvl w:ilvl="3" w:tplc="3B7A454C">
      <w:numFmt w:val="bullet"/>
      <w:lvlText w:val="•"/>
      <w:lvlJc w:val="left"/>
      <w:pPr>
        <w:ind w:left="3555" w:hanging="568"/>
      </w:pPr>
      <w:rPr>
        <w:rFonts w:hint="default"/>
        <w:lang w:val="hu-HU" w:eastAsia="en-US" w:bidi="ar-SA"/>
      </w:rPr>
    </w:lvl>
    <w:lvl w:ilvl="4" w:tplc="084E08E6">
      <w:numFmt w:val="bullet"/>
      <w:lvlText w:val="•"/>
      <w:lvlJc w:val="left"/>
      <w:pPr>
        <w:ind w:left="4474" w:hanging="568"/>
      </w:pPr>
      <w:rPr>
        <w:rFonts w:hint="default"/>
        <w:lang w:val="hu-HU" w:eastAsia="en-US" w:bidi="ar-SA"/>
      </w:rPr>
    </w:lvl>
    <w:lvl w:ilvl="5" w:tplc="CF188410">
      <w:numFmt w:val="bullet"/>
      <w:lvlText w:val="•"/>
      <w:lvlJc w:val="left"/>
      <w:pPr>
        <w:ind w:left="5392" w:hanging="568"/>
      </w:pPr>
      <w:rPr>
        <w:rFonts w:hint="default"/>
        <w:lang w:val="hu-HU" w:eastAsia="en-US" w:bidi="ar-SA"/>
      </w:rPr>
    </w:lvl>
    <w:lvl w:ilvl="6" w:tplc="CC8C9460">
      <w:numFmt w:val="bullet"/>
      <w:lvlText w:val="•"/>
      <w:lvlJc w:val="left"/>
      <w:pPr>
        <w:ind w:left="6311" w:hanging="568"/>
      </w:pPr>
      <w:rPr>
        <w:rFonts w:hint="default"/>
        <w:lang w:val="hu-HU" w:eastAsia="en-US" w:bidi="ar-SA"/>
      </w:rPr>
    </w:lvl>
    <w:lvl w:ilvl="7" w:tplc="A4723A30">
      <w:numFmt w:val="bullet"/>
      <w:lvlText w:val="•"/>
      <w:lvlJc w:val="left"/>
      <w:pPr>
        <w:ind w:left="7229" w:hanging="568"/>
      </w:pPr>
      <w:rPr>
        <w:rFonts w:hint="default"/>
        <w:lang w:val="hu-HU" w:eastAsia="en-US" w:bidi="ar-SA"/>
      </w:rPr>
    </w:lvl>
    <w:lvl w:ilvl="8" w:tplc="90024280">
      <w:numFmt w:val="bullet"/>
      <w:lvlText w:val="•"/>
      <w:lvlJc w:val="left"/>
      <w:pPr>
        <w:ind w:left="8148" w:hanging="568"/>
      </w:pPr>
      <w:rPr>
        <w:rFonts w:hint="default"/>
        <w:lang w:val="hu-HU" w:eastAsia="en-US" w:bidi="ar-SA"/>
      </w:rPr>
    </w:lvl>
  </w:abstractNum>
  <w:abstractNum w:abstractNumId="34" w15:restartNumberingAfterBreak="0">
    <w:nsid w:val="5CEF0ED5"/>
    <w:multiLevelType w:val="hybridMultilevel"/>
    <w:tmpl w:val="0B32EBA4"/>
    <w:lvl w:ilvl="0" w:tplc="6B6ED23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DD8036B"/>
    <w:multiLevelType w:val="hybridMultilevel"/>
    <w:tmpl w:val="9A681296"/>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6DA7A39"/>
    <w:multiLevelType w:val="hybridMultilevel"/>
    <w:tmpl w:val="DAA6A278"/>
    <w:lvl w:ilvl="0" w:tplc="E37480F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9814966"/>
    <w:multiLevelType w:val="hybridMultilevel"/>
    <w:tmpl w:val="02BAD360"/>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101B2C"/>
    <w:multiLevelType w:val="hybridMultilevel"/>
    <w:tmpl w:val="22128054"/>
    <w:lvl w:ilvl="0" w:tplc="A5124FB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1B1C4860">
      <w:numFmt w:val="bullet"/>
      <w:lvlText w:val="•"/>
      <w:lvlJc w:val="left"/>
      <w:pPr>
        <w:ind w:left="1718" w:hanging="568"/>
      </w:pPr>
      <w:rPr>
        <w:rFonts w:hint="default"/>
        <w:lang w:val="hu-HU" w:eastAsia="en-US" w:bidi="ar-SA"/>
      </w:rPr>
    </w:lvl>
    <w:lvl w:ilvl="2" w:tplc="1C46F132">
      <w:numFmt w:val="bullet"/>
      <w:lvlText w:val="•"/>
      <w:lvlJc w:val="left"/>
      <w:pPr>
        <w:ind w:left="2637" w:hanging="568"/>
      </w:pPr>
      <w:rPr>
        <w:rFonts w:hint="default"/>
        <w:lang w:val="hu-HU" w:eastAsia="en-US" w:bidi="ar-SA"/>
      </w:rPr>
    </w:lvl>
    <w:lvl w:ilvl="3" w:tplc="9FF26D8A">
      <w:numFmt w:val="bullet"/>
      <w:lvlText w:val="•"/>
      <w:lvlJc w:val="left"/>
      <w:pPr>
        <w:ind w:left="3555" w:hanging="568"/>
      </w:pPr>
      <w:rPr>
        <w:rFonts w:hint="default"/>
        <w:lang w:val="hu-HU" w:eastAsia="en-US" w:bidi="ar-SA"/>
      </w:rPr>
    </w:lvl>
    <w:lvl w:ilvl="4" w:tplc="C4E88246">
      <w:numFmt w:val="bullet"/>
      <w:lvlText w:val="•"/>
      <w:lvlJc w:val="left"/>
      <w:pPr>
        <w:ind w:left="4474" w:hanging="568"/>
      </w:pPr>
      <w:rPr>
        <w:rFonts w:hint="default"/>
        <w:lang w:val="hu-HU" w:eastAsia="en-US" w:bidi="ar-SA"/>
      </w:rPr>
    </w:lvl>
    <w:lvl w:ilvl="5" w:tplc="52C48D2A">
      <w:numFmt w:val="bullet"/>
      <w:lvlText w:val="•"/>
      <w:lvlJc w:val="left"/>
      <w:pPr>
        <w:ind w:left="5392" w:hanging="568"/>
      </w:pPr>
      <w:rPr>
        <w:rFonts w:hint="default"/>
        <w:lang w:val="hu-HU" w:eastAsia="en-US" w:bidi="ar-SA"/>
      </w:rPr>
    </w:lvl>
    <w:lvl w:ilvl="6" w:tplc="F4922B34">
      <w:numFmt w:val="bullet"/>
      <w:lvlText w:val="•"/>
      <w:lvlJc w:val="left"/>
      <w:pPr>
        <w:ind w:left="6311" w:hanging="568"/>
      </w:pPr>
      <w:rPr>
        <w:rFonts w:hint="default"/>
        <w:lang w:val="hu-HU" w:eastAsia="en-US" w:bidi="ar-SA"/>
      </w:rPr>
    </w:lvl>
    <w:lvl w:ilvl="7" w:tplc="F2846140">
      <w:numFmt w:val="bullet"/>
      <w:lvlText w:val="•"/>
      <w:lvlJc w:val="left"/>
      <w:pPr>
        <w:ind w:left="7229" w:hanging="568"/>
      </w:pPr>
      <w:rPr>
        <w:rFonts w:hint="default"/>
        <w:lang w:val="hu-HU" w:eastAsia="en-US" w:bidi="ar-SA"/>
      </w:rPr>
    </w:lvl>
    <w:lvl w:ilvl="8" w:tplc="6640192A">
      <w:numFmt w:val="bullet"/>
      <w:lvlText w:val="•"/>
      <w:lvlJc w:val="left"/>
      <w:pPr>
        <w:ind w:left="8148" w:hanging="568"/>
      </w:pPr>
      <w:rPr>
        <w:rFonts w:hint="default"/>
        <w:lang w:val="hu-HU" w:eastAsia="en-US" w:bidi="ar-SA"/>
      </w:rPr>
    </w:lvl>
  </w:abstractNum>
  <w:abstractNum w:abstractNumId="39" w15:restartNumberingAfterBreak="0">
    <w:nsid w:val="740C403B"/>
    <w:multiLevelType w:val="hybridMultilevel"/>
    <w:tmpl w:val="9BEE8370"/>
    <w:lvl w:ilvl="0" w:tplc="D6EA50D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6BF88908">
      <w:numFmt w:val="bullet"/>
      <w:lvlText w:val="•"/>
      <w:lvlJc w:val="left"/>
      <w:pPr>
        <w:ind w:left="1718" w:hanging="568"/>
      </w:pPr>
      <w:rPr>
        <w:rFonts w:hint="default"/>
        <w:lang w:val="hu-HU" w:eastAsia="en-US" w:bidi="ar-SA"/>
      </w:rPr>
    </w:lvl>
    <w:lvl w:ilvl="2" w:tplc="6A744052">
      <w:numFmt w:val="bullet"/>
      <w:lvlText w:val="•"/>
      <w:lvlJc w:val="left"/>
      <w:pPr>
        <w:ind w:left="2637" w:hanging="568"/>
      </w:pPr>
      <w:rPr>
        <w:rFonts w:hint="default"/>
        <w:lang w:val="hu-HU" w:eastAsia="en-US" w:bidi="ar-SA"/>
      </w:rPr>
    </w:lvl>
    <w:lvl w:ilvl="3" w:tplc="E4BE024A">
      <w:numFmt w:val="bullet"/>
      <w:lvlText w:val="•"/>
      <w:lvlJc w:val="left"/>
      <w:pPr>
        <w:ind w:left="3555" w:hanging="568"/>
      </w:pPr>
      <w:rPr>
        <w:rFonts w:hint="default"/>
        <w:lang w:val="hu-HU" w:eastAsia="en-US" w:bidi="ar-SA"/>
      </w:rPr>
    </w:lvl>
    <w:lvl w:ilvl="4" w:tplc="3F2A86CA">
      <w:numFmt w:val="bullet"/>
      <w:lvlText w:val="•"/>
      <w:lvlJc w:val="left"/>
      <w:pPr>
        <w:ind w:left="4474" w:hanging="568"/>
      </w:pPr>
      <w:rPr>
        <w:rFonts w:hint="default"/>
        <w:lang w:val="hu-HU" w:eastAsia="en-US" w:bidi="ar-SA"/>
      </w:rPr>
    </w:lvl>
    <w:lvl w:ilvl="5" w:tplc="86001CE4">
      <w:numFmt w:val="bullet"/>
      <w:lvlText w:val="•"/>
      <w:lvlJc w:val="left"/>
      <w:pPr>
        <w:ind w:left="5392" w:hanging="568"/>
      </w:pPr>
      <w:rPr>
        <w:rFonts w:hint="default"/>
        <w:lang w:val="hu-HU" w:eastAsia="en-US" w:bidi="ar-SA"/>
      </w:rPr>
    </w:lvl>
    <w:lvl w:ilvl="6" w:tplc="995010FE">
      <w:numFmt w:val="bullet"/>
      <w:lvlText w:val="•"/>
      <w:lvlJc w:val="left"/>
      <w:pPr>
        <w:ind w:left="6311" w:hanging="568"/>
      </w:pPr>
      <w:rPr>
        <w:rFonts w:hint="default"/>
        <w:lang w:val="hu-HU" w:eastAsia="en-US" w:bidi="ar-SA"/>
      </w:rPr>
    </w:lvl>
    <w:lvl w:ilvl="7" w:tplc="2B3C22B4">
      <w:numFmt w:val="bullet"/>
      <w:lvlText w:val="•"/>
      <w:lvlJc w:val="left"/>
      <w:pPr>
        <w:ind w:left="7229" w:hanging="568"/>
      </w:pPr>
      <w:rPr>
        <w:rFonts w:hint="default"/>
        <w:lang w:val="hu-HU" w:eastAsia="en-US" w:bidi="ar-SA"/>
      </w:rPr>
    </w:lvl>
    <w:lvl w:ilvl="8" w:tplc="95C63662">
      <w:numFmt w:val="bullet"/>
      <w:lvlText w:val="•"/>
      <w:lvlJc w:val="left"/>
      <w:pPr>
        <w:ind w:left="8148" w:hanging="568"/>
      </w:pPr>
      <w:rPr>
        <w:rFonts w:hint="default"/>
        <w:lang w:val="hu-HU" w:eastAsia="en-US" w:bidi="ar-SA"/>
      </w:rPr>
    </w:lvl>
  </w:abstractNum>
  <w:abstractNum w:abstractNumId="40" w15:restartNumberingAfterBreak="0">
    <w:nsid w:val="786A4213"/>
    <w:multiLevelType w:val="hybridMultilevel"/>
    <w:tmpl w:val="3274F022"/>
    <w:lvl w:ilvl="0" w:tplc="F1DAEC84">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2162248E">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ADE49EB8">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7242ACF6">
      <w:numFmt w:val="bullet"/>
      <w:lvlText w:val="•"/>
      <w:lvlJc w:val="left"/>
      <w:pPr>
        <w:ind w:left="3292" w:hanging="154"/>
      </w:pPr>
      <w:rPr>
        <w:rFonts w:hint="default"/>
        <w:lang w:val="hu-HU" w:eastAsia="en-US" w:bidi="ar-SA"/>
      </w:rPr>
    </w:lvl>
    <w:lvl w:ilvl="4" w:tplc="0D782F58">
      <w:numFmt w:val="bullet"/>
      <w:lvlText w:val="•"/>
      <w:lvlJc w:val="left"/>
      <w:pPr>
        <w:ind w:left="4248" w:hanging="154"/>
      </w:pPr>
      <w:rPr>
        <w:rFonts w:hint="default"/>
        <w:lang w:val="hu-HU" w:eastAsia="en-US" w:bidi="ar-SA"/>
      </w:rPr>
    </w:lvl>
    <w:lvl w:ilvl="5" w:tplc="CCC41D6A">
      <w:numFmt w:val="bullet"/>
      <w:lvlText w:val="•"/>
      <w:lvlJc w:val="left"/>
      <w:pPr>
        <w:ind w:left="5204" w:hanging="154"/>
      </w:pPr>
      <w:rPr>
        <w:rFonts w:hint="default"/>
        <w:lang w:val="hu-HU" w:eastAsia="en-US" w:bidi="ar-SA"/>
      </w:rPr>
    </w:lvl>
    <w:lvl w:ilvl="6" w:tplc="B254F63A">
      <w:numFmt w:val="bullet"/>
      <w:lvlText w:val="•"/>
      <w:lvlJc w:val="left"/>
      <w:pPr>
        <w:ind w:left="6160" w:hanging="154"/>
      </w:pPr>
      <w:rPr>
        <w:rFonts w:hint="default"/>
        <w:lang w:val="hu-HU" w:eastAsia="en-US" w:bidi="ar-SA"/>
      </w:rPr>
    </w:lvl>
    <w:lvl w:ilvl="7" w:tplc="B742EC72">
      <w:numFmt w:val="bullet"/>
      <w:lvlText w:val="•"/>
      <w:lvlJc w:val="left"/>
      <w:pPr>
        <w:ind w:left="7116" w:hanging="154"/>
      </w:pPr>
      <w:rPr>
        <w:rFonts w:hint="default"/>
        <w:lang w:val="hu-HU" w:eastAsia="en-US" w:bidi="ar-SA"/>
      </w:rPr>
    </w:lvl>
    <w:lvl w:ilvl="8" w:tplc="59186E64">
      <w:numFmt w:val="bullet"/>
      <w:lvlText w:val="•"/>
      <w:lvlJc w:val="left"/>
      <w:pPr>
        <w:ind w:left="8073" w:hanging="154"/>
      </w:pPr>
      <w:rPr>
        <w:rFonts w:hint="default"/>
        <w:lang w:val="hu-HU" w:eastAsia="en-US" w:bidi="ar-SA"/>
      </w:rPr>
    </w:lvl>
  </w:abstractNum>
  <w:abstractNum w:abstractNumId="41" w15:restartNumberingAfterBreak="0">
    <w:nsid w:val="786D5261"/>
    <w:multiLevelType w:val="hybridMultilevel"/>
    <w:tmpl w:val="1E445DFA"/>
    <w:lvl w:ilvl="0" w:tplc="B3E6F650">
      <w:numFmt w:val="bullet"/>
      <w:lvlText w:val=""/>
      <w:lvlJc w:val="left"/>
      <w:pPr>
        <w:ind w:left="958" w:hanging="360"/>
      </w:pPr>
      <w:rPr>
        <w:rFonts w:ascii="Symbol" w:eastAsia="Symbol" w:hAnsi="Symbol" w:cs="Symbol" w:hint="default"/>
        <w:b w:val="0"/>
        <w:bCs w:val="0"/>
        <w:i w:val="0"/>
        <w:iCs w:val="0"/>
        <w:spacing w:val="0"/>
        <w:w w:val="99"/>
        <w:sz w:val="22"/>
        <w:szCs w:val="22"/>
        <w:lang w:val="hu-HU" w:eastAsia="en-US" w:bidi="ar-SA"/>
      </w:rPr>
    </w:lvl>
    <w:lvl w:ilvl="1" w:tplc="F60A7018">
      <w:numFmt w:val="bullet"/>
      <w:lvlText w:val="•"/>
      <w:lvlJc w:val="left"/>
      <w:pPr>
        <w:ind w:left="1862" w:hanging="360"/>
      </w:pPr>
      <w:rPr>
        <w:rFonts w:hint="default"/>
        <w:lang w:val="hu-HU" w:eastAsia="en-US" w:bidi="ar-SA"/>
      </w:rPr>
    </w:lvl>
    <w:lvl w:ilvl="2" w:tplc="B71E99DE">
      <w:numFmt w:val="bullet"/>
      <w:lvlText w:val="•"/>
      <w:lvlJc w:val="left"/>
      <w:pPr>
        <w:ind w:left="2765" w:hanging="360"/>
      </w:pPr>
      <w:rPr>
        <w:rFonts w:hint="default"/>
        <w:lang w:val="hu-HU" w:eastAsia="en-US" w:bidi="ar-SA"/>
      </w:rPr>
    </w:lvl>
    <w:lvl w:ilvl="3" w:tplc="595217A8">
      <w:numFmt w:val="bullet"/>
      <w:lvlText w:val="•"/>
      <w:lvlJc w:val="left"/>
      <w:pPr>
        <w:ind w:left="3667" w:hanging="360"/>
      </w:pPr>
      <w:rPr>
        <w:rFonts w:hint="default"/>
        <w:lang w:val="hu-HU" w:eastAsia="en-US" w:bidi="ar-SA"/>
      </w:rPr>
    </w:lvl>
    <w:lvl w:ilvl="4" w:tplc="DDD0045C">
      <w:numFmt w:val="bullet"/>
      <w:lvlText w:val="•"/>
      <w:lvlJc w:val="left"/>
      <w:pPr>
        <w:ind w:left="4570" w:hanging="360"/>
      </w:pPr>
      <w:rPr>
        <w:rFonts w:hint="default"/>
        <w:lang w:val="hu-HU" w:eastAsia="en-US" w:bidi="ar-SA"/>
      </w:rPr>
    </w:lvl>
    <w:lvl w:ilvl="5" w:tplc="94D2C5BE">
      <w:numFmt w:val="bullet"/>
      <w:lvlText w:val="•"/>
      <w:lvlJc w:val="left"/>
      <w:pPr>
        <w:ind w:left="5472" w:hanging="360"/>
      </w:pPr>
      <w:rPr>
        <w:rFonts w:hint="default"/>
        <w:lang w:val="hu-HU" w:eastAsia="en-US" w:bidi="ar-SA"/>
      </w:rPr>
    </w:lvl>
    <w:lvl w:ilvl="6" w:tplc="90581FDE">
      <w:numFmt w:val="bullet"/>
      <w:lvlText w:val="•"/>
      <w:lvlJc w:val="left"/>
      <w:pPr>
        <w:ind w:left="6375" w:hanging="360"/>
      </w:pPr>
      <w:rPr>
        <w:rFonts w:hint="default"/>
        <w:lang w:val="hu-HU" w:eastAsia="en-US" w:bidi="ar-SA"/>
      </w:rPr>
    </w:lvl>
    <w:lvl w:ilvl="7" w:tplc="EADA3D06">
      <w:numFmt w:val="bullet"/>
      <w:lvlText w:val="•"/>
      <w:lvlJc w:val="left"/>
      <w:pPr>
        <w:ind w:left="7277" w:hanging="360"/>
      </w:pPr>
      <w:rPr>
        <w:rFonts w:hint="default"/>
        <w:lang w:val="hu-HU" w:eastAsia="en-US" w:bidi="ar-SA"/>
      </w:rPr>
    </w:lvl>
    <w:lvl w:ilvl="8" w:tplc="95B4C364">
      <w:numFmt w:val="bullet"/>
      <w:lvlText w:val="•"/>
      <w:lvlJc w:val="left"/>
      <w:pPr>
        <w:ind w:left="8180" w:hanging="360"/>
      </w:pPr>
      <w:rPr>
        <w:rFonts w:hint="default"/>
        <w:lang w:val="hu-HU" w:eastAsia="en-US" w:bidi="ar-SA"/>
      </w:rPr>
    </w:lvl>
  </w:abstractNum>
  <w:abstractNum w:abstractNumId="42" w15:restartNumberingAfterBreak="0">
    <w:nsid w:val="793B168D"/>
    <w:multiLevelType w:val="hybridMultilevel"/>
    <w:tmpl w:val="9274F2A4"/>
    <w:lvl w:ilvl="0" w:tplc="FFFFFFFF">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7822AE"/>
    <w:multiLevelType w:val="hybridMultilevel"/>
    <w:tmpl w:val="2E26B78C"/>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845A18"/>
    <w:multiLevelType w:val="hybridMultilevel"/>
    <w:tmpl w:val="1F822FA8"/>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BEF57C5"/>
    <w:multiLevelType w:val="hybridMultilevel"/>
    <w:tmpl w:val="ACEA3568"/>
    <w:lvl w:ilvl="0" w:tplc="1E5C34C8">
      <w:start w:val="1"/>
      <w:numFmt w:val="decimal"/>
      <w:lvlText w:val="%1."/>
      <w:lvlJc w:val="left"/>
      <w:pPr>
        <w:ind w:left="806" w:hanging="568"/>
      </w:pPr>
      <w:rPr>
        <w:rFonts w:ascii="Times New Roman" w:eastAsia="Times New Roman" w:hAnsi="Times New Roman" w:cs="Times New Roman" w:hint="default"/>
        <w:b/>
        <w:bCs/>
        <w:i w:val="0"/>
        <w:iCs w:val="0"/>
        <w:spacing w:val="0"/>
        <w:w w:val="99"/>
        <w:sz w:val="22"/>
        <w:szCs w:val="22"/>
        <w:lang w:val="hu-HU" w:eastAsia="en-US" w:bidi="ar-SA"/>
      </w:rPr>
    </w:lvl>
    <w:lvl w:ilvl="1" w:tplc="61A6790C">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2" w:tplc="2A82060E">
      <w:numFmt w:val="bullet"/>
      <w:lvlText w:val="-"/>
      <w:lvlJc w:val="left"/>
      <w:pPr>
        <w:ind w:left="1372" w:hanging="154"/>
      </w:pPr>
      <w:rPr>
        <w:rFonts w:ascii="Times New Roman" w:eastAsia="Times New Roman" w:hAnsi="Times New Roman" w:cs="Times New Roman" w:hint="default"/>
        <w:b w:val="0"/>
        <w:bCs w:val="0"/>
        <w:i w:val="0"/>
        <w:iCs w:val="0"/>
        <w:spacing w:val="0"/>
        <w:w w:val="99"/>
        <w:sz w:val="22"/>
        <w:szCs w:val="22"/>
        <w:lang w:val="hu-HU" w:eastAsia="en-US" w:bidi="ar-SA"/>
      </w:rPr>
    </w:lvl>
    <w:lvl w:ilvl="3" w:tplc="934A162A">
      <w:numFmt w:val="bullet"/>
      <w:lvlText w:val="•"/>
      <w:lvlJc w:val="left"/>
      <w:pPr>
        <w:ind w:left="3292" w:hanging="154"/>
      </w:pPr>
      <w:rPr>
        <w:rFonts w:hint="default"/>
        <w:lang w:val="hu-HU" w:eastAsia="en-US" w:bidi="ar-SA"/>
      </w:rPr>
    </w:lvl>
    <w:lvl w:ilvl="4" w:tplc="D0F0296A">
      <w:numFmt w:val="bullet"/>
      <w:lvlText w:val="•"/>
      <w:lvlJc w:val="left"/>
      <w:pPr>
        <w:ind w:left="4248" w:hanging="154"/>
      </w:pPr>
      <w:rPr>
        <w:rFonts w:hint="default"/>
        <w:lang w:val="hu-HU" w:eastAsia="en-US" w:bidi="ar-SA"/>
      </w:rPr>
    </w:lvl>
    <w:lvl w:ilvl="5" w:tplc="0DE8D784">
      <w:numFmt w:val="bullet"/>
      <w:lvlText w:val="•"/>
      <w:lvlJc w:val="left"/>
      <w:pPr>
        <w:ind w:left="5204" w:hanging="154"/>
      </w:pPr>
      <w:rPr>
        <w:rFonts w:hint="default"/>
        <w:lang w:val="hu-HU" w:eastAsia="en-US" w:bidi="ar-SA"/>
      </w:rPr>
    </w:lvl>
    <w:lvl w:ilvl="6" w:tplc="65ACF376">
      <w:numFmt w:val="bullet"/>
      <w:lvlText w:val="•"/>
      <w:lvlJc w:val="left"/>
      <w:pPr>
        <w:ind w:left="6160" w:hanging="154"/>
      </w:pPr>
      <w:rPr>
        <w:rFonts w:hint="default"/>
        <w:lang w:val="hu-HU" w:eastAsia="en-US" w:bidi="ar-SA"/>
      </w:rPr>
    </w:lvl>
    <w:lvl w:ilvl="7" w:tplc="A52AC58A">
      <w:numFmt w:val="bullet"/>
      <w:lvlText w:val="•"/>
      <w:lvlJc w:val="left"/>
      <w:pPr>
        <w:ind w:left="7116" w:hanging="154"/>
      </w:pPr>
      <w:rPr>
        <w:rFonts w:hint="default"/>
        <w:lang w:val="hu-HU" w:eastAsia="en-US" w:bidi="ar-SA"/>
      </w:rPr>
    </w:lvl>
    <w:lvl w:ilvl="8" w:tplc="E872FAFE">
      <w:numFmt w:val="bullet"/>
      <w:lvlText w:val="•"/>
      <w:lvlJc w:val="left"/>
      <w:pPr>
        <w:ind w:left="8073" w:hanging="154"/>
      </w:pPr>
      <w:rPr>
        <w:rFonts w:hint="default"/>
        <w:lang w:val="hu-HU" w:eastAsia="en-US" w:bidi="ar-SA"/>
      </w:rPr>
    </w:lvl>
  </w:abstractNum>
  <w:abstractNum w:abstractNumId="46" w15:restartNumberingAfterBreak="0">
    <w:nsid w:val="7DBB330F"/>
    <w:multiLevelType w:val="hybridMultilevel"/>
    <w:tmpl w:val="02E217E4"/>
    <w:lvl w:ilvl="0" w:tplc="FFFFFFFF">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EA432D0"/>
    <w:multiLevelType w:val="hybridMultilevel"/>
    <w:tmpl w:val="0C6CFC8E"/>
    <w:lvl w:ilvl="0" w:tplc="56989864">
      <w:numFmt w:val="bullet"/>
      <w:lvlText w:val="-"/>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CFCEBEDA">
      <w:numFmt w:val="bullet"/>
      <w:lvlText w:val="•"/>
      <w:lvlJc w:val="left"/>
      <w:pPr>
        <w:ind w:left="1718" w:hanging="568"/>
      </w:pPr>
      <w:rPr>
        <w:rFonts w:hint="default"/>
        <w:lang w:val="hu-HU" w:eastAsia="en-US" w:bidi="ar-SA"/>
      </w:rPr>
    </w:lvl>
    <w:lvl w:ilvl="2" w:tplc="37A8B8AE">
      <w:numFmt w:val="bullet"/>
      <w:lvlText w:val="•"/>
      <w:lvlJc w:val="left"/>
      <w:pPr>
        <w:ind w:left="2637" w:hanging="568"/>
      </w:pPr>
      <w:rPr>
        <w:rFonts w:hint="default"/>
        <w:lang w:val="hu-HU" w:eastAsia="en-US" w:bidi="ar-SA"/>
      </w:rPr>
    </w:lvl>
    <w:lvl w:ilvl="3" w:tplc="89E0FD9E">
      <w:numFmt w:val="bullet"/>
      <w:lvlText w:val="•"/>
      <w:lvlJc w:val="left"/>
      <w:pPr>
        <w:ind w:left="3555" w:hanging="568"/>
      </w:pPr>
      <w:rPr>
        <w:rFonts w:hint="default"/>
        <w:lang w:val="hu-HU" w:eastAsia="en-US" w:bidi="ar-SA"/>
      </w:rPr>
    </w:lvl>
    <w:lvl w:ilvl="4" w:tplc="3D60E538">
      <w:numFmt w:val="bullet"/>
      <w:lvlText w:val="•"/>
      <w:lvlJc w:val="left"/>
      <w:pPr>
        <w:ind w:left="4474" w:hanging="568"/>
      </w:pPr>
      <w:rPr>
        <w:rFonts w:hint="default"/>
        <w:lang w:val="hu-HU" w:eastAsia="en-US" w:bidi="ar-SA"/>
      </w:rPr>
    </w:lvl>
    <w:lvl w:ilvl="5" w:tplc="3FA4FC00">
      <w:numFmt w:val="bullet"/>
      <w:lvlText w:val="•"/>
      <w:lvlJc w:val="left"/>
      <w:pPr>
        <w:ind w:left="5392" w:hanging="568"/>
      </w:pPr>
      <w:rPr>
        <w:rFonts w:hint="default"/>
        <w:lang w:val="hu-HU" w:eastAsia="en-US" w:bidi="ar-SA"/>
      </w:rPr>
    </w:lvl>
    <w:lvl w:ilvl="6" w:tplc="467C8DDE">
      <w:numFmt w:val="bullet"/>
      <w:lvlText w:val="•"/>
      <w:lvlJc w:val="left"/>
      <w:pPr>
        <w:ind w:left="6311" w:hanging="568"/>
      </w:pPr>
      <w:rPr>
        <w:rFonts w:hint="default"/>
        <w:lang w:val="hu-HU" w:eastAsia="en-US" w:bidi="ar-SA"/>
      </w:rPr>
    </w:lvl>
    <w:lvl w:ilvl="7" w:tplc="F4562DDC">
      <w:numFmt w:val="bullet"/>
      <w:lvlText w:val="•"/>
      <w:lvlJc w:val="left"/>
      <w:pPr>
        <w:ind w:left="7229" w:hanging="568"/>
      </w:pPr>
      <w:rPr>
        <w:rFonts w:hint="default"/>
        <w:lang w:val="hu-HU" w:eastAsia="en-US" w:bidi="ar-SA"/>
      </w:rPr>
    </w:lvl>
    <w:lvl w:ilvl="8" w:tplc="CC5436D4">
      <w:numFmt w:val="bullet"/>
      <w:lvlText w:val="•"/>
      <w:lvlJc w:val="left"/>
      <w:pPr>
        <w:ind w:left="8148" w:hanging="568"/>
      </w:pPr>
      <w:rPr>
        <w:rFonts w:hint="default"/>
        <w:lang w:val="hu-HU" w:eastAsia="en-US" w:bidi="ar-SA"/>
      </w:rPr>
    </w:lvl>
  </w:abstractNum>
  <w:abstractNum w:abstractNumId="48" w15:restartNumberingAfterBreak="0">
    <w:nsid w:val="7F9E14DE"/>
    <w:multiLevelType w:val="hybridMultilevel"/>
    <w:tmpl w:val="87BCB550"/>
    <w:lvl w:ilvl="0" w:tplc="6160223E">
      <w:start w:val="1"/>
      <w:numFmt w:val="decimal"/>
      <w:lvlText w:val="%1."/>
      <w:lvlJc w:val="left"/>
      <w:pPr>
        <w:ind w:left="806" w:hanging="568"/>
      </w:pPr>
      <w:rPr>
        <w:rFonts w:ascii="Times New Roman" w:eastAsia="Times New Roman" w:hAnsi="Times New Roman" w:cs="Times New Roman" w:hint="default"/>
        <w:b w:val="0"/>
        <w:bCs w:val="0"/>
        <w:i w:val="0"/>
        <w:iCs w:val="0"/>
        <w:spacing w:val="0"/>
        <w:w w:val="99"/>
        <w:sz w:val="22"/>
        <w:szCs w:val="22"/>
        <w:lang w:val="hu-HU" w:eastAsia="en-US" w:bidi="ar-SA"/>
      </w:rPr>
    </w:lvl>
    <w:lvl w:ilvl="1" w:tplc="242CEEE6">
      <w:numFmt w:val="bullet"/>
      <w:lvlText w:val="•"/>
      <w:lvlJc w:val="left"/>
      <w:pPr>
        <w:ind w:left="1718" w:hanging="568"/>
      </w:pPr>
      <w:rPr>
        <w:rFonts w:hint="default"/>
        <w:lang w:val="hu-HU" w:eastAsia="en-US" w:bidi="ar-SA"/>
      </w:rPr>
    </w:lvl>
    <w:lvl w:ilvl="2" w:tplc="87BEFBA2">
      <w:numFmt w:val="bullet"/>
      <w:lvlText w:val="•"/>
      <w:lvlJc w:val="left"/>
      <w:pPr>
        <w:ind w:left="2637" w:hanging="568"/>
      </w:pPr>
      <w:rPr>
        <w:rFonts w:hint="default"/>
        <w:lang w:val="hu-HU" w:eastAsia="en-US" w:bidi="ar-SA"/>
      </w:rPr>
    </w:lvl>
    <w:lvl w:ilvl="3" w:tplc="2B90B7C6">
      <w:numFmt w:val="bullet"/>
      <w:lvlText w:val="•"/>
      <w:lvlJc w:val="left"/>
      <w:pPr>
        <w:ind w:left="3555" w:hanging="568"/>
      </w:pPr>
      <w:rPr>
        <w:rFonts w:hint="default"/>
        <w:lang w:val="hu-HU" w:eastAsia="en-US" w:bidi="ar-SA"/>
      </w:rPr>
    </w:lvl>
    <w:lvl w:ilvl="4" w:tplc="9BC0952E">
      <w:numFmt w:val="bullet"/>
      <w:lvlText w:val="•"/>
      <w:lvlJc w:val="left"/>
      <w:pPr>
        <w:ind w:left="4474" w:hanging="568"/>
      </w:pPr>
      <w:rPr>
        <w:rFonts w:hint="default"/>
        <w:lang w:val="hu-HU" w:eastAsia="en-US" w:bidi="ar-SA"/>
      </w:rPr>
    </w:lvl>
    <w:lvl w:ilvl="5" w:tplc="774AF3CC">
      <w:numFmt w:val="bullet"/>
      <w:lvlText w:val="•"/>
      <w:lvlJc w:val="left"/>
      <w:pPr>
        <w:ind w:left="5392" w:hanging="568"/>
      </w:pPr>
      <w:rPr>
        <w:rFonts w:hint="default"/>
        <w:lang w:val="hu-HU" w:eastAsia="en-US" w:bidi="ar-SA"/>
      </w:rPr>
    </w:lvl>
    <w:lvl w:ilvl="6" w:tplc="608A14A0">
      <w:numFmt w:val="bullet"/>
      <w:lvlText w:val="•"/>
      <w:lvlJc w:val="left"/>
      <w:pPr>
        <w:ind w:left="6311" w:hanging="568"/>
      </w:pPr>
      <w:rPr>
        <w:rFonts w:hint="default"/>
        <w:lang w:val="hu-HU" w:eastAsia="en-US" w:bidi="ar-SA"/>
      </w:rPr>
    </w:lvl>
    <w:lvl w:ilvl="7" w:tplc="B308CCB0">
      <w:numFmt w:val="bullet"/>
      <w:lvlText w:val="•"/>
      <w:lvlJc w:val="left"/>
      <w:pPr>
        <w:ind w:left="7229" w:hanging="568"/>
      </w:pPr>
      <w:rPr>
        <w:rFonts w:hint="default"/>
        <w:lang w:val="hu-HU" w:eastAsia="en-US" w:bidi="ar-SA"/>
      </w:rPr>
    </w:lvl>
    <w:lvl w:ilvl="8" w:tplc="1BA4E5C2">
      <w:numFmt w:val="bullet"/>
      <w:lvlText w:val="•"/>
      <w:lvlJc w:val="left"/>
      <w:pPr>
        <w:ind w:left="8148" w:hanging="568"/>
      </w:pPr>
      <w:rPr>
        <w:rFonts w:hint="default"/>
        <w:lang w:val="hu-HU" w:eastAsia="en-US" w:bidi="ar-SA"/>
      </w:rPr>
    </w:lvl>
  </w:abstractNum>
  <w:num w:numId="1">
    <w:abstractNumId w:val="41"/>
  </w:num>
  <w:num w:numId="2">
    <w:abstractNumId w:val="38"/>
  </w:num>
  <w:num w:numId="3">
    <w:abstractNumId w:val="6"/>
  </w:num>
  <w:num w:numId="4">
    <w:abstractNumId w:val="13"/>
  </w:num>
  <w:num w:numId="5">
    <w:abstractNumId w:val="30"/>
  </w:num>
  <w:num w:numId="6">
    <w:abstractNumId w:val="40"/>
  </w:num>
  <w:num w:numId="7">
    <w:abstractNumId w:val="14"/>
  </w:num>
  <w:num w:numId="8">
    <w:abstractNumId w:val="47"/>
  </w:num>
  <w:num w:numId="9">
    <w:abstractNumId w:val="11"/>
  </w:num>
  <w:num w:numId="10">
    <w:abstractNumId w:val="17"/>
  </w:num>
  <w:num w:numId="11">
    <w:abstractNumId w:val="19"/>
  </w:num>
  <w:num w:numId="12">
    <w:abstractNumId w:val="45"/>
  </w:num>
  <w:num w:numId="13">
    <w:abstractNumId w:val="48"/>
  </w:num>
  <w:num w:numId="14">
    <w:abstractNumId w:val="39"/>
  </w:num>
  <w:num w:numId="15">
    <w:abstractNumId w:val="5"/>
  </w:num>
  <w:num w:numId="16">
    <w:abstractNumId w:val="16"/>
  </w:num>
  <w:num w:numId="17">
    <w:abstractNumId w:val="33"/>
  </w:num>
  <w:num w:numId="18">
    <w:abstractNumId w:val="12"/>
  </w:num>
  <w:num w:numId="19">
    <w:abstractNumId w:val="3"/>
  </w:num>
  <w:num w:numId="20">
    <w:abstractNumId w:val="27"/>
  </w:num>
  <w:num w:numId="21">
    <w:abstractNumId w:val="24"/>
  </w:num>
  <w:num w:numId="22">
    <w:abstractNumId w:val="31"/>
  </w:num>
  <w:num w:numId="23">
    <w:abstractNumId w:val="18"/>
  </w:num>
  <w:num w:numId="24">
    <w:abstractNumId w:val="22"/>
  </w:num>
  <w:num w:numId="25">
    <w:abstractNumId w:val="9"/>
  </w:num>
  <w:num w:numId="26">
    <w:abstractNumId w:val="36"/>
  </w:num>
  <w:num w:numId="27">
    <w:abstractNumId w:val="34"/>
  </w:num>
  <w:num w:numId="28">
    <w:abstractNumId w:val="8"/>
  </w:num>
  <w:num w:numId="29">
    <w:abstractNumId w:val="15"/>
  </w:num>
  <w:num w:numId="30">
    <w:abstractNumId w:val="29"/>
  </w:num>
  <w:num w:numId="31">
    <w:abstractNumId w:val="26"/>
  </w:num>
  <w:num w:numId="32">
    <w:abstractNumId w:val="0"/>
  </w:num>
  <w:num w:numId="33">
    <w:abstractNumId w:val="4"/>
  </w:num>
  <w:num w:numId="34">
    <w:abstractNumId w:val="44"/>
  </w:num>
  <w:num w:numId="35">
    <w:abstractNumId w:val="10"/>
  </w:num>
  <w:num w:numId="36">
    <w:abstractNumId w:val="7"/>
  </w:num>
  <w:num w:numId="37">
    <w:abstractNumId w:val="1"/>
  </w:num>
  <w:num w:numId="38">
    <w:abstractNumId w:val="2"/>
  </w:num>
  <w:num w:numId="39">
    <w:abstractNumId w:val="23"/>
  </w:num>
  <w:num w:numId="40">
    <w:abstractNumId w:val="21"/>
  </w:num>
  <w:num w:numId="41">
    <w:abstractNumId w:val="46"/>
  </w:num>
  <w:num w:numId="42">
    <w:abstractNumId w:val="32"/>
  </w:num>
  <w:num w:numId="43">
    <w:abstractNumId w:val="43"/>
  </w:num>
  <w:num w:numId="44">
    <w:abstractNumId w:val="28"/>
  </w:num>
  <w:num w:numId="45">
    <w:abstractNumId w:val="37"/>
  </w:num>
  <w:num w:numId="46">
    <w:abstractNumId w:val="25"/>
  </w:num>
  <w:num w:numId="47">
    <w:abstractNumId w:val="35"/>
  </w:num>
  <w:num w:numId="48">
    <w:abstractNumId w:val="20"/>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3012"/>
    <w:rsid w:val="001F5BB8"/>
    <w:rsid w:val="002F6296"/>
    <w:rsid w:val="0032448C"/>
    <w:rsid w:val="00350A76"/>
    <w:rsid w:val="00381121"/>
    <w:rsid w:val="0041553C"/>
    <w:rsid w:val="00433B53"/>
    <w:rsid w:val="004672D9"/>
    <w:rsid w:val="00470745"/>
    <w:rsid w:val="00540539"/>
    <w:rsid w:val="00590A14"/>
    <w:rsid w:val="00704558"/>
    <w:rsid w:val="0072620B"/>
    <w:rsid w:val="00885B85"/>
    <w:rsid w:val="009378E0"/>
    <w:rsid w:val="00996785"/>
    <w:rsid w:val="009B63B8"/>
    <w:rsid w:val="00A37535"/>
    <w:rsid w:val="00A53012"/>
    <w:rsid w:val="00B338F0"/>
    <w:rsid w:val="00BC7E56"/>
    <w:rsid w:val="00D45D17"/>
    <w:rsid w:val="00E90F6C"/>
    <w:rsid w:val="00F74DF5"/>
    <w:rsid w:val="00F817B0"/>
    <w:rsid w:val="00F84E1B"/>
    <w:rsid w:val="00FB6D50"/>
    <w:rsid w:val="00FF74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6410A"/>
  <w15:chartTrackingRefBased/>
  <w15:docId w15:val="{D4DBB70D-83E7-43D4-9C3B-F296D71C5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next w:val="Norml"/>
    <w:link w:val="Cmsor1Char"/>
    <w:uiPriority w:val="9"/>
    <w:qFormat/>
    <w:rsid w:val="00A530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Cmsor2">
    <w:name w:val="heading 2"/>
    <w:basedOn w:val="Norml"/>
    <w:next w:val="Norml"/>
    <w:link w:val="Cmsor2Char"/>
    <w:uiPriority w:val="9"/>
    <w:unhideWhenUsed/>
    <w:qFormat/>
    <w:rsid w:val="00A530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Cmsor3">
    <w:name w:val="heading 3"/>
    <w:basedOn w:val="Norml"/>
    <w:next w:val="Norml"/>
    <w:link w:val="Cmsor3Char"/>
    <w:uiPriority w:val="9"/>
    <w:semiHidden/>
    <w:unhideWhenUsed/>
    <w:qFormat/>
    <w:rsid w:val="00A53012"/>
    <w:pPr>
      <w:keepNext/>
      <w:keepLines/>
      <w:spacing w:before="160" w:after="80"/>
      <w:outlineLvl w:val="2"/>
    </w:pPr>
    <w:rPr>
      <w:rFonts w:eastAsiaTheme="majorEastAsia" w:cstheme="majorBidi"/>
      <w:color w:val="0F4761" w:themeColor="accent1" w:themeShade="BF"/>
      <w:sz w:val="28"/>
      <w:szCs w:val="28"/>
    </w:rPr>
  </w:style>
  <w:style w:type="paragraph" w:styleId="Cmsor4">
    <w:name w:val="heading 4"/>
    <w:basedOn w:val="Norml"/>
    <w:next w:val="Norml"/>
    <w:link w:val="Cmsor4Char"/>
    <w:uiPriority w:val="9"/>
    <w:semiHidden/>
    <w:unhideWhenUsed/>
    <w:qFormat/>
    <w:rsid w:val="00A53012"/>
    <w:pPr>
      <w:keepNext/>
      <w:keepLines/>
      <w:spacing w:before="80" w:after="40"/>
      <w:outlineLvl w:val="3"/>
    </w:pPr>
    <w:rPr>
      <w:rFonts w:eastAsiaTheme="majorEastAsia" w:cstheme="majorBidi"/>
      <w:i/>
      <w:iCs/>
      <w:color w:val="0F4761" w:themeColor="accent1" w:themeShade="BF"/>
    </w:rPr>
  </w:style>
  <w:style w:type="paragraph" w:styleId="Cmsor5">
    <w:name w:val="heading 5"/>
    <w:basedOn w:val="Norml"/>
    <w:next w:val="Norml"/>
    <w:link w:val="Cmsor5Char"/>
    <w:uiPriority w:val="9"/>
    <w:semiHidden/>
    <w:unhideWhenUsed/>
    <w:qFormat/>
    <w:rsid w:val="00A53012"/>
    <w:pPr>
      <w:keepNext/>
      <w:keepLines/>
      <w:spacing w:before="80" w:after="40"/>
      <w:outlineLvl w:val="4"/>
    </w:pPr>
    <w:rPr>
      <w:rFonts w:eastAsiaTheme="majorEastAsia" w:cstheme="majorBidi"/>
      <w:color w:val="0F4761" w:themeColor="accent1" w:themeShade="BF"/>
    </w:rPr>
  </w:style>
  <w:style w:type="paragraph" w:styleId="Cmsor6">
    <w:name w:val="heading 6"/>
    <w:basedOn w:val="Norml"/>
    <w:next w:val="Norml"/>
    <w:link w:val="Cmsor6Char"/>
    <w:uiPriority w:val="9"/>
    <w:semiHidden/>
    <w:unhideWhenUsed/>
    <w:qFormat/>
    <w:rsid w:val="00A53012"/>
    <w:pPr>
      <w:keepNext/>
      <w:keepLines/>
      <w:spacing w:before="40" w:after="0"/>
      <w:outlineLvl w:val="5"/>
    </w:pPr>
    <w:rPr>
      <w:rFonts w:eastAsiaTheme="majorEastAsia" w:cstheme="majorBidi"/>
      <w:i/>
      <w:iCs/>
      <w:color w:val="595959" w:themeColor="text1" w:themeTint="A6"/>
    </w:rPr>
  </w:style>
  <w:style w:type="paragraph" w:styleId="Cmsor7">
    <w:name w:val="heading 7"/>
    <w:basedOn w:val="Norml"/>
    <w:next w:val="Norml"/>
    <w:link w:val="Cmsor7Char"/>
    <w:uiPriority w:val="9"/>
    <w:semiHidden/>
    <w:unhideWhenUsed/>
    <w:qFormat/>
    <w:rsid w:val="00A53012"/>
    <w:pPr>
      <w:keepNext/>
      <w:keepLines/>
      <w:spacing w:before="40" w:after="0"/>
      <w:outlineLvl w:val="6"/>
    </w:pPr>
    <w:rPr>
      <w:rFonts w:eastAsiaTheme="majorEastAsia" w:cstheme="majorBidi"/>
      <w:color w:val="595959" w:themeColor="text1" w:themeTint="A6"/>
    </w:rPr>
  </w:style>
  <w:style w:type="paragraph" w:styleId="Cmsor8">
    <w:name w:val="heading 8"/>
    <w:basedOn w:val="Norml"/>
    <w:next w:val="Norml"/>
    <w:link w:val="Cmsor8Char"/>
    <w:uiPriority w:val="9"/>
    <w:semiHidden/>
    <w:unhideWhenUsed/>
    <w:qFormat/>
    <w:rsid w:val="00A53012"/>
    <w:pPr>
      <w:keepNext/>
      <w:keepLines/>
      <w:spacing w:after="0"/>
      <w:outlineLvl w:val="7"/>
    </w:pPr>
    <w:rPr>
      <w:rFonts w:eastAsiaTheme="majorEastAsia" w:cstheme="majorBidi"/>
      <w:i/>
      <w:iCs/>
      <w:color w:val="272727" w:themeColor="text1" w:themeTint="D8"/>
    </w:rPr>
  </w:style>
  <w:style w:type="paragraph" w:styleId="Cmsor9">
    <w:name w:val="heading 9"/>
    <w:basedOn w:val="Norml"/>
    <w:next w:val="Norml"/>
    <w:link w:val="Cmsor9Char"/>
    <w:uiPriority w:val="9"/>
    <w:semiHidden/>
    <w:unhideWhenUsed/>
    <w:qFormat/>
    <w:rsid w:val="00A53012"/>
    <w:pPr>
      <w:keepNext/>
      <w:keepLines/>
      <w:spacing w:after="0"/>
      <w:outlineLvl w:val="8"/>
    </w:pPr>
    <w:rPr>
      <w:rFonts w:eastAsiaTheme="majorEastAsia"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A53012"/>
    <w:rPr>
      <w:rFonts w:asciiTheme="majorHAnsi" w:eastAsiaTheme="majorEastAsia" w:hAnsiTheme="majorHAnsi" w:cstheme="majorBidi"/>
      <w:color w:val="0F4761" w:themeColor="accent1" w:themeShade="BF"/>
      <w:sz w:val="40"/>
      <w:szCs w:val="40"/>
    </w:rPr>
  </w:style>
  <w:style w:type="character" w:customStyle="1" w:styleId="Cmsor2Char">
    <w:name w:val="Címsor 2 Char"/>
    <w:basedOn w:val="Bekezdsalapbettpusa"/>
    <w:link w:val="Cmsor2"/>
    <w:uiPriority w:val="9"/>
    <w:rsid w:val="00A53012"/>
    <w:rPr>
      <w:rFonts w:asciiTheme="majorHAnsi" w:eastAsiaTheme="majorEastAsia" w:hAnsiTheme="majorHAnsi" w:cstheme="majorBidi"/>
      <w:color w:val="0F4761" w:themeColor="accent1" w:themeShade="BF"/>
      <w:sz w:val="32"/>
      <w:szCs w:val="32"/>
    </w:rPr>
  </w:style>
  <w:style w:type="character" w:customStyle="1" w:styleId="Cmsor3Char">
    <w:name w:val="Címsor 3 Char"/>
    <w:basedOn w:val="Bekezdsalapbettpusa"/>
    <w:link w:val="Cmsor3"/>
    <w:uiPriority w:val="9"/>
    <w:semiHidden/>
    <w:rsid w:val="00A53012"/>
    <w:rPr>
      <w:rFonts w:eastAsiaTheme="majorEastAsia" w:cstheme="majorBidi"/>
      <w:color w:val="0F4761" w:themeColor="accent1" w:themeShade="BF"/>
      <w:sz w:val="28"/>
      <w:szCs w:val="28"/>
    </w:rPr>
  </w:style>
  <w:style w:type="character" w:customStyle="1" w:styleId="Cmsor4Char">
    <w:name w:val="Címsor 4 Char"/>
    <w:basedOn w:val="Bekezdsalapbettpusa"/>
    <w:link w:val="Cmsor4"/>
    <w:uiPriority w:val="9"/>
    <w:semiHidden/>
    <w:rsid w:val="00A53012"/>
    <w:rPr>
      <w:rFonts w:eastAsiaTheme="majorEastAsia" w:cstheme="majorBidi"/>
      <w:i/>
      <w:iCs/>
      <w:color w:val="0F4761" w:themeColor="accent1" w:themeShade="BF"/>
    </w:rPr>
  </w:style>
  <w:style w:type="character" w:customStyle="1" w:styleId="Cmsor5Char">
    <w:name w:val="Címsor 5 Char"/>
    <w:basedOn w:val="Bekezdsalapbettpusa"/>
    <w:link w:val="Cmsor5"/>
    <w:uiPriority w:val="9"/>
    <w:semiHidden/>
    <w:rsid w:val="00A53012"/>
    <w:rPr>
      <w:rFonts w:eastAsiaTheme="majorEastAsia" w:cstheme="majorBidi"/>
      <w:color w:val="0F4761" w:themeColor="accent1" w:themeShade="BF"/>
    </w:rPr>
  </w:style>
  <w:style w:type="character" w:customStyle="1" w:styleId="Cmsor6Char">
    <w:name w:val="Címsor 6 Char"/>
    <w:basedOn w:val="Bekezdsalapbettpusa"/>
    <w:link w:val="Cmsor6"/>
    <w:uiPriority w:val="9"/>
    <w:semiHidden/>
    <w:rsid w:val="00A53012"/>
    <w:rPr>
      <w:rFonts w:eastAsiaTheme="majorEastAsia" w:cstheme="majorBidi"/>
      <w:i/>
      <w:iCs/>
      <w:color w:val="595959" w:themeColor="text1" w:themeTint="A6"/>
    </w:rPr>
  </w:style>
  <w:style w:type="character" w:customStyle="1" w:styleId="Cmsor7Char">
    <w:name w:val="Címsor 7 Char"/>
    <w:basedOn w:val="Bekezdsalapbettpusa"/>
    <w:link w:val="Cmsor7"/>
    <w:uiPriority w:val="9"/>
    <w:semiHidden/>
    <w:rsid w:val="00A53012"/>
    <w:rPr>
      <w:rFonts w:eastAsiaTheme="majorEastAsia" w:cstheme="majorBidi"/>
      <w:color w:val="595959" w:themeColor="text1" w:themeTint="A6"/>
    </w:rPr>
  </w:style>
  <w:style w:type="character" w:customStyle="1" w:styleId="Cmsor8Char">
    <w:name w:val="Címsor 8 Char"/>
    <w:basedOn w:val="Bekezdsalapbettpusa"/>
    <w:link w:val="Cmsor8"/>
    <w:uiPriority w:val="9"/>
    <w:semiHidden/>
    <w:rsid w:val="00A53012"/>
    <w:rPr>
      <w:rFonts w:eastAsiaTheme="majorEastAsia" w:cstheme="majorBidi"/>
      <w:i/>
      <w:iCs/>
      <w:color w:val="272727" w:themeColor="text1" w:themeTint="D8"/>
    </w:rPr>
  </w:style>
  <w:style w:type="character" w:customStyle="1" w:styleId="Cmsor9Char">
    <w:name w:val="Címsor 9 Char"/>
    <w:basedOn w:val="Bekezdsalapbettpusa"/>
    <w:link w:val="Cmsor9"/>
    <w:uiPriority w:val="9"/>
    <w:semiHidden/>
    <w:rsid w:val="00A53012"/>
    <w:rPr>
      <w:rFonts w:eastAsiaTheme="majorEastAsia" w:cstheme="majorBidi"/>
      <w:color w:val="272727" w:themeColor="text1" w:themeTint="D8"/>
    </w:rPr>
  </w:style>
  <w:style w:type="paragraph" w:styleId="Cm">
    <w:name w:val="Title"/>
    <w:basedOn w:val="Norml"/>
    <w:next w:val="Norml"/>
    <w:link w:val="CmChar"/>
    <w:uiPriority w:val="10"/>
    <w:qFormat/>
    <w:rsid w:val="00A530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53012"/>
    <w:rPr>
      <w:rFonts w:asciiTheme="majorHAnsi" w:eastAsiaTheme="majorEastAsia" w:hAnsiTheme="majorHAnsi" w:cstheme="majorBidi"/>
      <w:spacing w:val="-10"/>
      <w:kern w:val="28"/>
      <w:sz w:val="56"/>
      <w:szCs w:val="56"/>
    </w:rPr>
  </w:style>
  <w:style w:type="paragraph" w:styleId="Alcm">
    <w:name w:val="Subtitle"/>
    <w:basedOn w:val="Norml"/>
    <w:next w:val="Norml"/>
    <w:link w:val="AlcmChar"/>
    <w:uiPriority w:val="11"/>
    <w:qFormat/>
    <w:rsid w:val="00A53012"/>
    <w:pPr>
      <w:numPr>
        <w:ilvl w:val="1"/>
      </w:numPr>
    </w:pPr>
    <w:rPr>
      <w:rFonts w:eastAsiaTheme="majorEastAsia" w:cstheme="majorBidi"/>
      <w:color w:val="595959" w:themeColor="text1" w:themeTint="A6"/>
      <w:spacing w:val="15"/>
      <w:sz w:val="28"/>
      <w:szCs w:val="28"/>
    </w:rPr>
  </w:style>
  <w:style w:type="character" w:customStyle="1" w:styleId="AlcmChar">
    <w:name w:val="Alcím Char"/>
    <w:basedOn w:val="Bekezdsalapbettpusa"/>
    <w:link w:val="Alcm"/>
    <w:uiPriority w:val="11"/>
    <w:rsid w:val="00A53012"/>
    <w:rPr>
      <w:rFonts w:eastAsiaTheme="majorEastAsia" w:cstheme="majorBidi"/>
      <w:color w:val="595959" w:themeColor="text1" w:themeTint="A6"/>
      <w:spacing w:val="15"/>
      <w:sz w:val="28"/>
      <w:szCs w:val="28"/>
    </w:rPr>
  </w:style>
  <w:style w:type="paragraph" w:styleId="Idzet">
    <w:name w:val="Quote"/>
    <w:basedOn w:val="Norml"/>
    <w:next w:val="Norml"/>
    <w:link w:val="IdzetChar"/>
    <w:uiPriority w:val="29"/>
    <w:qFormat/>
    <w:rsid w:val="00A53012"/>
    <w:pPr>
      <w:spacing w:before="160"/>
      <w:jc w:val="center"/>
    </w:pPr>
    <w:rPr>
      <w:i/>
      <w:iCs/>
      <w:color w:val="404040" w:themeColor="text1" w:themeTint="BF"/>
    </w:rPr>
  </w:style>
  <w:style w:type="character" w:customStyle="1" w:styleId="IdzetChar">
    <w:name w:val="Idézet Char"/>
    <w:basedOn w:val="Bekezdsalapbettpusa"/>
    <w:link w:val="Idzet"/>
    <w:uiPriority w:val="29"/>
    <w:rsid w:val="00A53012"/>
    <w:rPr>
      <w:i/>
      <w:iCs/>
      <w:color w:val="404040" w:themeColor="text1" w:themeTint="BF"/>
    </w:rPr>
  </w:style>
  <w:style w:type="paragraph" w:styleId="Listaszerbekezds">
    <w:name w:val="List Paragraph"/>
    <w:basedOn w:val="Norml"/>
    <w:uiPriority w:val="1"/>
    <w:qFormat/>
    <w:rsid w:val="00A53012"/>
    <w:pPr>
      <w:ind w:left="720"/>
      <w:contextualSpacing/>
    </w:pPr>
  </w:style>
  <w:style w:type="character" w:styleId="Erskiemels">
    <w:name w:val="Intense Emphasis"/>
    <w:basedOn w:val="Bekezdsalapbettpusa"/>
    <w:uiPriority w:val="21"/>
    <w:qFormat/>
    <w:rsid w:val="00A53012"/>
    <w:rPr>
      <w:i/>
      <w:iCs/>
      <w:color w:val="0F4761" w:themeColor="accent1" w:themeShade="BF"/>
    </w:rPr>
  </w:style>
  <w:style w:type="paragraph" w:styleId="Kiemeltidzet">
    <w:name w:val="Intense Quote"/>
    <w:basedOn w:val="Norml"/>
    <w:next w:val="Norml"/>
    <w:link w:val="KiemeltidzetChar"/>
    <w:uiPriority w:val="30"/>
    <w:qFormat/>
    <w:rsid w:val="00A530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KiemeltidzetChar">
    <w:name w:val="Kiemelt idézet Char"/>
    <w:basedOn w:val="Bekezdsalapbettpusa"/>
    <w:link w:val="Kiemeltidzet"/>
    <w:uiPriority w:val="30"/>
    <w:rsid w:val="00A53012"/>
    <w:rPr>
      <w:i/>
      <w:iCs/>
      <w:color w:val="0F4761" w:themeColor="accent1" w:themeShade="BF"/>
    </w:rPr>
  </w:style>
  <w:style w:type="character" w:styleId="Ershivatkozs">
    <w:name w:val="Intense Reference"/>
    <w:basedOn w:val="Bekezdsalapbettpusa"/>
    <w:uiPriority w:val="32"/>
    <w:qFormat/>
    <w:rsid w:val="00A53012"/>
    <w:rPr>
      <w:b/>
      <w:bCs/>
      <w:smallCaps/>
      <w:color w:val="0F4761" w:themeColor="accent1" w:themeShade="BF"/>
      <w:spacing w:val="5"/>
    </w:rPr>
  </w:style>
  <w:style w:type="numbering" w:customStyle="1" w:styleId="NoList1">
    <w:name w:val="No List1"/>
    <w:next w:val="Nemlista"/>
    <w:uiPriority w:val="99"/>
    <w:semiHidden/>
    <w:unhideWhenUsed/>
    <w:rsid w:val="00A53012"/>
  </w:style>
  <w:style w:type="paragraph" w:styleId="Szvegtrzs">
    <w:name w:val="Body Text"/>
    <w:basedOn w:val="Norml"/>
    <w:link w:val="SzvegtrzsChar"/>
    <w:uiPriority w:val="1"/>
    <w:qFormat/>
    <w:rsid w:val="00A53012"/>
    <w:pPr>
      <w:widowControl w:val="0"/>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SzvegtrzsChar">
    <w:name w:val="Szövegtörzs Char"/>
    <w:basedOn w:val="Bekezdsalapbettpusa"/>
    <w:link w:val="Szvegtrzs"/>
    <w:uiPriority w:val="1"/>
    <w:rsid w:val="00A53012"/>
    <w:rPr>
      <w:rFonts w:ascii="Times New Roman" w:eastAsia="Times New Roman" w:hAnsi="Times New Roman" w:cs="Times New Roman"/>
      <w:noProof/>
      <w:kern w:val="0"/>
      <w:lang w:val="hu-HU"/>
      <w14:ligatures w14:val="none"/>
    </w:rPr>
  </w:style>
  <w:style w:type="paragraph" w:customStyle="1" w:styleId="TableParagraph">
    <w:name w:val="Table Paragraph"/>
    <w:basedOn w:val="Norml"/>
    <w:uiPriority w:val="1"/>
    <w:qFormat/>
    <w:rsid w:val="00A53012"/>
    <w:pPr>
      <w:widowControl w:val="0"/>
      <w:autoSpaceDE w:val="0"/>
      <w:autoSpaceDN w:val="0"/>
      <w:spacing w:before="55" w:after="0" w:line="240" w:lineRule="auto"/>
      <w:ind w:left="56"/>
    </w:pPr>
    <w:rPr>
      <w:rFonts w:ascii="Times New Roman" w:eastAsia="Times New Roman" w:hAnsi="Times New Roman" w:cs="Times New Roman"/>
      <w:noProof/>
      <w:kern w:val="0"/>
      <w:lang w:val="hu-HU"/>
      <w14:ligatures w14:val="none"/>
    </w:rPr>
  </w:style>
  <w:style w:type="paragraph" w:styleId="Vltozat">
    <w:name w:val="Revision"/>
    <w:hidden/>
    <w:uiPriority w:val="99"/>
    <w:semiHidden/>
    <w:rsid w:val="00A53012"/>
    <w:pPr>
      <w:spacing w:after="0" w:line="240" w:lineRule="auto"/>
    </w:pPr>
    <w:rPr>
      <w:rFonts w:ascii="Times New Roman" w:eastAsia="Times New Roman" w:hAnsi="Times New Roman" w:cs="Times New Roman"/>
      <w:kern w:val="0"/>
      <w:lang w:val="hu-HU"/>
      <w14:ligatures w14:val="none"/>
    </w:rPr>
  </w:style>
  <w:style w:type="paragraph" w:styleId="lfej">
    <w:name w:val="header"/>
    <w:basedOn w:val="Norml"/>
    <w:link w:val="lfejChar"/>
    <w:uiPriority w:val="99"/>
    <w:unhideWhenUsed/>
    <w:rsid w:val="00A53012"/>
    <w:pPr>
      <w:widowControl w:val="0"/>
      <w:tabs>
        <w:tab w:val="center" w:pos="4513"/>
        <w:tab w:val="right" w:pos="9026"/>
      </w:tabs>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lfejChar">
    <w:name w:val="Élőfej Char"/>
    <w:basedOn w:val="Bekezdsalapbettpusa"/>
    <w:link w:val="lfej"/>
    <w:uiPriority w:val="99"/>
    <w:rsid w:val="00A53012"/>
    <w:rPr>
      <w:rFonts w:ascii="Times New Roman" w:eastAsia="Times New Roman" w:hAnsi="Times New Roman" w:cs="Times New Roman"/>
      <w:noProof/>
      <w:kern w:val="0"/>
      <w:lang w:val="hu-HU"/>
      <w14:ligatures w14:val="none"/>
    </w:rPr>
  </w:style>
  <w:style w:type="paragraph" w:styleId="llb">
    <w:name w:val="footer"/>
    <w:basedOn w:val="Norml"/>
    <w:link w:val="llbChar"/>
    <w:uiPriority w:val="99"/>
    <w:unhideWhenUsed/>
    <w:rsid w:val="00A53012"/>
    <w:pPr>
      <w:widowControl w:val="0"/>
      <w:tabs>
        <w:tab w:val="center" w:pos="4513"/>
        <w:tab w:val="right" w:pos="9026"/>
      </w:tabs>
      <w:autoSpaceDE w:val="0"/>
      <w:autoSpaceDN w:val="0"/>
      <w:spacing w:after="0" w:line="240" w:lineRule="auto"/>
    </w:pPr>
    <w:rPr>
      <w:rFonts w:ascii="Times New Roman" w:eastAsia="Times New Roman" w:hAnsi="Times New Roman" w:cs="Times New Roman"/>
      <w:noProof/>
      <w:kern w:val="0"/>
      <w:lang w:val="hu-HU"/>
      <w14:ligatures w14:val="none"/>
    </w:rPr>
  </w:style>
  <w:style w:type="character" w:customStyle="1" w:styleId="llbChar">
    <w:name w:val="Élőláb Char"/>
    <w:basedOn w:val="Bekezdsalapbettpusa"/>
    <w:link w:val="llb"/>
    <w:uiPriority w:val="99"/>
    <w:rsid w:val="00A53012"/>
    <w:rPr>
      <w:rFonts w:ascii="Times New Roman" w:eastAsia="Times New Roman" w:hAnsi="Times New Roman" w:cs="Times New Roman"/>
      <w:noProof/>
      <w:kern w:val="0"/>
      <w:lang w:val="hu-HU"/>
      <w14:ligatures w14:val="none"/>
    </w:rPr>
  </w:style>
  <w:style w:type="character" w:styleId="Jegyzethivatkozs">
    <w:name w:val="annotation reference"/>
    <w:basedOn w:val="Bekezdsalapbettpusa"/>
    <w:uiPriority w:val="99"/>
    <w:semiHidden/>
    <w:unhideWhenUsed/>
    <w:rsid w:val="00A53012"/>
    <w:rPr>
      <w:sz w:val="16"/>
      <w:szCs w:val="16"/>
    </w:rPr>
  </w:style>
  <w:style w:type="paragraph" w:styleId="Jegyzetszveg">
    <w:name w:val="annotation text"/>
    <w:basedOn w:val="Norml"/>
    <w:link w:val="JegyzetszvegChar"/>
    <w:uiPriority w:val="99"/>
    <w:unhideWhenUsed/>
    <w:rsid w:val="00A53012"/>
    <w:pPr>
      <w:widowControl w:val="0"/>
      <w:autoSpaceDE w:val="0"/>
      <w:autoSpaceDN w:val="0"/>
      <w:spacing w:after="0" w:line="240" w:lineRule="auto"/>
    </w:pPr>
    <w:rPr>
      <w:rFonts w:ascii="Times New Roman" w:eastAsia="Times New Roman" w:hAnsi="Times New Roman" w:cs="Times New Roman"/>
      <w:noProof/>
      <w:kern w:val="0"/>
      <w:sz w:val="20"/>
      <w:szCs w:val="20"/>
      <w:lang w:val="hu-HU"/>
      <w14:ligatures w14:val="none"/>
    </w:rPr>
  </w:style>
  <w:style w:type="character" w:customStyle="1" w:styleId="JegyzetszvegChar">
    <w:name w:val="Jegyzetszöveg Char"/>
    <w:basedOn w:val="Bekezdsalapbettpusa"/>
    <w:link w:val="Jegyzetszveg"/>
    <w:uiPriority w:val="99"/>
    <w:rsid w:val="00A53012"/>
    <w:rPr>
      <w:rFonts w:ascii="Times New Roman" w:eastAsia="Times New Roman" w:hAnsi="Times New Roman" w:cs="Times New Roman"/>
      <w:noProof/>
      <w:kern w:val="0"/>
      <w:sz w:val="20"/>
      <w:szCs w:val="20"/>
      <w:lang w:val="hu-HU"/>
      <w14:ligatures w14:val="none"/>
    </w:rPr>
  </w:style>
  <w:style w:type="paragraph" w:styleId="Megjegyzstrgya">
    <w:name w:val="annotation subject"/>
    <w:basedOn w:val="Jegyzetszveg"/>
    <w:next w:val="Jegyzetszveg"/>
    <w:link w:val="MegjegyzstrgyaChar"/>
    <w:uiPriority w:val="99"/>
    <w:semiHidden/>
    <w:unhideWhenUsed/>
    <w:rsid w:val="00A53012"/>
    <w:rPr>
      <w:b/>
      <w:bCs/>
    </w:rPr>
  </w:style>
  <w:style w:type="character" w:customStyle="1" w:styleId="MegjegyzstrgyaChar">
    <w:name w:val="Megjegyzés tárgya Char"/>
    <w:basedOn w:val="JegyzetszvegChar"/>
    <w:link w:val="Megjegyzstrgya"/>
    <w:uiPriority w:val="99"/>
    <w:semiHidden/>
    <w:rsid w:val="00A53012"/>
    <w:rPr>
      <w:rFonts w:ascii="Times New Roman" w:eastAsia="Times New Roman" w:hAnsi="Times New Roman" w:cs="Times New Roman"/>
      <w:b/>
      <w:bCs/>
      <w:noProof/>
      <w:kern w:val="0"/>
      <w:sz w:val="20"/>
      <w:szCs w:val="20"/>
      <w:lang w:val="hu-HU"/>
      <w14:ligatures w14:val="none"/>
    </w:rPr>
  </w:style>
  <w:style w:type="character" w:customStyle="1" w:styleId="Hyperlink1">
    <w:name w:val="Hyperlink1"/>
    <w:basedOn w:val="Bekezdsalapbettpusa"/>
    <w:uiPriority w:val="99"/>
    <w:unhideWhenUsed/>
    <w:rsid w:val="00A53012"/>
    <w:rPr>
      <w:color w:val="0000FF"/>
      <w:u w:val="single"/>
    </w:rPr>
  </w:style>
  <w:style w:type="character" w:customStyle="1" w:styleId="UnresolvedMention">
    <w:name w:val="Unresolved Mention"/>
    <w:basedOn w:val="Bekezdsalapbettpusa"/>
    <w:uiPriority w:val="99"/>
    <w:semiHidden/>
    <w:unhideWhenUsed/>
    <w:rsid w:val="00A53012"/>
    <w:rPr>
      <w:color w:val="605E5C"/>
      <w:shd w:val="clear" w:color="auto" w:fill="E1DFDD"/>
    </w:rPr>
  </w:style>
  <w:style w:type="character" w:styleId="Hiperhivatkozs">
    <w:name w:val="Hyperlink"/>
    <w:basedOn w:val="Bekezdsalapbettpusa"/>
    <w:uiPriority w:val="99"/>
    <w:semiHidden/>
    <w:unhideWhenUsed/>
    <w:rsid w:val="00A53012"/>
    <w:rPr>
      <w:color w:val="467886" w:themeColor="hyperlink"/>
      <w:u w:val="single"/>
    </w:rPr>
  </w:style>
  <w:style w:type="paragraph" w:styleId="Buborkszveg">
    <w:name w:val="Balloon Text"/>
    <w:basedOn w:val="Norml"/>
    <w:link w:val="BuborkszvegChar"/>
    <w:uiPriority w:val="99"/>
    <w:semiHidden/>
    <w:unhideWhenUsed/>
    <w:rsid w:val="00BC7E56"/>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BC7E5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44970">
      <w:bodyDiv w:val="1"/>
      <w:marLeft w:val="0"/>
      <w:marRight w:val="0"/>
      <w:marTop w:val="0"/>
      <w:marBottom w:val="0"/>
      <w:divBdr>
        <w:top w:val="none" w:sz="0" w:space="0" w:color="auto"/>
        <w:left w:val="none" w:sz="0" w:space="0" w:color="auto"/>
        <w:bottom w:val="none" w:sz="0" w:space="0" w:color="auto"/>
        <w:right w:val="none" w:sz="0" w:space="0" w:color="auto"/>
      </w:divBdr>
    </w:div>
    <w:div w:id="48393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a.europa.eu/documents/template-form/qrd-appendix-v-adverse-drug-reaction-reporting-details_en.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61F04E-B118-4EF3-B64B-C6B9336C6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7253</Words>
  <Characters>50051</Characters>
  <Application>Microsoft Office Word</Application>
  <DocSecurity>0</DocSecurity>
  <Lines>417</Lines>
  <Paragraphs>114</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Viatris HU Affiliate</dc:creator>
  <cp:keywords/>
  <dc:description/>
  <cp:lastModifiedBy>HU_OGYI_50.1</cp:lastModifiedBy>
  <cp:revision>3</cp:revision>
  <dcterms:created xsi:type="dcterms:W3CDTF">2026-04-01T13:34:00Z</dcterms:created>
  <dcterms:modified xsi:type="dcterms:W3CDTF">2026-04-16T09:22:00Z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56ee2b5-6f31-444f-a952-51f9d8d772b6_Enabled">
    <vt:lpwstr>true</vt:lpwstr>
  </property>
  <property fmtid="{D5CDD505-2E9C-101B-9397-08002B2CF9AE}" pid="3" name="MSIP_Label_d56ee2b5-6f31-444f-a952-51f9d8d772b6_SetDate">
    <vt:lpwstr>2025-08-19T14:56:01Z</vt:lpwstr>
  </property>
  <property fmtid="{D5CDD505-2E9C-101B-9397-08002B2CF9AE}" pid="4" name="MSIP_Label_d56ee2b5-6f31-444f-a952-51f9d8d772b6_Method">
    <vt:lpwstr>Privileged</vt:lpwstr>
  </property>
  <property fmtid="{D5CDD505-2E9C-101B-9397-08002B2CF9AE}" pid="5" name="MSIP_Label_d56ee2b5-6f31-444f-a952-51f9d8d772b6_Name">
    <vt:lpwstr>Confidential</vt:lpwstr>
  </property>
  <property fmtid="{D5CDD505-2E9C-101B-9397-08002B2CF9AE}" pid="6" name="MSIP_Label_d56ee2b5-6f31-444f-a952-51f9d8d772b6_SiteId">
    <vt:lpwstr>b7dcea4e-d150-4ba1-8b2a-c8b27a75525c</vt:lpwstr>
  </property>
  <property fmtid="{D5CDD505-2E9C-101B-9397-08002B2CF9AE}" pid="7" name="MSIP_Label_d56ee2b5-6f31-444f-a952-51f9d8d772b6_ActionId">
    <vt:lpwstr>ec7e0b65-feed-4af3-a0c2-3512d1dd74b0</vt:lpwstr>
  </property>
  <property fmtid="{D5CDD505-2E9C-101B-9397-08002B2CF9AE}" pid="8" name="MSIP_Label_d56ee2b5-6f31-444f-a952-51f9d8d772b6_ContentBits">
    <vt:lpwstr>0</vt:lpwstr>
  </property>
</Properties>
</file>