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0032E" w14:textId="2F343AFC" w:rsidR="00FB6364" w:rsidRPr="00230AA5" w:rsidRDefault="001319A6" w:rsidP="0019750E">
      <w:pPr>
        <w:pStyle w:val="Cmsor2"/>
        <w:spacing w:before="0" w:line="240" w:lineRule="auto"/>
        <w:ind w:left="567" w:hanging="567"/>
        <w:rPr>
          <w:rFonts w:cs="Times New Roman"/>
        </w:rPr>
      </w:pPr>
      <w:r w:rsidRPr="00230AA5">
        <w:rPr>
          <w:rFonts w:cs="Times New Roman"/>
        </w:rPr>
        <w:t>1.</w:t>
      </w:r>
      <w:r w:rsidRPr="00230AA5">
        <w:rPr>
          <w:rFonts w:cs="Times New Roman"/>
        </w:rPr>
        <w:tab/>
        <w:t>A GYÓGYSZER NEVE</w:t>
      </w:r>
      <w:r w:rsidR="00A15089" w:rsidRPr="00230AA5">
        <w:rPr>
          <w:rFonts w:cs="Times New Roman"/>
        </w:rPr>
        <w:fldChar w:fldCharType="begin"/>
      </w:r>
      <w:r w:rsidR="00A15089" w:rsidRPr="00230AA5">
        <w:rPr>
          <w:rFonts w:cs="Times New Roman"/>
        </w:rPr>
        <w:instrText xml:space="preserve"> DOCVARIABLE VAULT_ND_86f59f44-0a21-44be-ae11-995fc9df7efc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40100A0" w14:textId="77777777" w:rsidR="00A10C68" w:rsidRDefault="00A10C68" w:rsidP="00230AA5">
      <w:pPr>
        <w:spacing w:after="0" w:line="240" w:lineRule="auto"/>
        <w:rPr>
          <w:rFonts w:ascii="Times New Roman" w:hAnsi="Times New Roman"/>
        </w:rPr>
      </w:pPr>
    </w:p>
    <w:p w14:paraId="49F6C9C9" w14:textId="1E0B5678"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25 mg szájban diszpergálódó film</w:t>
      </w:r>
    </w:p>
    <w:p w14:paraId="1BA80834" w14:textId="0C042A52"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50 mg szájban diszpergálódó film</w:t>
      </w:r>
    </w:p>
    <w:p w14:paraId="184F60C0" w14:textId="016760B9"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75 mg szájban diszpergálódó film</w:t>
      </w:r>
    </w:p>
    <w:p w14:paraId="383F5F85" w14:textId="059ADF3C" w:rsidR="00FB6364" w:rsidRPr="00230AA5" w:rsidRDefault="00B4541F" w:rsidP="00230AA5">
      <w:pPr>
        <w:spacing w:after="0" w:line="240" w:lineRule="auto"/>
        <w:rPr>
          <w:rFonts w:ascii="Times New Roman" w:hAnsi="Times New Roman"/>
        </w:rPr>
      </w:pPr>
      <w:r w:rsidRPr="00230AA5">
        <w:rPr>
          <w:rFonts w:ascii="Times New Roman" w:hAnsi="Times New Roman"/>
        </w:rPr>
        <w:t>Sildenafil ADOH</w:t>
      </w:r>
      <w:r w:rsidR="003A33EC" w:rsidRPr="00230AA5">
        <w:rPr>
          <w:rFonts w:ascii="Times New Roman" w:hAnsi="Times New Roman"/>
        </w:rPr>
        <w:t xml:space="preserve"> 100 mg szájban diszpergálódó film</w:t>
      </w:r>
    </w:p>
    <w:p w14:paraId="72404CE0" w14:textId="77777777" w:rsidR="00FB6364" w:rsidRDefault="00FB6364" w:rsidP="00230AA5">
      <w:pPr>
        <w:spacing w:after="0" w:line="240" w:lineRule="auto"/>
        <w:rPr>
          <w:rFonts w:ascii="Times New Roman" w:hAnsi="Times New Roman"/>
        </w:rPr>
      </w:pPr>
    </w:p>
    <w:p w14:paraId="0C787973" w14:textId="77777777" w:rsidR="00A10C68" w:rsidRPr="00230AA5" w:rsidRDefault="00A10C68" w:rsidP="00230AA5">
      <w:pPr>
        <w:spacing w:after="0" w:line="240" w:lineRule="auto"/>
        <w:rPr>
          <w:rFonts w:ascii="Times New Roman" w:hAnsi="Times New Roman"/>
        </w:rPr>
      </w:pPr>
    </w:p>
    <w:p w14:paraId="27D22C3B" w14:textId="621977BC" w:rsidR="00FB6364" w:rsidRPr="00230AA5" w:rsidRDefault="00FB6364" w:rsidP="0019750E">
      <w:pPr>
        <w:pStyle w:val="Cmsor2"/>
        <w:spacing w:before="0" w:line="240" w:lineRule="auto"/>
        <w:ind w:left="567" w:hanging="567"/>
        <w:rPr>
          <w:rFonts w:cs="Times New Roman"/>
        </w:rPr>
      </w:pPr>
      <w:r w:rsidRPr="00230AA5">
        <w:rPr>
          <w:rFonts w:cs="Times New Roman"/>
        </w:rPr>
        <w:t>2.</w:t>
      </w:r>
      <w:r w:rsidRPr="00230AA5">
        <w:rPr>
          <w:rFonts w:cs="Times New Roman"/>
        </w:rPr>
        <w:tab/>
        <w:t>MINŐSÉGI ÉS MENNYISÉGI ÖSSZETÉTEL</w:t>
      </w:r>
      <w:r w:rsidR="00A15089" w:rsidRPr="00230AA5">
        <w:rPr>
          <w:rFonts w:cs="Times New Roman"/>
        </w:rPr>
        <w:fldChar w:fldCharType="begin"/>
      </w:r>
      <w:r w:rsidR="00A15089" w:rsidRPr="00230AA5">
        <w:rPr>
          <w:rFonts w:cs="Times New Roman"/>
        </w:rPr>
        <w:instrText xml:space="preserve"> DOCVARIABLE VAULT_ND_80725d64-92c4-4434-adac-52270764cf6b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7E2CBF95" w14:textId="77777777" w:rsidR="00A10C68" w:rsidRDefault="00A10C68" w:rsidP="00230AA5">
      <w:pPr>
        <w:spacing w:after="0" w:line="240" w:lineRule="auto"/>
        <w:rPr>
          <w:rFonts w:ascii="Times New Roman" w:hAnsi="Times New Roman"/>
          <w:i/>
        </w:rPr>
      </w:pPr>
    </w:p>
    <w:p w14:paraId="44F79AD7" w14:textId="358659B8"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25 mg szájban diszpergálódó film</w:t>
      </w:r>
    </w:p>
    <w:p w14:paraId="69FC07EA" w14:textId="497C8661" w:rsidR="00FB6364" w:rsidRDefault="00EB3A4C" w:rsidP="00230AA5">
      <w:pPr>
        <w:spacing w:after="0" w:line="240" w:lineRule="auto"/>
        <w:rPr>
          <w:rFonts w:ascii="Times New Roman" w:hAnsi="Times New Roman"/>
        </w:rPr>
      </w:pPr>
      <w:r>
        <w:rPr>
          <w:rFonts w:ascii="Times New Roman" w:hAnsi="Times New Roman"/>
        </w:rPr>
        <w:t xml:space="preserve">25 mg szildenafilt tartalmaz </w:t>
      </w:r>
      <w:r w:rsidR="00913731">
        <w:rPr>
          <w:rFonts w:ascii="Times New Roman" w:hAnsi="Times New Roman"/>
        </w:rPr>
        <w:t>(</w:t>
      </w:r>
      <w:r w:rsidR="003A33EC" w:rsidRPr="00230AA5">
        <w:rPr>
          <w:rFonts w:ascii="Times New Roman" w:hAnsi="Times New Roman"/>
        </w:rPr>
        <w:t>35,1</w:t>
      </w:r>
      <w:r>
        <w:rPr>
          <w:rFonts w:ascii="Times New Roman" w:hAnsi="Times New Roman"/>
        </w:rPr>
        <w:t> </w:t>
      </w:r>
      <w:r w:rsidR="003A33EC"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sidR="003A33EC" w:rsidRPr="00230AA5">
        <w:rPr>
          <w:rFonts w:ascii="Times New Roman" w:hAnsi="Times New Roman"/>
        </w:rPr>
        <w:t xml:space="preserve"> szájban diszpergálódó filmenként.</w:t>
      </w:r>
    </w:p>
    <w:p w14:paraId="6AF186C5" w14:textId="77777777" w:rsidR="00EB3A4C" w:rsidRPr="00230AA5" w:rsidRDefault="00EB3A4C" w:rsidP="00230AA5">
      <w:pPr>
        <w:spacing w:after="0" w:line="240" w:lineRule="auto"/>
        <w:rPr>
          <w:rFonts w:ascii="Times New Roman" w:hAnsi="Times New Roman"/>
        </w:rPr>
      </w:pPr>
    </w:p>
    <w:p w14:paraId="04C885BC" w14:textId="054FEA72"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50 mg szájban diszpergálódó film</w:t>
      </w:r>
    </w:p>
    <w:p w14:paraId="097FC31E" w14:textId="1D697537" w:rsidR="00EB3A4C" w:rsidRDefault="00EB3A4C" w:rsidP="00EB3A4C">
      <w:pPr>
        <w:spacing w:after="0" w:line="240" w:lineRule="auto"/>
        <w:rPr>
          <w:rFonts w:ascii="Times New Roman" w:hAnsi="Times New Roman"/>
        </w:rPr>
      </w:pPr>
      <w:r>
        <w:rPr>
          <w:rFonts w:ascii="Times New Roman" w:hAnsi="Times New Roman"/>
        </w:rPr>
        <w:t xml:space="preserve">50 mg szildenafilt tartalmaz </w:t>
      </w:r>
      <w:r w:rsidR="00913731">
        <w:rPr>
          <w:rFonts w:ascii="Times New Roman" w:hAnsi="Times New Roman"/>
        </w:rPr>
        <w:t>(</w:t>
      </w:r>
      <w:r>
        <w:rPr>
          <w:rFonts w:ascii="Times New Roman" w:hAnsi="Times New Roman"/>
        </w:rPr>
        <w:t>70,2 </w:t>
      </w:r>
      <w:r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sidRPr="00230AA5">
        <w:rPr>
          <w:rFonts w:ascii="Times New Roman" w:hAnsi="Times New Roman"/>
        </w:rPr>
        <w:t xml:space="preserve"> szájban diszpergálódó filmenként.</w:t>
      </w:r>
    </w:p>
    <w:p w14:paraId="33A48EEA" w14:textId="64646DF6" w:rsidR="00EB3A4C" w:rsidRPr="00230AA5" w:rsidRDefault="00EB3A4C" w:rsidP="00230AA5">
      <w:pPr>
        <w:spacing w:after="0" w:line="240" w:lineRule="auto"/>
        <w:rPr>
          <w:rFonts w:ascii="Times New Roman" w:hAnsi="Times New Roman"/>
        </w:rPr>
      </w:pPr>
    </w:p>
    <w:p w14:paraId="1270FA14" w14:textId="229E9996"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75 mg szájban diszpergálódó film</w:t>
      </w:r>
    </w:p>
    <w:p w14:paraId="54C06952" w14:textId="028707E5" w:rsidR="00EB3A4C" w:rsidRDefault="00EB3A4C" w:rsidP="00EB3A4C">
      <w:pPr>
        <w:spacing w:after="0" w:line="240" w:lineRule="auto"/>
        <w:rPr>
          <w:rFonts w:ascii="Times New Roman" w:hAnsi="Times New Roman"/>
        </w:rPr>
      </w:pPr>
      <w:r>
        <w:rPr>
          <w:rFonts w:ascii="Times New Roman" w:hAnsi="Times New Roman"/>
        </w:rPr>
        <w:t xml:space="preserve">75 mg szildenafilt tartalmaz </w:t>
      </w:r>
      <w:r w:rsidR="00913731">
        <w:rPr>
          <w:rFonts w:ascii="Times New Roman" w:hAnsi="Times New Roman"/>
        </w:rPr>
        <w:t>(</w:t>
      </w:r>
      <w:r>
        <w:rPr>
          <w:rFonts w:ascii="Times New Roman" w:hAnsi="Times New Roman"/>
        </w:rPr>
        <w:t>105,3 </w:t>
      </w:r>
      <w:r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Pr>
          <w:rFonts w:ascii="Times New Roman" w:hAnsi="Times New Roman"/>
        </w:rPr>
        <w:t xml:space="preserve"> </w:t>
      </w:r>
      <w:r w:rsidRPr="00230AA5">
        <w:rPr>
          <w:rFonts w:ascii="Times New Roman" w:hAnsi="Times New Roman"/>
        </w:rPr>
        <w:t>szájban diszpergálódó filmenként.</w:t>
      </w:r>
    </w:p>
    <w:p w14:paraId="71A9B543" w14:textId="7BDB6DBA" w:rsidR="00EB3A4C" w:rsidRPr="00230AA5" w:rsidRDefault="00EB3A4C" w:rsidP="00230AA5">
      <w:pPr>
        <w:spacing w:after="0" w:line="240" w:lineRule="auto"/>
        <w:rPr>
          <w:rFonts w:ascii="Times New Roman" w:hAnsi="Times New Roman"/>
        </w:rPr>
      </w:pPr>
    </w:p>
    <w:p w14:paraId="2C392E16" w14:textId="215839C3" w:rsidR="00104965" w:rsidRPr="0019750E" w:rsidRDefault="00B4541F" w:rsidP="00230AA5">
      <w:pPr>
        <w:spacing w:after="0" w:line="240" w:lineRule="auto"/>
        <w:rPr>
          <w:rFonts w:ascii="Times New Roman" w:hAnsi="Times New Roman"/>
          <w:iCs/>
          <w:u w:val="single"/>
        </w:rPr>
      </w:pPr>
      <w:r w:rsidRPr="0019750E">
        <w:rPr>
          <w:rFonts w:ascii="Times New Roman" w:hAnsi="Times New Roman"/>
          <w:iCs/>
          <w:u w:val="single"/>
        </w:rPr>
        <w:t>Sildenafil ADOH</w:t>
      </w:r>
      <w:r w:rsidR="003A33EC" w:rsidRPr="0019750E">
        <w:rPr>
          <w:rFonts w:ascii="Times New Roman" w:hAnsi="Times New Roman"/>
          <w:iCs/>
          <w:u w:val="single"/>
        </w:rPr>
        <w:t xml:space="preserve"> 100 mg szájban diszpergálódó film</w:t>
      </w:r>
    </w:p>
    <w:p w14:paraId="05D7678C" w14:textId="19A78C4B" w:rsidR="00EB3A4C" w:rsidRDefault="00EB3A4C" w:rsidP="00EB3A4C">
      <w:pPr>
        <w:spacing w:after="0" w:line="240" w:lineRule="auto"/>
        <w:rPr>
          <w:rFonts w:ascii="Times New Roman" w:hAnsi="Times New Roman"/>
        </w:rPr>
      </w:pPr>
      <w:r>
        <w:rPr>
          <w:rFonts w:ascii="Times New Roman" w:hAnsi="Times New Roman"/>
        </w:rPr>
        <w:t xml:space="preserve">100 mg szildenafilt tartalmaz </w:t>
      </w:r>
      <w:r w:rsidR="00913731">
        <w:rPr>
          <w:rFonts w:ascii="Times New Roman" w:hAnsi="Times New Roman"/>
        </w:rPr>
        <w:t>(</w:t>
      </w:r>
      <w:r>
        <w:rPr>
          <w:rFonts w:ascii="Times New Roman" w:hAnsi="Times New Roman"/>
        </w:rPr>
        <w:t>140,4 </w:t>
      </w:r>
      <w:r w:rsidRPr="00230AA5">
        <w:rPr>
          <w:rFonts w:ascii="Times New Roman" w:hAnsi="Times New Roman"/>
        </w:rPr>
        <w:t>mg szildenafil-citrát</w:t>
      </w:r>
      <w:r>
        <w:rPr>
          <w:rFonts w:ascii="Times New Roman" w:hAnsi="Times New Roman"/>
        </w:rPr>
        <w:t xml:space="preserve"> formájában</w:t>
      </w:r>
      <w:r w:rsidR="00913731">
        <w:rPr>
          <w:rFonts w:ascii="Times New Roman" w:hAnsi="Times New Roman"/>
        </w:rPr>
        <w:t>)</w:t>
      </w:r>
      <w:r>
        <w:rPr>
          <w:rFonts w:ascii="Times New Roman" w:hAnsi="Times New Roman"/>
        </w:rPr>
        <w:t xml:space="preserve"> </w:t>
      </w:r>
      <w:r w:rsidRPr="00230AA5">
        <w:rPr>
          <w:rFonts w:ascii="Times New Roman" w:hAnsi="Times New Roman"/>
        </w:rPr>
        <w:t>szájban diszpergálódó filmenként.</w:t>
      </w:r>
    </w:p>
    <w:p w14:paraId="0519C9F0" w14:textId="4341A486" w:rsidR="00EB3A4C" w:rsidRPr="00230AA5" w:rsidRDefault="00EB3A4C" w:rsidP="00230AA5">
      <w:pPr>
        <w:spacing w:after="0" w:line="240" w:lineRule="auto"/>
        <w:rPr>
          <w:rFonts w:ascii="Times New Roman" w:hAnsi="Times New Roman"/>
        </w:rPr>
      </w:pPr>
    </w:p>
    <w:p w14:paraId="1612FB2F" w14:textId="7CB51B35" w:rsidR="007B77C7" w:rsidRPr="00230AA5" w:rsidRDefault="007B77C7" w:rsidP="00230AA5">
      <w:pPr>
        <w:spacing w:after="0" w:line="240" w:lineRule="auto"/>
        <w:rPr>
          <w:rFonts w:ascii="Times New Roman" w:hAnsi="Times New Roman"/>
        </w:rPr>
      </w:pPr>
      <w:r w:rsidRPr="0019750E">
        <w:rPr>
          <w:rFonts w:ascii="Times New Roman" w:hAnsi="Times New Roman"/>
          <w:u w:val="single"/>
        </w:rPr>
        <w:t>Ismert hatású segédanyagok</w:t>
      </w:r>
      <w:r w:rsidRPr="00230AA5">
        <w:rPr>
          <w:rFonts w:ascii="Times New Roman" w:hAnsi="Times New Roman"/>
        </w:rPr>
        <w:t xml:space="preserve">: </w:t>
      </w:r>
      <w:r w:rsidR="00EB3A4C">
        <w:rPr>
          <w:rFonts w:ascii="Times New Roman" w:hAnsi="Times New Roman"/>
        </w:rPr>
        <w:t>b</w:t>
      </w:r>
      <w:r w:rsidRPr="00230AA5">
        <w:rPr>
          <w:rFonts w:ascii="Times New Roman" w:hAnsi="Times New Roman"/>
        </w:rPr>
        <w:t>util</w:t>
      </w:r>
      <w:r w:rsidR="00EB3A4C">
        <w:rPr>
          <w:rFonts w:ascii="Times New Roman" w:hAnsi="Times New Roman"/>
        </w:rPr>
        <w:t>hidroxi</w:t>
      </w:r>
      <w:r w:rsidRPr="00230AA5">
        <w:rPr>
          <w:rFonts w:ascii="Times New Roman" w:hAnsi="Times New Roman"/>
        </w:rPr>
        <w:t>anizol (E320) és maltodextrin (amely glükózt tartalmaz).</w:t>
      </w:r>
    </w:p>
    <w:p w14:paraId="6586992B" w14:textId="77777777" w:rsidR="00EB3A4C" w:rsidRDefault="00EB3A4C" w:rsidP="00230AA5">
      <w:pPr>
        <w:spacing w:after="0" w:line="240" w:lineRule="auto"/>
        <w:rPr>
          <w:rFonts w:ascii="Times New Roman" w:hAnsi="Times New Roman"/>
        </w:rPr>
      </w:pPr>
    </w:p>
    <w:p w14:paraId="713B02E7" w14:textId="1F5D9E17" w:rsidR="00FB6364" w:rsidRPr="00230AA5" w:rsidRDefault="00FB6364" w:rsidP="00230AA5">
      <w:pPr>
        <w:spacing w:after="0" w:line="240" w:lineRule="auto"/>
        <w:rPr>
          <w:rFonts w:ascii="Times New Roman" w:hAnsi="Times New Roman"/>
        </w:rPr>
      </w:pPr>
      <w:r w:rsidRPr="00230AA5">
        <w:rPr>
          <w:rFonts w:ascii="Times New Roman" w:hAnsi="Times New Roman"/>
        </w:rPr>
        <w:t>A segédanyagok teljes listáját lásd a 6.1 pontban.</w:t>
      </w:r>
    </w:p>
    <w:p w14:paraId="7FEB4708" w14:textId="77777777" w:rsidR="00FB6364" w:rsidRDefault="00FB6364" w:rsidP="00230AA5">
      <w:pPr>
        <w:spacing w:after="0" w:line="240" w:lineRule="auto"/>
        <w:rPr>
          <w:rFonts w:ascii="Times New Roman" w:hAnsi="Times New Roman"/>
        </w:rPr>
      </w:pPr>
    </w:p>
    <w:p w14:paraId="374853AA" w14:textId="77777777" w:rsidR="00A10C68" w:rsidRPr="0019750E" w:rsidRDefault="00A10C68" w:rsidP="00230AA5">
      <w:pPr>
        <w:spacing w:after="0" w:line="240" w:lineRule="auto"/>
        <w:rPr>
          <w:rFonts w:ascii="Times New Roman" w:hAnsi="Times New Roman"/>
        </w:rPr>
      </w:pPr>
    </w:p>
    <w:p w14:paraId="00110C80" w14:textId="2C9F99EA" w:rsidR="00FB6364" w:rsidRPr="00230AA5" w:rsidRDefault="00FB6364" w:rsidP="0019750E">
      <w:pPr>
        <w:pStyle w:val="Cmsor2"/>
        <w:spacing w:before="0" w:line="240" w:lineRule="auto"/>
        <w:ind w:left="567" w:hanging="567"/>
        <w:rPr>
          <w:rFonts w:cs="Times New Roman"/>
        </w:rPr>
      </w:pPr>
      <w:r w:rsidRPr="00230AA5">
        <w:rPr>
          <w:rFonts w:cs="Times New Roman"/>
        </w:rPr>
        <w:t>3.</w:t>
      </w:r>
      <w:r w:rsidRPr="00230AA5">
        <w:rPr>
          <w:rFonts w:cs="Times New Roman"/>
        </w:rPr>
        <w:tab/>
        <w:t>GYÓGYSZERFORMA</w:t>
      </w:r>
      <w:r w:rsidR="00A15089" w:rsidRPr="00230AA5">
        <w:rPr>
          <w:rFonts w:cs="Times New Roman"/>
        </w:rPr>
        <w:fldChar w:fldCharType="begin"/>
      </w:r>
      <w:r w:rsidR="00A15089" w:rsidRPr="00230AA5">
        <w:rPr>
          <w:rFonts w:cs="Times New Roman"/>
        </w:rPr>
        <w:instrText xml:space="preserve"> DOCVARIABLE VAULT_ND_818f3868-e6ca-4200-9734-86cfbeff81e4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4C68DC5" w14:textId="77777777" w:rsidR="00A10C68" w:rsidRDefault="00A10C68" w:rsidP="00230AA5">
      <w:pPr>
        <w:spacing w:after="0" w:line="240" w:lineRule="auto"/>
        <w:rPr>
          <w:rFonts w:ascii="Times New Roman" w:hAnsi="Times New Roman"/>
        </w:rPr>
      </w:pPr>
    </w:p>
    <w:p w14:paraId="29193117" w14:textId="234B2491" w:rsidR="00FB6364" w:rsidRDefault="00FB6364" w:rsidP="00230AA5">
      <w:pPr>
        <w:spacing w:after="0" w:line="240" w:lineRule="auto"/>
        <w:rPr>
          <w:rFonts w:ascii="Times New Roman" w:hAnsi="Times New Roman"/>
        </w:rPr>
      </w:pPr>
      <w:r w:rsidRPr="00230AA5">
        <w:rPr>
          <w:rFonts w:ascii="Times New Roman" w:hAnsi="Times New Roman"/>
        </w:rPr>
        <w:t>Szájban diszpergálódó film.</w:t>
      </w:r>
    </w:p>
    <w:p w14:paraId="54B1E735" w14:textId="77777777" w:rsidR="00EB3A4C" w:rsidRPr="00230AA5" w:rsidRDefault="00EB3A4C" w:rsidP="00230AA5">
      <w:pPr>
        <w:spacing w:after="0" w:line="240" w:lineRule="auto"/>
        <w:rPr>
          <w:rFonts w:ascii="Times New Roman" w:hAnsi="Times New Roman"/>
        </w:rPr>
      </w:pPr>
    </w:p>
    <w:p w14:paraId="375F4939" w14:textId="4AE1AA47"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25 mg szájban diszpergálódó film</w:t>
      </w:r>
    </w:p>
    <w:p w14:paraId="467D07BD" w14:textId="2B0E79F9" w:rsidR="00FB6364" w:rsidRDefault="00EB3A4C" w:rsidP="00230AA5">
      <w:pPr>
        <w:spacing w:after="0" w:line="240" w:lineRule="auto"/>
        <w:rPr>
          <w:rFonts w:ascii="Times New Roman" w:hAnsi="Times New Roman"/>
        </w:rPr>
      </w:pPr>
      <w:r>
        <w:rPr>
          <w:rFonts w:ascii="Times New Roman" w:hAnsi="Times New Roman"/>
        </w:rPr>
        <w:t>T</w:t>
      </w:r>
      <w:r w:rsidR="003A33EC" w:rsidRPr="00230AA5">
        <w:rPr>
          <w:rFonts w:ascii="Times New Roman" w:hAnsi="Times New Roman"/>
        </w:rPr>
        <w:t>églalap alakú, rugalmas, átlátszatlan, világoskék film</w:t>
      </w:r>
      <w:r w:rsidR="0046268E">
        <w:rPr>
          <w:rFonts w:ascii="Times New Roman" w:hAnsi="Times New Roman"/>
        </w:rPr>
        <w:t xml:space="preserve">csík (mérete: </w:t>
      </w:r>
      <w:r w:rsidR="003A33EC" w:rsidRPr="00230AA5">
        <w:rPr>
          <w:rFonts w:ascii="Times New Roman" w:hAnsi="Times New Roman"/>
        </w:rPr>
        <w:t>30 mm × 15 mm).</w:t>
      </w:r>
    </w:p>
    <w:p w14:paraId="38690528" w14:textId="77777777" w:rsidR="00EB3A4C" w:rsidRPr="00230AA5" w:rsidRDefault="00EB3A4C" w:rsidP="00230AA5">
      <w:pPr>
        <w:spacing w:after="0" w:line="240" w:lineRule="auto"/>
        <w:rPr>
          <w:rFonts w:ascii="Times New Roman" w:hAnsi="Times New Roman"/>
        </w:rPr>
      </w:pPr>
    </w:p>
    <w:p w14:paraId="5395B1D5" w14:textId="656A13C1"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50 mg szájban diszpergálódó film</w:t>
      </w:r>
    </w:p>
    <w:p w14:paraId="459EB09B" w14:textId="4E9A8862" w:rsidR="00FB6364" w:rsidRDefault="00EB3A4C" w:rsidP="00230AA5">
      <w:pPr>
        <w:spacing w:after="0" w:line="240" w:lineRule="auto"/>
        <w:rPr>
          <w:rFonts w:ascii="Times New Roman" w:hAnsi="Times New Roman"/>
        </w:rPr>
      </w:pPr>
      <w:r>
        <w:rPr>
          <w:rFonts w:ascii="Times New Roman" w:hAnsi="Times New Roman"/>
        </w:rPr>
        <w:t>N</w:t>
      </w:r>
      <w:r w:rsidR="003A33EC" w:rsidRPr="00230AA5">
        <w:rPr>
          <w:rFonts w:ascii="Times New Roman" w:hAnsi="Times New Roman"/>
        </w:rPr>
        <w:t>égyzet alakú, rugalmas, átlátszatlan, világoskék film</w:t>
      </w:r>
      <w:r w:rsidR="0046268E">
        <w:rPr>
          <w:rFonts w:ascii="Times New Roman" w:hAnsi="Times New Roman"/>
        </w:rPr>
        <w:t xml:space="preserve">csík (mérete: </w:t>
      </w:r>
      <w:r w:rsidR="003A33EC" w:rsidRPr="00230AA5">
        <w:rPr>
          <w:rFonts w:ascii="Times New Roman" w:hAnsi="Times New Roman"/>
        </w:rPr>
        <w:t>30 mm × 30 mm).</w:t>
      </w:r>
    </w:p>
    <w:p w14:paraId="685A96C4" w14:textId="77777777" w:rsidR="00EB3A4C" w:rsidRPr="00230AA5" w:rsidRDefault="00EB3A4C" w:rsidP="00230AA5">
      <w:pPr>
        <w:spacing w:after="0" w:line="240" w:lineRule="auto"/>
        <w:rPr>
          <w:rFonts w:ascii="Times New Roman" w:hAnsi="Times New Roman"/>
        </w:rPr>
      </w:pPr>
    </w:p>
    <w:p w14:paraId="0490221B" w14:textId="196EF8DC"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75 mg szájban diszpergálódó film</w:t>
      </w:r>
    </w:p>
    <w:p w14:paraId="73EA0711" w14:textId="33BA7EC6" w:rsidR="00FB6364" w:rsidRPr="00230AA5" w:rsidRDefault="00EB3A4C" w:rsidP="00230AA5">
      <w:pPr>
        <w:spacing w:after="0" w:line="240" w:lineRule="auto"/>
        <w:rPr>
          <w:rFonts w:ascii="Times New Roman" w:hAnsi="Times New Roman"/>
        </w:rPr>
      </w:pPr>
      <w:r>
        <w:rPr>
          <w:rFonts w:ascii="Times New Roman" w:hAnsi="Times New Roman"/>
        </w:rPr>
        <w:t>T</w:t>
      </w:r>
      <w:r w:rsidR="003A33EC" w:rsidRPr="00230AA5">
        <w:rPr>
          <w:rFonts w:ascii="Times New Roman" w:hAnsi="Times New Roman"/>
        </w:rPr>
        <w:t>églalap alakú, rugalmas, átlátszatlan, világoskék film</w:t>
      </w:r>
      <w:r w:rsidR="0046268E">
        <w:rPr>
          <w:rFonts w:ascii="Times New Roman" w:hAnsi="Times New Roman"/>
        </w:rPr>
        <w:t xml:space="preserve">csík (mérete: </w:t>
      </w:r>
      <w:r w:rsidR="003A33EC" w:rsidRPr="00230AA5">
        <w:rPr>
          <w:rFonts w:ascii="Times New Roman" w:hAnsi="Times New Roman"/>
        </w:rPr>
        <w:t>30 mm × 45 mm).</w:t>
      </w:r>
    </w:p>
    <w:p w14:paraId="36849DE7" w14:textId="77777777" w:rsidR="00EB3A4C" w:rsidRDefault="00EB3A4C" w:rsidP="00230AA5">
      <w:pPr>
        <w:spacing w:after="0" w:line="240" w:lineRule="auto"/>
        <w:rPr>
          <w:rFonts w:ascii="Times New Roman" w:hAnsi="Times New Roman"/>
        </w:rPr>
      </w:pPr>
    </w:p>
    <w:p w14:paraId="4115E416" w14:textId="149E3EE2" w:rsidR="00EB3A4C" w:rsidRPr="0019750E" w:rsidRDefault="00B4541F" w:rsidP="00230AA5">
      <w:pPr>
        <w:spacing w:after="0" w:line="240" w:lineRule="auto"/>
        <w:rPr>
          <w:rFonts w:ascii="Times New Roman" w:hAnsi="Times New Roman"/>
          <w:u w:val="single"/>
        </w:rPr>
      </w:pPr>
      <w:r w:rsidRPr="0019750E">
        <w:rPr>
          <w:rFonts w:ascii="Times New Roman" w:hAnsi="Times New Roman"/>
          <w:u w:val="single"/>
        </w:rPr>
        <w:t>Sildenafil ADOH</w:t>
      </w:r>
      <w:r w:rsidR="003A33EC" w:rsidRPr="0019750E">
        <w:rPr>
          <w:rFonts w:ascii="Times New Roman" w:hAnsi="Times New Roman"/>
          <w:u w:val="single"/>
        </w:rPr>
        <w:t xml:space="preserve"> 100 mg szájban diszpergálódó film</w:t>
      </w:r>
    </w:p>
    <w:p w14:paraId="741E126E" w14:textId="2DBA565B" w:rsidR="00FB6364" w:rsidRPr="00230AA5" w:rsidRDefault="00EB3A4C" w:rsidP="00230AA5">
      <w:pPr>
        <w:spacing w:after="0" w:line="240" w:lineRule="auto"/>
        <w:rPr>
          <w:rFonts w:ascii="Times New Roman" w:hAnsi="Times New Roman"/>
        </w:rPr>
      </w:pPr>
      <w:r>
        <w:rPr>
          <w:rFonts w:ascii="Times New Roman" w:hAnsi="Times New Roman"/>
        </w:rPr>
        <w:t>T</w:t>
      </w:r>
      <w:r w:rsidR="003A33EC" w:rsidRPr="00230AA5">
        <w:rPr>
          <w:rFonts w:ascii="Times New Roman" w:hAnsi="Times New Roman"/>
        </w:rPr>
        <w:t>églalap alakú, rugalmas, átlátszatlan, világoskék film</w:t>
      </w:r>
      <w:r w:rsidR="0046268E">
        <w:rPr>
          <w:rFonts w:ascii="Times New Roman" w:hAnsi="Times New Roman"/>
        </w:rPr>
        <w:t xml:space="preserve">csík (mérete: </w:t>
      </w:r>
      <w:r w:rsidR="003A33EC" w:rsidRPr="00230AA5">
        <w:rPr>
          <w:rFonts w:ascii="Times New Roman" w:hAnsi="Times New Roman"/>
        </w:rPr>
        <w:t>40 mm × 45 mm).</w:t>
      </w:r>
    </w:p>
    <w:p w14:paraId="40B5FE85" w14:textId="77777777" w:rsidR="00355F50" w:rsidRDefault="00355F50" w:rsidP="00230AA5">
      <w:pPr>
        <w:spacing w:after="0" w:line="240" w:lineRule="auto"/>
        <w:rPr>
          <w:rFonts w:ascii="Times New Roman" w:hAnsi="Times New Roman"/>
        </w:rPr>
      </w:pPr>
    </w:p>
    <w:p w14:paraId="4C15D6DB" w14:textId="77777777" w:rsidR="00A10C68" w:rsidRPr="00230AA5" w:rsidRDefault="00A10C68" w:rsidP="00230AA5">
      <w:pPr>
        <w:spacing w:after="0" w:line="240" w:lineRule="auto"/>
        <w:rPr>
          <w:rFonts w:ascii="Times New Roman" w:hAnsi="Times New Roman"/>
        </w:rPr>
      </w:pPr>
    </w:p>
    <w:p w14:paraId="20F21833" w14:textId="1CE03625" w:rsidR="00355F50" w:rsidRPr="00230AA5" w:rsidRDefault="00355F50" w:rsidP="0019750E">
      <w:pPr>
        <w:pStyle w:val="Cmsor2"/>
        <w:spacing w:before="0" w:line="240" w:lineRule="auto"/>
        <w:ind w:left="567" w:hanging="567"/>
        <w:rPr>
          <w:rFonts w:cs="Times New Roman"/>
        </w:rPr>
      </w:pPr>
      <w:r w:rsidRPr="00230AA5">
        <w:rPr>
          <w:rFonts w:cs="Times New Roman"/>
        </w:rPr>
        <w:t>4.</w:t>
      </w:r>
      <w:r w:rsidRPr="00230AA5">
        <w:rPr>
          <w:rFonts w:cs="Times New Roman"/>
        </w:rPr>
        <w:tab/>
        <w:t>KLINIKAI JELLEMZŐK</w:t>
      </w:r>
      <w:r w:rsidR="00A15089" w:rsidRPr="00230AA5">
        <w:rPr>
          <w:rFonts w:cs="Times New Roman"/>
        </w:rPr>
        <w:fldChar w:fldCharType="begin"/>
      </w:r>
      <w:r w:rsidR="00A15089" w:rsidRPr="00230AA5">
        <w:rPr>
          <w:rFonts w:cs="Times New Roman"/>
        </w:rPr>
        <w:instrText xml:space="preserve"> DOCVARIABLE VAULT_ND_0e9b9636-1bd1-4de2-88f3-9d588a362406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22B09FA" w14:textId="77777777" w:rsidR="00A10C68" w:rsidRDefault="00A10C68" w:rsidP="00C66FDC">
      <w:pPr>
        <w:pStyle w:val="Cmsor3"/>
        <w:spacing w:before="0" w:line="240" w:lineRule="auto"/>
        <w:ind w:left="567" w:hanging="567"/>
        <w:rPr>
          <w:rFonts w:cs="Times New Roman"/>
        </w:rPr>
      </w:pPr>
    </w:p>
    <w:p w14:paraId="029714E1" w14:textId="464E3A9A" w:rsidR="00355F50" w:rsidRPr="00230AA5" w:rsidRDefault="00355F50" w:rsidP="0019750E">
      <w:pPr>
        <w:pStyle w:val="Cmsor3"/>
        <w:spacing w:before="0" w:line="240" w:lineRule="auto"/>
        <w:ind w:left="567" w:hanging="567"/>
        <w:rPr>
          <w:rFonts w:cs="Times New Roman"/>
        </w:rPr>
      </w:pPr>
      <w:r w:rsidRPr="00230AA5">
        <w:rPr>
          <w:rFonts w:cs="Times New Roman"/>
        </w:rPr>
        <w:t>4.1</w:t>
      </w:r>
      <w:r w:rsidRPr="00230AA5">
        <w:rPr>
          <w:rFonts w:cs="Times New Roman"/>
        </w:rPr>
        <w:tab/>
        <w:t>Terápiás javallatok</w:t>
      </w:r>
      <w:r w:rsidR="00A15089" w:rsidRPr="00230AA5">
        <w:rPr>
          <w:rFonts w:cs="Times New Roman"/>
        </w:rPr>
        <w:fldChar w:fldCharType="begin"/>
      </w:r>
      <w:r w:rsidR="00A15089" w:rsidRPr="00230AA5">
        <w:rPr>
          <w:rFonts w:cs="Times New Roman"/>
        </w:rPr>
        <w:instrText xml:space="preserve"> DOCVARIABLE vault_nd_508c6bc0-d8f1-4bd4-bd75-6ae33eafe502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74C4BFF" w14:textId="77777777" w:rsidR="00A10C68" w:rsidRDefault="00A10C68" w:rsidP="00230AA5">
      <w:pPr>
        <w:spacing w:after="0" w:line="240" w:lineRule="auto"/>
        <w:rPr>
          <w:rFonts w:ascii="Times New Roman" w:hAnsi="Times New Roman"/>
        </w:rPr>
      </w:pPr>
    </w:p>
    <w:p w14:paraId="79089FA0" w14:textId="02BFE8A2"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felnőtt férfiak számára javallott erectilis dysfunctio kezelésére, amely a kielégítő szexuális teljesítéshez szükséges penis erectio elérésének, illetve fenntartásának képtelensége.</w:t>
      </w:r>
    </w:p>
    <w:p w14:paraId="154A7E66" w14:textId="77777777" w:rsidR="0046268E" w:rsidRPr="00230AA5" w:rsidRDefault="0046268E" w:rsidP="00230AA5">
      <w:pPr>
        <w:spacing w:after="0" w:line="240" w:lineRule="auto"/>
        <w:rPr>
          <w:rFonts w:ascii="Times New Roman" w:hAnsi="Times New Roman"/>
        </w:rPr>
      </w:pPr>
    </w:p>
    <w:p w14:paraId="5AE0BD8E" w14:textId="1525E14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hatásának eléréséhez szexuális ingerlés szükséges.</w:t>
      </w:r>
    </w:p>
    <w:p w14:paraId="7AD4C7E0" w14:textId="77777777" w:rsidR="00355F50" w:rsidRPr="00230AA5" w:rsidRDefault="00355F50" w:rsidP="00230AA5">
      <w:pPr>
        <w:spacing w:after="0" w:line="240" w:lineRule="auto"/>
        <w:rPr>
          <w:rFonts w:ascii="Times New Roman" w:hAnsi="Times New Roman"/>
        </w:rPr>
      </w:pPr>
    </w:p>
    <w:p w14:paraId="5004CDAA" w14:textId="0F6774E7" w:rsidR="00355F50" w:rsidRPr="00230AA5" w:rsidRDefault="00355F50" w:rsidP="0019750E">
      <w:pPr>
        <w:pStyle w:val="Cmsor3"/>
        <w:spacing w:before="0" w:line="240" w:lineRule="auto"/>
        <w:ind w:left="567" w:hanging="567"/>
        <w:rPr>
          <w:rFonts w:cs="Times New Roman"/>
        </w:rPr>
      </w:pPr>
      <w:r w:rsidRPr="00230AA5">
        <w:rPr>
          <w:rFonts w:cs="Times New Roman"/>
        </w:rPr>
        <w:lastRenderedPageBreak/>
        <w:t>4.2</w:t>
      </w:r>
      <w:r w:rsidRPr="00230AA5">
        <w:rPr>
          <w:rFonts w:cs="Times New Roman"/>
        </w:rPr>
        <w:tab/>
        <w:t>Adagolás és alkalmazás</w:t>
      </w:r>
      <w:r w:rsidR="00A15089" w:rsidRPr="00230AA5">
        <w:rPr>
          <w:rFonts w:cs="Times New Roman"/>
        </w:rPr>
        <w:fldChar w:fldCharType="begin"/>
      </w:r>
      <w:r w:rsidR="00A15089" w:rsidRPr="00230AA5">
        <w:rPr>
          <w:rFonts w:cs="Times New Roman"/>
        </w:rPr>
        <w:instrText xml:space="preserve"> DOCVARIABLE vault_nd_0e8e5322-ae43-4aee-8eae-442ea6617c54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D31FEF2" w14:textId="77777777" w:rsidR="00A10C68" w:rsidRDefault="00A10C68" w:rsidP="00230AA5">
      <w:pPr>
        <w:spacing w:after="0" w:line="240" w:lineRule="auto"/>
        <w:rPr>
          <w:rFonts w:ascii="Times New Roman" w:hAnsi="Times New Roman"/>
          <w:u w:val="single"/>
        </w:rPr>
      </w:pPr>
    </w:p>
    <w:p w14:paraId="6352E52C" w14:textId="05594829"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Adagolás</w:t>
      </w:r>
    </w:p>
    <w:p w14:paraId="755440CD" w14:textId="77777777" w:rsidR="008B6FA3" w:rsidRDefault="008B6FA3" w:rsidP="00230AA5">
      <w:pPr>
        <w:spacing w:after="0" w:line="240" w:lineRule="auto"/>
        <w:rPr>
          <w:rFonts w:ascii="Times New Roman" w:hAnsi="Times New Roman"/>
          <w:i/>
        </w:rPr>
      </w:pPr>
    </w:p>
    <w:p w14:paraId="7E2EB0D5" w14:textId="19F8B569" w:rsidR="005D0FE7" w:rsidRPr="00230AA5" w:rsidRDefault="00355F50" w:rsidP="00230AA5">
      <w:pPr>
        <w:spacing w:after="0" w:line="240" w:lineRule="auto"/>
        <w:rPr>
          <w:rFonts w:ascii="Times New Roman" w:hAnsi="Times New Roman"/>
        </w:rPr>
      </w:pPr>
      <w:r w:rsidRPr="00230AA5">
        <w:rPr>
          <w:rFonts w:ascii="Times New Roman" w:hAnsi="Times New Roman"/>
          <w:i/>
        </w:rPr>
        <w:t>Alkalmazás felnőtteknél</w:t>
      </w:r>
      <w:r w:rsidRPr="00230AA5">
        <w:rPr>
          <w:rFonts w:ascii="Times New Roman" w:hAnsi="Times New Roman"/>
        </w:rPr>
        <w:t xml:space="preserve"> </w:t>
      </w:r>
    </w:p>
    <w:p w14:paraId="6042D223" w14:textId="65CD44CA" w:rsidR="00355F50" w:rsidRDefault="005D0FE7"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-t szükség esetén, hozzávetőleg 1 órával a szexuális tevékenység előtt kell bevenni. A javasolt dózis 50 mg éhgyomorra, mert ha étkezés közben veszik be, késhet a szájban diszpergálódó film felszívódása, és a hatás megjelenése (lásd 5.2 pont). </w:t>
      </w:r>
    </w:p>
    <w:p w14:paraId="181DBFE3" w14:textId="77777777" w:rsidR="008B6FA3" w:rsidRPr="00230AA5" w:rsidRDefault="008B6FA3" w:rsidP="00230AA5">
      <w:pPr>
        <w:spacing w:after="0" w:line="240" w:lineRule="auto"/>
        <w:rPr>
          <w:rFonts w:ascii="Times New Roman" w:hAnsi="Times New Roman"/>
        </w:rPr>
      </w:pPr>
    </w:p>
    <w:p w14:paraId="7E84852B" w14:textId="0ED4E3DC"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 hatásosságtól és a készítmény tolerálhatóságától függően a dózis 100 mg-ra növelhető vagy 25 mg-ra csökkenthető. A maximális javasolt dózis 100 mg. A készítmény naponta legfeljebb egyszer alkalmazható. </w:t>
      </w:r>
    </w:p>
    <w:p w14:paraId="3CF5B782" w14:textId="77777777" w:rsidR="006B1DA9" w:rsidRPr="00230AA5" w:rsidRDefault="006B1DA9" w:rsidP="00230AA5">
      <w:pPr>
        <w:spacing w:after="0" w:line="240" w:lineRule="auto"/>
        <w:rPr>
          <w:rFonts w:ascii="Times New Roman" w:hAnsi="Times New Roman"/>
        </w:rPr>
      </w:pPr>
    </w:p>
    <w:p w14:paraId="398DDDDA"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Különleges betegcsoportok</w:t>
      </w:r>
    </w:p>
    <w:p w14:paraId="14EEBA56" w14:textId="77777777" w:rsidR="00E91279" w:rsidRDefault="00E91279" w:rsidP="00230AA5">
      <w:pPr>
        <w:spacing w:after="0" w:line="240" w:lineRule="auto"/>
        <w:rPr>
          <w:rFonts w:ascii="Times New Roman" w:hAnsi="Times New Roman"/>
          <w:i/>
        </w:rPr>
      </w:pPr>
    </w:p>
    <w:p w14:paraId="1284D60E" w14:textId="23C34304" w:rsidR="00355F50" w:rsidRPr="00230AA5" w:rsidRDefault="00355F50" w:rsidP="00230AA5">
      <w:pPr>
        <w:spacing w:after="0" w:line="240" w:lineRule="auto"/>
        <w:rPr>
          <w:rFonts w:ascii="Times New Roman" w:hAnsi="Times New Roman"/>
          <w:i/>
          <w:iCs/>
        </w:rPr>
      </w:pPr>
      <w:r w:rsidRPr="00230AA5">
        <w:rPr>
          <w:rFonts w:ascii="Times New Roman" w:hAnsi="Times New Roman"/>
          <w:i/>
        </w:rPr>
        <w:t>Idősek</w:t>
      </w:r>
    </w:p>
    <w:p w14:paraId="0D14931B" w14:textId="08E6A2A6" w:rsidR="00355F50" w:rsidRDefault="00355F50" w:rsidP="00230AA5">
      <w:pPr>
        <w:spacing w:after="0" w:line="240" w:lineRule="auto"/>
        <w:rPr>
          <w:rFonts w:ascii="Times New Roman" w:hAnsi="Times New Roman"/>
        </w:rPr>
      </w:pPr>
      <w:r w:rsidRPr="00230AA5">
        <w:rPr>
          <w:rFonts w:ascii="Times New Roman" w:hAnsi="Times New Roman"/>
        </w:rPr>
        <w:t>Időseknél (≥ 65 év) nem szükséges a dózis módosítása.</w:t>
      </w:r>
    </w:p>
    <w:p w14:paraId="2F11E776" w14:textId="77777777" w:rsidR="00E91279" w:rsidRPr="00230AA5" w:rsidRDefault="00E91279" w:rsidP="00230AA5">
      <w:pPr>
        <w:spacing w:after="0" w:line="240" w:lineRule="auto"/>
        <w:rPr>
          <w:rFonts w:ascii="Times New Roman" w:hAnsi="Times New Roman"/>
        </w:rPr>
      </w:pPr>
    </w:p>
    <w:p w14:paraId="695C393D" w14:textId="77777777" w:rsidR="00355F50" w:rsidRPr="00230AA5" w:rsidRDefault="00104965" w:rsidP="00230AA5">
      <w:pPr>
        <w:spacing w:after="0" w:line="240" w:lineRule="auto"/>
        <w:rPr>
          <w:rFonts w:ascii="Times New Roman" w:hAnsi="Times New Roman"/>
          <w:i/>
          <w:iCs/>
        </w:rPr>
      </w:pPr>
      <w:r w:rsidRPr="00230AA5">
        <w:rPr>
          <w:rFonts w:ascii="Times New Roman" w:hAnsi="Times New Roman"/>
          <w:i/>
        </w:rPr>
        <w:t>Vesekárosodás</w:t>
      </w:r>
    </w:p>
    <w:p w14:paraId="120CCF7A" w14:textId="77777777" w:rsidR="00355F50" w:rsidRDefault="00355F50" w:rsidP="00230AA5">
      <w:pPr>
        <w:spacing w:after="0" w:line="240" w:lineRule="auto"/>
        <w:rPr>
          <w:rFonts w:ascii="Times New Roman" w:hAnsi="Times New Roman"/>
        </w:rPr>
      </w:pPr>
      <w:r w:rsidRPr="00230AA5">
        <w:rPr>
          <w:rFonts w:ascii="Times New Roman" w:hAnsi="Times New Roman"/>
        </w:rPr>
        <w:t>Enyhe és közepesen súlyos vesekárosodás esetén (kreatinin-clearance = 30-80 ml/perc) a készítményt az “Alkalmazás felnőtteknél” részben leírtak szerint kell adagolni.</w:t>
      </w:r>
    </w:p>
    <w:p w14:paraId="044A9B35" w14:textId="77777777" w:rsidR="00E91279" w:rsidRPr="00230AA5" w:rsidRDefault="00E91279" w:rsidP="00230AA5">
      <w:pPr>
        <w:spacing w:after="0" w:line="240" w:lineRule="auto"/>
        <w:rPr>
          <w:rFonts w:ascii="Times New Roman" w:hAnsi="Times New Roman"/>
        </w:rPr>
      </w:pPr>
    </w:p>
    <w:p w14:paraId="10802788" w14:textId="608FBB92" w:rsidR="00355F50" w:rsidRDefault="00355F50" w:rsidP="00230AA5">
      <w:pPr>
        <w:spacing w:after="0" w:line="240" w:lineRule="auto"/>
        <w:rPr>
          <w:rFonts w:ascii="Times New Roman" w:hAnsi="Times New Roman"/>
        </w:rPr>
      </w:pPr>
      <w:r w:rsidRPr="00230AA5">
        <w:rPr>
          <w:rFonts w:ascii="Times New Roman" w:hAnsi="Times New Roman"/>
        </w:rPr>
        <w:t>Súlyos vesekárosodás esetén (kreatinin-clearance &lt; 30 ml/perc) a szildenafil-clearance csökken, ezért ilyen esetben megfontolandó a 25 mg-os dózis alkalmazása. A hatásosság és a tolerálhatóság függvényében a dózis lépcsőzetesen emelhető 50 mg-ra, 75 mg-ra vagy szükség esetén legfeljebb 100</w:t>
      </w:r>
      <w:r w:rsidR="00E91279">
        <w:rPr>
          <w:rFonts w:ascii="Times New Roman" w:hAnsi="Times New Roman"/>
        </w:rPr>
        <w:t> </w:t>
      </w:r>
      <w:r w:rsidRPr="00230AA5">
        <w:rPr>
          <w:rFonts w:ascii="Times New Roman" w:hAnsi="Times New Roman"/>
        </w:rPr>
        <w:t>mg-ra.</w:t>
      </w:r>
    </w:p>
    <w:p w14:paraId="05EFDED5" w14:textId="77777777" w:rsidR="00E91279" w:rsidRPr="00230AA5" w:rsidRDefault="00E91279" w:rsidP="00230AA5">
      <w:pPr>
        <w:spacing w:after="0" w:line="240" w:lineRule="auto"/>
        <w:rPr>
          <w:rFonts w:ascii="Times New Roman" w:hAnsi="Times New Roman"/>
        </w:rPr>
      </w:pPr>
    </w:p>
    <w:p w14:paraId="1F794654" w14:textId="77777777" w:rsidR="00355F50" w:rsidRPr="00230AA5" w:rsidRDefault="00104965" w:rsidP="00230AA5">
      <w:pPr>
        <w:spacing w:after="0" w:line="240" w:lineRule="auto"/>
        <w:rPr>
          <w:rFonts w:ascii="Times New Roman" w:hAnsi="Times New Roman"/>
          <w:i/>
          <w:iCs/>
        </w:rPr>
      </w:pPr>
      <w:r w:rsidRPr="00230AA5">
        <w:rPr>
          <w:rFonts w:ascii="Times New Roman" w:hAnsi="Times New Roman"/>
          <w:i/>
        </w:rPr>
        <w:t>Májkárosodás</w:t>
      </w:r>
    </w:p>
    <w:p w14:paraId="0A8BC7A8" w14:textId="77777777" w:rsidR="00355F50" w:rsidRDefault="00355F50" w:rsidP="00230AA5">
      <w:pPr>
        <w:spacing w:after="0" w:line="240" w:lineRule="auto"/>
        <w:rPr>
          <w:rFonts w:ascii="Times New Roman" w:hAnsi="Times New Roman"/>
        </w:rPr>
      </w:pPr>
      <w:r w:rsidRPr="00230AA5">
        <w:rPr>
          <w:rFonts w:ascii="Times New Roman" w:hAnsi="Times New Roman"/>
        </w:rPr>
        <w:t>Májkárosodás esetén (például cirrhosis) a szildenafil-clearance csökken, ezért ebben az esetben megfontolandó a 25 mg-os dózis alkalmazása. A hatásosság és a tolerálhatóság függvényében a dózis lépcsőzetesen emelhető 50 mg-ra, 75 mg-ra vagy szükség esetén legfeljebb 100 mg-ra.</w:t>
      </w:r>
    </w:p>
    <w:p w14:paraId="3BB49CB4" w14:textId="77777777" w:rsidR="00E91279" w:rsidRPr="00230AA5" w:rsidRDefault="00E91279" w:rsidP="00230AA5">
      <w:pPr>
        <w:spacing w:after="0" w:line="240" w:lineRule="auto"/>
        <w:rPr>
          <w:rFonts w:ascii="Times New Roman" w:hAnsi="Times New Roman"/>
        </w:rPr>
      </w:pPr>
    </w:p>
    <w:p w14:paraId="2F7721EB"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Gyermekek és serdülők</w:t>
      </w:r>
    </w:p>
    <w:p w14:paraId="085CFC75" w14:textId="38D6CDD5"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alkalmazása 18 éves kor alatt nem javallt.</w:t>
      </w:r>
    </w:p>
    <w:p w14:paraId="6A653772" w14:textId="77777777" w:rsidR="00E91279" w:rsidRPr="00230AA5" w:rsidRDefault="00E91279" w:rsidP="00230AA5">
      <w:pPr>
        <w:spacing w:after="0" w:line="240" w:lineRule="auto"/>
        <w:rPr>
          <w:rFonts w:ascii="Times New Roman" w:hAnsi="Times New Roman"/>
        </w:rPr>
      </w:pPr>
    </w:p>
    <w:p w14:paraId="724DBDF0" w14:textId="77777777" w:rsidR="00355F50" w:rsidRPr="00230AA5" w:rsidRDefault="00355F50" w:rsidP="00230AA5">
      <w:pPr>
        <w:keepNext/>
        <w:spacing w:after="0" w:line="240" w:lineRule="auto"/>
        <w:rPr>
          <w:rFonts w:ascii="Times New Roman" w:hAnsi="Times New Roman"/>
          <w:i/>
          <w:iCs/>
        </w:rPr>
      </w:pPr>
      <w:r w:rsidRPr="00230AA5">
        <w:rPr>
          <w:rFonts w:ascii="Times New Roman" w:hAnsi="Times New Roman"/>
          <w:i/>
        </w:rPr>
        <w:t>Alkalmazása más gyógyszereket szedő betegeknél</w:t>
      </w:r>
    </w:p>
    <w:p w14:paraId="2B7C8B30" w14:textId="77777777" w:rsidR="00355F50" w:rsidRDefault="00355F50" w:rsidP="00230AA5">
      <w:pPr>
        <w:spacing w:after="0" w:line="240" w:lineRule="auto"/>
        <w:rPr>
          <w:rFonts w:ascii="Times New Roman" w:hAnsi="Times New Roman"/>
        </w:rPr>
      </w:pPr>
      <w:r w:rsidRPr="00230AA5">
        <w:rPr>
          <w:rFonts w:ascii="Times New Roman" w:hAnsi="Times New Roman"/>
        </w:rPr>
        <w:t>A ritonavirt kivéve, melynek együttadása a szildenafillal nem javasolt (lásd 4.4 pont), szildenafil és egyidejűleg CYP3A4-gátlószer-kezelésben részesülő betegek részére megfontolandó a 25 mg-os kezdő dózis adása (lásd 4.5 pont).</w:t>
      </w:r>
    </w:p>
    <w:p w14:paraId="0C7DA078" w14:textId="77777777" w:rsidR="00E91279" w:rsidRPr="00230AA5" w:rsidRDefault="00E91279" w:rsidP="00230AA5">
      <w:pPr>
        <w:spacing w:after="0" w:line="240" w:lineRule="auto"/>
        <w:rPr>
          <w:rFonts w:ascii="Times New Roman" w:hAnsi="Times New Roman"/>
        </w:rPr>
      </w:pPr>
    </w:p>
    <w:p w14:paraId="4EE34747" w14:textId="77777777" w:rsidR="00E91279" w:rsidRPr="00E91279" w:rsidRDefault="00E91279" w:rsidP="00E91279">
      <w:pPr>
        <w:spacing w:after="0" w:line="240" w:lineRule="auto"/>
        <w:rPr>
          <w:rFonts w:ascii="Times New Roman" w:hAnsi="Times New Roman"/>
          <w:iCs/>
        </w:rPr>
      </w:pPr>
      <w:r w:rsidRPr="00E91279">
        <w:rPr>
          <w:rFonts w:ascii="Times New Roman" w:hAnsi="Times New Roman"/>
          <w:iCs/>
        </w:rPr>
        <w:t xml:space="preserve">Alfa-blokkolót szedő betegeknél az orthostaticus hypotensio kockázatának </w:t>
      </w:r>
      <w:r w:rsidRPr="00E91279">
        <w:rPr>
          <w:rFonts w:ascii="Times New Roman" w:hAnsi="Times New Roman"/>
          <w:bCs/>
        </w:rPr>
        <w:t>minimálisra</w:t>
      </w:r>
      <w:r w:rsidRPr="00E91279">
        <w:rPr>
          <w:rFonts w:ascii="Times New Roman" w:hAnsi="Times New Roman"/>
          <w:iCs/>
        </w:rPr>
        <w:t xml:space="preserve"> csökkentése érdekében a szildenafil-terápia megkezdése előtt az alfa-blokkoló terápia stabil be</w:t>
      </w:r>
      <w:r w:rsidRPr="00E91279">
        <w:rPr>
          <w:rFonts w:ascii="Times New Roman" w:hAnsi="Times New Roman"/>
          <w:bCs/>
        </w:rPr>
        <w:t>állítása szükséges</w:t>
      </w:r>
      <w:r w:rsidRPr="00E91279">
        <w:rPr>
          <w:rFonts w:ascii="Times New Roman" w:hAnsi="Times New Roman"/>
          <w:iCs/>
        </w:rPr>
        <w:t>. Ezenkívül megfontolandó a szildenafil 25 mg</w:t>
      </w:r>
      <w:r w:rsidRPr="00E91279">
        <w:rPr>
          <w:rFonts w:ascii="Times New Roman" w:hAnsi="Times New Roman"/>
          <w:iCs/>
        </w:rPr>
        <w:noBreakHyphen/>
        <w:t>os kezdő dózisának adása (lásd 4.4 és 4.5 pont).</w:t>
      </w:r>
    </w:p>
    <w:p w14:paraId="33DD4055" w14:textId="77777777" w:rsidR="00355F50" w:rsidRPr="00230AA5" w:rsidRDefault="00355F50" w:rsidP="00230AA5">
      <w:pPr>
        <w:spacing w:after="0" w:line="240" w:lineRule="auto"/>
        <w:rPr>
          <w:rFonts w:ascii="Times New Roman" w:hAnsi="Times New Roman"/>
        </w:rPr>
      </w:pPr>
    </w:p>
    <w:p w14:paraId="49F9D42C"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Az alkalmazás módja</w:t>
      </w:r>
    </w:p>
    <w:p w14:paraId="104D66EA" w14:textId="744063EA" w:rsidR="00EA7091"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szájban diszpergálódó filmet szájon át és víz nélkül kell bevenni. </w:t>
      </w:r>
      <w:r w:rsidR="00EB7AD4">
        <w:rPr>
          <w:rFonts w:ascii="Times New Roman" w:hAnsi="Times New Roman"/>
        </w:rPr>
        <w:t xml:space="preserve">Szükség esetén </w:t>
      </w: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vízzel is bevehető.</w:t>
      </w:r>
    </w:p>
    <w:p w14:paraId="470B7742" w14:textId="77777777" w:rsidR="00E91279" w:rsidRPr="00230AA5" w:rsidRDefault="00E91279" w:rsidP="00230AA5">
      <w:pPr>
        <w:spacing w:after="0" w:line="240" w:lineRule="auto"/>
        <w:rPr>
          <w:rFonts w:ascii="Times New Roman" w:hAnsi="Times New Roman"/>
        </w:rPr>
      </w:pPr>
    </w:p>
    <w:p w14:paraId="0471EB10" w14:textId="1A6EDF5D" w:rsidR="009819C9" w:rsidRDefault="009819C9" w:rsidP="00230AA5">
      <w:pPr>
        <w:spacing w:after="0" w:line="240" w:lineRule="auto"/>
        <w:rPr>
          <w:rFonts w:ascii="Times New Roman" w:hAnsi="Times New Roman"/>
        </w:rPr>
      </w:pPr>
      <w:r w:rsidRPr="00230AA5">
        <w:rPr>
          <w:rFonts w:ascii="Times New Roman" w:hAnsi="Times New Roman"/>
        </w:rPr>
        <w:t>A szájban diszpergálódó filmet a szájba, a nyelvre kell helyezni, meg kell várni, amíg feloldódik, majd le kell nyelni. A filmet a tasakból való kivétel után azonnal be kell venni.</w:t>
      </w:r>
    </w:p>
    <w:p w14:paraId="3D45295A" w14:textId="77777777" w:rsidR="00E91279" w:rsidRPr="00230AA5" w:rsidRDefault="00E91279" w:rsidP="00230AA5">
      <w:pPr>
        <w:spacing w:after="0" w:line="240" w:lineRule="auto"/>
        <w:rPr>
          <w:rFonts w:ascii="Times New Roman" w:hAnsi="Times New Roman"/>
        </w:rPr>
      </w:pPr>
    </w:p>
    <w:p w14:paraId="2153864D" w14:textId="77777777" w:rsidR="003D6F2E" w:rsidRPr="00230AA5" w:rsidRDefault="003D6F2E" w:rsidP="00230AA5">
      <w:pPr>
        <w:spacing w:after="0" w:line="240" w:lineRule="auto"/>
        <w:rPr>
          <w:rFonts w:ascii="Times New Roman" w:hAnsi="Times New Roman"/>
        </w:rPr>
      </w:pPr>
      <w:r w:rsidRPr="00230AA5">
        <w:rPr>
          <w:rFonts w:ascii="Times New Roman" w:hAnsi="Times New Roman"/>
        </w:rPr>
        <w:t>Ha a szájban diszpergálódó filmet magas zsírtartalmú étkezés során veszik be, várhatóan jelentősen késik a felszívódása az éhgyomorra bevett gyógyszer felszívódásához képest (lásd 5.2 pont). Javasolt a szájban diszpergálódó filmet éhgyomorra bevenni.</w:t>
      </w:r>
    </w:p>
    <w:p w14:paraId="1C540860" w14:textId="77777777" w:rsidR="00355F50" w:rsidRPr="00230AA5" w:rsidRDefault="00355F50" w:rsidP="00230AA5">
      <w:pPr>
        <w:spacing w:after="0" w:line="240" w:lineRule="auto"/>
        <w:rPr>
          <w:rFonts w:ascii="Times New Roman" w:hAnsi="Times New Roman"/>
        </w:rPr>
      </w:pPr>
    </w:p>
    <w:p w14:paraId="5ED1FA87" w14:textId="08CB575D" w:rsidR="00355F50" w:rsidRPr="00230AA5" w:rsidRDefault="00355F50" w:rsidP="0019750E">
      <w:pPr>
        <w:pStyle w:val="Cmsor3"/>
        <w:spacing w:before="0" w:line="240" w:lineRule="auto"/>
        <w:ind w:left="567" w:hanging="567"/>
        <w:rPr>
          <w:rFonts w:cs="Times New Roman"/>
        </w:rPr>
      </w:pPr>
      <w:r w:rsidRPr="00230AA5">
        <w:rPr>
          <w:rFonts w:cs="Times New Roman"/>
        </w:rPr>
        <w:t>4.3</w:t>
      </w:r>
      <w:r w:rsidRPr="00230AA5">
        <w:rPr>
          <w:rFonts w:cs="Times New Roman"/>
        </w:rPr>
        <w:tab/>
        <w:t>Ellenjavallatok</w:t>
      </w:r>
      <w:r w:rsidR="00A15089" w:rsidRPr="00230AA5">
        <w:rPr>
          <w:rFonts w:cs="Times New Roman"/>
        </w:rPr>
        <w:fldChar w:fldCharType="begin"/>
      </w:r>
      <w:r w:rsidR="00A15089" w:rsidRPr="00230AA5">
        <w:rPr>
          <w:rFonts w:cs="Times New Roman"/>
        </w:rPr>
        <w:instrText xml:space="preserve"> DOCVARIABLE vault_nd_d5871155-cb4e-4dd3-b9b2-3b994e03d18f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C8F2EAE" w14:textId="77777777" w:rsidR="00A10C68" w:rsidRDefault="00A10C68" w:rsidP="00230AA5">
      <w:pPr>
        <w:spacing w:after="0" w:line="240" w:lineRule="auto"/>
        <w:rPr>
          <w:rFonts w:ascii="Times New Roman" w:hAnsi="Times New Roman"/>
        </w:rPr>
      </w:pPr>
    </w:p>
    <w:p w14:paraId="3884FAF7" w14:textId="6F474782" w:rsidR="00355F50" w:rsidRDefault="00355F50" w:rsidP="00230AA5">
      <w:pPr>
        <w:spacing w:after="0" w:line="240" w:lineRule="auto"/>
        <w:rPr>
          <w:rFonts w:ascii="Times New Roman" w:hAnsi="Times New Roman"/>
        </w:rPr>
      </w:pPr>
      <w:r w:rsidRPr="00230AA5">
        <w:rPr>
          <w:rFonts w:ascii="Times New Roman" w:hAnsi="Times New Roman"/>
        </w:rPr>
        <w:lastRenderedPageBreak/>
        <w:t>A készítmény hatóanyagával vagy a 6.1 pontban felsorolt bármely segédanyagával szembeni túlérzékenység.</w:t>
      </w:r>
    </w:p>
    <w:p w14:paraId="4BC0CFD3" w14:textId="77777777" w:rsidR="00EB7AD4" w:rsidRPr="00230AA5" w:rsidRDefault="00EB7AD4" w:rsidP="00230AA5">
      <w:pPr>
        <w:spacing w:after="0" w:line="240" w:lineRule="auto"/>
        <w:rPr>
          <w:rFonts w:ascii="Times New Roman" w:hAnsi="Times New Roman"/>
        </w:rPr>
      </w:pPr>
    </w:p>
    <w:p w14:paraId="609C9B1D" w14:textId="77777777" w:rsidR="00355F50" w:rsidRDefault="00355F50" w:rsidP="00230AA5">
      <w:pPr>
        <w:spacing w:after="0" w:line="240" w:lineRule="auto"/>
        <w:rPr>
          <w:rFonts w:ascii="Times New Roman" w:hAnsi="Times New Roman"/>
        </w:rPr>
      </w:pPr>
      <w:r w:rsidRPr="00230AA5">
        <w:rPr>
          <w:rFonts w:ascii="Times New Roman" w:hAnsi="Times New Roman"/>
        </w:rPr>
        <w:t>A nitrogén-monoxid/ciklikus guanozin-monofoszfát (cGMP) jelátvitelre kifejtett ismert hatásainak következtében (lásd 5.1 pont) a szildenafil fokozza a nitrátok vérnyomáscsökkentő hatását, ezért együttadása nitrogén-monoxid-képző vegyületek (például amil-nitrit) vagy nitrátkészítmények minden gyógyszerformájával ellenjavallt.</w:t>
      </w:r>
    </w:p>
    <w:p w14:paraId="47ED644E" w14:textId="77777777" w:rsidR="00EB7AD4" w:rsidRPr="00230AA5" w:rsidRDefault="00EB7AD4" w:rsidP="00230AA5">
      <w:pPr>
        <w:spacing w:after="0" w:line="240" w:lineRule="auto"/>
        <w:rPr>
          <w:rFonts w:ascii="Times New Roman" w:hAnsi="Times New Roman"/>
        </w:rPr>
      </w:pPr>
    </w:p>
    <w:p w14:paraId="72F78904" w14:textId="77777777" w:rsidR="009819C9" w:rsidRPr="00230AA5" w:rsidRDefault="009819C9" w:rsidP="00230AA5">
      <w:pPr>
        <w:spacing w:after="0" w:line="240" w:lineRule="auto"/>
        <w:rPr>
          <w:rFonts w:ascii="Times New Roman" w:hAnsi="Times New Roman"/>
        </w:rPr>
      </w:pPr>
      <w:r w:rsidRPr="00230AA5">
        <w:rPr>
          <w:rFonts w:ascii="Times New Roman" w:hAnsi="Times New Roman"/>
        </w:rPr>
        <w:t>PDE5-gátlók (beleértve a szildenafilt is) együttes alkalmazása guanilát-cikláz stimulátorokkal (mint a riociguát) ellenjavallt, mivel ez potenciálisan symptomatikus hypotensióhoz vezethet (lásd 4.5 pont).</w:t>
      </w:r>
    </w:p>
    <w:p w14:paraId="1D50445C" w14:textId="77777777" w:rsidR="00355F50" w:rsidRDefault="00355F50" w:rsidP="00230AA5">
      <w:pPr>
        <w:spacing w:after="0" w:line="240" w:lineRule="auto"/>
        <w:rPr>
          <w:rFonts w:ascii="Times New Roman" w:hAnsi="Times New Roman"/>
        </w:rPr>
      </w:pPr>
      <w:r w:rsidRPr="00230AA5">
        <w:rPr>
          <w:rFonts w:ascii="Times New Roman" w:hAnsi="Times New Roman"/>
        </w:rPr>
        <w:t>Nem adható erectilis dysfunctio kezelésére szolgáló gyógyszer – beleértve a szildenafilt is – azoknak a férfiaknak, akiknek a szexuális aktivitás nem ajánlatos (például súlyos cardiovascularis betegségben szenvedők, mint például instabil angina vagy súlyos szívelégtelenség).</w:t>
      </w:r>
    </w:p>
    <w:p w14:paraId="3051CB51" w14:textId="77777777" w:rsidR="00EB7AD4" w:rsidRPr="00230AA5" w:rsidRDefault="00EB7AD4" w:rsidP="00230AA5">
      <w:pPr>
        <w:spacing w:after="0" w:line="240" w:lineRule="auto"/>
        <w:rPr>
          <w:rFonts w:ascii="Times New Roman" w:hAnsi="Times New Roman"/>
        </w:rPr>
      </w:pPr>
    </w:p>
    <w:p w14:paraId="2B5B3219" w14:textId="7B977755"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ellenjavallt azon betegeknek, akiknek a féloldali látásvesztését nem arteritiszes elülső ischaemiás optikus neuropátia (NAION) okozta, függetlenül attól, hogy ez az esemény összefüggésben volt-e PDE5-gátló korábbi szedésével vagy sem (lásd 4.4 pont).</w:t>
      </w:r>
    </w:p>
    <w:p w14:paraId="3E97CEEA" w14:textId="77777777" w:rsidR="00EB7AD4" w:rsidRPr="00230AA5" w:rsidRDefault="00EB7AD4" w:rsidP="00230AA5">
      <w:pPr>
        <w:spacing w:after="0" w:line="240" w:lineRule="auto"/>
        <w:rPr>
          <w:rFonts w:ascii="Times New Roman" w:hAnsi="Times New Roman"/>
        </w:rPr>
      </w:pPr>
    </w:p>
    <w:p w14:paraId="649DB728"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rPr>
        <w:t xml:space="preserve">A következő betegcsoportokban a szildenafil-kezelés biztonságosságát nem vizsgálták, ezért az alkalmazása ellenjavallt a következő alcsoportokban: súlyos májkárosodás, alacsony vérnyomás (&lt;90/50 Hgmm), a közelmúltban lezajlott stroke vagy myocardialis infarctus és a retina ismert örökletes degeneratív betegségei, mint például a </w:t>
      </w:r>
      <w:r w:rsidRPr="00230AA5">
        <w:rPr>
          <w:rFonts w:ascii="Times New Roman" w:hAnsi="Times New Roman"/>
          <w:i/>
          <w:iCs/>
        </w:rPr>
        <w:t>retinitis pigmentosa</w:t>
      </w:r>
      <w:r w:rsidRPr="00230AA5">
        <w:rPr>
          <w:rFonts w:ascii="Times New Roman" w:hAnsi="Times New Roman"/>
        </w:rPr>
        <w:t xml:space="preserve"> (ezen betegek kisebb részében a retinalis foszfodiészteráz örökletes elváltozása áll fenn)</w:t>
      </w:r>
      <w:r w:rsidRPr="00230AA5">
        <w:rPr>
          <w:rFonts w:ascii="Times New Roman" w:hAnsi="Times New Roman"/>
          <w:i/>
        </w:rPr>
        <w:t>.</w:t>
      </w:r>
    </w:p>
    <w:p w14:paraId="11885DB7" w14:textId="77777777" w:rsidR="00421040" w:rsidRPr="00230AA5" w:rsidRDefault="00421040" w:rsidP="00230AA5">
      <w:pPr>
        <w:spacing w:after="0" w:line="240" w:lineRule="auto"/>
        <w:rPr>
          <w:rFonts w:ascii="Times New Roman" w:hAnsi="Times New Roman"/>
        </w:rPr>
      </w:pPr>
    </w:p>
    <w:p w14:paraId="377FE356" w14:textId="583A1D9D" w:rsidR="00355F50" w:rsidRPr="00230AA5" w:rsidRDefault="00355F50" w:rsidP="0019750E">
      <w:pPr>
        <w:pStyle w:val="Cmsor3"/>
        <w:spacing w:before="0" w:line="240" w:lineRule="auto"/>
        <w:ind w:left="567" w:hanging="567"/>
        <w:rPr>
          <w:rFonts w:cs="Times New Roman"/>
        </w:rPr>
      </w:pPr>
      <w:r w:rsidRPr="00230AA5">
        <w:rPr>
          <w:rFonts w:cs="Times New Roman"/>
        </w:rPr>
        <w:t>4.4</w:t>
      </w:r>
      <w:r w:rsidRPr="00230AA5">
        <w:rPr>
          <w:rFonts w:cs="Times New Roman"/>
        </w:rPr>
        <w:tab/>
        <w:t>Különleges figyelmeztetések és az alkalmazással kapcsolatos óvintézkedések</w:t>
      </w:r>
      <w:r w:rsidR="00A15089" w:rsidRPr="00230AA5">
        <w:rPr>
          <w:rFonts w:cs="Times New Roman"/>
        </w:rPr>
        <w:fldChar w:fldCharType="begin"/>
      </w:r>
      <w:r w:rsidR="00A15089" w:rsidRPr="00230AA5">
        <w:rPr>
          <w:rFonts w:cs="Times New Roman"/>
        </w:rPr>
        <w:instrText xml:space="preserve"> DOCVARIABLE vault_nd_33a598a9-e954-40cf-b02e-4ff0adb870cb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671F6A75" w14:textId="77777777" w:rsidR="00A10C68" w:rsidRDefault="00A10C68" w:rsidP="00230AA5">
      <w:pPr>
        <w:spacing w:after="0" w:line="240" w:lineRule="auto"/>
        <w:rPr>
          <w:rFonts w:ascii="Times New Roman" w:hAnsi="Times New Roman"/>
        </w:rPr>
      </w:pPr>
    </w:p>
    <w:p w14:paraId="40413A60" w14:textId="439931FC" w:rsidR="00355F50" w:rsidRDefault="00355F50" w:rsidP="00230AA5">
      <w:pPr>
        <w:spacing w:after="0" w:line="240" w:lineRule="auto"/>
        <w:rPr>
          <w:rFonts w:ascii="Times New Roman" w:hAnsi="Times New Roman"/>
        </w:rPr>
      </w:pPr>
      <w:r w:rsidRPr="00230AA5">
        <w:rPr>
          <w:rFonts w:ascii="Times New Roman" w:hAnsi="Times New Roman"/>
        </w:rPr>
        <w:t>A gyógyszeres kezelés javallata előtt az erectilis dysfunctio diagnosztizálása és lehetséges kiváltó okainak feltárása céljából részletes kórelőzményt kell felvenni és fizikális vizsgálatot kell végezni.</w:t>
      </w:r>
    </w:p>
    <w:p w14:paraId="0A177D66" w14:textId="77777777" w:rsidR="003D1635" w:rsidRPr="00230AA5" w:rsidRDefault="003D1635" w:rsidP="00230AA5">
      <w:pPr>
        <w:spacing w:after="0" w:line="240" w:lineRule="auto"/>
        <w:rPr>
          <w:rFonts w:ascii="Times New Roman" w:hAnsi="Times New Roman"/>
        </w:rPr>
      </w:pPr>
    </w:p>
    <w:p w14:paraId="2169507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Cardiovascularis kockázati tényezők</w:t>
      </w:r>
    </w:p>
    <w:p w14:paraId="603FB12D" w14:textId="77777777" w:rsidR="00355F50" w:rsidRDefault="00355F50" w:rsidP="00230AA5">
      <w:pPr>
        <w:spacing w:after="0" w:line="240" w:lineRule="auto"/>
        <w:rPr>
          <w:rFonts w:ascii="Times New Roman" w:hAnsi="Times New Roman"/>
        </w:rPr>
      </w:pPr>
      <w:r w:rsidRPr="00230AA5">
        <w:rPr>
          <w:rFonts w:ascii="Times New Roman" w:hAnsi="Times New Roman"/>
        </w:rPr>
        <w:t>Az erectilis dysfunctio bármilyen jellegű kezelésének megkezdése előtt szükséges a beteg cardiovascularis állapotának felmérése, mivel a nemi aktivitás bizonyos fokú cardiovascularis kockázattal jár. A szildenafil értágító hatású, ami enyhe és átmeneti vérnyomáscsökkenést idéz elő (lásd 5.1 pont). Az orvosnak a szildenafil felírása előtt alaposan meg kell fontolnia, hogy egyes alapbetegségek esetén ez az értágító hatás hátrányosan érintheti-e a betegeket, főleg ha egyidejűleg szexuális aktivitást is kifejtenek. A vasodilatátorokkal szemben fokozott érzékenységet mutató betegek közé tartoznak azok, akik bal kamrai kiáramlási obstrukcióban (például aorta stenosis, hypertrophiás obstructiv cardiomyopathia), vagy a multisystemás atrophiás szindróma ritka eseteiben szenvednek, ami a vérnyomás vegetatív szabályozásának súlyos elégtelenségében nyilvánul meg.</w:t>
      </w:r>
    </w:p>
    <w:p w14:paraId="0024205D" w14:textId="77777777" w:rsidR="003D1635" w:rsidRPr="00230AA5" w:rsidRDefault="003D1635" w:rsidP="00230AA5">
      <w:pPr>
        <w:spacing w:after="0" w:line="240" w:lineRule="auto"/>
        <w:rPr>
          <w:rFonts w:ascii="Times New Roman" w:hAnsi="Times New Roman"/>
        </w:rPr>
      </w:pPr>
    </w:p>
    <w:p w14:paraId="067CF90C" w14:textId="691A0800"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fokozza a nitrátok vérnyomáscsökkentő hatását (lásd 4.3 pont).</w:t>
      </w:r>
    </w:p>
    <w:p w14:paraId="70B827BC" w14:textId="77777777" w:rsidR="003D1635" w:rsidRPr="00230AA5" w:rsidRDefault="003D1635" w:rsidP="00230AA5">
      <w:pPr>
        <w:spacing w:after="0" w:line="240" w:lineRule="auto"/>
        <w:rPr>
          <w:rFonts w:ascii="Times New Roman" w:hAnsi="Times New Roman"/>
        </w:rPr>
      </w:pPr>
    </w:p>
    <w:p w14:paraId="37D9E119" w14:textId="14B609B7" w:rsidR="003D1635" w:rsidRDefault="00355F50" w:rsidP="00230AA5">
      <w:pPr>
        <w:spacing w:after="0" w:line="240" w:lineRule="auto"/>
        <w:rPr>
          <w:rFonts w:ascii="Times New Roman" w:hAnsi="Times New Roman"/>
        </w:rPr>
      </w:pPr>
      <w:r w:rsidRPr="00230AA5">
        <w:rPr>
          <w:rFonts w:ascii="Times New Roman" w:hAnsi="Times New Roman"/>
        </w:rPr>
        <w:t>Súlyos cardiovascularis eseményeket, beleértve a myocardialis infarctust, instabil anginát, hirtelen szívhalált, ventricularis arrhythmiát, cerebrovascularis vérzést, transiens ischaemiás attackot, hypertensiót és hypotensiót jelentettek szildenafil bevételével időbeni összefüggésben, a forgalomba hozatal óta eltelt időszakban.</w:t>
      </w:r>
    </w:p>
    <w:p w14:paraId="08550AD3" w14:textId="77777777" w:rsidR="003D1635" w:rsidRPr="00230AA5" w:rsidRDefault="003D1635" w:rsidP="00230AA5">
      <w:pPr>
        <w:spacing w:after="0" w:line="240" w:lineRule="auto"/>
        <w:rPr>
          <w:rFonts w:ascii="Times New Roman" w:hAnsi="Times New Roman"/>
        </w:rPr>
      </w:pPr>
    </w:p>
    <w:p w14:paraId="38CC8C96" w14:textId="0CF49096" w:rsidR="00355F50" w:rsidRDefault="00355F50" w:rsidP="00230AA5">
      <w:pPr>
        <w:spacing w:after="0" w:line="240" w:lineRule="auto"/>
        <w:rPr>
          <w:rFonts w:ascii="Times New Roman" w:hAnsi="Times New Roman"/>
        </w:rPr>
      </w:pPr>
      <w:r w:rsidRPr="00230AA5">
        <w:rPr>
          <w:rFonts w:ascii="Times New Roman" w:hAnsi="Times New Roman"/>
        </w:rPr>
        <w:t xml:space="preserve">A betegek többségénél – de nem minden esetben – már meglévő cardiovascularis kockázati tényező volt jelen. Az esemény gyakran szexuális aktus közben, vagy közvetlenül utána fordult elő, néhány esetben pedig röviddel a </w:t>
      </w:r>
      <w:r w:rsidR="0070175A">
        <w:rPr>
          <w:rFonts w:ascii="Times New Roman" w:hAnsi="Times New Roman"/>
        </w:rPr>
        <w:t>S</w:t>
      </w:r>
      <w:r w:rsidR="00B4541F" w:rsidRPr="00230AA5">
        <w:rPr>
          <w:rFonts w:ascii="Times New Roman" w:hAnsi="Times New Roman"/>
        </w:rPr>
        <w:t xml:space="preserve">ildenafil </w:t>
      </w:r>
      <w:r w:rsidR="0070175A">
        <w:rPr>
          <w:rFonts w:ascii="Times New Roman" w:hAnsi="Times New Roman"/>
        </w:rPr>
        <w:t>AD</w:t>
      </w:r>
      <w:r w:rsidR="0004183C">
        <w:rPr>
          <w:rFonts w:ascii="Times New Roman" w:hAnsi="Times New Roman"/>
        </w:rPr>
        <w:t xml:space="preserve">OH </w:t>
      </w:r>
      <w:r w:rsidRPr="00230AA5">
        <w:rPr>
          <w:rFonts w:ascii="Times New Roman" w:hAnsi="Times New Roman"/>
        </w:rPr>
        <w:t>bevétele után, szexuális aktivitás kifejtése nélkül. Nem lehet meghatározni, hogy ezek az események a fenti, vagy egyéb faktorokkal közvetlen összefüggésben fordultak-e elő.</w:t>
      </w:r>
    </w:p>
    <w:p w14:paraId="38008ECB" w14:textId="77777777" w:rsidR="003D1635" w:rsidRPr="00230AA5" w:rsidRDefault="003D1635" w:rsidP="00230AA5">
      <w:pPr>
        <w:spacing w:after="0" w:line="240" w:lineRule="auto"/>
        <w:rPr>
          <w:rFonts w:ascii="Times New Roman" w:hAnsi="Times New Roman"/>
        </w:rPr>
      </w:pPr>
    </w:p>
    <w:p w14:paraId="1A3A3B46"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Priapismus</w:t>
      </w:r>
    </w:p>
    <w:p w14:paraId="4700ABAB" w14:textId="77777777" w:rsidR="00355F50" w:rsidRDefault="00355F50" w:rsidP="00230AA5">
      <w:pPr>
        <w:spacing w:after="0" w:line="240" w:lineRule="auto"/>
        <w:rPr>
          <w:rFonts w:ascii="Times New Roman" w:hAnsi="Times New Roman"/>
        </w:rPr>
      </w:pPr>
      <w:r w:rsidRPr="00230AA5">
        <w:rPr>
          <w:rFonts w:ascii="Times New Roman" w:hAnsi="Times New Roman"/>
        </w:rPr>
        <w:t xml:space="preserve">Az erectilis dysfunctio kezelésére ajánlott gyógyszerek, a szildenafilt is beleértve, a hímvessző anatómiai rendellenességei (például angulatio, corpus cavernosum fibrosisa vagy Peyronie-betegség) </w:t>
      </w:r>
      <w:r w:rsidRPr="00230AA5">
        <w:rPr>
          <w:rFonts w:ascii="Times New Roman" w:hAnsi="Times New Roman"/>
        </w:rPr>
        <w:lastRenderedPageBreak/>
        <w:t>esetén, továbbá priapismusra hajlamosító kórképekben (például sarlósejtes anaemia, myeloma multiplex vagy leukaemia) csak fokozott óvatossággal alkalmazhatók.</w:t>
      </w:r>
    </w:p>
    <w:p w14:paraId="066B93A0" w14:textId="77777777" w:rsidR="003D1635" w:rsidRPr="00230AA5" w:rsidRDefault="003D1635" w:rsidP="00230AA5">
      <w:pPr>
        <w:spacing w:after="0" w:line="240" w:lineRule="auto"/>
        <w:rPr>
          <w:rFonts w:ascii="Times New Roman" w:hAnsi="Times New Roman"/>
        </w:rPr>
      </w:pPr>
    </w:p>
    <w:p w14:paraId="7FC6A4A5"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szildenafillal kapcsolatban a forgalomba hozatalt követően tartós erectióról és priapismusról számoltak be. Négy óránál hosszabb ideig tartó erectio esetén a betegnek azonnali orvosi segítséget kell kérnie. Ha a priapismust nem kezelik haladéktalanul, az a hímvessző szöveteinek károsodását és a potencia maradandó elvesztését eredményezheti.</w:t>
      </w:r>
    </w:p>
    <w:p w14:paraId="02A752DE" w14:textId="77777777" w:rsidR="00DB0005" w:rsidRPr="00230AA5" w:rsidRDefault="00DB0005" w:rsidP="00230AA5">
      <w:pPr>
        <w:spacing w:after="0" w:line="240" w:lineRule="auto"/>
        <w:rPr>
          <w:rFonts w:ascii="Times New Roman" w:hAnsi="Times New Roman"/>
          <w:u w:val="single"/>
        </w:rPr>
      </w:pPr>
    </w:p>
    <w:p w14:paraId="6822CB1D"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Egyidejű alkalmazás más PDE5-gátlókkal vagy az erectilis dysfunctio kezelésére alkalmazott egyéb gyógyszerekkel</w:t>
      </w:r>
    </w:p>
    <w:p w14:paraId="19D707C8" w14:textId="648C4B2C" w:rsidR="00355F50" w:rsidRDefault="00355F50" w:rsidP="00230AA5">
      <w:pPr>
        <w:spacing w:after="0" w:line="240" w:lineRule="auto"/>
        <w:rPr>
          <w:rFonts w:ascii="Times New Roman" w:hAnsi="Times New Roman"/>
        </w:rPr>
      </w:pPr>
      <w:r w:rsidRPr="00230AA5">
        <w:rPr>
          <w:rFonts w:ascii="Times New Roman" w:hAnsi="Times New Roman"/>
        </w:rPr>
        <w:t>A szildenafil és más PDE5-gátlók vagy más pulmonalis arteriás hypertonia elleni, szildenafilt tartalmazó gyógyszerek (REVATIO) vagy az erectilis dysfunctio más kezelési módjainak kombinációját hatásosság és biztonságosság tekintetében még nem vizsgálták. Ezért ezek a kombinációk nem javasoltak.</w:t>
      </w:r>
    </w:p>
    <w:p w14:paraId="29562BD0" w14:textId="77777777" w:rsidR="003D1635" w:rsidRPr="00230AA5" w:rsidRDefault="003D1635" w:rsidP="00230AA5">
      <w:pPr>
        <w:spacing w:after="0" w:line="240" w:lineRule="auto"/>
        <w:rPr>
          <w:rFonts w:ascii="Times New Roman" w:hAnsi="Times New Roman"/>
        </w:rPr>
      </w:pPr>
    </w:p>
    <w:p w14:paraId="695251E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látásra gyakorolt hatások</w:t>
      </w:r>
    </w:p>
    <w:p w14:paraId="161C16DB" w14:textId="28CC7185" w:rsidR="00355F50" w:rsidRDefault="00355F50" w:rsidP="00230AA5">
      <w:pPr>
        <w:spacing w:after="0" w:line="240" w:lineRule="auto"/>
        <w:rPr>
          <w:rFonts w:ascii="Times New Roman" w:hAnsi="Times New Roman"/>
        </w:rPr>
      </w:pPr>
      <w:r w:rsidRPr="00230AA5">
        <w:rPr>
          <w:rFonts w:ascii="Times New Roman" w:hAnsi="Times New Roman"/>
        </w:rPr>
        <w:t xml:space="preserve">Látászavarok eseteiről érkeztek spontán jelentések a szildenafil és egyéb PDE5-gátlók szedésével kapcsolatban (lásd 4.8 pont). Egy ritka állapotnak, a nem arteritiszes elülső ischaemiás optikus neuropátiának (NAION) az eseteiről érkeztek spontán és egy megfigyeléses vizsgálatból származó jelentések a szildenafil és egyéb PDE5-gátlók szedésével kapcsolatban (lásd 4.8 pont). A betegek figyelmét fel kell hívni arra, hogy bármilyen hirtelen fellépő látászavar esetén hagyják abba a </w:t>
      </w:r>
      <w:r w:rsidR="00B4541F" w:rsidRPr="00230AA5">
        <w:rPr>
          <w:rFonts w:ascii="Times New Roman" w:hAnsi="Times New Roman"/>
        </w:rPr>
        <w:t>Sildenafil ADOH</w:t>
      </w:r>
      <w:r w:rsidRPr="00230AA5">
        <w:rPr>
          <w:rFonts w:ascii="Times New Roman" w:hAnsi="Times New Roman"/>
        </w:rPr>
        <w:t xml:space="preserve"> szedését, és azonnal forduljanak orvoshoz (lásd 4.3 pont).</w:t>
      </w:r>
    </w:p>
    <w:p w14:paraId="2985D403" w14:textId="77777777" w:rsidR="003D1635" w:rsidRPr="00230AA5" w:rsidRDefault="003D1635" w:rsidP="00230AA5">
      <w:pPr>
        <w:spacing w:after="0" w:line="240" w:lineRule="auto"/>
        <w:rPr>
          <w:rFonts w:ascii="Times New Roman" w:hAnsi="Times New Roman"/>
        </w:rPr>
      </w:pPr>
    </w:p>
    <w:p w14:paraId="4EA59B89" w14:textId="77777777" w:rsidR="00355F50" w:rsidRPr="00230AA5" w:rsidRDefault="00355F50" w:rsidP="00230AA5">
      <w:pPr>
        <w:keepNext/>
        <w:spacing w:after="0" w:line="240" w:lineRule="auto"/>
        <w:rPr>
          <w:rFonts w:ascii="Times New Roman" w:hAnsi="Times New Roman"/>
          <w:u w:val="single"/>
        </w:rPr>
      </w:pPr>
      <w:r w:rsidRPr="00230AA5">
        <w:rPr>
          <w:rFonts w:ascii="Times New Roman" w:hAnsi="Times New Roman"/>
          <w:u w:val="single"/>
        </w:rPr>
        <w:t>Egyidejű alkalmazás ritonavirral</w:t>
      </w:r>
    </w:p>
    <w:p w14:paraId="424CB7A7"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és ritonavir együttadása nem javasolt (lásd 4.5 pont).</w:t>
      </w:r>
    </w:p>
    <w:p w14:paraId="0EFA3DFF" w14:textId="77777777" w:rsidR="003D1635" w:rsidRPr="00230AA5" w:rsidRDefault="003D1635" w:rsidP="00230AA5">
      <w:pPr>
        <w:spacing w:after="0" w:line="240" w:lineRule="auto"/>
        <w:rPr>
          <w:rFonts w:ascii="Times New Roman" w:hAnsi="Times New Roman"/>
        </w:rPr>
      </w:pPr>
    </w:p>
    <w:p w14:paraId="142E563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Egyidejű alkalmazás alfa-blokkolókkal</w:t>
      </w:r>
    </w:p>
    <w:p w14:paraId="50AD4514" w14:textId="77777777" w:rsidR="00355F50" w:rsidRDefault="00355F50" w:rsidP="00230AA5">
      <w:pPr>
        <w:spacing w:after="0" w:line="240" w:lineRule="auto"/>
        <w:rPr>
          <w:rFonts w:ascii="Times New Roman" w:hAnsi="Times New Roman"/>
        </w:rPr>
      </w:pPr>
      <w:r w:rsidRPr="00230AA5">
        <w:rPr>
          <w:rFonts w:ascii="Times New Roman" w:hAnsi="Times New Roman"/>
        </w:rPr>
        <w:t>Körültekintően kell eljárni alfa-blokkolókat szedő betegek körében történő szildenafil alkalmazásakor, mivel az egyidejű alkalmazáskor néhány arra hajlamos betegben tünetekkel járó hypotensio jelentkezhet (lásd 4.5 pont). Ez legnagyobb valószínűséggel a szildenafil alkalmazását követő 4 órán belül fordul elő. Az orthostaticus hypotensio kockázatának csökkentése érdekében a szildenafil-terápia megkezdése előtt az alfa-blokkoló terápiában részesülő beteget hemodinamikailag stabil állapotba kell hozni. Megfontolandó a szildenafil 25 mg-os kezdő dózisának adása (lásd 4.2 pont). Továbbá a kezelőorvosnak tanácsot kell adnia arra vonatkozóan is, hogy mit tegyenek a betegek az orthostaticus hypotensio tüneteinek megjelenése esetén.</w:t>
      </w:r>
    </w:p>
    <w:p w14:paraId="3416A0B2" w14:textId="77777777" w:rsidR="003D1635" w:rsidRPr="00230AA5" w:rsidRDefault="003D1635" w:rsidP="00230AA5">
      <w:pPr>
        <w:spacing w:after="0" w:line="240" w:lineRule="auto"/>
        <w:rPr>
          <w:rFonts w:ascii="Times New Roman" w:hAnsi="Times New Roman"/>
        </w:rPr>
      </w:pPr>
    </w:p>
    <w:p w14:paraId="224001B6"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vérzésre gyakorolt hatás</w:t>
      </w:r>
    </w:p>
    <w:p w14:paraId="0C8E56BF"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Humán thrombocytákon végzett vizsgálatok azt mutatják, hogy a szildenafil </w:t>
      </w:r>
      <w:r w:rsidRPr="00230AA5">
        <w:rPr>
          <w:rFonts w:ascii="Times New Roman" w:hAnsi="Times New Roman"/>
          <w:i/>
          <w:iCs/>
        </w:rPr>
        <w:t>in vitro</w:t>
      </w:r>
      <w:r w:rsidRPr="00230AA5">
        <w:rPr>
          <w:rFonts w:ascii="Times New Roman" w:hAnsi="Times New Roman"/>
        </w:rPr>
        <w:t xml:space="preserve"> fokozza a nitroprusszid-nátrium thrombocytaaggregatio-gátló hatását. Nem ismert, hogy vérzékenységben vagy aktív peptikus fekélyben szenvedőknél biztonságosan alkalmazható-e a szildenafil. Ezekben az állapotokban a szildenafil csak az előny/kockázat körültekintő mérlegelése után alkalmazható.</w:t>
      </w:r>
    </w:p>
    <w:p w14:paraId="4BA296A2" w14:textId="77777777" w:rsidR="00794420" w:rsidRPr="00230AA5" w:rsidRDefault="00794420" w:rsidP="00230AA5">
      <w:pPr>
        <w:spacing w:after="0" w:line="240" w:lineRule="auto"/>
        <w:rPr>
          <w:rFonts w:ascii="Times New Roman" w:hAnsi="Times New Roman"/>
        </w:rPr>
      </w:pPr>
    </w:p>
    <w:p w14:paraId="37799600"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Nők</w:t>
      </w:r>
    </w:p>
    <w:p w14:paraId="4E7C4CF9" w14:textId="194440BA" w:rsidR="00355F50" w:rsidRPr="00230AA5"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alkalmazása nőknek nem javallt.</w:t>
      </w:r>
    </w:p>
    <w:p w14:paraId="11A1D788" w14:textId="77777777" w:rsidR="0029510C" w:rsidRPr="00230AA5" w:rsidRDefault="0029510C" w:rsidP="00230AA5">
      <w:pPr>
        <w:spacing w:after="0" w:line="240" w:lineRule="auto"/>
        <w:rPr>
          <w:rFonts w:ascii="Times New Roman" w:hAnsi="Times New Roman"/>
        </w:rPr>
      </w:pPr>
    </w:p>
    <w:p w14:paraId="08D6458A" w14:textId="77777777" w:rsidR="0029510C" w:rsidRPr="0019750E" w:rsidRDefault="0029510C" w:rsidP="00230AA5">
      <w:pPr>
        <w:spacing w:after="0" w:line="240" w:lineRule="auto"/>
        <w:rPr>
          <w:rFonts w:ascii="Times New Roman" w:hAnsi="Times New Roman"/>
          <w:u w:val="single"/>
        </w:rPr>
      </w:pPr>
      <w:r w:rsidRPr="0019750E">
        <w:rPr>
          <w:rFonts w:ascii="Times New Roman" w:hAnsi="Times New Roman"/>
          <w:u w:val="single"/>
        </w:rPr>
        <w:t>Egyéb információk</w:t>
      </w:r>
    </w:p>
    <w:p w14:paraId="1F367D67" w14:textId="1D5B7341" w:rsidR="0029510C" w:rsidRPr="00230AA5" w:rsidRDefault="0029510C" w:rsidP="00230AA5">
      <w:pPr>
        <w:spacing w:after="0" w:line="240" w:lineRule="auto"/>
        <w:rPr>
          <w:rFonts w:ascii="Times New Roman" w:hAnsi="Times New Roman"/>
        </w:rPr>
      </w:pPr>
      <w:r w:rsidRPr="00230AA5">
        <w:rPr>
          <w:rFonts w:ascii="Times New Roman" w:hAnsi="Times New Roman"/>
        </w:rPr>
        <w:t>Ez a gyógyszer butil</w:t>
      </w:r>
      <w:r w:rsidR="00EB3A4C">
        <w:rPr>
          <w:rFonts w:ascii="Times New Roman" w:hAnsi="Times New Roman"/>
        </w:rPr>
        <w:t>hidroxi</w:t>
      </w:r>
      <w:r w:rsidRPr="00230AA5">
        <w:rPr>
          <w:rFonts w:ascii="Times New Roman" w:hAnsi="Times New Roman"/>
        </w:rPr>
        <w:t>anizolt (E320) tartalmaz, amely irritálhatja a szájnyálkahártyát.</w:t>
      </w:r>
    </w:p>
    <w:p w14:paraId="73337144" w14:textId="77777777" w:rsidR="000047D2" w:rsidRDefault="000047D2" w:rsidP="00230AA5">
      <w:pPr>
        <w:spacing w:after="0" w:line="240" w:lineRule="auto"/>
        <w:rPr>
          <w:rFonts w:ascii="Times New Roman" w:hAnsi="Times New Roman"/>
        </w:rPr>
      </w:pPr>
    </w:p>
    <w:p w14:paraId="087589B9" w14:textId="1F574D0B" w:rsidR="00A9237D" w:rsidRPr="00230AA5" w:rsidRDefault="00DC4374" w:rsidP="00230AA5">
      <w:pPr>
        <w:spacing w:after="0" w:line="240" w:lineRule="auto"/>
        <w:rPr>
          <w:rFonts w:ascii="Times New Roman" w:hAnsi="Times New Roman"/>
        </w:rPr>
      </w:pPr>
      <w:r w:rsidRPr="00230AA5">
        <w:rPr>
          <w:rFonts w:ascii="Times New Roman" w:hAnsi="Times New Roman"/>
        </w:rPr>
        <w:t>Ez a gyógyszer maltodextrint tartalmaz (amely szacharózt tartalmaz). Ritkán előforduló glükóz-galaktóz malabszorpcióban szenvedő betegek a készítményt nem szedhetik.</w:t>
      </w:r>
    </w:p>
    <w:p w14:paraId="2031459E" w14:textId="77777777" w:rsidR="0029510C" w:rsidRPr="00230AA5" w:rsidRDefault="0029510C" w:rsidP="00230AA5">
      <w:pPr>
        <w:spacing w:after="0" w:line="240" w:lineRule="auto"/>
        <w:rPr>
          <w:rFonts w:ascii="Times New Roman" w:hAnsi="Times New Roman"/>
        </w:rPr>
      </w:pPr>
    </w:p>
    <w:p w14:paraId="1D4875D9" w14:textId="2F9D71CE" w:rsidR="00355F50" w:rsidRPr="00230AA5" w:rsidRDefault="00355F50" w:rsidP="0019750E">
      <w:pPr>
        <w:pStyle w:val="Cmsor3"/>
        <w:spacing w:before="0" w:line="240" w:lineRule="auto"/>
        <w:ind w:left="567" w:hanging="567"/>
        <w:rPr>
          <w:rFonts w:cs="Times New Roman"/>
        </w:rPr>
      </w:pPr>
      <w:r w:rsidRPr="00230AA5">
        <w:rPr>
          <w:rFonts w:cs="Times New Roman"/>
        </w:rPr>
        <w:t>4.5</w:t>
      </w:r>
      <w:r w:rsidRPr="00230AA5">
        <w:rPr>
          <w:rFonts w:cs="Times New Roman"/>
        </w:rPr>
        <w:tab/>
        <w:t>Gyógyszerkölcsönhatások és egyéb interakciók</w:t>
      </w:r>
      <w:r w:rsidR="00A15089" w:rsidRPr="00230AA5">
        <w:rPr>
          <w:rFonts w:cs="Times New Roman"/>
        </w:rPr>
        <w:fldChar w:fldCharType="begin"/>
      </w:r>
      <w:r w:rsidR="00A15089" w:rsidRPr="00230AA5">
        <w:rPr>
          <w:rFonts w:cs="Times New Roman"/>
        </w:rPr>
        <w:instrText xml:space="preserve"> DOCVARIABLE vault_nd_aa3f6733-dda2-445c-90f3-a1fa37727d7b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0BE9DE4E" w14:textId="77777777" w:rsidR="00A10C68" w:rsidRDefault="00A10C68" w:rsidP="00230AA5">
      <w:pPr>
        <w:spacing w:after="0" w:line="240" w:lineRule="auto"/>
        <w:rPr>
          <w:rFonts w:ascii="Times New Roman" w:hAnsi="Times New Roman"/>
          <w:u w:val="single"/>
        </w:rPr>
      </w:pPr>
    </w:p>
    <w:p w14:paraId="7FDDC930" w14:textId="07D83159"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Egyéb gyógyszerek hatása a szildenafilra</w:t>
      </w:r>
    </w:p>
    <w:p w14:paraId="55469E69" w14:textId="77777777" w:rsidR="000047D2" w:rsidRDefault="000047D2" w:rsidP="00230AA5">
      <w:pPr>
        <w:spacing w:after="0" w:line="240" w:lineRule="auto"/>
        <w:rPr>
          <w:rFonts w:ascii="Times New Roman" w:hAnsi="Times New Roman"/>
          <w:i/>
        </w:rPr>
      </w:pPr>
    </w:p>
    <w:p w14:paraId="7A7C41F3" w14:textId="59596362"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vitro vizsgálatok</w:t>
      </w:r>
    </w:p>
    <w:p w14:paraId="0BFB0FE0" w14:textId="77777777" w:rsidR="00355F50" w:rsidRDefault="00355F50" w:rsidP="00230AA5">
      <w:pPr>
        <w:spacing w:after="0" w:line="240" w:lineRule="auto"/>
        <w:rPr>
          <w:rFonts w:ascii="Times New Roman" w:hAnsi="Times New Roman"/>
        </w:rPr>
      </w:pPr>
      <w:r w:rsidRPr="00230AA5">
        <w:rPr>
          <w:rFonts w:ascii="Times New Roman" w:hAnsi="Times New Roman"/>
        </w:rPr>
        <w:lastRenderedPageBreak/>
        <w:t>A szildenafil a citokróm P450 (CYP) enzimrendszer, elsősorban a 3A4 izoenzimek és kisebb mértékben a 2C9 izoenzimek által metabolizálódik. Ennek megfelelően, az ezen izoenzimek működését gátló vegyületek csökkenthetik, és ezeknek az izoenzimeknek a működését serkentők pedig növelhetik a szildenafil clearance-ét.</w:t>
      </w:r>
    </w:p>
    <w:p w14:paraId="23F8D3E8" w14:textId="77777777" w:rsidR="000047D2" w:rsidRPr="00230AA5" w:rsidRDefault="000047D2" w:rsidP="00230AA5">
      <w:pPr>
        <w:spacing w:after="0" w:line="240" w:lineRule="auto"/>
        <w:rPr>
          <w:rFonts w:ascii="Times New Roman" w:hAnsi="Times New Roman"/>
        </w:rPr>
      </w:pPr>
    </w:p>
    <w:p w14:paraId="399CBCF2"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vivo vizsgálatok</w:t>
      </w:r>
    </w:p>
    <w:p w14:paraId="4D096F13" w14:textId="752CD576" w:rsidR="00355F50" w:rsidRDefault="00355F50" w:rsidP="00230AA5">
      <w:pPr>
        <w:spacing w:after="0" w:line="240" w:lineRule="auto"/>
        <w:rPr>
          <w:rFonts w:ascii="Times New Roman" w:hAnsi="Times New Roman"/>
        </w:rPr>
      </w:pPr>
      <w:r w:rsidRPr="00230AA5">
        <w:rPr>
          <w:rFonts w:ascii="Times New Roman" w:hAnsi="Times New Roman"/>
        </w:rPr>
        <w:t>A klinikai vizsgálatok során összegyűjtött adatok populációs farmakokinetikai elemzésével megállapították, hogy az egyidejűleg adott CYP3A4-inhibitorok (például ketokonazol, eritromicin vagy cimetidin) csökkentik a szildenafil eliminációját. Bár a nemkívánatos események előfordulási gyakorisága nem emelkedett azon betegeknél, akik a szildenafillal egyidejűleg CYP3A4-inhibitort is alkalmaztak, ilyen esetben mégis a 25 mg-os kezdő dózis fontolandó meg.</w:t>
      </w:r>
    </w:p>
    <w:p w14:paraId="00BD778E" w14:textId="77777777" w:rsidR="000047D2" w:rsidRPr="00230AA5" w:rsidRDefault="000047D2" w:rsidP="00230AA5">
      <w:pPr>
        <w:spacing w:after="0" w:line="240" w:lineRule="auto"/>
        <w:rPr>
          <w:rFonts w:ascii="Times New Roman" w:hAnsi="Times New Roman"/>
        </w:rPr>
      </w:pPr>
    </w:p>
    <w:p w14:paraId="7DF6F999" w14:textId="782B734C" w:rsidR="00355F50" w:rsidRDefault="00355F50" w:rsidP="00230AA5">
      <w:pPr>
        <w:spacing w:after="0" w:line="240" w:lineRule="auto"/>
        <w:rPr>
          <w:rFonts w:ascii="Times New Roman" w:hAnsi="Times New Roman"/>
        </w:rPr>
      </w:pPr>
      <w:r w:rsidRPr="00230AA5">
        <w:rPr>
          <w:rFonts w:ascii="Times New Roman" w:hAnsi="Times New Roman"/>
        </w:rPr>
        <w:t>A HIV-proteáz-gátló ritonavir, amely nagyon erős P450-gátló szer, dinamikus egyensúlyi állapotban (500 mg napi kétszer) történő együttadása szildenafillal (100 mg napi egyszer) 300%-os (4-szeres növekedés) szildenafil C</w:t>
      </w:r>
      <w:r w:rsidRPr="0019750E">
        <w:rPr>
          <w:rFonts w:ascii="Times New Roman" w:hAnsi="Times New Roman"/>
          <w:vertAlign w:val="subscript"/>
        </w:rPr>
        <w:t>max</w:t>
      </w:r>
      <w:r w:rsidRPr="00230AA5">
        <w:rPr>
          <w:rFonts w:ascii="Times New Roman" w:hAnsi="Times New Roman"/>
        </w:rPr>
        <w:t>-emelkedést, valamint a szildenafil AUC-értékének 1000%-os (11-szeres növekedés) növekedését idézte elő. A szildenafil plazmaszintje 24 óra múlva még mindig körülbelül 200 ng/ml volt, szemben a szildenafil önmagában történő adásakor tapasztalható körülbelül 5 ng/ml-rel. Ez egybevág a ritonavirnek a P450-szubsztrátok széles körében kimutatott jelentős hatásával. A szildenafil nem volt hatással a ritonavir farmakokinetikájára. Ezeknek a farmakokinetikai eredményeknek az alapján szildenafil együttadása ritonavirral nem javasolt (lásd 4.4 pont), valamint a szildenafil maximális dózisa semmilyen körülmények között nem haladhatja meg a 25 mg-ot 48 óra leforgása alatt.</w:t>
      </w:r>
    </w:p>
    <w:p w14:paraId="1C9D7DF1" w14:textId="77777777" w:rsidR="000047D2" w:rsidRPr="00230AA5" w:rsidRDefault="000047D2" w:rsidP="00230AA5">
      <w:pPr>
        <w:spacing w:after="0" w:line="240" w:lineRule="auto"/>
        <w:rPr>
          <w:rFonts w:ascii="Times New Roman" w:hAnsi="Times New Roman"/>
        </w:rPr>
      </w:pPr>
    </w:p>
    <w:p w14:paraId="06D270A6" w14:textId="54060115" w:rsidR="00355F50" w:rsidRDefault="00355F50" w:rsidP="00230AA5">
      <w:pPr>
        <w:spacing w:after="0" w:line="240" w:lineRule="auto"/>
        <w:rPr>
          <w:rFonts w:ascii="Times New Roman" w:hAnsi="Times New Roman"/>
        </w:rPr>
      </w:pPr>
      <w:r w:rsidRPr="00230AA5">
        <w:rPr>
          <w:rFonts w:ascii="Times New Roman" w:hAnsi="Times New Roman"/>
        </w:rPr>
        <w:t>A HIV-proteáz-gátló szakvinavir, mely a CYP3A4 inhibitora, dinamikus egyensúlyi állapotot biztosító dózisban (1200 mg naponta háromszor) történő együttadása szildenafillal (100 mg naponta egyszer) 140%-os szildenafil C</w:t>
      </w:r>
      <w:r w:rsidRPr="0019750E">
        <w:rPr>
          <w:rFonts w:ascii="Times New Roman" w:hAnsi="Times New Roman"/>
          <w:vertAlign w:val="subscript"/>
        </w:rPr>
        <w:t>max</w:t>
      </w:r>
      <w:r w:rsidRPr="00230AA5">
        <w:rPr>
          <w:rFonts w:ascii="Times New Roman" w:hAnsi="Times New Roman"/>
        </w:rPr>
        <w:t>-emelkedést, valamint a szildenafil AUC-értékének 210%-os növekedését idézte elő. A szildenafil nincs hatással a szakvinavir farmakokinetikájára (lásd 4.2 pont). Olyan erősebb hatású CYP3A4-gátlók esetén, mint amilyen a ketokonazol és az itrakonazol, nagyobb hatás várható.</w:t>
      </w:r>
    </w:p>
    <w:p w14:paraId="63FACA80" w14:textId="77777777" w:rsidR="000047D2" w:rsidRPr="00230AA5" w:rsidRDefault="000047D2" w:rsidP="00230AA5">
      <w:pPr>
        <w:spacing w:after="0" w:line="240" w:lineRule="auto"/>
        <w:rPr>
          <w:rFonts w:ascii="Times New Roman" w:hAnsi="Times New Roman"/>
        </w:rPr>
      </w:pPr>
    </w:p>
    <w:p w14:paraId="523852C4" w14:textId="77777777" w:rsidR="00355F50" w:rsidRDefault="00355F50" w:rsidP="00230AA5">
      <w:pPr>
        <w:spacing w:after="0" w:line="240" w:lineRule="auto"/>
        <w:rPr>
          <w:rFonts w:ascii="Times New Roman" w:hAnsi="Times New Roman"/>
        </w:rPr>
      </w:pPr>
      <w:r w:rsidRPr="00230AA5">
        <w:rPr>
          <w:rFonts w:ascii="Times New Roman" w:hAnsi="Times New Roman"/>
        </w:rPr>
        <w:t>Az eritromicin, egy közepesen erős CYP3A4-inhibitor (5 napon keresztül tartó, napi 2-szer 500 mg-os) fenntartó adagolása mellett, egyszeri 100 mg szildenafil alkalmazásakor 182%-os emelkedést észleltek a szisztémás szildenafil-expozícióban (AUC). Egészséges férfi önkénteseknél nem volt jele, hogy az azitromicin (500 mg-os napi dózis három napon át) hatással lett volna a szildenafil, vagy fő keringő metabolitjainak AUC-, C</w:t>
      </w:r>
      <w:r w:rsidRPr="0019750E">
        <w:rPr>
          <w:rFonts w:ascii="Times New Roman" w:hAnsi="Times New Roman"/>
          <w:vertAlign w:val="subscript"/>
        </w:rPr>
        <w:t>max</w:t>
      </w:r>
      <w:r w:rsidRPr="00230AA5">
        <w:rPr>
          <w:rFonts w:ascii="Times New Roman" w:hAnsi="Times New Roman"/>
        </w:rPr>
        <w:t>-, t</w:t>
      </w:r>
      <w:r w:rsidRPr="0019750E">
        <w:rPr>
          <w:rFonts w:ascii="Times New Roman" w:hAnsi="Times New Roman"/>
          <w:vertAlign w:val="subscript"/>
        </w:rPr>
        <w:t>max</w:t>
      </w:r>
      <w:r w:rsidRPr="00230AA5">
        <w:rPr>
          <w:rFonts w:ascii="Times New Roman" w:hAnsi="Times New Roman"/>
        </w:rPr>
        <w:t>-értékeire, az eliminációs sebességre vagy következményesen a felezési idejükre. Egészséges önkénteseknél a citokróm P450-inhibitor és nem specifikus CYP3A4-inhibitor cimetidin (800 mg) 50 mg szildenafillal történő együttadása a plazma-szildenafil-koncentráció 56%-os növekedését okozta. A grépfrútlé, mivel a bélfal CYP3A4 metabolizmusának gyenge inhibitora, mérsékelten megemelheti a szildenafil plazmaszintjét.</w:t>
      </w:r>
    </w:p>
    <w:p w14:paraId="3C74B112" w14:textId="77777777" w:rsidR="000047D2" w:rsidRPr="00230AA5" w:rsidRDefault="000047D2" w:rsidP="00230AA5">
      <w:pPr>
        <w:spacing w:after="0" w:line="240" w:lineRule="auto"/>
        <w:rPr>
          <w:rFonts w:ascii="Times New Roman" w:hAnsi="Times New Roman"/>
        </w:rPr>
      </w:pPr>
    </w:p>
    <w:p w14:paraId="55CC0776" w14:textId="77777777" w:rsidR="00355F50" w:rsidRDefault="00355F50" w:rsidP="00230AA5">
      <w:pPr>
        <w:spacing w:after="0" w:line="240" w:lineRule="auto"/>
        <w:rPr>
          <w:rFonts w:ascii="Times New Roman" w:hAnsi="Times New Roman"/>
        </w:rPr>
      </w:pPr>
      <w:r w:rsidRPr="00230AA5">
        <w:rPr>
          <w:rFonts w:ascii="Times New Roman" w:hAnsi="Times New Roman"/>
        </w:rPr>
        <w:t>Antacidumok (magnézium-hidroxid, alumínium-hidroxid) egyszeri dózisa nem befolyásolta a szildenafil biohasznosulását.</w:t>
      </w:r>
    </w:p>
    <w:p w14:paraId="3C543BF2" w14:textId="77777777" w:rsidR="000047D2" w:rsidRPr="00230AA5" w:rsidRDefault="000047D2" w:rsidP="00230AA5">
      <w:pPr>
        <w:spacing w:after="0" w:line="240" w:lineRule="auto"/>
        <w:rPr>
          <w:rFonts w:ascii="Times New Roman" w:hAnsi="Times New Roman"/>
        </w:rPr>
      </w:pPr>
    </w:p>
    <w:p w14:paraId="0F47270A" w14:textId="77777777" w:rsidR="00355F50" w:rsidRDefault="00355F50" w:rsidP="00230AA5">
      <w:pPr>
        <w:spacing w:after="0" w:line="240" w:lineRule="auto"/>
        <w:rPr>
          <w:rFonts w:ascii="Times New Roman" w:hAnsi="Times New Roman"/>
        </w:rPr>
      </w:pPr>
      <w:r w:rsidRPr="00230AA5">
        <w:rPr>
          <w:rFonts w:ascii="Times New Roman" w:hAnsi="Times New Roman"/>
        </w:rPr>
        <w:t>Bár minden gyógyszerre vonatkozó, specifikus interakciós vizsgálatot nem végeztek, a populációs farmakokinetikai elemzés gyógyszercsoportonkénti eredményei szerint az egyidejűleg adott CYP2C9-inhibitorok (például tolbutamid, warfarin, fenitoin), CYP2D6-gátlók (például a szelektív szerotoninvisszavétel-gátlók, triciklusos antidepresszánsok), továbbá a tiazid- és rokon diuretikumok, a kacs-, valamint káliummegtakarító diuretikumok, az angiotenzin-konvertáló-enzim-gátlók, a kalciumcsatorna-blokkolók, a béta-receptor-antagonisták, illetve a CYP450-anyagcsere induktorai (például rifampicin és barbiturátok) nem módosítják a szildenafil farmakokinetikai jellemzőit. Egy egészséges férfi önkéntesekkel végzett vizsgálatban az endothelinantagonista boszentán (ami egy CYP3A4- [közepesen erős], CYP2C9- és esetleg CYP2C19-induktor) dinamikus egyensúlyi állapotban (napi kétszer 125 mg) és a szildenafil dinamikus egyensúlyi állapotban (napi háromszor 80 mg) történő együttes alkalmazása a szildenafil AUC-értékét 62,6%-kal és a C</w:t>
      </w:r>
      <w:r w:rsidRPr="0019750E">
        <w:rPr>
          <w:rFonts w:ascii="Times New Roman" w:hAnsi="Times New Roman"/>
          <w:vertAlign w:val="subscript"/>
        </w:rPr>
        <w:t>max</w:t>
      </w:r>
      <w:r w:rsidRPr="00230AA5">
        <w:rPr>
          <w:rFonts w:ascii="Times New Roman" w:hAnsi="Times New Roman"/>
        </w:rPr>
        <w:t>-értékét 55,4%-kal csökkentette. Következésképpen, erős CYP3A4-induktorokkal – mint a rifampicin – történő együttes alkalmazása várhatóan nagyobb mértékben csökkenti a szildenafil plazmakoncentrációját.</w:t>
      </w:r>
    </w:p>
    <w:p w14:paraId="3FF42A02" w14:textId="77777777" w:rsidR="000047D2" w:rsidRPr="00230AA5" w:rsidRDefault="000047D2" w:rsidP="00230AA5">
      <w:pPr>
        <w:spacing w:after="0" w:line="240" w:lineRule="auto"/>
        <w:rPr>
          <w:rFonts w:ascii="Times New Roman" w:hAnsi="Times New Roman"/>
        </w:rPr>
      </w:pPr>
    </w:p>
    <w:p w14:paraId="37B1770F" w14:textId="77777777" w:rsidR="00355F50" w:rsidRDefault="00355F50" w:rsidP="00230AA5">
      <w:pPr>
        <w:spacing w:after="0" w:line="240" w:lineRule="auto"/>
        <w:rPr>
          <w:rFonts w:ascii="Times New Roman" w:hAnsi="Times New Roman"/>
        </w:rPr>
      </w:pPr>
      <w:r w:rsidRPr="00230AA5">
        <w:rPr>
          <w:rFonts w:ascii="Times New Roman" w:hAnsi="Times New Roman"/>
        </w:rPr>
        <w:lastRenderedPageBreak/>
        <w:t>A nikorandil egy káliumcsatorna-aktivátor és nitrát hibridje. Nitrát összetevője miatt súlyos gyógyszerkölcsönhatásba léphet a szildenafillal.</w:t>
      </w:r>
    </w:p>
    <w:p w14:paraId="2B9C9120" w14:textId="77777777" w:rsidR="000047D2" w:rsidRPr="00230AA5" w:rsidRDefault="000047D2" w:rsidP="00230AA5">
      <w:pPr>
        <w:spacing w:after="0" w:line="240" w:lineRule="auto"/>
        <w:rPr>
          <w:rFonts w:ascii="Times New Roman" w:hAnsi="Times New Roman"/>
        </w:rPr>
      </w:pPr>
    </w:p>
    <w:p w14:paraId="2E315EC8"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szildenafil hatása egyéb gyógyszerekre</w:t>
      </w:r>
    </w:p>
    <w:p w14:paraId="77CA63EC" w14:textId="77777777" w:rsidR="00CC7701" w:rsidRDefault="00CC7701" w:rsidP="00230AA5">
      <w:pPr>
        <w:spacing w:after="0" w:line="240" w:lineRule="auto"/>
        <w:rPr>
          <w:rFonts w:ascii="Times New Roman" w:hAnsi="Times New Roman"/>
          <w:i/>
        </w:rPr>
      </w:pPr>
    </w:p>
    <w:p w14:paraId="370DDA73" w14:textId="2FC370C8"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vitro vizsgálatok</w:t>
      </w:r>
    </w:p>
    <w:p w14:paraId="298245AC" w14:textId="77C20D0C" w:rsidR="00355F50" w:rsidRDefault="00355F50" w:rsidP="00230AA5">
      <w:pPr>
        <w:spacing w:after="0" w:line="240" w:lineRule="auto"/>
        <w:rPr>
          <w:rFonts w:ascii="Times New Roman" w:hAnsi="Times New Roman"/>
        </w:rPr>
      </w:pPr>
      <w:r w:rsidRPr="00230AA5">
        <w:rPr>
          <w:rFonts w:ascii="Times New Roman" w:hAnsi="Times New Roman"/>
        </w:rPr>
        <w:t>A szildenafil a citokróm P450 enzimrendszer 1A2, 2C9, 2C19, 2D6, 2E1 és 3A4 izoenzimeinek gyenge inhibitora (IC</w:t>
      </w:r>
      <w:r w:rsidRPr="00230AA5">
        <w:rPr>
          <w:rFonts w:ascii="Times New Roman" w:hAnsi="Times New Roman"/>
          <w:vertAlign w:val="subscript"/>
        </w:rPr>
        <w:t>50</w:t>
      </w:r>
      <w:r w:rsidRPr="00230AA5">
        <w:rPr>
          <w:rFonts w:ascii="Times New Roman" w:hAnsi="Times New Roman"/>
        </w:rPr>
        <w:t xml:space="preserve"> &gt; 150 μM). A javasolt dózisok alkalmazása után várható, körülbelül 1 μM maximális plazmakoncentráció esetén nem valószínű, hogy a </w:t>
      </w:r>
      <w:r w:rsidR="00B4541F" w:rsidRPr="00230AA5">
        <w:rPr>
          <w:rFonts w:ascii="Times New Roman" w:hAnsi="Times New Roman"/>
        </w:rPr>
        <w:t>Sildenafil ADOH</w:t>
      </w:r>
      <w:r w:rsidRPr="00230AA5">
        <w:rPr>
          <w:rFonts w:ascii="Times New Roman" w:hAnsi="Times New Roman"/>
        </w:rPr>
        <w:t xml:space="preserve"> módosítja a felsorolt izoenzimek szubsztrátjainak clearance-ét.</w:t>
      </w:r>
    </w:p>
    <w:p w14:paraId="788CA536" w14:textId="77777777" w:rsidR="00CC7701" w:rsidRPr="00230AA5" w:rsidRDefault="00CC7701" w:rsidP="00230AA5">
      <w:pPr>
        <w:spacing w:after="0" w:line="240" w:lineRule="auto"/>
        <w:rPr>
          <w:rFonts w:ascii="Times New Roman" w:hAnsi="Times New Roman"/>
        </w:rPr>
      </w:pPr>
    </w:p>
    <w:p w14:paraId="05B78D70" w14:textId="77777777" w:rsidR="00355F50" w:rsidRDefault="00355F50" w:rsidP="00230AA5">
      <w:pPr>
        <w:spacing w:after="0" w:line="240" w:lineRule="auto"/>
        <w:rPr>
          <w:rFonts w:ascii="Times New Roman" w:hAnsi="Times New Roman"/>
        </w:rPr>
      </w:pPr>
      <w:r w:rsidRPr="00230AA5">
        <w:rPr>
          <w:rFonts w:ascii="Times New Roman" w:hAnsi="Times New Roman"/>
        </w:rPr>
        <w:t>Nincs adat a szildenafil és nem specifikus foszfodiészterázgátlók (például teofillin, dipiridamol) közötti gyógyszerkölcsönhatásokról.</w:t>
      </w:r>
    </w:p>
    <w:p w14:paraId="36A25F64" w14:textId="77777777" w:rsidR="00CC7701" w:rsidRPr="00230AA5" w:rsidRDefault="00CC7701" w:rsidP="00230AA5">
      <w:pPr>
        <w:spacing w:after="0" w:line="240" w:lineRule="auto"/>
        <w:rPr>
          <w:rFonts w:ascii="Times New Roman" w:hAnsi="Times New Roman"/>
        </w:rPr>
      </w:pPr>
    </w:p>
    <w:p w14:paraId="6DB9ACC5"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In vivo vizsgálatok</w:t>
      </w:r>
    </w:p>
    <w:p w14:paraId="0725EC6B" w14:textId="77777777" w:rsidR="00355F50" w:rsidRDefault="00355F50" w:rsidP="00230AA5">
      <w:pPr>
        <w:spacing w:after="0" w:line="240" w:lineRule="auto"/>
        <w:rPr>
          <w:rFonts w:ascii="Times New Roman" w:hAnsi="Times New Roman"/>
        </w:rPr>
      </w:pPr>
      <w:r w:rsidRPr="00230AA5">
        <w:rPr>
          <w:rFonts w:ascii="Times New Roman" w:hAnsi="Times New Roman"/>
        </w:rPr>
        <w:t>A nitrogén-monoxid/cGMP jelátvitelre kifejtett ismert hatásaival összefüggésben (lásd 5.1 pont) a szildenafilról kimutatták, hogy fokozza a nitrátkészítmények vérnyomáscsökkentő hatását, ezért együttadása nitrogén-monoxid-donor vegyületekkel vagy bármely gyógyszerformájú nitrátkészítménnyel ellenjavallt (lásd 4.3 pont).</w:t>
      </w:r>
    </w:p>
    <w:p w14:paraId="6976F79A" w14:textId="77777777" w:rsidR="00CC7701" w:rsidRPr="00230AA5" w:rsidRDefault="00CC7701" w:rsidP="00230AA5">
      <w:pPr>
        <w:spacing w:after="0" w:line="240" w:lineRule="auto"/>
        <w:rPr>
          <w:rFonts w:ascii="Times New Roman" w:hAnsi="Times New Roman"/>
        </w:rPr>
      </w:pPr>
    </w:p>
    <w:p w14:paraId="54EB793F" w14:textId="58615742" w:rsidR="009819C9" w:rsidRDefault="009819C9" w:rsidP="00230AA5">
      <w:pPr>
        <w:spacing w:after="0" w:line="240" w:lineRule="auto"/>
        <w:rPr>
          <w:rFonts w:ascii="Times New Roman" w:hAnsi="Times New Roman"/>
        </w:rPr>
      </w:pPr>
      <w:r w:rsidRPr="0019750E">
        <w:rPr>
          <w:rFonts w:ascii="Times New Roman" w:hAnsi="Times New Roman"/>
          <w:i/>
          <w:iCs/>
          <w:u w:val="single"/>
        </w:rPr>
        <w:t>Riociguát</w:t>
      </w:r>
      <w:r w:rsidR="00CC7701">
        <w:rPr>
          <w:rFonts w:ascii="Times New Roman" w:hAnsi="Times New Roman"/>
        </w:rPr>
        <w:t>:</w:t>
      </w:r>
      <w:r w:rsidRPr="00230AA5">
        <w:rPr>
          <w:rFonts w:ascii="Times New Roman" w:hAnsi="Times New Roman"/>
        </w:rPr>
        <w:t xml:space="preserve"> A preklinikai vizsgálatok additív szisztémás vérnyomáscsökkentő hatást igazoltak PDE5-inhibitorok és riociguát kombinációja esetén. A klinikai vizsgálatok során a riociguát fokozta a PDE5-inhibitorok vérnyomáscsökkentő hatását. Az együttes alkalmazás esetében nem észleltek kedvező klinikai hatást a vizsgált populációban. Riociguát együttes adása PDE5-inhibitorokkal (beleértve a szildenafilt is) ellenjavallt (lásd 4.3 pont).</w:t>
      </w:r>
    </w:p>
    <w:p w14:paraId="582BEE4F" w14:textId="77777777" w:rsidR="00CC7701" w:rsidRPr="00230AA5" w:rsidRDefault="00CC7701" w:rsidP="00230AA5">
      <w:pPr>
        <w:spacing w:after="0" w:line="240" w:lineRule="auto"/>
        <w:rPr>
          <w:rFonts w:ascii="Times New Roman" w:hAnsi="Times New Roman"/>
        </w:rPr>
      </w:pPr>
    </w:p>
    <w:p w14:paraId="68973E73"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alfa-blokkolót szedő betegeknél történő alkalmazásakor néhány arra hajlamos egyénben tünetekkel járó hypotensio jelentkezhet. Ez legnagyobb valószínűséggel a szildenafil alkalmazását követő 4 órán belül fordul elő (lásd 4.2 és 4.4 pont). Három specifikus gyógyszer-gyógyszer kölcsönhatás vizsgálatban alfa-blokkoló doxazozint (4 mg és 8 mg) és szildenafilt (25 mg, 50 mg vagy 100 mg) adtak egyidejűleg doxazozin-terápiára stabilan beállított benignus prostata hyperplasiás (BPH) betegeknek. Ezekben a vizsgálati csoportokban a fekvő helyzetben mért vérnyomás további csökkenésének átlagértéke 7/7 Hgmm, 9/5 Hgmm, illetve 8/4 Hgmm volt, míg az álló helyzetben mért vérnyomás további csökkenésének átlagértéke 6/6 Hgmm, 11/4 Hgmm, illetve 4/5 Hgmm volt. Amikor doxazozin-terápiára stabilan beállított betegeknek adtak egyidejűleg doxazozint és szildenafilt, tünetekkel járó orthostaticus hypotensióról nem gyakran számoltak be. Ezekben a beszámolókban szerepelt szédülés és ájulásérzés; syncope azonban nem.</w:t>
      </w:r>
    </w:p>
    <w:p w14:paraId="038FA250" w14:textId="77777777" w:rsidR="000C7C20" w:rsidRPr="00230AA5" w:rsidRDefault="000C7C20" w:rsidP="00230AA5">
      <w:pPr>
        <w:spacing w:after="0" w:line="240" w:lineRule="auto"/>
        <w:rPr>
          <w:rFonts w:ascii="Times New Roman" w:hAnsi="Times New Roman"/>
        </w:rPr>
      </w:pPr>
    </w:p>
    <w:p w14:paraId="0D43B672" w14:textId="77777777" w:rsidR="00355F50" w:rsidRDefault="00355F50" w:rsidP="00230AA5">
      <w:pPr>
        <w:spacing w:after="0" w:line="240" w:lineRule="auto"/>
        <w:rPr>
          <w:rFonts w:ascii="Times New Roman" w:hAnsi="Times New Roman"/>
        </w:rPr>
      </w:pPr>
      <w:r w:rsidRPr="00230AA5">
        <w:rPr>
          <w:rFonts w:ascii="Times New Roman" w:hAnsi="Times New Roman"/>
        </w:rPr>
        <w:t>Nem mutatkozott jelentős interakció a CYP2C9 által metabolizált tolbutamid (250 mg), illetve warfarin (40 mg) szildenafillal (50 mg) történő együttadásakor.</w:t>
      </w:r>
    </w:p>
    <w:p w14:paraId="3F5DE2F7" w14:textId="77777777" w:rsidR="000C7C20" w:rsidRPr="00230AA5" w:rsidRDefault="000C7C20" w:rsidP="00230AA5">
      <w:pPr>
        <w:spacing w:after="0" w:line="240" w:lineRule="auto"/>
        <w:rPr>
          <w:rFonts w:ascii="Times New Roman" w:hAnsi="Times New Roman"/>
        </w:rPr>
      </w:pPr>
    </w:p>
    <w:p w14:paraId="79BADFC5"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(50 mg-os dózisban) nem fokozta tovább az acetilszalicilsav (150 mg) által megnyújtott vérzési időt.</w:t>
      </w:r>
    </w:p>
    <w:p w14:paraId="6D5A36F8" w14:textId="77777777" w:rsidR="000C7C20" w:rsidRPr="00230AA5" w:rsidRDefault="000C7C20" w:rsidP="00230AA5">
      <w:pPr>
        <w:spacing w:after="0" w:line="240" w:lineRule="auto"/>
        <w:rPr>
          <w:rFonts w:ascii="Times New Roman" w:hAnsi="Times New Roman"/>
        </w:rPr>
      </w:pPr>
    </w:p>
    <w:p w14:paraId="112776CA" w14:textId="77777777" w:rsidR="00355F50" w:rsidRDefault="00355F50" w:rsidP="00230AA5">
      <w:pPr>
        <w:spacing w:after="0" w:line="240" w:lineRule="auto"/>
        <w:rPr>
          <w:rFonts w:ascii="Times New Roman" w:hAnsi="Times New Roman"/>
        </w:rPr>
      </w:pPr>
      <w:r w:rsidRPr="00230AA5">
        <w:rPr>
          <w:rFonts w:ascii="Times New Roman" w:hAnsi="Times New Roman"/>
        </w:rPr>
        <w:t>A maximum 80 mg/dl átlagos véralkoholszintű egészséges önkénteseknél a szildenafil (50 mg-os dózisban) nem fokozta az alkohol vérnyomáscsökkentő hatását.</w:t>
      </w:r>
    </w:p>
    <w:p w14:paraId="78FF9699" w14:textId="77777777" w:rsidR="000C7C20" w:rsidRPr="00230AA5" w:rsidRDefault="000C7C20" w:rsidP="00230AA5">
      <w:pPr>
        <w:spacing w:after="0" w:line="240" w:lineRule="auto"/>
        <w:rPr>
          <w:rFonts w:ascii="Times New Roman" w:hAnsi="Times New Roman"/>
        </w:rPr>
      </w:pPr>
    </w:p>
    <w:p w14:paraId="3204DE5A" w14:textId="77777777" w:rsidR="00355F50" w:rsidRDefault="00355F50" w:rsidP="00230AA5">
      <w:pPr>
        <w:spacing w:after="0" w:line="240" w:lineRule="auto"/>
        <w:rPr>
          <w:rFonts w:ascii="Times New Roman" w:hAnsi="Times New Roman"/>
        </w:rPr>
      </w:pPr>
      <w:r w:rsidRPr="00230AA5">
        <w:rPr>
          <w:rFonts w:ascii="Times New Roman" w:hAnsi="Times New Roman"/>
        </w:rPr>
        <w:t>Az alábbi antihypertensiv gyógyszeres kezeléseket egy csoportba összevonva, nem mutatkozott eltérés a mellékhatásprofilban az antihypertensiv szert szildenafillal, és az antihypertensiv szert placebóval kombinációban szedő betegek adatai között: diuretikumok, béta-blokkolók, ACE-gátlók, angiotenzin II antagonisták, vérnyomáscsökkentők (értágítók és centrális hatásúak), adrenerg neuron blokkolók, kalciumcsatorna-blokkolók, valamint alfa-adrenerg receptor-blokkolók. Egy specifikus interakciós vizsgálatban, amelynek során magas vérnyomásban szenvedő betegeknek 100 mg szildenafilt adtak amlodipinnel együtt, további 8 Hgmm-es átlagos additív systolés vérnyomáscsökkenést, illetve 7 Hgmm-es átlagos additív diastolés vérnyomáscsökkenést mértek fekvő helyzetben. Ezen addicionális értékek hasonló nagyságrendűek voltak, mint az egészséges önkénteseknél észlelt vérnyomáscsökkenés, ha a szildenafilt önmagában alkalmazták (lásd 5.1 pont).</w:t>
      </w:r>
    </w:p>
    <w:p w14:paraId="7BE897AB" w14:textId="77777777" w:rsidR="000C7C20" w:rsidRPr="00230AA5" w:rsidRDefault="000C7C20" w:rsidP="00230AA5">
      <w:pPr>
        <w:spacing w:after="0" w:line="240" w:lineRule="auto"/>
        <w:rPr>
          <w:rFonts w:ascii="Times New Roman" w:hAnsi="Times New Roman"/>
        </w:rPr>
      </w:pPr>
    </w:p>
    <w:p w14:paraId="7FD2FAA8"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szildenafilnak (100 mg) nem volt hatása a HIV-proteáz-inhibitor szakvinavir és ritonavir (mindkettő CYP3A4 szubsztrát) dinamikus egyensúlyi farmakokinetikájára.</w:t>
      </w:r>
    </w:p>
    <w:p w14:paraId="7D4EDD2D" w14:textId="77777777" w:rsidR="000C7C20" w:rsidRPr="00230AA5" w:rsidRDefault="000C7C20" w:rsidP="00230AA5">
      <w:pPr>
        <w:spacing w:after="0" w:line="240" w:lineRule="auto"/>
        <w:rPr>
          <w:rFonts w:ascii="Times New Roman" w:hAnsi="Times New Roman"/>
        </w:rPr>
      </w:pPr>
    </w:p>
    <w:p w14:paraId="5BE708AC" w14:textId="1D4EA7A0" w:rsidR="00355F50" w:rsidRDefault="00355F50" w:rsidP="00230AA5">
      <w:pPr>
        <w:spacing w:after="0" w:line="240" w:lineRule="auto"/>
        <w:rPr>
          <w:rFonts w:ascii="Times New Roman" w:hAnsi="Times New Roman"/>
        </w:rPr>
      </w:pPr>
      <w:r w:rsidRPr="00230AA5">
        <w:rPr>
          <w:rFonts w:ascii="Times New Roman" w:hAnsi="Times New Roman"/>
        </w:rPr>
        <w:t>Egészséges férfi önkénteseknél dinamikus egyensúlyi állapotban a szildenafil (napi háromszor 80 mg) a boszentán (napi kétszer 125 mg) AUC-értékét 49,8%-kal és a C</w:t>
      </w:r>
      <w:r w:rsidRPr="0019750E">
        <w:rPr>
          <w:rFonts w:ascii="Times New Roman" w:hAnsi="Times New Roman"/>
          <w:vertAlign w:val="subscript"/>
        </w:rPr>
        <w:t>max</w:t>
      </w:r>
      <w:r w:rsidRPr="00230AA5">
        <w:rPr>
          <w:rFonts w:ascii="Times New Roman" w:hAnsi="Times New Roman"/>
        </w:rPr>
        <w:t>-értékét 42%-kal növelte.</w:t>
      </w:r>
    </w:p>
    <w:p w14:paraId="0CD9BEFA" w14:textId="77777777" w:rsidR="000C7C20" w:rsidRPr="00230AA5" w:rsidRDefault="000C7C20" w:rsidP="00230AA5">
      <w:pPr>
        <w:spacing w:after="0" w:line="240" w:lineRule="auto"/>
        <w:rPr>
          <w:rFonts w:ascii="Times New Roman" w:hAnsi="Times New Roman"/>
        </w:rPr>
      </w:pPr>
    </w:p>
    <w:p w14:paraId="4944A240" w14:textId="77777777" w:rsidR="00355F50" w:rsidRPr="00230AA5" w:rsidRDefault="00943EB9" w:rsidP="00230AA5">
      <w:pPr>
        <w:spacing w:after="0" w:line="240" w:lineRule="auto"/>
        <w:rPr>
          <w:rFonts w:ascii="Times New Roman" w:hAnsi="Times New Roman"/>
        </w:rPr>
      </w:pPr>
      <w:r w:rsidRPr="00230AA5">
        <w:rPr>
          <w:rFonts w:ascii="Times New Roman" w:hAnsi="Times New Roman"/>
        </w:rPr>
        <w:t>Beállított szakubitril/valzartán-kezelést kapó hypertoniás betegeknél egyszeri adag szildenafil alkalmazása lényegesen nagyobb vérnyomáscsökkenéssel járt, mint a szakubitril/valzartán önmagában történő adása esetén. Ezért elővigyázatosság szükséges, amikor a szakubitril/valzartánnal kezelt betegeknél szildenafil adását kezdik.</w:t>
      </w:r>
    </w:p>
    <w:p w14:paraId="69113D13" w14:textId="77777777" w:rsidR="00943EB9" w:rsidRPr="00230AA5" w:rsidRDefault="00943EB9" w:rsidP="00230AA5">
      <w:pPr>
        <w:spacing w:after="0" w:line="240" w:lineRule="auto"/>
        <w:rPr>
          <w:rFonts w:ascii="Times New Roman" w:hAnsi="Times New Roman"/>
        </w:rPr>
      </w:pPr>
    </w:p>
    <w:p w14:paraId="5560FB36" w14:textId="6294AFD9" w:rsidR="00355F50" w:rsidRPr="00230AA5" w:rsidRDefault="00355F50" w:rsidP="0019750E">
      <w:pPr>
        <w:pStyle w:val="Cmsor3"/>
        <w:spacing w:before="0" w:line="240" w:lineRule="auto"/>
        <w:ind w:left="567" w:hanging="567"/>
        <w:rPr>
          <w:rFonts w:cs="Times New Roman"/>
        </w:rPr>
      </w:pPr>
      <w:r w:rsidRPr="00230AA5">
        <w:rPr>
          <w:rFonts w:cs="Times New Roman"/>
        </w:rPr>
        <w:t>4.6</w:t>
      </w:r>
      <w:r w:rsidRPr="00230AA5">
        <w:rPr>
          <w:rFonts w:cs="Times New Roman"/>
        </w:rPr>
        <w:tab/>
        <w:t>Termékenység, terhesség és szoptatás</w:t>
      </w:r>
      <w:r w:rsidR="00A15089" w:rsidRPr="00230AA5">
        <w:rPr>
          <w:rFonts w:cs="Times New Roman"/>
        </w:rPr>
        <w:fldChar w:fldCharType="begin"/>
      </w:r>
      <w:r w:rsidR="00A15089" w:rsidRPr="00230AA5">
        <w:rPr>
          <w:rFonts w:cs="Times New Roman"/>
        </w:rPr>
        <w:instrText xml:space="preserve"> DOCVARIABLE vault_nd_f1818973-d0c4-4756-ab2a-30a481a937eb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2B523410" w14:textId="77777777" w:rsidR="00A10C68" w:rsidRDefault="00A10C68" w:rsidP="00230AA5">
      <w:pPr>
        <w:spacing w:after="0" w:line="240" w:lineRule="auto"/>
        <w:rPr>
          <w:rFonts w:ascii="Times New Roman" w:hAnsi="Times New Roman"/>
        </w:rPr>
      </w:pPr>
    </w:p>
    <w:p w14:paraId="04922362" w14:textId="5E52D8C0"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alkalmazása nőknek nem javallt.</w:t>
      </w:r>
    </w:p>
    <w:p w14:paraId="039EEEFD" w14:textId="77777777" w:rsidR="000C7C20" w:rsidRPr="00230AA5" w:rsidRDefault="000C7C20" w:rsidP="00230AA5">
      <w:pPr>
        <w:spacing w:after="0" w:line="240" w:lineRule="auto"/>
        <w:rPr>
          <w:rFonts w:ascii="Times New Roman" w:hAnsi="Times New Roman"/>
        </w:rPr>
      </w:pPr>
    </w:p>
    <w:p w14:paraId="75641521" w14:textId="77777777" w:rsidR="00063909" w:rsidRDefault="00355F50" w:rsidP="00230AA5">
      <w:pPr>
        <w:spacing w:after="0" w:line="240" w:lineRule="auto"/>
        <w:rPr>
          <w:rFonts w:ascii="Times New Roman" w:hAnsi="Times New Roman"/>
        </w:rPr>
      </w:pPr>
      <w:r w:rsidRPr="00230AA5">
        <w:rPr>
          <w:rFonts w:ascii="Times New Roman" w:hAnsi="Times New Roman"/>
        </w:rPr>
        <w:t>Nem végeztek megfelelő kontrollos vizsgálatokat terhes vagy szoptató nők esetében.</w:t>
      </w:r>
    </w:p>
    <w:p w14:paraId="2C488E3F" w14:textId="77777777" w:rsidR="000C7C20" w:rsidRPr="00230AA5" w:rsidRDefault="000C7C20" w:rsidP="00230AA5">
      <w:pPr>
        <w:spacing w:after="0" w:line="240" w:lineRule="auto"/>
        <w:rPr>
          <w:rFonts w:ascii="Times New Roman" w:hAnsi="Times New Roman"/>
        </w:rPr>
      </w:pPr>
    </w:p>
    <w:p w14:paraId="1B8B8B7A" w14:textId="77777777" w:rsidR="00355F50" w:rsidRDefault="00355F50" w:rsidP="00230AA5">
      <w:pPr>
        <w:spacing w:after="0" w:line="240" w:lineRule="auto"/>
        <w:rPr>
          <w:rFonts w:ascii="Times New Roman" w:hAnsi="Times New Roman"/>
        </w:rPr>
      </w:pPr>
      <w:r w:rsidRPr="00230AA5">
        <w:rPr>
          <w:rFonts w:ascii="Times New Roman" w:hAnsi="Times New Roman"/>
        </w:rPr>
        <w:t>A patkányokon és nyulakon, orálisan adott szildenafillal végzett reprodukciós vizsgálatok során nem észleltek releváns nemkívánatos hatást.</w:t>
      </w:r>
    </w:p>
    <w:p w14:paraId="767ACA7B" w14:textId="77777777" w:rsidR="000C7C20" w:rsidRPr="00230AA5" w:rsidRDefault="000C7C20" w:rsidP="00230AA5">
      <w:pPr>
        <w:spacing w:after="0" w:line="240" w:lineRule="auto"/>
        <w:rPr>
          <w:rFonts w:ascii="Times New Roman" w:hAnsi="Times New Roman"/>
        </w:rPr>
      </w:pPr>
    </w:p>
    <w:p w14:paraId="53727DCB"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 egyszeri 100 mg-os orális dózisai után egészséges önkénteseknél a spermiumok motilitására és morfológiájára gyakorolt hatást nem észleltek (lásd 5.1 pont).</w:t>
      </w:r>
    </w:p>
    <w:p w14:paraId="6A50B09B" w14:textId="77777777" w:rsidR="00355F50" w:rsidRPr="00230AA5" w:rsidRDefault="00355F50" w:rsidP="00230AA5">
      <w:pPr>
        <w:spacing w:after="0" w:line="240" w:lineRule="auto"/>
        <w:rPr>
          <w:rFonts w:ascii="Times New Roman" w:hAnsi="Times New Roman"/>
        </w:rPr>
      </w:pPr>
    </w:p>
    <w:p w14:paraId="34941EAC" w14:textId="785FED49" w:rsidR="00355F50" w:rsidRPr="00230AA5" w:rsidRDefault="00355F50" w:rsidP="0019750E">
      <w:pPr>
        <w:pStyle w:val="Cmsor3"/>
        <w:spacing w:before="0" w:line="240" w:lineRule="auto"/>
        <w:ind w:left="567" w:hanging="567"/>
        <w:rPr>
          <w:rFonts w:cs="Times New Roman"/>
        </w:rPr>
      </w:pPr>
      <w:r w:rsidRPr="00230AA5">
        <w:rPr>
          <w:rFonts w:cs="Times New Roman"/>
        </w:rPr>
        <w:t>4.7</w:t>
      </w:r>
      <w:r w:rsidRPr="00230AA5">
        <w:rPr>
          <w:rFonts w:cs="Times New Roman"/>
        </w:rPr>
        <w:tab/>
        <w:t>A készítmény hatásai a gépjárművezetéshez és a gépek kezeléséhez szükséges képességekre</w:t>
      </w:r>
      <w:r w:rsidR="00A15089" w:rsidRPr="00230AA5">
        <w:rPr>
          <w:rFonts w:cs="Times New Roman"/>
        </w:rPr>
        <w:fldChar w:fldCharType="begin"/>
      </w:r>
      <w:r w:rsidR="00A15089" w:rsidRPr="00230AA5">
        <w:rPr>
          <w:rFonts w:cs="Times New Roman"/>
        </w:rPr>
        <w:instrText xml:space="preserve"> DOCVARIABLE vault_nd_3c12b3d1-2a76-4bf3-9213-37ac2917a00a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5F27080" w14:textId="77777777" w:rsidR="00A10C68" w:rsidRDefault="00A10C68" w:rsidP="00230AA5">
      <w:pPr>
        <w:spacing w:after="0" w:line="240" w:lineRule="auto"/>
        <w:rPr>
          <w:rFonts w:ascii="Times New Roman" w:hAnsi="Times New Roman"/>
        </w:rPr>
      </w:pPr>
    </w:p>
    <w:p w14:paraId="316989B2" w14:textId="6624342C" w:rsidR="00355F50" w:rsidRDefault="003A33EC" w:rsidP="00230AA5">
      <w:pPr>
        <w:spacing w:after="0" w:line="240" w:lineRule="auto"/>
        <w:rPr>
          <w:rFonts w:ascii="Times New Roman" w:hAnsi="Times New Roman"/>
        </w:rPr>
      </w:pPr>
      <w:r w:rsidRPr="00230AA5">
        <w:rPr>
          <w:rFonts w:ascii="Times New Roman" w:hAnsi="Times New Roman"/>
        </w:rPr>
        <w:t xml:space="preserve">A </w:t>
      </w:r>
      <w:r w:rsidR="00B4541F" w:rsidRPr="00230AA5">
        <w:rPr>
          <w:rFonts w:ascii="Times New Roman" w:hAnsi="Times New Roman"/>
        </w:rPr>
        <w:t>Sildenafil ADOH</w:t>
      </w:r>
      <w:r w:rsidRPr="00230AA5">
        <w:rPr>
          <w:rFonts w:ascii="Times New Roman" w:hAnsi="Times New Roman"/>
        </w:rPr>
        <w:t xml:space="preserve"> kis mértékben befolyásolja a gépjárművezetéshez és gépek kezeléséhez szükséges képességeket.</w:t>
      </w:r>
    </w:p>
    <w:p w14:paraId="7DDE8394" w14:textId="77777777" w:rsidR="000C7C20" w:rsidRPr="00230AA5" w:rsidRDefault="000C7C20" w:rsidP="00230AA5">
      <w:pPr>
        <w:spacing w:after="0" w:line="240" w:lineRule="auto"/>
        <w:rPr>
          <w:rFonts w:ascii="Times New Roman" w:hAnsi="Times New Roman"/>
        </w:rPr>
      </w:pPr>
    </w:p>
    <w:p w14:paraId="38D44A01" w14:textId="1E66278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Mivel a szildenafillal végzett klinikai vizsgálatok során szédülésről és látászavarról is beszámoltak, ezért gépjárművezetés, illetve gépek kezelése előtt a betegnek tudnia kell, hogyan reagál a </w:t>
      </w:r>
      <w:r w:rsidR="00B4541F" w:rsidRPr="00230AA5">
        <w:rPr>
          <w:rFonts w:ascii="Times New Roman" w:hAnsi="Times New Roman"/>
        </w:rPr>
        <w:t>Sildenafil ADOH</w:t>
      </w:r>
      <w:r w:rsidRPr="00230AA5">
        <w:rPr>
          <w:rFonts w:ascii="Times New Roman" w:hAnsi="Times New Roman"/>
        </w:rPr>
        <w:t>-ra.</w:t>
      </w:r>
    </w:p>
    <w:p w14:paraId="4327E81F" w14:textId="77777777" w:rsidR="00355F50" w:rsidRPr="00230AA5" w:rsidRDefault="00355F50" w:rsidP="00230AA5">
      <w:pPr>
        <w:spacing w:after="0" w:line="240" w:lineRule="auto"/>
        <w:rPr>
          <w:rFonts w:ascii="Times New Roman" w:hAnsi="Times New Roman"/>
        </w:rPr>
      </w:pPr>
    </w:p>
    <w:p w14:paraId="6D00CC58" w14:textId="26636B5F" w:rsidR="00355F50" w:rsidRPr="00230AA5" w:rsidRDefault="00355F50" w:rsidP="0019750E">
      <w:pPr>
        <w:pStyle w:val="Cmsor3"/>
        <w:spacing w:before="0" w:line="240" w:lineRule="auto"/>
        <w:ind w:left="567" w:hanging="567"/>
        <w:rPr>
          <w:rFonts w:cs="Times New Roman"/>
        </w:rPr>
      </w:pPr>
      <w:r w:rsidRPr="00230AA5">
        <w:rPr>
          <w:rFonts w:cs="Times New Roman"/>
        </w:rPr>
        <w:t>4.8</w:t>
      </w:r>
      <w:r w:rsidRPr="00230AA5">
        <w:rPr>
          <w:rFonts w:cs="Times New Roman"/>
        </w:rPr>
        <w:tab/>
        <w:t>Nemkívánatos hatások, mellékhatások</w:t>
      </w:r>
      <w:r w:rsidR="00A15089" w:rsidRPr="00230AA5">
        <w:rPr>
          <w:rFonts w:cs="Times New Roman"/>
        </w:rPr>
        <w:fldChar w:fldCharType="begin"/>
      </w:r>
      <w:r w:rsidR="00A15089" w:rsidRPr="00230AA5">
        <w:rPr>
          <w:rFonts w:cs="Times New Roman"/>
        </w:rPr>
        <w:instrText xml:space="preserve"> DOCVARIABLE vault_nd_9406a285-bda8-4c3a-b026-d7dc87ac092d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C32CBDE" w14:textId="77777777" w:rsidR="00A10C68" w:rsidRDefault="00A10C68" w:rsidP="00230AA5">
      <w:pPr>
        <w:spacing w:after="0" w:line="240" w:lineRule="auto"/>
        <w:rPr>
          <w:rFonts w:ascii="Times New Roman" w:hAnsi="Times New Roman"/>
          <w:u w:val="single"/>
        </w:rPr>
      </w:pPr>
    </w:p>
    <w:p w14:paraId="52AC3910" w14:textId="4F02097C"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biztonságossági profil összefoglalása</w:t>
      </w:r>
    </w:p>
    <w:p w14:paraId="12EDAB87" w14:textId="2EDCA067" w:rsidR="00107D14" w:rsidRPr="00230AA5" w:rsidRDefault="00107D14" w:rsidP="00230AA5">
      <w:pPr>
        <w:spacing w:after="0" w:line="240" w:lineRule="auto"/>
        <w:rPr>
          <w:rFonts w:ascii="Times New Roman" w:hAnsi="Times New Roman"/>
        </w:rPr>
      </w:pPr>
      <w:r w:rsidRPr="00230AA5">
        <w:rPr>
          <w:rFonts w:ascii="Times New Roman" w:hAnsi="Times New Roman"/>
        </w:rPr>
        <w:t>A</w:t>
      </w:r>
      <w:r w:rsidR="000C7C20">
        <w:rPr>
          <w:rFonts w:ascii="Times New Roman" w:hAnsi="Times New Roman"/>
        </w:rPr>
        <w:t xml:space="preserve"> szildenafil </w:t>
      </w:r>
      <w:r w:rsidRPr="00230AA5">
        <w:rPr>
          <w:rFonts w:ascii="Times New Roman" w:hAnsi="Times New Roman"/>
        </w:rPr>
        <w:t>biztonságossági profilja 9570 betegnél szerzett tapasztalaton alapul, akiket 74 kettős vak, placebokontrollos klinikai vizsgálatban kezeltek. A klinikai vizsgálatokban a szildenafillal kezelt betegeknél leggyakrabban jelentett mellékhatások a fejfájás, kipirulás, dyspepsia, orrdugulás, szédülés, hányinger, hőhullámok, látászavar, cyanopsia és homályos látás voltak.</w:t>
      </w:r>
    </w:p>
    <w:p w14:paraId="42DA2499" w14:textId="77777777" w:rsidR="0038303A" w:rsidRPr="00230AA5" w:rsidRDefault="0038303A" w:rsidP="00230AA5">
      <w:pPr>
        <w:spacing w:after="0" w:line="240" w:lineRule="auto"/>
        <w:rPr>
          <w:rFonts w:ascii="Times New Roman" w:hAnsi="Times New Roman"/>
        </w:rPr>
      </w:pPr>
    </w:p>
    <w:p w14:paraId="576EE5A6" w14:textId="115EE7BC" w:rsidR="00107D14" w:rsidRDefault="00107D14" w:rsidP="00230AA5">
      <w:pPr>
        <w:spacing w:after="0" w:line="240" w:lineRule="auto"/>
        <w:rPr>
          <w:rFonts w:ascii="Times New Roman" w:hAnsi="Times New Roman"/>
        </w:rPr>
      </w:pPr>
      <w:r w:rsidRPr="00230AA5">
        <w:rPr>
          <w:rFonts w:ascii="Times New Roman" w:hAnsi="Times New Roman"/>
        </w:rPr>
        <w:t>A forgalomba hozatalt követő megfigyelésekből származó mellékhatásokat becslések szerint 10 évnél hosszabb időszakot átfogva gyűjtötték össze. Mivel nem minden mellékhatást jelentettek a forgalomba hozatali engedély jogosultjának, és nem mindegyik került bele a biztonságossági adatbázisba, ezeknek a reakcióknak a gyakorisága nem határozható meg megbízhatóan.</w:t>
      </w:r>
    </w:p>
    <w:p w14:paraId="43A8F6C0" w14:textId="77777777" w:rsidR="000C7C20" w:rsidRPr="00230AA5" w:rsidRDefault="000C7C20" w:rsidP="00230AA5">
      <w:pPr>
        <w:spacing w:after="0" w:line="240" w:lineRule="auto"/>
        <w:rPr>
          <w:rFonts w:ascii="Times New Roman" w:hAnsi="Times New Roman"/>
        </w:rPr>
      </w:pPr>
    </w:p>
    <w:p w14:paraId="546CF8EE"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A mellékhatások táblázatos felsorolása</w:t>
      </w:r>
    </w:p>
    <w:p w14:paraId="7396A451" w14:textId="448F72BF" w:rsidR="00355F50" w:rsidRPr="00230AA5" w:rsidRDefault="00355F50" w:rsidP="00230AA5">
      <w:pPr>
        <w:spacing w:after="0" w:line="240" w:lineRule="auto"/>
        <w:rPr>
          <w:rFonts w:ascii="Times New Roman" w:hAnsi="Times New Roman"/>
        </w:rPr>
      </w:pPr>
      <w:r w:rsidRPr="00230AA5">
        <w:rPr>
          <w:rFonts w:ascii="Times New Roman" w:hAnsi="Times New Roman"/>
        </w:rPr>
        <w:t>Az alábbi táblázatban minden, orvosi szempontból fontos mellékhatás, mely a klinikai vizsgálatokban a placebónál magasabb incidenciával jelentkezett, szervrendszerek és gyakoriság szerint van felsorolva (nagyon gyakori: ≥1/10, gyakori: ≥1/100 – &lt; 1/10, nem gyakori: ≥1/1000 – &lt;1/100, ritka: ≥1/10</w:t>
      </w:r>
      <w:r w:rsidR="000C7C20">
        <w:rPr>
          <w:rFonts w:ascii="Times New Roman" w:hAnsi="Times New Roman"/>
        </w:rPr>
        <w:t> </w:t>
      </w:r>
      <w:r w:rsidRPr="00230AA5">
        <w:rPr>
          <w:rFonts w:ascii="Times New Roman" w:hAnsi="Times New Roman"/>
        </w:rPr>
        <w:t>000 – &lt;1/1000).</w:t>
      </w:r>
    </w:p>
    <w:p w14:paraId="752A99CE" w14:textId="78E29ABE" w:rsidR="00355F50" w:rsidRPr="00230AA5" w:rsidRDefault="00355F50" w:rsidP="00230AA5">
      <w:pPr>
        <w:spacing w:after="0" w:line="240" w:lineRule="auto"/>
        <w:rPr>
          <w:rFonts w:ascii="Times New Roman" w:hAnsi="Times New Roman"/>
        </w:rPr>
      </w:pPr>
      <w:r w:rsidRPr="00230AA5">
        <w:rPr>
          <w:rFonts w:ascii="Times New Roman" w:hAnsi="Times New Roman"/>
        </w:rPr>
        <w:t>Az egyes gyakorisági kategóriákon belül a nemkívánatos hatások csökkenő súlyosság szerint kerülnek megadásra.</w:t>
      </w:r>
    </w:p>
    <w:p w14:paraId="7E5B60B4" w14:textId="77777777" w:rsidR="00355F50" w:rsidRPr="00230AA5" w:rsidRDefault="00355F50" w:rsidP="00230AA5">
      <w:pPr>
        <w:spacing w:after="0" w:line="240" w:lineRule="auto"/>
        <w:rPr>
          <w:rFonts w:ascii="Times New Roman" w:hAnsi="Times New Roman"/>
          <w:b/>
          <w:bCs/>
        </w:rPr>
      </w:pPr>
    </w:p>
    <w:p w14:paraId="1299D6C0" w14:textId="77777777" w:rsidR="00355F50" w:rsidRPr="00230AA5" w:rsidRDefault="00355F50" w:rsidP="00230AA5">
      <w:pPr>
        <w:spacing w:after="0" w:line="240" w:lineRule="auto"/>
        <w:rPr>
          <w:rFonts w:ascii="Times New Roman" w:hAnsi="Times New Roman"/>
          <w:b/>
          <w:bCs/>
        </w:rPr>
      </w:pPr>
      <w:r w:rsidRPr="00230AA5">
        <w:rPr>
          <w:rFonts w:ascii="Times New Roman" w:hAnsi="Times New Roman"/>
          <w:b/>
        </w:rPr>
        <w:t>1. táblázat: Kontrollos klinikai vizsgálatokból származó, a placebónál magasabb előfordulási gyakorisággal jelentett, orvosi szempontból fontos mellékhatások, és a forgalomba hozatalt követő megfigyelések során jelentett, orvosi szempontból fontos mellékhatások</w:t>
      </w:r>
    </w:p>
    <w:p w14:paraId="32D032E2" w14:textId="77777777" w:rsidR="00355F50" w:rsidRPr="00230AA5" w:rsidRDefault="00355F50" w:rsidP="00230AA5">
      <w:pPr>
        <w:spacing w:after="0" w:line="240" w:lineRule="auto"/>
        <w:rPr>
          <w:rFonts w:ascii="Times New Roman" w:hAnsi="Times New Roman"/>
          <w:b/>
          <w:bCs/>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4"/>
        <w:gridCol w:w="4494"/>
      </w:tblGrid>
      <w:tr w:rsidR="00885E73" w:rsidRPr="00230AA5" w14:paraId="441C2D2A" w14:textId="77777777" w:rsidTr="00885E73">
        <w:tc>
          <w:tcPr>
            <w:tcW w:w="4494" w:type="dxa"/>
          </w:tcPr>
          <w:p w14:paraId="45064AD9" w14:textId="78A9EA2C" w:rsidR="00885E73" w:rsidRPr="00230AA5" w:rsidRDefault="00885E73" w:rsidP="00230AA5">
            <w:pPr>
              <w:spacing w:after="0" w:line="240" w:lineRule="auto"/>
              <w:rPr>
                <w:rFonts w:ascii="Times New Roman" w:hAnsi="Times New Roman"/>
                <w:b/>
                <w:bCs/>
              </w:rPr>
            </w:pPr>
            <w:r w:rsidRPr="00230AA5">
              <w:rPr>
                <w:rFonts w:ascii="Times New Roman" w:hAnsi="Times New Roman"/>
                <w:b/>
              </w:rPr>
              <w:t>Szervrendszer</w:t>
            </w:r>
          </w:p>
        </w:tc>
        <w:tc>
          <w:tcPr>
            <w:tcW w:w="4494" w:type="dxa"/>
          </w:tcPr>
          <w:p w14:paraId="1D72470B" w14:textId="2029C52C" w:rsidR="00885E73" w:rsidRPr="00230AA5" w:rsidRDefault="00885E73" w:rsidP="00230AA5">
            <w:pPr>
              <w:spacing w:after="0" w:line="240" w:lineRule="auto"/>
              <w:rPr>
                <w:rFonts w:ascii="Times New Roman" w:hAnsi="Times New Roman"/>
                <w:b/>
                <w:bCs/>
              </w:rPr>
            </w:pPr>
            <w:r w:rsidRPr="00230AA5">
              <w:rPr>
                <w:rFonts w:ascii="Times New Roman" w:hAnsi="Times New Roman"/>
                <w:b/>
              </w:rPr>
              <w:t>Mellékhatások</w:t>
            </w:r>
          </w:p>
        </w:tc>
      </w:tr>
      <w:tr w:rsidR="00885E73" w:rsidRPr="00230AA5" w14:paraId="172D073D" w14:textId="77777777" w:rsidTr="00885E73">
        <w:tc>
          <w:tcPr>
            <w:tcW w:w="4494" w:type="dxa"/>
          </w:tcPr>
          <w:p w14:paraId="1CF637FE" w14:textId="4E6DF9CE" w:rsidR="00885E73" w:rsidRPr="00230AA5" w:rsidRDefault="00885E73" w:rsidP="00230AA5">
            <w:pPr>
              <w:spacing w:after="0" w:line="240" w:lineRule="auto"/>
              <w:rPr>
                <w:rFonts w:ascii="Times New Roman" w:hAnsi="Times New Roman"/>
                <w:b/>
                <w:bCs/>
              </w:rPr>
            </w:pPr>
            <w:r w:rsidRPr="00230AA5">
              <w:rPr>
                <w:rFonts w:ascii="Times New Roman" w:hAnsi="Times New Roman"/>
                <w:b/>
              </w:rPr>
              <w:t>Fertőző betegségek és parazitafertőzések</w:t>
            </w:r>
          </w:p>
        </w:tc>
        <w:tc>
          <w:tcPr>
            <w:tcW w:w="4494" w:type="dxa"/>
          </w:tcPr>
          <w:p w14:paraId="2CCEDE25" w14:textId="77777777" w:rsidR="00885E73" w:rsidRPr="00230AA5" w:rsidRDefault="00885E73" w:rsidP="00230AA5">
            <w:pPr>
              <w:spacing w:after="0" w:line="240" w:lineRule="auto"/>
              <w:rPr>
                <w:rFonts w:ascii="Times New Roman" w:hAnsi="Times New Roman"/>
                <w:b/>
                <w:bCs/>
                <w:lang w:val="en-GB"/>
              </w:rPr>
            </w:pPr>
          </w:p>
        </w:tc>
      </w:tr>
      <w:tr w:rsidR="00885E73" w:rsidRPr="00230AA5" w14:paraId="29143990" w14:textId="77777777" w:rsidTr="00885E73">
        <w:tc>
          <w:tcPr>
            <w:tcW w:w="4494" w:type="dxa"/>
          </w:tcPr>
          <w:p w14:paraId="2E2B4CAE" w14:textId="590B65DF" w:rsidR="00885E73" w:rsidRPr="00230AA5" w:rsidRDefault="00885E73" w:rsidP="00230AA5">
            <w:pPr>
              <w:spacing w:after="0" w:line="240" w:lineRule="auto"/>
              <w:rPr>
                <w:rFonts w:ascii="Times New Roman" w:hAnsi="Times New Roman"/>
                <w:b/>
                <w:bCs/>
              </w:rPr>
            </w:pPr>
            <w:r w:rsidRPr="00230AA5">
              <w:rPr>
                <w:rFonts w:ascii="Times New Roman" w:hAnsi="Times New Roman"/>
              </w:rPr>
              <w:t>Nem gyakori</w:t>
            </w:r>
          </w:p>
        </w:tc>
        <w:tc>
          <w:tcPr>
            <w:tcW w:w="4494" w:type="dxa"/>
          </w:tcPr>
          <w:p w14:paraId="4E297FAF" w14:textId="2550103A" w:rsidR="00885E73" w:rsidRPr="00230AA5" w:rsidRDefault="00885E73" w:rsidP="00230AA5">
            <w:pPr>
              <w:spacing w:after="0" w:line="240" w:lineRule="auto"/>
              <w:rPr>
                <w:rFonts w:ascii="Times New Roman" w:hAnsi="Times New Roman"/>
                <w:b/>
                <w:bCs/>
              </w:rPr>
            </w:pPr>
            <w:r w:rsidRPr="00230AA5">
              <w:rPr>
                <w:rFonts w:ascii="Times New Roman" w:hAnsi="Times New Roman"/>
              </w:rPr>
              <w:t>rhinitis</w:t>
            </w:r>
          </w:p>
        </w:tc>
      </w:tr>
      <w:tr w:rsidR="00885E73" w:rsidRPr="00230AA5" w14:paraId="21B6A6F8" w14:textId="77777777" w:rsidTr="00885E73">
        <w:tc>
          <w:tcPr>
            <w:tcW w:w="4494" w:type="dxa"/>
          </w:tcPr>
          <w:p w14:paraId="6C6BA03B" w14:textId="2CDD059B" w:rsidR="00885E73" w:rsidRPr="00230AA5" w:rsidRDefault="00885E73" w:rsidP="00230AA5">
            <w:pPr>
              <w:spacing w:after="0" w:line="240" w:lineRule="auto"/>
              <w:rPr>
                <w:rFonts w:ascii="Times New Roman" w:hAnsi="Times New Roman"/>
                <w:b/>
                <w:bCs/>
              </w:rPr>
            </w:pPr>
            <w:r w:rsidRPr="00230AA5">
              <w:rPr>
                <w:rFonts w:ascii="Times New Roman" w:hAnsi="Times New Roman"/>
                <w:b/>
              </w:rPr>
              <w:t>Immunrendszeri betegségek és tünetek</w:t>
            </w:r>
          </w:p>
        </w:tc>
        <w:tc>
          <w:tcPr>
            <w:tcW w:w="4494" w:type="dxa"/>
          </w:tcPr>
          <w:p w14:paraId="77EEDD8F" w14:textId="77777777" w:rsidR="00885E73" w:rsidRPr="00230AA5" w:rsidRDefault="00885E73" w:rsidP="00230AA5">
            <w:pPr>
              <w:spacing w:after="0" w:line="240" w:lineRule="auto"/>
              <w:rPr>
                <w:rFonts w:ascii="Times New Roman" w:hAnsi="Times New Roman"/>
                <w:bCs/>
                <w:lang w:val="en-GB"/>
              </w:rPr>
            </w:pPr>
          </w:p>
        </w:tc>
      </w:tr>
      <w:tr w:rsidR="00885E73" w:rsidRPr="00230AA5" w14:paraId="7F862A5A" w14:textId="77777777" w:rsidTr="00885E73">
        <w:tc>
          <w:tcPr>
            <w:tcW w:w="4494" w:type="dxa"/>
          </w:tcPr>
          <w:p w14:paraId="1C3A5D02" w14:textId="6FA8349B" w:rsidR="00885E73" w:rsidRPr="00230AA5" w:rsidRDefault="00885E73" w:rsidP="00230AA5">
            <w:pPr>
              <w:spacing w:after="0" w:line="240" w:lineRule="auto"/>
              <w:rPr>
                <w:rFonts w:ascii="Times New Roman" w:hAnsi="Times New Roman"/>
                <w:b/>
                <w:bCs/>
              </w:rPr>
            </w:pPr>
            <w:r w:rsidRPr="00230AA5">
              <w:rPr>
                <w:rFonts w:ascii="Times New Roman" w:hAnsi="Times New Roman"/>
              </w:rPr>
              <w:t>Nem gyakori</w:t>
            </w:r>
          </w:p>
        </w:tc>
        <w:tc>
          <w:tcPr>
            <w:tcW w:w="4494" w:type="dxa"/>
          </w:tcPr>
          <w:p w14:paraId="060EC41C" w14:textId="22F70B1B" w:rsidR="00885E73" w:rsidRPr="00230AA5" w:rsidRDefault="00885E73" w:rsidP="00230AA5">
            <w:pPr>
              <w:spacing w:after="0" w:line="240" w:lineRule="auto"/>
              <w:rPr>
                <w:rFonts w:ascii="Times New Roman" w:hAnsi="Times New Roman"/>
                <w:bCs/>
              </w:rPr>
            </w:pPr>
            <w:r w:rsidRPr="00230AA5">
              <w:rPr>
                <w:rFonts w:ascii="Times New Roman" w:hAnsi="Times New Roman"/>
              </w:rPr>
              <w:t xml:space="preserve">túlérzékenység </w:t>
            </w:r>
          </w:p>
        </w:tc>
      </w:tr>
      <w:tr w:rsidR="00885E73" w:rsidRPr="00230AA5" w14:paraId="53AF6B2A" w14:textId="77777777" w:rsidTr="00885E73">
        <w:tc>
          <w:tcPr>
            <w:tcW w:w="4494" w:type="dxa"/>
          </w:tcPr>
          <w:p w14:paraId="089B07CC" w14:textId="572F5C5B" w:rsidR="00885E73" w:rsidRPr="00230AA5" w:rsidRDefault="00885E73" w:rsidP="00230AA5">
            <w:pPr>
              <w:spacing w:after="0" w:line="240" w:lineRule="auto"/>
              <w:rPr>
                <w:rFonts w:ascii="Times New Roman" w:hAnsi="Times New Roman"/>
                <w:b/>
                <w:bCs/>
              </w:rPr>
            </w:pPr>
            <w:r w:rsidRPr="00230AA5">
              <w:rPr>
                <w:rFonts w:ascii="Times New Roman" w:hAnsi="Times New Roman"/>
                <w:b/>
              </w:rPr>
              <w:t>Idegrendszeri betegségek és tünetek</w:t>
            </w:r>
          </w:p>
        </w:tc>
        <w:tc>
          <w:tcPr>
            <w:tcW w:w="4494" w:type="dxa"/>
          </w:tcPr>
          <w:p w14:paraId="3E86C7E5" w14:textId="77777777" w:rsidR="00885E73" w:rsidRPr="00230AA5" w:rsidRDefault="00885E73" w:rsidP="00230AA5">
            <w:pPr>
              <w:spacing w:after="0" w:line="240" w:lineRule="auto"/>
              <w:rPr>
                <w:rFonts w:ascii="Times New Roman" w:hAnsi="Times New Roman"/>
                <w:lang w:val="en-GB"/>
              </w:rPr>
            </w:pPr>
          </w:p>
        </w:tc>
      </w:tr>
      <w:tr w:rsidR="00885E73" w:rsidRPr="00230AA5" w14:paraId="4F2496C5" w14:textId="77777777" w:rsidTr="00885E73">
        <w:tc>
          <w:tcPr>
            <w:tcW w:w="4494" w:type="dxa"/>
          </w:tcPr>
          <w:p w14:paraId="634338A1" w14:textId="258B3F5A"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Nagyon gyakori </w:t>
            </w:r>
          </w:p>
        </w:tc>
        <w:tc>
          <w:tcPr>
            <w:tcW w:w="4494" w:type="dxa"/>
          </w:tcPr>
          <w:p w14:paraId="24E06237" w14:textId="6A0A1C9C" w:rsidR="00885E73" w:rsidRPr="00230AA5" w:rsidRDefault="00885E73" w:rsidP="00230AA5">
            <w:pPr>
              <w:spacing w:after="0" w:line="240" w:lineRule="auto"/>
              <w:rPr>
                <w:rFonts w:ascii="Times New Roman" w:hAnsi="Times New Roman"/>
              </w:rPr>
            </w:pPr>
            <w:r w:rsidRPr="00230AA5">
              <w:rPr>
                <w:rFonts w:ascii="Times New Roman" w:hAnsi="Times New Roman"/>
              </w:rPr>
              <w:t>fejfájás</w:t>
            </w:r>
          </w:p>
        </w:tc>
      </w:tr>
      <w:tr w:rsidR="00885E73" w:rsidRPr="00230AA5" w14:paraId="4506B2B1" w14:textId="77777777" w:rsidTr="00885E73">
        <w:tc>
          <w:tcPr>
            <w:tcW w:w="4494" w:type="dxa"/>
          </w:tcPr>
          <w:p w14:paraId="442D7502" w14:textId="724444D5"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1EEEAA44" w14:textId="40119431" w:rsidR="00885E73" w:rsidRPr="00230AA5" w:rsidRDefault="00885E73" w:rsidP="00230AA5">
            <w:pPr>
              <w:spacing w:after="0" w:line="240" w:lineRule="auto"/>
              <w:rPr>
                <w:rFonts w:ascii="Times New Roman" w:hAnsi="Times New Roman"/>
              </w:rPr>
            </w:pPr>
            <w:r w:rsidRPr="00230AA5">
              <w:rPr>
                <w:rFonts w:ascii="Times New Roman" w:hAnsi="Times New Roman"/>
              </w:rPr>
              <w:t>szédülés</w:t>
            </w:r>
          </w:p>
        </w:tc>
      </w:tr>
      <w:tr w:rsidR="00885E73" w:rsidRPr="00230AA5" w14:paraId="519A0F51" w14:textId="77777777" w:rsidTr="00885E73">
        <w:tc>
          <w:tcPr>
            <w:tcW w:w="4494" w:type="dxa"/>
          </w:tcPr>
          <w:p w14:paraId="57F78CBB" w14:textId="6827ECBF"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4EDEBA33" w14:textId="30D1693A" w:rsidR="00885E73" w:rsidRPr="00230AA5" w:rsidRDefault="00885E73" w:rsidP="00230AA5">
            <w:pPr>
              <w:spacing w:after="0" w:line="240" w:lineRule="auto"/>
              <w:rPr>
                <w:rFonts w:ascii="Times New Roman" w:hAnsi="Times New Roman"/>
              </w:rPr>
            </w:pPr>
            <w:r w:rsidRPr="00230AA5">
              <w:rPr>
                <w:rFonts w:ascii="Times New Roman" w:hAnsi="Times New Roman"/>
              </w:rPr>
              <w:t>aluszékonyság, hyp</w:t>
            </w:r>
            <w:r w:rsidR="007522A4">
              <w:rPr>
                <w:rFonts w:ascii="Times New Roman" w:hAnsi="Times New Roman"/>
              </w:rPr>
              <w:t>o</w:t>
            </w:r>
            <w:r w:rsidRPr="00230AA5">
              <w:rPr>
                <w:rFonts w:ascii="Times New Roman" w:hAnsi="Times New Roman"/>
              </w:rPr>
              <w:t>esthesia</w:t>
            </w:r>
          </w:p>
        </w:tc>
      </w:tr>
      <w:tr w:rsidR="00885E73" w:rsidRPr="00230AA5" w14:paraId="08713B12" w14:textId="77777777" w:rsidTr="00885E73">
        <w:tc>
          <w:tcPr>
            <w:tcW w:w="4494" w:type="dxa"/>
          </w:tcPr>
          <w:p w14:paraId="4663614B" w14:textId="4F9410C1"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Ritka </w:t>
            </w:r>
          </w:p>
        </w:tc>
        <w:tc>
          <w:tcPr>
            <w:tcW w:w="4494" w:type="dxa"/>
          </w:tcPr>
          <w:p w14:paraId="6D9857E7" w14:textId="7E53AA54" w:rsidR="00885E73" w:rsidRPr="00230AA5" w:rsidRDefault="00885E73" w:rsidP="00230AA5">
            <w:pPr>
              <w:spacing w:after="0" w:line="240" w:lineRule="auto"/>
              <w:rPr>
                <w:rFonts w:ascii="Times New Roman" w:hAnsi="Times New Roman"/>
              </w:rPr>
            </w:pPr>
            <w:r w:rsidRPr="00230AA5">
              <w:rPr>
                <w:rFonts w:ascii="Times New Roman" w:hAnsi="Times New Roman"/>
              </w:rPr>
              <w:t>cerebrovascularis történés, tranziens ischaemiás attack (TIA), görcsroham*, görcsroham kiújulása*, syncope</w:t>
            </w:r>
          </w:p>
        </w:tc>
      </w:tr>
      <w:tr w:rsidR="00885E73" w:rsidRPr="00230AA5" w14:paraId="05F4AEDB" w14:textId="77777777" w:rsidTr="00885E73">
        <w:tc>
          <w:tcPr>
            <w:tcW w:w="4494" w:type="dxa"/>
          </w:tcPr>
          <w:p w14:paraId="242CC043" w14:textId="6DD39C31" w:rsidR="00885E73" w:rsidRPr="00230AA5" w:rsidRDefault="00885E73" w:rsidP="00230AA5">
            <w:pPr>
              <w:spacing w:after="0" w:line="240" w:lineRule="auto"/>
              <w:rPr>
                <w:rFonts w:ascii="Times New Roman" w:hAnsi="Times New Roman"/>
                <w:b/>
                <w:bCs/>
              </w:rPr>
            </w:pPr>
            <w:r w:rsidRPr="00230AA5">
              <w:rPr>
                <w:rFonts w:ascii="Times New Roman" w:hAnsi="Times New Roman"/>
                <w:b/>
              </w:rPr>
              <w:t>Szembetegségek és szemészeti tünetek</w:t>
            </w:r>
          </w:p>
        </w:tc>
        <w:tc>
          <w:tcPr>
            <w:tcW w:w="4494" w:type="dxa"/>
          </w:tcPr>
          <w:p w14:paraId="63D88F0C" w14:textId="77777777" w:rsidR="00885E73" w:rsidRPr="00230AA5" w:rsidRDefault="00885E73" w:rsidP="00230AA5">
            <w:pPr>
              <w:spacing w:after="0" w:line="240" w:lineRule="auto"/>
              <w:rPr>
                <w:rFonts w:ascii="Times New Roman" w:hAnsi="Times New Roman"/>
                <w:lang w:val="en-GB"/>
              </w:rPr>
            </w:pPr>
          </w:p>
        </w:tc>
      </w:tr>
      <w:tr w:rsidR="00885E73" w:rsidRPr="00230AA5" w14:paraId="75C58690" w14:textId="77777777" w:rsidTr="00885E73">
        <w:tc>
          <w:tcPr>
            <w:tcW w:w="4494" w:type="dxa"/>
          </w:tcPr>
          <w:p w14:paraId="673A7D48" w14:textId="098A2D36"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Gyakori </w:t>
            </w:r>
          </w:p>
        </w:tc>
        <w:tc>
          <w:tcPr>
            <w:tcW w:w="4494" w:type="dxa"/>
          </w:tcPr>
          <w:p w14:paraId="49E51E3A" w14:textId="4EB252D7" w:rsidR="00885E73" w:rsidRPr="00230AA5" w:rsidRDefault="00885E73" w:rsidP="00230AA5">
            <w:pPr>
              <w:spacing w:after="0" w:line="240" w:lineRule="auto"/>
              <w:rPr>
                <w:rFonts w:ascii="Times New Roman" w:hAnsi="Times New Roman"/>
              </w:rPr>
            </w:pPr>
            <w:r w:rsidRPr="00230AA5">
              <w:rPr>
                <w:rFonts w:ascii="Times New Roman" w:hAnsi="Times New Roman"/>
              </w:rPr>
              <w:t>látászavar, a színlátás zavara:**, homályos látás</w:t>
            </w:r>
          </w:p>
        </w:tc>
      </w:tr>
      <w:tr w:rsidR="00885E73" w:rsidRPr="00230AA5" w14:paraId="0A2C70E1" w14:textId="77777777" w:rsidTr="00885E73">
        <w:tc>
          <w:tcPr>
            <w:tcW w:w="4494" w:type="dxa"/>
          </w:tcPr>
          <w:p w14:paraId="1872E2A0" w14:textId="4202D9AD"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0A6CC774" w14:textId="28575D4A"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kötőhártya-gyulladás, szemkáprázás, hyperaemia a szemben, photophobia, photopsia, szemfájdalom, könnytermelési zavarok***, </w:t>
            </w:r>
          </w:p>
        </w:tc>
      </w:tr>
      <w:tr w:rsidR="00885E73" w:rsidRPr="00230AA5" w14:paraId="7EBC9111" w14:textId="77777777" w:rsidTr="00885E73">
        <w:tc>
          <w:tcPr>
            <w:tcW w:w="4494" w:type="dxa"/>
          </w:tcPr>
          <w:p w14:paraId="2B1B5ADE" w14:textId="1A1341DD"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Ritka </w:t>
            </w:r>
          </w:p>
        </w:tc>
        <w:tc>
          <w:tcPr>
            <w:tcW w:w="4494" w:type="dxa"/>
          </w:tcPr>
          <w:p w14:paraId="5379B25E" w14:textId="6FD2719B" w:rsidR="00885E73" w:rsidRPr="00230AA5" w:rsidRDefault="00885E73" w:rsidP="00230AA5">
            <w:pPr>
              <w:spacing w:after="0" w:line="240" w:lineRule="auto"/>
              <w:rPr>
                <w:rFonts w:ascii="Times New Roman" w:hAnsi="Times New Roman"/>
              </w:rPr>
            </w:pPr>
            <w:r w:rsidRPr="00230AA5">
              <w:rPr>
                <w:rFonts w:ascii="Times New Roman" w:hAnsi="Times New Roman"/>
              </w:rPr>
              <w:t>nem arteritises anterior ichaemiás opticus neuropathia (NAION)*, retinalis érelzáródás*, retinalis vérzés, arterioscleroticus retinopathia, retinalis rendellenesség, glaucoma, látótérkiesés, kettős látás, csökkent látásélesség, myopia, asthenopia, üvegtesti homályok, irisbetegség, mydriasis, gyűrűk látása a fényforrások körül, szem oedema, szemduzzanat, szembetegség, kötőhártya hyperaemia, szemirritáció, kóros érzés a szemben, szemhéj-oedema, sclera-elszíneződés</w:t>
            </w:r>
          </w:p>
        </w:tc>
      </w:tr>
      <w:tr w:rsidR="00885E73" w:rsidRPr="00230AA5" w14:paraId="3E8CB4F9" w14:textId="77777777" w:rsidTr="00885E73">
        <w:tc>
          <w:tcPr>
            <w:tcW w:w="4494" w:type="dxa"/>
          </w:tcPr>
          <w:p w14:paraId="53D25449" w14:textId="2F1B0114" w:rsidR="00885E73" w:rsidRPr="00230AA5" w:rsidRDefault="00885E73" w:rsidP="00230AA5">
            <w:pPr>
              <w:spacing w:after="0" w:line="240" w:lineRule="auto"/>
              <w:rPr>
                <w:rFonts w:ascii="Times New Roman" w:hAnsi="Times New Roman"/>
                <w:b/>
                <w:bCs/>
              </w:rPr>
            </w:pPr>
            <w:r w:rsidRPr="00230AA5">
              <w:rPr>
                <w:rFonts w:ascii="Times New Roman" w:hAnsi="Times New Roman"/>
                <w:b/>
              </w:rPr>
              <w:t>A fül és az egyensúly-érzékelő szerv betegségei és tünetei</w:t>
            </w:r>
          </w:p>
        </w:tc>
        <w:tc>
          <w:tcPr>
            <w:tcW w:w="4494" w:type="dxa"/>
          </w:tcPr>
          <w:p w14:paraId="46F84C1C" w14:textId="77777777" w:rsidR="00885E73" w:rsidRPr="00230AA5" w:rsidRDefault="00885E73" w:rsidP="00230AA5">
            <w:pPr>
              <w:spacing w:after="0" w:line="240" w:lineRule="auto"/>
              <w:rPr>
                <w:rFonts w:ascii="Times New Roman" w:hAnsi="Times New Roman"/>
              </w:rPr>
            </w:pPr>
          </w:p>
        </w:tc>
      </w:tr>
      <w:tr w:rsidR="00885E73" w:rsidRPr="00230AA5" w14:paraId="731AEA98" w14:textId="77777777" w:rsidTr="00885E73">
        <w:tc>
          <w:tcPr>
            <w:tcW w:w="4494" w:type="dxa"/>
          </w:tcPr>
          <w:p w14:paraId="4B3A0EBD" w14:textId="7B8A38AA"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0D5438FD" w14:textId="00ACCD52" w:rsidR="00885E73" w:rsidRPr="00230AA5" w:rsidRDefault="00885E73" w:rsidP="00230AA5">
            <w:pPr>
              <w:spacing w:after="0" w:line="240" w:lineRule="auto"/>
              <w:rPr>
                <w:rFonts w:ascii="Times New Roman" w:hAnsi="Times New Roman"/>
              </w:rPr>
            </w:pPr>
            <w:r w:rsidRPr="00230AA5">
              <w:rPr>
                <w:rFonts w:ascii="Times New Roman" w:hAnsi="Times New Roman"/>
              </w:rPr>
              <w:t>vertigo, tinnitus</w:t>
            </w:r>
          </w:p>
        </w:tc>
      </w:tr>
      <w:tr w:rsidR="00885E73" w:rsidRPr="00230AA5" w14:paraId="65820BDE" w14:textId="77777777" w:rsidTr="00885E73">
        <w:tc>
          <w:tcPr>
            <w:tcW w:w="4494" w:type="dxa"/>
          </w:tcPr>
          <w:p w14:paraId="57DEA530" w14:textId="0B1265D0"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Ritka </w:t>
            </w:r>
          </w:p>
        </w:tc>
        <w:tc>
          <w:tcPr>
            <w:tcW w:w="4494" w:type="dxa"/>
          </w:tcPr>
          <w:p w14:paraId="137408CB" w14:textId="5BD894AF" w:rsidR="00885E73" w:rsidRPr="00230AA5" w:rsidRDefault="00885E73" w:rsidP="00230AA5">
            <w:pPr>
              <w:spacing w:after="0" w:line="240" w:lineRule="auto"/>
              <w:rPr>
                <w:rFonts w:ascii="Times New Roman" w:hAnsi="Times New Roman"/>
              </w:rPr>
            </w:pPr>
            <w:r w:rsidRPr="00230AA5">
              <w:rPr>
                <w:rFonts w:ascii="Times New Roman" w:hAnsi="Times New Roman"/>
              </w:rPr>
              <w:t>süketség</w:t>
            </w:r>
          </w:p>
        </w:tc>
      </w:tr>
      <w:tr w:rsidR="00885E73" w:rsidRPr="00230AA5" w14:paraId="438F6B52" w14:textId="77777777" w:rsidTr="00885E73">
        <w:tc>
          <w:tcPr>
            <w:tcW w:w="4494" w:type="dxa"/>
          </w:tcPr>
          <w:p w14:paraId="1ABF722E" w14:textId="056D836D" w:rsidR="00885E73" w:rsidRPr="00230AA5" w:rsidRDefault="00885E73" w:rsidP="00230AA5">
            <w:pPr>
              <w:spacing w:after="0" w:line="240" w:lineRule="auto"/>
              <w:rPr>
                <w:rFonts w:ascii="Times New Roman" w:hAnsi="Times New Roman"/>
                <w:b/>
                <w:bCs/>
              </w:rPr>
            </w:pPr>
            <w:r w:rsidRPr="00230AA5">
              <w:rPr>
                <w:rFonts w:ascii="Times New Roman" w:hAnsi="Times New Roman"/>
                <w:b/>
              </w:rPr>
              <w:t>Szívbetegségek és a szívvel kapcsolatos tünetek</w:t>
            </w:r>
          </w:p>
        </w:tc>
        <w:tc>
          <w:tcPr>
            <w:tcW w:w="4494" w:type="dxa"/>
          </w:tcPr>
          <w:p w14:paraId="3D8C1F09" w14:textId="77777777" w:rsidR="00885E73" w:rsidRPr="00230AA5" w:rsidRDefault="00885E73" w:rsidP="00230AA5">
            <w:pPr>
              <w:spacing w:after="0" w:line="240" w:lineRule="auto"/>
              <w:rPr>
                <w:rFonts w:ascii="Times New Roman" w:hAnsi="Times New Roman"/>
              </w:rPr>
            </w:pPr>
          </w:p>
        </w:tc>
      </w:tr>
      <w:tr w:rsidR="00885E73" w:rsidRPr="00230AA5" w14:paraId="6830DA76" w14:textId="77777777" w:rsidTr="00885E73">
        <w:tc>
          <w:tcPr>
            <w:tcW w:w="4494" w:type="dxa"/>
          </w:tcPr>
          <w:p w14:paraId="4EA9485E" w14:textId="37A0B927"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4F4A15BD" w14:textId="2BEBD8C6" w:rsidR="00885E73" w:rsidRPr="00230AA5" w:rsidRDefault="00885E73" w:rsidP="00230AA5">
            <w:pPr>
              <w:spacing w:after="0" w:line="240" w:lineRule="auto"/>
              <w:rPr>
                <w:rFonts w:ascii="Times New Roman" w:hAnsi="Times New Roman"/>
              </w:rPr>
            </w:pPr>
            <w:r w:rsidRPr="00230AA5">
              <w:rPr>
                <w:rFonts w:ascii="Times New Roman" w:hAnsi="Times New Roman"/>
              </w:rPr>
              <w:t>palpitatiók, tachycardia</w:t>
            </w:r>
          </w:p>
        </w:tc>
      </w:tr>
      <w:tr w:rsidR="00885E73" w:rsidRPr="00230AA5" w14:paraId="5BB48429" w14:textId="77777777" w:rsidTr="00885E73">
        <w:tc>
          <w:tcPr>
            <w:tcW w:w="4494" w:type="dxa"/>
          </w:tcPr>
          <w:p w14:paraId="0A674D07" w14:textId="6F075C0D" w:rsidR="00885E73" w:rsidRPr="00230AA5" w:rsidRDefault="00885E73" w:rsidP="00230AA5">
            <w:pPr>
              <w:spacing w:after="0" w:line="240" w:lineRule="auto"/>
              <w:rPr>
                <w:rFonts w:ascii="Times New Roman" w:hAnsi="Times New Roman"/>
              </w:rPr>
            </w:pPr>
            <w:r w:rsidRPr="00230AA5">
              <w:rPr>
                <w:rFonts w:ascii="Times New Roman" w:hAnsi="Times New Roman"/>
              </w:rPr>
              <w:t>Ritka</w:t>
            </w:r>
          </w:p>
        </w:tc>
        <w:tc>
          <w:tcPr>
            <w:tcW w:w="4494" w:type="dxa"/>
          </w:tcPr>
          <w:p w14:paraId="3802BA5E" w14:textId="2A20E90F" w:rsidR="00885E73" w:rsidRPr="00230AA5" w:rsidRDefault="00885E73" w:rsidP="00230AA5">
            <w:pPr>
              <w:spacing w:after="0" w:line="240" w:lineRule="auto"/>
              <w:rPr>
                <w:rFonts w:ascii="Times New Roman" w:hAnsi="Times New Roman"/>
              </w:rPr>
            </w:pPr>
            <w:r w:rsidRPr="00230AA5">
              <w:rPr>
                <w:rFonts w:ascii="Times New Roman" w:hAnsi="Times New Roman"/>
              </w:rPr>
              <w:t>hirtelen szívhalál*, myocardialis infarctus, kamrai arrhythmia*, pitvarfibrillatio, instabil angina</w:t>
            </w:r>
          </w:p>
        </w:tc>
      </w:tr>
      <w:tr w:rsidR="00885E73" w:rsidRPr="00230AA5" w14:paraId="080F491D" w14:textId="77777777" w:rsidTr="00885E73">
        <w:tc>
          <w:tcPr>
            <w:tcW w:w="4494" w:type="dxa"/>
          </w:tcPr>
          <w:p w14:paraId="69291ED9" w14:textId="30E4717F" w:rsidR="00885E73" w:rsidRPr="00230AA5" w:rsidRDefault="00885E73" w:rsidP="00230AA5">
            <w:pPr>
              <w:spacing w:after="0" w:line="240" w:lineRule="auto"/>
              <w:rPr>
                <w:rFonts w:ascii="Times New Roman" w:hAnsi="Times New Roman"/>
                <w:b/>
                <w:bCs/>
              </w:rPr>
            </w:pPr>
            <w:r w:rsidRPr="00230AA5">
              <w:rPr>
                <w:rFonts w:ascii="Times New Roman" w:hAnsi="Times New Roman"/>
                <w:b/>
              </w:rPr>
              <w:t>Érbetegségek és tünetek</w:t>
            </w:r>
          </w:p>
        </w:tc>
        <w:tc>
          <w:tcPr>
            <w:tcW w:w="4494" w:type="dxa"/>
          </w:tcPr>
          <w:p w14:paraId="699158F9" w14:textId="77777777" w:rsidR="00885E73" w:rsidRPr="00230AA5" w:rsidRDefault="00885E73" w:rsidP="00230AA5">
            <w:pPr>
              <w:spacing w:after="0" w:line="240" w:lineRule="auto"/>
              <w:rPr>
                <w:rFonts w:ascii="Times New Roman" w:hAnsi="Times New Roman"/>
                <w:lang w:val="en-GB"/>
              </w:rPr>
            </w:pPr>
          </w:p>
        </w:tc>
      </w:tr>
      <w:tr w:rsidR="00885E73" w:rsidRPr="00230AA5" w14:paraId="0B21E6E7" w14:textId="77777777" w:rsidTr="00885E73">
        <w:tc>
          <w:tcPr>
            <w:tcW w:w="4494" w:type="dxa"/>
          </w:tcPr>
          <w:p w14:paraId="5252901E" w14:textId="4DCB8B18"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446FABE2" w14:textId="32EDAAB2" w:rsidR="00885E73" w:rsidRPr="00230AA5" w:rsidRDefault="00885E73" w:rsidP="00230AA5">
            <w:pPr>
              <w:spacing w:after="0" w:line="240" w:lineRule="auto"/>
              <w:rPr>
                <w:rFonts w:ascii="Times New Roman" w:hAnsi="Times New Roman"/>
              </w:rPr>
            </w:pPr>
            <w:r w:rsidRPr="00230AA5">
              <w:rPr>
                <w:rFonts w:ascii="Times New Roman" w:hAnsi="Times New Roman"/>
              </w:rPr>
              <w:t>kipirulás, hőhullámok</w:t>
            </w:r>
          </w:p>
        </w:tc>
      </w:tr>
      <w:tr w:rsidR="00885E73" w:rsidRPr="00230AA5" w14:paraId="2EA52B61" w14:textId="77777777" w:rsidTr="00885E73">
        <w:tc>
          <w:tcPr>
            <w:tcW w:w="4494" w:type="dxa"/>
          </w:tcPr>
          <w:p w14:paraId="001BB85B" w14:textId="40750804"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427C1E5A" w14:textId="64C167BA" w:rsidR="00885E73" w:rsidRPr="00230AA5" w:rsidRDefault="00885E73" w:rsidP="00230AA5">
            <w:pPr>
              <w:spacing w:after="0" w:line="240" w:lineRule="auto"/>
              <w:rPr>
                <w:rFonts w:ascii="Times New Roman" w:hAnsi="Times New Roman"/>
              </w:rPr>
            </w:pPr>
            <w:r w:rsidRPr="00230AA5">
              <w:rPr>
                <w:rFonts w:ascii="Times New Roman" w:hAnsi="Times New Roman"/>
              </w:rPr>
              <w:t>hypertensio, hypotensio</w:t>
            </w:r>
          </w:p>
        </w:tc>
      </w:tr>
      <w:tr w:rsidR="00885E73" w:rsidRPr="00230AA5" w14:paraId="5158CF94" w14:textId="77777777" w:rsidTr="00885E73">
        <w:tc>
          <w:tcPr>
            <w:tcW w:w="4494" w:type="dxa"/>
          </w:tcPr>
          <w:p w14:paraId="27C8BE50" w14:textId="4DD4AC3E" w:rsidR="00885E73" w:rsidRPr="00230AA5" w:rsidRDefault="00885E73" w:rsidP="00230AA5">
            <w:pPr>
              <w:spacing w:after="0" w:line="240" w:lineRule="auto"/>
              <w:rPr>
                <w:rFonts w:ascii="Times New Roman" w:hAnsi="Times New Roman"/>
                <w:b/>
                <w:bCs/>
              </w:rPr>
            </w:pPr>
            <w:r w:rsidRPr="00230AA5">
              <w:rPr>
                <w:rFonts w:ascii="Times New Roman" w:hAnsi="Times New Roman"/>
                <w:b/>
              </w:rPr>
              <w:t>Légzőrendszeri, mellkasi és mediastinalis betegségek és tünetek</w:t>
            </w:r>
          </w:p>
        </w:tc>
        <w:tc>
          <w:tcPr>
            <w:tcW w:w="4494" w:type="dxa"/>
          </w:tcPr>
          <w:p w14:paraId="5B39BEC7" w14:textId="77777777" w:rsidR="00885E73" w:rsidRPr="00230AA5" w:rsidRDefault="00885E73" w:rsidP="00230AA5">
            <w:pPr>
              <w:spacing w:after="0" w:line="240" w:lineRule="auto"/>
              <w:rPr>
                <w:rFonts w:ascii="Times New Roman" w:hAnsi="Times New Roman"/>
              </w:rPr>
            </w:pPr>
          </w:p>
        </w:tc>
      </w:tr>
      <w:tr w:rsidR="00885E73" w:rsidRPr="00230AA5" w14:paraId="29628CB7" w14:textId="77777777" w:rsidTr="00885E73">
        <w:tc>
          <w:tcPr>
            <w:tcW w:w="4494" w:type="dxa"/>
          </w:tcPr>
          <w:p w14:paraId="324065F4" w14:textId="7CFC0314"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6B940A78" w14:textId="6B0F242D" w:rsidR="00885E73" w:rsidRPr="00230AA5" w:rsidRDefault="00885E73" w:rsidP="00230AA5">
            <w:pPr>
              <w:spacing w:after="0" w:line="240" w:lineRule="auto"/>
              <w:rPr>
                <w:rFonts w:ascii="Times New Roman" w:hAnsi="Times New Roman"/>
              </w:rPr>
            </w:pPr>
            <w:r w:rsidRPr="00230AA5">
              <w:rPr>
                <w:rFonts w:ascii="Times New Roman" w:hAnsi="Times New Roman"/>
              </w:rPr>
              <w:t>orrdugulás</w:t>
            </w:r>
          </w:p>
        </w:tc>
      </w:tr>
      <w:tr w:rsidR="00885E73" w:rsidRPr="00230AA5" w14:paraId="766DA49D" w14:textId="77777777" w:rsidTr="00885E73">
        <w:tc>
          <w:tcPr>
            <w:tcW w:w="4494" w:type="dxa"/>
          </w:tcPr>
          <w:p w14:paraId="0EFC7909" w14:textId="2AED8730" w:rsidR="00885E73" w:rsidRPr="00230AA5" w:rsidRDefault="00885E73" w:rsidP="00230AA5">
            <w:pPr>
              <w:spacing w:after="0" w:line="240" w:lineRule="auto"/>
              <w:rPr>
                <w:rFonts w:ascii="Times New Roman" w:hAnsi="Times New Roman"/>
              </w:rPr>
            </w:pPr>
            <w:r w:rsidRPr="00230AA5">
              <w:rPr>
                <w:rFonts w:ascii="Times New Roman" w:hAnsi="Times New Roman"/>
              </w:rPr>
              <w:t>Nem gyakori</w:t>
            </w:r>
          </w:p>
        </w:tc>
        <w:tc>
          <w:tcPr>
            <w:tcW w:w="4494" w:type="dxa"/>
          </w:tcPr>
          <w:p w14:paraId="06BC0738" w14:textId="7567FF7F" w:rsidR="00885E73" w:rsidRPr="00230AA5" w:rsidRDefault="00885E73" w:rsidP="00230AA5">
            <w:pPr>
              <w:spacing w:after="0" w:line="240" w:lineRule="auto"/>
              <w:rPr>
                <w:rFonts w:ascii="Times New Roman" w:hAnsi="Times New Roman"/>
              </w:rPr>
            </w:pPr>
            <w:r w:rsidRPr="00230AA5">
              <w:rPr>
                <w:rFonts w:ascii="Times New Roman" w:hAnsi="Times New Roman"/>
              </w:rPr>
              <w:t>epistaxis, sinus pangás</w:t>
            </w:r>
          </w:p>
        </w:tc>
      </w:tr>
      <w:tr w:rsidR="00885E73" w:rsidRPr="00230AA5" w14:paraId="2DB1EFE9" w14:textId="77777777" w:rsidTr="00885E73">
        <w:tc>
          <w:tcPr>
            <w:tcW w:w="4494" w:type="dxa"/>
          </w:tcPr>
          <w:p w14:paraId="43939DB9" w14:textId="22EE421B" w:rsidR="00885E73" w:rsidRPr="00230AA5" w:rsidRDefault="00885E73" w:rsidP="00230AA5">
            <w:pPr>
              <w:spacing w:after="0" w:line="240" w:lineRule="auto"/>
              <w:rPr>
                <w:rFonts w:ascii="Times New Roman" w:hAnsi="Times New Roman"/>
              </w:rPr>
            </w:pPr>
            <w:r w:rsidRPr="00230AA5">
              <w:rPr>
                <w:rFonts w:ascii="Times New Roman" w:hAnsi="Times New Roman"/>
              </w:rPr>
              <w:t>Ritka</w:t>
            </w:r>
          </w:p>
        </w:tc>
        <w:tc>
          <w:tcPr>
            <w:tcW w:w="4494" w:type="dxa"/>
          </w:tcPr>
          <w:p w14:paraId="1116AB2F" w14:textId="6563061C" w:rsidR="00885E73" w:rsidRPr="00230AA5" w:rsidRDefault="00885E73" w:rsidP="00230AA5">
            <w:pPr>
              <w:spacing w:after="0" w:line="240" w:lineRule="auto"/>
              <w:rPr>
                <w:rFonts w:ascii="Times New Roman" w:hAnsi="Times New Roman"/>
              </w:rPr>
            </w:pPr>
            <w:r w:rsidRPr="00230AA5">
              <w:rPr>
                <w:rFonts w:ascii="Times New Roman" w:hAnsi="Times New Roman"/>
              </w:rPr>
              <w:t>szorító érzés a torokban, nasalis oedema, nasalis szárazság</w:t>
            </w:r>
          </w:p>
        </w:tc>
      </w:tr>
      <w:tr w:rsidR="00885E73" w:rsidRPr="00230AA5" w14:paraId="7EA412CF" w14:textId="77777777" w:rsidTr="00885E73">
        <w:tc>
          <w:tcPr>
            <w:tcW w:w="4494" w:type="dxa"/>
          </w:tcPr>
          <w:p w14:paraId="13287384" w14:textId="1255FEBB" w:rsidR="00885E73" w:rsidRPr="00230AA5" w:rsidRDefault="00885E73" w:rsidP="00230AA5">
            <w:pPr>
              <w:spacing w:after="0" w:line="240" w:lineRule="auto"/>
              <w:rPr>
                <w:rFonts w:ascii="Times New Roman" w:hAnsi="Times New Roman"/>
                <w:b/>
                <w:bCs/>
              </w:rPr>
            </w:pPr>
            <w:r w:rsidRPr="00230AA5">
              <w:rPr>
                <w:rFonts w:ascii="Times New Roman" w:hAnsi="Times New Roman"/>
                <w:b/>
              </w:rPr>
              <w:t>Emésztőrendszeri betegségek és tünetek</w:t>
            </w:r>
          </w:p>
        </w:tc>
        <w:tc>
          <w:tcPr>
            <w:tcW w:w="4494" w:type="dxa"/>
          </w:tcPr>
          <w:p w14:paraId="11E44E7F" w14:textId="77777777" w:rsidR="00885E73" w:rsidRPr="00230AA5" w:rsidRDefault="00885E73" w:rsidP="00230AA5">
            <w:pPr>
              <w:spacing w:after="0" w:line="240" w:lineRule="auto"/>
              <w:rPr>
                <w:rFonts w:ascii="Times New Roman" w:hAnsi="Times New Roman"/>
                <w:lang w:val="en-GB"/>
              </w:rPr>
            </w:pPr>
          </w:p>
        </w:tc>
      </w:tr>
      <w:tr w:rsidR="00885E73" w:rsidRPr="00230AA5" w14:paraId="47C5FE3A" w14:textId="77777777" w:rsidTr="00885E73">
        <w:tc>
          <w:tcPr>
            <w:tcW w:w="4494" w:type="dxa"/>
          </w:tcPr>
          <w:p w14:paraId="354049E8" w14:textId="7A123DDB"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Gyakori </w:t>
            </w:r>
          </w:p>
        </w:tc>
        <w:tc>
          <w:tcPr>
            <w:tcW w:w="4494" w:type="dxa"/>
          </w:tcPr>
          <w:p w14:paraId="7E6019AD" w14:textId="28DBF033" w:rsidR="00885E73" w:rsidRPr="00230AA5" w:rsidRDefault="00885E73" w:rsidP="00230AA5">
            <w:pPr>
              <w:spacing w:after="0" w:line="240" w:lineRule="auto"/>
              <w:rPr>
                <w:rFonts w:ascii="Times New Roman" w:hAnsi="Times New Roman"/>
              </w:rPr>
            </w:pPr>
            <w:r w:rsidRPr="00230AA5">
              <w:rPr>
                <w:rFonts w:ascii="Times New Roman" w:hAnsi="Times New Roman"/>
              </w:rPr>
              <w:t>hányinger, dyspepsia</w:t>
            </w:r>
          </w:p>
        </w:tc>
      </w:tr>
      <w:tr w:rsidR="00885E73" w:rsidRPr="00230AA5" w14:paraId="62B0234A" w14:textId="77777777" w:rsidTr="00885E73">
        <w:tc>
          <w:tcPr>
            <w:tcW w:w="4494" w:type="dxa"/>
          </w:tcPr>
          <w:p w14:paraId="7AD18B8E" w14:textId="73C54631"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53E3BC00" w14:textId="4E31E04E" w:rsidR="00885E73" w:rsidRPr="00230AA5" w:rsidRDefault="00885E73" w:rsidP="00230AA5">
            <w:pPr>
              <w:spacing w:after="0" w:line="240" w:lineRule="auto"/>
              <w:rPr>
                <w:rFonts w:ascii="Times New Roman" w:hAnsi="Times New Roman"/>
              </w:rPr>
            </w:pPr>
            <w:r w:rsidRPr="00230AA5">
              <w:rPr>
                <w:rFonts w:ascii="Times New Roman" w:hAnsi="Times New Roman"/>
              </w:rPr>
              <w:t>gastro</w:t>
            </w:r>
            <w:r w:rsidR="00762CED">
              <w:rPr>
                <w:rFonts w:ascii="Times New Roman" w:hAnsi="Times New Roman"/>
              </w:rPr>
              <w:t>-</w:t>
            </w:r>
            <w:r w:rsidRPr="00230AA5">
              <w:rPr>
                <w:rFonts w:ascii="Times New Roman" w:hAnsi="Times New Roman"/>
              </w:rPr>
              <w:t>oesophagealis reflux betegség, gyomortáji fájdalom, hányás, szájszárazság</w:t>
            </w:r>
          </w:p>
        </w:tc>
      </w:tr>
      <w:tr w:rsidR="00885E73" w:rsidRPr="00230AA5" w14:paraId="217EF3C6" w14:textId="77777777" w:rsidTr="00885E73">
        <w:tc>
          <w:tcPr>
            <w:tcW w:w="4494" w:type="dxa"/>
          </w:tcPr>
          <w:p w14:paraId="57B59B1F" w14:textId="680726E7"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Ritka </w:t>
            </w:r>
          </w:p>
        </w:tc>
        <w:tc>
          <w:tcPr>
            <w:tcW w:w="4494" w:type="dxa"/>
          </w:tcPr>
          <w:p w14:paraId="6D0CDCC9" w14:textId="756C68D2" w:rsidR="00885E73" w:rsidRPr="00230AA5" w:rsidRDefault="00885E73" w:rsidP="00230AA5">
            <w:pPr>
              <w:spacing w:after="0" w:line="240" w:lineRule="auto"/>
              <w:rPr>
                <w:rFonts w:ascii="Times New Roman" w:hAnsi="Times New Roman"/>
              </w:rPr>
            </w:pPr>
            <w:r w:rsidRPr="00230AA5">
              <w:rPr>
                <w:rFonts w:ascii="Times New Roman" w:hAnsi="Times New Roman"/>
              </w:rPr>
              <w:t>oralis hypaesthesia</w:t>
            </w:r>
          </w:p>
        </w:tc>
      </w:tr>
      <w:tr w:rsidR="00885E73" w:rsidRPr="00230AA5" w14:paraId="2339F23A" w14:textId="77777777" w:rsidTr="00885E73">
        <w:tc>
          <w:tcPr>
            <w:tcW w:w="4494" w:type="dxa"/>
          </w:tcPr>
          <w:p w14:paraId="56388706" w14:textId="606DED20" w:rsidR="00885E73" w:rsidRPr="00230AA5" w:rsidRDefault="00885E73" w:rsidP="00230AA5">
            <w:pPr>
              <w:spacing w:after="0" w:line="240" w:lineRule="auto"/>
              <w:rPr>
                <w:rFonts w:ascii="Times New Roman" w:hAnsi="Times New Roman"/>
                <w:b/>
                <w:bCs/>
              </w:rPr>
            </w:pPr>
            <w:r w:rsidRPr="00230AA5">
              <w:rPr>
                <w:rFonts w:ascii="Times New Roman" w:hAnsi="Times New Roman"/>
                <w:b/>
              </w:rPr>
              <w:t>A bőr és a bőr alatti szövet betegségei és</w:t>
            </w:r>
          </w:p>
        </w:tc>
        <w:tc>
          <w:tcPr>
            <w:tcW w:w="4494" w:type="dxa"/>
          </w:tcPr>
          <w:p w14:paraId="51A0DC8D" w14:textId="77777777" w:rsidR="00885E73" w:rsidRPr="00230AA5" w:rsidRDefault="00885E73" w:rsidP="00230AA5">
            <w:pPr>
              <w:spacing w:after="0" w:line="240" w:lineRule="auto"/>
              <w:rPr>
                <w:rFonts w:ascii="Times New Roman" w:hAnsi="Times New Roman"/>
              </w:rPr>
            </w:pPr>
          </w:p>
        </w:tc>
      </w:tr>
      <w:tr w:rsidR="00885E73" w:rsidRPr="00230AA5" w14:paraId="42E75F96" w14:textId="77777777" w:rsidTr="00885E73">
        <w:tc>
          <w:tcPr>
            <w:tcW w:w="4494" w:type="dxa"/>
          </w:tcPr>
          <w:p w14:paraId="6FCC525E" w14:textId="026778B1"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0C80C3E2" w14:textId="568DC87C"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kiütés </w:t>
            </w:r>
          </w:p>
        </w:tc>
      </w:tr>
      <w:tr w:rsidR="00885E73" w:rsidRPr="00230AA5" w14:paraId="7764242E" w14:textId="77777777" w:rsidTr="00885E73">
        <w:tc>
          <w:tcPr>
            <w:tcW w:w="4494" w:type="dxa"/>
          </w:tcPr>
          <w:p w14:paraId="35D27E41" w14:textId="55A79F82"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Ritka </w:t>
            </w:r>
          </w:p>
        </w:tc>
        <w:tc>
          <w:tcPr>
            <w:tcW w:w="4494" w:type="dxa"/>
          </w:tcPr>
          <w:p w14:paraId="6742592E" w14:textId="1A9F3238" w:rsidR="00885E73" w:rsidRPr="00230AA5" w:rsidRDefault="00885E73" w:rsidP="00230AA5">
            <w:pPr>
              <w:spacing w:after="0" w:line="240" w:lineRule="auto"/>
              <w:rPr>
                <w:rFonts w:ascii="Times New Roman" w:hAnsi="Times New Roman"/>
              </w:rPr>
            </w:pPr>
            <w:r w:rsidRPr="00230AA5">
              <w:rPr>
                <w:rFonts w:ascii="Times New Roman" w:hAnsi="Times New Roman"/>
              </w:rPr>
              <w:t>Stevens–Johnson-szindróma (SJS)*, toxicus epidermalis necrolysis (TEN)*</w:t>
            </w:r>
          </w:p>
        </w:tc>
      </w:tr>
      <w:tr w:rsidR="00885E73" w:rsidRPr="00230AA5" w14:paraId="2DD4A3F4" w14:textId="77777777" w:rsidTr="00885E73">
        <w:tc>
          <w:tcPr>
            <w:tcW w:w="4494" w:type="dxa"/>
          </w:tcPr>
          <w:p w14:paraId="0BF58690" w14:textId="735AD8A9" w:rsidR="00885E73" w:rsidRPr="00230AA5" w:rsidRDefault="00885E73" w:rsidP="00230AA5">
            <w:pPr>
              <w:spacing w:after="0" w:line="240" w:lineRule="auto"/>
              <w:rPr>
                <w:rFonts w:ascii="Times New Roman" w:hAnsi="Times New Roman"/>
                <w:b/>
                <w:bCs/>
              </w:rPr>
            </w:pPr>
            <w:r w:rsidRPr="00230AA5">
              <w:rPr>
                <w:rFonts w:ascii="Times New Roman" w:hAnsi="Times New Roman"/>
                <w:b/>
              </w:rPr>
              <w:lastRenderedPageBreak/>
              <w:t>A csont- és izomrendszer, valamint a kötőszövet betegségei és tünetei</w:t>
            </w:r>
          </w:p>
        </w:tc>
        <w:tc>
          <w:tcPr>
            <w:tcW w:w="4494" w:type="dxa"/>
          </w:tcPr>
          <w:p w14:paraId="6537EEE5" w14:textId="77777777" w:rsidR="00885E73" w:rsidRPr="00230AA5" w:rsidRDefault="00885E73" w:rsidP="00230AA5">
            <w:pPr>
              <w:spacing w:after="0" w:line="240" w:lineRule="auto"/>
              <w:rPr>
                <w:rFonts w:ascii="Times New Roman" w:hAnsi="Times New Roman"/>
              </w:rPr>
            </w:pPr>
          </w:p>
        </w:tc>
      </w:tr>
      <w:tr w:rsidR="00885E73" w:rsidRPr="00230AA5" w14:paraId="3848EF17" w14:textId="77777777" w:rsidTr="00885E73">
        <w:tc>
          <w:tcPr>
            <w:tcW w:w="4494" w:type="dxa"/>
          </w:tcPr>
          <w:p w14:paraId="472252B3" w14:textId="4F78ACFE"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0ACB675C" w14:textId="6391728C" w:rsidR="00885E73" w:rsidRPr="00230AA5" w:rsidRDefault="00885E73" w:rsidP="00230AA5">
            <w:pPr>
              <w:spacing w:after="0" w:line="240" w:lineRule="auto"/>
              <w:rPr>
                <w:rFonts w:ascii="Times New Roman" w:hAnsi="Times New Roman"/>
              </w:rPr>
            </w:pPr>
            <w:r w:rsidRPr="00230AA5">
              <w:rPr>
                <w:rFonts w:ascii="Times New Roman" w:hAnsi="Times New Roman"/>
              </w:rPr>
              <w:t>myalgia, végtagfájdalom</w:t>
            </w:r>
          </w:p>
        </w:tc>
      </w:tr>
      <w:tr w:rsidR="00885E73" w:rsidRPr="00230AA5" w14:paraId="08FA2C53" w14:textId="77777777" w:rsidTr="00885E73">
        <w:tc>
          <w:tcPr>
            <w:tcW w:w="4494" w:type="dxa"/>
          </w:tcPr>
          <w:p w14:paraId="092DE3D4" w14:textId="09F6771B" w:rsidR="00885E73" w:rsidRPr="00230AA5" w:rsidRDefault="00885E73" w:rsidP="00230AA5">
            <w:pPr>
              <w:spacing w:after="0" w:line="240" w:lineRule="auto"/>
              <w:rPr>
                <w:rFonts w:ascii="Times New Roman" w:hAnsi="Times New Roman"/>
                <w:b/>
                <w:bCs/>
              </w:rPr>
            </w:pPr>
            <w:r w:rsidRPr="00230AA5">
              <w:rPr>
                <w:rFonts w:ascii="Times New Roman" w:hAnsi="Times New Roman"/>
                <w:b/>
              </w:rPr>
              <w:t>Vese- és húgyúti betegségek és tünetek</w:t>
            </w:r>
          </w:p>
        </w:tc>
        <w:tc>
          <w:tcPr>
            <w:tcW w:w="4494" w:type="dxa"/>
          </w:tcPr>
          <w:p w14:paraId="4089FEA1" w14:textId="77777777" w:rsidR="00885E73" w:rsidRPr="00230AA5" w:rsidRDefault="00885E73" w:rsidP="00230AA5">
            <w:pPr>
              <w:spacing w:after="0" w:line="240" w:lineRule="auto"/>
              <w:rPr>
                <w:rFonts w:ascii="Times New Roman" w:hAnsi="Times New Roman"/>
              </w:rPr>
            </w:pPr>
          </w:p>
        </w:tc>
      </w:tr>
      <w:tr w:rsidR="00885E73" w:rsidRPr="00230AA5" w14:paraId="50253027" w14:textId="77777777" w:rsidTr="00885E73">
        <w:tc>
          <w:tcPr>
            <w:tcW w:w="4494" w:type="dxa"/>
          </w:tcPr>
          <w:p w14:paraId="459C707B" w14:textId="237225BF"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1D93F4DB" w14:textId="6D1EC668" w:rsidR="00885E73" w:rsidRPr="00230AA5" w:rsidRDefault="00885E73" w:rsidP="00230AA5">
            <w:pPr>
              <w:spacing w:after="0" w:line="240" w:lineRule="auto"/>
              <w:rPr>
                <w:rFonts w:ascii="Times New Roman" w:hAnsi="Times New Roman"/>
              </w:rPr>
            </w:pPr>
            <w:r w:rsidRPr="00230AA5">
              <w:rPr>
                <w:rFonts w:ascii="Times New Roman" w:hAnsi="Times New Roman"/>
              </w:rPr>
              <w:t>haematuria</w:t>
            </w:r>
          </w:p>
        </w:tc>
      </w:tr>
      <w:tr w:rsidR="00885E73" w:rsidRPr="00230AA5" w14:paraId="5578776C" w14:textId="77777777" w:rsidTr="00885E73">
        <w:tc>
          <w:tcPr>
            <w:tcW w:w="4494" w:type="dxa"/>
          </w:tcPr>
          <w:p w14:paraId="3C155DD0" w14:textId="1AD1EF8B" w:rsidR="00885E73" w:rsidRPr="00230AA5" w:rsidRDefault="00885E73" w:rsidP="00230AA5">
            <w:pPr>
              <w:spacing w:after="0" w:line="240" w:lineRule="auto"/>
              <w:rPr>
                <w:rFonts w:ascii="Times New Roman" w:hAnsi="Times New Roman"/>
                <w:b/>
                <w:bCs/>
              </w:rPr>
            </w:pPr>
            <w:r w:rsidRPr="00230AA5">
              <w:rPr>
                <w:rFonts w:ascii="Times New Roman" w:hAnsi="Times New Roman"/>
                <w:b/>
              </w:rPr>
              <w:t>A nemi szervekkel és az emlőkkel kapcsolatos betegségek és tünetek</w:t>
            </w:r>
          </w:p>
        </w:tc>
        <w:tc>
          <w:tcPr>
            <w:tcW w:w="4494" w:type="dxa"/>
          </w:tcPr>
          <w:p w14:paraId="1ABCBBAC" w14:textId="77777777" w:rsidR="00885E73" w:rsidRPr="00230AA5" w:rsidRDefault="00885E73" w:rsidP="00230AA5">
            <w:pPr>
              <w:spacing w:after="0" w:line="240" w:lineRule="auto"/>
              <w:rPr>
                <w:rFonts w:ascii="Times New Roman" w:hAnsi="Times New Roman"/>
              </w:rPr>
            </w:pPr>
          </w:p>
        </w:tc>
      </w:tr>
      <w:tr w:rsidR="00885E73" w:rsidRPr="00230AA5" w14:paraId="70560E69" w14:textId="77777777" w:rsidTr="00885E73">
        <w:tc>
          <w:tcPr>
            <w:tcW w:w="4494" w:type="dxa"/>
          </w:tcPr>
          <w:p w14:paraId="34500615" w14:textId="5D8EF901"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Ritka </w:t>
            </w:r>
          </w:p>
        </w:tc>
        <w:tc>
          <w:tcPr>
            <w:tcW w:w="4494" w:type="dxa"/>
          </w:tcPr>
          <w:p w14:paraId="7D0628BE" w14:textId="3AA2B9DF" w:rsidR="00885E73" w:rsidRPr="00230AA5" w:rsidRDefault="00885E73" w:rsidP="00230AA5">
            <w:pPr>
              <w:spacing w:after="0" w:line="240" w:lineRule="auto"/>
              <w:rPr>
                <w:rFonts w:ascii="Times New Roman" w:hAnsi="Times New Roman"/>
              </w:rPr>
            </w:pPr>
            <w:r w:rsidRPr="00230AA5">
              <w:rPr>
                <w:rFonts w:ascii="Times New Roman" w:hAnsi="Times New Roman"/>
              </w:rPr>
              <w:t>haematospermia, penis haemorrhagia, priapismus*, fokozott erectio</w:t>
            </w:r>
          </w:p>
        </w:tc>
      </w:tr>
      <w:tr w:rsidR="00885E73" w:rsidRPr="00230AA5" w14:paraId="638C9F48" w14:textId="77777777" w:rsidTr="00885E73">
        <w:tc>
          <w:tcPr>
            <w:tcW w:w="4494" w:type="dxa"/>
          </w:tcPr>
          <w:p w14:paraId="3BCE9582" w14:textId="4C190679" w:rsidR="00885E73" w:rsidRPr="00230AA5" w:rsidRDefault="00885E73" w:rsidP="00230AA5">
            <w:pPr>
              <w:spacing w:after="0" w:line="240" w:lineRule="auto"/>
              <w:rPr>
                <w:rFonts w:ascii="Times New Roman" w:hAnsi="Times New Roman"/>
                <w:b/>
                <w:bCs/>
              </w:rPr>
            </w:pPr>
            <w:r w:rsidRPr="00230AA5">
              <w:rPr>
                <w:rFonts w:ascii="Times New Roman" w:hAnsi="Times New Roman"/>
                <w:b/>
              </w:rPr>
              <w:t>Általános tünetek, az alkalmazás helyén fellépő reakciók</w:t>
            </w:r>
          </w:p>
        </w:tc>
        <w:tc>
          <w:tcPr>
            <w:tcW w:w="4494" w:type="dxa"/>
          </w:tcPr>
          <w:p w14:paraId="7F4A6188" w14:textId="77777777" w:rsidR="00885E73" w:rsidRPr="00230AA5" w:rsidRDefault="00885E73" w:rsidP="00230AA5">
            <w:pPr>
              <w:spacing w:after="0" w:line="240" w:lineRule="auto"/>
              <w:rPr>
                <w:rFonts w:ascii="Times New Roman" w:hAnsi="Times New Roman"/>
              </w:rPr>
            </w:pPr>
          </w:p>
        </w:tc>
      </w:tr>
      <w:tr w:rsidR="00885E73" w:rsidRPr="00230AA5" w14:paraId="0114A29C" w14:textId="77777777" w:rsidTr="00885E73">
        <w:tc>
          <w:tcPr>
            <w:tcW w:w="4494" w:type="dxa"/>
          </w:tcPr>
          <w:p w14:paraId="303406F2" w14:textId="1C3B9AEB" w:rsidR="00885E73" w:rsidRPr="00230AA5" w:rsidRDefault="00885E73" w:rsidP="00230AA5">
            <w:pPr>
              <w:spacing w:after="0" w:line="240" w:lineRule="auto"/>
              <w:rPr>
                <w:rFonts w:ascii="Times New Roman" w:hAnsi="Times New Roman"/>
                <w:b/>
                <w:bCs/>
              </w:rPr>
            </w:pPr>
            <w:r w:rsidRPr="00230AA5">
              <w:rPr>
                <w:rFonts w:ascii="Times New Roman" w:hAnsi="Times New Roman"/>
              </w:rPr>
              <w:t xml:space="preserve">Nem gyakori </w:t>
            </w:r>
          </w:p>
        </w:tc>
        <w:tc>
          <w:tcPr>
            <w:tcW w:w="4494" w:type="dxa"/>
          </w:tcPr>
          <w:p w14:paraId="56FB4861" w14:textId="35B2F6B3" w:rsidR="00885E73" w:rsidRPr="00230AA5" w:rsidRDefault="00885E73" w:rsidP="00230AA5">
            <w:pPr>
              <w:spacing w:after="0" w:line="240" w:lineRule="auto"/>
              <w:rPr>
                <w:rFonts w:ascii="Times New Roman" w:hAnsi="Times New Roman"/>
              </w:rPr>
            </w:pPr>
            <w:r w:rsidRPr="00230AA5">
              <w:rPr>
                <w:rFonts w:ascii="Times New Roman" w:hAnsi="Times New Roman"/>
              </w:rPr>
              <w:t>mellkasi fájdalom, fáradtság, melegségérzés</w:t>
            </w:r>
          </w:p>
        </w:tc>
      </w:tr>
      <w:tr w:rsidR="00885E73" w:rsidRPr="00230AA5" w14:paraId="346FF09F" w14:textId="77777777" w:rsidTr="00885E73">
        <w:tc>
          <w:tcPr>
            <w:tcW w:w="4494" w:type="dxa"/>
          </w:tcPr>
          <w:p w14:paraId="43E829CB" w14:textId="4E1DE913" w:rsidR="00885E73" w:rsidRPr="00230AA5" w:rsidRDefault="00885E73" w:rsidP="00230AA5">
            <w:pPr>
              <w:spacing w:after="0" w:line="240" w:lineRule="auto"/>
              <w:rPr>
                <w:rFonts w:ascii="Times New Roman" w:hAnsi="Times New Roman"/>
              </w:rPr>
            </w:pPr>
            <w:r w:rsidRPr="00230AA5">
              <w:rPr>
                <w:rFonts w:ascii="Times New Roman" w:hAnsi="Times New Roman"/>
              </w:rPr>
              <w:t>Ritka</w:t>
            </w:r>
          </w:p>
        </w:tc>
        <w:tc>
          <w:tcPr>
            <w:tcW w:w="4494" w:type="dxa"/>
          </w:tcPr>
          <w:p w14:paraId="3C982929" w14:textId="6C836B5F" w:rsidR="00885E73" w:rsidRPr="00230AA5" w:rsidRDefault="00885E73" w:rsidP="00230AA5">
            <w:pPr>
              <w:spacing w:after="0" w:line="240" w:lineRule="auto"/>
              <w:rPr>
                <w:rFonts w:ascii="Times New Roman" w:hAnsi="Times New Roman"/>
              </w:rPr>
            </w:pPr>
            <w:r w:rsidRPr="00230AA5">
              <w:rPr>
                <w:rFonts w:ascii="Times New Roman" w:hAnsi="Times New Roman"/>
              </w:rPr>
              <w:t>ingerlékenység</w:t>
            </w:r>
          </w:p>
        </w:tc>
      </w:tr>
      <w:tr w:rsidR="00885E73" w:rsidRPr="00230AA5" w14:paraId="70B58D4E" w14:textId="77777777" w:rsidTr="00885E73">
        <w:tc>
          <w:tcPr>
            <w:tcW w:w="4494" w:type="dxa"/>
          </w:tcPr>
          <w:p w14:paraId="70CE7218" w14:textId="67259FE3" w:rsidR="00885E73" w:rsidRPr="00230AA5" w:rsidRDefault="00885E73" w:rsidP="00230AA5">
            <w:pPr>
              <w:spacing w:after="0" w:line="240" w:lineRule="auto"/>
              <w:rPr>
                <w:rFonts w:ascii="Times New Roman" w:hAnsi="Times New Roman"/>
                <w:b/>
                <w:bCs/>
              </w:rPr>
            </w:pPr>
            <w:r w:rsidRPr="00230AA5">
              <w:rPr>
                <w:rFonts w:ascii="Times New Roman" w:hAnsi="Times New Roman"/>
                <w:b/>
              </w:rPr>
              <w:t>Laboratóriumi és egyéb vizsgálatok eredményei</w:t>
            </w:r>
          </w:p>
        </w:tc>
        <w:tc>
          <w:tcPr>
            <w:tcW w:w="4494" w:type="dxa"/>
          </w:tcPr>
          <w:p w14:paraId="3AFC00C0" w14:textId="77777777" w:rsidR="00885E73" w:rsidRPr="00230AA5" w:rsidRDefault="00885E73" w:rsidP="00230AA5">
            <w:pPr>
              <w:spacing w:after="0" w:line="240" w:lineRule="auto"/>
              <w:rPr>
                <w:rFonts w:ascii="Times New Roman" w:hAnsi="Times New Roman"/>
              </w:rPr>
            </w:pPr>
          </w:p>
        </w:tc>
      </w:tr>
      <w:tr w:rsidR="00885E73" w:rsidRPr="00230AA5" w14:paraId="41303164" w14:textId="77777777" w:rsidTr="00885E73">
        <w:tc>
          <w:tcPr>
            <w:tcW w:w="4494" w:type="dxa"/>
          </w:tcPr>
          <w:p w14:paraId="2AFE7770" w14:textId="75F99A9F" w:rsidR="00885E73" w:rsidRPr="00230AA5" w:rsidRDefault="00885E73" w:rsidP="00230AA5">
            <w:pPr>
              <w:spacing w:after="0" w:line="240" w:lineRule="auto"/>
              <w:rPr>
                <w:rFonts w:ascii="Times New Roman" w:hAnsi="Times New Roman"/>
              </w:rPr>
            </w:pPr>
            <w:r w:rsidRPr="00230AA5">
              <w:rPr>
                <w:rFonts w:ascii="Times New Roman" w:hAnsi="Times New Roman"/>
              </w:rPr>
              <w:t xml:space="preserve">Nem gyakori </w:t>
            </w:r>
          </w:p>
        </w:tc>
        <w:tc>
          <w:tcPr>
            <w:tcW w:w="4494" w:type="dxa"/>
          </w:tcPr>
          <w:p w14:paraId="7F38CD7D" w14:textId="03ADB363" w:rsidR="00885E73" w:rsidRPr="00230AA5" w:rsidRDefault="00885E73" w:rsidP="00230AA5">
            <w:pPr>
              <w:spacing w:after="0" w:line="240" w:lineRule="auto"/>
              <w:rPr>
                <w:rFonts w:ascii="Times New Roman" w:hAnsi="Times New Roman"/>
              </w:rPr>
            </w:pPr>
            <w:r w:rsidRPr="00230AA5">
              <w:rPr>
                <w:rFonts w:ascii="Times New Roman" w:hAnsi="Times New Roman"/>
              </w:rPr>
              <w:t>megnövekedett szívfrekvencia</w:t>
            </w:r>
          </w:p>
        </w:tc>
      </w:tr>
    </w:tbl>
    <w:p w14:paraId="1623F35F" w14:textId="77777777" w:rsidR="00AA4318" w:rsidRPr="00230AA5" w:rsidRDefault="00AA4318" w:rsidP="00230AA5">
      <w:pPr>
        <w:spacing w:after="0" w:line="240" w:lineRule="auto"/>
        <w:rPr>
          <w:rFonts w:ascii="Times New Roman" w:hAnsi="Times New Roman"/>
        </w:rPr>
      </w:pPr>
      <w:r w:rsidRPr="00230AA5">
        <w:rPr>
          <w:rFonts w:ascii="Times New Roman" w:hAnsi="Times New Roman"/>
        </w:rPr>
        <w:t>* Csak a forgalomba hozatalt követő megfigyelések során jelentették</w:t>
      </w:r>
    </w:p>
    <w:p w14:paraId="7C3C485E" w14:textId="77777777" w:rsidR="00AA4318" w:rsidRPr="00230AA5" w:rsidRDefault="00AA4318" w:rsidP="00230AA5">
      <w:pPr>
        <w:spacing w:after="0" w:line="240" w:lineRule="auto"/>
        <w:rPr>
          <w:rFonts w:ascii="Times New Roman" w:hAnsi="Times New Roman"/>
        </w:rPr>
      </w:pPr>
      <w:r w:rsidRPr="00230AA5">
        <w:rPr>
          <w:rFonts w:ascii="Times New Roman" w:hAnsi="Times New Roman"/>
        </w:rPr>
        <w:t>** A színlátás zavara: chloropsia, kóros színlátás, cyanopsia, erythropia és xanthopsia</w:t>
      </w:r>
    </w:p>
    <w:p w14:paraId="2FB13B94" w14:textId="77777777" w:rsidR="00355F50" w:rsidRPr="00230AA5" w:rsidRDefault="00AA4318" w:rsidP="00230AA5">
      <w:pPr>
        <w:spacing w:after="0" w:line="240" w:lineRule="auto"/>
        <w:rPr>
          <w:rFonts w:ascii="Times New Roman" w:hAnsi="Times New Roman"/>
        </w:rPr>
      </w:pPr>
      <w:r w:rsidRPr="00230AA5">
        <w:rPr>
          <w:rFonts w:ascii="Times New Roman" w:hAnsi="Times New Roman"/>
        </w:rPr>
        <w:t>*** Könnytermelési zavarok: száraz szem, könnyezési zavar és fokozott könnytermelés</w:t>
      </w:r>
    </w:p>
    <w:p w14:paraId="3D47794D" w14:textId="77777777" w:rsidR="00AA4318" w:rsidRPr="00230AA5" w:rsidRDefault="00AA4318" w:rsidP="00230AA5">
      <w:pPr>
        <w:spacing w:after="0" w:line="240" w:lineRule="auto"/>
        <w:rPr>
          <w:rFonts w:ascii="Times New Roman" w:hAnsi="Times New Roman"/>
        </w:rPr>
      </w:pPr>
    </w:p>
    <w:p w14:paraId="7A056552"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Feltételezett mellékhatások bejelentése</w:t>
      </w:r>
    </w:p>
    <w:p w14:paraId="3C0CFFA3" w14:textId="64A47925"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w:t>
      </w:r>
      <w:r w:rsidRPr="00C66FDC">
        <w:rPr>
          <w:rFonts w:ascii="Times New Roman" w:hAnsi="Times New Roman"/>
        </w:rPr>
        <w:t xml:space="preserve">hatóság részére az </w:t>
      </w:r>
      <w:hyperlink r:id="rId10" w:history="1">
        <w:r w:rsidRPr="00C66FDC">
          <w:rPr>
            <w:rStyle w:val="Hiperhivatkozs"/>
            <w:rFonts w:ascii="Times New Roman" w:hAnsi="Times New Roman"/>
            <w:highlight w:val="lightGray"/>
          </w:rPr>
          <w:t>V. függelékben</w:t>
        </w:r>
      </w:hyperlink>
      <w:r w:rsidRPr="0019750E">
        <w:rPr>
          <w:rFonts w:ascii="Times New Roman" w:hAnsi="Times New Roman"/>
          <w:highlight w:val="lightGray"/>
        </w:rPr>
        <w:t xml:space="preserve"> található elérhetőségek valamelyikén keresztül</w:t>
      </w:r>
      <w:r w:rsidRPr="00230AA5">
        <w:rPr>
          <w:rFonts w:ascii="Times New Roman" w:hAnsi="Times New Roman"/>
        </w:rPr>
        <w:t>.</w:t>
      </w:r>
    </w:p>
    <w:p w14:paraId="59B7EC00" w14:textId="77777777" w:rsidR="00355F50" w:rsidRPr="00230AA5" w:rsidRDefault="00355F50" w:rsidP="00230AA5">
      <w:pPr>
        <w:spacing w:after="0" w:line="240" w:lineRule="auto"/>
        <w:rPr>
          <w:rFonts w:ascii="Times New Roman" w:hAnsi="Times New Roman"/>
        </w:rPr>
      </w:pPr>
    </w:p>
    <w:p w14:paraId="7FE5A964" w14:textId="57EFF31E" w:rsidR="00355F50" w:rsidRPr="00230AA5" w:rsidRDefault="00355F50" w:rsidP="0019750E">
      <w:pPr>
        <w:pStyle w:val="Cmsor3"/>
        <w:spacing w:before="0" w:line="240" w:lineRule="auto"/>
        <w:ind w:left="567" w:hanging="567"/>
        <w:rPr>
          <w:rFonts w:cs="Times New Roman"/>
        </w:rPr>
      </w:pPr>
      <w:r w:rsidRPr="00230AA5">
        <w:rPr>
          <w:rFonts w:cs="Times New Roman"/>
        </w:rPr>
        <w:t>4.9</w:t>
      </w:r>
      <w:r w:rsidRPr="00230AA5">
        <w:rPr>
          <w:rFonts w:cs="Times New Roman"/>
        </w:rPr>
        <w:tab/>
        <w:t>Túladagolás</w:t>
      </w:r>
      <w:r w:rsidR="00A15089" w:rsidRPr="00230AA5">
        <w:rPr>
          <w:rFonts w:cs="Times New Roman"/>
        </w:rPr>
        <w:fldChar w:fldCharType="begin"/>
      </w:r>
      <w:r w:rsidR="00A15089" w:rsidRPr="00230AA5">
        <w:rPr>
          <w:rFonts w:cs="Times New Roman"/>
        </w:rPr>
        <w:instrText xml:space="preserve"> DOCVARIABLE vault_nd_8a814b33-167a-4567-a303-45970c54ba8b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2A19B60" w14:textId="77777777" w:rsidR="00762CED" w:rsidRDefault="00762CED" w:rsidP="00230AA5">
      <w:pPr>
        <w:spacing w:after="0" w:line="240" w:lineRule="auto"/>
        <w:rPr>
          <w:rFonts w:ascii="Times New Roman" w:hAnsi="Times New Roman"/>
        </w:rPr>
      </w:pPr>
    </w:p>
    <w:p w14:paraId="28A06906" w14:textId="1A7982F4" w:rsidR="00355F50" w:rsidRDefault="00355F50" w:rsidP="00230AA5">
      <w:pPr>
        <w:spacing w:after="0" w:line="240" w:lineRule="auto"/>
        <w:rPr>
          <w:rFonts w:ascii="Times New Roman" w:hAnsi="Times New Roman"/>
        </w:rPr>
      </w:pPr>
      <w:r w:rsidRPr="00230AA5">
        <w:rPr>
          <w:rFonts w:ascii="Times New Roman" w:hAnsi="Times New Roman"/>
        </w:rPr>
        <w:t>Egészséges önkéntesekkel végzett vizsgálatok során, legfeljebb 800 mg-os egyszeri dózisok alkalmazását követően az alacsonyabb dózisszinteken már észleltekhez hasonló nemkívánatos hatások jelentkeztek, azonban gyakoriságuk és súlyosságuk fokozódott. A 200 mg-os dózisok mellett a</w:t>
      </w:r>
      <w:r w:rsidR="006002B0" w:rsidRPr="00230AA5">
        <w:rPr>
          <w:rFonts w:ascii="Times New Roman" w:hAnsi="Times New Roman"/>
        </w:rPr>
        <w:t xml:space="preserve"> </w:t>
      </w:r>
      <w:r w:rsidRPr="00230AA5">
        <w:rPr>
          <w:rFonts w:ascii="Times New Roman" w:hAnsi="Times New Roman"/>
        </w:rPr>
        <w:t>hatásosság nem, ellenben a nemkívánatos hatások (fejfájás, kipirulás, szédülés, dyspepsia, orrdugulás, látászavar) előfordulási gyakorisága növekedett.</w:t>
      </w:r>
    </w:p>
    <w:p w14:paraId="5982548E" w14:textId="77777777" w:rsidR="00762CED" w:rsidRPr="00230AA5" w:rsidRDefault="00762CED" w:rsidP="00230AA5">
      <w:pPr>
        <w:spacing w:after="0" w:line="240" w:lineRule="auto"/>
        <w:rPr>
          <w:rFonts w:ascii="Times New Roman" w:hAnsi="Times New Roman"/>
        </w:rPr>
      </w:pPr>
    </w:p>
    <w:p w14:paraId="2CE9E339"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Túladagolás esetén a helyzetnek megfelelő, szokásos szupportív kezelést kell alkalmazni. Hemodialízis várhatóan nem gyorsítja meg a clearance-et, mivel a szildenafil nagymértékben kötődik a plazmafehérjékhez, és nem ürül a vizelettel.</w:t>
      </w:r>
    </w:p>
    <w:p w14:paraId="23BEC598" w14:textId="77777777" w:rsidR="008A3B2A" w:rsidRDefault="008A3B2A" w:rsidP="00230AA5">
      <w:pPr>
        <w:spacing w:after="0" w:line="240" w:lineRule="auto"/>
        <w:rPr>
          <w:rFonts w:ascii="Times New Roman" w:hAnsi="Times New Roman"/>
        </w:rPr>
      </w:pPr>
    </w:p>
    <w:p w14:paraId="49A5AF2C" w14:textId="77777777" w:rsidR="00A10C68" w:rsidRPr="00230AA5" w:rsidRDefault="00A10C68" w:rsidP="00230AA5">
      <w:pPr>
        <w:spacing w:after="0" w:line="240" w:lineRule="auto"/>
        <w:rPr>
          <w:rFonts w:ascii="Times New Roman" w:hAnsi="Times New Roman"/>
        </w:rPr>
      </w:pPr>
    </w:p>
    <w:p w14:paraId="68AF216C" w14:textId="02EB407B" w:rsidR="00355F50" w:rsidRPr="00230AA5" w:rsidRDefault="00355F50" w:rsidP="0019750E">
      <w:pPr>
        <w:pStyle w:val="Cmsor2"/>
        <w:spacing w:before="0" w:line="240" w:lineRule="auto"/>
        <w:ind w:left="567" w:hanging="567"/>
        <w:rPr>
          <w:rFonts w:cs="Times New Roman"/>
        </w:rPr>
      </w:pPr>
      <w:r w:rsidRPr="00230AA5">
        <w:rPr>
          <w:rFonts w:cs="Times New Roman"/>
        </w:rPr>
        <w:t>5.</w:t>
      </w:r>
      <w:r w:rsidRPr="00230AA5">
        <w:rPr>
          <w:rFonts w:cs="Times New Roman"/>
        </w:rPr>
        <w:tab/>
        <w:t>FARMAKOLÓGIAI TULAJDONSÁGOK</w:t>
      </w:r>
      <w:r w:rsidR="00A15089" w:rsidRPr="00230AA5">
        <w:rPr>
          <w:rFonts w:cs="Times New Roman"/>
        </w:rPr>
        <w:fldChar w:fldCharType="begin"/>
      </w:r>
      <w:r w:rsidR="00A15089" w:rsidRPr="00230AA5">
        <w:rPr>
          <w:rFonts w:cs="Times New Roman"/>
        </w:rPr>
        <w:instrText xml:space="preserve"> DOCVARIABLE VAULT_ND_2f1d2a80-f2c3-489b-a885-5ff58de6466b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A17D5FD" w14:textId="77777777" w:rsidR="00A10C68" w:rsidRDefault="00A10C68" w:rsidP="00C66FDC">
      <w:pPr>
        <w:pStyle w:val="Cmsor3"/>
        <w:spacing w:before="0" w:line="240" w:lineRule="auto"/>
        <w:ind w:left="567" w:hanging="567"/>
        <w:rPr>
          <w:rFonts w:cs="Times New Roman"/>
        </w:rPr>
      </w:pPr>
    </w:p>
    <w:p w14:paraId="21A217D5" w14:textId="30F1DF7F" w:rsidR="00355F50" w:rsidRPr="00230AA5" w:rsidRDefault="00355F50" w:rsidP="0019750E">
      <w:pPr>
        <w:pStyle w:val="Cmsor3"/>
        <w:spacing w:before="0" w:line="240" w:lineRule="auto"/>
        <w:ind w:left="567" w:hanging="567"/>
        <w:rPr>
          <w:rFonts w:cs="Times New Roman"/>
        </w:rPr>
      </w:pPr>
      <w:r w:rsidRPr="00230AA5">
        <w:rPr>
          <w:rFonts w:cs="Times New Roman"/>
        </w:rPr>
        <w:t>5.1</w:t>
      </w:r>
      <w:r w:rsidRPr="00230AA5">
        <w:rPr>
          <w:rFonts w:cs="Times New Roman"/>
        </w:rPr>
        <w:tab/>
        <w:t>Farmakodinámiás tulajdonságok</w:t>
      </w:r>
    </w:p>
    <w:p w14:paraId="60801576" w14:textId="77777777" w:rsidR="00A10C68" w:rsidRDefault="00A10C68" w:rsidP="00230AA5">
      <w:pPr>
        <w:spacing w:after="0" w:line="240" w:lineRule="auto"/>
        <w:rPr>
          <w:rFonts w:ascii="Times New Roman" w:hAnsi="Times New Roman"/>
        </w:rPr>
      </w:pPr>
    </w:p>
    <w:p w14:paraId="627919EC" w14:textId="4A6003D6" w:rsidR="00355F50" w:rsidRDefault="00355F50" w:rsidP="00230AA5">
      <w:pPr>
        <w:spacing w:after="0" w:line="240" w:lineRule="auto"/>
        <w:rPr>
          <w:rFonts w:ascii="Times New Roman" w:hAnsi="Times New Roman"/>
        </w:rPr>
      </w:pPr>
      <w:r w:rsidRPr="00230AA5">
        <w:rPr>
          <w:rFonts w:ascii="Times New Roman" w:hAnsi="Times New Roman"/>
        </w:rPr>
        <w:t>Farmakoterápiás csoport: Urológiai gyógyszerek; Az erectilis dysfunctio kezelésére használatos szerek. ATC kód: G04B E03.</w:t>
      </w:r>
    </w:p>
    <w:p w14:paraId="6ADF5E3F" w14:textId="77777777" w:rsidR="00024C61" w:rsidRPr="00230AA5" w:rsidRDefault="00024C61" w:rsidP="00230AA5">
      <w:pPr>
        <w:spacing w:after="0" w:line="240" w:lineRule="auto"/>
        <w:rPr>
          <w:rFonts w:ascii="Times New Roman" w:hAnsi="Times New Roman"/>
        </w:rPr>
      </w:pPr>
    </w:p>
    <w:p w14:paraId="5AE460E1"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Hatásmechanizmus</w:t>
      </w:r>
    </w:p>
    <w:p w14:paraId="06657208"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az erectilis dysfunctio kezelésére szolgáló, orálisan alkalmazható gyógyszer. Természetes körülmények között (azaz szexuális ingerre) a penisbe irányuló véráramlás fokozásával állítja helyre a károsodott erectilis funkciót.</w:t>
      </w:r>
    </w:p>
    <w:p w14:paraId="088300C0" w14:textId="77777777" w:rsidR="00024C61" w:rsidRPr="00230AA5" w:rsidRDefault="00024C61" w:rsidP="00230AA5">
      <w:pPr>
        <w:spacing w:after="0" w:line="240" w:lineRule="auto"/>
        <w:rPr>
          <w:rFonts w:ascii="Times New Roman" w:hAnsi="Times New Roman"/>
        </w:rPr>
      </w:pPr>
    </w:p>
    <w:p w14:paraId="7CD44BA8" w14:textId="77777777" w:rsidR="00355F50" w:rsidRDefault="00355F50" w:rsidP="00230AA5">
      <w:pPr>
        <w:spacing w:after="0" w:line="240" w:lineRule="auto"/>
        <w:rPr>
          <w:rFonts w:ascii="Times New Roman" w:hAnsi="Times New Roman"/>
        </w:rPr>
      </w:pPr>
      <w:r w:rsidRPr="00230AA5">
        <w:rPr>
          <w:rFonts w:ascii="Times New Roman" w:hAnsi="Times New Roman"/>
        </w:rPr>
        <w:t>A hímvessző merevedéséért felelős élettani folyamatok során a szexuális ingerlésre nitrogén-monoxid (NO) szabadul fel a corpus cavernosumban. A nitrogén-monoxid a guanil-cikláz enzim aktiválása révén növeli a ciklikus guanozin-monofoszfát (cGMP) szintjét, ami a corpus cavernosum simaizomzatának ellazulását és a vér beáramlását eredményezi.</w:t>
      </w:r>
    </w:p>
    <w:p w14:paraId="6E34475D" w14:textId="77777777" w:rsidR="00024C61" w:rsidRPr="00230AA5" w:rsidRDefault="00024C61" w:rsidP="00230AA5">
      <w:pPr>
        <w:spacing w:after="0" w:line="240" w:lineRule="auto"/>
        <w:rPr>
          <w:rFonts w:ascii="Times New Roman" w:hAnsi="Times New Roman"/>
        </w:rPr>
      </w:pPr>
    </w:p>
    <w:p w14:paraId="7767796B" w14:textId="77777777" w:rsidR="00355F50" w:rsidRDefault="00355F50" w:rsidP="00230AA5">
      <w:pPr>
        <w:spacing w:after="0" w:line="240" w:lineRule="auto"/>
        <w:rPr>
          <w:rFonts w:ascii="Times New Roman" w:hAnsi="Times New Roman"/>
        </w:rPr>
      </w:pPr>
      <w:r w:rsidRPr="00230AA5">
        <w:rPr>
          <w:rFonts w:ascii="Times New Roman" w:hAnsi="Times New Roman"/>
        </w:rPr>
        <w:lastRenderedPageBreak/>
        <w:t>A szildenafil hatékony és szelektív inhibitora a barlangos testekben található cGMP-specifikus 5-ös típusú foszfodiészteráznak (PDE5), ahol az a cGMP lebontásáért felelős. A szildenafil erectióra kifejtett hatásának támadáspontja perifériás. Izolált humán corpus cavernosumon a szildenafil nem fejt ki közvetlen simaizom-ellazító hatást, de a barlangos testek szöveteiben hatékonyan fokozza a nitrogén-monoxid izomrelaxáló hatását. A NO/cGMP jelátvitel aktivált állapotában, mint szexuális ingerlés esetében is, a PDE5 szildenafillal történő gátlása emelkedett cGMP-szintet eredményez a corpus cavernosumban. A szildenafil kívánt farmakológiai hatásának létrehozásához tehát szükség van szexuális ingerlésre.</w:t>
      </w:r>
    </w:p>
    <w:p w14:paraId="4F34D967" w14:textId="77777777" w:rsidR="00024C61" w:rsidRPr="00230AA5" w:rsidRDefault="00024C61" w:rsidP="00230AA5">
      <w:pPr>
        <w:spacing w:after="0" w:line="240" w:lineRule="auto"/>
        <w:rPr>
          <w:rFonts w:ascii="Times New Roman" w:hAnsi="Times New Roman"/>
        </w:rPr>
      </w:pPr>
    </w:p>
    <w:p w14:paraId="57A9F4C8"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Farmakodinámiás hatások</w:t>
      </w:r>
    </w:p>
    <w:p w14:paraId="2E2080B0" w14:textId="77777777" w:rsidR="00355F50" w:rsidRDefault="00355F50" w:rsidP="00230AA5">
      <w:pPr>
        <w:spacing w:after="0" w:line="240" w:lineRule="auto"/>
        <w:rPr>
          <w:rFonts w:ascii="Times New Roman" w:hAnsi="Times New Roman"/>
        </w:rPr>
      </w:pPr>
      <w:r w:rsidRPr="00230AA5">
        <w:rPr>
          <w:rFonts w:ascii="Times New Roman" w:hAnsi="Times New Roman"/>
          <w:i/>
          <w:iCs/>
        </w:rPr>
        <w:t>In vitro</w:t>
      </w:r>
      <w:r w:rsidRPr="00230AA5">
        <w:rPr>
          <w:rFonts w:ascii="Times New Roman" w:hAnsi="Times New Roman"/>
        </w:rPr>
        <w:t xml:space="preserve"> vizsgálatok során megállapították, hogy a szildenafil szelektíven kötődik az erectió folyamatában részt vevő PDE5-höz. Jóval hatékonyabban kötődik a PDE5-höz, mint más ismert foszfodiészterázokhoz. Szelektivitása tízszer akkora, mint a PDE6-hoz, ami a retina fototranszdukciós anyagcsereútjában vesz részt. Maximális ajánlott adagolásnál 80-szor szelektívebben kötődik, mint a PDE1-hez, illetve több mint 700-szor szelektívebben, mint a PDE2, -3, -4, -7, -8, -9, -10 és -11 izoenzimekhez. Kiemelt jelentőségű, hogy a szildenafil 4000-szer szelektívebben kötődik a PDE5-höz, mint a szívizomzat kontraktilitásának szabályozásában részt vevő cAMP-specifikus PDE3-hoz.</w:t>
      </w:r>
    </w:p>
    <w:p w14:paraId="73C99D0F" w14:textId="77777777" w:rsidR="00024C61" w:rsidRPr="00230AA5" w:rsidRDefault="00024C61" w:rsidP="00230AA5">
      <w:pPr>
        <w:spacing w:after="0" w:line="240" w:lineRule="auto"/>
        <w:rPr>
          <w:rFonts w:ascii="Times New Roman" w:hAnsi="Times New Roman"/>
        </w:rPr>
      </w:pPr>
    </w:p>
    <w:p w14:paraId="2FF5A639"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Klinikai hatásosság és biztonságosság</w:t>
      </w:r>
    </w:p>
    <w:p w14:paraId="7DF69AB7" w14:textId="77777777" w:rsidR="00355F50" w:rsidRDefault="00355F50" w:rsidP="00230AA5">
      <w:pPr>
        <w:spacing w:after="0" w:line="240" w:lineRule="auto"/>
        <w:rPr>
          <w:rFonts w:ascii="Times New Roman" w:hAnsi="Times New Roman"/>
        </w:rPr>
      </w:pPr>
      <w:r w:rsidRPr="00230AA5">
        <w:rPr>
          <w:rFonts w:ascii="Times New Roman" w:hAnsi="Times New Roman"/>
        </w:rPr>
        <w:t>Két klinikai vizsgálatot kifejezetten arra terveztek, hogy felmérhessék azt a bevételt követő időintervallumot, amely alatt a szildenafil képes erectiót okozni szexuális ingerlésre adott válaszként. Éhomi állapotú betegeken végzett penis-pletizmográf (RigiScan) vizsgálat során azok esetében, akik elérték a 60%-os merevedést (ami elégséges a közösüléshez), az erectio eléréséig eltelt medián időtartam 25 perc (12-37 perc) volt a szildenafil bevételét követően. Egy másik RigiScan vizsgálat során a szildenafil a bevételt követően 4-5 órával is képes volt erectiót okozni a szexuális ingerlésre adott válaszként.</w:t>
      </w:r>
    </w:p>
    <w:p w14:paraId="02467FA0" w14:textId="77777777" w:rsidR="00024C61" w:rsidRPr="00230AA5" w:rsidRDefault="00024C61" w:rsidP="00230AA5">
      <w:pPr>
        <w:spacing w:after="0" w:line="240" w:lineRule="auto"/>
        <w:rPr>
          <w:rFonts w:ascii="Times New Roman" w:hAnsi="Times New Roman"/>
        </w:rPr>
      </w:pPr>
    </w:p>
    <w:p w14:paraId="789A5FA7"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enyhe és átmeneti vérnyomáscsökkenést okoz, ami az esetek többségében nem jár klinikai következménnyel. A szildenafil 100 mg-os per os adagolása után a fekvő helyzetben mért szisztolés vérnyomáscsökkenés maximumának átlaga 8,4 Hgmm volt. Ugyanez a változás fekvő helyzetben a diasztolés vérnyomás értékében 5,5 Hgmm volt. A vérnyomáscsökkenés a szildenafil értágító hatásának következménye, mely minden bizonnyal az érfali simaizomzat cGMP-szintjének növekedéséből ered.</w:t>
      </w:r>
    </w:p>
    <w:p w14:paraId="0A5423C1" w14:textId="77777777" w:rsidR="00024C61" w:rsidRPr="00230AA5" w:rsidRDefault="00024C61" w:rsidP="00230AA5">
      <w:pPr>
        <w:spacing w:after="0" w:line="240" w:lineRule="auto"/>
        <w:rPr>
          <w:rFonts w:ascii="Times New Roman" w:hAnsi="Times New Roman"/>
        </w:rPr>
      </w:pPr>
    </w:p>
    <w:p w14:paraId="55548F90" w14:textId="77777777" w:rsidR="00355F50" w:rsidRDefault="00355F50" w:rsidP="00230AA5">
      <w:pPr>
        <w:spacing w:after="0" w:line="240" w:lineRule="auto"/>
        <w:rPr>
          <w:rFonts w:ascii="Times New Roman" w:hAnsi="Times New Roman"/>
        </w:rPr>
      </w:pPr>
      <w:r w:rsidRPr="00230AA5">
        <w:rPr>
          <w:rFonts w:ascii="Times New Roman" w:hAnsi="Times New Roman"/>
        </w:rPr>
        <w:t>Egészséges önkénteseknél a szildenafil legfeljebb 100 mg-os, egyszeri dózisai nem idéztek elő klinikailag számottevő elektrokardiogram- (EKG) eltérést.</w:t>
      </w:r>
    </w:p>
    <w:p w14:paraId="42EC1487" w14:textId="77777777" w:rsidR="00024C61" w:rsidRPr="00230AA5" w:rsidRDefault="00024C61" w:rsidP="00230AA5">
      <w:pPr>
        <w:spacing w:after="0" w:line="240" w:lineRule="auto"/>
        <w:rPr>
          <w:rFonts w:ascii="Times New Roman" w:hAnsi="Times New Roman"/>
        </w:rPr>
      </w:pPr>
    </w:p>
    <w:p w14:paraId="281477EE" w14:textId="77777777" w:rsidR="00355F50" w:rsidRDefault="00355F50" w:rsidP="00230AA5">
      <w:pPr>
        <w:spacing w:after="0" w:line="240" w:lineRule="auto"/>
        <w:rPr>
          <w:rFonts w:ascii="Times New Roman" w:hAnsi="Times New Roman"/>
        </w:rPr>
      </w:pPr>
      <w:r w:rsidRPr="00230AA5">
        <w:rPr>
          <w:rFonts w:ascii="Times New Roman" w:hAnsi="Times New Roman"/>
        </w:rPr>
        <w:t>14 súlyos koszorúér-betegségben szenvedő betegnél (akiknél legalább egy coronaria artéria több mint 70%-os stenosisa állt fenn) az egyszeri 100 mg-os szildenafil dózis haemodinamikai hatásainak klinikai vizsgálata során az átlagos nyugalmi systolés vérnyomás 7%-kal, a diastolés vérnyomás 6%-kal csökkent az alapértékhez képest. Az átlagos pulmonális systolés vérnyomás 9%-kal csökkent. A szildenafil perctérfogatot befolyásoló hatást nem mutatott, és nem károsította a stenotisalt koszorúerekben a vérátáramlást.</w:t>
      </w:r>
    </w:p>
    <w:p w14:paraId="7A86F6BF" w14:textId="77777777" w:rsidR="00024C61" w:rsidRPr="00230AA5" w:rsidRDefault="00024C61" w:rsidP="00230AA5">
      <w:pPr>
        <w:spacing w:after="0" w:line="240" w:lineRule="auto"/>
        <w:rPr>
          <w:rFonts w:ascii="Times New Roman" w:hAnsi="Times New Roman"/>
        </w:rPr>
      </w:pPr>
    </w:p>
    <w:p w14:paraId="3449BF87" w14:textId="77777777" w:rsidR="00355F50" w:rsidRDefault="00355F50" w:rsidP="00230AA5">
      <w:pPr>
        <w:spacing w:after="0" w:line="240" w:lineRule="auto"/>
        <w:rPr>
          <w:rFonts w:ascii="Times New Roman" w:hAnsi="Times New Roman"/>
        </w:rPr>
      </w:pPr>
      <w:r w:rsidRPr="00230AA5">
        <w:rPr>
          <w:rFonts w:ascii="Times New Roman" w:hAnsi="Times New Roman"/>
        </w:rPr>
        <w:t>Egy kettős vak, placebokontrollos, terheléses vizsgálat során 144, erectilis dysfunctióban és krónikus stabil anginában szenvedő beteget vizsgáltak, akik rendszeresen antianginás gyógyszereket kaptak (nitrátokat kivéve). Az eredmények nem mutattak klinikailag jelentős eltérést a szildenafil és a placebo között a terhelés megszakítását szükségessé tevő angina jelentkezéséig eltelt időtartamban.</w:t>
      </w:r>
    </w:p>
    <w:p w14:paraId="3CC4642B" w14:textId="77777777" w:rsidR="00024C61" w:rsidRPr="00230AA5" w:rsidRDefault="00024C61" w:rsidP="00230AA5">
      <w:pPr>
        <w:spacing w:after="0" w:line="240" w:lineRule="auto"/>
        <w:rPr>
          <w:rFonts w:ascii="Times New Roman" w:hAnsi="Times New Roman"/>
        </w:rPr>
      </w:pPr>
    </w:p>
    <w:p w14:paraId="0C455E43" w14:textId="0FC17FA0" w:rsidR="00355F50" w:rsidRDefault="00355F50" w:rsidP="00230AA5">
      <w:pPr>
        <w:spacing w:after="0" w:line="240" w:lineRule="auto"/>
        <w:rPr>
          <w:rFonts w:ascii="Times New Roman" w:hAnsi="Times New Roman"/>
        </w:rPr>
      </w:pPr>
      <w:r w:rsidRPr="00230AA5">
        <w:rPr>
          <w:rFonts w:ascii="Times New Roman" w:hAnsi="Times New Roman"/>
        </w:rPr>
        <w:t xml:space="preserve">A 100 mg-os egyszeri dózis adását követően 1 óra múlva ritkán a szín-megkülönböztetés (kék/zöld színlátás) kismértékű és átmeneti zavarát mutatták ki Farnsworth–Munsell 100 színárnyalat teszttel; 2 órával a gyógyszeradag bevétele után azonban ez már nem volt észlelhető. A színlátás ezen zavara feltehetően a retina fototransductiós kaszkádjának működéséhez szükséges PDE6 enzim gátlásából ered. A szildenafil nem befolyásolja a látásélességet vagy a fénykontraszt-érzékelést. Egy kis betegszámú, placebokontrollos vizsgálatban dokumentált korai öregkori macula degenerációban szenvedő betegeknél (n=9) a szildenafil (100 mg egyszeri dózisa) nem okozott lényeges változásokat a </w:t>
      </w:r>
      <w:r w:rsidRPr="00230AA5">
        <w:rPr>
          <w:rFonts w:ascii="Times New Roman" w:hAnsi="Times New Roman"/>
        </w:rPr>
        <w:lastRenderedPageBreak/>
        <w:t>látásvizsgálatok értékeiben (látásélesség, Amsler-rács, szimulált közlekedési fények színmegkülönböztetése, Humphrey-féle látótér- és fotostresszvizsgálat).</w:t>
      </w:r>
    </w:p>
    <w:p w14:paraId="39A0829B" w14:textId="77777777" w:rsidR="00024C61" w:rsidRPr="00230AA5" w:rsidRDefault="00024C61" w:rsidP="00230AA5">
      <w:pPr>
        <w:spacing w:after="0" w:line="240" w:lineRule="auto"/>
        <w:rPr>
          <w:rFonts w:ascii="Times New Roman" w:hAnsi="Times New Roman"/>
        </w:rPr>
      </w:pPr>
    </w:p>
    <w:p w14:paraId="5C3DD700"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 egyszeri 100 mg-os orális adagolása után egészséges önkénteseknél a spermiumok motilitásában és morfológiájában semmiféle változást nem észleltek (lásd 4.6 pont).</w:t>
      </w:r>
    </w:p>
    <w:p w14:paraId="0AA365C0" w14:textId="77777777" w:rsidR="00024C61" w:rsidRPr="00230AA5" w:rsidRDefault="00024C61" w:rsidP="00230AA5">
      <w:pPr>
        <w:spacing w:after="0" w:line="240" w:lineRule="auto"/>
        <w:rPr>
          <w:rFonts w:ascii="Times New Roman" w:hAnsi="Times New Roman"/>
        </w:rPr>
      </w:pPr>
    </w:p>
    <w:p w14:paraId="4B6E10B6"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A klinikai vizsgálatok további adatai</w:t>
      </w:r>
    </w:p>
    <w:p w14:paraId="5883FDAB" w14:textId="77777777" w:rsidR="00355F50" w:rsidRDefault="00355F50" w:rsidP="00230AA5">
      <w:pPr>
        <w:spacing w:after="0" w:line="240" w:lineRule="auto"/>
        <w:rPr>
          <w:rFonts w:ascii="Times New Roman" w:hAnsi="Times New Roman"/>
        </w:rPr>
      </w:pPr>
      <w:r w:rsidRPr="00230AA5">
        <w:rPr>
          <w:rFonts w:ascii="Times New Roman" w:hAnsi="Times New Roman"/>
        </w:rPr>
        <w:t>Klinikai vizsgálatok során több mint 8000, 19-87 éves korú beteg részesült szildenafil-kezelésben. Az alábbi betegcsoportok képviseltettek: idősek (19,9%), magas vérnyomású betegek (30,9%), diabetes mellitusban (20,3%), ischaemiás szívbetegségben szenvedők (5,8%), hyperlipidaemiában szenvedők (19,8%), gerincvelősérülésben szenvedők (0,6%), depresszióban szenvedők (5,2%), transurethralis prostataresectio (TURP) utáni (3,7%), radikális prostatectomia utáni betegek (3,3%). Az alábbi csoportok nem voltak megfelelően reprezentálva, illetve ki voltak zárva: kismedencei sebészeti beavatkozás, illetve sugárkezelés után levő, súlyos vese-, illetve májkárosodásban, valamint bizonyos cardiovascularis megbetegedésben szenvedő betegek (lásd 4.3 pont).</w:t>
      </w:r>
    </w:p>
    <w:p w14:paraId="0D8B71B2" w14:textId="77777777" w:rsidR="00024C61" w:rsidRPr="00230AA5" w:rsidRDefault="00024C61" w:rsidP="00230AA5">
      <w:pPr>
        <w:spacing w:after="0" w:line="240" w:lineRule="auto"/>
        <w:rPr>
          <w:rFonts w:ascii="Times New Roman" w:hAnsi="Times New Roman"/>
        </w:rPr>
      </w:pPr>
    </w:p>
    <w:p w14:paraId="5AA76402" w14:textId="77777777" w:rsidR="00355F50" w:rsidRDefault="00355F50" w:rsidP="00230AA5">
      <w:pPr>
        <w:spacing w:after="0" w:line="240" w:lineRule="auto"/>
        <w:rPr>
          <w:rFonts w:ascii="Times New Roman" w:hAnsi="Times New Roman"/>
        </w:rPr>
      </w:pPr>
      <w:r w:rsidRPr="00230AA5">
        <w:rPr>
          <w:rFonts w:ascii="Times New Roman" w:hAnsi="Times New Roman"/>
        </w:rPr>
        <w:t>A fix dózisú vizsgálatokban a 25 mg-os dózissal kezelt betegek 62%-a, az 50 mg-mal kezeltek 74%-a, illetve a 100 mg-mal kezeltek 82%-a jelzett javulást az erekcióban, szemben a placebót kapó csoport 25%-ával. A kontrollos klinikai vizsgálatok során a szildenafil miatti lemorzsolódási arány alacsony volt, a placebóéhoz hasonló.</w:t>
      </w:r>
    </w:p>
    <w:p w14:paraId="4DD31C9C" w14:textId="77777777" w:rsidR="00024C61" w:rsidRPr="00230AA5" w:rsidRDefault="00024C61" w:rsidP="00230AA5">
      <w:pPr>
        <w:spacing w:after="0" w:line="240" w:lineRule="auto"/>
        <w:rPr>
          <w:rFonts w:ascii="Times New Roman" w:hAnsi="Times New Roman"/>
        </w:rPr>
      </w:pPr>
    </w:p>
    <w:p w14:paraId="62B4873A"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Valamennyi vizsgálatot egybevetve, a szildenafillal kezelt betegek közül javulást észlelők százalékos aránya a következő volt: pszichogén erectilis dysfunctióban 84%, kevert erectilis dysfunctióban 77%, organikus erectilis dysfunctióban 68%, idős koriban 67%, diabetes mellitusban 59%, ischaemiás szívbetegség mellett 69%, magas vérnyomásnál 68%, TURP-ot követően 61%, radikális prostatectomia után 43%, gerincvelő-sérülést követően 83%, depresszió esetén 75%. A szildenafil biztonságossága és hatásossága a hosszú távú vizsgálatok során is fennmaradt.</w:t>
      </w:r>
    </w:p>
    <w:p w14:paraId="42B4A87E" w14:textId="77777777" w:rsidR="00F15FAC" w:rsidRPr="00230AA5" w:rsidRDefault="00F15FAC" w:rsidP="00230AA5">
      <w:pPr>
        <w:spacing w:after="0" w:line="240" w:lineRule="auto"/>
        <w:rPr>
          <w:rFonts w:ascii="Times New Roman" w:hAnsi="Times New Roman"/>
          <w:u w:val="single"/>
        </w:rPr>
      </w:pPr>
    </w:p>
    <w:p w14:paraId="27B0BD3F"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Gyermekek és serdülők</w:t>
      </w:r>
    </w:p>
    <w:p w14:paraId="4258DAB3" w14:textId="5EBD2C36"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Az Európai Gyógyszerügynökség gyermekek és serdülők esetén minden korosztálynál eltekint a </w:t>
      </w:r>
      <w:r w:rsidR="00B4541F" w:rsidRPr="00230AA5">
        <w:rPr>
          <w:rFonts w:ascii="Times New Roman" w:hAnsi="Times New Roman"/>
        </w:rPr>
        <w:t>Sildenafil ADOH</w:t>
      </w:r>
      <w:r w:rsidRPr="00230AA5">
        <w:rPr>
          <w:rFonts w:ascii="Times New Roman" w:hAnsi="Times New Roman"/>
        </w:rPr>
        <w:t xml:space="preserve"> vizsgálati eredményeinek benyújtási kötelezettségétől erectilis dysfunctio kezelésében (lásd 4.2 pont, gyermekgyógyászati alkalmazásra vonatkozó információk).</w:t>
      </w:r>
    </w:p>
    <w:p w14:paraId="65CAE36F" w14:textId="77777777" w:rsidR="00355F50" w:rsidRPr="00230AA5" w:rsidRDefault="00355F50" w:rsidP="00230AA5">
      <w:pPr>
        <w:spacing w:after="0" w:line="240" w:lineRule="auto"/>
        <w:rPr>
          <w:rFonts w:ascii="Times New Roman" w:hAnsi="Times New Roman"/>
        </w:rPr>
      </w:pPr>
    </w:p>
    <w:p w14:paraId="3384146F" w14:textId="4F159D0A" w:rsidR="00355F50" w:rsidRPr="00230AA5" w:rsidRDefault="00355F50" w:rsidP="0019750E">
      <w:pPr>
        <w:pStyle w:val="Cmsor3"/>
        <w:spacing w:before="0" w:line="240" w:lineRule="auto"/>
        <w:ind w:left="567" w:hanging="567"/>
        <w:rPr>
          <w:rFonts w:cs="Times New Roman"/>
        </w:rPr>
      </w:pPr>
      <w:r w:rsidRPr="00230AA5">
        <w:rPr>
          <w:rFonts w:cs="Times New Roman"/>
        </w:rPr>
        <w:t>5.2</w:t>
      </w:r>
      <w:r w:rsidRPr="00230AA5">
        <w:rPr>
          <w:rFonts w:cs="Times New Roman"/>
        </w:rPr>
        <w:tab/>
        <w:t>Farmakokinetikai tulajdonságok</w:t>
      </w:r>
      <w:r w:rsidR="00A15089" w:rsidRPr="00230AA5">
        <w:rPr>
          <w:rFonts w:cs="Times New Roman"/>
        </w:rPr>
        <w:fldChar w:fldCharType="begin"/>
      </w:r>
      <w:r w:rsidR="00A15089" w:rsidRPr="00230AA5">
        <w:rPr>
          <w:rFonts w:cs="Times New Roman"/>
        </w:rPr>
        <w:instrText xml:space="preserve"> DOCVARIABLE vault_nd_6410892c-1469-46a8-9711-d67d639b24f1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2EFD6665" w14:textId="77777777" w:rsidR="00A10C68" w:rsidRDefault="00A10C68" w:rsidP="00230AA5">
      <w:pPr>
        <w:spacing w:after="0" w:line="240" w:lineRule="auto"/>
        <w:rPr>
          <w:rFonts w:ascii="Times New Roman" w:hAnsi="Times New Roman"/>
          <w:u w:val="single"/>
        </w:rPr>
      </w:pPr>
    </w:p>
    <w:p w14:paraId="6D10AA82" w14:textId="7FA318DA"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Felszívódás</w:t>
      </w:r>
    </w:p>
    <w:p w14:paraId="336A224E"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 rövid idő alatt felszívódik. A gyógyszert éhgyomorra, szájon át adva 30-120 percen belül (medián időtartam 60 perc) kialakul a maximális plazmaszint. Az abszolút orális biohasznosulás átlagértéke 41% (tartomány: 25-63%). A szildenafil per os adását követően a javasolt dózistartományban (25-100 mg) dózisfüggően nő az AUC és C</w:t>
      </w:r>
      <w:r w:rsidRPr="0019750E">
        <w:rPr>
          <w:rFonts w:ascii="Times New Roman" w:hAnsi="Times New Roman"/>
          <w:vertAlign w:val="subscript"/>
        </w:rPr>
        <w:t>max</w:t>
      </w:r>
      <w:r w:rsidRPr="00230AA5">
        <w:rPr>
          <w:rFonts w:ascii="Times New Roman" w:hAnsi="Times New Roman"/>
        </w:rPr>
        <w:t xml:space="preserve"> értéke.</w:t>
      </w:r>
    </w:p>
    <w:p w14:paraId="2F1C21B1" w14:textId="181DFFC2" w:rsidR="00424604" w:rsidRPr="00230AA5" w:rsidRDefault="00424604" w:rsidP="00230AA5">
      <w:pPr>
        <w:spacing w:after="0" w:line="240" w:lineRule="auto"/>
        <w:rPr>
          <w:rFonts w:ascii="Times New Roman" w:hAnsi="Times New Roman"/>
          <w:u w:val="single"/>
        </w:rPr>
      </w:pPr>
    </w:p>
    <w:p w14:paraId="65455F3C" w14:textId="77777777" w:rsidR="00417549" w:rsidRPr="00230AA5" w:rsidRDefault="00417549" w:rsidP="00230AA5">
      <w:pPr>
        <w:spacing w:after="0" w:line="240" w:lineRule="auto"/>
        <w:rPr>
          <w:rFonts w:ascii="Times New Roman" w:hAnsi="Times New Roman"/>
        </w:rPr>
      </w:pPr>
      <w:r w:rsidRPr="00230AA5">
        <w:rPr>
          <w:rFonts w:ascii="Times New Roman" w:hAnsi="Times New Roman"/>
          <w:i/>
        </w:rPr>
        <w:t>Szájban diszpergálódó film</w:t>
      </w:r>
      <w:r w:rsidRPr="00230AA5">
        <w:rPr>
          <w:rFonts w:ascii="Times New Roman" w:hAnsi="Times New Roman"/>
        </w:rPr>
        <w:t xml:space="preserve"> </w:t>
      </w:r>
    </w:p>
    <w:p w14:paraId="31637C21" w14:textId="51E981D4" w:rsidR="00417549" w:rsidRDefault="00417549" w:rsidP="00230AA5">
      <w:pPr>
        <w:spacing w:after="0" w:line="240" w:lineRule="auto"/>
        <w:rPr>
          <w:rFonts w:ascii="Times New Roman" w:hAnsi="Times New Roman"/>
        </w:rPr>
      </w:pPr>
      <w:r w:rsidRPr="00230AA5">
        <w:rPr>
          <w:rFonts w:ascii="Times New Roman" w:hAnsi="Times New Roman"/>
        </w:rPr>
        <w:t xml:space="preserve">Az ételnek az 50 mg-os szildenafil szájban diszpergálódó filmre gyakorolt hatását nem vizsgálták, ugyanakkor ételek esetében az 50 mg-os szildenafil szájban diszpergálódó tablettához hasonló hatás várható (lásd alább a „Szájban diszpergálódó tabletta” című részt és a 4.2 pontot). </w:t>
      </w:r>
    </w:p>
    <w:p w14:paraId="63285CD5" w14:textId="77777777" w:rsidR="0046056D" w:rsidRPr="00230AA5" w:rsidRDefault="0046056D" w:rsidP="00230AA5">
      <w:pPr>
        <w:spacing w:after="0" w:line="240" w:lineRule="auto"/>
        <w:rPr>
          <w:rFonts w:ascii="Times New Roman" w:hAnsi="Times New Roman"/>
        </w:rPr>
      </w:pPr>
    </w:p>
    <w:p w14:paraId="509DD714" w14:textId="77777777" w:rsidR="00417549" w:rsidRPr="00230AA5" w:rsidRDefault="00417549" w:rsidP="00230AA5">
      <w:pPr>
        <w:spacing w:after="0" w:line="240" w:lineRule="auto"/>
        <w:rPr>
          <w:rFonts w:ascii="Times New Roman" w:hAnsi="Times New Roman"/>
          <w:i/>
          <w:iCs/>
        </w:rPr>
      </w:pPr>
      <w:r w:rsidRPr="00230AA5">
        <w:rPr>
          <w:rFonts w:ascii="Times New Roman" w:hAnsi="Times New Roman"/>
          <w:i/>
        </w:rPr>
        <w:t xml:space="preserve">Szájban diszpergálódó tabletta </w:t>
      </w:r>
    </w:p>
    <w:p w14:paraId="5250F2FB" w14:textId="49FC13D6" w:rsidR="00417549" w:rsidRPr="00230AA5" w:rsidRDefault="00417549" w:rsidP="00230AA5">
      <w:pPr>
        <w:spacing w:after="0" w:line="240" w:lineRule="auto"/>
        <w:rPr>
          <w:rFonts w:ascii="Times New Roman" w:hAnsi="Times New Roman"/>
        </w:rPr>
      </w:pPr>
      <w:r w:rsidRPr="00230AA5">
        <w:rPr>
          <w:rFonts w:ascii="Times New Roman" w:hAnsi="Times New Roman"/>
        </w:rPr>
        <w:t>Ha a szájban diszpergálódó tablettát magas zsírtartalmú étkezés során veszik be, csökken a szildenafil felszívódásának sebessége, a t</w:t>
      </w:r>
      <w:r w:rsidRPr="0019750E">
        <w:rPr>
          <w:rFonts w:ascii="Times New Roman" w:hAnsi="Times New Roman"/>
          <w:vertAlign w:val="subscript"/>
        </w:rPr>
        <w:t>max</w:t>
      </w:r>
      <w:r w:rsidRPr="00230AA5">
        <w:rPr>
          <w:rFonts w:ascii="Times New Roman" w:hAnsi="Times New Roman"/>
        </w:rPr>
        <w:t xml:space="preserve"> medián értéke körülbelül 3,4 órával nő, a C</w:t>
      </w:r>
      <w:r w:rsidRPr="0019750E">
        <w:rPr>
          <w:rFonts w:ascii="Times New Roman" w:hAnsi="Times New Roman"/>
          <w:vertAlign w:val="subscript"/>
        </w:rPr>
        <w:t>max</w:t>
      </w:r>
      <w:r w:rsidRPr="00230AA5">
        <w:rPr>
          <w:rFonts w:ascii="Times New Roman" w:hAnsi="Times New Roman"/>
        </w:rPr>
        <w:t xml:space="preserve"> és az AUC átlagértéke pedig körülbelül 59%-kal, illetve 12%-kal csökken az éhgyomorra bevett szájban diszpergálódó tablettához képest (lásd 4.2 pont).</w:t>
      </w:r>
    </w:p>
    <w:p w14:paraId="1C15D749" w14:textId="77777777" w:rsidR="00417549" w:rsidRPr="00230AA5" w:rsidRDefault="00417549" w:rsidP="00230AA5">
      <w:pPr>
        <w:spacing w:after="0" w:line="240" w:lineRule="auto"/>
        <w:rPr>
          <w:rFonts w:ascii="Times New Roman" w:hAnsi="Times New Roman"/>
          <w:u w:val="single"/>
        </w:rPr>
      </w:pPr>
    </w:p>
    <w:p w14:paraId="0CF0BA5A" w14:textId="77777777" w:rsidR="00355F50" w:rsidRPr="00230AA5" w:rsidRDefault="00355F50" w:rsidP="00230AA5">
      <w:pPr>
        <w:keepNext/>
        <w:spacing w:after="0" w:line="240" w:lineRule="auto"/>
        <w:rPr>
          <w:rFonts w:ascii="Times New Roman" w:hAnsi="Times New Roman"/>
          <w:u w:val="single"/>
        </w:rPr>
      </w:pPr>
      <w:r w:rsidRPr="00230AA5">
        <w:rPr>
          <w:rFonts w:ascii="Times New Roman" w:hAnsi="Times New Roman"/>
          <w:u w:val="single"/>
        </w:rPr>
        <w:t>Eloszlás</w:t>
      </w:r>
    </w:p>
    <w:p w14:paraId="0A29D655" w14:textId="77777777" w:rsidR="00355F50" w:rsidRDefault="00355F50" w:rsidP="00230AA5">
      <w:pPr>
        <w:spacing w:after="0" w:line="240" w:lineRule="auto"/>
        <w:rPr>
          <w:rFonts w:ascii="Times New Roman" w:hAnsi="Times New Roman"/>
        </w:rPr>
      </w:pPr>
      <w:r w:rsidRPr="00230AA5">
        <w:rPr>
          <w:rFonts w:ascii="Times New Roman" w:hAnsi="Times New Roman"/>
        </w:rPr>
        <w:t xml:space="preserve">Dinamikus egyensúlyi állapotban a szildenafil átlagos eloszlási térfogata (Vd) 105 liter, mely szöveti eloszlásra utal. A szildenafil átlagos maximális össz-plazmakoncentrációja egyszeri 100 mg-os dózis szájon át történő adását követően körülbelül 440 ng/ml (CV 40%). Mivel a szildenafil (és a vérben keringő legjelentősebb, N-dezmetil metabolitjának) 96%-a kötődik plazmafehérjékhez, ez azt </w:t>
      </w:r>
      <w:r w:rsidRPr="00230AA5">
        <w:rPr>
          <w:rFonts w:ascii="Times New Roman" w:hAnsi="Times New Roman"/>
        </w:rPr>
        <w:lastRenderedPageBreak/>
        <w:t>eredményezi, hogy a szildenafil átlagos maximális szabad plazmakoncentrációja 18 ng/ml (38 nM). A fehérjekötődés mértéke független a gyógyszer összkoncentrációjától.</w:t>
      </w:r>
    </w:p>
    <w:p w14:paraId="6F2A385F" w14:textId="77777777" w:rsidR="0046056D" w:rsidRPr="00230AA5" w:rsidRDefault="0046056D" w:rsidP="00230AA5">
      <w:pPr>
        <w:spacing w:after="0" w:line="240" w:lineRule="auto"/>
        <w:rPr>
          <w:rFonts w:ascii="Times New Roman" w:hAnsi="Times New Roman"/>
        </w:rPr>
      </w:pPr>
    </w:p>
    <w:p w14:paraId="021020DF" w14:textId="77777777" w:rsidR="00355F50" w:rsidRDefault="00355F50" w:rsidP="00230AA5">
      <w:pPr>
        <w:spacing w:after="0" w:line="240" w:lineRule="auto"/>
        <w:rPr>
          <w:rFonts w:ascii="Times New Roman" w:hAnsi="Times New Roman"/>
        </w:rPr>
      </w:pPr>
      <w:r w:rsidRPr="00230AA5">
        <w:rPr>
          <w:rFonts w:ascii="Times New Roman" w:hAnsi="Times New Roman"/>
        </w:rPr>
        <w:t>Egészséges önkénteseknek adott 100 mg-os, egyszeri dózisban alkalmazott szildenafil adása után 90 perccel a gyógyszeradag kevesebb, mint 0,0002%-a (átlagosan 188 ng) volt kimutatható az ejaculatumban.</w:t>
      </w:r>
    </w:p>
    <w:p w14:paraId="5DBBAF89" w14:textId="77777777" w:rsidR="0046056D" w:rsidRPr="00230AA5" w:rsidRDefault="0046056D" w:rsidP="00230AA5">
      <w:pPr>
        <w:spacing w:after="0" w:line="240" w:lineRule="auto"/>
        <w:rPr>
          <w:rFonts w:ascii="Times New Roman" w:hAnsi="Times New Roman"/>
        </w:rPr>
      </w:pPr>
    </w:p>
    <w:p w14:paraId="3FC9C202"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Biotranszformáció</w:t>
      </w:r>
    </w:p>
    <w:p w14:paraId="3A24AD02" w14:textId="77777777" w:rsidR="00355F50" w:rsidRDefault="00355F50" w:rsidP="00230AA5">
      <w:pPr>
        <w:spacing w:after="0" w:line="240" w:lineRule="auto"/>
        <w:rPr>
          <w:rFonts w:ascii="Times New Roman" w:hAnsi="Times New Roman"/>
        </w:rPr>
      </w:pPr>
      <w:r w:rsidRPr="00230AA5">
        <w:rPr>
          <w:rFonts w:ascii="Times New Roman" w:hAnsi="Times New Roman"/>
        </w:rPr>
        <w:t>A szildenafilt elsősorban a máj mikroszomális enzimrendszerének CYP3A4 (fő útvonal), kisebb mértékben a CYP2C9 izoenzimei metabolizálják. A szildenafil legjelentősebb keringő metabolitja N-demetilációval keletkezik.</w:t>
      </w:r>
    </w:p>
    <w:p w14:paraId="7AB9C954" w14:textId="77777777" w:rsidR="0046056D" w:rsidRPr="00230AA5" w:rsidRDefault="0046056D" w:rsidP="00230AA5">
      <w:pPr>
        <w:spacing w:after="0" w:line="240" w:lineRule="auto"/>
        <w:rPr>
          <w:rFonts w:ascii="Times New Roman" w:hAnsi="Times New Roman"/>
        </w:rPr>
      </w:pPr>
    </w:p>
    <w:p w14:paraId="2C0DEDE2" w14:textId="77777777" w:rsidR="00355F50" w:rsidRDefault="00355F50" w:rsidP="00230AA5">
      <w:pPr>
        <w:spacing w:after="0" w:line="240" w:lineRule="auto"/>
        <w:rPr>
          <w:rFonts w:ascii="Times New Roman" w:hAnsi="Times New Roman"/>
        </w:rPr>
      </w:pPr>
      <w:r w:rsidRPr="00230AA5">
        <w:rPr>
          <w:rFonts w:ascii="Times New Roman" w:hAnsi="Times New Roman"/>
        </w:rPr>
        <w:t xml:space="preserve">Ezen metabolit foszfodiészteráz-szelektivitási profilja hasonló a szildenafiléhoz; a PDE5-höz való </w:t>
      </w:r>
      <w:r w:rsidRPr="00230AA5">
        <w:rPr>
          <w:rFonts w:ascii="Times New Roman" w:hAnsi="Times New Roman"/>
          <w:i/>
          <w:iCs/>
        </w:rPr>
        <w:t>in vitro</w:t>
      </w:r>
      <w:r w:rsidRPr="00230AA5">
        <w:rPr>
          <w:rFonts w:ascii="Times New Roman" w:hAnsi="Times New Roman"/>
        </w:rPr>
        <w:t xml:space="preserve"> affinitása pedig anyavegyületének körülbelül 50%-a. A metabolit plazmakoncentrációja a szildenafilénak körülbelül 40%-a. Az N-dezmetil metabolit tovább bomlik, terminális felezési ideje körülbelül 4 óra.</w:t>
      </w:r>
    </w:p>
    <w:p w14:paraId="72692ADA" w14:textId="77777777" w:rsidR="0046056D" w:rsidRPr="00230AA5" w:rsidRDefault="0046056D" w:rsidP="00230AA5">
      <w:pPr>
        <w:spacing w:after="0" w:line="240" w:lineRule="auto"/>
        <w:rPr>
          <w:rFonts w:ascii="Times New Roman" w:hAnsi="Times New Roman"/>
        </w:rPr>
      </w:pPr>
    </w:p>
    <w:p w14:paraId="2D6BCDDF"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Elimináció</w:t>
      </w:r>
    </w:p>
    <w:p w14:paraId="1BC5A487"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A szildenafil teljestest-clearance-e 41 liter/óra; amely 3-5 órás terminális felezési időnek felel meg. A szájon át vagy intravénásan adott szildenafil metabolitok formájában, elsősorban a széklettel (az alkalmazott dózis körülbelül 80%-a), kisebb mértékben (az alkalmazott dózis körülbelül 13%-a) a vizelettel ürül.</w:t>
      </w:r>
    </w:p>
    <w:p w14:paraId="08459195" w14:textId="77777777" w:rsidR="00E665AF" w:rsidRPr="00230AA5" w:rsidRDefault="00E665AF" w:rsidP="00230AA5">
      <w:pPr>
        <w:spacing w:after="0" w:line="240" w:lineRule="auto"/>
        <w:rPr>
          <w:rFonts w:ascii="Times New Roman" w:hAnsi="Times New Roman"/>
        </w:rPr>
      </w:pPr>
    </w:p>
    <w:p w14:paraId="6FEEBFFE" w14:textId="77777777" w:rsidR="00355F50" w:rsidRPr="00230AA5" w:rsidRDefault="00355F50" w:rsidP="00230AA5">
      <w:pPr>
        <w:spacing w:after="0" w:line="240" w:lineRule="auto"/>
        <w:rPr>
          <w:rFonts w:ascii="Times New Roman" w:hAnsi="Times New Roman"/>
          <w:u w:val="single"/>
        </w:rPr>
      </w:pPr>
      <w:r w:rsidRPr="00230AA5">
        <w:rPr>
          <w:rFonts w:ascii="Times New Roman" w:hAnsi="Times New Roman"/>
          <w:u w:val="single"/>
        </w:rPr>
        <w:t>Farmakokinetikai jellemzők különleges betegcsoportokban</w:t>
      </w:r>
    </w:p>
    <w:p w14:paraId="6B2C9495" w14:textId="77777777" w:rsidR="0046056D" w:rsidRDefault="0046056D" w:rsidP="00230AA5">
      <w:pPr>
        <w:spacing w:after="0" w:line="240" w:lineRule="auto"/>
        <w:rPr>
          <w:rFonts w:ascii="Times New Roman" w:hAnsi="Times New Roman"/>
          <w:i/>
        </w:rPr>
      </w:pPr>
    </w:p>
    <w:p w14:paraId="35485C53" w14:textId="5F8E24F4" w:rsidR="00355F50" w:rsidRPr="00230AA5" w:rsidRDefault="00355F50" w:rsidP="00230AA5">
      <w:pPr>
        <w:spacing w:after="0" w:line="240" w:lineRule="auto"/>
        <w:rPr>
          <w:rFonts w:ascii="Times New Roman" w:hAnsi="Times New Roman"/>
          <w:i/>
          <w:iCs/>
        </w:rPr>
      </w:pPr>
      <w:r w:rsidRPr="00230AA5">
        <w:rPr>
          <w:rFonts w:ascii="Times New Roman" w:hAnsi="Times New Roman"/>
          <w:i/>
        </w:rPr>
        <w:t>Idősek</w:t>
      </w:r>
    </w:p>
    <w:p w14:paraId="340AA91B" w14:textId="77777777" w:rsidR="00355F50" w:rsidRDefault="00355F50" w:rsidP="00230AA5">
      <w:pPr>
        <w:spacing w:after="0" w:line="240" w:lineRule="auto"/>
        <w:rPr>
          <w:rFonts w:ascii="Times New Roman" w:hAnsi="Times New Roman"/>
        </w:rPr>
      </w:pPr>
      <w:r w:rsidRPr="00230AA5">
        <w:rPr>
          <w:rFonts w:ascii="Times New Roman" w:hAnsi="Times New Roman"/>
        </w:rPr>
        <w:t>Idős (65 éves vagy annál idősebb), egészséges önkéntesekkel végzett vizsgálatok során a szildenafil clearance-ének csökkenését észlelték, mely a szildenafil és annak aktív N-dezmetil metabolitja plazmakoncentrációinak körülbelül 90%-os emelkedését okozta a fiatal (18-45 éves) egészséges önkéntesekkel mértekéhez képest. A plazma fehérje kötődés korral összefüggő különbségei miatt az ennek megfelelő szabad szildenafil-koncentráció következményes emelkedése körülbelül 40% volt.</w:t>
      </w:r>
    </w:p>
    <w:p w14:paraId="2D95E940" w14:textId="77777777" w:rsidR="0046056D" w:rsidRPr="00230AA5" w:rsidRDefault="0046056D" w:rsidP="00230AA5">
      <w:pPr>
        <w:spacing w:after="0" w:line="240" w:lineRule="auto"/>
        <w:rPr>
          <w:rFonts w:ascii="Times New Roman" w:hAnsi="Times New Roman"/>
        </w:rPr>
      </w:pPr>
    </w:p>
    <w:p w14:paraId="18063931" w14:textId="77777777" w:rsidR="00355F50" w:rsidRPr="00230AA5" w:rsidRDefault="00355F50" w:rsidP="00230AA5">
      <w:pPr>
        <w:spacing w:after="0" w:line="240" w:lineRule="auto"/>
        <w:rPr>
          <w:rFonts w:ascii="Times New Roman" w:hAnsi="Times New Roman"/>
          <w:i/>
          <w:iCs/>
        </w:rPr>
      </w:pPr>
      <w:r w:rsidRPr="00230AA5">
        <w:rPr>
          <w:rFonts w:ascii="Times New Roman" w:hAnsi="Times New Roman"/>
          <w:i/>
        </w:rPr>
        <w:t>Vesekárosodás</w:t>
      </w:r>
    </w:p>
    <w:p w14:paraId="41CCD21C" w14:textId="6D4DA5AD" w:rsidR="00355F50" w:rsidRDefault="00355F50" w:rsidP="00230AA5">
      <w:pPr>
        <w:spacing w:after="0" w:line="240" w:lineRule="auto"/>
        <w:rPr>
          <w:rFonts w:ascii="Times New Roman" w:hAnsi="Times New Roman"/>
        </w:rPr>
      </w:pPr>
      <w:r w:rsidRPr="00230AA5">
        <w:rPr>
          <w:rFonts w:ascii="Times New Roman" w:hAnsi="Times New Roman"/>
        </w:rPr>
        <w:t>Enyhe, illetve közepesen súlyos (kreatinin-clearance 30-80 ml/perc) vesekárosodásban szenvedő önkéntesekkel végzett vizsgálatok során nem észlelték az egyszeri, 50 mg-os dózisban per os alkalmazott szildenafil farmakokinetikai jellemzőinek módosulását. Az N-dezmetil metabolit átlagos AUC- és C</w:t>
      </w:r>
      <w:r w:rsidRPr="0019750E">
        <w:rPr>
          <w:rFonts w:ascii="Times New Roman" w:hAnsi="Times New Roman"/>
          <w:vertAlign w:val="subscript"/>
        </w:rPr>
        <w:t>max</w:t>
      </w:r>
      <w:r w:rsidRPr="00230AA5">
        <w:rPr>
          <w:rFonts w:ascii="Times New Roman" w:hAnsi="Times New Roman"/>
        </w:rPr>
        <w:t>-értéke 126%-kal, illetve 73%-kal emelkedett az azonos korú, nem vesebeteg önkéntesek megfelelő adataihoz képest. A vizsgálati egyének közötti nagymértékű variabilitás miatt azonban ezek a különbségek statisztikailag nem voltak szignifikánsak. Súlyos vesekárosodásban szenvedő önkénteseknél (kreatinin-clearance &lt; 30 ml/perc) csökkent a szildenafil-clearance értéke, és a hasonló korú, nem vesebeteg önkéntesekhez képest 100%-kal nőtt a koncentráció-idő görbe alatti terület (AUC), illetve 88%-kal a C</w:t>
      </w:r>
      <w:r w:rsidRPr="0019750E">
        <w:rPr>
          <w:rFonts w:ascii="Times New Roman" w:hAnsi="Times New Roman"/>
          <w:vertAlign w:val="subscript"/>
        </w:rPr>
        <w:t>max</w:t>
      </w:r>
      <w:r w:rsidRPr="00230AA5">
        <w:rPr>
          <w:rFonts w:ascii="Times New Roman" w:hAnsi="Times New Roman"/>
        </w:rPr>
        <w:t xml:space="preserve"> értéke. Ráadásul az N-dezmetil metabolit AUC és C</w:t>
      </w:r>
      <w:r w:rsidRPr="0019750E">
        <w:rPr>
          <w:rFonts w:ascii="Times New Roman" w:hAnsi="Times New Roman"/>
          <w:vertAlign w:val="subscript"/>
        </w:rPr>
        <w:t>max</w:t>
      </w:r>
      <w:r w:rsidRPr="00230AA5">
        <w:rPr>
          <w:rFonts w:ascii="Times New Roman" w:hAnsi="Times New Roman"/>
        </w:rPr>
        <w:t xml:space="preserve"> értékei jelentősen, 200%-kal, illetve 79%-kal emelkedtek.</w:t>
      </w:r>
    </w:p>
    <w:p w14:paraId="2A61EE3A" w14:textId="77777777" w:rsidR="0046056D" w:rsidRPr="00230AA5" w:rsidRDefault="0046056D" w:rsidP="00230AA5">
      <w:pPr>
        <w:spacing w:after="0" w:line="240" w:lineRule="auto"/>
        <w:rPr>
          <w:rFonts w:ascii="Times New Roman" w:hAnsi="Times New Roman"/>
        </w:rPr>
      </w:pPr>
    </w:p>
    <w:p w14:paraId="69A556AF" w14:textId="77777777" w:rsidR="00355F50" w:rsidRPr="00230AA5" w:rsidRDefault="00355F50" w:rsidP="00230AA5">
      <w:pPr>
        <w:keepNext/>
        <w:spacing w:after="0" w:line="240" w:lineRule="auto"/>
        <w:rPr>
          <w:rFonts w:ascii="Times New Roman" w:hAnsi="Times New Roman"/>
          <w:i/>
          <w:iCs/>
        </w:rPr>
      </w:pPr>
      <w:r w:rsidRPr="00230AA5">
        <w:rPr>
          <w:rFonts w:ascii="Times New Roman" w:hAnsi="Times New Roman"/>
          <w:i/>
        </w:rPr>
        <w:t>Májkárosodás</w:t>
      </w:r>
    </w:p>
    <w:p w14:paraId="06FB619A"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Enyhe, illetve közepesen súlyos májcirrhosisban (Child–Pugh A és B stádium) szenvedő önkénteseknél a szildenafil-clearance csökkenését észlelték. Ennek következtében a hasonló korú, nem májbeteg önkéntesekhez képest 84%-kal nőtt a koncentráció-idő görbe alatti terület (AUC), illetve 47%-kal a C</w:t>
      </w:r>
      <w:r w:rsidRPr="0019750E">
        <w:rPr>
          <w:rFonts w:ascii="Times New Roman" w:hAnsi="Times New Roman"/>
          <w:vertAlign w:val="subscript"/>
        </w:rPr>
        <w:t>max</w:t>
      </w:r>
      <w:r w:rsidRPr="00230AA5">
        <w:rPr>
          <w:rFonts w:ascii="Times New Roman" w:hAnsi="Times New Roman"/>
        </w:rPr>
        <w:t xml:space="preserve"> értéke. Súlyosan károsodott májfunkciójú betegek esetében a szildenafil farmakokinetikai jellemzőit nem tanulmányozták.</w:t>
      </w:r>
    </w:p>
    <w:p w14:paraId="74DC053E" w14:textId="77777777" w:rsidR="00355F50" w:rsidRPr="00230AA5" w:rsidRDefault="00355F50" w:rsidP="00230AA5">
      <w:pPr>
        <w:spacing w:after="0" w:line="240" w:lineRule="auto"/>
        <w:rPr>
          <w:rFonts w:ascii="Times New Roman" w:hAnsi="Times New Roman"/>
        </w:rPr>
      </w:pPr>
    </w:p>
    <w:p w14:paraId="37C2137C" w14:textId="4288F551" w:rsidR="00355F50" w:rsidRPr="00230AA5" w:rsidRDefault="00355F50" w:rsidP="0019750E">
      <w:pPr>
        <w:pStyle w:val="Cmsor3"/>
        <w:spacing w:before="0" w:line="240" w:lineRule="auto"/>
        <w:ind w:left="567" w:hanging="567"/>
        <w:rPr>
          <w:rFonts w:cs="Times New Roman"/>
        </w:rPr>
      </w:pPr>
      <w:r w:rsidRPr="00230AA5">
        <w:rPr>
          <w:rFonts w:cs="Times New Roman"/>
        </w:rPr>
        <w:t>5.3</w:t>
      </w:r>
      <w:r w:rsidRPr="00230AA5">
        <w:rPr>
          <w:rFonts w:cs="Times New Roman"/>
        </w:rPr>
        <w:tab/>
        <w:t>A preklinikai biztonságossági vizsgálatok eredményei</w:t>
      </w:r>
      <w:r w:rsidR="00A15089" w:rsidRPr="00230AA5">
        <w:rPr>
          <w:rFonts w:cs="Times New Roman"/>
        </w:rPr>
        <w:fldChar w:fldCharType="begin"/>
      </w:r>
      <w:r w:rsidR="00A15089" w:rsidRPr="00230AA5">
        <w:rPr>
          <w:rFonts w:cs="Times New Roman"/>
        </w:rPr>
        <w:instrText xml:space="preserve"> DOCVARIABLE vault_nd_808e8be9-1666-4dcc-bb9c-45beaac5bdc2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6AA0E1BD" w14:textId="77777777" w:rsidR="0046056D" w:rsidRDefault="0046056D" w:rsidP="00230AA5">
      <w:pPr>
        <w:spacing w:after="0" w:line="240" w:lineRule="auto"/>
        <w:rPr>
          <w:rFonts w:ascii="Times New Roman" w:hAnsi="Times New Roman"/>
        </w:rPr>
      </w:pPr>
    </w:p>
    <w:p w14:paraId="2B724E8B" w14:textId="43D55814" w:rsidR="00355F50" w:rsidRPr="00230AA5" w:rsidRDefault="00355F50" w:rsidP="00230AA5">
      <w:pPr>
        <w:spacing w:after="0" w:line="240" w:lineRule="auto"/>
        <w:rPr>
          <w:rFonts w:ascii="Times New Roman" w:hAnsi="Times New Roman"/>
        </w:rPr>
      </w:pPr>
      <w:r w:rsidRPr="00230AA5">
        <w:rPr>
          <w:rFonts w:ascii="Times New Roman" w:hAnsi="Times New Roman"/>
        </w:rPr>
        <w:t>A hagyományos – farmakológiai biztonságossági, ismételt adagolású dózistoxicitási, genotoxicitási, karcinogenitási, reprodukcióra és fejlődésre kifejtett toxicitási – vizsgálatokból származó nem klinikai jellegű adatok azt igazolták, hogy a készítmény alkalmazásakor humán vonatkozásban különleges kockázat nem várható.</w:t>
      </w:r>
    </w:p>
    <w:p w14:paraId="5B3C03CF" w14:textId="77777777" w:rsidR="00697D9D" w:rsidRDefault="00697D9D" w:rsidP="00230AA5">
      <w:pPr>
        <w:spacing w:after="0" w:line="240" w:lineRule="auto"/>
        <w:rPr>
          <w:rFonts w:ascii="Times New Roman" w:hAnsi="Times New Roman"/>
        </w:rPr>
      </w:pPr>
    </w:p>
    <w:p w14:paraId="27A2C011" w14:textId="77777777" w:rsidR="00A10C68" w:rsidRPr="00230AA5" w:rsidRDefault="00A10C68" w:rsidP="00230AA5">
      <w:pPr>
        <w:spacing w:after="0" w:line="240" w:lineRule="auto"/>
        <w:rPr>
          <w:rFonts w:ascii="Times New Roman" w:hAnsi="Times New Roman"/>
        </w:rPr>
      </w:pPr>
    </w:p>
    <w:p w14:paraId="286B09D2" w14:textId="4CF19615" w:rsidR="00355F50" w:rsidRPr="00230AA5" w:rsidRDefault="00355F50" w:rsidP="0019750E">
      <w:pPr>
        <w:pStyle w:val="Cmsor2"/>
        <w:spacing w:before="0" w:line="240" w:lineRule="auto"/>
        <w:ind w:left="567" w:hanging="567"/>
        <w:rPr>
          <w:rFonts w:cs="Times New Roman"/>
        </w:rPr>
      </w:pPr>
      <w:r w:rsidRPr="00230AA5">
        <w:rPr>
          <w:rFonts w:cs="Times New Roman"/>
        </w:rPr>
        <w:t>6.</w:t>
      </w:r>
      <w:r w:rsidRPr="00230AA5">
        <w:rPr>
          <w:rFonts w:cs="Times New Roman"/>
        </w:rPr>
        <w:tab/>
        <w:t>GYÓGYSZERÉSZETI JELLEMZŐK</w:t>
      </w:r>
      <w:r w:rsidR="00A15089" w:rsidRPr="00230AA5">
        <w:rPr>
          <w:rFonts w:cs="Times New Roman"/>
        </w:rPr>
        <w:fldChar w:fldCharType="begin"/>
      </w:r>
      <w:r w:rsidR="00A15089" w:rsidRPr="00230AA5">
        <w:rPr>
          <w:rFonts w:cs="Times New Roman"/>
        </w:rPr>
        <w:instrText xml:space="preserve"> DOCVARIABLE VAULT_ND_2be23a3e-06cc-4a0d-a177-ce5f410485ad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A6DBB03" w14:textId="77777777" w:rsidR="00A10C68" w:rsidRDefault="00A10C68" w:rsidP="00C66FDC">
      <w:pPr>
        <w:pStyle w:val="Cmsor3"/>
        <w:spacing w:before="0" w:line="240" w:lineRule="auto"/>
        <w:ind w:left="567" w:hanging="567"/>
        <w:rPr>
          <w:rFonts w:cs="Times New Roman"/>
        </w:rPr>
      </w:pPr>
    </w:p>
    <w:p w14:paraId="2D648D2A" w14:textId="370AF535" w:rsidR="00355F50" w:rsidRPr="00230AA5" w:rsidRDefault="00355F50" w:rsidP="0019750E">
      <w:pPr>
        <w:pStyle w:val="Cmsor3"/>
        <w:spacing w:before="0" w:line="240" w:lineRule="auto"/>
        <w:ind w:left="567" w:hanging="567"/>
        <w:rPr>
          <w:rFonts w:cs="Times New Roman"/>
        </w:rPr>
      </w:pPr>
      <w:r w:rsidRPr="00230AA5">
        <w:rPr>
          <w:rFonts w:cs="Times New Roman"/>
        </w:rPr>
        <w:t>6.1</w:t>
      </w:r>
      <w:r w:rsidRPr="00230AA5">
        <w:rPr>
          <w:rFonts w:cs="Times New Roman"/>
        </w:rPr>
        <w:tab/>
        <w:t>Segédanyagok felsorolása</w:t>
      </w:r>
      <w:r w:rsidR="00A15089" w:rsidRPr="00230AA5">
        <w:rPr>
          <w:rFonts w:cs="Times New Roman"/>
        </w:rPr>
        <w:fldChar w:fldCharType="begin"/>
      </w:r>
      <w:r w:rsidR="00A15089" w:rsidRPr="00230AA5">
        <w:rPr>
          <w:rFonts w:cs="Times New Roman"/>
        </w:rPr>
        <w:instrText xml:space="preserve"> DOCVARIABLE vault_nd_19d363a3-16d4-48bb-8b84-64a881c1a1f4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6A45818" w14:textId="77777777" w:rsidR="003D5FCE" w:rsidRDefault="003D5FCE" w:rsidP="00230AA5">
      <w:pPr>
        <w:spacing w:after="0" w:line="240" w:lineRule="auto"/>
        <w:rPr>
          <w:rFonts w:ascii="Times New Roman" w:hAnsi="Times New Roman"/>
        </w:rPr>
      </w:pPr>
    </w:p>
    <w:p w14:paraId="7112B64E" w14:textId="08449839" w:rsidR="003D5FCE" w:rsidRDefault="003D5FCE" w:rsidP="00230AA5">
      <w:pPr>
        <w:spacing w:after="0" w:line="240" w:lineRule="auto"/>
        <w:rPr>
          <w:rFonts w:ascii="Times New Roman" w:hAnsi="Times New Roman"/>
        </w:rPr>
      </w:pPr>
      <w:r>
        <w:rPr>
          <w:rFonts w:ascii="Times New Roman" w:hAnsi="Times New Roman"/>
        </w:rPr>
        <w:t>m</w:t>
      </w:r>
      <w:r w:rsidR="00B61139" w:rsidRPr="00230AA5">
        <w:rPr>
          <w:rFonts w:ascii="Times New Roman" w:hAnsi="Times New Roman"/>
        </w:rPr>
        <w:t>altodextrin</w:t>
      </w:r>
    </w:p>
    <w:p w14:paraId="75E8BA01" w14:textId="08C77129" w:rsidR="003D5FCE" w:rsidRDefault="003D5FCE" w:rsidP="00230AA5">
      <w:pPr>
        <w:spacing w:after="0" w:line="240" w:lineRule="auto"/>
        <w:rPr>
          <w:rFonts w:ascii="Times New Roman" w:hAnsi="Times New Roman"/>
        </w:rPr>
      </w:pPr>
      <w:r>
        <w:rPr>
          <w:rFonts w:ascii="Times New Roman" w:hAnsi="Times New Roman"/>
        </w:rPr>
        <w:t>g</w:t>
      </w:r>
      <w:r w:rsidR="00B61139" w:rsidRPr="00230AA5">
        <w:rPr>
          <w:rFonts w:ascii="Times New Roman" w:hAnsi="Times New Roman"/>
        </w:rPr>
        <w:t>licerin (E422)</w:t>
      </w:r>
    </w:p>
    <w:p w14:paraId="7C34B950" w14:textId="21FCE249" w:rsidR="003D5FCE" w:rsidRDefault="003D5FCE" w:rsidP="00230AA5">
      <w:pPr>
        <w:spacing w:after="0" w:line="240" w:lineRule="auto"/>
        <w:rPr>
          <w:rFonts w:ascii="Times New Roman" w:hAnsi="Times New Roman"/>
        </w:rPr>
      </w:pPr>
      <w:r>
        <w:rPr>
          <w:rFonts w:ascii="Times New Roman" w:hAnsi="Times New Roman"/>
        </w:rPr>
        <w:t>p</w:t>
      </w:r>
      <w:r w:rsidR="00B61139" w:rsidRPr="00230AA5">
        <w:rPr>
          <w:rFonts w:ascii="Times New Roman" w:hAnsi="Times New Roman"/>
        </w:rPr>
        <w:t>oliszorbát 20 (E432)</w:t>
      </w:r>
    </w:p>
    <w:p w14:paraId="0DB62322" w14:textId="5DE2BE31" w:rsidR="003D5FCE" w:rsidRDefault="003D5FCE" w:rsidP="00230AA5">
      <w:pPr>
        <w:spacing w:after="0" w:line="240" w:lineRule="auto"/>
        <w:rPr>
          <w:rFonts w:ascii="Times New Roman" w:hAnsi="Times New Roman"/>
        </w:rPr>
      </w:pPr>
      <w:r>
        <w:rPr>
          <w:rFonts w:ascii="Times New Roman" w:hAnsi="Times New Roman"/>
        </w:rPr>
        <w:t>p</w:t>
      </w:r>
      <w:r w:rsidR="00B61139" w:rsidRPr="00230AA5">
        <w:rPr>
          <w:rFonts w:ascii="Times New Roman" w:hAnsi="Times New Roman"/>
        </w:rPr>
        <w:t>ropilénglikol-monokaprilát (E477)</w:t>
      </w:r>
    </w:p>
    <w:p w14:paraId="1F6E8693" w14:textId="50A3D986" w:rsidR="003D5FCE" w:rsidRDefault="00B61139" w:rsidP="00230AA5">
      <w:pPr>
        <w:spacing w:after="0" w:line="240" w:lineRule="auto"/>
        <w:rPr>
          <w:rFonts w:ascii="Times New Roman" w:hAnsi="Times New Roman"/>
        </w:rPr>
      </w:pPr>
      <w:r w:rsidRPr="00230AA5">
        <w:rPr>
          <w:rFonts w:ascii="Times New Roman" w:hAnsi="Times New Roman"/>
        </w:rPr>
        <w:t>30%</w:t>
      </w:r>
      <w:r w:rsidR="003D5FCE">
        <w:rPr>
          <w:rFonts w:ascii="Times New Roman" w:hAnsi="Times New Roman"/>
        </w:rPr>
        <w:t>-os</w:t>
      </w:r>
      <w:r w:rsidRPr="00230AA5">
        <w:rPr>
          <w:rFonts w:ascii="Times New Roman" w:hAnsi="Times New Roman"/>
        </w:rPr>
        <w:t xml:space="preserve"> poli(vinil-acetát) diszperzió (amely povidont és nátrium-lauril-szulfátot tartalmaz)</w:t>
      </w:r>
    </w:p>
    <w:p w14:paraId="6E2D8A38" w14:textId="2B0A7ADF" w:rsidR="003D5FCE" w:rsidRDefault="003D5FCE" w:rsidP="00230AA5">
      <w:pPr>
        <w:spacing w:after="0" w:line="240" w:lineRule="auto"/>
        <w:rPr>
          <w:rFonts w:ascii="Times New Roman" w:hAnsi="Times New Roman"/>
        </w:rPr>
      </w:pPr>
      <w:r>
        <w:rPr>
          <w:rFonts w:ascii="Times New Roman" w:hAnsi="Times New Roman"/>
        </w:rPr>
        <w:t>c</w:t>
      </w:r>
      <w:r w:rsidR="00B61139" w:rsidRPr="00230AA5">
        <w:rPr>
          <w:rFonts w:ascii="Times New Roman" w:hAnsi="Times New Roman"/>
        </w:rPr>
        <w:t>itrom</w:t>
      </w:r>
      <w:r w:rsidR="00C8662C">
        <w:rPr>
          <w:rFonts w:ascii="Times New Roman" w:hAnsi="Times New Roman"/>
        </w:rPr>
        <w:t>-</w:t>
      </w:r>
      <w:r w:rsidR="00B61139" w:rsidRPr="00230AA5">
        <w:rPr>
          <w:rFonts w:ascii="Times New Roman" w:hAnsi="Times New Roman"/>
        </w:rPr>
        <w:t xml:space="preserve"> és grapefruit</w:t>
      </w:r>
      <w:r w:rsidR="00C8662C">
        <w:rPr>
          <w:rFonts w:ascii="Times New Roman" w:hAnsi="Times New Roman"/>
        </w:rPr>
        <w:t>-</w:t>
      </w:r>
      <w:r w:rsidR="00B61139" w:rsidRPr="00230AA5">
        <w:rPr>
          <w:rFonts w:ascii="Times New Roman" w:hAnsi="Times New Roman"/>
        </w:rPr>
        <w:t>aroma (amely</w:t>
      </w:r>
      <w:r>
        <w:rPr>
          <w:rFonts w:ascii="Times New Roman" w:hAnsi="Times New Roman"/>
        </w:rPr>
        <w:t>ek</w:t>
      </w:r>
      <w:r w:rsidR="00B61139" w:rsidRPr="00230AA5">
        <w:rPr>
          <w:rFonts w:ascii="Times New Roman" w:hAnsi="Times New Roman"/>
        </w:rPr>
        <w:t xml:space="preserve"> citrom illóolajat, citrál</w:t>
      </w:r>
      <w:r w:rsidR="00D5280C">
        <w:rPr>
          <w:rFonts w:ascii="Times New Roman" w:hAnsi="Times New Roman"/>
        </w:rPr>
        <w:t>t</w:t>
      </w:r>
      <w:r w:rsidR="00B61139" w:rsidRPr="00230AA5">
        <w:rPr>
          <w:rFonts w:ascii="Times New Roman" w:hAnsi="Times New Roman"/>
        </w:rPr>
        <w:t>, linalool</w:t>
      </w:r>
      <w:r w:rsidR="00D5280C">
        <w:rPr>
          <w:rFonts w:ascii="Times New Roman" w:hAnsi="Times New Roman"/>
        </w:rPr>
        <w:t>t</w:t>
      </w:r>
      <w:r w:rsidR="00B61139" w:rsidRPr="00230AA5">
        <w:rPr>
          <w:rFonts w:ascii="Times New Roman" w:hAnsi="Times New Roman"/>
        </w:rPr>
        <w:t xml:space="preserve">, grapefruit illóolajat, narancs illóolajat, nootkatont, butilhidroxianizolt </w:t>
      </w:r>
      <w:r w:rsidR="00D5280C">
        <w:rPr>
          <w:rFonts w:ascii="Times New Roman" w:hAnsi="Times New Roman"/>
        </w:rPr>
        <w:t>[</w:t>
      </w:r>
      <w:r w:rsidR="00B61139" w:rsidRPr="00230AA5">
        <w:rPr>
          <w:rFonts w:ascii="Times New Roman" w:hAnsi="Times New Roman"/>
        </w:rPr>
        <w:t>E320</w:t>
      </w:r>
      <w:r w:rsidR="00D5280C">
        <w:rPr>
          <w:rFonts w:ascii="Times New Roman" w:hAnsi="Times New Roman"/>
        </w:rPr>
        <w:t>]</w:t>
      </w:r>
      <w:r w:rsidR="00B61139" w:rsidRPr="00230AA5">
        <w:rPr>
          <w:rFonts w:ascii="Times New Roman" w:hAnsi="Times New Roman"/>
        </w:rPr>
        <w:t xml:space="preserve">, aszkorbinsavat </w:t>
      </w:r>
      <w:r w:rsidR="00D5280C">
        <w:rPr>
          <w:rFonts w:ascii="Times New Roman" w:hAnsi="Times New Roman"/>
        </w:rPr>
        <w:t>[</w:t>
      </w:r>
      <w:r w:rsidR="00B61139" w:rsidRPr="00230AA5">
        <w:rPr>
          <w:rFonts w:ascii="Times New Roman" w:hAnsi="Times New Roman"/>
        </w:rPr>
        <w:t>E300</w:t>
      </w:r>
      <w:r w:rsidR="00D5280C">
        <w:rPr>
          <w:rFonts w:ascii="Times New Roman" w:hAnsi="Times New Roman"/>
        </w:rPr>
        <w:t>]</w:t>
      </w:r>
      <w:r w:rsidR="00B61139" w:rsidRPr="00230AA5">
        <w:rPr>
          <w:rFonts w:ascii="Times New Roman" w:hAnsi="Times New Roman"/>
        </w:rPr>
        <w:t>, maltodextrint</w:t>
      </w:r>
      <w:r w:rsidR="00D5280C">
        <w:rPr>
          <w:rFonts w:ascii="Times New Roman" w:hAnsi="Times New Roman"/>
        </w:rPr>
        <w:t xml:space="preserve"> és</w:t>
      </w:r>
      <w:r w:rsidR="00B61139" w:rsidRPr="00230AA5">
        <w:rPr>
          <w:rFonts w:ascii="Times New Roman" w:hAnsi="Times New Roman"/>
        </w:rPr>
        <w:t xml:space="preserve"> gumi</w:t>
      </w:r>
      <w:r w:rsidR="00D5280C">
        <w:rPr>
          <w:rFonts w:ascii="Times New Roman" w:hAnsi="Times New Roman"/>
        </w:rPr>
        <w:t>arábikumot</w:t>
      </w:r>
      <w:r w:rsidR="00B61139" w:rsidRPr="00230AA5">
        <w:rPr>
          <w:rFonts w:ascii="Times New Roman" w:hAnsi="Times New Roman"/>
        </w:rPr>
        <w:t xml:space="preserve"> </w:t>
      </w:r>
      <w:r w:rsidR="00604025">
        <w:rPr>
          <w:rFonts w:ascii="Times New Roman" w:hAnsi="Times New Roman"/>
        </w:rPr>
        <w:t>[</w:t>
      </w:r>
      <w:r w:rsidR="00B61139" w:rsidRPr="00230AA5">
        <w:rPr>
          <w:rFonts w:ascii="Times New Roman" w:hAnsi="Times New Roman"/>
        </w:rPr>
        <w:t>E414</w:t>
      </w:r>
      <w:r w:rsidR="00604025">
        <w:rPr>
          <w:rFonts w:ascii="Times New Roman" w:hAnsi="Times New Roman"/>
        </w:rPr>
        <w:t>]</w:t>
      </w:r>
      <w:r w:rsidR="00B61139" w:rsidRPr="00230AA5">
        <w:rPr>
          <w:rFonts w:ascii="Times New Roman" w:hAnsi="Times New Roman"/>
        </w:rPr>
        <w:t xml:space="preserve"> tartalmaz</w:t>
      </w:r>
      <w:r w:rsidR="00D5280C">
        <w:rPr>
          <w:rFonts w:ascii="Times New Roman" w:hAnsi="Times New Roman"/>
        </w:rPr>
        <w:t>nak</w:t>
      </w:r>
      <w:r w:rsidR="00B61139" w:rsidRPr="00230AA5">
        <w:rPr>
          <w:rFonts w:ascii="Times New Roman" w:hAnsi="Times New Roman"/>
        </w:rPr>
        <w:t>)</w:t>
      </w:r>
    </w:p>
    <w:p w14:paraId="641C77DC" w14:textId="6E912835" w:rsidR="003D5FCE" w:rsidRDefault="000D2B65" w:rsidP="00230AA5">
      <w:pPr>
        <w:spacing w:after="0" w:line="240" w:lineRule="auto"/>
        <w:rPr>
          <w:rFonts w:ascii="Times New Roman" w:hAnsi="Times New Roman"/>
        </w:rPr>
      </w:pPr>
      <w:r>
        <w:rPr>
          <w:rFonts w:ascii="Times New Roman" w:hAnsi="Times New Roman"/>
        </w:rPr>
        <w:t>s</w:t>
      </w:r>
      <w:r w:rsidR="00B61139" w:rsidRPr="00230AA5">
        <w:rPr>
          <w:rFonts w:ascii="Times New Roman" w:hAnsi="Times New Roman"/>
        </w:rPr>
        <w:t>zukralóz (E955)</w:t>
      </w:r>
    </w:p>
    <w:p w14:paraId="332F13F5" w14:textId="3ABCCC4C" w:rsidR="003D5FCE" w:rsidRDefault="000D2B65" w:rsidP="00230AA5">
      <w:pPr>
        <w:spacing w:after="0" w:line="240" w:lineRule="auto"/>
        <w:rPr>
          <w:rFonts w:ascii="Times New Roman" w:hAnsi="Times New Roman"/>
        </w:rPr>
      </w:pPr>
      <w:r>
        <w:rPr>
          <w:rFonts w:ascii="Times New Roman" w:hAnsi="Times New Roman"/>
        </w:rPr>
        <w:t>t</w:t>
      </w:r>
      <w:r w:rsidR="00B61139" w:rsidRPr="00230AA5">
        <w:rPr>
          <w:rFonts w:ascii="Times New Roman" w:hAnsi="Times New Roman"/>
        </w:rPr>
        <w:t>itán-dioxid (E171)</w:t>
      </w:r>
    </w:p>
    <w:p w14:paraId="301D5A19" w14:textId="656BA5DC" w:rsidR="003D5FCE" w:rsidRDefault="000D2B65" w:rsidP="00230AA5">
      <w:pPr>
        <w:spacing w:after="0" w:line="240" w:lineRule="auto"/>
        <w:rPr>
          <w:rFonts w:ascii="Times New Roman" w:hAnsi="Times New Roman"/>
        </w:rPr>
      </w:pPr>
      <w:r>
        <w:rPr>
          <w:rFonts w:ascii="Times New Roman" w:hAnsi="Times New Roman"/>
        </w:rPr>
        <w:t>i</w:t>
      </w:r>
      <w:r w:rsidR="00B61139" w:rsidRPr="00230AA5">
        <w:rPr>
          <w:rFonts w:ascii="Times New Roman" w:hAnsi="Times New Roman"/>
        </w:rPr>
        <w:t>ndig</w:t>
      </w:r>
      <w:r w:rsidR="00C8662C">
        <w:rPr>
          <w:rFonts w:ascii="Times New Roman" w:hAnsi="Times New Roman"/>
        </w:rPr>
        <w:t>otin</w:t>
      </w:r>
      <w:bookmarkStart w:id="0" w:name="_Hlk174463402"/>
      <w:r w:rsidR="00B61139" w:rsidRPr="00230AA5">
        <w:rPr>
          <w:rFonts w:ascii="Times New Roman" w:hAnsi="Times New Roman"/>
        </w:rPr>
        <w:t xml:space="preserve"> (E132)</w:t>
      </w:r>
    </w:p>
    <w:p w14:paraId="6B4A1C4B" w14:textId="4E9F51A0" w:rsidR="00B61139" w:rsidRPr="00230AA5" w:rsidRDefault="000D2B65" w:rsidP="00230AA5">
      <w:pPr>
        <w:spacing w:after="0" w:line="240" w:lineRule="auto"/>
        <w:rPr>
          <w:rFonts w:ascii="Times New Roman" w:hAnsi="Times New Roman"/>
        </w:rPr>
      </w:pPr>
      <w:r>
        <w:rPr>
          <w:rFonts w:ascii="Times New Roman" w:hAnsi="Times New Roman"/>
        </w:rPr>
        <w:t>t</w:t>
      </w:r>
      <w:r w:rsidR="00B61139" w:rsidRPr="00230AA5">
        <w:rPr>
          <w:rFonts w:ascii="Times New Roman" w:hAnsi="Times New Roman"/>
        </w:rPr>
        <w:t>isztított víz</w:t>
      </w:r>
      <w:bookmarkEnd w:id="0"/>
    </w:p>
    <w:p w14:paraId="152C62B5" w14:textId="77777777" w:rsidR="007E20B5" w:rsidRPr="0019750E" w:rsidRDefault="007E20B5" w:rsidP="00230AA5">
      <w:pPr>
        <w:spacing w:after="0" w:line="240" w:lineRule="auto"/>
        <w:rPr>
          <w:rFonts w:ascii="Times New Roman" w:hAnsi="Times New Roman"/>
          <w:b/>
          <w:bCs/>
        </w:rPr>
      </w:pPr>
    </w:p>
    <w:p w14:paraId="62D37E29" w14:textId="4AD2559E" w:rsidR="00355F50" w:rsidRPr="00230AA5" w:rsidRDefault="00355F50" w:rsidP="0019750E">
      <w:pPr>
        <w:pStyle w:val="Cmsor3"/>
        <w:spacing w:before="0" w:line="240" w:lineRule="auto"/>
        <w:ind w:left="567" w:hanging="567"/>
        <w:rPr>
          <w:rFonts w:cs="Times New Roman"/>
        </w:rPr>
      </w:pPr>
      <w:r w:rsidRPr="00230AA5">
        <w:rPr>
          <w:rFonts w:cs="Times New Roman"/>
        </w:rPr>
        <w:t>6.2</w:t>
      </w:r>
      <w:r w:rsidRPr="00230AA5">
        <w:rPr>
          <w:rFonts w:cs="Times New Roman"/>
        </w:rPr>
        <w:tab/>
        <w:t>Inkompatibilitások</w:t>
      </w:r>
      <w:r w:rsidR="00A15089" w:rsidRPr="00230AA5">
        <w:rPr>
          <w:rFonts w:cs="Times New Roman"/>
        </w:rPr>
        <w:fldChar w:fldCharType="begin"/>
      </w:r>
      <w:r w:rsidR="00A15089" w:rsidRPr="00230AA5">
        <w:rPr>
          <w:rFonts w:cs="Times New Roman"/>
        </w:rPr>
        <w:instrText xml:space="preserve"> DOCVARIABLE vault_nd_8a7175ad-d986-4113-9d17-806db0716961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7019541" w14:textId="77777777" w:rsidR="00A10C68" w:rsidRDefault="00A10C68" w:rsidP="00230AA5">
      <w:pPr>
        <w:spacing w:after="0" w:line="240" w:lineRule="auto"/>
        <w:rPr>
          <w:rFonts w:ascii="Times New Roman" w:hAnsi="Times New Roman"/>
        </w:rPr>
      </w:pPr>
    </w:p>
    <w:p w14:paraId="669BE4E0" w14:textId="481CE171" w:rsidR="00355F50" w:rsidRDefault="00355F50" w:rsidP="00230AA5">
      <w:pPr>
        <w:spacing w:after="0" w:line="240" w:lineRule="auto"/>
        <w:rPr>
          <w:rFonts w:ascii="Times New Roman" w:hAnsi="Times New Roman"/>
        </w:rPr>
      </w:pPr>
      <w:r w:rsidRPr="00230AA5">
        <w:rPr>
          <w:rFonts w:ascii="Times New Roman" w:hAnsi="Times New Roman"/>
        </w:rPr>
        <w:t>Nem értelmezhető.</w:t>
      </w:r>
    </w:p>
    <w:p w14:paraId="3533C97E" w14:textId="77777777" w:rsidR="00A10C68" w:rsidRPr="00230AA5" w:rsidRDefault="00A10C68" w:rsidP="00230AA5">
      <w:pPr>
        <w:spacing w:after="0" w:line="240" w:lineRule="auto"/>
        <w:rPr>
          <w:rFonts w:ascii="Times New Roman" w:hAnsi="Times New Roman"/>
        </w:rPr>
      </w:pPr>
    </w:p>
    <w:p w14:paraId="05A85A7E" w14:textId="56D4B7A0" w:rsidR="00355F50" w:rsidRPr="00230AA5" w:rsidRDefault="00355F50" w:rsidP="0019750E">
      <w:pPr>
        <w:pStyle w:val="Cmsor3"/>
        <w:spacing w:before="0" w:line="240" w:lineRule="auto"/>
        <w:ind w:left="567" w:hanging="567"/>
        <w:rPr>
          <w:rFonts w:cs="Times New Roman"/>
        </w:rPr>
      </w:pPr>
      <w:r w:rsidRPr="00230AA5">
        <w:rPr>
          <w:rFonts w:cs="Times New Roman"/>
        </w:rPr>
        <w:t>6.3</w:t>
      </w:r>
      <w:r w:rsidRPr="00230AA5">
        <w:rPr>
          <w:rFonts w:cs="Times New Roman"/>
        </w:rPr>
        <w:tab/>
        <w:t>Felhasználhatósági időtartam</w:t>
      </w:r>
      <w:r w:rsidR="00A15089" w:rsidRPr="00230AA5">
        <w:rPr>
          <w:rFonts w:cs="Times New Roman"/>
        </w:rPr>
        <w:fldChar w:fldCharType="begin"/>
      </w:r>
      <w:r w:rsidR="00A15089" w:rsidRPr="00230AA5">
        <w:rPr>
          <w:rFonts w:cs="Times New Roman"/>
        </w:rPr>
        <w:instrText xml:space="preserve"> DOCVARIABLE vault_nd_2738302e-71d7-45ab-8bdc-74e4a6401eb6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3FC04E9" w14:textId="77777777" w:rsidR="00A10C68" w:rsidRDefault="00A10C68" w:rsidP="00230AA5">
      <w:pPr>
        <w:spacing w:after="0" w:line="240" w:lineRule="auto"/>
        <w:rPr>
          <w:rFonts w:ascii="Times New Roman" w:hAnsi="Times New Roman"/>
        </w:rPr>
      </w:pPr>
    </w:p>
    <w:p w14:paraId="26A44394" w14:textId="48B2F208" w:rsidR="00355F50" w:rsidRDefault="00275493" w:rsidP="00230AA5">
      <w:pPr>
        <w:spacing w:after="0" w:line="240" w:lineRule="auto"/>
        <w:rPr>
          <w:rFonts w:ascii="Times New Roman" w:hAnsi="Times New Roman"/>
        </w:rPr>
      </w:pPr>
      <w:r w:rsidRPr="00230AA5">
        <w:rPr>
          <w:rFonts w:ascii="Times New Roman" w:hAnsi="Times New Roman"/>
        </w:rPr>
        <w:t>3 év.</w:t>
      </w:r>
    </w:p>
    <w:p w14:paraId="2C52F440" w14:textId="77777777" w:rsidR="00A10C68" w:rsidRPr="00230AA5" w:rsidRDefault="00A10C68" w:rsidP="00230AA5">
      <w:pPr>
        <w:spacing w:after="0" w:line="240" w:lineRule="auto"/>
        <w:rPr>
          <w:rFonts w:ascii="Times New Roman" w:hAnsi="Times New Roman"/>
        </w:rPr>
      </w:pPr>
    </w:p>
    <w:p w14:paraId="06C15A43" w14:textId="2F0C0D87" w:rsidR="00355F50" w:rsidRPr="00230AA5" w:rsidRDefault="00355F50" w:rsidP="0019750E">
      <w:pPr>
        <w:pStyle w:val="Cmsor3"/>
        <w:spacing w:before="0" w:line="240" w:lineRule="auto"/>
        <w:ind w:left="567" w:hanging="567"/>
        <w:rPr>
          <w:rFonts w:cs="Times New Roman"/>
        </w:rPr>
      </w:pPr>
      <w:r w:rsidRPr="00230AA5">
        <w:rPr>
          <w:rFonts w:cs="Times New Roman"/>
        </w:rPr>
        <w:t>6.4</w:t>
      </w:r>
      <w:r w:rsidRPr="00230AA5">
        <w:rPr>
          <w:rFonts w:cs="Times New Roman"/>
        </w:rPr>
        <w:tab/>
        <w:t>Különleges tárolási előírások</w:t>
      </w:r>
      <w:r w:rsidR="00A15089" w:rsidRPr="00230AA5">
        <w:rPr>
          <w:rFonts w:cs="Times New Roman"/>
        </w:rPr>
        <w:fldChar w:fldCharType="begin"/>
      </w:r>
      <w:r w:rsidR="00A15089" w:rsidRPr="00230AA5">
        <w:rPr>
          <w:rFonts w:cs="Times New Roman"/>
        </w:rPr>
        <w:instrText xml:space="preserve"> DOCVARIABLE vault_nd_f6b43871-548e-4910-8fb4-5c28876e1893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D3068DB" w14:textId="77777777" w:rsidR="00A10C68" w:rsidRDefault="00A10C68" w:rsidP="00230AA5">
      <w:pPr>
        <w:spacing w:after="0" w:line="240" w:lineRule="auto"/>
        <w:rPr>
          <w:rFonts w:ascii="Times New Roman" w:hAnsi="Times New Roman"/>
        </w:rPr>
      </w:pPr>
    </w:p>
    <w:p w14:paraId="42B0797B" w14:textId="510B3EB7" w:rsidR="00355F50" w:rsidRPr="00230AA5" w:rsidRDefault="00355F50" w:rsidP="00230AA5">
      <w:pPr>
        <w:spacing w:after="0" w:line="240" w:lineRule="auto"/>
        <w:rPr>
          <w:rFonts w:ascii="Times New Roman" w:hAnsi="Times New Roman"/>
        </w:rPr>
      </w:pPr>
      <w:r w:rsidRPr="00230AA5">
        <w:rPr>
          <w:rFonts w:ascii="Times New Roman" w:hAnsi="Times New Roman"/>
        </w:rPr>
        <w:t xml:space="preserve">Ez a gyógyszer különleges tárolási </w:t>
      </w:r>
      <w:r w:rsidR="000D2B65">
        <w:rPr>
          <w:rFonts w:ascii="Times New Roman" w:hAnsi="Times New Roman"/>
        </w:rPr>
        <w:t>hőmérsékletet</w:t>
      </w:r>
      <w:r w:rsidR="000D2B65" w:rsidRPr="00230AA5">
        <w:rPr>
          <w:rFonts w:ascii="Times New Roman" w:hAnsi="Times New Roman"/>
        </w:rPr>
        <w:t xml:space="preserve"> </w:t>
      </w:r>
      <w:r w:rsidRPr="00230AA5">
        <w:rPr>
          <w:rFonts w:ascii="Times New Roman" w:hAnsi="Times New Roman"/>
        </w:rPr>
        <w:t xml:space="preserve">nem igényel. </w:t>
      </w:r>
    </w:p>
    <w:p w14:paraId="073145EB" w14:textId="77777777" w:rsidR="00355F50" w:rsidRPr="00230AA5" w:rsidRDefault="00355F50" w:rsidP="00230AA5">
      <w:pPr>
        <w:spacing w:after="0" w:line="240" w:lineRule="auto"/>
        <w:rPr>
          <w:rFonts w:ascii="Times New Roman" w:hAnsi="Times New Roman"/>
        </w:rPr>
      </w:pPr>
      <w:r w:rsidRPr="0019750E">
        <w:rPr>
          <w:rFonts w:ascii="Times New Roman" w:hAnsi="Times New Roman"/>
        </w:rPr>
        <w:t>Az eredeti csomagolásban tárolandó.</w:t>
      </w:r>
    </w:p>
    <w:p w14:paraId="085400DF" w14:textId="77777777" w:rsidR="00697D9D" w:rsidRPr="00230AA5" w:rsidRDefault="00697D9D" w:rsidP="00230AA5">
      <w:pPr>
        <w:spacing w:after="0" w:line="240" w:lineRule="auto"/>
        <w:rPr>
          <w:rFonts w:ascii="Times New Roman" w:hAnsi="Times New Roman"/>
          <w:b/>
          <w:bCs/>
          <w:szCs w:val="10"/>
        </w:rPr>
      </w:pPr>
    </w:p>
    <w:p w14:paraId="19B21CD7" w14:textId="682BC96B" w:rsidR="00355F50" w:rsidRPr="00230AA5" w:rsidRDefault="00355F50" w:rsidP="0019750E">
      <w:pPr>
        <w:pStyle w:val="Cmsor3"/>
        <w:spacing w:before="0" w:line="240" w:lineRule="auto"/>
        <w:ind w:left="567" w:hanging="567"/>
        <w:rPr>
          <w:rFonts w:cs="Times New Roman"/>
        </w:rPr>
      </w:pPr>
      <w:r w:rsidRPr="00230AA5">
        <w:rPr>
          <w:rFonts w:cs="Times New Roman"/>
        </w:rPr>
        <w:t>6.5</w:t>
      </w:r>
      <w:r w:rsidRPr="00230AA5">
        <w:rPr>
          <w:rFonts w:cs="Times New Roman"/>
        </w:rPr>
        <w:tab/>
        <w:t>Csomagolás típusa és kiszerelése</w:t>
      </w:r>
      <w:r w:rsidR="00A15089" w:rsidRPr="00230AA5">
        <w:rPr>
          <w:rFonts w:cs="Times New Roman"/>
        </w:rPr>
        <w:fldChar w:fldCharType="begin"/>
      </w:r>
      <w:r w:rsidR="00A15089" w:rsidRPr="00230AA5">
        <w:rPr>
          <w:rFonts w:cs="Times New Roman"/>
        </w:rPr>
        <w:instrText xml:space="preserve"> DOCVARIABLE vault_nd_1158ea15-c4e8-49af-a603-46679a5ff47a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7F24C485" w14:textId="77777777" w:rsidR="00A10C68" w:rsidRDefault="00A10C68" w:rsidP="00230AA5">
      <w:pPr>
        <w:spacing w:after="0" w:line="240" w:lineRule="auto"/>
        <w:rPr>
          <w:rFonts w:ascii="Times New Roman" w:hAnsi="Times New Roman"/>
        </w:rPr>
      </w:pPr>
    </w:p>
    <w:p w14:paraId="610935ED" w14:textId="7DD9DC9F" w:rsidR="00355F50" w:rsidRDefault="00355F50" w:rsidP="00230AA5">
      <w:pPr>
        <w:spacing w:after="0" w:line="240" w:lineRule="auto"/>
        <w:rPr>
          <w:rFonts w:ascii="Times New Roman" w:hAnsi="Times New Roman"/>
        </w:rPr>
      </w:pPr>
      <w:r w:rsidRPr="00230AA5">
        <w:rPr>
          <w:rFonts w:ascii="Times New Roman" w:hAnsi="Times New Roman"/>
        </w:rPr>
        <w:t>Minden egyes szájban diszpergálódó film</w:t>
      </w:r>
      <w:r w:rsidR="000D2B65">
        <w:rPr>
          <w:rFonts w:ascii="Times New Roman" w:hAnsi="Times New Roman"/>
        </w:rPr>
        <w:t xml:space="preserve"> külön</w:t>
      </w:r>
      <w:r w:rsidRPr="00230AA5">
        <w:rPr>
          <w:rFonts w:ascii="Times New Roman" w:hAnsi="Times New Roman"/>
        </w:rPr>
        <w:t xml:space="preserve"> PET/</w:t>
      </w:r>
      <w:r w:rsidR="003B6559">
        <w:rPr>
          <w:rFonts w:ascii="Times New Roman" w:hAnsi="Times New Roman"/>
        </w:rPr>
        <w:t>f</w:t>
      </w:r>
      <w:r w:rsidRPr="00230AA5">
        <w:rPr>
          <w:rFonts w:ascii="Times New Roman" w:hAnsi="Times New Roman"/>
        </w:rPr>
        <w:t>ólia extr</w:t>
      </w:r>
      <w:r w:rsidR="00C8662C">
        <w:rPr>
          <w:rFonts w:ascii="Times New Roman" w:hAnsi="Times New Roman"/>
        </w:rPr>
        <w:t>úziós</w:t>
      </w:r>
      <w:r w:rsidRPr="00230AA5">
        <w:rPr>
          <w:rFonts w:ascii="Times New Roman" w:hAnsi="Times New Roman"/>
        </w:rPr>
        <w:t xml:space="preserve"> laminál</w:t>
      </w:r>
      <w:r w:rsidR="00C8662C">
        <w:rPr>
          <w:rFonts w:ascii="Times New Roman" w:hAnsi="Times New Roman"/>
        </w:rPr>
        <w:t>ással készült</w:t>
      </w:r>
      <w:r w:rsidRPr="00230AA5">
        <w:rPr>
          <w:rFonts w:ascii="Times New Roman" w:hAnsi="Times New Roman"/>
        </w:rPr>
        <w:t xml:space="preserve"> tasakba van csomagolva. </w:t>
      </w:r>
    </w:p>
    <w:p w14:paraId="6FDB3B79" w14:textId="77777777" w:rsidR="000D2B65" w:rsidRPr="00230AA5" w:rsidRDefault="000D2B65" w:rsidP="00230AA5">
      <w:pPr>
        <w:spacing w:after="0" w:line="240" w:lineRule="auto"/>
        <w:rPr>
          <w:rFonts w:ascii="Times New Roman" w:hAnsi="Times New Roman"/>
        </w:rPr>
      </w:pPr>
    </w:p>
    <w:p w14:paraId="3966AC6D" w14:textId="25A98117" w:rsidR="00355F50" w:rsidRDefault="000D2B65" w:rsidP="00230AA5">
      <w:pPr>
        <w:spacing w:after="0" w:line="240" w:lineRule="auto"/>
        <w:rPr>
          <w:rFonts w:ascii="Times New Roman" w:hAnsi="Times New Roman"/>
        </w:rPr>
      </w:pPr>
      <w:r>
        <w:rPr>
          <w:rFonts w:ascii="Times New Roman" w:hAnsi="Times New Roman"/>
        </w:rPr>
        <w:t xml:space="preserve">Kiszerelések: </w:t>
      </w:r>
      <w:r w:rsidR="00355F50" w:rsidRPr="00230AA5">
        <w:rPr>
          <w:rFonts w:ascii="Times New Roman" w:hAnsi="Times New Roman"/>
        </w:rPr>
        <w:t>2</w:t>
      </w:r>
      <w:r>
        <w:rPr>
          <w:rFonts w:ascii="Times New Roman" w:hAnsi="Times New Roman"/>
        </w:rPr>
        <w:t> db</w:t>
      </w:r>
      <w:r w:rsidR="00355F50" w:rsidRPr="00230AA5">
        <w:rPr>
          <w:rFonts w:ascii="Times New Roman" w:hAnsi="Times New Roman"/>
        </w:rPr>
        <w:t>, 4</w:t>
      </w:r>
      <w:r>
        <w:rPr>
          <w:rFonts w:ascii="Times New Roman" w:hAnsi="Times New Roman"/>
        </w:rPr>
        <w:t> db</w:t>
      </w:r>
      <w:r w:rsidR="00355F50" w:rsidRPr="00230AA5">
        <w:rPr>
          <w:rFonts w:ascii="Times New Roman" w:hAnsi="Times New Roman"/>
        </w:rPr>
        <w:t>, 8</w:t>
      </w:r>
      <w:r>
        <w:rPr>
          <w:rFonts w:ascii="Times New Roman" w:hAnsi="Times New Roman"/>
        </w:rPr>
        <w:t> db</w:t>
      </w:r>
      <w:r w:rsidR="00355F50" w:rsidRPr="00230AA5">
        <w:rPr>
          <w:rFonts w:ascii="Times New Roman" w:hAnsi="Times New Roman"/>
        </w:rPr>
        <w:t xml:space="preserve"> vagy 12</w:t>
      </w:r>
      <w:r>
        <w:rPr>
          <w:rFonts w:ascii="Times New Roman" w:hAnsi="Times New Roman"/>
        </w:rPr>
        <w:t> db</w:t>
      </w:r>
      <w:r w:rsidR="00355F50" w:rsidRPr="00230AA5">
        <w:rPr>
          <w:rFonts w:ascii="Times New Roman" w:hAnsi="Times New Roman"/>
        </w:rPr>
        <w:t xml:space="preserve"> szájban diszpergálódó film.</w:t>
      </w:r>
    </w:p>
    <w:p w14:paraId="6F21C03C" w14:textId="77777777" w:rsidR="000D2B65" w:rsidRPr="00230AA5" w:rsidRDefault="000D2B65" w:rsidP="00230AA5">
      <w:pPr>
        <w:spacing w:after="0" w:line="240" w:lineRule="auto"/>
        <w:rPr>
          <w:rFonts w:ascii="Times New Roman" w:hAnsi="Times New Roman"/>
        </w:rPr>
      </w:pPr>
    </w:p>
    <w:p w14:paraId="32F19795" w14:textId="77777777" w:rsidR="00355F50" w:rsidRPr="00230AA5" w:rsidRDefault="00355F50" w:rsidP="00230AA5">
      <w:pPr>
        <w:spacing w:after="0" w:line="240" w:lineRule="auto"/>
        <w:rPr>
          <w:rFonts w:ascii="Times New Roman" w:hAnsi="Times New Roman"/>
        </w:rPr>
      </w:pPr>
      <w:r w:rsidRPr="00230AA5">
        <w:rPr>
          <w:rFonts w:ascii="Times New Roman" w:hAnsi="Times New Roman"/>
        </w:rPr>
        <w:t>Nem feltétlenül mindegyik kiszerelés kerül kereskedelmi forgalomba.</w:t>
      </w:r>
    </w:p>
    <w:p w14:paraId="7950FBA1" w14:textId="77777777" w:rsidR="00697D9D" w:rsidRPr="0019750E" w:rsidRDefault="00697D9D" w:rsidP="00230AA5">
      <w:pPr>
        <w:spacing w:after="0" w:line="240" w:lineRule="auto"/>
        <w:rPr>
          <w:rFonts w:ascii="Times New Roman" w:hAnsi="Times New Roman"/>
          <w:b/>
          <w:bCs/>
          <w:szCs w:val="10"/>
        </w:rPr>
      </w:pPr>
    </w:p>
    <w:p w14:paraId="32D23AC9" w14:textId="56001FDF" w:rsidR="00355F50" w:rsidRPr="00230AA5" w:rsidRDefault="00355F50" w:rsidP="0019750E">
      <w:pPr>
        <w:pStyle w:val="Cmsor3"/>
        <w:spacing w:before="0" w:line="240" w:lineRule="auto"/>
        <w:ind w:left="567" w:hanging="567"/>
        <w:rPr>
          <w:rFonts w:cs="Times New Roman"/>
        </w:rPr>
      </w:pPr>
      <w:r w:rsidRPr="00230AA5">
        <w:rPr>
          <w:rFonts w:cs="Times New Roman"/>
        </w:rPr>
        <w:t>6.6</w:t>
      </w:r>
      <w:r w:rsidRPr="00230AA5">
        <w:rPr>
          <w:rFonts w:cs="Times New Roman"/>
        </w:rPr>
        <w:tab/>
        <w:t>A megsemmisítésre vonatkozó különleges óvintézkedések és egyéb, a készítmény kezelésével kapcsolatos információk</w:t>
      </w:r>
      <w:r w:rsidR="00A15089" w:rsidRPr="00230AA5">
        <w:rPr>
          <w:rFonts w:cs="Times New Roman"/>
        </w:rPr>
        <w:fldChar w:fldCharType="begin"/>
      </w:r>
      <w:r w:rsidR="00A15089" w:rsidRPr="00230AA5">
        <w:rPr>
          <w:rFonts w:cs="Times New Roman"/>
        </w:rPr>
        <w:instrText xml:space="preserve"> DOCVARIABLE vault_nd_b3098625-81d9-4a73-8e85-4b6443e7a65b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34D69E18" w14:textId="77777777" w:rsidR="00306CD1" w:rsidRDefault="00306CD1" w:rsidP="00230AA5">
      <w:pPr>
        <w:spacing w:after="0" w:line="240" w:lineRule="auto"/>
        <w:rPr>
          <w:rFonts w:ascii="Times New Roman" w:hAnsi="Times New Roman"/>
        </w:rPr>
      </w:pPr>
    </w:p>
    <w:p w14:paraId="46260F0E" w14:textId="0B62A68F" w:rsidR="00355F50" w:rsidRPr="00230AA5" w:rsidRDefault="00A75C43" w:rsidP="00230AA5">
      <w:pPr>
        <w:spacing w:after="0" w:line="240" w:lineRule="auto"/>
        <w:rPr>
          <w:rFonts w:ascii="Times New Roman" w:hAnsi="Times New Roman"/>
        </w:rPr>
      </w:pPr>
      <w:r w:rsidRPr="00230AA5">
        <w:rPr>
          <w:rFonts w:ascii="Times New Roman" w:hAnsi="Times New Roman"/>
        </w:rPr>
        <w:t xml:space="preserve">Bármilyen fel nem használt </w:t>
      </w:r>
      <w:r w:rsidR="00185BF9">
        <w:rPr>
          <w:rFonts w:ascii="Times New Roman" w:hAnsi="Times New Roman"/>
        </w:rPr>
        <w:t>gyógyszer</w:t>
      </w:r>
      <w:r w:rsidRPr="00230AA5">
        <w:rPr>
          <w:rFonts w:ascii="Times New Roman" w:hAnsi="Times New Roman"/>
        </w:rPr>
        <w:t xml:space="preserve">, illetve hulladékanyag megsemmisítését a </w:t>
      </w:r>
      <w:r w:rsidR="00185BF9">
        <w:rPr>
          <w:rFonts w:ascii="Times New Roman" w:hAnsi="Times New Roman"/>
        </w:rPr>
        <w:t>gyógyszerekre vonatkozó</w:t>
      </w:r>
      <w:r w:rsidR="00185BF9" w:rsidRPr="00230AA5">
        <w:rPr>
          <w:rFonts w:ascii="Times New Roman" w:hAnsi="Times New Roman"/>
        </w:rPr>
        <w:t xml:space="preserve"> </w:t>
      </w:r>
      <w:r w:rsidRPr="00230AA5">
        <w:rPr>
          <w:rFonts w:ascii="Times New Roman" w:hAnsi="Times New Roman"/>
        </w:rPr>
        <w:t>előírások szerint kell végrehajtani.</w:t>
      </w:r>
    </w:p>
    <w:p w14:paraId="3D1C645A" w14:textId="77777777" w:rsidR="00DB0005" w:rsidRDefault="00DB0005" w:rsidP="00230AA5">
      <w:pPr>
        <w:spacing w:after="0" w:line="240" w:lineRule="auto"/>
        <w:rPr>
          <w:rFonts w:ascii="Times New Roman" w:hAnsi="Times New Roman"/>
        </w:rPr>
      </w:pPr>
    </w:p>
    <w:p w14:paraId="3497BDE3" w14:textId="77777777" w:rsidR="00E964AE" w:rsidRPr="00E964AE" w:rsidRDefault="00E964AE" w:rsidP="00E964AE">
      <w:pPr>
        <w:widowControl w:val="0"/>
        <w:autoSpaceDE w:val="0"/>
        <w:autoSpaceDN w:val="0"/>
        <w:spacing w:after="0" w:line="240" w:lineRule="auto"/>
        <w:rPr>
          <w:rFonts w:ascii="Times New Roman" w:eastAsia="Times New Roman" w:hAnsi="Times New Roman"/>
        </w:rPr>
      </w:pPr>
      <w:r w:rsidRPr="00E964AE">
        <w:rPr>
          <w:rFonts w:ascii="Times New Roman" w:eastAsia="Times New Roman" w:hAnsi="Times New Roman"/>
          <w:b/>
        </w:rPr>
        <w:t>Megjegyzés</w:t>
      </w:r>
      <w:r w:rsidRPr="00E964AE">
        <w:rPr>
          <w:rFonts w:ascii="Times New Roman" w:eastAsia="Times New Roman" w:hAnsi="Times New Roman"/>
        </w:rPr>
        <w:t xml:space="preserve">: </w:t>
      </w:r>
      <w:r w:rsidRPr="00E964AE">
        <w:rPr>
          <w:rFonts w:ascii="Times New Roman" w:eastAsia="Times New Roman" w:hAnsi="Times New Roman"/>
          <w:lang w:val="en-US"/>
        </w:rPr>
        <w:sym w:font="Wingdings" w:char="F058"/>
      </w:r>
      <w:r w:rsidRPr="00E964AE">
        <w:rPr>
          <w:rFonts w:ascii="Times New Roman" w:eastAsia="Times New Roman" w:hAnsi="Times New Roman"/>
        </w:rPr>
        <w:t xml:space="preserve"> (egy keresztes)</w:t>
      </w:r>
    </w:p>
    <w:p w14:paraId="3C5C84E8" w14:textId="77777777" w:rsidR="00E964AE" w:rsidRPr="00E964AE" w:rsidRDefault="00E964AE" w:rsidP="00E964AE">
      <w:pPr>
        <w:widowControl w:val="0"/>
        <w:autoSpaceDE w:val="0"/>
        <w:autoSpaceDN w:val="0"/>
        <w:spacing w:after="0" w:line="240" w:lineRule="auto"/>
        <w:outlineLvl w:val="0"/>
        <w:rPr>
          <w:rFonts w:ascii="Times New Roman" w:eastAsia="Times New Roman" w:hAnsi="Times New Roman"/>
          <w:b/>
        </w:rPr>
      </w:pPr>
      <w:r w:rsidRPr="00E964AE">
        <w:rPr>
          <w:rFonts w:ascii="Times New Roman" w:eastAsia="Times New Roman" w:hAnsi="Times New Roman"/>
          <w:b/>
        </w:rPr>
        <w:t>Osztályozás: II. csoport</w:t>
      </w:r>
    </w:p>
    <w:p w14:paraId="44639125" w14:textId="77777777" w:rsidR="00E964AE" w:rsidRPr="00E964AE" w:rsidRDefault="00E964AE" w:rsidP="00E964AE">
      <w:pPr>
        <w:widowControl w:val="0"/>
        <w:autoSpaceDE w:val="0"/>
        <w:autoSpaceDN w:val="0"/>
        <w:spacing w:after="0" w:line="240" w:lineRule="auto"/>
        <w:outlineLvl w:val="0"/>
        <w:rPr>
          <w:rFonts w:ascii="Times New Roman" w:eastAsia="Times New Roman" w:hAnsi="Times New Roman"/>
        </w:rPr>
      </w:pPr>
      <w:r w:rsidRPr="00E964AE">
        <w:rPr>
          <w:rFonts w:ascii="Times New Roman" w:eastAsia="Times New Roman" w:hAnsi="Times New Roman"/>
        </w:rPr>
        <w:t>Kizárólag orvosi rendelvényhez kötött gyógyszer (V).</w:t>
      </w:r>
    </w:p>
    <w:p w14:paraId="260A5C89" w14:textId="77777777" w:rsidR="00E964AE" w:rsidRPr="0019750E" w:rsidRDefault="00E964AE" w:rsidP="00230AA5">
      <w:pPr>
        <w:spacing w:after="0" w:line="240" w:lineRule="auto"/>
        <w:rPr>
          <w:rFonts w:ascii="Times New Roman" w:hAnsi="Times New Roman"/>
        </w:rPr>
      </w:pPr>
    </w:p>
    <w:p w14:paraId="1A4CAE57" w14:textId="77777777" w:rsidR="00A10C68" w:rsidRPr="0019750E" w:rsidRDefault="00A10C68" w:rsidP="00230AA5">
      <w:pPr>
        <w:spacing w:after="0" w:line="240" w:lineRule="auto"/>
        <w:rPr>
          <w:rFonts w:ascii="Times New Roman" w:hAnsi="Times New Roman"/>
        </w:rPr>
      </w:pPr>
    </w:p>
    <w:p w14:paraId="0542A97D" w14:textId="16F888E8" w:rsidR="00FA21EB" w:rsidRPr="00230AA5" w:rsidRDefault="00FA21EB" w:rsidP="0019750E">
      <w:pPr>
        <w:pStyle w:val="Cmsor2"/>
        <w:spacing w:before="0" w:line="240" w:lineRule="auto"/>
        <w:ind w:left="567" w:hanging="567"/>
        <w:rPr>
          <w:rFonts w:cs="Times New Roman"/>
        </w:rPr>
      </w:pPr>
      <w:r w:rsidRPr="00230AA5">
        <w:rPr>
          <w:rFonts w:cs="Times New Roman"/>
        </w:rPr>
        <w:t>7.</w:t>
      </w:r>
      <w:r w:rsidRPr="00230AA5">
        <w:rPr>
          <w:rFonts w:cs="Times New Roman"/>
        </w:rPr>
        <w:tab/>
        <w:t>A FORGALOMBA HOZATALI ENGEDÉLY JOGOSULTJA</w:t>
      </w:r>
      <w:r w:rsidR="00A15089" w:rsidRPr="00230AA5">
        <w:rPr>
          <w:rFonts w:cs="Times New Roman"/>
        </w:rPr>
        <w:fldChar w:fldCharType="begin"/>
      </w:r>
      <w:r w:rsidR="00A15089" w:rsidRPr="00230AA5">
        <w:rPr>
          <w:rFonts w:cs="Times New Roman"/>
        </w:rPr>
        <w:instrText xml:space="preserve"> DOCVARIABLE VAULT_ND_03454acf-707b-4d93-9ff8-66ecfe6840d2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2A366B14" w14:textId="77777777" w:rsidR="00230AA5" w:rsidRDefault="00230AA5" w:rsidP="00230AA5">
      <w:pPr>
        <w:spacing w:after="0" w:line="240" w:lineRule="auto"/>
        <w:rPr>
          <w:rFonts w:ascii="Times New Roman" w:hAnsi="Times New Roman"/>
        </w:rPr>
      </w:pPr>
      <w:bookmarkStart w:id="1" w:name="_Hlk112251972"/>
    </w:p>
    <w:p w14:paraId="147D55E5" w14:textId="77777777" w:rsidR="006E38CD" w:rsidRPr="003D3EC9" w:rsidRDefault="006E38CD" w:rsidP="006E38CD">
      <w:pPr>
        <w:spacing w:after="0" w:line="240" w:lineRule="auto"/>
        <w:rPr>
          <w:rFonts w:ascii="Times New Roman" w:hAnsi="Times New Roman"/>
        </w:rPr>
      </w:pPr>
      <w:r w:rsidRPr="003D3EC9">
        <w:rPr>
          <w:rFonts w:ascii="Times New Roman" w:hAnsi="Times New Roman"/>
        </w:rPr>
        <w:t xml:space="preserve">IBSA Pharma Kft. </w:t>
      </w:r>
    </w:p>
    <w:p w14:paraId="2754FBD9" w14:textId="77777777" w:rsidR="006E38CD" w:rsidRPr="003D3EC9" w:rsidRDefault="006E38CD" w:rsidP="006E38CD">
      <w:pPr>
        <w:spacing w:after="0" w:line="240" w:lineRule="auto"/>
        <w:rPr>
          <w:rFonts w:ascii="Times New Roman" w:hAnsi="Times New Roman"/>
        </w:rPr>
      </w:pPr>
      <w:r w:rsidRPr="003D3EC9">
        <w:rPr>
          <w:rFonts w:ascii="Times New Roman" w:hAnsi="Times New Roman"/>
        </w:rPr>
        <w:t xml:space="preserve">1124 Budapest, Fodor u 54/B </w:t>
      </w:r>
    </w:p>
    <w:p w14:paraId="024E7C84" w14:textId="77777777" w:rsidR="006E38CD" w:rsidRPr="00230AA5" w:rsidRDefault="006E38CD" w:rsidP="006E38CD">
      <w:pPr>
        <w:spacing w:after="0" w:line="240" w:lineRule="auto"/>
        <w:rPr>
          <w:rFonts w:ascii="Times New Roman" w:hAnsi="Times New Roman"/>
        </w:rPr>
      </w:pPr>
      <w:r w:rsidRPr="003D3EC9">
        <w:rPr>
          <w:rFonts w:ascii="Times New Roman" w:hAnsi="Times New Roman"/>
        </w:rPr>
        <w:t>Magyarország</w:t>
      </w:r>
    </w:p>
    <w:bookmarkEnd w:id="1"/>
    <w:p w14:paraId="6DD6C925" w14:textId="77777777" w:rsidR="00C0419F" w:rsidRDefault="00C0419F" w:rsidP="00230AA5">
      <w:pPr>
        <w:pStyle w:val="Szvegtrzs"/>
        <w:kinsoku w:val="0"/>
        <w:overflowPunct w:val="0"/>
        <w:ind w:right="-28"/>
        <w:rPr>
          <w:lang w:val="nl-NL"/>
        </w:rPr>
      </w:pPr>
    </w:p>
    <w:p w14:paraId="3DECD507" w14:textId="77777777" w:rsidR="00230AA5" w:rsidRPr="00230AA5" w:rsidRDefault="00230AA5" w:rsidP="0019750E">
      <w:pPr>
        <w:pStyle w:val="Szvegtrzs"/>
        <w:kinsoku w:val="0"/>
        <w:overflowPunct w:val="0"/>
        <w:ind w:right="-28"/>
        <w:rPr>
          <w:lang w:val="nl-NL"/>
        </w:rPr>
      </w:pPr>
    </w:p>
    <w:p w14:paraId="63EF7D76" w14:textId="03BCB13D" w:rsidR="00355F50" w:rsidRPr="00230AA5" w:rsidRDefault="00355F50" w:rsidP="0019750E">
      <w:pPr>
        <w:pStyle w:val="Cmsor2"/>
        <w:spacing w:before="0" w:line="240" w:lineRule="auto"/>
        <w:ind w:left="567" w:hanging="567"/>
        <w:rPr>
          <w:rFonts w:cs="Times New Roman"/>
        </w:rPr>
      </w:pPr>
      <w:r w:rsidRPr="00230AA5">
        <w:rPr>
          <w:rFonts w:cs="Times New Roman"/>
        </w:rPr>
        <w:t>8.</w:t>
      </w:r>
      <w:r w:rsidRPr="00230AA5">
        <w:rPr>
          <w:rFonts w:cs="Times New Roman"/>
        </w:rPr>
        <w:tab/>
        <w:t>A FORGALOMBA HOZATALI ENGEDÉLY SZÁMAI</w:t>
      </w:r>
      <w:r w:rsidR="00A15089" w:rsidRPr="00230AA5">
        <w:rPr>
          <w:rFonts w:cs="Times New Roman"/>
        </w:rPr>
        <w:fldChar w:fldCharType="begin"/>
      </w:r>
      <w:r w:rsidR="00A15089" w:rsidRPr="00230AA5">
        <w:rPr>
          <w:rFonts w:cs="Times New Roman"/>
        </w:rPr>
        <w:instrText xml:space="preserve"> DOCVARIABLE VAULT_ND_cf01ae35-8502-42d4-9a32-969aca8064f5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11FD6890" w14:textId="77777777" w:rsidR="00A10C68" w:rsidRDefault="00A10C68" w:rsidP="00A10C68">
      <w:pPr>
        <w:pStyle w:val="Szvegtrzs"/>
        <w:kinsoku w:val="0"/>
        <w:overflowPunct w:val="0"/>
        <w:ind w:right="-28"/>
        <w:rPr>
          <w:lang w:val="nl-NL"/>
        </w:rPr>
      </w:pPr>
    </w:p>
    <w:p w14:paraId="06EAB5CD"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25 mg szájban diszpergálódó film</w:t>
      </w:r>
    </w:p>
    <w:p w14:paraId="754D3DBB" w14:textId="78884A9B" w:rsidR="00B03245" w:rsidRPr="00B03245" w:rsidRDefault="00B03245" w:rsidP="00B03245">
      <w:pPr>
        <w:pStyle w:val="Szvegtrzs"/>
        <w:kinsoku w:val="0"/>
        <w:overflowPunct w:val="0"/>
        <w:ind w:right="-28"/>
        <w:rPr>
          <w:lang w:val="nl-NL"/>
        </w:rPr>
      </w:pPr>
      <w:r w:rsidRPr="00B03245">
        <w:rPr>
          <w:lang w:val="nl-NL"/>
        </w:rPr>
        <w:t>OGYI-T-24754/01</w:t>
      </w:r>
      <w:r>
        <w:rPr>
          <w:lang w:val="nl-NL"/>
        </w:rPr>
        <w:tab/>
        <w:t>2×</w:t>
      </w:r>
      <w:r>
        <w:rPr>
          <w:lang w:val="nl-NL"/>
        </w:rPr>
        <w:tab/>
        <w:t>P</w:t>
      </w:r>
      <w:r w:rsidRPr="00B03245">
        <w:rPr>
          <w:lang w:val="nl-NL"/>
        </w:rPr>
        <w:t>ET/fólia extrúziós laminálással készült tasakban</w:t>
      </w:r>
    </w:p>
    <w:p w14:paraId="2F461AFB" w14:textId="7543E5AA" w:rsidR="00B03245" w:rsidRPr="00B03245" w:rsidRDefault="00B03245" w:rsidP="00B03245">
      <w:pPr>
        <w:pStyle w:val="Szvegtrzs"/>
        <w:kinsoku w:val="0"/>
        <w:overflowPunct w:val="0"/>
        <w:ind w:right="-28"/>
        <w:rPr>
          <w:lang w:val="nl-NL"/>
        </w:rPr>
      </w:pPr>
      <w:r w:rsidRPr="00B03245">
        <w:rPr>
          <w:lang w:val="nl-NL"/>
        </w:rPr>
        <w:t>OGYI-T-24754/02</w:t>
      </w:r>
      <w:r>
        <w:rPr>
          <w:lang w:val="nl-NL"/>
        </w:rPr>
        <w:tab/>
        <w:t>4×</w:t>
      </w:r>
      <w:r>
        <w:rPr>
          <w:lang w:val="nl-NL"/>
        </w:rPr>
        <w:tab/>
        <w:t>P</w:t>
      </w:r>
      <w:r w:rsidRPr="00B03245">
        <w:rPr>
          <w:lang w:val="nl-NL"/>
        </w:rPr>
        <w:t>ET/fólia extrúziós laminálással készült tasakban</w:t>
      </w:r>
    </w:p>
    <w:p w14:paraId="2F85E654" w14:textId="302DE2AA" w:rsidR="00B03245" w:rsidRPr="00B03245" w:rsidRDefault="00B03245" w:rsidP="00B03245">
      <w:pPr>
        <w:pStyle w:val="Szvegtrzs"/>
        <w:kinsoku w:val="0"/>
        <w:overflowPunct w:val="0"/>
        <w:ind w:right="-28"/>
        <w:rPr>
          <w:lang w:val="nl-NL"/>
        </w:rPr>
      </w:pPr>
      <w:r w:rsidRPr="00B03245">
        <w:rPr>
          <w:lang w:val="nl-NL"/>
        </w:rPr>
        <w:t>OGYI-T-24754/03</w:t>
      </w:r>
      <w:r>
        <w:rPr>
          <w:lang w:val="nl-NL"/>
        </w:rPr>
        <w:tab/>
        <w:t>8×</w:t>
      </w:r>
      <w:r>
        <w:rPr>
          <w:lang w:val="nl-NL"/>
        </w:rPr>
        <w:tab/>
        <w:t>P</w:t>
      </w:r>
      <w:r w:rsidRPr="00B03245">
        <w:rPr>
          <w:lang w:val="nl-NL"/>
        </w:rPr>
        <w:t>ET/fólia extrúziós laminálással készült tasakban</w:t>
      </w:r>
    </w:p>
    <w:p w14:paraId="3EE1E182" w14:textId="6DCEB0A0" w:rsidR="00B03245" w:rsidRPr="00B03245" w:rsidRDefault="00B03245" w:rsidP="00B03245">
      <w:pPr>
        <w:pStyle w:val="Szvegtrzs"/>
        <w:kinsoku w:val="0"/>
        <w:overflowPunct w:val="0"/>
        <w:ind w:right="-28"/>
        <w:rPr>
          <w:lang w:val="nl-NL"/>
        </w:rPr>
      </w:pPr>
      <w:r w:rsidRPr="00B03245">
        <w:rPr>
          <w:lang w:val="nl-NL"/>
        </w:rPr>
        <w:t>OGYI-T-24754/04</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7A950C85" w14:textId="77777777" w:rsidR="00B03245" w:rsidRPr="00B03245" w:rsidRDefault="00B03245" w:rsidP="00B03245">
      <w:pPr>
        <w:pStyle w:val="Szvegtrzs"/>
        <w:kinsoku w:val="0"/>
        <w:overflowPunct w:val="0"/>
        <w:ind w:right="-28"/>
        <w:rPr>
          <w:lang w:val="nl-NL"/>
        </w:rPr>
      </w:pPr>
    </w:p>
    <w:p w14:paraId="430E316B"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50 mg szájban diszpergálódó film</w:t>
      </w:r>
    </w:p>
    <w:p w14:paraId="128AAD51" w14:textId="1DE1F6F7" w:rsidR="00B03245" w:rsidRPr="00B03245" w:rsidRDefault="00B03245" w:rsidP="00B03245">
      <w:pPr>
        <w:pStyle w:val="Szvegtrzs"/>
        <w:kinsoku w:val="0"/>
        <w:overflowPunct w:val="0"/>
        <w:ind w:right="-28"/>
        <w:rPr>
          <w:lang w:val="nl-NL"/>
        </w:rPr>
      </w:pPr>
      <w:r w:rsidRPr="00B03245">
        <w:rPr>
          <w:lang w:val="nl-NL"/>
        </w:rPr>
        <w:t>OGYI-T-24754/05</w:t>
      </w:r>
      <w:r>
        <w:rPr>
          <w:lang w:val="nl-NL"/>
        </w:rPr>
        <w:tab/>
        <w:t>2×</w:t>
      </w:r>
      <w:r>
        <w:rPr>
          <w:lang w:val="nl-NL"/>
        </w:rPr>
        <w:tab/>
        <w:t>P</w:t>
      </w:r>
      <w:r w:rsidRPr="00B03245">
        <w:rPr>
          <w:lang w:val="nl-NL"/>
        </w:rPr>
        <w:t>ET/fólia extrúziós laminálással készült tasakban</w:t>
      </w:r>
    </w:p>
    <w:p w14:paraId="6D27AEED" w14:textId="3BF46BF1" w:rsidR="00B03245" w:rsidRPr="00B03245" w:rsidRDefault="00B03245" w:rsidP="00B03245">
      <w:pPr>
        <w:pStyle w:val="Szvegtrzs"/>
        <w:kinsoku w:val="0"/>
        <w:overflowPunct w:val="0"/>
        <w:ind w:right="-28"/>
        <w:rPr>
          <w:lang w:val="nl-NL"/>
        </w:rPr>
      </w:pPr>
      <w:r w:rsidRPr="00B03245">
        <w:rPr>
          <w:lang w:val="nl-NL"/>
        </w:rPr>
        <w:t>OGYI-T-24754/06</w:t>
      </w:r>
      <w:r>
        <w:rPr>
          <w:lang w:val="nl-NL"/>
        </w:rPr>
        <w:tab/>
        <w:t>4×</w:t>
      </w:r>
      <w:r>
        <w:rPr>
          <w:lang w:val="nl-NL"/>
        </w:rPr>
        <w:tab/>
        <w:t>P</w:t>
      </w:r>
      <w:r w:rsidRPr="00B03245">
        <w:rPr>
          <w:lang w:val="nl-NL"/>
        </w:rPr>
        <w:t>ET/fólia extrúziós laminálással készült tasakban</w:t>
      </w:r>
    </w:p>
    <w:p w14:paraId="266EA446" w14:textId="7A50B79B" w:rsidR="00B03245" w:rsidRPr="00B03245" w:rsidRDefault="00B03245" w:rsidP="00B03245">
      <w:pPr>
        <w:pStyle w:val="Szvegtrzs"/>
        <w:kinsoku w:val="0"/>
        <w:overflowPunct w:val="0"/>
        <w:ind w:right="-28"/>
        <w:rPr>
          <w:lang w:val="nl-NL"/>
        </w:rPr>
      </w:pPr>
      <w:r w:rsidRPr="00B03245">
        <w:rPr>
          <w:lang w:val="nl-NL"/>
        </w:rPr>
        <w:t>OGYI-T-24754/07</w:t>
      </w:r>
      <w:r>
        <w:rPr>
          <w:lang w:val="nl-NL"/>
        </w:rPr>
        <w:tab/>
        <w:t>8×</w:t>
      </w:r>
      <w:r>
        <w:rPr>
          <w:lang w:val="nl-NL"/>
        </w:rPr>
        <w:tab/>
        <w:t>P</w:t>
      </w:r>
      <w:r w:rsidRPr="00B03245">
        <w:rPr>
          <w:lang w:val="nl-NL"/>
        </w:rPr>
        <w:t>ET/fólia extrúziós laminálással készült tasakban</w:t>
      </w:r>
    </w:p>
    <w:p w14:paraId="7DA0D3BD" w14:textId="13D3CA94" w:rsidR="00B03245" w:rsidRPr="00B03245" w:rsidRDefault="00B03245" w:rsidP="00B03245">
      <w:pPr>
        <w:pStyle w:val="Szvegtrzs"/>
        <w:kinsoku w:val="0"/>
        <w:overflowPunct w:val="0"/>
        <w:ind w:right="-28"/>
        <w:rPr>
          <w:lang w:val="nl-NL"/>
        </w:rPr>
      </w:pPr>
      <w:r w:rsidRPr="00B03245">
        <w:rPr>
          <w:lang w:val="nl-NL"/>
        </w:rPr>
        <w:t>OGYI-T-24754/08</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1DE7F059" w14:textId="77777777" w:rsidR="00B03245" w:rsidRPr="00B03245" w:rsidRDefault="00B03245" w:rsidP="00B03245">
      <w:pPr>
        <w:pStyle w:val="Szvegtrzs"/>
        <w:kinsoku w:val="0"/>
        <w:overflowPunct w:val="0"/>
        <w:ind w:right="-28"/>
        <w:rPr>
          <w:lang w:val="nl-NL"/>
        </w:rPr>
      </w:pPr>
    </w:p>
    <w:p w14:paraId="65FC5561"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75 mg szájban diszpergálódó film</w:t>
      </w:r>
    </w:p>
    <w:p w14:paraId="1C645C48" w14:textId="01547CCF" w:rsidR="00B03245" w:rsidRPr="00B03245" w:rsidRDefault="00B03245" w:rsidP="00B03245">
      <w:pPr>
        <w:pStyle w:val="Szvegtrzs"/>
        <w:kinsoku w:val="0"/>
        <w:overflowPunct w:val="0"/>
        <w:ind w:right="-28"/>
        <w:rPr>
          <w:lang w:val="nl-NL"/>
        </w:rPr>
      </w:pPr>
      <w:r w:rsidRPr="00B03245">
        <w:rPr>
          <w:lang w:val="nl-NL"/>
        </w:rPr>
        <w:t>OGYI-T-24754/09</w:t>
      </w:r>
      <w:r>
        <w:rPr>
          <w:lang w:val="nl-NL"/>
        </w:rPr>
        <w:tab/>
        <w:t>2×</w:t>
      </w:r>
      <w:r>
        <w:rPr>
          <w:lang w:val="nl-NL"/>
        </w:rPr>
        <w:tab/>
        <w:t>P</w:t>
      </w:r>
      <w:r w:rsidRPr="00B03245">
        <w:rPr>
          <w:lang w:val="nl-NL"/>
        </w:rPr>
        <w:t>ET/fólia extrúziós laminálással készült tasakban</w:t>
      </w:r>
    </w:p>
    <w:p w14:paraId="5134FB2A" w14:textId="1ABBB469" w:rsidR="00B03245" w:rsidRPr="00B03245" w:rsidRDefault="00B03245" w:rsidP="00B03245">
      <w:pPr>
        <w:pStyle w:val="Szvegtrzs"/>
        <w:kinsoku w:val="0"/>
        <w:overflowPunct w:val="0"/>
        <w:ind w:right="-28"/>
        <w:rPr>
          <w:lang w:val="nl-NL"/>
        </w:rPr>
      </w:pPr>
      <w:r w:rsidRPr="00B03245">
        <w:rPr>
          <w:lang w:val="nl-NL"/>
        </w:rPr>
        <w:t>OGYI-T-24754/10</w:t>
      </w:r>
      <w:r>
        <w:rPr>
          <w:lang w:val="nl-NL"/>
        </w:rPr>
        <w:tab/>
        <w:t>4×</w:t>
      </w:r>
      <w:r>
        <w:rPr>
          <w:lang w:val="nl-NL"/>
        </w:rPr>
        <w:tab/>
        <w:t>P</w:t>
      </w:r>
      <w:r w:rsidRPr="00B03245">
        <w:rPr>
          <w:lang w:val="nl-NL"/>
        </w:rPr>
        <w:t>ET/fólia extrúziós laminálással készült tasakban</w:t>
      </w:r>
    </w:p>
    <w:p w14:paraId="78945F42" w14:textId="7E3B588B" w:rsidR="00B03245" w:rsidRPr="00B03245" w:rsidRDefault="00B03245" w:rsidP="00B03245">
      <w:pPr>
        <w:pStyle w:val="Szvegtrzs"/>
        <w:kinsoku w:val="0"/>
        <w:overflowPunct w:val="0"/>
        <w:ind w:right="-28"/>
        <w:rPr>
          <w:lang w:val="nl-NL"/>
        </w:rPr>
      </w:pPr>
      <w:r w:rsidRPr="00B03245">
        <w:rPr>
          <w:lang w:val="nl-NL"/>
        </w:rPr>
        <w:t>OGYI-T-24754/11</w:t>
      </w:r>
      <w:r>
        <w:rPr>
          <w:lang w:val="nl-NL"/>
        </w:rPr>
        <w:tab/>
        <w:t>8×</w:t>
      </w:r>
      <w:r>
        <w:rPr>
          <w:lang w:val="nl-NL"/>
        </w:rPr>
        <w:tab/>
        <w:t>P</w:t>
      </w:r>
      <w:r w:rsidRPr="00B03245">
        <w:rPr>
          <w:lang w:val="nl-NL"/>
        </w:rPr>
        <w:t>ET/fólia extrúziós laminálással készült tasakban</w:t>
      </w:r>
    </w:p>
    <w:p w14:paraId="6F17617B" w14:textId="5E81CC0D" w:rsidR="00B03245" w:rsidRPr="00B03245" w:rsidRDefault="00B03245" w:rsidP="00B03245">
      <w:pPr>
        <w:pStyle w:val="Szvegtrzs"/>
        <w:kinsoku w:val="0"/>
        <w:overflowPunct w:val="0"/>
        <w:ind w:right="-28"/>
        <w:rPr>
          <w:lang w:val="nl-NL"/>
        </w:rPr>
      </w:pPr>
      <w:r w:rsidRPr="00B03245">
        <w:rPr>
          <w:lang w:val="nl-NL"/>
        </w:rPr>
        <w:t>OGYI-T-24754/12</w:t>
      </w:r>
      <w:r>
        <w:rPr>
          <w:lang w:val="nl-NL"/>
        </w:rPr>
        <w:tab/>
        <w:t>12×</w:t>
      </w:r>
      <w:r>
        <w:rPr>
          <w:lang w:val="nl-NL"/>
        </w:rPr>
        <w:tab/>
        <w:t>P</w:t>
      </w:r>
      <w:r w:rsidRPr="00B03245">
        <w:rPr>
          <w:lang w:val="nl-NL"/>
        </w:rPr>
        <w:t>ET/fólia extrúziós laminálással készült tasakban</w:t>
      </w:r>
    </w:p>
    <w:p w14:paraId="6F03AB49" w14:textId="77777777" w:rsidR="00B03245" w:rsidRPr="00B03245" w:rsidRDefault="00B03245" w:rsidP="00B03245">
      <w:pPr>
        <w:pStyle w:val="Szvegtrzs"/>
        <w:kinsoku w:val="0"/>
        <w:overflowPunct w:val="0"/>
        <w:ind w:right="-28"/>
        <w:rPr>
          <w:lang w:val="nl-NL"/>
        </w:rPr>
      </w:pPr>
    </w:p>
    <w:p w14:paraId="7ACEF63E" w14:textId="77777777" w:rsidR="00B03245" w:rsidRPr="00B03245" w:rsidRDefault="00B03245" w:rsidP="00B03245">
      <w:pPr>
        <w:pStyle w:val="Szvegtrzs"/>
        <w:kinsoku w:val="0"/>
        <w:overflowPunct w:val="0"/>
        <w:ind w:right="-28"/>
        <w:rPr>
          <w:u w:val="single"/>
          <w:lang w:val="nl-NL"/>
        </w:rPr>
      </w:pPr>
      <w:r w:rsidRPr="00B03245">
        <w:rPr>
          <w:u w:val="single"/>
          <w:lang w:val="nl-NL"/>
        </w:rPr>
        <w:t>Sildenafil ADOH 100 mg szájban diszpergálódó film</w:t>
      </w:r>
    </w:p>
    <w:p w14:paraId="70C9A9EC" w14:textId="2A7A52A6" w:rsidR="00B03245" w:rsidRPr="00B03245" w:rsidRDefault="00B03245" w:rsidP="00B03245">
      <w:pPr>
        <w:pStyle w:val="Szvegtrzs"/>
        <w:kinsoku w:val="0"/>
        <w:overflowPunct w:val="0"/>
        <w:ind w:right="-28"/>
        <w:rPr>
          <w:lang w:val="nl-NL"/>
        </w:rPr>
      </w:pPr>
      <w:r w:rsidRPr="00B03245">
        <w:rPr>
          <w:lang w:val="nl-NL"/>
        </w:rPr>
        <w:t>OGYI-T-24754/13</w:t>
      </w:r>
      <w:r>
        <w:rPr>
          <w:lang w:val="nl-NL"/>
        </w:rPr>
        <w:tab/>
        <w:t>2×</w:t>
      </w:r>
      <w:r>
        <w:rPr>
          <w:lang w:val="nl-NL"/>
        </w:rPr>
        <w:tab/>
        <w:t>P</w:t>
      </w:r>
      <w:r w:rsidRPr="00B03245">
        <w:rPr>
          <w:lang w:val="nl-NL"/>
        </w:rPr>
        <w:t>ET/fólia extrúziós laminálással készült tasakban</w:t>
      </w:r>
    </w:p>
    <w:p w14:paraId="0388B740" w14:textId="0A0C2E61" w:rsidR="00B03245" w:rsidRPr="00B03245" w:rsidRDefault="00B03245" w:rsidP="00B03245">
      <w:pPr>
        <w:pStyle w:val="Szvegtrzs"/>
        <w:kinsoku w:val="0"/>
        <w:overflowPunct w:val="0"/>
        <w:ind w:right="-28"/>
        <w:rPr>
          <w:lang w:val="nl-NL"/>
        </w:rPr>
      </w:pPr>
      <w:r w:rsidRPr="00B03245">
        <w:rPr>
          <w:lang w:val="nl-NL"/>
        </w:rPr>
        <w:t>OGYI-T-24754/14</w:t>
      </w:r>
      <w:r>
        <w:rPr>
          <w:lang w:val="nl-NL"/>
        </w:rPr>
        <w:tab/>
        <w:t>4×</w:t>
      </w:r>
      <w:r>
        <w:rPr>
          <w:lang w:val="nl-NL"/>
        </w:rPr>
        <w:tab/>
        <w:t>P</w:t>
      </w:r>
      <w:r w:rsidRPr="00B03245">
        <w:rPr>
          <w:lang w:val="nl-NL"/>
        </w:rPr>
        <w:t>ET/fólia extrúziós laminálással készült tasakban</w:t>
      </w:r>
    </w:p>
    <w:p w14:paraId="2EEAD71C" w14:textId="11E6D06E" w:rsidR="00B03245" w:rsidRPr="00B03245" w:rsidRDefault="00B03245" w:rsidP="00B03245">
      <w:pPr>
        <w:pStyle w:val="Szvegtrzs"/>
        <w:kinsoku w:val="0"/>
        <w:overflowPunct w:val="0"/>
        <w:ind w:right="-28"/>
        <w:rPr>
          <w:lang w:val="nl-NL"/>
        </w:rPr>
      </w:pPr>
      <w:r w:rsidRPr="00B03245">
        <w:rPr>
          <w:lang w:val="nl-NL"/>
        </w:rPr>
        <w:t>OGYI-T-24754/15</w:t>
      </w:r>
      <w:r>
        <w:rPr>
          <w:lang w:val="nl-NL"/>
        </w:rPr>
        <w:tab/>
        <w:t>8×</w:t>
      </w:r>
      <w:r>
        <w:rPr>
          <w:lang w:val="nl-NL"/>
        </w:rPr>
        <w:tab/>
        <w:t>P</w:t>
      </w:r>
      <w:r w:rsidRPr="00B03245">
        <w:rPr>
          <w:lang w:val="nl-NL"/>
        </w:rPr>
        <w:t>ET/fólia extrúziós laminálással készült tasakban</w:t>
      </w:r>
    </w:p>
    <w:p w14:paraId="024B243E" w14:textId="5D892B65" w:rsidR="00B03245" w:rsidRPr="00B03245" w:rsidRDefault="00B03245" w:rsidP="00B03245">
      <w:pPr>
        <w:pStyle w:val="Szvegtrzs"/>
        <w:kinsoku w:val="0"/>
        <w:overflowPunct w:val="0"/>
        <w:ind w:right="-28"/>
        <w:rPr>
          <w:lang w:val="nl-NL"/>
        </w:rPr>
      </w:pPr>
      <w:r w:rsidRPr="00B03245">
        <w:rPr>
          <w:lang w:val="nl-NL"/>
        </w:rPr>
        <w:t>OGYI-T-24754/16</w:t>
      </w:r>
      <w:r>
        <w:rPr>
          <w:lang w:val="nl-NL"/>
        </w:rPr>
        <w:tab/>
      </w:r>
      <w:r w:rsidRPr="00B03245">
        <w:rPr>
          <w:lang w:val="nl-NL"/>
        </w:rPr>
        <w:t>1</w:t>
      </w:r>
      <w:r>
        <w:rPr>
          <w:lang w:val="nl-NL"/>
        </w:rPr>
        <w:t>2×</w:t>
      </w:r>
      <w:r>
        <w:rPr>
          <w:lang w:val="nl-NL"/>
        </w:rPr>
        <w:tab/>
        <w:t>P</w:t>
      </w:r>
      <w:r w:rsidRPr="00B03245">
        <w:rPr>
          <w:lang w:val="nl-NL"/>
        </w:rPr>
        <w:t>ET/fólia extrúziós laminálással készült tasakban</w:t>
      </w:r>
    </w:p>
    <w:p w14:paraId="023AB491" w14:textId="77777777" w:rsidR="00A10C68" w:rsidRDefault="00A10C68" w:rsidP="00A10C68">
      <w:pPr>
        <w:pStyle w:val="Szvegtrzs"/>
        <w:kinsoku w:val="0"/>
        <w:overflowPunct w:val="0"/>
        <w:ind w:right="-28"/>
        <w:rPr>
          <w:lang w:val="nl-NL"/>
        </w:rPr>
      </w:pPr>
    </w:p>
    <w:p w14:paraId="12E51951" w14:textId="77777777" w:rsidR="00A10C68" w:rsidRPr="00230AA5" w:rsidRDefault="00A10C68" w:rsidP="00A10C68">
      <w:pPr>
        <w:pStyle w:val="Szvegtrzs"/>
        <w:kinsoku w:val="0"/>
        <w:overflowPunct w:val="0"/>
        <w:ind w:right="-28"/>
        <w:rPr>
          <w:lang w:val="nl-NL"/>
        </w:rPr>
      </w:pPr>
    </w:p>
    <w:p w14:paraId="086AEB4A" w14:textId="1FAB0BDE" w:rsidR="00355F50" w:rsidRPr="00230AA5" w:rsidRDefault="00355F50" w:rsidP="0019750E">
      <w:pPr>
        <w:pStyle w:val="Cmsor2"/>
        <w:spacing w:before="0" w:line="240" w:lineRule="auto"/>
        <w:ind w:left="567" w:hanging="567"/>
        <w:rPr>
          <w:rFonts w:cs="Times New Roman"/>
        </w:rPr>
      </w:pPr>
      <w:r w:rsidRPr="00230AA5">
        <w:rPr>
          <w:rFonts w:cs="Times New Roman"/>
        </w:rPr>
        <w:t>9.</w:t>
      </w:r>
      <w:r w:rsidRPr="00230AA5">
        <w:rPr>
          <w:rFonts w:cs="Times New Roman"/>
        </w:rPr>
        <w:tab/>
        <w:t>A FORGALOMBA HOZATALI ENGEDÉLY ELSŐ KIADÁSÁNAK/ MEGÚJÍTÁSÁNAK DÁTUMA</w:t>
      </w:r>
      <w:r w:rsidR="00A15089" w:rsidRPr="00230AA5">
        <w:rPr>
          <w:rFonts w:cs="Times New Roman"/>
        </w:rPr>
        <w:fldChar w:fldCharType="begin"/>
      </w:r>
      <w:r w:rsidR="00A15089" w:rsidRPr="00230AA5">
        <w:rPr>
          <w:rFonts w:cs="Times New Roman"/>
        </w:rPr>
        <w:instrText xml:space="preserve"> DOCVARIABLE VAULT_ND_e37aae2c-a8dc-4f8a-8fe5-63d6753a9f3f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4FA8AF94" w14:textId="77777777" w:rsidR="008D4B39" w:rsidRDefault="008D4B39" w:rsidP="00230AA5">
      <w:pPr>
        <w:spacing w:after="0" w:line="240" w:lineRule="auto"/>
        <w:rPr>
          <w:rFonts w:ascii="Times New Roman" w:hAnsi="Times New Roman"/>
          <w:i/>
        </w:rPr>
      </w:pPr>
    </w:p>
    <w:p w14:paraId="08D12CF5" w14:textId="30D89776" w:rsidR="00355F50" w:rsidRPr="0019750E" w:rsidRDefault="008D4B39" w:rsidP="00230AA5">
      <w:pPr>
        <w:spacing w:after="0" w:line="240" w:lineRule="auto"/>
        <w:rPr>
          <w:rFonts w:ascii="Times New Roman" w:hAnsi="Times New Roman"/>
          <w:iCs/>
        </w:rPr>
      </w:pPr>
      <w:r w:rsidRPr="0019750E">
        <w:rPr>
          <w:rFonts w:ascii="Times New Roman" w:hAnsi="Times New Roman"/>
          <w:iCs/>
        </w:rPr>
        <w:t>A forgalomba hozatali engedély első kiadásának dátuma:</w:t>
      </w:r>
      <w:r>
        <w:rPr>
          <w:rFonts w:ascii="Times New Roman" w:hAnsi="Times New Roman"/>
          <w:iCs/>
        </w:rPr>
        <w:t xml:space="preserve"> </w:t>
      </w:r>
      <w:r w:rsidRPr="00380311">
        <w:rPr>
          <w:rFonts w:ascii="Times New Roman" w:hAnsi="Times New Roman"/>
          <w:iCs/>
        </w:rPr>
        <w:t xml:space="preserve">2026. </w:t>
      </w:r>
      <w:r w:rsidR="00B03245">
        <w:rPr>
          <w:rFonts w:ascii="Times New Roman" w:hAnsi="Times New Roman"/>
          <w:iCs/>
        </w:rPr>
        <w:t>június</w:t>
      </w:r>
      <w:r w:rsidRPr="00380311">
        <w:rPr>
          <w:rFonts w:ascii="Times New Roman" w:hAnsi="Times New Roman"/>
          <w:iCs/>
        </w:rPr>
        <w:t xml:space="preserve"> </w:t>
      </w:r>
      <w:r w:rsidR="00B03245">
        <w:rPr>
          <w:rFonts w:ascii="Times New Roman" w:hAnsi="Times New Roman"/>
          <w:iCs/>
        </w:rPr>
        <w:t>16</w:t>
      </w:r>
      <w:r>
        <w:rPr>
          <w:rFonts w:ascii="Times New Roman" w:hAnsi="Times New Roman"/>
          <w:iCs/>
        </w:rPr>
        <w:t>.</w:t>
      </w:r>
    </w:p>
    <w:p w14:paraId="2ED22145" w14:textId="77777777" w:rsidR="008D4B39" w:rsidRDefault="008D4B39" w:rsidP="00230AA5">
      <w:pPr>
        <w:spacing w:after="0" w:line="240" w:lineRule="auto"/>
        <w:rPr>
          <w:rFonts w:ascii="Times New Roman" w:hAnsi="Times New Roman"/>
          <w:i/>
        </w:rPr>
      </w:pPr>
    </w:p>
    <w:p w14:paraId="2AA91BE6" w14:textId="77777777" w:rsidR="008D4B39" w:rsidRPr="00230AA5" w:rsidRDefault="008D4B39" w:rsidP="00230AA5">
      <w:pPr>
        <w:spacing w:after="0" w:line="240" w:lineRule="auto"/>
        <w:rPr>
          <w:rFonts w:ascii="Times New Roman" w:hAnsi="Times New Roman"/>
          <w:bCs/>
          <w:i/>
        </w:rPr>
      </w:pPr>
    </w:p>
    <w:p w14:paraId="5BB679E2" w14:textId="51BEF0B8" w:rsidR="00355F50" w:rsidRPr="00230AA5" w:rsidRDefault="00355F50" w:rsidP="0019750E">
      <w:pPr>
        <w:pStyle w:val="Cmsor2"/>
        <w:spacing w:before="0" w:line="240" w:lineRule="auto"/>
        <w:ind w:left="567" w:hanging="567"/>
        <w:rPr>
          <w:rFonts w:cs="Times New Roman"/>
        </w:rPr>
      </w:pPr>
      <w:r w:rsidRPr="00230AA5">
        <w:rPr>
          <w:rFonts w:cs="Times New Roman"/>
        </w:rPr>
        <w:t>10.</w:t>
      </w:r>
      <w:r w:rsidRPr="00230AA5">
        <w:rPr>
          <w:rFonts w:cs="Times New Roman"/>
        </w:rPr>
        <w:tab/>
        <w:t>A SZÖVEG ELLENŐRZÉSÉNEK DÁTUMA</w:t>
      </w:r>
      <w:r w:rsidR="00A15089" w:rsidRPr="00230AA5">
        <w:rPr>
          <w:rFonts w:cs="Times New Roman"/>
        </w:rPr>
        <w:fldChar w:fldCharType="begin"/>
      </w:r>
      <w:r w:rsidR="00A15089" w:rsidRPr="00230AA5">
        <w:rPr>
          <w:rFonts w:cs="Times New Roman"/>
        </w:rPr>
        <w:instrText xml:space="preserve"> DOCVARIABLE VAULT_ND_cf9ff081-7838-4a49-85e4-0bcf63f2cb93 \* MERGEFORMAT </w:instrText>
      </w:r>
      <w:r w:rsidR="00A15089" w:rsidRPr="00230AA5">
        <w:rPr>
          <w:rFonts w:cs="Times New Roman"/>
        </w:rPr>
        <w:fldChar w:fldCharType="separate"/>
      </w:r>
      <w:r w:rsidR="00A15089" w:rsidRPr="00230AA5">
        <w:rPr>
          <w:rFonts w:cs="Times New Roman"/>
        </w:rPr>
        <w:t xml:space="preserve"> </w:t>
      </w:r>
      <w:r w:rsidR="00A15089" w:rsidRPr="00230AA5">
        <w:rPr>
          <w:rFonts w:cs="Times New Roman"/>
        </w:rPr>
        <w:fldChar w:fldCharType="end"/>
      </w:r>
    </w:p>
    <w:p w14:paraId="6FB5F421" w14:textId="77777777" w:rsidR="00355F50" w:rsidRDefault="00355F50" w:rsidP="00230AA5">
      <w:pPr>
        <w:spacing w:after="0" w:line="240" w:lineRule="auto"/>
        <w:rPr>
          <w:rFonts w:ascii="Times New Roman" w:hAnsi="Times New Roman"/>
          <w:i/>
        </w:rPr>
      </w:pPr>
    </w:p>
    <w:p w14:paraId="3CB55384" w14:textId="6685C45D" w:rsidR="00230AA5" w:rsidRDefault="00230AA5" w:rsidP="00230AA5">
      <w:pPr>
        <w:spacing w:after="0" w:line="240" w:lineRule="auto"/>
        <w:rPr>
          <w:rFonts w:ascii="Times New Roman" w:hAnsi="Times New Roman"/>
          <w:iCs/>
        </w:rPr>
      </w:pPr>
      <w:r w:rsidRPr="0019750E">
        <w:rPr>
          <w:rFonts w:ascii="Times New Roman" w:hAnsi="Times New Roman"/>
          <w:iCs/>
        </w:rPr>
        <w:t xml:space="preserve">2026. </w:t>
      </w:r>
      <w:r w:rsidR="006E38CD">
        <w:rPr>
          <w:rFonts w:ascii="Times New Roman" w:hAnsi="Times New Roman"/>
          <w:iCs/>
        </w:rPr>
        <w:t>július 08.</w:t>
      </w:r>
    </w:p>
    <w:p w14:paraId="030F38A7" w14:textId="77777777" w:rsidR="00230AA5" w:rsidRPr="0019750E" w:rsidRDefault="00230AA5" w:rsidP="00230AA5">
      <w:pPr>
        <w:spacing w:after="0" w:line="240" w:lineRule="auto"/>
        <w:rPr>
          <w:rFonts w:ascii="Times New Roman" w:hAnsi="Times New Roman"/>
          <w:b/>
          <w:bCs/>
          <w:iCs/>
        </w:rPr>
      </w:pPr>
    </w:p>
    <w:p w14:paraId="32637886" w14:textId="77777777" w:rsidR="00355F50" w:rsidRPr="0019750E" w:rsidRDefault="00355F50" w:rsidP="00230AA5">
      <w:pPr>
        <w:spacing w:after="0" w:line="240" w:lineRule="auto"/>
        <w:rPr>
          <w:rFonts w:ascii="Times New Roman" w:hAnsi="Times New Roman"/>
          <w:b/>
          <w:bCs/>
        </w:rPr>
      </w:pPr>
    </w:p>
    <w:sectPr w:rsidR="00355F50" w:rsidRPr="0019750E" w:rsidSect="00230AA5">
      <w:footerReference w:type="first" r:id="rId11"/>
      <w:pgSz w:w="11906" w:h="16838"/>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7D3CF" w14:textId="77777777" w:rsidR="00ED2812" w:rsidRDefault="00ED2812" w:rsidP="00F569CE">
      <w:pPr>
        <w:spacing w:after="0" w:line="240" w:lineRule="auto"/>
      </w:pPr>
      <w:r>
        <w:separator/>
      </w:r>
    </w:p>
  </w:endnote>
  <w:endnote w:type="continuationSeparator" w:id="0">
    <w:p w14:paraId="6B489CAD" w14:textId="77777777" w:rsidR="00ED2812" w:rsidRDefault="00ED2812" w:rsidP="00F5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935D1" w14:textId="52870348" w:rsidR="00230AA5" w:rsidRDefault="006E38CD">
    <w:pPr>
      <w:pStyle w:val="llb"/>
      <w:rPr>
        <w:rFonts w:ascii="Times New Roman" w:hAnsi="Times New Roman"/>
        <w:sz w:val="18"/>
        <w:szCs w:val="18"/>
      </w:rPr>
    </w:pPr>
    <w:r>
      <w:rPr>
        <w:rFonts w:ascii="Times New Roman" w:hAnsi="Times New Roman"/>
        <w:sz w:val="18"/>
        <w:szCs w:val="18"/>
      </w:rPr>
      <w:t>NNGYK/ETGY/15154/2026</w:t>
    </w:r>
  </w:p>
  <w:p w14:paraId="4D6137D8" w14:textId="5350DEEB" w:rsidR="006E38CD" w:rsidRDefault="006E38CD">
    <w:pPr>
      <w:pStyle w:val="llb"/>
      <w:rPr>
        <w:rFonts w:ascii="Times New Roman" w:hAnsi="Times New Roman"/>
        <w:sz w:val="18"/>
        <w:szCs w:val="18"/>
      </w:rPr>
    </w:pPr>
    <w:r>
      <w:rPr>
        <w:rFonts w:ascii="Times New Roman" w:hAnsi="Times New Roman"/>
        <w:sz w:val="18"/>
        <w:szCs w:val="18"/>
      </w:rPr>
      <w:t>NNGYK/ETGY/16159/2026</w:t>
    </w:r>
  </w:p>
  <w:p w14:paraId="6597C2CE" w14:textId="10295461" w:rsidR="006E38CD" w:rsidRDefault="006E38CD">
    <w:pPr>
      <w:pStyle w:val="llb"/>
      <w:rPr>
        <w:rFonts w:ascii="Times New Roman" w:hAnsi="Times New Roman"/>
        <w:sz w:val="18"/>
        <w:szCs w:val="18"/>
      </w:rPr>
    </w:pPr>
    <w:r>
      <w:rPr>
        <w:rFonts w:ascii="Times New Roman" w:hAnsi="Times New Roman"/>
        <w:sz w:val="18"/>
        <w:szCs w:val="18"/>
      </w:rPr>
      <w:t>NNGYK/ETGY/16161/2026</w:t>
    </w:r>
  </w:p>
  <w:p w14:paraId="634C0225" w14:textId="41B82E70" w:rsidR="006E38CD" w:rsidRDefault="006E38CD">
    <w:pPr>
      <w:pStyle w:val="llb"/>
    </w:pPr>
    <w:r>
      <w:rPr>
        <w:rFonts w:ascii="Times New Roman" w:hAnsi="Times New Roman"/>
        <w:sz w:val="18"/>
        <w:szCs w:val="18"/>
      </w:rPr>
      <w:t>NNGYK/ETGY/16164/2026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DDA0B" w14:textId="77777777" w:rsidR="00ED2812" w:rsidRDefault="00ED2812" w:rsidP="00F569CE">
      <w:pPr>
        <w:spacing w:after="0" w:line="240" w:lineRule="auto"/>
      </w:pPr>
      <w:r>
        <w:separator/>
      </w:r>
    </w:p>
  </w:footnote>
  <w:footnote w:type="continuationSeparator" w:id="0">
    <w:p w14:paraId="0664FCA2" w14:textId="77777777" w:rsidR="00ED2812" w:rsidRDefault="00ED2812" w:rsidP="00F5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C0B4E"/>
    <w:multiLevelType w:val="hybridMultilevel"/>
    <w:tmpl w:val="E5E2BA4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87D66D3"/>
    <w:multiLevelType w:val="hybridMultilevel"/>
    <w:tmpl w:val="2690B636"/>
    <w:lvl w:ilvl="0" w:tplc="08100015">
      <w:start w:val="1"/>
      <w:numFmt w:val="upperLetter"/>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2" w15:restartNumberingAfterBreak="0">
    <w:nsid w:val="1A654AE1"/>
    <w:multiLevelType w:val="hybridMultilevel"/>
    <w:tmpl w:val="24A6658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15:restartNumberingAfterBreak="0">
    <w:nsid w:val="1C383F5C"/>
    <w:multiLevelType w:val="hybridMultilevel"/>
    <w:tmpl w:val="D0282AF4"/>
    <w:lvl w:ilvl="0" w:tplc="0810000F">
      <w:start w:val="1"/>
      <w:numFmt w:val="decimal"/>
      <w:lvlText w:val="%1."/>
      <w:lvlJc w:val="left"/>
      <w:pPr>
        <w:ind w:left="720" w:hanging="360"/>
      </w:pPr>
      <w:rPr>
        <w:rFonts w:cs="Times New Roman"/>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4" w15:restartNumberingAfterBreak="0">
    <w:nsid w:val="25BE2A8A"/>
    <w:multiLevelType w:val="hybridMultilevel"/>
    <w:tmpl w:val="34727F4E"/>
    <w:lvl w:ilvl="0" w:tplc="04B25EB2">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2A1D514D"/>
    <w:multiLevelType w:val="hybridMultilevel"/>
    <w:tmpl w:val="5512F59C"/>
    <w:lvl w:ilvl="0" w:tplc="1B04F0D8">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2FE47C2C"/>
    <w:multiLevelType w:val="hybridMultilevel"/>
    <w:tmpl w:val="9694422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33CB2B1D"/>
    <w:multiLevelType w:val="hybridMultilevel"/>
    <w:tmpl w:val="87B0CB5E"/>
    <w:lvl w:ilvl="0" w:tplc="BE2AEF20">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15:restartNumberingAfterBreak="0">
    <w:nsid w:val="44CD34D4"/>
    <w:multiLevelType w:val="hybridMultilevel"/>
    <w:tmpl w:val="602868F8"/>
    <w:lvl w:ilvl="0" w:tplc="0810000F">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rPr>
        <w:rFonts w:cs="Times New Roman"/>
      </w:rPr>
    </w:lvl>
    <w:lvl w:ilvl="2" w:tplc="0810001B" w:tentative="1">
      <w:start w:val="1"/>
      <w:numFmt w:val="lowerRoman"/>
      <w:lvlText w:val="%3."/>
      <w:lvlJc w:val="right"/>
      <w:pPr>
        <w:ind w:left="2160" w:hanging="180"/>
      </w:pPr>
      <w:rPr>
        <w:rFonts w:cs="Times New Roman"/>
      </w:rPr>
    </w:lvl>
    <w:lvl w:ilvl="3" w:tplc="0810000F" w:tentative="1">
      <w:start w:val="1"/>
      <w:numFmt w:val="decimal"/>
      <w:lvlText w:val="%4."/>
      <w:lvlJc w:val="left"/>
      <w:pPr>
        <w:ind w:left="2880" w:hanging="360"/>
      </w:pPr>
      <w:rPr>
        <w:rFonts w:cs="Times New Roman"/>
      </w:rPr>
    </w:lvl>
    <w:lvl w:ilvl="4" w:tplc="08100019" w:tentative="1">
      <w:start w:val="1"/>
      <w:numFmt w:val="lowerLetter"/>
      <w:lvlText w:val="%5."/>
      <w:lvlJc w:val="left"/>
      <w:pPr>
        <w:ind w:left="3600" w:hanging="360"/>
      </w:pPr>
      <w:rPr>
        <w:rFonts w:cs="Times New Roman"/>
      </w:rPr>
    </w:lvl>
    <w:lvl w:ilvl="5" w:tplc="0810001B" w:tentative="1">
      <w:start w:val="1"/>
      <w:numFmt w:val="lowerRoman"/>
      <w:lvlText w:val="%6."/>
      <w:lvlJc w:val="right"/>
      <w:pPr>
        <w:ind w:left="4320" w:hanging="180"/>
      </w:pPr>
      <w:rPr>
        <w:rFonts w:cs="Times New Roman"/>
      </w:rPr>
    </w:lvl>
    <w:lvl w:ilvl="6" w:tplc="0810000F" w:tentative="1">
      <w:start w:val="1"/>
      <w:numFmt w:val="decimal"/>
      <w:lvlText w:val="%7."/>
      <w:lvlJc w:val="left"/>
      <w:pPr>
        <w:ind w:left="5040" w:hanging="360"/>
      </w:pPr>
      <w:rPr>
        <w:rFonts w:cs="Times New Roman"/>
      </w:rPr>
    </w:lvl>
    <w:lvl w:ilvl="7" w:tplc="08100019" w:tentative="1">
      <w:start w:val="1"/>
      <w:numFmt w:val="lowerLetter"/>
      <w:lvlText w:val="%8."/>
      <w:lvlJc w:val="left"/>
      <w:pPr>
        <w:ind w:left="5760" w:hanging="360"/>
      </w:pPr>
      <w:rPr>
        <w:rFonts w:cs="Times New Roman"/>
      </w:rPr>
    </w:lvl>
    <w:lvl w:ilvl="8" w:tplc="0810001B" w:tentative="1">
      <w:start w:val="1"/>
      <w:numFmt w:val="lowerRoman"/>
      <w:lvlText w:val="%9."/>
      <w:lvlJc w:val="right"/>
      <w:pPr>
        <w:ind w:left="6480" w:hanging="180"/>
      </w:pPr>
      <w:rPr>
        <w:rFonts w:cs="Times New Roman"/>
      </w:rPr>
    </w:lvl>
  </w:abstractNum>
  <w:abstractNum w:abstractNumId="9" w15:restartNumberingAfterBreak="0">
    <w:nsid w:val="453D658A"/>
    <w:multiLevelType w:val="hybridMultilevel"/>
    <w:tmpl w:val="E04C471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4AEA3458"/>
    <w:multiLevelType w:val="hybridMultilevel"/>
    <w:tmpl w:val="9134F94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55305740"/>
    <w:multiLevelType w:val="hybridMultilevel"/>
    <w:tmpl w:val="75129DDE"/>
    <w:lvl w:ilvl="0" w:tplc="08100017">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56B52C7C"/>
    <w:multiLevelType w:val="hybridMultilevel"/>
    <w:tmpl w:val="7F50817E"/>
    <w:lvl w:ilvl="0" w:tplc="C338C240">
      <w:start w:val="1"/>
      <w:numFmt w:val="decimal"/>
      <w:lvlText w:val="%1."/>
      <w:lvlJc w:val="left"/>
      <w:pPr>
        <w:ind w:left="720" w:hanging="360"/>
      </w:pPr>
      <w:rPr>
        <w:rFonts w:cs="Times New Roman"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613C020D"/>
    <w:multiLevelType w:val="hybridMultilevel"/>
    <w:tmpl w:val="4EEAC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B70017"/>
    <w:multiLevelType w:val="hybridMultilevel"/>
    <w:tmpl w:val="E55690F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15" w15:restartNumberingAfterBreak="0">
    <w:nsid w:val="72627999"/>
    <w:multiLevelType w:val="hybridMultilevel"/>
    <w:tmpl w:val="CE3C5766"/>
    <w:lvl w:ilvl="0" w:tplc="5B52F126">
      <w:start w:val="1"/>
      <w:numFmt w:val="lowerLetter"/>
      <w:lvlText w:val="%1)"/>
      <w:lvlJc w:val="left"/>
      <w:pPr>
        <w:ind w:left="720" w:hanging="360"/>
      </w:pPr>
      <w:rPr>
        <w:rFonts w:hint="default"/>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7FCC0D49"/>
    <w:multiLevelType w:val="hybridMultilevel"/>
    <w:tmpl w:val="CDD4B812"/>
    <w:lvl w:ilvl="0" w:tplc="08100001">
      <w:start w:val="1"/>
      <w:numFmt w:val="bullet"/>
      <w:lvlText w:val=""/>
      <w:lvlJc w:val="left"/>
      <w:pPr>
        <w:ind w:left="720" w:hanging="360"/>
      </w:pPr>
      <w:rPr>
        <w:rFonts w:ascii="Symbol" w:hAnsi="Symbol" w:hint="default"/>
      </w:rPr>
    </w:lvl>
    <w:lvl w:ilvl="1" w:tplc="03AA0BBC">
      <w:numFmt w:val="bullet"/>
      <w:lvlText w:val="-"/>
      <w:lvlJc w:val="left"/>
      <w:pPr>
        <w:ind w:left="1440" w:hanging="360"/>
      </w:pPr>
      <w:rPr>
        <w:rFonts w:ascii="Calibri" w:eastAsia="Times New Roman" w:hAnsi="Calibri"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hint="default"/>
      </w:rPr>
    </w:lvl>
    <w:lvl w:ilvl="8" w:tplc="08100005" w:tentative="1">
      <w:start w:val="1"/>
      <w:numFmt w:val="bullet"/>
      <w:lvlText w:val=""/>
      <w:lvlJc w:val="left"/>
      <w:pPr>
        <w:ind w:left="6480" w:hanging="360"/>
      </w:pPr>
      <w:rPr>
        <w:rFonts w:ascii="Wingdings" w:hAnsi="Wingdings" w:hint="default"/>
      </w:rPr>
    </w:lvl>
  </w:abstractNum>
  <w:num w:numId="1" w16cid:durableId="2034770388">
    <w:abstractNumId w:val="0"/>
  </w:num>
  <w:num w:numId="2" w16cid:durableId="1859853963">
    <w:abstractNumId w:val="3"/>
  </w:num>
  <w:num w:numId="3" w16cid:durableId="370347899">
    <w:abstractNumId w:val="8"/>
  </w:num>
  <w:num w:numId="4" w16cid:durableId="810173192">
    <w:abstractNumId w:val="10"/>
  </w:num>
  <w:num w:numId="5" w16cid:durableId="913591777">
    <w:abstractNumId w:val="1"/>
  </w:num>
  <w:num w:numId="6" w16cid:durableId="369578457">
    <w:abstractNumId w:val="16"/>
  </w:num>
  <w:num w:numId="7" w16cid:durableId="2027320414">
    <w:abstractNumId w:val="9"/>
  </w:num>
  <w:num w:numId="8" w16cid:durableId="1603758483">
    <w:abstractNumId w:val="11"/>
  </w:num>
  <w:num w:numId="9" w16cid:durableId="384111579">
    <w:abstractNumId w:val="12"/>
  </w:num>
  <w:num w:numId="10" w16cid:durableId="152525774">
    <w:abstractNumId w:val="5"/>
  </w:num>
  <w:num w:numId="11" w16cid:durableId="1056204335">
    <w:abstractNumId w:val="4"/>
  </w:num>
  <w:num w:numId="12" w16cid:durableId="1538005940">
    <w:abstractNumId w:val="2"/>
  </w:num>
  <w:num w:numId="13" w16cid:durableId="1241985619">
    <w:abstractNumId w:val="6"/>
  </w:num>
  <w:num w:numId="14" w16cid:durableId="559635768">
    <w:abstractNumId w:val="15"/>
  </w:num>
  <w:num w:numId="15" w16cid:durableId="1757365111">
    <w:abstractNumId w:val="7"/>
  </w:num>
  <w:num w:numId="16" w16cid:durableId="1913198481">
    <w:abstractNumId w:val="14"/>
  </w:num>
  <w:num w:numId="17" w16cid:durableId="625278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VAULT_ND_03454acf-707b-4d93-9ff8-66ecfe6840d2" w:val=" "/>
    <w:docVar w:name="vault_nd_0e8e5322-ae43-4aee-8eae-442ea6617c54" w:val=" "/>
    <w:docVar w:name="VAULT_ND_0e9b9636-1bd1-4de2-88f3-9d588a362406" w:val=" "/>
    <w:docVar w:name="VAULT_ND_0eaf4318-6aee-40b3-a5a3-2209f69b8fc5" w:val=" "/>
    <w:docVar w:name="vault_nd_1158ea15-c4e8-49af-a603-46679a5ff47a" w:val=" "/>
    <w:docVar w:name="vault_nd_19d363a3-16d4-48bb-8b84-64a881c1a1f4" w:val=" "/>
    <w:docVar w:name="vault_nd_2738302e-71d7-45ab-8bdc-74e4a6401eb6" w:val=" "/>
    <w:docVar w:name="VAULT_ND_2be23a3e-06cc-4a0d-a177-ce5f410485ad" w:val=" "/>
    <w:docVar w:name="VAULT_ND_2f1d2a80-f2c3-489b-a885-5ff58de6466b" w:val=" "/>
    <w:docVar w:name="vault_nd_33a598a9-e954-40cf-b02e-4ff0adb870cb" w:val=" "/>
    <w:docVar w:name="vault_nd_3c12b3d1-2a76-4bf3-9213-37ac2917a00a" w:val=" "/>
    <w:docVar w:name="vault_nd_508c6bc0-d8f1-4bd4-bd75-6ae33eafe502" w:val=" "/>
    <w:docVar w:name="vault_nd_6410892c-1469-46a8-9711-d67d639b24f1" w:val=" "/>
    <w:docVar w:name="VAULT_ND_80725d64-92c4-4434-adac-52270764cf6b" w:val=" "/>
    <w:docVar w:name="vault_nd_808e8be9-1666-4dcc-bb9c-45beaac5bdc2" w:val=" "/>
    <w:docVar w:name="VAULT_ND_818f3868-e6ca-4200-9734-86cfbeff81e4" w:val=" "/>
    <w:docVar w:name="VAULT_ND_86f59f44-0a21-44be-ae11-995fc9df7efc" w:val=" "/>
    <w:docVar w:name="vault_nd_8a7175ad-d986-4113-9d17-806db0716961" w:val=" "/>
    <w:docVar w:name="vault_nd_8a814b33-167a-4567-a303-45970c54ba8b" w:val=" "/>
    <w:docVar w:name="vault_nd_9406a285-bda8-4c3a-b026-d7dc87ac092d" w:val=" "/>
    <w:docVar w:name="vault_nd_aa3f6733-dda2-445c-90f3-a1fa37727d7b" w:val=" "/>
    <w:docVar w:name="vault_nd_b3098625-81d9-4a73-8e85-4b6443e7a65b" w:val=" "/>
    <w:docVar w:name="VAULT_ND_cf01ae35-8502-42d4-9a32-969aca8064f5" w:val=" "/>
    <w:docVar w:name="VAULT_ND_cf9ff081-7838-4a49-85e4-0bcf63f2cb93" w:val=" "/>
    <w:docVar w:name="vault_nd_d5871155-cb4e-4dd3-b9b2-3b994e03d18f" w:val=" "/>
    <w:docVar w:name="vault_nd_dd68907f-24bd-41de-a155-8490a3fbf6da" w:val=" "/>
    <w:docVar w:name="VAULT_ND_e37aae2c-a8dc-4f8a-8fe5-63d6753a9f3f" w:val=" "/>
    <w:docVar w:name="vault_nd_f1818973-d0c4-4756-ab2a-30a481a937eb" w:val=" "/>
    <w:docVar w:name="vault_nd_f6b43871-548e-4910-8fb4-5c28876e1893" w:val=" "/>
  </w:docVars>
  <w:rsids>
    <w:rsidRoot w:val="002A01A7"/>
    <w:rsid w:val="000047D2"/>
    <w:rsid w:val="00004EE5"/>
    <w:rsid w:val="00020472"/>
    <w:rsid w:val="00024955"/>
    <w:rsid w:val="00024C61"/>
    <w:rsid w:val="0004183C"/>
    <w:rsid w:val="00060CCD"/>
    <w:rsid w:val="00063909"/>
    <w:rsid w:val="00066F3C"/>
    <w:rsid w:val="00070BD4"/>
    <w:rsid w:val="000905F0"/>
    <w:rsid w:val="00097B26"/>
    <w:rsid w:val="000A0A22"/>
    <w:rsid w:val="000B5A79"/>
    <w:rsid w:val="000B78E1"/>
    <w:rsid w:val="000C228E"/>
    <w:rsid w:val="000C2C09"/>
    <w:rsid w:val="000C3AF4"/>
    <w:rsid w:val="000C6395"/>
    <w:rsid w:val="000C7C20"/>
    <w:rsid w:val="000D2B65"/>
    <w:rsid w:val="000F7A29"/>
    <w:rsid w:val="00100274"/>
    <w:rsid w:val="00104965"/>
    <w:rsid w:val="001050DF"/>
    <w:rsid w:val="00107B29"/>
    <w:rsid w:val="00107D14"/>
    <w:rsid w:val="00112C0C"/>
    <w:rsid w:val="00116D25"/>
    <w:rsid w:val="001319A6"/>
    <w:rsid w:val="00141CA1"/>
    <w:rsid w:val="00143821"/>
    <w:rsid w:val="00154A7A"/>
    <w:rsid w:val="00160369"/>
    <w:rsid w:val="00164C82"/>
    <w:rsid w:val="00177DB9"/>
    <w:rsid w:val="00185BF9"/>
    <w:rsid w:val="00186B40"/>
    <w:rsid w:val="00190CA5"/>
    <w:rsid w:val="0019750E"/>
    <w:rsid w:val="001D17F1"/>
    <w:rsid w:val="001D1977"/>
    <w:rsid w:val="001D4DD0"/>
    <w:rsid w:val="001D5E46"/>
    <w:rsid w:val="001E1334"/>
    <w:rsid w:val="001F0BAF"/>
    <w:rsid w:val="001F22D7"/>
    <w:rsid w:val="001F2909"/>
    <w:rsid w:val="001F504C"/>
    <w:rsid w:val="002017F6"/>
    <w:rsid w:val="0021218A"/>
    <w:rsid w:val="00217084"/>
    <w:rsid w:val="00225C1A"/>
    <w:rsid w:val="00230AA5"/>
    <w:rsid w:val="00234064"/>
    <w:rsid w:val="002442BC"/>
    <w:rsid w:val="002544E6"/>
    <w:rsid w:val="00264479"/>
    <w:rsid w:val="00275493"/>
    <w:rsid w:val="00277541"/>
    <w:rsid w:val="00293C37"/>
    <w:rsid w:val="0029435E"/>
    <w:rsid w:val="0029510C"/>
    <w:rsid w:val="002A01A7"/>
    <w:rsid w:val="002A60AE"/>
    <w:rsid w:val="002D39CD"/>
    <w:rsid w:val="002F3147"/>
    <w:rsid w:val="002F3513"/>
    <w:rsid w:val="002F60D7"/>
    <w:rsid w:val="00306CD1"/>
    <w:rsid w:val="00315041"/>
    <w:rsid w:val="0033230F"/>
    <w:rsid w:val="00333890"/>
    <w:rsid w:val="0035418A"/>
    <w:rsid w:val="003548D5"/>
    <w:rsid w:val="00355465"/>
    <w:rsid w:val="003557FD"/>
    <w:rsid w:val="00355951"/>
    <w:rsid w:val="00355F50"/>
    <w:rsid w:val="00382D54"/>
    <w:rsid w:val="0038303A"/>
    <w:rsid w:val="0039252E"/>
    <w:rsid w:val="003A33EC"/>
    <w:rsid w:val="003A3690"/>
    <w:rsid w:val="003A4DE6"/>
    <w:rsid w:val="003A5DF8"/>
    <w:rsid w:val="003B09E9"/>
    <w:rsid w:val="003B2AFA"/>
    <w:rsid w:val="003B6559"/>
    <w:rsid w:val="003C02DB"/>
    <w:rsid w:val="003C161F"/>
    <w:rsid w:val="003D03FD"/>
    <w:rsid w:val="003D1635"/>
    <w:rsid w:val="003D5FCE"/>
    <w:rsid w:val="003D6589"/>
    <w:rsid w:val="003D6F2E"/>
    <w:rsid w:val="003D7D15"/>
    <w:rsid w:val="003F31C3"/>
    <w:rsid w:val="003F66D1"/>
    <w:rsid w:val="00402BA8"/>
    <w:rsid w:val="00411238"/>
    <w:rsid w:val="0041369C"/>
    <w:rsid w:val="00417549"/>
    <w:rsid w:val="00421040"/>
    <w:rsid w:val="00424604"/>
    <w:rsid w:val="0042604D"/>
    <w:rsid w:val="00432954"/>
    <w:rsid w:val="0046056D"/>
    <w:rsid w:val="0046268E"/>
    <w:rsid w:val="00462B1A"/>
    <w:rsid w:val="00465E39"/>
    <w:rsid w:val="00471992"/>
    <w:rsid w:val="0047600E"/>
    <w:rsid w:val="004909ED"/>
    <w:rsid w:val="004D5DAB"/>
    <w:rsid w:val="004E2B67"/>
    <w:rsid w:val="004E541C"/>
    <w:rsid w:val="004F59F0"/>
    <w:rsid w:val="00501B74"/>
    <w:rsid w:val="00512792"/>
    <w:rsid w:val="0051330E"/>
    <w:rsid w:val="00514FB5"/>
    <w:rsid w:val="00524F75"/>
    <w:rsid w:val="0052595E"/>
    <w:rsid w:val="00541682"/>
    <w:rsid w:val="005525C7"/>
    <w:rsid w:val="00554BFC"/>
    <w:rsid w:val="0055753D"/>
    <w:rsid w:val="00566494"/>
    <w:rsid w:val="00577BD0"/>
    <w:rsid w:val="005832A4"/>
    <w:rsid w:val="00583978"/>
    <w:rsid w:val="00585555"/>
    <w:rsid w:val="0059508C"/>
    <w:rsid w:val="005B4D55"/>
    <w:rsid w:val="005D0FE7"/>
    <w:rsid w:val="006002B0"/>
    <w:rsid w:val="00604025"/>
    <w:rsid w:val="00613C32"/>
    <w:rsid w:val="00642A2C"/>
    <w:rsid w:val="0064405D"/>
    <w:rsid w:val="00644CAE"/>
    <w:rsid w:val="00670F8E"/>
    <w:rsid w:val="00676045"/>
    <w:rsid w:val="00690B9E"/>
    <w:rsid w:val="0069224B"/>
    <w:rsid w:val="00697D9D"/>
    <w:rsid w:val="006B1DA9"/>
    <w:rsid w:val="006B7484"/>
    <w:rsid w:val="006C1264"/>
    <w:rsid w:val="006C137F"/>
    <w:rsid w:val="006C4D7D"/>
    <w:rsid w:val="006E1C7A"/>
    <w:rsid w:val="006E38CD"/>
    <w:rsid w:val="006F41FB"/>
    <w:rsid w:val="006F5B3D"/>
    <w:rsid w:val="006F7A81"/>
    <w:rsid w:val="0070175A"/>
    <w:rsid w:val="0071181E"/>
    <w:rsid w:val="00712B86"/>
    <w:rsid w:val="00723E77"/>
    <w:rsid w:val="00735856"/>
    <w:rsid w:val="007522A4"/>
    <w:rsid w:val="00757EE3"/>
    <w:rsid w:val="00762CED"/>
    <w:rsid w:val="007829E3"/>
    <w:rsid w:val="007831C5"/>
    <w:rsid w:val="00787690"/>
    <w:rsid w:val="00787F54"/>
    <w:rsid w:val="00794420"/>
    <w:rsid w:val="007A6694"/>
    <w:rsid w:val="007B77C7"/>
    <w:rsid w:val="007C15B6"/>
    <w:rsid w:val="007C33BF"/>
    <w:rsid w:val="007D71AC"/>
    <w:rsid w:val="007E20B5"/>
    <w:rsid w:val="007E2F9B"/>
    <w:rsid w:val="007E6F90"/>
    <w:rsid w:val="007F2121"/>
    <w:rsid w:val="007F60AB"/>
    <w:rsid w:val="00803283"/>
    <w:rsid w:val="00806DB4"/>
    <w:rsid w:val="00824FCF"/>
    <w:rsid w:val="00833F98"/>
    <w:rsid w:val="00836339"/>
    <w:rsid w:val="0083635B"/>
    <w:rsid w:val="008526A0"/>
    <w:rsid w:val="008559BC"/>
    <w:rsid w:val="00867332"/>
    <w:rsid w:val="0087712E"/>
    <w:rsid w:val="00877986"/>
    <w:rsid w:val="00885E73"/>
    <w:rsid w:val="0089352F"/>
    <w:rsid w:val="008A3B2A"/>
    <w:rsid w:val="008B6FA3"/>
    <w:rsid w:val="008B7226"/>
    <w:rsid w:val="008C007F"/>
    <w:rsid w:val="008D4B39"/>
    <w:rsid w:val="008D5D69"/>
    <w:rsid w:val="008E3780"/>
    <w:rsid w:val="00906510"/>
    <w:rsid w:val="00907B83"/>
    <w:rsid w:val="0091020D"/>
    <w:rsid w:val="00913731"/>
    <w:rsid w:val="00943EB9"/>
    <w:rsid w:val="00944040"/>
    <w:rsid w:val="00951084"/>
    <w:rsid w:val="00960D50"/>
    <w:rsid w:val="00966A4E"/>
    <w:rsid w:val="0097775A"/>
    <w:rsid w:val="009819C9"/>
    <w:rsid w:val="009A1304"/>
    <w:rsid w:val="009B1B54"/>
    <w:rsid w:val="009B36CE"/>
    <w:rsid w:val="009B4F03"/>
    <w:rsid w:val="009B7299"/>
    <w:rsid w:val="009C11A8"/>
    <w:rsid w:val="009D367B"/>
    <w:rsid w:val="009E436E"/>
    <w:rsid w:val="009E4972"/>
    <w:rsid w:val="009F47FB"/>
    <w:rsid w:val="009F7AEE"/>
    <w:rsid w:val="00A0208B"/>
    <w:rsid w:val="00A10C68"/>
    <w:rsid w:val="00A15089"/>
    <w:rsid w:val="00A15E4D"/>
    <w:rsid w:val="00A24992"/>
    <w:rsid w:val="00A30572"/>
    <w:rsid w:val="00A32ABD"/>
    <w:rsid w:val="00A372FA"/>
    <w:rsid w:val="00A40FB4"/>
    <w:rsid w:val="00A42172"/>
    <w:rsid w:val="00A51104"/>
    <w:rsid w:val="00A557E5"/>
    <w:rsid w:val="00A61C3B"/>
    <w:rsid w:val="00A75C43"/>
    <w:rsid w:val="00A8297C"/>
    <w:rsid w:val="00A9237D"/>
    <w:rsid w:val="00AA4318"/>
    <w:rsid w:val="00AC2EF3"/>
    <w:rsid w:val="00AC4B4F"/>
    <w:rsid w:val="00AD2CFC"/>
    <w:rsid w:val="00AE6D49"/>
    <w:rsid w:val="00B0017A"/>
    <w:rsid w:val="00B00918"/>
    <w:rsid w:val="00B03245"/>
    <w:rsid w:val="00B045A1"/>
    <w:rsid w:val="00B12398"/>
    <w:rsid w:val="00B15AE9"/>
    <w:rsid w:val="00B23972"/>
    <w:rsid w:val="00B26ED8"/>
    <w:rsid w:val="00B4541F"/>
    <w:rsid w:val="00B46C2E"/>
    <w:rsid w:val="00B52090"/>
    <w:rsid w:val="00B559ED"/>
    <w:rsid w:val="00B61139"/>
    <w:rsid w:val="00B6606C"/>
    <w:rsid w:val="00B70EE0"/>
    <w:rsid w:val="00B73C04"/>
    <w:rsid w:val="00B76992"/>
    <w:rsid w:val="00B80183"/>
    <w:rsid w:val="00B861F4"/>
    <w:rsid w:val="00BA3EE6"/>
    <w:rsid w:val="00BC0A00"/>
    <w:rsid w:val="00BC1BF7"/>
    <w:rsid w:val="00BD1B9E"/>
    <w:rsid w:val="00BD4926"/>
    <w:rsid w:val="00BE183F"/>
    <w:rsid w:val="00BE5574"/>
    <w:rsid w:val="00BF5C15"/>
    <w:rsid w:val="00C0419F"/>
    <w:rsid w:val="00C1399D"/>
    <w:rsid w:val="00C34402"/>
    <w:rsid w:val="00C37B41"/>
    <w:rsid w:val="00C651C1"/>
    <w:rsid w:val="00C66FDC"/>
    <w:rsid w:val="00C67AE9"/>
    <w:rsid w:val="00C71248"/>
    <w:rsid w:val="00C7379E"/>
    <w:rsid w:val="00C7731C"/>
    <w:rsid w:val="00C77E4B"/>
    <w:rsid w:val="00C8515F"/>
    <w:rsid w:val="00C8662C"/>
    <w:rsid w:val="00C86695"/>
    <w:rsid w:val="00C9407E"/>
    <w:rsid w:val="00CB1E55"/>
    <w:rsid w:val="00CB5C53"/>
    <w:rsid w:val="00CC5F10"/>
    <w:rsid w:val="00CC7701"/>
    <w:rsid w:val="00CD31DF"/>
    <w:rsid w:val="00CD37EF"/>
    <w:rsid w:val="00CD6654"/>
    <w:rsid w:val="00CE1F41"/>
    <w:rsid w:val="00CE4C13"/>
    <w:rsid w:val="00CE694B"/>
    <w:rsid w:val="00CF462D"/>
    <w:rsid w:val="00CF575A"/>
    <w:rsid w:val="00D0758C"/>
    <w:rsid w:val="00D07C54"/>
    <w:rsid w:val="00D311B1"/>
    <w:rsid w:val="00D318F4"/>
    <w:rsid w:val="00D37A88"/>
    <w:rsid w:val="00D449A1"/>
    <w:rsid w:val="00D508F5"/>
    <w:rsid w:val="00D5280C"/>
    <w:rsid w:val="00D6743C"/>
    <w:rsid w:val="00D73694"/>
    <w:rsid w:val="00D73A58"/>
    <w:rsid w:val="00D922DB"/>
    <w:rsid w:val="00DB0005"/>
    <w:rsid w:val="00DC0540"/>
    <w:rsid w:val="00DC4374"/>
    <w:rsid w:val="00DD7EF1"/>
    <w:rsid w:val="00DF2B97"/>
    <w:rsid w:val="00DF6FD0"/>
    <w:rsid w:val="00E0160C"/>
    <w:rsid w:val="00E017FD"/>
    <w:rsid w:val="00E02B5D"/>
    <w:rsid w:val="00E04270"/>
    <w:rsid w:val="00E059B3"/>
    <w:rsid w:val="00E130B5"/>
    <w:rsid w:val="00E30C10"/>
    <w:rsid w:val="00E3764D"/>
    <w:rsid w:val="00E40037"/>
    <w:rsid w:val="00E632FE"/>
    <w:rsid w:val="00E665AF"/>
    <w:rsid w:val="00E66A33"/>
    <w:rsid w:val="00E73AE6"/>
    <w:rsid w:val="00E75D88"/>
    <w:rsid w:val="00E81311"/>
    <w:rsid w:val="00E8245C"/>
    <w:rsid w:val="00E83E5C"/>
    <w:rsid w:val="00E91279"/>
    <w:rsid w:val="00E96240"/>
    <w:rsid w:val="00E964AE"/>
    <w:rsid w:val="00EA0075"/>
    <w:rsid w:val="00EA466E"/>
    <w:rsid w:val="00EA7091"/>
    <w:rsid w:val="00EB3A4C"/>
    <w:rsid w:val="00EB3A88"/>
    <w:rsid w:val="00EB4C77"/>
    <w:rsid w:val="00EB5BE2"/>
    <w:rsid w:val="00EB724D"/>
    <w:rsid w:val="00EB7AD4"/>
    <w:rsid w:val="00ED2812"/>
    <w:rsid w:val="00EE3587"/>
    <w:rsid w:val="00EE64D0"/>
    <w:rsid w:val="00EE7063"/>
    <w:rsid w:val="00F15FAC"/>
    <w:rsid w:val="00F24A92"/>
    <w:rsid w:val="00F369B5"/>
    <w:rsid w:val="00F4352F"/>
    <w:rsid w:val="00F569CE"/>
    <w:rsid w:val="00F603C7"/>
    <w:rsid w:val="00F66380"/>
    <w:rsid w:val="00F8192E"/>
    <w:rsid w:val="00FA1F01"/>
    <w:rsid w:val="00FA21EB"/>
    <w:rsid w:val="00FA6AE9"/>
    <w:rsid w:val="00FB6364"/>
    <w:rsid w:val="00FB6954"/>
    <w:rsid w:val="00FD623E"/>
    <w:rsid w:val="00FF1A06"/>
    <w:rsid w:val="00FF7912"/>
  </w:rsids>
  <m:mathPr>
    <m:mathFont m:val="Cambria Math"/>
    <m:brkBin m:val="before"/>
    <m:brkBinSub m:val="--"/>
    <m:smallFrac m:val="0"/>
    <m:dispDef/>
    <m:lMargin m:val="0"/>
    <m:rMargin m:val="0"/>
    <m:defJc m:val="centerGroup"/>
    <m:wrapIndent m:val="1440"/>
    <m:intLim m:val="subSup"/>
    <m:naryLim m:val="undOvr"/>
  </m:mathPr>
  <w:themeFontLang w:val="it-CH"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D3C586"/>
  <w15:docId w15:val="{52B3A011-C021-46E5-8F46-314FC5EEF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hu-HU" w:eastAsia="it-CH"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311B1"/>
    <w:pPr>
      <w:spacing w:after="200" w:line="276" w:lineRule="auto"/>
    </w:pPr>
    <w:rPr>
      <w:lang w:eastAsia="en-US"/>
    </w:rPr>
  </w:style>
  <w:style w:type="paragraph" w:styleId="Cmsor1">
    <w:name w:val="heading 1"/>
    <w:basedOn w:val="Norml"/>
    <w:next w:val="Norml"/>
    <w:link w:val="Cmsor1Char"/>
    <w:qFormat/>
    <w:locked/>
    <w:rsid w:val="007E2F9B"/>
    <w:pPr>
      <w:keepNext/>
      <w:keepLines/>
      <w:spacing w:before="480" w:after="0"/>
      <w:jc w:val="center"/>
      <w:outlineLvl w:val="0"/>
    </w:pPr>
    <w:rPr>
      <w:rFonts w:ascii="Times New Roman" w:eastAsiaTheme="majorEastAsia" w:hAnsi="Times New Roman" w:cstheme="majorBidi"/>
      <w:b/>
      <w:bCs/>
      <w:sz w:val="24"/>
      <w:szCs w:val="28"/>
    </w:rPr>
  </w:style>
  <w:style w:type="paragraph" w:styleId="Cmsor2">
    <w:name w:val="heading 2"/>
    <w:basedOn w:val="Norml"/>
    <w:next w:val="Norml"/>
    <w:link w:val="Cmsor2Char"/>
    <w:unhideWhenUsed/>
    <w:qFormat/>
    <w:locked/>
    <w:rsid w:val="007E2F9B"/>
    <w:pPr>
      <w:keepNext/>
      <w:keepLines/>
      <w:spacing w:before="200" w:after="0"/>
      <w:outlineLvl w:val="1"/>
    </w:pPr>
    <w:rPr>
      <w:rFonts w:ascii="Times New Roman" w:eastAsiaTheme="majorEastAsia" w:hAnsi="Times New Roman" w:cstheme="majorBidi"/>
      <w:b/>
      <w:bCs/>
      <w:szCs w:val="26"/>
    </w:rPr>
  </w:style>
  <w:style w:type="paragraph" w:styleId="Cmsor3">
    <w:name w:val="heading 3"/>
    <w:basedOn w:val="Norml"/>
    <w:next w:val="Norml"/>
    <w:link w:val="Cmsor3Char"/>
    <w:unhideWhenUsed/>
    <w:qFormat/>
    <w:locked/>
    <w:rsid w:val="007E2F9B"/>
    <w:pPr>
      <w:keepNext/>
      <w:keepLines/>
      <w:spacing w:before="200" w:after="0"/>
      <w:outlineLvl w:val="2"/>
    </w:pPr>
    <w:rPr>
      <w:rFonts w:ascii="Times New Roman" w:eastAsiaTheme="majorEastAsia" w:hAnsi="Times New Roman" w:cstheme="majorBidi"/>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99"/>
    <w:qFormat/>
    <w:rsid w:val="00471992"/>
    <w:pPr>
      <w:ind w:left="720"/>
      <w:contextualSpacing/>
    </w:pPr>
  </w:style>
  <w:style w:type="paragraph" w:styleId="Buborkszveg">
    <w:name w:val="Balloon Text"/>
    <w:basedOn w:val="Norml"/>
    <w:link w:val="BuborkszvegChar"/>
    <w:uiPriority w:val="99"/>
    <w:semiHidden/>
    <w:rsid w:val="00264479"/>
    <w:rPr>
      <w:rFonts w:ascii="Tahoma" w:hAnsi="Tahoma" w:cs="Tahoma"/>
      <w:sz w:val="16"/>
      <w:szCs w:val="16"/>
    </w:rPr>
  </w:style>
  <w:style w:type="character" w:customStyle="1" w:styleId="BuborkszvegChar">
    <w:name w:val="Buborékszöveg Char"/>
    <w:basedOn w:val="Bekezdsalapbettpusa"/>
    <w:link w:val="Buborkszveg"/>
    <w:uiPriority w:val="99"/>
    <w:semiHidden/>
    <w:rsid w:val="007F1346"/>
    <w:rPr>
      <w:rFonts w:ascii="Times New Roman" w:hAnsi="Times New Roman"/>
      <w:sz w:val="0"/>
      <w:szCs w:val="0"/>
      <w:lang w:eastAsia="en-US"/>
    </w:rPr>
  </w:style>
  <w:style w:type="character" w:styleId="Jegyzethivatkozs">
    <w:name w:val="annotation reference"/>
    <w:uiPriority w:val="99"/>
    <w:semiHidden/>
    <w:unhideWhenUsed/>
    <w:rsid w:val="00EA7091"/>
    <w:rPr>
      <w:sz w:val="16"/>
      <w:szCs w:val="16"/>
    </w:rPr>
  </w:style>
  <w:style w:type="paragraph" w:styleId="Jegyzetszveg">
    <w:name w:val="annotation text"/>
    <w:basedOn w:val="Norml"/>
    <w:link w:val="JegyzetszvegChar"/>
    <w:uiPriority w:val="99"/>
    <w:unhideWhenUsed/>
    <w:rsid w:val="00EA7091"/>
    <w:pPr>
      <w:spacing w:line="240" w:lineRule="auto"/>
    </w:pPr>
    <w:rPr>
      <w:sz w:val="20"/>
      <w:szCs w:val="20"/>
    </w:rPr>
  </w:style>
  <w:style w:type="character" w:customStyle="1" w:styleId="JegyzetszvegChar">
    <w:name w:val="Jegyzetszöveg Char"/>
    <w:basedOn w:val="Bekezdsalapbettpusa"/>
    <w:link w:val="Jegyzetszveg"/>
    <w:uiPriority w:val="99"/>
    <w:rsid w:val="00EA7091"/>
    <w:rPr>
      <w:sz w:val="20"/>
      <w:szCs w:val="20"/>
      <w:lang w:eastAsia="en-US"/>
    </w:rPr>
  </w:style>
  <w:style w:type="paragraph" w:styleId="Megjegyzstrgya">
    <w:name w:val="annotation subject"/>
    <w:basedOn w:val="Jegyzetszveg"/>
    <w:next w:val="Jegyzetszveg"/>
    <w:link w:val="MegjegyzstrgyaChar"/>
    <w:uiPriority w:val="99"/>
    <w:semiHidden/>
    <w:unhideWhenUsed/>
    <w:rsid w:val="00164C82"/>
    <w:rPr>
      <w:b/>
      <w:bCs/>
    </w:rPr>
  </w:style>
  <w:style w:type="character" w:customStyle="1" w:styleId="MegjegyzstrgyaChar">
    <w:name w:val="Megjegyzés tárgya Char"/>
    <w:basedOn w:val="JegyzetszvegChar"/>
    <w:link w:val="Megjegyzstrgya"/>
    <w:uiPriority w:val="99"/>
    <w:semiHidden/>
    <w:rsid w:val="00164C82"/>
    <w:rPr>
      <w:b/>
      <w:bCs/>
      <w:sz w:val="20"/>
      <w:szCs w:val="20"/>
      <w:lang w:eastAsia="en-US"/>
    </w:rPr>
  </w:style>
  <w:style w:type="paragraph" w:styleId="Cm">
    <w:name w:val="Title"/>
    <w:basedOn w:val="Norml"/>
    <w:next w:val="Norml"/>
    <w:link w:val="CmChar"/>
    <w:qFormat/>
    <w:locked/>
    <w:rsid w:val="007E2F9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mChar">
    <w:name w:val="Cím Char"/>
    <w:basedOn w:val="Bekezdsalapbettpusa"/>
    <w:link w:val="Cm"/>
    <w:rsid w:val="007E2F9B"/>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Cmsor1Char">
    <w:name w:val="Címsor 1 Char"/>
    <w:basedOn w:val="Bekezdsalapbettpusa"/>
    <w:link w:val="Cmsor1"/>
    <w:rsid w:val="007E2F9B"/>
    <w:rPr>
      <w:rFonts w:ascii="Times New Roman" w:eastAsiaTheme="majorEastAsia" w:hAnsi="Times New Roman" w:cstheme="majorBidi"/>
      <w:b/>
      <w:bCs/>
      <w:sz w:val="24"/>
      <w:szCs w:val="28"/>
      <w:lang w:eastAsia="en-US"/>
    </w:rPr>
  </w:style>
  <w:style w:type="character" w:customStyle="1" w:styleId="Cmsor2Char">
    <w:name w:val="Címsor 2 Char"/>
    <w:basedOn w:val="Bekezdsalapbettpusa"/>
    <w:link w:val="Cmsor2"/>
    <w:rsid w:val="007E2F9B"/>
    <w:rPr>
      <w:rFonts w:ascii="Times New Roman" w:eastAsiaTheme="majorEastAsia" w:hAnsi="Times New Roman" w:cstheme="majorBidi"/>
      <w:b/>
      <w:bCs/>
      <w:szCs w:val="26"/>
      <w:lang w:eastAsia="en-US"/>
    </w:rPr>
  </w:style>
  <w:style w:type="character" w:customStyle="1" w:styleId="Cmsor3Char">
    <w:name w:val="Címsor 3 Char"/>
    <w:basedOn w:val="Bekezdsalapbettpusa"/>
    <w:link w:val="Cmsor3"/>
    <w:rsid w:val="007E2F9B"/>
    <w:rPr>
      <w:rFonts w:ascii="Times New Roman" w:eastAsiaTheme="majorEastAsia" w:hAnsi="Times New Roman" w:cstheme="majorBidi"/>
      <w:b/>
      <w:bCs/>
      <w:lang w:eastAsia="en-US"/>
    </w:rPr>
  </w:style>
  <w:style w:type="paragraph" w:styleId="lfej">
    <w:name w:val="header"/>
    <w:basedOn w:val="Norml"/>
    <w:link w:val="lfejChar"/>
    <w:uiPriority w:val="99"/>
    <w:unhideWhenUsed/>
    <w:rsid w:val="00F569CE"/>
    <w:pPr>
      <w:tabs>
        <w:tab w:val="center" w:pos="4680"/>
        <w:tab w:val="right" w:pos="9360"/>
      </w:tabs>
      <w:spacing w:after="0" w:line="240" w:lineRule="auto"/>
    </w:pPr>
  </w:style>
  <w:style w:type="character" w:customStyle="1" w:styleId="lfejChar">
    <w:name w:val="Élőfej Char"/>
    <w:basedOn w:val="Bekezdsalapbettpusa"/>
    <w:link w:val="lfej"/>
    <w:uiPriority w:val="99"/>
    <w:rsid w:val="00F569CE"/>
    <w:rPr>
      <w:lang w:eastAsia="en-US"/>
    </w:rPr>
  </w:style>
  <w:style w:type="paragraph" w:styleId="llb">
    <w:name w:val="footer"/>
    <w:basedOn w:val="Norml"/>
    <w:link w:val="llbChar"/>
    <w:uiPriority w:val="99"/>
    <w:unhideWhenUsed/>
    <w:rsid w:val="00F569CE"/>
    <w:pPr>
      <w:tabs>
        <w:tab w:val="center" w:pos="4680"/>
        <w:tab w:val="right" w:pos="9360"/>
      </w:tabs>
      <w:spacing w:after="0" w:line="240" w:lineRule="auto"/>
    </w:pPr>
  </w:style>
  <w:style w:type="character" w:customStyle="1" w:styleId="llbChar">
    <w:name w:val="Élőláb Char"/>
    <w:basedOn w:val="Bekezdsalapbettpusa"/>
    <w:link w:val="llb"/>
    <w:uiPriority w:val="99"/>
    <w:rsid w:val="00F569CE"/>
    <w:rPr>
      <w:lang w:eastAsia="en-US"/>
    </w:rPr>
  </w:style>
  <w:style w:type="paragraph" w:styleId="Szvegtrzs">
    <w:name w:val="Body Text"/>
    <w:basedOn w:val="Norml"/>
    <w:link w:val="SzvegtrzsChar"/>
    <w:uiPriority w:val="1"/>
    <w:semiHidden/>
    <w:unhideWhenUsed/>
    <w:qFormat/>
    <w:rsid w:val="00C0419F"/>
    <w:pPr>
      <w:widowControl w:val="0"/>
      <w:autoSpaceDE w:val="0"/>
      <w:autoSpaceDN w:val="0"/>
      <w:adjustRightInd w:val="0"/>
      <w:spacing w:after="0" w:line="240" w:lineRule="auto"/>
    </w:pPr>
    <w:rPr>
      <w:rFonts w:ascii="Times New Roman" w:eastAsia="Times New Roman" w:hAnsi="Times New Roman"/>
      <w:lang w:eastAsia="it-CH"/>
    </w:rPr>
  </w:style>
  <w:style w:type="character" w:customStyle="1" w:styleId="SzvegtrzsChar">
    <w:name w:val="Szövegtörzs Char"/>
    <w:basedOn w:val="Bekezdsalapbettpusa"/>
    <w:link w:val="Szvegtrzs"/>
    <w:uiPriority w:val="1"/>
    <w:semiHidden/>
    <w:rsid w:val="00C0419F"/>
    <w:rPr>
      <w:rFonts w:ascii="Times New Roman" w:eastAsia="Times New Roman" w:hAnsi="Times New Roman"/>
      <w:lang w:val="hu-HU"/>
    </w:rPr>
  </w:style>
  <w:style w:type="paragraph" w:styleId="Vltozat">
    <w:name w:val="Revision"/>
    <w:hidden/>
    <w:uiPriority w:val="99"/>
    <w:semiHidden/>
    <w:rsid w:val="00B23972"/>
    <w:rPr>
      <w:lang w:eastAsia="en-US"/>
    </w:rPr>
  </w:style>
  <w:style w:type="table" w:styleId="Rcsostblzat">
    <w:name w:val="Table Grid"/>
    <w:basedOn w:val="Normltblzat"/>
    <w:locked/>
    <w:rsid w:val="00885E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C66FDC"/>
    <w:rPr>
      <w:color w:val="0000FF" w:themeColor="hyperlink"/>
      <w:u w:val="single"/>
    </w:rPr>
  </w:style>
  <w:style w:type="character" w:styleId="Feloldatlanmegemlts">
    <w:name w:val="Unresolved Mention"/>
    <w:basedOn w:val="Bekezdsalapbettpusa"/>
    <w:uiPriority w:val="99"/>
    <w:semiHidden/>
    <w:unhideWhenUsed/>
    <w:rsid w:val="00C66F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04839">
      <w:bodyDiv w:val="1"/>
      <w:marLeft w:val="0"/>
      <w:marRight w:val="0"/>
      <w:marTop w:val="0"/>
      <w:marBottom w:val="0"/>
      <w:divBdr>
        <w:top w:val="none" w:sz="0" w:space="0" w:color="auto"/>
        <w:left w:val="none" w:sz="0" w:space="0" w:color="auto"/>
        <w:bottom w:val="none" w:sz="0" w:space="0" w:color="auto"/>
        <w:right w:val="none" w:sz="0" w:space="0" w:color="auto"/>
      </w:divBdr>
    </w:div>
    <w:div w:id="396824169">
      <w:bodyDiv w:val="1"/>
      <w:marLeft w:val="0"/>
      <w:marRight w:val="0"/>
      <w:marTop w:val="0"/>
      <w:marBottom w:val="0"/>
      <w:divBdr>
        <w:top w:val="none" w:sz="0" w:space="0" w:color="auto"/>
        <w:left w:val="none" w:sz="0" w:space="0" w:color="auto"/>
        <w:bottom w:val="none" w:sz="0" w:space="0" w:color="auto"/>
        <w:right w:val="none" w:sz="0" w:space="0" w:color="auto"/>
      </w:divBdr>
    </w:div>
    <w:div w:id="892346831">
      <w:bodyDiv w:val="1"/>
      <w:marLeft w:val="0"/>
      <w:marRight w:val="0"/>
      <w:marTop w:val="0"/>
      <w:marBottom w:val="0"/>
      <w:divBdr>
        <w:top w:val="none" w:sz="0" w:space="0" w:color="auto"/>
        <w:left w:val="none" w:sz="0" w:space="0" w:color="auto"/>
        <w:bottom w:val="none" w:sz="0" w:space="0" w:color="auto"/>
        <w:right w:val="none" w:sz="0" w:space="0" w:color="auto"/>
      </w:divBdr>
    </w:div>
    <w:div w:id="1018507293">
      <w:bodyDiv w:val="1"/>
      <w:marLeft w:val="0"/>
      <w:marRight w:val="0"/>
      <w:marTop w:val="0"/>
      <w:marBottom w:val="0"/>
      <w:divBdr>
        <w:top w:val="none" w:sz="0" w:space="0" w:color="auto"/>
        <w:left w:val="none" w:sz="0" w:space="0" w:color="auto"/>
        <w:bottom w:val="none" w:sz="0" w:space="0" w:color="auto"/>
        <w:right w:val="none" w:sz="0" w:space="0" w:color="auto"/>
      </w:divBdr>
    </w:div>
    <w:div w:id="1116021210">
      <w:bodyDiv w:val="1"/>
      <w:marLeft w:val="0"/>
      <w:marRight w:val="0"/>
      <w:marTop w:val="0"/>
      <w:marBottom w:val="0"/>
      <w:divBdr>
        <w:top w:val="none" w:sz="0" w:space="0" w:color="auto"/>
        <w:left w:val="none" w:sz="0" w:space="0" w:color="auto"/>
        <w:bottom w:val="none" w:sz="0" w:space="0" w:color="auto"/>
        <w:right w:val="none" w:sz="0" w:space="0" w:color="auto"/>
      </w:divBdr>
    </w:div>
    <w:div w:id="1441299073">
      <w:bodyDiv w:val="1"/>
      <w:marLeft w:val="0"/>
      <w:marRight w:val="0"/>
      <w:marTop w:val="0"/>
      <w:marBottom w:val="0"/>
      <w:divBdr>
        <w:top w:val="none" w:sz="0" w:space="0" w:color="auto"/>
        <w:left w:val="none" w:sz="0" w:space="0" w:color="auto"/>
        <w:bottom w:val="none" w:sz="0" w:space="0" w:color="auto"/>
        <w:right w:val="none" w:sz="0" w:space="0" w:color="auto"/>
      </w:divBdr>
    </w:div>
    <w:div w:id="177466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F40FA8840FF24E8CA28660E0D4E031" ma:contentTypeVersion="4" ma:contentTypeDescription="Een nieuw document maken." ma:contentTypeScope="" ma:versionID="3f7ee36bb8a1aecfd9e8de42fd1f759c">
  <xsd:schema xmlns:xsd="http://www.w3.org/2001/XMLSchema" xmlns:xs="http://www.w3.org/2001/XMLSchema" xmlns:p="http://schemas.microsoft.com/office/2006/metadata/properties" xmlns:ns2="3df5d50d-36a7-4d04-8716-f10414ccdc21" targetNamespace="http://schemas.microsoft.com/office/2006/metadata/properties" ma:root="true" ma:fieldsID="112a7ea942942a7796b5440c606a6b04" ns2:_="">
    <xsd:import namespace="3df5d50d-36a7-4d04-8716-f10414ccdc2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f5d50d-36a7-4d04-8716-f10414ccdc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70A81F-6640-4BB0-8434-3BF96ADF8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f5d50d-36a7-4d04-8716-f10414ccd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41D35-5214-4CCE-B889-7A32563201F8}">
  <ds:schemaRefs>
    <ds:schemaRef ds:uri="http://schemas.openxmlformats.org/officeDocument/2006/bibliography"/>
  </ds:schemaRefs>
</ds:datastoreItem>
</file>

<file path=customXml/itemProps3.xml><?xml version="1.0" encoding="utf-8"?>
<ds:datastoreItem xmlns:ds="http://schemas.openxmlformats.org/officeDocument/2006/customXml" ds:itemID="{1C7D22BB-14E9-41A4-B7A6-CB26EA9770E4}">
  <ds:schemaRefs>
    <ds:schemaRef ds:uri="http://schemas.microsoft.com/sharepoint/v3/contenttype/forms"/>
  </ds:schemaRefs>
</ds:datastoreItem>
</file>

<file path=docMetadata/LabelInfo.xml><?xml version="1.0" encoding="utf-8"?>
<clbl:labelList xmlns:clbl="http://schemas.microsoft.com/office/2020/mipLabelMetadata">
  <clbl:label id="{6de27278-33c2-4fa7-b041-913a6b42a371}" enabled="1" method="Standard" siteId="{3a41ea52-8446-4753-8a54-ea2e66b82a7d}" removed="0"/>
</clbl:labelList>
</file>

<file path=docProps/app.xml><?xml version="1.0" encoding="utf-8"?>
<Properties xmlns="http://schemas.openxmlformats.org/officeDocument/2006/extended-properties" xmlns:vt="http://schemas.openxmlformats.org/officeDocument/2006/docPropsVTypes">
  <Template>Normal</Template>
  <TotalTime>29</TotalTime>
  <Pages>14</Pages>
  <Words>5657</Words>
  <Characters>39039</Characters>
  <Application>Microsoft Office Word</Application>
  <DocSecurity>0</DocSecurity>
  <Lines>325</Lines>
  <Paragraphs>89</Paragraphs>
  <ScaleCrop>false</ScaleCrop>
  <HeadingPairs>
    <vt:vector size="8" baseType="variant">
      <vt:variant>
        <vt:lpstr>Title</vt:lpstr>
      </vt:variant>
      <vt:variant>
        <vt:i4>1</vt:i4>
      </vt:variant>
      <vt:variant>
        <vt:lpstr>Cím</vt:lpstr>
      </vt:variant>
      <vt:variant>
        <vt:i4>1</vt:i4>
      </vt:variant>
      <vt:variant>
        <vt:lpstr>Titel</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44607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Pasca Valerio</dc:creator>
  <cp:lastModifiedBy>Tóth Erika</cp:lastModifiedBy>
  <cp:revision>7</cp:revision>
  <cp:lastPrinted>2018-06-13T10:29:00Z</cp:lastPrinted>
  <dcterms:created xsi:type="dcterms:W3CDTF">2026-06-15T08:18:00Z</dcterms:created>
  <dcterms:modified xsi:type="dcterms:W3CDTF">2026-07-09T11:35:00Z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0x0101004EF40FA8840FF24E8CA28660E0D4E031</vt:lpwstr>
  </property>
  <property fmtid="{D5CDD505-2E9C-101B-9397-08002B2CF9AE}" pid="3" name="Dettaglio Variazione">
    <vt:lpwstr/>
  </property>
  <property fmtid="{D5CDD505-2E9C-101B-9397-08002B2CF9AE}" pid="4" name="Modulo">
    <vt:lpwstr/>
  </property>
  <property fmtid="{D5CDD505-2E9C-101B-9397-08002B2CF9AE}" pid="5" name="Squenza">
    <vt:lpwstr>0000</vt:lpwstr>
  </property>
  <property fmtid="{D5CDD505-2E9C-101B-9397-08002B2CF9AE}" pid="6" name="Descrizione submission">
    <vt:lpwstr/>
  </property>
  <property fmtid="{D5CDD505-2E9C-101B-9397-08002B2CF9AE}" pid="7" name="Prodotto">
    <vt:lpwstr/>
  </property>
  <property fmtid="{D5CDD505-2E9C-101B-9397-08002B2CF9AE}" pid="8" name="Nazioni_Choice">
    <vt:lpwstr/>
  </property>
  <property fmtid="{D5CDD505-2E9C-101B-9397-08002B2CF9AE}" pid="9" name="Forme Farmaceutiche">
    <vt:lpwstr/>
  </property>
  <property fmtid="{D5CDD505-2E9C-101B-9397-08002B2CF9AE}" pid="10" name="Eccipiente">
    <vt:lpwstr/>
  </property>
  <property fmtid="{D5CDD505-2E9C-101B-9397-08002B2CF9AE}" pid="11" name="Study Report">
    <vt:lpwstr/>
  </property>
  <property fmtid="{D5CDD505-2E9C-101B-9397-08002B2CF9AE}" pid="12" name="Submission">
    <vt:lpwstr/>
  </property>
  <property fmtid="{D5CDD505-2E9C-101B-9397-08002B2CF9AE}" pid="13" name="Stato WA">
    <vt:lpwstr>In lavorazione</vt:lpwstr>
  </property>
  <property fmtid="{D5CDD505-2E9C-101B-9397-08002B2CF9AE}" pid="14" name="Fornitore">
    <vt:lpwstr/>
  </property>
  <property fmtid="{D5CDD505-2E9C-101B-9397-08002B2CF9AE}" pid="15" name="Edizione">
    <vt:lpwstr/>
  </property>
  <property fmtid="{D5CDD505-2E9C-101B-9397-08002B2CF9AE}" pid="16" name="Invio/Deposito">
    <vt:lpwstr/>
  </property>
  <property fmtid="{D5CDD505-2E9C-101B-9397-08002B2CF9AE}" pid="17" name="Procedura">
    <vt:lpwstr/>
  </property>
  <property fmtid="{D5CDD505-2E9C-101B-9397-08002B2CF9AE}" pid="18" name="Principio Attivo">
    <vt:lpwstr/>
  </property>
  <property fmtid="{D5CDD505-2E9C-101B-9397-08002B2CF9AE}" pid="19" name="Sezione">
    <vt:lpwstr/>
  </property>
  <property fmtid="{D5CDD505-2E9C-101B-9397-08002B2CF9AE}" pid="20" name="Order">
    <vt:r8>5806600</vt:r8>
  </property>
  <property fmtid="{D5CDD505-2E9C-101B-9397-08002B2CF9AE}" pid="21" name="MSIP_Label_6de27278-33c2-4fa7-b041-913a6b42a371_Enabled">
    <vt:lpwstr>true</vt:lpwstr>
  </property>
  <property fmtid="{D5CDD505-2E9C-101B-9397-08002B2CF9AE}" pid="22" name="MSIP_Label_6de27278-33c2-4fa7-b041-913a6b42a371_SetDate">
    <vt:lpwstr>2023-11-20T15:29:48Z</vt:lpwstr>
  </property>
  <property fmtid="{D5CDD505-2E9C-101B-9397-08002B2CF9AE}" pid="23" name="MSIP_Label_6de27278-33c2-4fa7-b041-913a6b42a371_Method">
    <vt:lpwstr>Standard</vt:lpwstr>
  </property>
  <property fmtid="{D5CDD505-2E9C-101B-9397-08002B2CF9AE}" pid="24" name="MSIP_Label_6de27278-33c2-4fa7-b041-913a6b42a371_Name">
    <vt:lpwstr>Generic</vt:lpwstr>
  </property>
  <property fmtid="{D5CDD505-2E9C-101B-9397-08002B2CF9AE}" pid="25" name="MSIP_Label_6de27278-33c2-4fa7-b041-913a6b42a371_SiteId">
    <vt:lpwstr>3a41ea52-8446-4753-8a54-ea2e66b82a7d</vt:lpwstr>
  </property>
  <property fmtid="{D5CDD505-2E9C-101B-9397-08002B2CF9AE}" pid="26" name="MSIP_Label_6de27278-33c2-4fa7-b041-913a6b42a371_ActionId">
    <vt:lpwstr>30a73b25-6d60-4f49-b490-ab7f487165d4</vt:lpwstr>
  </property>
  <property fmtid="{D5CDD505-2E9C-101B-9397-08002B2CF9AE}" pid="27" name="MSIP_Label_6de27278-33c2-4fa7-b041-913a6b42a371_ContentBits">
    <vt:lpwstr>0</vt:lpwstr>
  </property>
  <property fmtid="{D5CDD505-2E9C-101B-9397-08002B2CF9AE}" pid="28" name="MediaServiceImageTags">
    <vt:lpwstr/>
  </property>
</Properties>
</file>