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C933AC" w14:textId="77777777" w:rsidR="00BF4685" w:rsidRPr="00BF4685" w:rsidRDefault="00BF4685" w:rsidP="00BF4685">
      <w:pPr>
        <w:widowControl w:val="0"/>
        <w:suppressLineNumbers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>1.</w:t>
      </w: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ab/>
        <w:t>A GYÓGYSZER NEVE</w:t>
      </w:r>
    </w:p>
    <w:p w14:paraId="35D01318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</w:p>
    <w:p w14:paraId="0A794FBF" w14:textId="0E90796E" w:rsidR="00BF4685" w:rsidRPr="00BF4685" w:rsidRDefault="001675DC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proofErr w:type="spellStart"/>
      <w:r>
        <w:rPr>
          <w:rFonts w:ascii="Times New Roman" w:eastAsia="SimSun" w:hAnsi="Times New Roman" w:cs="Times New Roman"/>
          <w:kern w:val="0"/>
          <w:szCs w:val="20"/>
          <w14:ligatures w14:val="none"/>
        </w:rPr>
        <w:t>Alsemora</w:t>
      </w:r>
      <w:proofErr w:type="spellEnd"/>
      <w:r w:rsidR="00BF4685"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10 mg filmtabletta</w:t>
      </w:r>
    </w:p>
    <w:p w14:paraId="6AF5058F" w14:textId="27B54289" w:rsidR="00BF4685" w:rsidRPr="00BF4685" w:rsidRDefault="001675DC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proofErr w:type="spellStart"/>
      <w:r>
        <w:rPr>
          <w:rFonts w:ascii="Times New Roman" w:eastAsia="SimSun" w:hAnsi="Times New Roman" w:cs="Times New Roman"/>
          <w:kern w:val="0"/>
          <w:szCs w:val="20"/>
          <w14:ligatures w14:val="none"/>
        </w:rPr>
        <w:t>Alsemora</w:t>
      </w:r>
      <w:proofErr w:type="spellEnd"/>
      <w:r w:rsidR="00BF4685"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20 mg filmtabletta</w:t>
      </w:r>
    </w:p>
    <w:p w14:paraId="54E34179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2D53A8FB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</w:p>
    <w:p w14:paraId="7D867FD8" w14:textId="77777777" w:rsidR="00BF4685" w:rsidRPr="00BF4685" w:rsidRDefault="00BF4685" w:rsidP="00BF4685">
      <w:pPr>
        <w:widowControl w:val="0"/>
        <w:suppressLineNumbers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>2.</w:t>
      </w:r>
      <w:r w:rsidRPr="00BF4685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ab/>
        <w:t>MINŐSÉGI ÉS MENNYISÉGI ÖSSZETÉTEL</w:t>
      </w:r>
    </w:p>
    <w:p w14:paraId="2BE3796E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</w:p>
    <w:p w14:paraId="50B64375" w14:textId="263F9228" w:rsidR="00BF4685" w:rsidRPr="00BF4685" w:rsidRDefault="001675DC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</w:pPr>
      <w:proofErr w:type="spellStart"/>
      <w:r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  <w:t>Alsemora</w:t>
      </w:r>
      <w:proofErr w:type="spellEnd"/>
      <w:r w:rsidR="00BF4685" w:rsidRPr="00BF4685"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  <w:t xml:space="preserve"> 10 mg filmtabletta</w:t>
      </w:r>
    </w:p>
    <w:p w14:paraId="7B46B8D1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10 mg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memantin-hidrokloridot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tartalmaz filmtablettánként, ami 8,31 mg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memantinnak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felel meg.</w:t>
      </w:r>
    </w:p>
    <w:p w14:paraId="632D178B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53ED25CF" w14:textId="21722B4A" w:rsidR="00BF4685" w:rsidRPr="00BF4685" w:rsidRDefault="001675DC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</w:pPr>
      <w:proofErr w:type="spellStart"/>
      <w:r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  <w:t>Alsemora</w:t>
      </w:r>
      <w:proofErr w:type="spellEnd"/>
      <w:r w:rsidR="00BF4685" w:rsidRPr="00BF4685"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  <w:t xml:space="preserve"> 20 mg filmtabletta</w:t>
      </w:r>
    </w:p>
    <w:p w14:paraId="4BD048C5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20 mg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memantin-hidrokloridot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tartalmaz filmtablettánként, ami 16,62 mg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memantinnak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felel meg.</w:t>
      </w:r>
    </w:p>
    <w:p w14:paraId="10848DDA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4842A755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Cs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 segédanyagok teljes </w:t>
      </w:r>
      <w:r w:rsidRPr="00BF4685">
        <w:rPr>
          <w:rFonts w:ascii="Times New Roman" w:eastAsia="SimSun" w:hAnsi="Times New Roman" w:cs="Times New Roman"/>
          <w:bCs/>
          <w:snapToGrid w:val="0"/>
          <w:kern w:val="0"/>
          <w:szCs w:val="20"/>
          <w:lang w:eastAsia="zh-CN"/>
          <w14:ligatures w14:val="none"/>
        </w:rPr>
        <w:t>felsorolását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lásd a 6.1 pontban</w:t>
      </w:r>
      <w:r w:rsidRPr="00BF4685">
        <w:rPr>
          <w:rFonts w:ascii="Times New Roman" w:eastAsia="SimSun" w:hAnsi="Times New Roman" w:cs="Times New Roman"/>
          <w:bCs/>
          <w:snapToGrid w:val="0"/>
          <w:kern w:val="0"/>
          <w:szCs w:val="20"/>
          <w:lang w:eastAsia="zh-CN"/>
          <w14:ligatures w14:val="none"/>
        </w:rPr>
        <w:t>.</w:t>
      </w:r>
    </w:p>
    <w:p w14:paraId="401A3821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48E81212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0A0A0C57" w14:textId="77777777" w:rsidR="00BF4685" w:rsidRPr="00BF4685" w:rsidRDefault="00BF4685" w:rsidP="00BF4685">
      <w:pPr>
        <w:suppressLineNumbers/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>3.</w:t>
      </w: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ab/>
        <w:t>GYÓGYSZERFORMA</w:t>
      </w:r>
    </w:p>
    <w:p w14:paraId="3E882A3D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08C94EB0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Filmtabletta.</w:t>
      </w:r>
    </w:p>
    <w:p w14:paraId="2DDC7853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7E00DF71" w14:textId="1F5F5A97" w:rsidR="00BF4685" w:rsidRPr="00BF4685" w:rsidRDefault="001675DC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</w:pPr>
      <w:proofErr w:type="spellStart"/>
      <w:r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  <w:t>Alsemora</w:t>
      </w:r>
      <w:proofErr w:type="spellEnd"/>
      <w:r w:rsidR="00BF4685" w:rsidRPr="00BF4685"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  <w:t xml:space="preserve"> 10 mg filmtabletta</w:t>
      </w:r>
    </w:p>
    <w:p w14:paraId="0288E359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14:ligatures w14:val="none"/>
        </w:rPr>
        <w:t>Halványsárga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vagy világos sárga,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14:ligatures w14:val="none"/>
        </w:rPr>
        <w:t xml:space="preserve"> mindkét oldalán domború, lekerekített végű, középen elvékonyodó, mindkét oldalán bemetszéssel ellátott filmtabletta, amelynek hosszúsága kb. 10 mm, magassága 3 mm.</w:t>
      </w:r>
    </w:p>
    <w:p w14:paraId="58867305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38F76EAC" w14:textId="36F5CF5C" w:rsidR="00BF4685" w:rsidRPr="00BF4685" w:rsidRDefault="001675DC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</w:pPr>
      <w:proofErr w:type="spellStart"/>
      <w:r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  <w:t>Alsemora</w:t>
      </w:r>
      <w:proofErr w:type="spellEnd"/>
      <w:r w:rsidR="00BF4685" w:rsidRPr="00BF4685"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  <w:t xml:space="preserve"> 20 mg filmtabletta</w:t>
      </w:r>
    </w:p>
    <w:p w14:paraId="075D7D87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14:ligatures w14:val="none"/>
        </w:rPr>
        <w:t>Világos rózsaszín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vagy rózsaszín,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14:ligatures w14:val="none"/>
        </w:rPr>
        <w:t xml:space="preserve"> mindkét oldalán domború, lekerekített végű, középen elvékonyodó, mindkét oldalán bemetszéssel ellátott filmtabletta, amelynek hosszúsága kb. 13 mm, magassága 4 mm.</w:t>
      </w:r>
    </w:p>
    <w:p w14:paraId="28A54AA2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682CF13B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F4685">
        <w:rPr>
          <w:rFonts w:ascii="Times New Roman" w:eastAsia="Times New Roman" w:hAnsi="Times New Roman" w:cs="Times New Roman"/>
          <w:kern w:val="0"/>
          <w14:ligatures w14:val="none"/>
        </w:rPr>
        <w:t>A tabletta egyenlő adagokra osztható.</w:t>
      </w:r>
    </w:p>
    <w:p w14:paraId="1F2F501C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7520F652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0C9691D1" w14:textId="77777777" w:rsidR="00BF4685" w:rsidRPr="00BF4685" w:rsidRDefault="00BF4685" w:rsidP="00BF4685">
      <w:pPr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>4.</w:t>
      </w:r>
      <w:r w:rsidRPr="00BF4685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ab/>
        <w:t>KLINIKAI JELLEMZŐK</w:t>
      </w:r>
    </w:p>
    <w:p w14:paraId="0764B34E" w14:textId="77777777" w:rsidR="00BF4685" w:rsidRPr="00BF4685" w:rsidRDefault="00BF4685" w:rsidP="00BF4685">
      <w:pPr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</w:p>
    <w:p w14:paraId="3D3F698A" w14:textId="77777777" w:rsidR="00BF4685" w:rsidRPr="00BF4685" w:rsidRDefault="00BF4685" w:rsidP="00BF4685">
      <w:pPr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>4.1</w:t>
      </w: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ab/>
        <w:t>Terápiás javallatok</w:t>
      </w:r>
    </w:p>
    <w:p w14:paraId="44C0A16F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2CFDF20C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F4685">
        <w:rPr>
          <w:rFonts w:ascii="Times New Roman" w:eastAsia="Times New Roman" w:hAnsi="Times New Roman" w:cs="Times New Roman"/>
          <w:kern w:val="0"/>
          <w14:ligatures w14:val="none"/>
        </w:rPr>
        <w:t>Közepesen súlyos, illetve súlyos Alzheimer-betegségben szenvedő felnőttek kezelése.</w:t>
      </w:r>
    </w:p>
    <w:p w14:paraId="253B7E38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665E53C" w14:textId="77777777" w:rsidR="00BF4685" w:rsidRPr="00BF4685" w:rsidRDefault="00BF4685" w:rsidP="00BF4685">
      <w:pPr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>4.2</w:t>
      </w: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ab/>
        <w:t>Adagolás és alkalmazás</w:t>
      </w:r>
    </w:p>
    <w:p w14:paraId="3E182628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3F7CB402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 kezelést csak az Alzheimer típusú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demencia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r w:rsidRPr="00305A4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diagnózisában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és kezelésében tapasztalattal rendelkező orvos </w:t>
      </w:r>
      <w:r w:rsidRPr="00305A4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rendelheti el, illetve folytathatja.</w:t>
      </w:r>
    </w:p>
    <w:p w14:paraId="2E1284A6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17779891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  <w:t>Adagolás</w:t>
      </w:r>
    </w:p>
    <w:p w14:paraId="6224B85B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35C1786A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 kezelés csak akkor kezdhető el, ha biztosított a beteg gyógyszerszedését rendszeresen ellenőrző személy. A diagnózist az érvényben </w:t>
      </w:r>
      <w:r w:rsidRPr="00305A4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lévő irányelvek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szerint kell felállítani.</w:t>
      </w:r>
    </w:p>
    <w:p w14:paraId="5A354FED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tolerálhatóságát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és adagolását rendszeresen felül kell vizsgálni, lehetőleg a kezelés megkezdését követő három hónapon belül. Ezt követően 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terápiás előnyét és a beteg kezeléssel szembeni toleranciáját az érvényben lévő klinikai irányelvek szerint rendszeresen felül kell vizsgálni. A fenntartó kezelés mindaddig folytatható, ameddig 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-kezelés terápiás előnyöket </w:t>
      </w:r>
      <w:proofErr w:type="gram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biztosít</w:t>
      </w:r>
      <w:proofErr w:type="gram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és a beteg tolerálja azt. A kezelés abbahagyása mérlegelendő, ha a terápiás hatás már nem bizonyított vagy a beteg nem tolerálja a kezelést.</w:t>
      </w:r>
    </w:p>
    <w:p w14:paraId="4A4813A2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</w:pPr>
    </w:p>
    <w:p w14:paraId="4A261434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  <w:lastRenderedPageBreak/>
        <w:t>Felnőttek</w:t>
      </w:r>
    </w:p>
    <w:p w14:paraId="31E1ED60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i/>
          <w:iCs/>
          <w:snapToGrid w:val="0"/>
          <w:kern w:val="0"/>
          <w:szCs w:val="20"/>
          <w:u w:val="single"/>
          <w:lang w:eastAsia="zh-CN"/>
          <w14:ligatures w14:val="none"/>
        </w:rPr>
      </w:pPr>
      <w:r w:rsidRPr="00305A47">
        <w:rPr>
          <w:rFonts w:ascii="Times New Roman" w:eastAsia="SimSun" w:hAnsi="Times New Roman" w:cs="Times New Roman"/>
          <w:i/>
          <w:iCs/>
          <w:snapToGrid w:val="0"/>
          <w:kern w:val="0"/>
          <w:szCs w:val="20"/>
          <w:u w:val="single"/>
          <w:lang w:eastAsia="zh-CN"/>
          <w14:ligatures w14:val="none"/>
        </w:rPr>
        <w:t>Dózistitrálás</w:t>
      </w:r>
    </w:p>
    <w:p w14:paraId="435C5796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 maximális napi dózis 20 mg. A nemkívánatos hatások kockázatának csökkentése érdekében a fenntartó dózist a terápia első 3 hete folyamán heti 5 mg-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os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dózisnöveléssel kell beállítani az alábbiak szerint:</w:t>
      </w:r>
    </w:p>
    <w:p w14:paraId="4898FBEB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30054BD3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i/>
          <w:iCs/>
          <w:snapToGrid w:val="0"/>
          <w:kern w:val="0"/>
          <w:szCs w:val="20"/>
          <w:u w:val="single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i/>
          <w:iCs/>
          <w:snapToGrid w:val="0"/>
          <w:kern w:val="0"/>
          <w:szCs w:val="20"/>
          <w:u w:val="single"/>
          <w:lang w:eastAsia="zh-CN"/>
          <w14:ligatures w14:val="none"/>
        </w:rPr>
        <w:t>1. hét (1–7. nap)</w:t>
      </w:r>
    </w:p>
    <w:p w14:paraId="563AB53E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Naponta egy 10 mg-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os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filmtabletta felét (5 mg) kell bevenni, 7 napon keresztül.</w:t>
      </w:r>
    </w:p>
    <w:p w14:paraId="2547F254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54283C15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i/>
          <w:iCs/>
          <w:snapToGrid w:val="0"/>
          <w:kern w:val="0"/>
          <w:szCs w:val="20"/>
          <w:u w:val="single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i/>
          <w:iCs/>
          <w:snapToGrid w:val="0"/>
          <w:kern w:val="0"/>
          <w:szCs w:val="20"/>
          <w:u w:val="single"/>
          <w:lang w:eastAsia="zh-CN"/>
          <w14:ligatures w14:val="none"/>
        </w:rPr>
        <w:t>2. hét (8–14. nap)</w:t>
      </w:r>
    </w:p>
    <w:p w14:paraId="2695DAFB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Naponta egy 10 mg-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os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filmtablettát (10 mg) kell bevenni, 7 napon keresztül.</w:t>
      </w:r>
    </w:p>
    <w:p w14:paraId="5DFE917E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0A208577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i/>
          <w:iCs/>
          <w:snapToGrid w:val="0"/>
          <w:kern w:val="0"/>
          <w:szCs w:val="20"/>
          <w:u w:val="single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i/>
          <w:iCs/>
          <w:snapToGrid w:val="0"/>
          <w:kern w:val="0"/>
          <w:szCs w:val="20"/>
          <w:u w:val="single"/>
          <w:lang w:eastAsia="zh-CN"/>
          <w14:ligatures w14:val="none"/>
        </w:rPr>
        <w:t>3. hét (15–21. nap)</w:t>
      </w:r>
    </w:p>
    <w:p w14:paraId="1CACCEEB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Naponta egyszer másfél 10 mg-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os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filmtablettát (15 mg) kell bevenni, 7 napon keresztül.</w:t>
      </w:r>
    </w:p>
    <w:p w14:paraId="2C8AD90D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65B58CBB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i/>
          <w:iCs/>
          <w:snapToGrid w:val="0"/>
          <w:kern w:val="0"/>
          <w:szCs w:val="20"/>
          <w:u w:val="single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i/>
          <w:iCs/>
          <w:snapToGrid w:val="0"/>
          <w:kern w:val="0"/>
          <w:szCs w:val="20"/>
          <w:u w:val="single"/>
          <w:lang w:eastAsia="zh-CN"/>
          <w14:ligatures w14:val="none"/>
        </w:rPr>
        <w:t>A 4. héttől kezdődően</w:t>
      </w:r>
    </w:p>
    <w:p w14:paraId="00E4C6F1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Naponta két 10 mg-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os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filmtablettát (20 mg) </w:t>
      </w:r>
      <w:r w:rsidRPr="00305A4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vagy egy 20 mg-</w:t>
      </w:r>
      <w:proofErr w:type="spellStart"/>
      <w:r w:rsidRPr="00305A4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os</w:t>
      </w:r>
      <w:proofErr w:type="spellEnd"/>
      <w:r w:rsidRPr="00305A4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filmtablettát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kell bevenni.</w:t>
      </w:r>
    </w:p>
    <w:p w14:paraId="63B0B955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0DC2CB0C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i/>
          <w:iCs/>
          <w:snapToGrid w:val="0"/>
          <w:kern w:val="0"/>
          <w:szCs w:val="20"/>
          <w:u w:val="single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i/>
          <w:iCs/>
          <w:snapToGrid w:val="0"/>
          <w:kern w:val="0"/>
          <w:szCs w:val="20"/>
          <w:u w:val="single"/>
          <w:lang w:eastAsia="zh-CN"/>
          <w14:ligatures w14:val="none"/>
        </w:rPr>
        <w:t>Fenntartó dózis</w:t>
      </w:r>
    </w:p>
    <w:p w14:paraId="04F45026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Az ajánlott fenntartó dózis 20 mg naponta.</w:t>
      </w:r>
    </w:p>
    <w:p w14:paraId="2BB36B8B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1D316DA5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  <w:t>Idősek</w:t>
      </w:r>
    </w:p>
    <w:p w14:paraId="0C48049F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 klinikai vizsgálatok alapján a 65 évesnél idősebb betegek kezeléséhez a fent leírtak szerint beállított napi 20 mg-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os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dózis (két 10 mg-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os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vagy </w:t>
      </w:r>
      <w:r w:rsidRPr="00305A4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egy 20 mg-</w:t>
      </w:r>
      <w:proofErr w:type="spellStart"/>
      <w:r w:rsidRPr="00305A4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os</w:t>
      </w:r>
      <w:proofErr w:type="spellEnd"/>
      <w:r w:rsidRPr="00305A4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filmtabletta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naponta egyszer) ajánlott.</w:t>
      </w:r>
    </w:p>
    <w:p w14:paraId="41E60BA6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</w:p>
    <w:p w14:paraId="3159A883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r w:rsidRPr="00BF4685">
        <w:rPr>
          <w:rFonts w:ascii="Times New Roman" w:eastAsia="SimSun" w:hAnsi="Times New Roman" w:cs="Times New Roman"/>
          <w:i/>
          <w:kern w:val="0"/>
          <w:szCs w:val="20"/>
          <w14:ligatures w14:val="none"/>
        </w:rPr>
        <w:t>Vesekárosodás</w:t>
      </w:r>
    </w:p>
    <w:p w14:paraId="57A26ED3" w14:textId="251FF82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Enyhe fokú vesekárosodásban szenvedő betegek esetében (kreatinin-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clearance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50–80 ml/perc) nincs szükség dózismódosításra. Közepes</w:t>
      </w:r>
      <w:r w:rsidR="005E02E0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</w:t>
      </w:r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fokú vesekárosodásban szenvedő betegek esetén (kreatinin-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clearance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30–49 ml/perc) a napi dózis 10 mg. Amennyiben a kezelést a beteg legalább 7 napig jól tolerálja, úgy a dózis a standard titrálási rend szerint napi 20 mg-ig emelhető. Súlyos fokú vesekárosodásban szenvedő betegek esetén (kreatinin-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clearance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5–29 ml/perc) a napi dózis 10 mg.</w:t>
      </w:r>
    </w:p>
    <w:p w14:paraId="0D826833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</w:p>
    <w:p w14:paraId="5EE4344F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i/>
          <w:kern w:val="0"/>
          <w:szCs w:val="20"/>
          <w14:ligatures w14:val="none"/>
        </w:rPr>
      </w:pPr>
      <w:r w:rsidRPr="00BF4685">
        <w:rPr>
          <w:rFonts w:ascii="Times New Roman" w:eastAsia="SimSun" w:hAnsi="Times New Roman" w:cs="Times New Roman"/>
          <w:i/>
          <w:kern w:val="0"/>
          <w:szCs w:val="20"/>
          <w14:ligatures w14:val="none"/>
        </w:rPr>
        <w:t>Májkárosodás</w:t>
      </w:r>
    </w:p>
    <w:p w14:paraId="73B794FC" w14:textId="567FA9F0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Enyhe vagy közepes fokú májkárosodásban szenvedő betegek esetében (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Child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–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Plugh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 A és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Child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–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Pugh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 B) nincs szükség dózismódosításra. A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súlyos fokú májkárosodásban történő alkalmazásáról nem állnak rendelkezésre adatok. Súlyos fokú májkárosodásban szenvedő betegeknél az </w:t>
      </w:r>
      <w:proofErr w:type="spellStart"/>
      <w:r w:rsidR="001675DC">
        <w:rPr>
          <w:rFonts w:ascii="Times New Roman" w:eastAsia="SimSun" w:hAnsi="Times New Roman" w:cs="Times New Roman"/>
          <w:kern w:val="0"/>
          <w:szCs w:val="20"/>
          <w14:ligatures w14:val="none"/>
        </w:rPr>
        <w:t>Alsemora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alkalmazása nem ajánlott.</w:t>
      </w:r>
    </w:p>
    <w:p w14:paraId="64DB8307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</w:p>
    <w:p w14:paraId="543E8A92" w14:textId="77777777" w:rsidR="00BF4685" w:rsidRPr="00BF4685" w:rsidRDefault="00BF4685" w:rsidP="00BF4685">
      <w:pPr>
        <w:suppressLineNumbers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Cs/>
          <w:iCs/>
          <w:kern w:val="0"/>
          <w14:ligatures w14:val="none"/>
        </w:rPr>
      </w:pPr>
      <w:r w:rsidRPr="00BF4685">
        <w:rPr>
          <w:rFonts w:ascii="Times New Roman" w:eastAsia="Times New Roman" w:hAnsi="Times New Roman" w:cs="Times New Roman"/>
          <w:bCs/>
          <w:i/>
          <w:iCs/>
          <w:kern w:val="0"/>
          <w14:ligatures w14:val="none"/>
        </w:rPr>
        <w:t xml:space="preserve">Gyermekek </w:t>
      </w:r>
      <w:r w:rsidRPr="00305A47">
        <w:rPr>
          <w:rFonts w:ascii="Times New Roman" w:eastAsia="Times New Roman" w:hAnsi="Times New Roman" w:cs="Times New Roman"/>
          <w:bCs/>
          <w:i/>
          <w:iCs/>
          <w:kern w:val="0"/>
          <w14:ligatures w14:val="none"/>
        </w:rPr>
        <w:t>és serdülők</w:t>
      </w:r>
    </w:p>
    <w:p w14:paraId="7E56D382" w14:textId="77777777" w:rsidR="00BF4685" w:rsidRPr="00BF4685" w:rsidRDefault="00BF4685" w:rsidP="00BF4685">
      <w:pPr>
        <w:suppressLineNumbers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Cs/>
          <w:iCs/>
          <w:kern w:val="0"/>
          <w14:ligatures w14:val="none"/>
        </w:rPr>
      </w:pPr>
      <w:r w:rsidRPr="00BF4685">
        <w:rPr>
          <w:rFonts w:ascii="Times New Roman" w:eastAsia="Times New Roman" w:hAnsi="Times New Roman" w:cs="Times New Roman"/>
          <w:bCs/>
          <w:iCs/>
          <w:kern w:val="0"/>
          <w14:ligatures w14:val="none"/>
        </w:rPr>
        <w:t>Nincsenek rendelkezésre álló adatok.</w:t>
      </w:r>
    </w:p>
    <w:p w14:paraId="63FD2593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</w:p>
    <w:p w14:paraId="01976248" w14:textId="7C12993D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</w:pPr>
      <w:r w:rsidRPr="00BF4685"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  <w:t xml:space="preserve">Az </w:t>
      </w:r>
      <w:r w:rsidR="00305A47"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  <w:t>alkalmazás</w:t>
      </w:r>
      <w:r w:rsidR="00305A47" w:rsidRPr="00BF4685"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  <w:t xml:space="preserve"> </w:t>
      </w:r>
      <w:r w:rsidRPr="00BF4685"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  <w:t>módja</w:t>
      </w:r>
    </w:p>
    <w:p w14:paraId="27A20A85" w14:textId="6D4CB12D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Az </w:t>
      </w:r>
      <w:proofErr w:type="spellStart"/>
      <w:r w:rsidR="001675DC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Alsemora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filmtablettát szájon át, naponta egyszer, minden nap ugyanabban az időben kell bevenni. A filmtabletta étkezés közben és étkezéstől függetlenül is bevehető.</w:t>
      </w:r>
    </w:p>
    <w:p w14:paraId="0E7A6A29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09475DB5" w14:textId="77777777" w:rsidR="00BF4685" w:rsidRPr="00BF4685" w:rsidRDefault="00BF4685" w:rsidP="00BF4685">
      <w:pPr>
        <w:keepNext/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>4.3</w:t>
      </w: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ab/>
        <w:t>Ellenjavallatok</w:t>
      </w:r>
    </w:p>
    <w:p w14:paraId="11E2AA6F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</w:p>
    <w:p w14:paraId="3FB10C99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A készítmény hatóanyagával vagy a 6.1 pontban felsorolt bármely segédanyagával szembeni túlérzékenység.</w:t>
      </w:r>
    </w:p>
    <w:p w14:paraId="063D287C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</w:p>
    <w:p w14:paraId="7346BF36" w14:textId="77777777" w:rsidR="00BF4685" w:rsidRPr="00BF4685" w:rsidRDefault="00BF4685" w:rsidP="00BF4685">
      <w:pPr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>4.4</w:t>
      </w: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ab/>
        <w:t>Különleges figyelmeztetések és az alkalmazással kapcsolatos óvintézkedések</w:t>
      </w:r>
    </w:p>
    <w:p w14:paraId="7C227439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50D1A76A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Fokozott óvatosság javasolt epilepsziás és olyan betegeknél, akiknek az anamnézisében görcsrohamok vagy epilepsziára hajlamosító tényezők szerepelnek.</w:t>
      </w:r>
    </w:p>
    <w:p w14:paraId="16107F54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Az </w:t>
      </w:r>
      <w:r w:rsidRPr="00BF4685">
        <w:rPr>
          <w:rFonts w:ascii="Times New Roman" w:eastAsia="SimSun" w:hAnsi="Times New Roman" w:cs="Times New Roman"/>
          <w:iCs/>
          <w:snapToGrid w:val="0"/>
          <w:kern w:val="0"/>
          <w:szCs w:val="20"/>
          <w:lang w:eastAsia="zh-CN"/>
          <w14:ligatures w14:val="none"/>
        </w:rPr>
        <w:t>N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-metil-D-aszpartát (NMDA)-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antagonisták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– pl.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amantadin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,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ketamin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vagy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dextrometorfán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– egyidejű alkalmazását kerülni kell. Ezek a vegyületek 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memantinnal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megegyező receptorrendszerre hatnak, így (az elsődlegesen a központi idegrendszerrel kapcsolatos) mellékhatások gyakorisága és intenzitása fokozódhat (lásd még 4.5 pont).</w:t>
      </w:r>
    </w:p>
    <w:p w14:paraId="11F1699F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756DC3C3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Egyes tényezők emelhetik a vizelet pH-értékét (lásd 5.2 pont „Elimináció”), ami a beteg fokozott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monitorozását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teheti szükségessé. Ilyen faktor lehet például az étrend drasztikus megváltozása, pl. húst tartalmazó étrendről vegetáriánus étrendre való áttérés, vagy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alkalizáló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gyomorsavlekötők fokozott bevitele. Továbbá a vizelet pH-értékének emelkedését okozhatja 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renalis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tubularis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acidosis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(RTA) vagy a vizeletelvezető rendszer </w:t>
      </w:r>
      <w:r w:rsidRPr="00BF4685"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  <w:t>Proteus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baktériumok által okozott súlyos </w:t>
      </w:r>
      <w:r w:rsidRPr="00305A4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fertőzése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is.</w:t>
      </w:r>
    </w:p>
    <w:p w14:paraId="0EFC093A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75FAB36F" w14:textId="77777777" w:rsidR="00BF4685" w:rsidRPr="00BF4685" w:rsidRDefault="00BF4685" w:rsidP="00BF4685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 legtöbb klinikai vizsgálatból kizárták azokat a betegeket, akik a közelmúltban szívinfarktuson estek át, illetve nem kompenzált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pangásos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szívelégtelenségben (NYHA III-IV) vagy kezeletlen magas vérnyomásban szenvedtek. Ennek következtében az ilyen betegekre vonatkozóan csak korlátozott mennyiségű adat áll rendelkezésre és kezelésük szoros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monitorozást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igényel.</w:t>
      </w:r>
    </w:p>
    <w:p w14:paraId="2DC2A076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1E92A184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  <w:t>Nátrium</w:t>
      </w:r>
    </w:p>
    <w:p w14:paraId="7A4B05D6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 készítmény </w:t>
      </w:r>
      <w:proofErr w:type="gram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kevesebb</w:t>
      </w:r>
      <w:proofErr w:type="gram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mint 1 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mmol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(23 mg) nátriumot tartalmaz dózisonként, azaz gyakorlatilag „nátriummentes”.</w:t>
      </w:r>
    </w:p>
    <w:p w14:paraId="2B2BEE7C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4F68DBBE" w14:textId="77777777" w:rsidR="00BF4685" w:rsidRPr="00BF4685" w:rsidRDefault="00BF4685" w:rsidP="00BF4685">
      <w:pPr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>4.5</w:t>
      </w: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ab/>
        <w:t>Gyógyszerkölcsönhatások és egyéb interakciók</w:t>
      </w:r>
    </w:p>
    <w:p w14:paraId="04C2F9EB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</w:p>
    <w:p w14:paraId="46FA6371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farmakológiai hatására és hatásmechanizmusára való tekintettel az alábbi kölcsönhatások fordulhatnak elő:</w:t>
      </w:r>
    </w:p>
    <w:p w14:paraId="0EC5D34D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</w:p>
    <w:p w14:paraId="5647DE01" w14:textId="77777777" w:rsidR="00BF4685" w:rsidRPr="00BF4685" w:rsidRDefault="00BF4685" w:rsidP="00BF4685">
      <w:pPr>
        <w:numPr>
          <w:ilvl w:val="0"/>
          <w:numId w:val="1"/>
        </w:numPr>
        <w:spacing w:after="0" w:line="240" w:lineRule="auto"/>
        <w:ind w:left="426" w:hanging="426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A hatásmechanizmus alapján feltehető, hogy az L-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dopa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, a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dopaminerg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agonisták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és az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antikolinerg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gyógyszerek hatása felerősödhet az NMDA-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antagonisták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, pl. a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egyidejű alkalmazása esetén. A barbiturátok és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neuroleptikumok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hatása csökkenhet. A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izomrelaxánsokkal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,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dantrolénnel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vagy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baklofénnel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történő egyidejű alkalmazása befolyásolhatja ezek hatását és a dózis módosítására lehet szükség.</w:t>
      </w:r>
    </w:p>
    <w:p w14:paraId="1E1CAC93" w14:textId="77777777" w:rsidR="00BF4685" w:rsidRPr="00BF4685" w:rsidRDefault="00BF4685" w:rsidP="00BF4685">
      <w:pPr>
        <w:numPr>
          <w:ilvl w:val="0"/>
          <w:numId w:val="1"/>
        </w:numPr>
        <w:spacing w:after="0" w:line="240" w:lineRule="auto"/>
        <w:ind w:left="426" w:hanging="426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A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farmakotoxikus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pszichózis kockázata miatt a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és az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amantadin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egyidejű alkalmazása kerülendő. Mindkét vegyület kémiailag rokon az NMDA-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antagonistákkal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. Ugyanez igaz lehet a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ketamin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és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dextrometorfán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esetében is (lásd </w:t>
      </w:r>
      <w:r w:rsidRPr="00305A47">
        <w:rPr>
          <w:rFonts w:ascii="Times New Roman" w:eastAsia="SimSun" w:hAnsi="Times New Roman" w:cs="Times New Roman"/>
          <w:kern w:val="0"/>
          <w:szCs w:val="20"/>
          <w14:ligatures w14:val="none"/>
        </w:rPr>
        <w:t>még</w:t>
      </w:r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4.4 pont). Egy olyan esetet is közöltek, amely a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és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fenitoin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kombinált alkalmazásának kockázatára utal.</w:t>
      </w:r>
    </w:p>
    <w:p w14:paraId="4D153F92" w14:textId="77777777" w:rsidR="00BF4685" w:rsidRPr="00BF4685" w:rsidRDefault="00BF4685" w:rsidP="00BF4685">
      <w:pPr>
        <w:numPr>
          <w:ilvl w:val="0"/>
          <w:numId w:val="1"/>
        </w:numPr>
        <w:spacing w:after="0" w:line="240" w:lineRule="auto"/>
        <w:ind w:left="426" w:hanging="426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Más hatóanyagok, pl.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cimetidin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,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ranitidin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,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prokainamid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,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kinidin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, kinin és nikotin, amelyek a vesében azonos kationos transzportrendszert vesznek igénybe, mint az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amantadin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, szintén kölcsönhatásba léphetnek a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memantinnal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, ami megnövekedett plazmaszintek kockázatát eredményezheti.</w:t>
      </w:r>
    </w:p>
    <w:p w14:paraId="43349869" w14:textId="77777777" w:rsidR="00BF4685" w:rsidRPr="00BF4685" w:rsidRDefault="00BF4685" w:rsidP="00BF4685">
      <w:pPr>
        <w:numPr>
          <w:ilvl w:val="0"/>
          <w:numId w:val="1"/>
        </w:numPr>
        <w:spacing w:after="0" w:line="240" w:lineRule="auto"/>
        <w:ind w:left="426" w:hanging="426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A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hidroklorotiaziddal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(HCT), vagy bármely HCT-t tartalmazó készítménnyel való egyidejű alkalmazása esetén a HCT szérumszintje csökkenhet.</w:t>
      </w:r>
    </w:p>
    <w:p w14:paraId="53C7BBDA" w14:textId="7CB0DEBC" w:rsidR="00BF4685" w:rsidRPr="00BF4685" w:rsidRDefault="00BF4685" w:rsidP="00BF4685">
      <w:pPr>
        <w:numPr>
          <w:ilvl w:val="0"/>
          <w:numId w:val="1"/>
        </w:numPr>
        <w:spacing w:after="0" w:line="240" w:lineRule="auto"/>
        <w:ind w:left="426" w:hanging="426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A forgalomba hozatalt követően az egyidejűleg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warfarinnal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kezelt betegeknél egyedi esetekben a </w:t>
      </w:r>
      <w:r w:rsidR="00305A47">
        <w:rPr>
          <w:rFonts w:ascii="Times New Roman" w:eastAsia="SimSun" w:hAnsi="Times New Roman" w:cs="Times New Roman"/>
          <w:kern w:val="0"/>
          <w:szCs w:val="20"/>
          <w14:ligatures w14:val="none"/>
        </w:rPr>
        <w:t>n</w:t>
      </w:r>
      <w:r w:rsidRPr="00305A47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emzetközi </w:t>
      </w:r>
      <w:r w:rsidR="00305A47">
        <w:rPr>
          <w:rFonts w:ascii="Times New Roman" w:eastAsia="SimSun" w:hAnsi="Times New Roman" w:cs="Times New Roman"/>
          <w:kern w:val="0"/>
          <w:szCs w:val="20"/>
          <w14:ligatures w14:val="none"/>
        </w:rPr>
        <w:t>n</w:t>
      </w:r>
      <w:r w:rsidRPr="00305A47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ormalizált </w:t>
      </w:r>
      <w:r w:rsidR="00305A47">
        <w:rPr>
          <w:rFonts w:ascii="Times New Roman" w:eastAsia="SimSun" w:hAnsi="Times New Roman" w:cs="Times New Roman"/>
          <w:kern w:val="0"/>
          <w:szCs w:val="20"/>
          <w14:ligatures w14:val="none"/>
        </w:rPr>
        <w:t>arány</w:t>
      </w:r>
      <w:r w:rsidR="00305A47" w:rsidRPr="00305A47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</w:t>
      </w:r>
      <w:r w:rsidRPr="00305A47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(International </w:t>
      </w:r>
      <w:proofErr w:type="spellStart"/>
      <w:r w:rsidRPr="00305A47">
        <w:rPr>
          <w:rFonts w:ascii="Times New Roman" w:eastAsia="SimSun" w:hAnsi="Times New Roman" w:cs="Times New Roman"/>
          <w:kern w:val="0"/>
          <w:szCs w:val="20"/>
          <w14:ligatures w14:val="none"/>
        </w:rPr>
        <w:t>Normalized</w:t>
      </w:r>
      <w:proofErr w:type="spellEnd"/>
      <w:r w:rsidRPr="00305A47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Ratio, INR</w:t>
      </w:r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) emelkedéséről számoltak be. Noha erre vonatkozóan oki összefüggést nem állapítottak meg, az egyidejűleg orális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antikoagulánssal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kezelt betegeknél a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protrombinidő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vagy az INR szoros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monitorozása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javasolt.</w:t>
      </w:r>
    </w:p>
    <w:p w14:paraId="307E6D84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</w:p>
    <w:p w14:paraId="7D3C3A30" w14:textId="77777777" w:rsidR="00BF4685" w:rsidRPr="00BF4685" w:rsidRDefault="00BF4685" w:rsidP="00BF4685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Fiatal egészséges </w:t>
      </w:r>
      <w:r w:rsidRPr="00305A4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önkénteseknél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a napi egyszeri dózis alkalmazásával végzett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farmakokinetikai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vizsgálatok során 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és 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gliburid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/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metformin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vagy 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donepezil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egyidejű alkalmazásakor nem figyeltek </w:t>
      </w:r>
      <w:r w:rsidRPr="00305A4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meg a hatóanyagok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közötti kölcsönhatást.</w:t>
      </w:r>
    </w:p>
    <w:p w14:paraId="0A915075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</w:p>
    <w:p w14:paraId="03C8464A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Egy egészséges fiatal </w:t>
      </w:r>
      <w:r w:rsidRPr="00305A47">
        <w:rPr>
          <w:rFonts w:ascii="Times New Roman" w:eastAsia="SimSun" w:hAnsi="Times New Roman" w:cs="Times New Roman"/>
          <w:kern w:val="0"/>
          <w:szCs w:val="20"/>
          <w14:ligatures w14:val="none"/>
        </w:rPr>
        <w:t>önkéntesekkel</w:t>
      </w:r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végzett klinikai vizsgálatban a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nem befolyásolta lényegesen a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galantamin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farmakokinetikáját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.</w:t>
      </w:r>
    </w:p>
    <w:p w14:paraId="353D37AF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</w:p>
    <w:p w14:paraId="088E1443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A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</w:t>
      </w:r>
      <w:r w:rsidRPr="00BF4685">
        <w:rPr>
          <w:rFonts w:ascii="Times New Roman" w:eastAsia="SimSun" w:hAnsi="Times New Roman" w:cs="Times New Roman"/>
          <w:i/>
          <w:iCs/>
          <w:kern w:val="0"/>
          <w:szCs w:val="20"/>
          <w14:ligatures w14:val="none"/>
        </w:rPr>
        <w:t>in vitro</w:t>
      </w:r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nem gátolta a CYP 1A2, 2A6, 2C9, 2D6, 2E1, 3A enzimeket, a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flavin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-tartalmú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monooxigenázt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, az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epoxid-hidrolázt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vagy a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szulfatálást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.</w:t>
      </w:r>
    </w:p>
    <w:p w14:paraId="4DAC0017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</w:p>
    <w:p w14:paraId="5A8C6392" w14:textId="77777777" w:rsidR="00BF4685" w:rsidRPr="00BF4685" w:rsidRDefault="00BF4685" w:rsidP="00BF4685">
      <w:pPr>
        <w:keepNext/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>4.6</w:t>
      </w: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ab/>
        <w:t>Termékenység, terhesség és szoptatás</w:t>
      </w:r>
    </w:p>
    <w:p w14:paraId="56D4C37C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3B5C5805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i/>
          <w:iCs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i/>
          <w:iCs/>
          <w:snapToGrid w:val="0"/>
          <w:kern w:val="0"/>
          <w:szCs w:val="20"/>
          <w:lang w:eastAsia="zh-CN"/>
          <w14:ligatures w14:val="none"/>
        </w:rPr>
        <w:t>Terhesség</w:t>
      </w:r>
    </w:p>
    <w:p w14:paraId="60A987D7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terhes nőknél történő alkalmazása tekintetében klinikai adatok nem állnak rendelkezésre vagy csak korlátozottan állnak rendelkezésre. Az állatkísérletek arra utalnak, hogy az emberi dózisnak megfelelő, vagy enyhén nagyobb dózisok alkalmazásakor 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potenciálisan lassíthatja a méhen belüli fejlődést (lásd 5.3 pont). Embernél a lehetséges kockázat nem ismert.</w:t>
      </w:r>
    </w:p>
    <w:p w14:paraId="62CD1CA5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terhesség alatt nem alkalmazható, kivéve, ha egyértelműen szükséges.</w:t>
      </w:r>
    </w:p>
    <w:p w14:paraId="71D0C21A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70B34951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i/>
          <w:iCs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i/>
          <w:iCs/>
          <w:snapToGrid w:val="0"/>
          <w:kern w:val="0"/>
          <w:szCs w:val="20"/>
          <w:lang w:eastAsia="zh-CN"/>
          <w14:ligatures w14:val="none"/>
        </w:rPr>
        <w:t>Szoptatás</w:t>
      </w:r>
    </w:p>
    <w:p w14:paraId="29109B98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Nem ismert, hogy 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kiválasztódik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-e a humán anyatejbe, de a vegyület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lipofil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tulajdonságát figyelembe véve valószínű, hogy igen.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Memantint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szedő nők esetén a szoptatás </w:t>
      </w:r>
      <w:r w:rsidRPr="00305A4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nem javasolt.</w:t>
      </w:r>
    </w:p>
    <w:p w14:paraId="7D2DD0BC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61ADB72D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i/>
          <w:iCs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i/>
          <w:iCs/>
          <w:snapToGrid w:val="0"/>
          <w:kern w:val="0"/>
          <w:szCs w:val="20"/>
          <w:lang w:eastAsia="zh-CN"/>
          <w14:ligatures w14:val="none"/>
        </w:rPr>
        <w:t>Termékenység</w:t>
      </w:r>
    </w:p>
    <w:p w14:paraId="6059355A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alkalmazásakor nem figyeltek meg a férfi vagy a női termékenységre gyakorolt mellékhatásokat.</w:t>
      </w:r>
    </w:p>
    <w:p w14:paraId="5960AF23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6D2BABB4" w14:textId="77777777" w:rsidR="00BF4685" w:rsidRPr="00BF4685" w:rsidRDefault="00BF4685" w:rsidP="00BF4685">
      <w:pPr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>4.7</w:t>
      </w: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ab/>
        <w:t>A készítmény hatásai a gépjárművezetéshez és a gépek kezeléséhez szükséges képességekre</w:t>
      </w:r>
    </w:p>
    <w:p w14:paraId="3F66F800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6C44E925" w14:textId="5AE23A5F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A közepesen súlyos és súlyos Alzheimer-betegség rendszerint gátolja a gépjárművezetési és a gépkezelési képességet. Továbbá, az </w:t>
      </w:r>
      <w:proofErr w:type="spellStart"/>
      <w:r w:rsidR="001675DC">
        <w:rPr>
          <w:rFonts w:ascii="Times New Roman" w:eastAsia="SimSun" w:hAnsi="Times New Roman" w:cs="Times New Roman"/>
          <w:kern w:val="0"/>
          <w:szCs w:val="20"/>
          <w14:ligatures w14:val="none"/>
        </w:rPr>
        <w:t>Alsemora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kismértékben vagy közepes mértékben befolyásolja a gépjárművezetéshez és gépek kezeléséhez szükséges képességeket, ezért az ambuláns betegeket fokozott óvatosságra kell inteni.</w:t>
      </w:r>
    </w:p>
    <w:p w14:paraId="2AB125C8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</w:p>
    <w:p w14:paraId="69032E83" w14:textId="77777777" w:rsidR="00BF4685" w:rsidRPr="00BF4685" w:rsidRDefault="00BF4685" w:rsidP="00BF4685">
      <w:pPr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>4.8</w:t>
      </w: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ab/>
        <w:t>Nemkívánatos hatások, mellékhatások</w:t>
      </w:r>
    </w:p>
    <w:p w14:paraId="3A1C5505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6BF67D33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  <w:t>A biztonságossági profil összefoglalása</w:t>
      </w:r>
    </w:p>
    <w:p w14:paraId="6A2E0C4E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Az enyhétől a súlyos stádiumig terjedő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demenciában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szenvedő betegek bevonásával végzett klinikai vizsgálatokban, amelyekben összesen 1784 beteget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memantinnal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, 1595 beteg pedig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placebóval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kezeltek, 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és a placebo alkalmazásakor előforduló mellékhatások gyakorisága összességében nem különbözött. A mellékhatások általában enyhék vagy közepesen súlyosak voltak. </w:t>
      </w:r>
      <w:proofErr w:type="gram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 leggyakoribb olyan mellékhatások, amelyek 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memantinnal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kezelt csoportban gyakrabban fordultak elő, mint 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placebóval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kezelt csoportban, a szédülés (6,3% vs. 5,6%), a fejfájás (5,2% vs. 3,9%), a székrekedés (4,6% vs. 2,6%), az aluszékonyság (3,4% vs. 2,2%) és 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hipertenzió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(4,1% vs. 2,8%) voltak.</w:t>
      </w:r>
      <w:proofErr w:type="gramEnd"/>
    </w:p>
    <w:p w14:paraId="039AF311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6A6B87C6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  <w:t>A mellékhatások táblázatos felsorolása</w:t>
      </w:r>
    </w:p>
    <w:p w14:paraId="3A44A467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Az alábbi táblázat 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memantinnal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végzett klinikai vizsgálatok során, és a készítmény </w:t>
      </w:r>
      <w:r w:rsidRPr="00305A4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piaci bevezetése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óta előfordult mellékhatásokat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összegzi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.</w:t>
      </w:r>
    </w:p>
    <w:p w14:paraId="7663C55A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6C9707E7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proofErr w:type="gram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 mellékhatások a szervrendszeri kategóriák alapján, a következők szerint kerülnek osztályozásra: nagyon gyakori (≥ 1/10), gyakori (≥ 1/100 – &lt; 1/10), nem gyakori (≥ 1/1000 – &lt; 1/100), ritka (≥ 1/10 000 – &lt; 1/1000), nagyon ritka (&lt; 1/10 000), nem ismert (a gyakoriság a rendelkezésre álló adatokból nem állapítható meg).</w:t>
      </w:r>
      <w:proofErr w:type="gram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Az egyes gyakorisági kategóriákon belül a mellékhatások csökkenő súlyosság szerint kerülnek megadásra.</w:t>
      </w:r>
    </w:p>
    <w:p w14:paraId="79170CA5" w14:textId="77777777" w:rsidR="00BF4685" w:rsidRPr="00BF4685" w:rsidRDefault="00BF4685" w:rsidP="00BF4685">
      <w:pPr>
        <w:keepNext/>
        <w:spacing w:after="0" w:line="240" w:lineRule="auto"/>
        <w:ind w:left="1418" w:hanging="1418"/>
        <w:rPr>
          <w:rFonts w:ascii="Times New Roman" w:eastAsia="SimSun" w:hAnsi="Times New Roman" w:cs="Times New Roman"/>
          <w:b/>
          <w:bCs/>
          <w:snapToGrid w:val="0"/>
          <w:kern w:val="0"/>
          <w:szCs w:val="20"/>
          <w:lang w:eastAsia="zh-CN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64"/>
        <w:gridCol w:w="1824"/>
        <w:gridCol w:w="3373"/>
      </w:tblGrid>
      <w:tr w:rsidR="00BF4685" w:rsidRPr="00BF4685" w14:paraId="03FB63E3" w14:textId="77777777" w:rsidTr="00D25D27">
        <w:trPr>
          <w:tblHeader/>
        </w:trPr>
        <w:tc>
          <w:tcPr>
            <w:tcW w:w="3864" w:type="dxa"/>
          </w:tcPr>
          <w:p w14:paraId="044D0D28" w14:textId="77777777" w:rsidR="00BF4685" w:rsidRPr="00BF4685" w:rsidRDefault="00BF4685" w:rsidP="00BF4685">
            <w:pPr>
              <w:keepNext/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b/>
                <w:bCs/>
                <w:snapToGrid w:val="0"/>
                <w:kern w:val="0"/>
                <w:szCs w:val="20"/>
                <w:lang w:eastAsia="zh-CN"/>
                <w14:ligatures w14:val="none"/>
              </w:rPr>
              <w:t>Szervrendszeri kategória</w:t>
            </w:r>
          </w:p>
        </w:tc>
        <w:tc>
          <w:tcPr>
            <w:tcW w:w="1824" w:type="dxa"/>
          </w:tcPr>
          <w:p w14:paraId="1AFE6AB6" w14:textId="77777777" w:rsidR="00BF4685" w:rsidRPr="00BF4685" w:rsidRDefault="00BF4685" w:rsidP="00BF4685">
            <w:pPr>
              <w:keepNext/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b/>
                <w:bCs/>
                <w:snapToGrid w:val="0"/>
                <w:kern w:val="0"/>
                <w:szCs w:val="20"/>
                <w:lang w:eastAsia="zh-CN"/>
                <w14:ligatures w14:val="none"/>
              </w:rPr>
              <w:t>Gyakoriság</w:t>
            </w:r>
          </w:p>
        </w:tc>
        <w:tc>
          <w:tcPr>
            <w:tcW w:w="3373" w:type="dxa"/>
          </w:tcPr>
          <w:p w14:paraId="2D507DEB" w14:textId="77777777" w:rsidR="00BF4685" w:rsidRPr="00BF4685" w:rsidRDefault="00BF4685" w:rsidP="00BF4685">
            <w:pPr>
              <w:keepNext/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b/>
                <w:bCs/>
                <w:snapToGrid w:val="0"/>
                <w:kern w:val="0"/>
                <w:szCs w:val="20"/>
                <w:lang w:eastAsia="zh-CN"/>
                <w14:ligatures w14:val="none"/>
              </w:rPr>
              <w:t>Mellékhatás</w:t>
            </w:r>
          </w:p>
        </w:tc>
      </w:tr>
      <w:tr w:rsidR="00BF4685" w:rsidRPr="00BF4685" w14:paraId="49541AF9" w14:textId="77777777" w:rsidTr="00D25D27">
        <w:tc>
          <w:tcPr>
            <w:tcW w:w="3864" w:type="dxa"/>
          </w:tcPr>
          <w:p w14:paraId="5E33A1D4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Fertőző betegségek és parazitafertőzések</w:t>
            </w:r>
          </w:p>
        </w:tc>
        <w:tc>
          <w:tcPr>
            <w:tcW w:w="1824" w:type="dxa"/>
          </w:tcPr>
          <w:p w14:paraId="7DD41BDA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nem gyakori</w:t>
            </w:r>
          </w:p>
        </w:tc>
        <w:tc>
          <w:tcPr>
            <w:tcW w:w="3373" w:type="dxa"/>
          </w:tcPr>
          <w:p w14:paraId="4D3D723B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gombás fertőzések</w:t>
            </w:r>
          </w:p>
        </w:tc>
      </w:tr>
      <w:tr w:rsidR="00BF4685" w:rsidRPr="00BF4685" w14:paraId="56345F5F" w14:textId="77777777" w:rsidTr="00D25D27">
        <w:tc>
          <w:tcPr>
            <w:tcW w:w="3864" w:type="dxa"/>
          </w:tcPr>
          <w:p w14:paraId="3A9B9E9F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Immunrendszeri betegségek és tünetek</w:t>
            </w:r>
          </w:p>
        </w:tc>
        <w:tc>
          <w:tcPr>
            <w:tcW w:w="1824" w:type="dxa"/>
          </w:tcPr>
          <w:p w14:paraId="7F20FD45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gyakori</w:t>
            </w:r>
          </w:p>
        </w:tc>
        <w:tc>
          <w:tcPr>
            <w:tcW w:w="3373" w:type="dxa"/>
          </w:tcPr>
          <w:p w14:paraId="2FA13328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gyógyszer-túlérzékenység</w:t>
            </w:r>
          </w:p>
        </w:tc>
      </w:tr>
      <w:tr w:rsidR="00BF4685" w:rsidRPr="00BF4685" w14:paraId="16D56442" w14:textId="77777777" w:rsidTr="00D25D27">
        <w:tc>
          <w:tcPr>
            <w:tcW w:w="3864" w:type="dxa"/>
            <w:vMerge w:val="restart"/>
          </w:tcPr>
          <w:p w14:paraId="323B912F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Pszichiátriai kórképek</w:t>
            </w:r>
            <w:r w:rsidRPr="00BF4685">
              <w:rPr>
                <w:rFonts w:ascii="Times New Roman" w:eastAsia="SimSun" w:hAnsi="Times New Roman" w:cs="Times New Roman"/>
                <w:snapToGrid w:val="0"/>
                <w:color w:val="000000"/>
                <w:kern w:val="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1824" w:type="dxa"/>
          </w:tcPr>
          <w:p w14:paraId="323D9177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gyakori</w:t>
            </w:r>
          </w:p>
        </w:tc>
        <w:tc>
          <w:tcPr>
            <w:tcW w:w="3373" w:type="dxa"/>
          </w:tcPr>
          <w:p w14:paraId="7F025074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aluszékonyság</w:t>
            </w:r>
          </w:p>
        </w:tc>
      </w:tr>
      <w:tr w:rsidR="00BF4685" w:rsidRPr="00BF4685" w14:paraId="01C63761" w14:textId="77777777" w:rsidTr="00D25D27">
        <w:tc>
          <w:tcPr>
            <w:tcW w:w="3864" w:type="dxa"/>
            <w:vMerge/>
          </w:tcPr>
          <w:p w14:paraId="13740408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</w:p>
        </w:tc>
        <w:tc>
          <w:tcPr>
            <w:tcW w:w="1824" w:type="dxa"/>
          </w:tcPr>
          <w:p w14:paraId="64CB6864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nem gyakori</w:t>
            </w:r>
          </w:p>
        </w:tc>
        <w:tc>
          <w:tcPr>
            <w:tcW w:w="3373" w:type="dxa"/>
          </w:tcPr>
          <w:p w14:paraId="6A70BB16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zavartság</w:t>
            </w:r>
          </w:p>
        </w:tc>
      </w:tr>
      <w:tr w:rsidR="00BF4685" w:rsidRPr="00BF4685" w14:paraId="35A350FF" w14:textId="77777777" w:rsidTr="00D25D27">
        <w:tc>
          <w:tcPr>
            <w:tcW w:w="3864" w:type="dxa"/>
            <w:vMerge/>
          </w:tcPr>
          <w:p w14:paraId="2C47256F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</w:p>
        </w:tc>
        <w:tc>
          <w:tcPr>
            <w:tcW w:w="1824" w:type="dxa"/>
          </w:tcPr>
          <w:p w14:paraId="4073D8B6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nem gyakori</w:t>
            </w:r>
          </w:p>
        </w:tc>
        <w:tc>
          <w:tcPr>
            <w:tcW w:w="3373" w:type="dxa"/>
          </w:tcPr>
          <w:p w14:paraId="374D903D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vertAlign w:val="superscript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hallucinációk</w:t>
            </w: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vertAlign w:val="superscript"/>
                <w:lang w:eastAsia="zh-CN"/>
                <w14:ligatures w14:val="none"/>
              </w:rPr>
              <w:t>1</w:t>
            </w:r>
          </w:p>
        </w:tc>
      </w:tr>
      <w:tr w:rsidR="00BF4685" w:rsidRPr="00BF4685" w14:paraId="682AA375" w14:textId="77777777" w:rsidTr="00D25D27">
        <w:tc>
          <w:tcPr>
            <w:tcW w:w="3864" w:type="dxa"/>
            <w:vMerge/>
          </w:tcPr>
          <w:p w14:paraId="5567227F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</w:p>
        </w:tc>
        <w:tc>
          <w:tcPr>
            <w:tcW w:w="1824" w:type="dxa"/>
          </w:tcPr>
          <w:p w14:paraId="70A3567F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nem ismert</w:t>
            </w:r>
          </w:p>
        </w:tc>
        <w:tc>
          <w:tcPr>
            <w:tcW w:w="3373" w:type="dxa"/>
          </w:tcPr>
          <w:p w14:paraId="453A49B6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vertAlign w:val="superscript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pszichotikus reakciók</w:t>
            </w: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vertAlign w:val="superscript"/>
                <w:lang w:eastAsia="zh-CN"/>
                <w14:ligatures w14:val="none"/>
              </w:rPr>
              <w:t>2</w:t>
            </w:r>
          </w:p>
        </w:tc>
      </w:tr>
      <w:tr w:rsidR="00BF4685" w:rsidRPr="00BF4685" w14:paraId="6012BA56" w14:textId="77777777" w:rsidTr="00D25D27">
        <w:tc>
          <w:tcPr>
            <w:tcW w:w="3864" w:type="dxa"/>
            <w:vMerge w:val="restart"/>
          </w:tcPr>
          <w:p w14:paraId="46CD9F43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Idegrendszeri betegségek és tünetek</w:t>
            </w:r>
          </w:p>
        </w:tc>
        <w:tc>
          <w:tcPr>
            <w:tcW w:w="1824" w:type="dxa"/>
          </w:tcPr>
          <w:p w14:paraId="5963AC6C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gyakori</w:t>
            </w:r>
          </w:p>
        </w:tc>
        <w:tc>
          <w:tcPr>
            <w:tcW w:w="3373" w:type="dxa"/>
          </w:tcPr>
          <w:p w14:paraId="5FDA9854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szédülés</w:t>
            </w:r>
          </w:p>
        </w:tc>
      </w:tr>
      <w:tr w:rsidR="00BF4685" w:rsidRPr="00BF4685" w14:paraId="08F6468E" w14:textId="77777777" w:rsidTr="00D25D27">
        <w:tc>
          <w:tcPr>
            <w:tcW w:w="3864" w:type="dxa"/>
            <w:vMerge/>
          </w:tcPr>
          <w:p w14:paraId="49835DB1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</w:p>
        </w:tc>
        <w:tc>
          <w:tcPr>
            <w:tcW w:w="1824" w:type="dxa"/>
          </w:tcPr>
          <w:p w14:paraId="4FAE3115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gyakori</w:t>
            </w:r>
          </w:p>
        </w:tc>
        <w:tc>
          <w:tcPr>
            <w:tcW w:w="3373" w:type="dxa"/>
          </w:tcPr>
          <w:p w14:paraId="689DCE0A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egyensúlyzavar</w:t>
            </w:r>
          </w:p>
        </w:tc>
      </w:tr>
      <w:tr w:rsidR="00BF4685" w:rsidRPr="00BF4685" w14:paraId="7B90BD00" w14:textId="77777777" w:rsidTr="00D25D27">
        <w:tc>
          <w:tcPr>
            <w:tcW w:w="3864" w:type="dxa"/>
            <w:vMerge/>
          </w:tcPr>
          <w:p w14:paraId="6AFD5ECB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</w:p>
        </w:tc>
        <w:tc>
          <w:tcPr>
            <w:tcW w:w="1824" w:type="dxa"/>
          </w:tcPr>
          <w:p w14:paraId="152A8E34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nem gyakori</w:t>
            </w:r>
          </w:p>
        </w:tc>
        <w:tc>
          <w:tcPr>
            <w:tcW w:w="3373" w:type="dxa"/>
          </w:tcPr>
          <w:p w14:paraId="1C9E2F7E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járászavar</w:t>
            </w:r>
          </w:p>
        </w:tc>
      </w:tr>
      <w:tr w:rsidR="00BF4685" w:rsidRPr="00BF4685" w14:paraId="7771BDEB" w14:textId="77777777" w:rsidTr="00D25D27">
        <w:tc>
          <w:tcPr>
            <w:tcW w:w="3864" w:type="dxa"/>
            <w:vMerge/>
          </w:tcPr>
          <w:p w14:paraId="7AAFAD18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</w:p>
        </w:tc>
        <w:tc>
          <w:tcPr>
            <w:tcW w:w="1824" w:type="dxa"/>
          </w:tcPr>
          <w:p w14:paraId="40907AEA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nagyon ritka</w:t>
            </w:r>
          </w:p>
        </w:tc>
        <w:tc>
          <w:tcPr>
            <w:tcW w:w="3373" w:type="dxa"/>
          </w:tcPr>
          <w:p w14:paraId="01C82CF7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görcsrohamok</w:t>
            </w:r>
          </w:p>
        </w:tc>
      </w:tr>
      <w:tr w:rsidR="00BF4685" w:rsidRPr="00BF4685" w14:paraId="4EAB3A2B" w14:textId="77777777" w:rsidTr="00D25D27">
        <w:tc>
          <w:tcPr>
            <w:tcW w:w="3864" w:type="dxa"/>
          </w:tcPr>
          <w:p w14:paraId="618FD76F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Szívbetegségek és a szívvel kapcsolatos tünetek</w:t>
            </w:r>
          </w:p>
        </w:tc>
        <w:tc>
          <w:tcPr>
            <w:tcW w:w="1824" w:type="dxa"/>
          </w:tcPr>
          <w:p w14:paraId="66489FDA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nem gyakori</w:t>
            </w:r>
          </w:p>
        </w:tc>
        <w:tc>
          <w:tcPr>
            <w:tcW w:w="3373" w:type="dxa"/>
          </w:tcPr>
          <w:p w14:paraId="0B2968EE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szívelégtelenség</w:t>
            </w:r>
          </w:p>
        </w:tc>
      </w:tr>
      <w:tr w:rsidR="00BF4685" w:rsidRPr="00BF4685" w14:paraId="69F4FD43" w14:textId="77777777" w:rsidTr="00D25D27">
        <w:tc>
          <w:tcPr>
            <w:tcW w:w="3864" w:type="dxa"/>
            <w:vMerge w:val="restart"/>
          </w:tcPr>
          <w:p w14:paraId="19E356F2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Érbetegségek és tünetek</w:t>
            </w:r>
          </w:p>
        </w:tc>
        <w:tc>
          <w:tcPr>
            <w:tcW w:w="1824" w:type="dxa"/>
          </w:tcPr>
          <w:p w14:paraId="418B34CA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gyakori</w:t>
            </w:r>
          </w:p>
        </w:tc>
        <w:tc>
          <w:tcPr>
            <w:tcW w:w="3373" w:type="dxa"/>
          </w:tcPr>
          <w:p w14:paraId="1475100A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proofErr w:type="spellStart"/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hipertenzió</w:t>
            </w:r>
            <w:proofErr w:type="spellEnd"/>
          </w:p>
        </w:tc>
      </w:tr>
      <w:tr w:rsidR="00BF4685" w:rsidRPr="00BF4685" w14:paraId="421D5DA5" w14:textId="77777777" w:rsidTr="00D25D27">
        <w:tc>
          <w:tcPr>
            <w:tcW w:w="3864" w:type="dxa"/>
            <w:vMerge/>
          </w:tcPr>
          <w:p w14:paraId="76A4E4EE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</w:p>
        </w:tc>
        <w:tc>
          <w:tcPr>
            <w:tcW w:w="1824" w:type="dxa"/>
          </w:tcPr>
          <w:p w14:paraId="2EEF6663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nem gyakori</w:t>
            </w:r>
          </w:p>
        </w:tc>
        <w:tc>
          <w:tcPr>
            <w:tcW w:w="3373" w:type="dxa"/>
          </w:tcPr>
          <w:p w14:paraId="3137BB68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 xml:space="preserve">vénás trombózis/ </w:t>
            </w:r>
            <w:proofErr w:type="spellStart"/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tromboembólia</w:t>
            </w:r>
            <w:proofErr w:type="spellEnd"/>
          </w:p>
        </w:tc>
      </w:tr>
      <w:tr w:rsidR="00BF4685" w:rsidRPr="00BF4685" w14:paraId="209597B6" w14:textId="77777777" w:rsidTr="00D25D27">
        <w:tc>
          <w:tcPr>
            <w:tcW w:w="3864" w:type="dxa"/>
          </w:tcPr>
          <w:p w14:paraId="7B9E6D1D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 xml:space="preserve">Légzőrendszeri, mellkasi és </w:t>
            </w:r>
            <w:proofErr w:type="spellStart"/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mediastinalis</w:t>
            </w:r>
            <w:proofErr w:type="spellEnd"/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 xml:space="preserve"> betegségek és tünetek</w:t>
            </w:r>
          </w:p>
        </w:tc>
        <w:tc>
          <w:tcPr>
            <w:tcW w:w="1824" w:type="dxa"/>
          </w:tcPr>
          <w:p w14:paraId="07CCDA24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gyakori</w:t>
            </w:r>
          </w:p>
        </w:tc>
        <w:tc>
          <w:tcPr>
            <w:tcW w:w="3373" w:type="dxa"/>
          </w:tcPr>
          <w:p w14:paraId="58D93A12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nehézlégzés</w:t>
            </w:r>
          </w:p>
        </w:tc>
      </w:tr>
      <w:tr w:rsidR="00BF4685" w:rsidRPr="00BF4685" w14:paraId="33E8C30D" w14:textId="77777777" w:rsidTr="00D25D27">
        <w:tc>
          <w:tcPr>
            <w:tcW w:w="3864" w:type="dxa"/>
            <w:vMerge w:val="restart"/>
          </w:tcPr>
          <w:p w14:paraId="25E9EC6C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Emésztőrendszeri betegségek és tünetek</w:t>
            </w:r>
          </w:p>
        </w:tc>
        <w:tc>
          <w:tcPr>
            <w:tcW w:w="1824" w:type="dxa"/>
          </w:tcPr>
          <w:p w14:paraId="1A1FB3C5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gyakori</w:t>
            </w:r>
          </w:p>
        </w:tc>
        <w:tc>
          <w:tcPr>
            <w:tcW w:w="3373" w:type="dxa"/>
          </w:tcPr>
          <w:p w14:paraId="4D403973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székrekedés</w:t>
            </w:r>
          </w:p>
        </w:tc>
      </w:tr>
      <w:tr w:rsidR="00BF4685" w:rsidRPr="00BF4685" w14:paraId="0032536D" w14:textId="77777777" w:rsidTr="00D25D27">
        <w:tc>
          <w:tcPr>
            <w:tcW w:w="3864" w:type="dxa"/>
            <w:vMerge/>
          </w:tcPr>
          <w:p w14:paraId="038F8E23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</w:p>
        </w:tc>
        <w:tc>
          <w:tcPr>
            <w:tcW w:w="1824" w:type="dxa"/>
          </w:tcPr>
          <w:p w14:paraId="354C81F9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nem gyakori</w:t>
            </w:r>
          </w:p>
        </w:tc>
        <w:tc>
          <w:tcPr>
            <w:tcW w:w="3373" w:type="dxa"/>
          </w:tcPr>
          <w:p w14:paraId="5322FC35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hányás</w:t>
            </w:r>
          </w:p>
        </w:tc>
      </w:tr>
      <w:tr w:rsidR="00BF4685" w:rsidRPr="00BF4685" w14:paraId="76D6BF74" w14:textId="77777777" w:rsidTr="00D25D27">
        <w:tc>
          <w:tcPr>
            <w:tcW w:w="3864" w:type="dxa"/>
            <w:vMerge/>
          </w:tcPr>
          <w:p w14:paraId="25B72BBB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</w:p>
        </w:tc>
        <w:tc>
          <w:tcPr>
            <w:tcW w:w="1824" w:type="dxa"/>
          </w:tcPr>
          <w:p w14:paraId="7F156213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nem ismert</w:t>
            </w:r>
          </w:p>
        </w:tc>
        <w:tc>
          <w:tcPr>
            <w:tcW w:w="3373" w:type="dxa"/>
          </w:tcPr>
          <w:p w14:paraId="72606384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vertAlign w:val="superscript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pancreatitis</w:t>
            </w: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vertAlign w:val="superscript"/>
                <w:lang w:eastAsia="zh-CN"/>
                <w14:ligatures w14:val="none"/>
              </w:rPr>
              <w:t>2</w:t>
            </w:r>
          </w:p>
        </w:tc>
      </w:tr>
      <w:tr w:rsidR="00BF4685" w:rsidRPr="00BF4685" w14:paraId="51A58DEC" w14:textId="77777777" w:rsidTr="00D25D27">
        <w:tc>
          <w:tcPr>
            <w:tcW w:w="3864" w:type="dxa"/>
            <w:vMerge w:val="restart"/>
          </w:tcPr>
          <w:p w14:paraId="277BB2C3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Máj- és epebetegségek, illetve tünetek</w:t>
            </w:r>
          </w:p>
        </w:tc>
        <w:tc>
          <w:tcPr>
            <w:tcW w:w="1824" w:type="dxa"/>
          </w:tcPr>
          <w:p w14:paraId="4F85B2CA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gyakori</w:t>
            </w:r>
          </w:p>
        </w:tc>
        <w:tc>
          <w:tcPr>
            <w:tcW w:w="3373" w:type="dxa"/>
          </w:tcPr>
          <w:p w14:paraId="5728C1F4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emelkedett májfunkciós értékek</w:t>
            </w:r>
          </w:p>
        </w:tc>
      </w:tr>
      <w:tr w:rsidR="00BF4685" w:rsidRPr="00BF4685" w14:paraId="50E2C0D9" w14:textId="77777777" w:rsidTr="00D25D27">
        <w:tc>
          <w:tcPr>
            <w:tcW w:w="3864" w:type="dxa"/>
            <w:vMerge/>
          </w:tcPr>
          <w:p w14:paraId="5742803B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</w:p>
        </w:tc>
        <w:tc>
          <w:tcPr>
            <w:tcW w:w="1824" w:type="dxa"/>
          </w:tcPr>
          <w:p w14:paraId="2D3E4E0C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nem ismert</w:t>
            </w:r>
          </w:p>
        </w:tc>
        <w:tc>
          <w:tcPr>
            <w:tcW w:w="3373" w:type="dxa"/>
          </w:tcPr>
          <w:p w14:paraId="4A44EA71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hepatitis</w:t>
            </w:r>
          </w:p>
        </w:tc>
      </w:tr>
      <w:tr w:rsidR="00BF4685" w:rsidRPr="00BF4685" w14:paraId="1F6CF365" w14:textId="77777777" w:rsidTr="00D25D27">
        <w:tc>
          <w:tcPr>
            <w:tcW w:w="3864" w:type="dxa"/>
            <w:vMerge w:val="restart"/>
          </w:tcPr>
          <w:p w14:paraId="260D2FD5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Általános tünetek, az alkalmazás helyén fellépő reakciók</w:t>
            </w:r>
          </w:p>
        </w:tc>
        <w:tc>
          <w:tcPr>
            <w:tcW w:w="1824" w:type="dxa"/>
          </w:tcPr>
          <w:p w14:paraId="62F0C08A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gyakori</w:t>
            </w:r>
          </w:p>
        </w:tc>
        <w:tc>
          <w:tcPr>
            <w:tcW w:w="3373" w:type="dxa"/>
          </w:tcPr>
          <w:p w14:paraId="491756E2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fejfájás</w:t>
            </w:r>
          </w:p>
        </w:tc>
      </w:tr>
      <w:tr w:rsidR="00BF4685" w:rsidRPr="00BF4685" w14:paraId="0C8074E9" w14:textId="77777777" w:rsidTr="00D25D27">
        <w:tc>
          <w:tcPr>
            <w:tcW w:w="3864" w:type="dxa"/>
            <w:vMerge/>
          </w:tcPr>
          <w:p w14:paraId="31C2349F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</w:p>
        </w:tc>
        <w:tc>
          <w:tcPr>
            <w:tcW w:w="1824" w:type="dxa"/>
          </w:tcPr>
          <w:p w14:paraId="026983D1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nem gyakori</w:t>
            </w:r>
          </w:p>
        </w:tc>
        <w:tc>
          <w:tcPr>
            <w:tcW w:w="3373" w:type="dxa"/>
          </w:tcPr>
          <w:p w14:paraId="24F2AA6A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kimerültség</w:t>
            </w:r>
          </w:p>
        </w:tc>
      </w:tr>
    </w:tbl>
    <w:p w14:paraId="3711D54E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vertAlign w:val="superscript"/>
          <w:lang w:eastAsia="zh-CN"/>
          <w14:ligatures w14:val="none"/>
        </w:rPr>
        <w:t>1 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Hallucinációkat elsősorban súlyos Alzheimer-betegségben szenvedő betegeknél figyeltek meg.</w:t>
      </w:r>
    </w:p>
    <w:p w14:paraId="4230CFD4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vertAlign w:val="superscript"/>
          <w:lang w:eastAsia="zh-CN"/>
          <w14:ligatures w14:val="none"/>
        </w:rPr>
        <w:t>2 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 forgalomba hozatalt követően jelentett egyedi esetek.</w:t>
      </w:r>
    </w:p>
    <w:p w14:paraId="65A1BE39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090B721E" w14:textId="42AD269B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Az Alzheimer-betegség</w:t>
      </w:r>
      <w:r w:rsidR="00305A4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hez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depresszió, öngyilkossági gondolatok és öngyilkosság </w:t>
      </w:r>
      <w:r w:rsidR="00305A4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társul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. A forgalomba hozatalt követően 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memantinnal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kezelt betegeknél is jelentettek ilyen reakciókat.</w:t>
      </w:r>
    </w:p>
    <w:p w14:paraId="1725A179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19B057C1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  <w:t>Feltételezett mellékhatások bejelentése</w:t>
      </w:r>
    </w:p>
    <w:p w14:paraId="1D2354D1" w14:textId="5CC76AB9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az </w:t>
      </w:r>
      <w:hyperlink r:id="rId7" w:history="1">
        <w:r w:rsidRPr="00BF4685">
          <w:rPr>
            <w:rFonts w:ascii="Times New Roman" w:eastAsia="SimSun" w:hAnsi="Times New Roman" w:cs="Times New Roman"/>
            <w:snapToGrid w:val="0"/>
            <w:color w:val="0000FF"/>
            <w:kern w:val="0"/>
            <w:szCs w:val="20"/>
            <w:highlight w:val="lightGray"/>
            <w:u w:val="single"/>
            <w:lang w:eastAsia="zh-CN"/>
            <w14:ligatures w14:val="none"/>
          </w:rPr>
          <w:t>V. függelékben</w:t>
        </w:r>
      </w:hyperlink>
      <w:r w:rsidRPr="00BF4685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 xml:space="preserve"> található elérhetőségek valamelyikén keresztül.</w:t>
      </w:r>
    </w:p>
    <w:p w14:paraId="6F799743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26ACCE2B" w14:textId="77777777" w:rsidR="00BF4685" w:rsidRPr="00BF4685" w:rsidRDefault="00BF4685" w:rsidP="00BF4685">
      <w:pPr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>4.9</w:t>
      </w: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ab/>
        <w:t>Túladagolás</w:t>
      </w:r>
    </w:p>
    <w:p w14:paraId="4E6DFF98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6CF337FE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túladagolásáról a klinikai vizsgálatok során és a forgalomba hozatalt követően szerzett tapasztalatok korlátozottak.</w:t>
      </w:r>
    </w:p>
    <w:p w14:paraId="49B7F9F1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31FC7755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  <w:t>Tünetek</w:t>
      </w:r>
    </w:p>
    <w:p w14:paraId="3D7AB71E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Viszonylag nagy dózisú túladagolás-esetek (200 mg, illetve 105 mg/nap 3 napig) vagy csak fáradékonysággal, gyengeséggel és/vagy hasmenéssel, vagy semmilyen tünettel nem jártak. A 140 mg-nál alacsonyabb vagy nem ismert dózisú túladagolások mellett a betegeknél központi idegrendszeri (zavartság, álmosság, aluszékonyság, </w:t>
      </w:r>
      <w:r w:rsidRPr="00305A4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vertigo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, izgatottság, agresszió, hallucináció és járászavar) és/vagy emésztőrendszeri tünetek (hányás és hasmenés) jelentkeztek.</w:t>
      </w:r>
    </w:p>
    <w:p w14:paraId="27CFDF6E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6CBB3728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 legnagyobb mértékű túladagolást, összesen 2000 mg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r w:rsidRPr="00BF4685">
        <w:rPr>
          <w:rFonts w:ascii="Times New Roman" w:eastAsia="SimSun" w:hAnsi="Times New Roman" w:cs="Times New Roman"/>
          <w:i/>
          <w:iCs/>
          <w:snapToGrid w:val="0"/>
          <w:kern w:val="0"/>
          <w:szCs w:val="20"/>
          <w:lang w:eastAsia="zh-CN"/>
          <w14:ligatures w14:val="none"/>
        </w:rPr>
        <w:t>per </w:t>
      </w:r>
      <w:proofErr w:type="spellStart"/>
      <w:r w:rsidRPr="00BF4685">
        <w:rPr>
          <w:rFonts w:ascii="Times New Roman" w:eastAsia="SimSun" w:hAnsi="Times New Roman" w:cs="Times New Roman"/>
          <w:i/>
          <w:iCs/>
          <w:snapToGrid w:val="0"/>
          <w:kern w:val="0"/>
          <w:szCs w:val="20"/>
          <w:lang w:eastAsia="zh-CN"/>
          <w14:ligatures w14:val="none"/>
        </w:rPr>
        <w:t>os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bevételét, a beteg központi idegrendszeri tünetekkel (10 napos kóma, később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diplopia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és nyugtalanság) élte túl. A beteg tüneti kezelést és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plazmaferezis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-kezelést kapott, és maradandó szövődmény nélkül felgyógyult.</w:t>
      </w:r>
    </w:p>
    <w:p w14:paraId="653FDC36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5DEFE5FF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Egy másik, nagy dózisú túladagolási esetben a beteg szintén életben maradt és felgyógyult 400 mg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r w:rsidRPr="00BF4685">
        <w:rPr>
          <w:rFonts w:ascii="Times New Roman" w:eastAsia="SimSun" w:hAnsi="Times New Roman" w:cs="Times New Roman"/>
          <w:i/>
          <w:iCs/>
          <w:snapToGrid w:val="0"/>
          <w:kern w:val="0"/>
          <w:szCs w:val="20"/>
          <w:lang w:eastAsia="zh-CN"/>
          <w14:ligatures w14:val="none"/>
        </w:rPr>
        <w:t>per </w:t>
      </w:r>
      <w:proofErr w:type="spellStart"/>
      <w:r w:rsidRPr="00BF4685">
        <w:rPr>
          <w:rFonts w:ascii="Times New Roman" w:eastAsia="SimSun" w:hAnsi="Times New Roman" w:cs="Times New Roman"/>
          <w:i/>
          <w:iCs/>
          <w:snapToGrid w:val="0"/>
          <w:kern w:val="0"/>
          <w:szCs w:val="20"/>
          <w:lang w:eastAsia="zh-CN"/>
          <w14:ligatures w14:val="none"/>
        </w:rPr>
        <w:t>os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bevételét</w:t>
      </w:r>
      <w:r w:rsidRPr="00BF4685" w:rsidDel="00C927AB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követően. A betegnél központi idegrendszeri tünetek léptek fel, pl. nyugtalanság, pszichózis, látási hallucinációk, fokozott görcskészség, aluszékonyság,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stupor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és eszméletvesztés.</w:t>
      </w:r>
    </w:p>
    <w:p w14:paraId="5757546E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4C4EF646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  <w:t>Kezelés</w:t>
      </w:r>
    </w:p>
    <w:p w14:paraId="0C4AAE01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Túladagolás esetén tüneti kezelés szükséges. Az intoxikáció és a túladagolás kezelésére nincs specifikus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antidotum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. A hatóanyag eltávolítására szükség esetén a standard klinikai eljárások, pl. gyomormosás, aktív szén adása (az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enterohepatikus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körforgás megszakítása), a vizelet savanyítása, forszírozott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diurézis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alkalmazandó.</w:t>
      </w:r>
    </w:p>
    <w:p w14:paraId="28021649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731DB1A7" w14:textId="28D0C3BF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 központi idegrendszer túlstimulálására utaló jelek és tünetek esetén </w:t>
      </w:r>
      <w:r w:rsidR="00305A4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megfontolandó az </w:t>
      </w:r>
      <w:r w:rsidR="00305A47" w:rsidRPr="00305A4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óvatossággal végez</w:t>
      </w:r>
      <w:r w:rsidR="00305A4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ett</w:t>
      </w:r>
      <w:r w:rsidRPr="00305A4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tüneti kezelés.</w:t>
      </w:r>
    </w:p>
    <w:p w14:paraId="55354A47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786F744F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66CDF7D4" w14:textId="77777777" w:rsidR="00BF4685" w:rsidRPr="00BF4685" w:rsidRDefault="00BF4685" w:rsidP="00BF4685">
      <w:pPr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>5.</w:t>
      </w: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ab/>
        <w:t>FARMAKOLÓGIAI TULAJDONSÁGOK</w:t>
      </w:r>
    </w:p>
    <w:p w14:paraId="06A9670C" w14:textId="77777777" w:rsidR="00BF4685" w:rsidRPr="00BF4685" w:rsidRDefault="00BF4685" w:rsidP="00BF4685">
      <w:pPr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2BE2E178" w14:textId="77777777" w:rsidR="00BF4685" w:rsidRPr="00BF4685" w:rsidRDefault="00BF4685" w:rsidP="00BF4685">
      <w:pPr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>5.1</w:t>
      </w: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ab/>
      </w:r>
      <w:proofErr w:type="spellStart"/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>Farmakodinámiás</w:t>
      </w:r>
      <w:proofErr w:type="spellEnd"/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tulajdonságok</w:t>
      </w:r>
    </w:p>
    <w:p w14:paraId="39F09595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</w:p>
    <w:p w14:paraId="5DA73890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Farmakoterápiás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csoport: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Pszichoanaleptikumok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, egyéb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anti-demencia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gyógyszerek, ATC kód: N06DX01</w:t>
      </w:r>
    </w:p>
    <w:p w14:paraId="7331D86E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</w:p>
    <w:p w14:paraId="5A48F848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Egyre több bizonyíték áll rendelkezésre arról, hogy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neurodegeneratív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demencia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esetében a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glutamát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neurotranszmisszió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, különösen az NMDA-receptorok működési zavara, egyaránt hozzájárul a tünetek megjelenéséhez és a betegség progressziójához.</w:t>
      </w:r>
    </w:p>
    <w:p w14:paraId="3C69D9F8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</w:p>
    <w:p w14:paraId="43DBC394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A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egy feszültségfüggő, közepes affinitású, nem kompetitív NMDA-receptor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antagonista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. A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modulálja azt a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glutamát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okozta patológiásan megnövekedett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izgalmi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szintet, amely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neuronális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diszfunkcióhoz vezethet.</w:t>
      </w:r>
    </w:p>
    <w:p w14:paraId="60EADF5A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</w:p>
    <w:p w14:paraId="2D8770B0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</w:pPr>
      <w:r w:rsidRPr="00BF4685"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  <w:t>Klinikai vizsgálatok</w:t>
      </w:r>
    </w:p>
    <w:p w14:paraId="3FFAE67B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Egy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memantin-monoterápiával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folytatott kulcsfontosságú (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pivotális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) klinikai vizsgálatba összesen 252 közepesen súlyos vagy súlyos Alzheimer-betegségben szenvedő járóbeteget vontak be (a mentális állapotfelmérő vizsgálat [Mini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Mental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State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Examination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– MMSE] kezelés előtti általános ponteredménye: 3–14). </w:t>
      </w:r>
      <w:proofErr w:type="gram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 vizsgálat kimutatta </w:t>
      </w:r>
      <w:r w:rsidRPr="00A15EE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 6 hónapos </w:t>
      </w:r>
      <w:proofErr w:type="spellStart"/>
      <w:r w:rsidRPr="00A15EE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</w:t>
      </w:r>
      <w:proofErr w:type="spellEnd"/>
      <w:r w:rsidRPr="00A15EE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-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kezelés kedvező hatását 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placebóhoz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képest </w:t>
      </w:r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(OC-elemzés [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observed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cases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analysis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]): a CIBIC-plus skálán [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Clinician’s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Interview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Based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Impression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of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Change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; a klinikusoknak a beteggel készített interjú alapján alkotott véleménye a beteg állapotváltozásáról]: p = 0,025; az ADCS-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ADLsev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skálán [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Alzheimer’s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Disease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Cooperative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Study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–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Activities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of Daily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Living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; az Alzheimer-kór kooperatív vizsgálat – mindennapi tevékenységek értékelésére kidolgozott mutatója]: p = 0,003; és a SIB skálán [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Severe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Impairment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Battery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; a jelentős mértékű állapotromlás értékelésére</w:t>
      </w:r>
      <w:proofErr w:type="gram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</w:t>
      </w:r>
      <w:proofErr w:type="gram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kidolgozott</w:t>
      </w:r>
      <w:proofErr w:type="gram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mutató]: p = 0,002).</w:t>
      </w:r>
    </w:p>
    <w:p w14:paraId="1768CEA8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</w:p>
    <w:p w14:paraId="2ACCD1EF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Egy enyhe vagy közepesen súlyos Alzheimer-betegségben szenvedő betegekkel (kiindulási MMSE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összpontszám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: 10–22) végzett,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memantin-monoterápiával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folytatott kulcsfontosságú (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pivotális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) vizsgálatba 403 beteget vontak be. Az elsődleges végpontok tekintetében a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szignifikánsan hatásosabbnak bizonyult a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placebóval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szemben a 24. héten a LOCF [Last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Observation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Carried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Forward</w:t>
      </w:r>
      <w:proofErr w:type="gram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,vagyis</w:t>
      </w:r>
      <w:proofErr w:type="spellEnd"/>
      <w:proofErr w:type="gram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a hiánypótlás az utolsó mért értékkel] módszer alkalmazásával végzett elemzés alapján, az alábbi két skálán: </w:t>
      </w:r>
    </w:p>
    <w:p w14:paraId="0E9E7B92" w14:textId="3C41ED3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proofErr w:type="gram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az</w:t>
      </w:r>
      <w:proofErr w:type="gram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ADAS</w:t>
      </w:r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noBreakHyphen/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cog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skálán (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Alzheimer’s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Disease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Assessment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Scale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– kognitív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domain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; vagyis az Alzheimer-kór állapotfelmérő skálájának kognitív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alskálája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) (p = 0,003), és a CIBIC</w:t>
      </w:r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noBreakHyphen/>
        <w:t xml:space="preserve">plus skálán (p = 0,004). Egy másik enyhe vagy közepesen súlyos Alzheimer-betegségben szenvedő betegekkel (kiindulási MMSE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összpontszám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: 11–23) végzett,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memantin-monoterápiával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folytatott vizsgálatba összesen 470 beteget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randomizáltak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. Az előzetesen meghatározott elvek szerint végzett </w:t>
      </w:r>
      <w:r w:rsidRPr="00A15EED">
        <w:rPr>
          <w:rFonts w:ascii="Times New Roman" w:eastAsia="SimSun" w:hAnsi="Times New Roman" w:cs="Times New Roman"/>
          <w:kern w:val="0"/>
          <w:szCs w:val="20"/>
          <w14:ligatures w14:val="none"/>
        </w:rPr>
        <w:t>el</w:t>
      </w:r>
      <w:r w:rsidR="006F318C" w:rsidRPr="00A15EED">
        <w:rPr>
          <w:rFonts w:ascii="Times New Roman" w:eastAsia="SimSun" w:hAnsi="Times New Roman" w:cs="Times New Roman"/>
          <w:kern w:val="0"/>
          <w:szCs w:val="20"/>
          <w14:ligatures w14:val="none"/>
        </w:rPr>
        <w:t>s</w:t>
      </w:r>
      <w:r w:rsidRPr="00A15EED">
        <w:rPr>
          <w:rFonts w:ascii="Times New Roman" w:eastAsia="SimSun" w:hAnsi="Times New Roman" w:cs="Times New Roman"/>
          <w:kern w:val="0"/>
          <w:szCs w:val="20"/>
          <w14:ligatures w14:val="none"/>
        </w:rPr>
        <w:t>ődleges</w:t>
      </w:r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értékelésben az elsődleges hatásossági végponton a 24. héten nem értek el statisztikailag szignifikáns különbséget.</w:t>
      </w:r>
    </w:p>
    <w:p w14:paraId="70F736ED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</w:p>
    <w:p w14:paraId="5703065A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Hat III. fázisú, placebokontrollos, 6 hónapos (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memantin-monoterápiával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, ill. már meghatározott dózisú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acetilkolinészteráz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-gátlót szedő betegek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-kezelésével folytatott) vizsgálatban résztvevő közepesen súlyos vagy súlyos Alzheimer-betegségben szenvedő betegek (MMSE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összpontszám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: &lt; 20) adatainak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metaanalízise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szerint a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statisztikailag szignifikánsan hatékonyabb volt a kognitív, a globális és a funkcionális paramétereken is. Külön elemezve azokat a betegeket, akiknél mindhárom paraméter egyidejűleg rosszabbodott, az eredmények azt mutatták, hogy a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statisztikailag szignifikánsan késleltette a rosszabbodást: a placebocsoportban kétszer annyi beteg állapota romlott mindhárom paraméter tekintetében, mint amennyié a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-csoportban (21% vs. 11%, p &lt; 0,0001).</w:t>
      </w:r>
    </w:p>
    <w:p w14:paraId="2A178609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</w:p>
    <w:p w14:paraId="637DCADA" w14:textId="77777777" w:rsidR="00BF4685" w:rsidRPr="00BF4685" w:rsidRDefault="00BF4685" w:rsidP="00BF4685">
      <w:pPr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>5.2</w:t>
      </w:r>
      <w:r w:rsidRPr="00BF4685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ab/>
      </w:r>
      <w:proofErr w:type="spellStart"/>
      <w:r w:rsidRPr="00BF4685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>Farmakokinetikai</w:t>
      </w:r>
      <w:proofErr w:type="spellEnd"/>
      <w:r w:rsidRPr="00BF4685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 xml:space="preserve"> tulajdonságok</w:t>
      </w:r>
    </w:p>
    <w:p w14:paraId="6BDC0740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730F1E54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  <w:t>Felszívódás</w:t>
      </w:r>
    </w:p>
    <w:p w14:paraId="260B74ED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abszolút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biohasznosulása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körülbelül 100%. 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t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vertAlign w:val="subscript"/>
          <w:lang w:eastAsia="zh-CN"/>
          <w14:ligatures w14:val="none"/>
        </w:rPr>
        <w:t>max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3–8 óra között változik. Nincs arra mutató jel, hogy az étel befolyásolná 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felszívódását.</w:t>
      </w:r>
    </w:p>
    <w:p w14:paraId="20917E0B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089D2C97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  <w:t>Eloszlás</w:t>
      </w:r>
    </w:p>
    <w:p w14:paraId="10C44000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Napi 20 mg-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os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-dózissal 70–150 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ng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/ml (0,5–1 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mikromol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) érték közötti egyensúlyi plazmakoncentrációt értek el, amely egyénenként nagymértékben eltért. 5–30 mg-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os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napi dózis alkalmazásakor 0,52-es átlagos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liquor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/szérum-arányt mértek. A megoszlási térfogat körülbelül 10 l/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ttkg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. 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plazmafehérjékhez való kötődésének mértéke körülbelül 45%.</w:t>
      </w:r>
    </w:p>
    <w:p w14:paraId="53D7FABE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1FBB3473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</w:pP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  <w:t>Biotranszformáció</w:t>
      </w:r>
      <w:proofErr w:type="spellEnd"/>
    </w:p>
    <w:p w14:paraId="6BD7E90E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Az emberi </w:t>
      </w:r>
      <w:r w:rsidRPr="00A15EE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szervezetben a keringő </w:t>
      </w:r>
      <w:proofErr w:type="spellStart"/>
      <w:r w:rsidRPr="00A15EE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</w:t>
      </w:r>
      <w:proofErr w:type="spellEnd"/>
      <w:r w:rsidRPr="00A15EE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80%</w:t>
      </w:r>
      <w:r w:rsidRPr="00A15EE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noBreakHyphen/>
      </w:r>
      <w:proofErr w:type="gramStart"/>
      <w:r w:rsidRPr="00A15EE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</w:t>
      </w:r>
      <w:proofErr w:type="gramEnd"/>
      <w:r w:rsidRPr="00A15EE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anyavegyületként van jelen.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Az emberi szervezetben keletkező fő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metabolitok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az </w:t>
      </w:r>
      <w:r w:rsidRPr="00BF4685">
        <w:rPr>
          <w:rFonts w:ascii="Times New Roman" w:eastAsia="SimSun" w:hAnsi="Times New Roman" w:cs="Times New Roman"/>
          <w:iCs/>
          <w:snapToGrid w:val="0"/>
          <w:kern w:val="0"/>
          <w:szCs w:val="20"/>
          <w:lang w:eastAsia="zh-CN"/>
          <w14:ligatures w14:val="none"/>
        </w:rPr>
        <w:t>N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-3,5-dimetil-gludantán, a 4- és 6-hidroxi-memantin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izomerikus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keveréke, valamint az 1-nitrozo-3,5-dimetil-adamantán. Ezen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metabolitok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közül egyik sem rendelkezik NMDA-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antagonista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aktivitással. </w:t>
      </w:r>
      <w:r w:rsidRPr="00BF4685">
        <w:rPr>
          <w:rFonts w:ascii="Times New Roman" w:eastAsia="SimSun" w:hAnsi="Times New Roman" w:cs="Times New Roman"/>
          <w:i/>
          <w:iCs/>
          <w:snapToGrid w:val="0"/>
          <w:kern w:val="0"/>
          <w:szCs w:val="20"/>
          <w:lang w:eastAsia="zh-CN"/>
          <w14:ligatures w14:val="none"/>
        </w:rPr>
        <w:t>In vitro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nem mutattak ki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citokróm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P450 által katalizált metabolizmust.</w:t>
      </w:r>
    </w:p>
    <w:p w14:paraId="5514B0A6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15C9C62B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 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vertAlign w:val="superscript"/>
          <w:lang w:eastAsia="zh-CN"/>
          <w14:ligatures w14:val="none"/>
        </w:rPr>
        <w:t>14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C-memantin </w:t>
      </w:r>
      <w:r w:rsidRPr="00BF4685">
        <w:rPr>
          <w:rFonts w:ascii="Times New Roman" w:eastAsia="SimSun" w:hAnsi="Times New Roman" w:cs="Times New Roman"/>
          <w:i/>
          <w:iCs/>
          <w:snapToGrid w:val="0"/>
          <w:kern w:val="0"/>
          <w:szCs w:val="20"/>
          <w:lang w:eastAsia="zh-CN"/>
          <w14:ligatures w14:val="none"/>
        </w:rPr>
        <w:t>per </w:t>
      </w:r>
      <w:proofErr w:type="spellStart"/>
      <w:r w:rsidRPr="00BF4685">
        <w:rPr>
          <w:rFonts w:ascii="Times New Roman" w:eastAsia="SimSun" w:hAnsi="Times New Roman" w:cs="Times New Roman"/>
          <w:i/>
          <w:iCs/>
          <w:snapToGrid w:val="0"/>
          <w:kern w:val="0"/>
          <w:szCs w:val="20"/>
          <w:lang w:eastAsia="zh-CN"/>
          <w14:ligatures w14:val="none"/>
        </w:rPr>
        <w:t>os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adagolására vonatkozó vizsgálatban a bevitt dózis átlagosan 84%-a 20 napon belül eliminálódott, több mint 99%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noBreakHyphen/>
      </w:r>
      <w:proofErr w:type="gram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</w:t>
      </w:r>
      <w:proofErr w:type="gram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vesén keresztül választódott ki.</w:t>
      </w:r>
    </w:p>
    <w:p w14:paraId="78C42EBE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</w:pPr>
    </w:p>
    <w:p w14:paraId="19422809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  <w:t>Elimináció</w:t>
      </w:r>
    </w:p>
    <w:p w14:paraId="1A06A23C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eliminációja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monoexponenciális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, a terminális t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vertAlign w:val="subscript"/>
          <w:lang w:eastAsia="zh-CN"/>
          <w14:ligatures w14:val="none"/>
        </w:rPr>
        <w:t>1/2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60–100 óra. Normál veseműködésű önkénteseknél a teljes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clearance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(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Cl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vertAlign w:val="subscript"/>
          <w:lang w:eastAsia="zh-CN"/>
          <w14:ligatures w14:val="none"/>
        </w:rPr>
        <w:t>tot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) 170 ml/perc/1,73 m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vertAlign w:val="superscript"/>
          <w:lang w:eastAsia="zh-CN"/>
          <w14:ligatures w14:val="none"/>
        </w:rPr>
        <w:t>2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, és a teljes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renális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clearance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egy része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tubuláris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szekréció útján történik.</w:t>
      </w:r>
    </w:p>
    <w:p w14:paraId="0B8A9DC9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5FD3CE28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 </w:t>
      </w:r>
      <w:r w:rsidRPr="00A15EE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vesében </w:t>
      </w:r>
      <w:proofErr w:type="spellStart"/>
      <w:r w:rsidRPr="00A15EE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tubuláris</w:t>
      </w:r>
      <w:proofErr w:type="spellEnd"/>
      <w:r w:rsidRPr="00A15EE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proofErr w:type="spellStart"/>
      <w:r w:rsidRPr="00A15EE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reabszorpció</w:t>
      </w:r>
      <w:proofErr w:type="spellEnd"/>
      <w:r w:rsidRPr="00A15EE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is végbemegy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, amelyet valószínűleg kationos szállítóproteinek közvetítenek. 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renális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eliminációs aránya lúgos vizelet mellett hetedére-kilencedére csökkenhet (lásd. 4.4 pont). A vizelet lúgosságának oka lehet az étrend drasztikus megváltoztatása, pl.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hústartalmú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étrendről vegetáriánus étrendre való áttérés, vagy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alkalizáló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gyomorsavlekötők nagymértékű bevitele is.</w:t>
      </w:r>
    </w:p>
    <w:p w14:paraId="5B98BFD4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0E04060E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  <w:t>Linearitás</w:t>
      </w:r>
    </w:p>
    <w:p w14:paraId="4B68F8FD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Önkénteseken végzett vizsgálatokban 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farmakokinetikája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a 10–40 mg-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os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dózistartományban lineáris.</w:t>
      </w:r>
    </w:p>
    <w:p w14:paraId="1524DAB4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41E6E83C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</w:pP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  <w:t>Farmakokinetikai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  <w:t>/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  <w:t>farmakodinámiás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  <w:t xml:space="preserve"> </w:t>
      </w:r>
      <w:proofErr w:type="gramStart"/>
      <w:r w:rsidRPr="00A15EED"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  <w:t>összefüggés(</w:t>
      </w:r>
      <w:proofErr w:type="spellStart"/>
      <w:proofErr w:type="gramEnd"/>
      <w:r w:rsidRPr="00A15EED"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  <w:t>ek</w:t>
      </w:r>
      <w:proofErr w:type="spellEnd"/>
      <w:r w:rsidRPr="00A15EED"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  <w:t>)</w:t>
      </w:r>
    </w:p>
    <w:p w14:paraId="52680C27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napi 20 mg-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os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dózisa mellett 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liquor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szintje megegyezik 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k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vertAlign w:val="subscript"/>
          <w:lang w:eastAsia="zh-CN"/>
          <w14:ligatures w14:val="none"/>
        </w:rPr>
        <w:t>i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-értékével (k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vertAlign w:val="subscript"/>
          <w:lang w:eastAsia="zh-CN"/>
          <w14:ligatures w14:val="none"/>
        </w:rPr>
        <w:t>i 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= inhibitor konstans), ami az emberi frontális agykéregben 0,5 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mikromol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.</w:t>
      </w:r>
    </w:p>
    <w:p w14:paraId="7CA72382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330A2F48" w14:textId="77777777" w:rsidR="00BF4685" w:rsidRPr="00BF4685" w:rsidRDefault="00BF4685" w:rsidP="00BF4685">
      <w:pPr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>5.3</w:t>
      </w: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ab/>
        <w:t xml:space="preserve">A </w:t>
      </w:r>
      <w:proofErr w:type="spellStart"/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>preklinikai</w:t>
      </w:r>
      <w:proofErr w:type="spellEnd"/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biztonságossági vizsgálatok eredményei</w:t>
      </w:r>
    </w:p>
    <w:p w14:paraId="28C4BD24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1E98DBB5" w14:textId="77777777" w:rsidR="00BF4685" w:rsidRPr="00BF4685" w:rsidRDefault="00BF4685" w:rsidP="00BF4685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Patkányokkal végzett rövid távú vizsgálatokban 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, más NMDA-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antagonistákhoz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hasonlóan, csak nagyon magas szérumkoncentrációs csúcsokat eredményező dózis alkalmazásakor idézett elő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neuronális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vakuolizációt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és nekrózist (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Olney-léziók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). 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vakuolizációt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és nekrózist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ataxia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és egyéb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preklinikai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jelek előzték meg. </w:t>
      </w:r>
      <w:r w:rsidRPr="00A15EE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Mivel sem rágcsálókkal, sem más állatfajokkal végzett hosszú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távú vizsgálatokban nem észlelték ezeket a hatásokat, klinikai jelentőségük ismeretlen. </w:t>
      </w:r>
    </w:p>
    <w:p w14:paraId="6931691F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279AB736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 rágcsálókkal és kutyákkal végzett ismételt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adagolású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dózistoxicitási vizsgálatokban a szemészeti elváltozások inkonzisztens előfordulását figyelték meg, amit azonban a majmoknál nem tapasztaltak. 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memantinnal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folytatott klinikai vizsgálatok során végzett specifikus szemvizsgálatok nem tártak fel semmiféle szemészeti változást.</w:t>
      </w:r>
    </w:p>
    <w:p w14:paraId="75734A23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62F01168" w14:textId="46171F9E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 rágcsálók tüdő-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makrofágjaiban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phospholipidosist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figyeltek meg, ami 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lizoszómákban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felhalmozódott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hatására volt visszavezethető. Ez a hatás már más kationos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amfifilikus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tulajdonságokkal rendelkező </w:t>
      </w:r>
      <w:r w:rsidR="00A15EE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hatóanyagok</w:t>
      </w:r>
      <w:r w:rsidR="00A15EED"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esetében is megfigyelhető volt. A fent leírt felhalmozódás és a tüdőben megfigyelt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vakuolizáció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között összefüggés lehet. A hatás rágcsálóknál </w:t>
      </w:r>
      <w:r w:rsidRPr="00A15EE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csak magas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dózisok mellett jelentkezett. Ezeknek az eredményeknek a klinikai jelentősége nem ismert.</w:t>
      </w:r>
    </w:p>
    <w:p w14:paraId="2ED8A3D1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48114505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memantinnal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végzett standard vizsgálatok során nem figyeltek meg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genotoxicitást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. Az egerekkel és patkányokkal végzett, élethosszig tartó vizsgálatok nem mutattak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carcinogenitást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. 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a patkányok és nyulak esetén nem bizonyult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teratogénnek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, még az anyaállatra toxikus mértékű dózis alkalmazásakor sem, és nem mutatták ki 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termékenységet károsító hatását sem. Patkányoknál 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foetus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növekedésének csökkenését figyelték meg az emberi expozícióval megegyező, vagy azt kismértékben meghaladó expozíciós szintek mellett.</w:t>
      </w:r>
    </w:p>
    <w:p w14:paraId="59919E37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426F962C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4DE0E8EE" w14:textId="77777777" w:rsidR="00BF4685" w:rsidRPr="00BF4685" w:rsidRDefault="00BF4685" w:rsidP="00BF4685">
      <w:pPr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>6.</w:t>
      </w: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ab/>
        <w:t>GYÓGYSZERÉSZETI JELLEMZŐK</w:t>
      </w:r>
    </w:p>
    <w:p w14:paraId="4854CF39" w14:textId="77777777" w:rsidR="00BF4685" w:rsidRPr="00BF4685" w:rsidRDefault="00BF4685" w:rsidP="00BF4685">
      <w:pPr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</w:p>
    <w:p w14:paraId="789E9299" w14:textId="77777777" w:rsidR="00BF4685" w:rsidRPr="00BF4685" w:rsidRDefault="00BF4685" w:rsidP="00BF4685">
      <w:pPr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>6.1</w:t>
      </w: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ab/>
        <w:t>Segédanyagok felsorolása</w:t>
      </w:r>
    </w:p>
    <w:p w14:paraId="766AF010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</w:p>
    <w:p w14:paraId="7F889902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i/>
          <w:kern w:val="0"/>
          <w:szCs w:val="20"/>
          <w14:ligatures w14:val="none"/>
        </w:rPr>
      </w:pPr>
      <w:r w:rsidRPr="00BF4685">
        <w:rPr>
          <w:rFonts w:ascii="Times New Roman" w:eastAsia="SimSun" w:hAnsi="Times New Roman" w:cs="Times New Roman"/>
          <w:i/>
          <w:kern w:val="0"/>
          <w:szCs w:val="20"/>
          <w14:ligatures w14:val="none"/>
        </w:rPr>
        <w:t>Tablettamag</w:t>
      </w:r>
    </w:p>
    <w:p w14:paraId="3662E407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proofErr w:type="gram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mikrokristályos</w:t>
      </w:r>
      <w:proofErr w:type="gram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cellulóz</w:t>
      </w:r>
    </w:p>
    <w:p w14:paraId="0AD2B597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kroszkarmellóz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-nátrium</w:t>
      </w:r>
    </w:p>
    <w:p w14:paraId="508D1B8D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proofErr w:type="gram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vízmenetes</w:t>
      </w:r>
      <w:proofErr w:type="gram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kolloid szilícium-dioxid</w:t>
      </w:r>
    </w:p>
    <w:p w14:paraId="5066C4D1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magnézium-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sztearát</w:t>
      </w:r>
      <w:proofErr w:type="spellEnd"/>
    </w:p>
    <w:p w14:paraId="1199628A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</w:p>
    <w:p w14:paraId="44660F17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i/>
          <w:kern w:val="0"/>
          <w:szCs w:val="20"/>
          <w14:ligatures w14:val="none"/>
        </w:rPr>
      </w:pPr>
      <w:r w:rsidRPr="00BF4685">
        <w:rPr>
          <w:rFonts w:ascii="Times New Roman" w:eastAsia="SimSun" w:hAnsi="Times New Roman" w:cs="Times New Roman"/>
          <w:i/>
          <w:kern w:val="0"/>
          <w:szCs w:val="20"/>
          <w14:ligatures w14:val="none"/>
        </w:rPr>
        <w:t>Filmbevonat</w:t>
      </w:r>
    </w:p>
    <w:p w14:paraId="1A5DBFB9" w14:textId="5AD9197C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proofErr w:type="spellStart"/>
      <w:proofErr w:type="gram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makrogol-poli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(</w:t>
      </w:r>
      <w:proofErr w:type="spellStart"/>
      <w:proofErr w:type="gram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vinil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-alkohol) fésűs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kopolimer</w:t>
      </w:r>
      <w:proofErr w:type="spellEnd"/>
    </w:p>
    <w:p w14:paraId="1990D1EF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proofErr w:type="gram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talkum</w:t>
      </w:r>
      <w:proofErr w:type="gramEnd"/>
    </w:p>
    <w:p w14:paraId="63D27A5D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proofErr w:type="gram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kalcium-karbonát</w:t>
      </w:r>
      <w:proofErr w:type="gramEnd"/>
    </w:p>
    <w:p w14:paraId="1CAD3900" w14:textId="174C5568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glicerin-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monokaprilokaprinát</w:t>
      </w:r>
      <w:proofErr w:type="spellEnd"/>
    </w:p>
    <w:p w14:paraId="3C70681A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proofErr w:type="spellStart"/>
      <w:proofErr w:type="gram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poli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(</w:t>
      </w:r>
      <w:proofErr w:type="spellStart"/>
      <w:proofErr w:type="gram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vinil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-alkohol)</w:t>
      </w:r>
    </w:p>
    <w:p w14:paraId="3F5682A4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proofErr w:type="gram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sárga</w:t>
      </w:r>
      <w:proofErr w:type="gram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vas-oxid (E172)</w:t>
      </w:r>
    </w:p>
    <w:p w14:paraId="74DE9535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proofErr w:type="gram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fekete</w:t>
      </w:r>
      <w:proofErr w:type="gram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vas-oxid (E172)</w:t>
      </w:r>
    </w:p>
    <w:p w14:paraId="1A0F04F9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proofErr w:type="gram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vörös</w:t>
      </w:r>
      <w:proofErr w:type="gram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vas-oxid (E172)</w:t>
      </w:r>
    </w:p>
    <w:p w14:paraId="4D3E7B87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</w:p>
    <w:p w14:paraId="7115D749" w14:textId="77777777" w:rsidR="00BF4685" w:rsidRPr="00BF4685" w:rsidRDefault="00BF4685" w:rsidP="00BF4685">
      <w:pPr>
        <w:keepNext/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>6.2</w:t>
      </w: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ab/>
        <w:t>Inkompatibilitások</w:t>
      </w:r>
    </w:p>
    <w:p w14:paraId="6DF10547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</w:p>
    <w:p w14:paraId="52645513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Nem értelmezhető.</w:t>
      </w:r>
    </w:p>
    <w:p w14:paraId="6E20A379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752C5689" w14:textId="77777777" w:rsidR="00BF4685" w:rsidRPr="00BF4685" w:rsidRDefault="00BF4685" w:rsidP="00BF4685">
      <w:pPr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>6.3</w:t>
      </w: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ab/>
        <w:t>Felhasználhatósági időtartam</w:t>
      </w:r>
    </w:p>
    <w:p w14:paraId="4100B018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</w:p>
    <w:p w14:paraId="527058F7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3 év.</w:t>
      </w:r>
    </w:p>
    <w:p w14:paraId="3B11EA2D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</w:p>
    <w:p w14:paraId="39519026" w14:textId="77777777" w:rsidR="00BF4685" w:rsidRPr="00BF4685" w:rsidRDefault="00BF4685" w:rsidP="00BF4685">
      <w:pPr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>6.4</w:t>
      </w: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ab/>
        <w:t>Különleges tárolási előírások</w:t>
      </w:r>
    </w:p>
    <w:p w14:paraId="0913C671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56B09F36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Ez a gyógyszer nem igényel különleges tárolást.</w:t>
      </w:r>
    </w:p>
    <w:p w14:paraId="50D8C35E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</w:p>
    <w:p w14:paraId="26CBC471" w14:textId="77777777" w:rsidR="00BF4685" w:rsidRPr="00BF4685" w:rsidRDefault="00BF4685" w:rsidP="00BF4685">
      <w:pPr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>6.5</w:t>
      </w: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ab/>
        <w:t xml:space="preserve">Csomagolás típusa és kiszerelése </w:t>
      </w:r>
    </w:p>
    <w:p w14:paraId="723BEDFA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</w:p>
    <w:p w14:paraId="0025823D" w14:textId="30439D1D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7 db vagy 10 db filmtablettát tartalmazó PVC/PVDC/</w:t>
      </w:r>
      <w:r w:rsidR="006B40E5">
        <w:rPr>
          <w:rFonts w:ascii="Times New Roman" w:eastAsia="SimSun" w:hAnsi="Times New Roman" w:cs="Times New Roman"/>
          <w:kern w:val="0"/>
          <w:szCs w:val="20"/>
          <w14:ligatures w14:val="none"/>
        </w:rPr>
        <w:t>/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Al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buborékcsomagolás, dobozban.</w:t>
      </w:r>
    </w:p>
    <w:p w14:paraId="3A021FB9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</w:p>
    <w:p w14:paraId="7E87D392" w14:textId="232A8DE4" w:rsidR="00BF4685" w:rsidRPr="00BF4685" w:rsidRDefault="001675DC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</w:pPr>
      <w:proofErr w:type="spellStart"/>
      <w:r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  <w:t>Alsemora</w:t>
      </w:r>
      <w:proofErr w:type="spellEnd"/>
      <w:r w:rsidR="00BF4685" w:rsidRPr="00BF4685"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  <w:t xml:space="preserve"> 10 mg filmtabletta</w:t>
      </w:r>
    </w:p>
    <w:p w14:paraId="3BCC8EB0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28 db, 30 db, 56 db, 98 db, 100 db vagy 112 db filmtabletta.</w:t>
      </w:r>
    </w:p>
    <w:p w14:paraId="318AB926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</w:p>
    <w:p w14:paraId="31EDBE06" w14:textId="2BAE64D3" w:rsidR="00BF4685" w:rsidRPr="00BF4685" w:rsidRDefault="001675DC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</w:pPr>
      <w:proofErr w:type="spellStart"/>
      <w:r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  <w:t>Alsemora</w:t>
      </w:r>
      <w:proofErr w:type="spellEnd"/>
      <w:r w:rsidR="00BF4685" w:rsidRPr="00BF4685"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  <w:t xml:space="preserve"> 20 mg filmtabletta</w:t>
      </w:r>
    </w:p>
    <w:p w14:paraId="089FB025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28 db, 30 db, 56 db, 98 db vagy 100 db filmtabletta.</w:t>
      </w:r>
    </w:p>
    <w:p w14:paraId="71352540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</w:p>
    <w:p w14:paraId="1EE2EFBA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Nem feltétlenül mindegyik kiszerelés kerül kereskedelmi forgalomba.</w:t>
      </w:r>
    </w:p>
    <w:p w14:paraId="03138692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</w:p>
    <w:p w14:paraId="1F1E33E8" w14:textId="77777777" w:rsidR="00BF4685" w:rsidRPr="00BF4685" w:rsidRDefault="00BF4685" w:rsidP="00BF4685">
      <w:pPr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>6.6</w:t>
      </w: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ab/>
        <w:t>A megsemmisítésre vonatkozó különleges óvintézkedések és egyéb, a készítmény kezelésével kapcsolatos információk</w:t>
      </w:r>
    </w:p>
    <w:p w14:paraId="64BA0CD8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</w:p>
    <w:p w14:paraId="508BA8D6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Bármilyen fel nem használt gyógyszer, illetve hulladékanyag megsemmisítését a gyógyszerekre vonatkozó előírások szerint kell végrehajtani.</w:t>
      </w:r>
    </w:p>
    <w:p w14:paraId="18D908F0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488E1286" w14:textId="77777777" w:rsidR="00A15EED" w:rsidRPr="009C6326" w:rsidRDefault="00A15EED" w:rsidP="0008764C">
      <w:pPr>
        <w:keepNext/>
        <w:spacing w:after="0" w:line="240" w:lineRule="auto"/>
        <w:rPr>
          <w:rFonts w:ascii="Times New Roman" w:hAnsi="Times New Roman" w:cs="Times New Roman"/>
          <w:bCs/>
        </w:rPr>
      </w:pPr>
      <w:r w:rsidRPr="009C6326">
        <w:rPr>
          <w:rFonts w:ascii="Times New Roman" w:hAnsi="Times New Roman" w:cs="Times New Roman"/>
          <w:b/>
        </w:rPr>
        <w:t>Megjegyzés:</w:t>
      </w:r>
      <w:r w:rsidRPr="00B7131B">
        <w:rPr>
          <w:bCs/>
        </w:rPr>
        <w:t xml:space="preserve"> </w:t>
      </w:r>
      <w:r w:rsidRPr="00B7131B">
        <w:rPr>
          <w:bCs/>
        </w:rPr>
        <w:sym w:font="Wingdings" w:char="F058"/>
      </w:r>
      <w:r w:rsidRPr="00B7131B">
        <w:rPr>
          <w:bCs/>
        </w:rPr>
        <w:t xml:space="preserve"> </w:t>
      </w:r>
      <w:r w:rsidRPr="00F74112">
        <w:rPr>
          <w:rFonts w:ascii="Times New Roman" w:hAnsi="Times New Roman" w:cs="Times New Roman"/>
          <w:bCs/>
        </w:rPr>
        <w:t>(egy kereszt)</w:t>
      </w:r>
    </w:p>
    <w:p w14:paraId="0D696A5C" w14:textId="77777777" w:rsidR="00A15EED" w:rsidRPr="009C6326" w:rsidRDefault="00A15EED" w:rsidP="0008764C">
      <w:pPr>
        <w:keepNext/>
        <w:spacing w:after="0" w:line="240" w:lineRule="auto"/>
        <w:rPr>
          <w:rFonts w:ascii="Times New Roman" w:hAnsi="Times New Roman" w:cs="Times New Roman"/>
          <w:b/>
          <w:bCs/>
        </w:rPr>
      </w:pPr>
      <w:r w:rsidRPr="009C6326">
        <w:rPr>
          <w:rFonts w:ascii="Times New Roman" w:hAnsi="Times New Roman" w:cs="Times New Roman"/>
          <w:b/>
          <w:bCs/>
        </w:rPr>
        <w:t xml:space="preserve">Osztályozás: </w:t>
      </w:r>
      <w:r w:rsidRPr="009C6326">
        <w:rPr>
          <w:rFonts w:ascii="Times New Roman" w:hAnsi="Times New Roman" w:cs="Times New Roman"/>
          <w:b/>
        </w:rPr>
        <w:t>II./2 csoport</w:t>
      </w:r>
    </w:p>
    <w:p w14:paraId="2022106F" w14:textId="77777777" w:rsidR="00A15EED" w:rsidRPr="0008764C" w:rsidRDefault="00A15EED" w:rsidP="00A15EED">
      <w:pPr>
        <w:pStyle w:val="Cmsor2"/>
        <w:keepLines w:val="0"/>
        <w:numPr>
          <w:ilvl w:val="1"/>
          <w:numId w:val="2"/>
        </w:numPr>
        <w:suppressAutoHyphens/>
        <w:spacing w:before="0" w:after="0" w:line="240" w:lineRule="auto"/>
        <w:rPr>
          <w:rFonts w:ascii="Times New Roman" w:hAnsi="Times New Roman"/>
          <w:b/>
          <w:i/>
          <w:color w:val="auto"/>
          <w:sz w:val="22"/>
          <w:szCs w:val="22"/>
        </w:rPr>
      </w:pPr>
      <w:r w:rsidRPr="0008764C">
        <w:rPr>
          <w:rFonts w:ascii="Times New Roman" w:hAnsi="Times New Roman"/>
          <w:color w:val="auto"/>
          <w:sz w:val="22"/>
          <w:szCs w:val="22"/>
        </w:rPr>
        <w:t>Korlátozott érvényű orvosi rendelvényhez kötött, szakorvosi/kórházi diagnózist követően folyamatos szakorvosi ellenőrzés mellett alkalmazható gyógyszer (</w:t>
      </w:r>
      <w:proofErr w:type="spellStart"/>
      <w:r w:rsidRPr="0008764C">
        <w:rPr>
          <w:rFonts w:ascii="Times New Roman" w:hAnsi="Times New Roman"/>
          <w:color w:val="auto"/>
          <w:sz w:val="22"/>
          <w:szCs w:val="22"/>
        </w:rPr>
        <w:t>Sz</w:t>
      </w:r>
      <w:proofErr w:type="spellEnd"/>
      <w:r w:rsidRPr="0008764C">
        <w:rPr>
          <w:rFonts w:ascii="Times New Roman" w:hAnsi="Times New Roman"/>
          <w:color w:val="auto"/>
          <w:sz w:val="22"/>
          <w:szCs w:val="22"/>
        </w:rPr>
        <w:t>).</w:t>
      </w:r>
    </w:p>
    <w:p w14:paraId="5938A7F1" w14:textId="1D56DD20" w:rsid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286DDAD6" w14:textId="77777777" w:rsidR="00A15EED" w:rsidRPr="00BF4685" w:rsidRDefault="00A15EED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6D8FB0B3" w14:textId="77777777" w:rsidR="00BF4685" w:rsidRPr="00BF4685" w:rsidRDefault="00BF4685" w:rsidP="00BF4685">
      <w:pPr>
        <w:keepNext/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>7.</w:t>
      </w: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ab/>
        <w:t>A FORGALOMBA HOZATALI ENGEDÉLY JOGOSULTJA</w:t>
      </w:r>
    </w:p>
    <w:p w14:paraId="3C7AAF4D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49A3E295" w14:textId="77777777" w:rsidR="00BF4685" w:rsidRPr="00BF4685" w:rsidRDefault="00BF4685" w:rsidP="00BF4685">
      <w:pPr>
        <w:spacing w:after="15" w:line="240" w:lineRule="auto"/>
        <w:ind w:left="11" w:hanging="9"/>
        <w:rPr>
          <w:rFonts w:ascii="Times New Roman" w:eastAsia="Calibri" w:hAnsi="Times New Roman" w:cs="Times New Roman"/>
          <w:kern w:val="0"/>
          <w:lang w:val="en-GB"/>
          <w14:ligatures w14:val="none"/>
        </w:rPr>
      </w:pPr>
      <w:r w:rsidRPr="00BF4685">
        <w:rPr>
          <w:rFonts w:ascii="Times New Roman" w:eastAsia="Calibri" w:hAnsi="Times New Roman" w:cs="Times New Roman"/>
          <w:kern w:val="0"/>
          <w:lang w:val="en-GB"/>
          <w14:ligatures w14:val="none"/>
        </w:rPr>
        <w:t>AS GRINDEKS</w:t>
      </w:r>
    </w:p>
    <w:p w14:paraId="2F383E27" w14:textId="77777777" w:rsidR="00BF4685" w:rsidRPr="00BF4685" w:rsidRDefault="00BF4685" w:rsidP="00BF4685">
      <w:pPr>
        <w:spacing w:after="15" w:line="240" w:lineRule="auto"/>
        <w:ind w:left="11" w:hanging="9"/>
        <w:rPr>
          <w:rFonts w:ascii="Times New Roman" w:eastAsia="Calibri" w:hAnsi="Times New Roman" w:cs="Times New Roman"/>
          <w:kern w:val="0"/>
          <w:lang w:val="en-GB"/>
          <w14:ligatures w14:val="none"/>
        </w:rPr>
      </w:pPr>
      <w:proofErr w:type="spellStart"/>
      <w:r w:rsidRPr="00BF4685">
        <w:rPr>
          <w:rFonts w:ascii="Times New Roman" w:eastAsia="Calibri" w:hAnsi="Times New Roman" w:cs="Times New Roman"/>
          <w:kern w:val="0"/>
          <w:lang w:val="en-GB"/>
          <w14:ligatures w14:val="none"/>
        </w:rPr>
        <w:t>Krustpils</w:t>
      </w:r>
      <w:proofErr w:type="spellEnd"/>
      <w:r w:rsidRPr="00BF4685">
        <w:rPr>
          <w:rFonts w:ascii="Times New Roman" w:eastAsia="Calibri" w:hAnsi="Times New Roman" w:cs="Times New Roman"/>
          <w:kern w:val="0"/>
          <w:lang w:val="en-GB"/>
          <w14:ligatures w14:val="none"/>
        </w:rPr>
        <w:t xml:space="preserve"> </w:t>
      </w:r>
      <w:proofErr w:type="spellStart"/>
      <w:r w:rsidRPr="00BF4685">
        <w:rPr>
          <w:rFonts w:ascii="Times New Roman" w:eastAsia="Calibri" w:hAnsi="Times New Roman" w:cs="Times New Roman"/>
          <w:kern w:val="0"/>
          <w:lang w:val="en-GB"/>
          <w14:ligatures w14:val="none"/>
        </w:rPr>
        <w:t>iela</w:t>
      </w:r>
      <w:proofErr w:type="spellEnd"/>
      <w:r w:rsidRPr="00BF4685">
        <w:rPr>
          <w:rFonts w:ascii="Times New Roman" w:eastAsia="Calibri" w:hAnsi="Times New Roman" w:cs="Times New Roman"/>
          <w:kern w:val="0"/>
          <w:lang w:val="en-GB"/>
          <w14:ligatures w14:val="none"/>
        </w:rPr>
        <w:t xml:space="preserve"> 53,</w:t>
      </w:r>
    </w:p>
    <w:p w14:paraId="1BB537B6" w14:textId="77777777" w:rsidR="00BF4685" w:rsidRPr="00BF4685" w:rsidRDefault="00BF4685" w:rsidP="00BF4685">
      <w:pPr>
        <w:spacing w:after="15" w:line="240" w:lineRule="auto"/>
        <w:ind w:left="11" w:hanging="9"/>
        <w:rPr>
          <w:rFonts w:ascii="Times New Roman" w:eastAsia="Calibri" w:hAnsi="Times New Roman" w:cs="Times New Roman"/>
          <w:kern w:val="0"/>
          <w:lang w:val="en-GB"/>
          <w14:ligatures w14:val="none"/>
        </w:rPr>
      </w:pPr>
      <w:proofErr w:type="spellStart"/>
      <w:r w:rsidRPr="00BF4685">
        <w:rPr>
          <w:rFonts w:ascii="Times New Roman" w:eastAsia="Calibri" w:hAnsi="Times New Roman" w:cs="Times New Roman"/>
          <w:kern w:val="0"/>
          <w:lang w:val="en-GB"/>
          <w14:ligatures w14:val="none"/>
        </w:rPr>
        <w:t>Rīga</w:t>
      </w:r>
      <w:proofErr w:type="spellEnd"/>
      <w:r w:rsidRPr="00BF4685">
        <w:rPr>
          <w:rFonts w:ascii="Times New Roman" w:eastAsia="Calibri" w:hAnsi="Times New Roman" w:cs="Times New Roman"/>
          <w:kern w:val="0"/>
          <w:lang w:val="en-GB"/>
          <w14:ligatures w14:val="none"/>
        </w:rPr>
        <w:t>, LV-1057,</w:t>
      </w:r>
    </w:p>
    <w:p w14:paraId="1226F6EB" w14:textId="77777777" w:rsidR="00BF4685" w:rsidRPr="00BF4685" w:rsidRDefault="00BF4685" w:rsidP="00BF4685">
      <w:pPr>
        <w:spacing w:after="15" w:line="240" w:lineRule="auto"/>
        <w:ind w:left="11" w:hanging="9"/>
        <w:rPr>
          <w:rFonts w:ascii="Times New Roman" w:eastAsia="Calibri" w:hAnsi="Times New Roman" w:cs="Times New Roman"/>
          <w:kern w:val="0"/>
          <w:lang w:val="en-GB"/>
          <w14:ligatures w14:val="none"/>
        </w:rPr>
      </w:pPr>
      <w:proofErr w:type="spellStart"/>
      <w:r w:rsidRPr="00BF4685">
        <w:rPr>
          <w:rFonts w:ascii="Times New Roman" w:eastAsia="Calibri" w:hAnsi="Times New Roman" w:cs="Times New Roman"/>
          <w:kern w:val="0"/>
          <w:lang w:val="en-GB"/>
          <w14:ligatures w14:val="none"/>
        </w:rPr>
        <w:t>Lettország</w:t>
      </w:r>
      <w:proofErr w:type="spellEnd"/>
    </w:p>
    <w:p w14:paraId="7BDB58E1" w14:textId="77777777" w:rsidR="00BF4685" w:rsidRPr="00BF4685" w:rsidRDefault="00BF4685" w:rsidP="00BF4685">
      <w:pPr>
        <w:spacing w:after="15" w:line="240" w:lineRule="auto"/>
        <w:ind w:left="11" w:hanging="9"/>
        <w:rPr>
          <w:rFonts w:ascii="Times New Roman" w:eastAsia="Calibri" w:hAnsi="Times New Roman" w:cs="Times New Roman"/>
          <w:kern w:val="0"/>
          <w:lang w:val="en-GB"/>
          <w14:ligatures w14:val="none"/>
        </w:rPr>
      </w:pPr>
      <w:r w:rsidRPr="00BF4685">
        <w:rPr>
          <w:rFonts w:ascii="Times New Roman" w:eastAsia="Calibri" w:hAnsi="Times New Roman" w:cs="Times New Roman"/>
          <w:kern w:val="0"/>
          <w:lang w:val="en-GB"/>
          <w14:ligatures w14:val="none"/>
        </w:rPr>
        <w:t>Tel.: +371 67083205</w:t>
      </w:r>
    </w:p>
    <w:p w14:paraId="28EDA2D4" w14:textId="77777777" w:rsidR="00BF4685" w:rsidRPr="00BF4685" w:rsidRDefault="00BF4685" w:rsidP="00BF4685">
      <w:pPr>
        <w:spacing w:after="15" w:line="240" w:lineRule="auto"/>
        <w:ind w:left="11" w:hanging="9"/>
        <w:rPr>
          <w:rFonts w:ascii="Times New Roman" w:eastAsia="Calibri" w:hAnsi="Times New Roman" w:cs="Times New Roman"/>
          <w:kern w:val="0"/>
          <w:lang w:val="en-GB"/>
          <w14:ligatures w14:val="none"/>
        </w:rPr>
      </w:pPr>
      <w:proofErr w:type="gramStart"/>
      <w:r w:rsidRPr="00BF4685">
        <w:rPr>
          <w:rFonts w:ascii="Times New Roman" w:eastAsia="Calibri" w:hAnsi="Times New Roman" w:cs="Times New Roman"/>
          <w:kern w:val="0"/>
          <w:lang w:val="en-GB"/>
          <w14:ligatures w14:val="none"/>
        </w:rPr>
        <w:t>e-mail</w:t>
      </w:r>
      <w:proofErr w:type="gramEnd"/>
      <w:r w:rsidRPr="00BF4685">
        <w:rPr>
          <w:rFonts w:ascii="Times New Roman" w:eastAsia="Calibri" w:hAnsi="Times New Roman" w:cs="Times New Roman"/>
          <w:kern w:val="0"/>
          <w:lang w:val="en-GB"/>
          <w14:ligatures w14:val="none"/>
        </w:rPr>
        <w:t>: grindeks@grindeks.com</w:t>
      </w:r>
    </w:p>
    <w:p w14:paraId="3F8C78DB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0B053B3C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62BE1FD2" w14:textId="77777777" w:rsidR="00BF4685" w:rsidRPr="00BF4685" w:rsidRDefault="00BF4685" w:rsidP="00BF4685">
      <w:pPr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>8.</w:t>
      </w: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ab/>
        <w:t xml:space="preserve">A FORGALOMBA HOZATALI ENGEDÉLY </w:t>
      </w:r>
      <w:proofErr w:type="gramStart"/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>SZÁMA(</w:t>
      </w:r>
      <w:proofErr w:type="gramEnd"/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>I)</w:t>
      </w:r>
    </w:p>
    <w:p w14:paraId="32D7AFE1" w14:textId="7AF1DCFE" w:rsid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32E76870" w14:textId="77777777" w:rsidR="002B5FA5" w:rsidRPr="002B5FA5" w:rsidRDefault="002B5FA5" w:rsidP="002B5FA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u w:val="single"/>
          <w:lang w:eastAsia="zh-CN"/>
          <w14:ligatures w14:val="none"/>
        </w:rPr>
      </w:pPr>
      <w:proofErr w:type="spellStart"/>
      <w:r w:rsidRPr="002B5FA5">
        <w:rPr>
          <w:rFonts w:ascii="Times New Roman" w:eastAsia="SimSun" w:hAnsi="Times New Roman" w:cs="Times New Roman"/>
          <w:snapToGrid w:val="0"/>
          <w:kern w:val="0"/>
          <w:u w:val="single"/>
          <w:lang w:eastAsia="zh-CN"/>
          <w14:ligatures w14:val="none"/>
        </w:rPr>
        <w:t>Alsemora</w:t>
      </w:r>
      <w:proofErr w:type="spellEnd"/>
      <w:r w:rsidRPr="002B5FA5">
        <w:rPr>
          <w:rFonts w:ascii="Times New Roman" w:eastAsia="SimSun" w:hAnsi="Times New Roman" w:cs="Times New Roman"/>
          <w:snapToGrid w:val="0"/>
          <w:kern w:val="0"/>
          <w:u w:val="single"/>
          <w:lang w:eastAsia="zh-CN"/>
          <w14:ligatures w14:val="none"/>
        </w:rPr>
        <w:t xml:space="preserve"> 10 mg filmtabletta</w:t>
      </w:r>
      <w:bookmarkStart w:id="0" w:name="_GoBack"/>
      <w:bookmarkEnd w:id="0"/>
    </w:p>
    <w:p w14:paraId="3E505DEB" w14:textId="4C2BE15C" w:rsidR="002B5FA5" w:rsidRPr="002B5FA5" w:rsidRDefault="002B5FA5" w:rsidP="002B5FA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OGYI-T-24736/01</w:t>
      </w: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ab/>
        <w:t>28×</w:t>
      </w: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ab/>
      </w:r>
      <w:r w:rsidRPr="002B5FA5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PVC/PVDC//</w:t>
      </w:r>
      <w:proofErr w:type="spellStart"/>
      <w:r w:rsidRPr="002B5FA5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Al</w:t>
      </w:r>
      <w:proofErr w:type="spellEnd"/>
      <w:r w:rsidRPr="002B5FA5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buborékcsomagolásban</w:t>
      </w:r>
    </w:p>
    <w:p w14:paraId="2C2FE1DB" w14:textId="1341F16F" w:rsidR="002B5FA5" w:rsidRPr="002B5FA5" w:rsidRDefault="002B5FA5" w:rsidP="002B5FA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OGYI-T-24736/02</w:t>
      </w: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ab/>
        <w:t>30×</w:t>
      </w: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ab/>
      </w:r>
      <w:r w:rsidRPr="002B5FA5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PVC/PVDC//</w:t>
      </w:r>
      <w:proofErr w:type="spellStart"/>
      <w:r w:rsidRPr="002B5FA5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Al</w:t>
      </w:r>
      <w:proofErr w:type="spellEnd"/>
      <w:r w:rsidRPr="002B5FA5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buborékcsomagolásban</w:t>
      </w:r>
    </w:p>
    <w:p w14:paraId="43F84E19" w14:textId="55787574" w:rsidR="002B5FA5" w:rsidRPr="002B5FA5" w:rsidRDefault="002B5FA5" w:rsidP="002B5FA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OGYI-T-24736/03</w:t>
      </w: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ab/>
        <w:t>56×</w:t>
      </w: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ab/>
      </w:r>
      <w:r w:rsidRPr="002B5FA5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PVC/PVDC//</w:t>
      </w:r>
      <w:proofErr w:type="spellStart"/>
      <w:r w:rsidRPr="002B5FA5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Al</w:t>
      </w:r>
      <w:proofErr w:type="spellEnd"/>
      <w:r w:rsidRPr="002B5FA5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buborékcsomagolásban</w:t>
      </w:r>
    </w:p>
    <w:p w14:paraId="27D8F01F" w14:textId="4C185CDA" w:rsidR="002B5FA5" w:rsidRPr="002B5FA5" w:rsidRDefault="002B5FA5" w:rsidP="002B5FA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OGYI-T-24736/04</w:t>
      </w: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ab/>
        <w:t>98×</w:t>
      </w: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ab/>
      </w:r>
      <w:r w:rsidRPr="002B5FA5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PVC/PVDC//</w:t>
      </w:r>
      <w:proofErr w:type="spellStart"/>
      <w:r w:rsidRPr="002B5FA5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Al</w:t>
      </w:r>
      <w:proofErr w:type="spellEnd"/>
      <w:r w:rsidRPr="002B5FA5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buborékcsomagolásban</w:t>
      </w:r>
    </w:p>
    <w:p w14:paraId="4880A356" w14:textId="4115DC87" w:rsidR="002B5FA5" w:rsidRPr="002B5FA5" w:rsidRDefault="002B5FA5" w:rsidP="002B5FA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OGYI-T-24736/05</w:t>
      </w: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ab/>
        <w:t>100×</w:t>
      </w: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ab/>
      </w:r>
      <w:r w:rsidRPr="002B5FA5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PVC/PVDC//</w:t>
      </w:r>
      <w:proofErr w:type="spellStart"/>
      <w:r w:rsidRPr="002B5FA5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Al</w:t>
      </w:r>
      <w:proofErr w:type="spellEnd"/>
      <w:r w:rsidRPr="002B5FA5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buborékcsomagolásban</w:t>
      </w:r>
    </w:p>
    <w:p w14:paraId="0A06FE6D" w14:textId="232B8A75" w:rsidR="002B5FA5" w:rsidRPr="002B5FA5" w:rsidRDefault="002B5FA5" w:rsidP="002B5FA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2B5FA5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OGYI-T-24</w:t>
      </w: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736/06</w:t>
      </w: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ab/>
        <w:t>112×</w:t>
      </w: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ab/>
      </w:r>
      <w:r w:rsidRPr="002B5FA5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PVC/</w:t>
      </w: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PVDC//</w:t>
      </w:r>
      <w:proofErr w:type="spellStart"/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Al</w:t>
      </w:r>
      <w:proofErr w:type="spellEnd"/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buborékcsomagolásban</w:t>
      </w:r>
    </w:p>
    <w:p w14:paraId="495B4974" w14:textId="77777777" w:rsidR="002B5FA5" w:rsidRPr="002B5FA5" w:rsidRDefault="002B5FA5" w:rsidP="002B5FA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4E1DC746" w14:textId="77777777" w:rsidR="002B5FA5" w:rsidRPr="002B5FA5" w:rsidRDefault="002B5FA5" w:rsidP="002B5FA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u w:val="single"/>
          <w:lang w:eastAsia="zh-CN"/>
          <w14:ligatures w14:val="none"/>
        </w:rPr>
      </w:pPr>
      <w:proofErr w:type="spellStart"/>
      <w:r w:rsidRPr="002B5FA5">
        <w:rPr>
          <w:rFonts w:ascii="Times New Roman" w:eastAsia="SimSun" w:hAnsi="Times New Roman" w:cs="Times New Roman"/>
          <w:snapToGrid w:val="0"/>
          <w:kern w:val="0"/>
          <w:u w:val="single"/>
          <w:lang w:eastAsia="zh-CN"/>
          <w14:ligatures w14:val="none"/>
        </w:rPr>
        <w:t>Alsemora</w:t>
      </w:r>
      <w:proofErr w:type="spellEnd"/>
      <w:r w:rsidRPr="002B5FA5">
        <w:rPr>
          <w:rFonts w:ascii="Times New Roman" w:eastAsia="SimSun" w:hAnsi="Times New Roman" w:cs="Times New Roman"/>
          <w:snapToGrid w:val="0"/>
          <w:kern w:val="0"/>
          <w:u w:val="single"/>
          <w:lang w:eastAsia="zh-CN"/>
          <w14:ligatures w14:val="none"/>
        </w:rPr>
        <w:t xml:space="preserve"> 20 mg filmtabletta</w:t>
      </w:r>
    </w:p>
    <w:p w14:paraId="340A1FC4" w14:textId="47CED0B8" w:rsidR="002B5FA5" w:rsidRPr="002B5FA5" w:rsidRDefault="002B5FA5" w:rsidP="002B5FA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OGYI-T-24736/07</w:t>
      </w: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ab/>
        <w:t>28×</w:t>
      </w: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ab/>
      </w:r>
      <w:r w:rsidRPr="002B5FA5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PVC/PVDC//</w:t>
      </w:r>
      <w:proofErr w:type="spellStart"/>
      <w:r w:rsidRPr="002B5FA5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Al</w:t>
      </w:r>
      <w:proofErr w:type="spellEnd"/>
      <w:r w:rsidRPr="002B5FA5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buborékcsomagolásban</w:t>
      </w:r>
    </w:p>
    <w:p w14:paraId="0371698A" w14:textId="73E27F62" w:rsidR="002B5FA5" w:rsidRPr="002B5FA5" w:rsidRDefault="002B5FA5" w:rsidP="002B5FA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OGYI-T-24736/08</w:t>
      </w: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ab/>
        <w:t>30×</w:t>
      </w: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ab/>
      </w:r>
      <w:r w:rsidRPr="002B5FA5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PVC/PVDC//</w:t>
      </w:r>
      <w:proofErr w:type="spellStart"/>
      <w:r w:rsidRPr="002B5FA5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Al</w:t>
      </w:r>
      <w:proofErr w:type="spellEnd"/>
      <w:r w:rsidRPr="002B5FA5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buborékcsomagolásban</w:t>
      </w:r>
    </w:p>
    <w:p w14:paraId="30EA839D" w14:textId="6E15D68B" w:rsidR="002B5FA5" w:rsidRPr="002B5FA5" w:rsidRDefault="002B5FA5" w:rsidP="002B5FA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OGYI-T-24736/09</w:t>
      </w: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ab/>
        <w:t>56×</w:t>
      </w: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ab/>
      </w:r>
      <w:r w:rsidRPr="002B5FA5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PVC/PVDC//</w:t>
      </w:r>
      <w:proofErr w:type="spellStart"/>
      <w:r w:rsidRPr="002B5FA5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Al</w:t>
      </w:r>
      <w:proofErr w:type="spellEnd"/>
      <w:r w:rsidRPr="002B5FA5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buborékcsomagolásban</w:t>
      </w:r>
    </w:p>
    <w:p w14:paraId="2FC7E585" w14:textId="721A3D09" w:rsidR="002B5FA5" w:rsidRPr="002B5FA5" w:rsidRDefault="002B5FA5" w:rsidP="002B5FA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OGYI-T-24736/10</w:t>
      </w: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ab/>
        <w:t>98×</w:t>
      </w: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ab/>
      </w:r>
      <w:r w:rsidRPr="002B5FA5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PVC/PVDC//</w:t>
      </w:r>
      <w:proofErr w:type="spellStart"/>
      <w:r w:rsidRPr="002B5FA5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Al</w:t>
      </w:r>
      <w:proofErr w:type="spellEnd"/>
      <w:r w:rsidRPr="002B5FA5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buborékcsomagolásban</w:t>
      </w:r>
    </w:p>
    <w:p w14:paraId="2BB7EFE4" w14:textId="445B23B7" w:rsidR="002B5FA5" w:rsidRPr="00BF4685" w:rsidRDefault="002B5FA5" w:rsidP="002B5FA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OGYI-T-24736/11</w:t>
      </w: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ab/>
        <w:t>100×</w:t>
      </w: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ab/>
      </w:r>
      <w:r w:rsidRPr="002B5FA5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PVC/PVDC//</w:t>
      </w:r>
      <w:proofErr w:type="spellStart"/>
      <w:r w:rsidRPr="002B5FA5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Al</w:t>
      </w:r>
      <w:proofErr w:type="spellEnd"/>
      <w:r w:rsidRPr="002B5FA5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buborékcsomagolásban</w:t>
      </w:r>
    </w:p>
    <w:p w14:paraId="22671301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6750D78A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2369C298" w14:textId="77777777" w:rsidR="00BF4685" w:rsidRPr="00BF4685" w:rsidRDefault="00BF4685" w:rsidP="00BF4685">
      <w:pPr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>9.</w:t>
      </w: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ab/>
        <w:t>A FORGALOMBA HOZATALI ENGEDÉLY ELSŐ KIADÁSÁNAK/ MEGÚJÍTÁSÁNAK</w:t>
      </w:r>
      <w:r w:rsidRPr="00BF4685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 xml:space="preserve"> DÁTUMA</w:t>
      </w:r>
    </w:p>
    <w:p w14:paraId="2B5B058E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</w:p>
    <w:p w14:paraId="5DF0E53C" w14:textId="7146D15A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A forgalomba hozatali engedély első kiadásának dátuma: </w:t>
      </w:r>
      <w:r w:rsidR="002B5FA5">
        <w:rPr>
          <w:rFonts w:ascii="Times New Roman" w:eastAsia="SimSun" w:hAnsi="Times New Roman" w:cs="Times New Roman"/>
          <w:kern w:val="0"/>
          <w:szCs w:val="20"/>
          <w14:ligatures w14:val="none"/>
        </w:rPr>
        <w:t>2026. május 12.</w:t>
      </w:r>
    </w:p>
    <w:p w14:paraId="7D972807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</w:p>
    <w:p w14:paraId="2AE790B3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</w:p>
    <w:p w14:paraId="78292277" w14:textId="190B16CC" w:rsidR="00145300" w:rsidRDefault="00BF4685" w:rsidP="00BF4685">
      <w:pPr>
        <w:keepNext/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>10.</w:t>
      </w: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ab/>
        <w:t>A SZÖVEG ELLENŐRZÉSÉNEK DÁTUMA</w:t>
      </w:r>
    </w:p>
    <w:p w14:paraId="2C671C7F" w14:textId="77777777" w:rsidR="00BF4685" w:rsidRDefault="00BF4685" w:rsidP="00BF4685">
      <w:pPr>
        <w:keepNext/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</w:p>
    <w:p w14:paraId="110D6A29" w14:textId="39185849" w:rsidR="00BF4685" w:rsidRPr="002B5FA5" w:rsidRDefault="002B5FA5" w:rsidP="00BF4685">
      <w:pPr>
        <w:keepNext/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B5FA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2026. május 12.</w:t>
      </w:r>
    </w:p>
    <w:sectPr w:rsidR="00BF4685" w:rsidRPr="002B5FA5" w:rsidSect="00BF4685">
      <w:headerReference w:type="default" r:id="rId8"/>
      <w:footerReference w:type="default" r:id="rId9"/>
      <w:footerReference w:type="first" r:id="rId10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E80025B" w16cid:durableId="5E80025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8C8D03" w14:textId="77777777" w:rsidR="00B35258" w:rsidRDefault="00B35258" w:rsidP="00BF4685">
      <w:pPr>
        <w:spacing w:after="0" w:line="240" w:lineRule="auto"/>
      </w:pPr>
      <w:r>
        <w:separator/>
      </w:r>
    </w:p>
  </w:endnote>
  <w:endnote w:type="continuationSeparator" w:id="0">
    <w:p w14:paraId="32E68279" w14:textId="77777777" w:rsidR="00B35258" w:rsidRDefault="00B35258" w:rsidP="00BF46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D2E35B" w14:textId="77777777" w:rsidR="00BF4685" w:rsidRDefault="00BF4685">
    <w:pPr>
      <w:pStyle w:val="llb"/>
      <w:tabs>
        <w:tab w:val="right" w:pos="8931"/>
      </w:tabs>
      <w:ind w:right="96"/>
      <w:jc w:val="center"/>
    </w:pPr>
    <w:r>
      <w:rPr>
        <w:szCs w:val="24"/>
      </w:rPr>
      <w:fldChar w:fldCharType="begin"/>
    </w:r>
    <w:r>
      <w:rPr>
        <w:szCs w:val="24"/>
      </w:rPr>
      <w:instrText xml:space="preserve"> EQ </w:instrText>
    </w:r>
    <w:r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73A5E3" w14:textId="77777777" w:rsidR="00305A47" w:rsidRPr="00305A47" w:rsidRDefault="00305A47" w:rsidP="00305A47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305A47">
      <w:rPr>
        <w:rFonts w:ascii="Times New Roman" w:hAnsi="Times New Roman"/>
        <w:sz w:val="18"/>
        <w:szCs w:val="18"/>
      </w:rPr>
      <w:t>OGYÉI/71843/2023</w:t>
    </w:r>
  </w:p>
  <w:p w14:paraId="54AF8F38" w14:textId="37AFF033" w:rsidR="00BF4685" w:rsidRPr="006A5381" w:rsidRDefault="00305A47" w:rsidP="00305A47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305A47">
      <w:rPr>
        <w:rFonts w:ascii="Times New Roman" w:hAnsi="Times New Roman"/>
        <w:sz w:val="18"/>
        <w:szCs w:val="18"/>
      </w:rPr>
      <w:t>OGYÉI/71844/2023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755E7C" w14:textId="77777777" w:rsidR="00B35258" w:rsidRDefault="00B35258" w:rsidP="00BF4685">
      <w:pPr>
        <w:spacing w:after="0" w:line="240" w:lineRule="auto"/>
      </w:pPr>
      <w:r>
        <w:separator/>
      </w:r>
    </w:p>
  </w:footnote>
  <w:footnote w:type="continuationSeparator" w:id="0">
    <w:p w14:paraId="4CC2CDEC" w14:textId="77777777" w:rsidR="00B35258" w:rsidRDefault="00B35258" w:rsidP="00BF46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FC79FC" w14:textId="23B26145" w:rsidR="00BF4685" w:rsidRPr="00BF4685" w:rsidRDefault="00BF4685" w:rsidP="00C87060">
    <w:pPr>
      <w:pStyle w:val="lfej"/>
      <w:jc w:val="center"/>
      <w:rPr>
        <w:rFonts w:ascii="Times New Roman" w:hAnsi="Times New Roman" w:cs="Times New Roman"/>
      </w:rPr>
    </w:pPr>
    <w:r w:rsidRPr="00BF4685">
      <w:rPr>
        <w:rFonts w:ascii="Times New Roman" w:hAnsi="Times New Roman" w:cs="Times New Roman"/>
        <w:sz w:val="18"/>
        <w:szCs w:val="18"/>
      </w:rPr>
      <w:fldChar w:fldCharType="begin"/>
    </w:r>
    <w:r w:rsidRPr="00BF4685">
      <w:rPr>
        <w:rFonts w:ascii="Times New Roman" w:hAnsi="Times New Roman" w:cs="Times New Roman"/>
        <w:sz w:val="18"/>
        <w:szCs w:val="18"/>
      </w:rPr>
      <w:instrText>PAGE   \* MERGEFORMAT</w:instrText>
    </w:r>
    <w:r w:rsidRPr="00BF4685">
      <w:rPr>
        <w:rFonts w:ascii="Times New Roman" w:hAnsi="Times New Roman" w:cs="Times New Roman"/>
        <w:sz w:val="18"/>
        <w:szCs w:val="18"/>
      </w:rPr>
      <w:fldChar w:fldCharType="separate"/>
    </w:r>
    <w:r w:rsidR="002B5FA5">
      <w:rPr>
        <w:rFonts w:ascii="Times New Roman" w:hAnsi="Times New Roman" w:cs="Times New Roman"/>
        <w:noProof/>
        <w:sz w:val="18"/>
        <w:szCs w:val="18"/>
      </w:rPr>
      <w:t>9</w:t>
    </w:r>
    <w:r w:rsidRPr="00BF4685">
      <w:rPr>
        <w:rFonts w:ascii="Times New Roman" w:hAnsi="Times New Roman" w:cs="Times New Roman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" w15:restartNumberingAfterBreak="0">
    <w:nsid w:val="3E4348CA"/>
    <w:multiLevelType w:val="hybridMultilevel"/>
    <w:tmpl w:val="869E01E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685"/>
    <w:rsid w:val="0008764C"/>
    <w:rsid w:val="00145300"/>
    <w:rsid w:val="001675DC"/>
    <w:rsid w:val="00236C67"/>
    <w:rsid w:val="00256696"/>
    <w:rsid w:val="00275C1A"/>
    <w:rsid w:val="002A6C81"/>
    <w:rsid w:val="002B5FA5"/>
    <w:rsid w:val="00305A47"/>
    <w:rsid w:val="00323A26"/>
    <w:rsid w:val="003D3978"/>
    <w:rsid w:val="004E51FB"/>
    <w:rsid w:val="005B60DE"/>
    <w:rsid w:val="005E02E0"/>
    <w:rsid w:val="006B40E5"/>
    <w:rsid w:val="006F318C"/>
    <w:rsid w:val="00A15EED"/>
    <w:rsid w:val="00B35258"/>
    <w:rsid w:val="00BF4685"/>
    <w:rsid w:val="00E34A3E"/>
    <w:rsid w:val="00FF2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5CF41"/>
  <w15:chartTrackingRefBased/>
  <w15:docId w15:val="{F6EF5335-FD7B-455B-AC12-9F77EB6D7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BF46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BF46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BF468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BF46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BF468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BF46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BF46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BF46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BF46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BF468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BF468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BF468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BF4685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BF4685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BF4685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BF4685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BF4685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BF4685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BF46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BF46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BF46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BF46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BF46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BF4685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BF4685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BF4685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BF468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BF4685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BF4685"/>
    <w:rPr>
      <w:b/>
      <w:bCs/>
      <w:smallCaps/>
      <w:color w:val="2F5496" w:themeColor="accent1" w:themeShade="BF"/>
      <w:spacing w:val="5"/>
    </w:rPr>
  </w:style>
  <w:style w:type="paragraph" w:styleId="llb">
    <w:name w:val="footer"/>
    <w:basedOn w:val="Norml"/>
    <w:link w:val="llbChar"/>
    <w:uiPriority w:val="99"/>
    <w:unhideWhenUsed/>
    <w:rsid w:val="00BF46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F4685"/>
  </w:style>
  <w:style w:type="paragraph" w:styleId="lfej">
    <w:name w:val="header"/>
    <w:basedOn w:val="Norml"/>
    <w:link w:val="lfejChar"/>
    <w:uiPriority w:val="99"/>
    <w:unhideWhenUsed/>
    <w:rsid w:val="00BF46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F4685"/>
  </w:style>
  <w:style w:type="paragraph" w:styleId="Buborkszveg">
    <w:name w:val="Balloon Text"/>
    <w:basedOn w:val="Norml"/>
    <w:link w:val="BuborkszvegChar"/>
    <w:uiPriority w:val="99"/>
    <w:semiHidden/>
    <w:unhideWhenUsed/>
    <w:rsid w:val="005E02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E02E0"/>
    <w:rPr>
      <w:rFonts w:ascii="Segoe UI" w:hAnsi="Segoe UI" w:cs="Segoe UI"/>
      <w:sz w:val="18"/>
      <w:szCs w:val="18"/>
    </w:rPr>
  </w:style>
  <w:style w:type="character" w:styleId="Jegyzethivatkozs">
    <w:name w:val="annotation reference"/>
    <w:basedOn w:val="Bekezdsalapbettpusa"/>
    <w:uiPriority w:val="99"/>
    <w:semiHidden/>
    <w:unhideWhenUsed/>
    <w:rsid w:val="00A15EE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A15EE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A15EE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A15EE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A15EED"/>
    <w:rPr>
      <w:b/>
      <w:bCs/>
      <w:sz w:val="20"/>
      <w:szCs w:val="20"/>
    </w:rPr>
  </w:style>
  <w:style w:type="paragraph" w:styleId="Vltozat">
    <w:name w:val="Revision"/>
    <w:hidden/>
    <w:uiPriority w:val="99"/>
    <w:semiHidden/>
    <w:rsid w:val="00323A2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84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_or_form/2013/03/WC500139752.do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9</Pages>
  <Words>3032</Words>
  <Characters>20921</Characters>
  <Application>Microsoft Office Word</Application>
  <DocSecurity>0</DocSecurity>
  <Lines>174</Lines>
  <Paragraphs>47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RKV-VV</dc:creator>
  <cp:keywords/>
  <dc:description/>
  <cp:lastModifiedBy>HU_OGYI_50.1</cp:lastModifiedBy>
  <cp:revision>3</cp:revision>
  <dcterms:created xsi:type="dcterms:W3CDTF">2026-05-11T12:36:00Z</dcterms:created>
  <dcterms:modified xsi:type="dcterms:W3CDTF">2026-05-12T09:13:00Z</dcterms:modified>
</cp:coreProperties>
</file>