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47530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</w:pPr>
      <w:r w:rsidRPr="000E7E81">
        <w:t>1.</w:t>
      </w:r>
      <w:r w:rsidRPr="000E7E81">
        <w:tab/>
      </w:r>
      <w:r w:rsidR="00DC1350" w:rsidRPr="000E7E81">
        <w:rPr>
          <w:noProof/>
          <w:lang w:val="hu-HU" w:eastAsia="en-US"/>
        </w:rPr>
        <w:t>A GYÓGYSZER NEVE</w:t>
      </w:r>
    </w:p>
    <w:p w14:paraId="51406FE1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</w:rPr>
      </w:pPr>
    </w:p>
    <w:p w14:paraId="3010E27B" w14:textId="77777777" w:rsidR="00DF22A9" w:rsidRPr="000E7E81" w:rsidRDefault="00D74BF2" w:rsidP="000E7E81">
      <w:pPr>
        <w:tabs>
          <w:tab w:val="left" w:pos="567"/>
        </w:tabs>
        <w:spacing w:after="0"/>
        <w:rPr>
          <w:szCs w:val="22"/>
          <w:lang w:val="hu-HU"/>
        </w:rPr>
      </w:pPr>
      <w:bookmarkStart w:id="0" w:name="_Hlk35521696"/>
      <w:bookmarkStart w:id="1" w:name="_Hlk69217573"/>
      <w:r w:rsidRPr="000E7E81">
        <w:rPr>
          <w:szCs w:val="22"/>
        </w:rPr>
        <w:t xml:space="preserve">Omeprazole </w:t>
      </w:r>
      <w:r w:rsidR="006E0E91" w:rsidRPr="000E7E81">
        <w:rPr>
          <w:szCs w:val="22"/>
        </w:rPr>
        <w:t>Gufic</w:t>
      </w:r>
      <w:r w:rsidRPr="000E7E81">
        <w:rPr>
          <w:szCs w:val="22"/>
        </w:rPr>
        <w:t xml:space="preserve"> </w:t>
      </w:r>
      <w:r w:rsidRPr="000E7E81">
        <w:rPr>
          <w:szCs w:val="22"/>
          <w:lang w:val="hu-HU"/>
        </w:rPr>
        <w:t>40 mg por oldatos infúzióhoz</w:t>
      </w:r>
      <w:bookmarkEnd w:id="0"/>
      <w:bookmarkEnd w:id="1"/>
    </w:p>
    <w:p w14:paraId="12CD5710" w14:textId="77777777" w:rsidR="00535191" w:rsidRPr="000E7E81" w:rsidRDefault="00535191">
      <w:pPr>
        <w:tabs>
          <w:tab w:val="left" w:pos="567"/>
        </w:tabs>
        <w:spacing w:after="0"/>
        <w:rPr>
          <w:szCs w:val="22"/>
        </w:rPr>
      </w:pPr>
    </w:p>
    <w:p w14:paraId="6A91B423" w14:textId="77777777" w:rsidR="001F0A1A" w:rsidRPr="000E7E81" w:rsidRDefault="001F0A1A">
      <w:pPr>
        <w:tabs>
          <w:tab w:val="left" w:pos="567"/>
        </w:tabs>
        <w:spacing w:after="0"/>
        <w:rPr>
          <w:szCs w:val="22"/>
        </w:rPr>
      </w:pPr>
    </w:p>
    <w:p w14:paraId="72B88CCF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</w:pPr>
      <w:r w:rsidRPr="000E7E81">
        <w:t>2.</w:t>
      </w:r>
      <w:r w:rsidRPr="000E7E81">
        <w:tab/>
      </w:r>
      <w:r w:rsidR="00DC1350" w:rsidRPr="000E7E81">
        <w:rPr>
          <w:lang w:val="hu-HU"/>
        </w:rPr>
        <w:t>MINŐSÉGI ÉS MENNYISÉGI ÖSSZETÉTEL</w:t>
      </w:r>
    </w:p>
    <w:p w14:paraId="2CFEE932" w14:textId="77777777" w:rsidR="00CF3854" w:rsidRPr="000E7E81" w:rsidRDefault="00CF3854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4A44F0B7" w14:textId="77777777" w:rsidR="00D74BF2" w:rsidRPr="000E7E81" w:rsidRDefault="00D74BF2" w:rsidP="000E7E81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40 mg omeprazol</w:t>
      </w:r>
      <w:r w:rsidR="007376EF" w:rsidRPr="000E7E81">
        <w:rPr>
          <w:szCs w:val="22"/>
          <w:lang w:val="hu-HU"/>
        </w:rPr>
        <w:t>t tartalmaz</w:t>
      </w:r>
      <w:r w:rsidRPr="000E7E81">
        <w:rPr>
          <w:szCs w:val="22"/>
          <w:lang w:val="hu-HU"/>
        </w:rPr>
        <w:t xml:space="preserve"> injekciós üvegenként. </w:t>
      </w:r>
    </w:p>
    <w:p w14:paraId="51D3763E" w14:textId="22C268E5" w:rsidR="00D74BF2" w:rsidRPr="000E7E81" w:rsidRDefault="00D654BE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Feloldás és hígítás után </w:t>
      </w:r>
      <w:r w:rsidR="007376EF" w:rsidRPr="000E7E81">
        <w:rPr>
          <w:szCs w:val="22"/>
          <w:lang w:val="hu-HU"/>
        </w:rPr>
        <w:t>az</w:t>
      </w:r>
      <w:r w:rsidR="0038115C" w:rsidRPr="000E7E81">
        <w:rPr>
          <w:szCs w:val="22"/>
          <w:lang w:val="hu-HU"/>
        </w:rPr>
        <w:t xml:space="preserve"> </w:t>
      </w:r>
      <w:r w:rsidR="005A7D8A" w:rsidRPr="000E7E81">
        <w:rPr>
          <w:szCs w:val="22"/>
          <w:lang w:val="hu-HU"/>
        </w:rPr>
        <w:t xml:space="preserve">oldat </w:t>
      </w:r>
      <w:r w:rsidR="00D74BF2" w:rsidRPr="000E7E81">
        <w:rPr>
          <w:szCs w:val="22"/>
          <w:lang w:val="hu-HU"/>
        </w:rPr>
        <w:t>0,</w:t>
      </w:r>
      <w:r w:rsidR="00DD52EE">
        <w:rPr>
          <w:szCs w:val="22"/>
          <w:lang w:val="hu-HU"/>
        </w:rPr>
        <w:t>4</w:t>
      </w:r>
      <w:r w:rsidR="00D74BF2" w:rsidRPr="000E7E81">
        <w:rPr>
          <w:szCs w:val="22"/>
          <w:lang w:val="hu-HU"/>
        </w:rPr>
        <w:t xml:space="preserve"> mg omeprazolt tartalmaz</w:t>
      </w:r>
      <w:r w:rsidR="007376EF" w:rsidRPr="000E7E81">
        <w:rPr>
          <w:szCs w:val="22"/>
          <w:lang w:val="hu-HU"/>
        </w:rPr>
        <w:t xml:space="preserve"> milliliterenként</w:t>
      </w:r>
      <w:r w:rsidR="00D74BF2" w:rsidRPr="000E7E81">
        <w:rPr>
          <w:szCs w:val="22"/>
          <w:lang w:val="hu-HU"/>
        </w:rPr>
        <w:t>.</w:t>
      </w:r>
    </w:p>
    <w:p w14:paraId="386C1997" w14:textId="77777777" w:rsidR="00535191" w:rsidRPr="000E7E81" w:rsidRDefault="00535191">
      <w:pPr>
        <w:tabs>
          <w:tab w:val="left" w:pos="567"/>
        </w:tabs>
        <w:spacing w:after="0"/>
        <w:rPr>
          <w:szCs w:val="22"/>
          <w:lang w:val="hu-HU"/>
        </w:rPr>
      </w:pPr>
    </w:p>
    <w:p w14:paraId="261E935E" w14:textId="77777777" w:rsidR="00DC1350" w:rsidRPr="000E7E81" w:rsidRDefault="00DC1350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0E7E81">
        <w:rPr>
          <w:szCs w:val="22"/>
          <w:lang w:val="hu-HU"/>
        </w:rPr>
        <w:t xml:space="preserve">A segédanyagok teljes </w:t>
      </w:r>
      <w:r w:rsidRPr="000E7E81">
        <w:rPr>
          <w:bCs/>
          <w:noProof/>
          <w:szCs w:val="22"/>
          <w:lang w:val="hu-HU"/>
        </w:rPr>
        <w:t>listáját</w:t>
      </w:r>
      <w:r w:rsidRPr="000E7E81">
        <w:rPr>
          <w:szCs w:val="22"/>
          <w:lang w:val="hu-HU"/>
        </w:rPr>
        <w:t xml:space="preserve"> lásd a 6.1 pontban</w:t>
      </w:r>
      <w:r w:rsidRPr="000E7E81">
        <w:rPr>
          <w:bCs/>
          <w:noProof/>
          <w:szCs w:val="22"/>
          <w:lang w:val="hu-HU"/>
        </w:rPr>
        <w:t>.</w:t>
      </w:r>
    </w:p>
    <w:p w14:paraId="7E084AFF" w14:textId="77777777" w:rsidR="00535191" w:rsidRPr="000E7E81" w:rsidRDefault="00535191">
      <w:pPr>
        <w:tabs>
          <w:tab w:val="left" w:pos="567"/>
        </w:tabs>
        <w:spacing w:after="0"/>
        <w:rPr>
          <w:szCs w:val="22"/>
        </w:rPr>
      </w:pPr>
    </w:p>
    <w:p w14:paraId="1F320E47" w14:textId="77777777" w:rsidR="006732D4" w:rsidRPr="000E7E81" w:rsidRDefault="006732D4">
      <w:pPr>
        <w:tabs>
          <w:tab w:val="left" w:pos="567"/>
        </w:tabs>
        <w:spacing w:after="0"/>
        <w:rPr>
          <w:szCs w:val="22"/>
        </w:rPr>
      </w:pPr>
    </w:p>
    <w:p w14:paraId="5E5A7429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</w:pPr>
      <w:r w:rsidRPr="000E7E81">
        <w:t>3.</w:t>
      </w:r>
      <w:r w:rsidRPr="000E7E81">
        <w:tab/>
      </w:r>
      <w:r w:rsidR="00DC1350" w:rsidRPr="000E7E81">
        <w:rPr>
          <w:noProof/>
          <w:lang w:val="hu-HU" w:eastAsia="en-US"/>
        </w:rPr>
        <w:t>GYÓGYSZERFORMA</w:t>
      </w:r>
    </w:p>
    <w:p w14:paraId="4F2735D7" w14:textId="77777777" w:rsidR="0040300E" w:rsidRPr="000E7E81" w:rsidRDefault="0040300E" w:rsidP="000E7E81">
      <w:pPr>
        <w:tabs>
          <w:tab w:val="left" w:pos="567"/>
        </w:tabs>
        <w:spacing w:after="0"/>
        <w:rPr>
          <w:szCs w:val="22"/>
        </w:rPr>
      </w:pPr>
    </w:p>
    <w:p w14:paraId="2E4956FE" w14:textId="77777777" w:rsidR="00DC1350" w:rsidRPr="000E7E81" w:rsidRDefault="00DC1350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Por oldatos infúzióhoz.</w:t>
      </w:r>
    </w:p>
    <w:p w14:paraId="4E9B189A" w14:textId="77777777" w:rsidR="00273AE0" w:rsidRPr="000E7E81" w:rsidRDefault="00DC1350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Fehér vagy majdnem fehér por</w:t>
      </w:r>
      <w:bookmarkStart w:id="2" w:name="_Hlk86757343"/>
      <w:r w:rsidR="00273AE0" w:rsidRPr="000E7E81">
        <w:rPr>
          <w:szCs w:val="22"/>
          <w:lang w:val="hu-HU"/>
        </w:rPr>
        <w:t>.</w:t>
      </w:r>
      <w:bookmarkEnd w:id="2"/>
    </w:p>
    <w:p w14:paraId="2F0BACFB" w14:textId="77777777" w:rsidR="00B65091" w:rsidRPr="000E7E81" w:rsidRDefault="00B65091">
      <w:pPr>
        <w:tabs>
          <w:tab w:val="left" w:pos="567"/>
        </w:tabs>
        <w:spacing w:after="0"/>
        <w:rPr>
          <w:szCs w:val="22"/>
        </w:rPr>
      </w:pPr>
    </w:p>
    <w:p w14:paraId="6DF7D546" w14:textId="77777777" w:rsidR="00CC77C5" w:rsidRPr="000E7E81" w:rsidRDefault="00CC77C5">
      <w:pPr>
        <w:tabs>
          <w:tab w:val="left" w:pos="567"/>
        </w:tabs>
        <w:spacing w:after="0"/>
        <w:rPr>
          <w:szCs w:val="22"/>
        </w:rPr>
      </w:pPr>
    </w:p>
    <w:p w14:paraId="57BDD231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</w:pPr>
      <w:r w:rsidRPr="000E7E81">
        <w:t>4.</w:t>
      </w:r>
      <w:r w:rsidRPr="000E7E81">
        <w:tab/>
      </w:r>
      <w:r w:rsidR="00DC1350" w:rsidRPr="000E7E81">
        <w:rPr>
          <w:lang w:val="hu-HU"/>
        </w:rPr>
        <w:t>KLINIKAI JELLEMZŐK</w:t>
      </w:r>
    </w:p>
    <w:p w14:paraId="28359411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</w:rPr>
      </w:pPr>
    </w:p>
    <w:p w14:paraId="2A7E2A17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</w:pPr>
      <w:r w:rsidRPr="000E7E81">
        <w:t>4.1</w:t>
      </w:r>
      <w:r w:rsidRPr="000E7E81">
        <w:tab/>
      </w:r>
      <w:r w:rsidR="00DC1350" w:rsidRPr="000E7E81">
        <w:rPr>
          <w:noProof/>
          <w:lang w:val="hu-HU" w:eastAsia="en-US"/>
        </w:rPr>
        <w:t>Terápiás javallatok</w:t>
      </w:r>
    </w:p>
    <w:p w14:paraId="45218CFF" w14:textId="77777777" w:rsidR="001F0A1A" w:rsidRPr="000E7E81" w:rsidRDefault="001F0A1A" w:rsidP="00B10F22">
      <w:pPr>
        <w:spacing w:after="0"/>
      </w:pPr>
    </w:p>
    <w:p w14:paraId="332AE7E8" w14:textId="77777777" w:rsidR="00F0045C" w:rsidRPr="000E7E81" w:rsidRDefault="00DC1350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</w:t>
      </w:r>
      <w:r w:rsidR="003408CB" w:rsidRPr="000E7E81">
        <w:rPr>
          <w:szCs w:val="22"/>
          <w:lang w:val="hu-HU"/>
        </w:rPr>
        <w:t xml:space="preserve">Omeprazole </w:t>
      </w:r>
      <w:r w:rsidR="006E0E91" w:rsidRPr="000E7E81">
        <w:rPr>
          <w:szCs w:val="22"/>
          <w:lang w:val="hu-HU"/>
        </w:rPr>
        <w:t>Gufic</w:t>
      </w:r>
      <w:r w:rsidR="00FF6AC9" w:rsidRPr="000E7E81">
        <w:rPr>
          <w:szCs w:val="22"/>
          <w:lang w:val="hu-HU"/>
        </w:rPr>
        <w:t xml:space="preserve"> 40 mg</w:t>
      </w:r>
      <w:r w:rsidR="009D1051" w:rsidRPr="000E7E81">
        <w:rPr>
          <w:szCs w:val="22"/>
          <w:lang w:val="hu-HU"/>
        </w:rPr>
        <w:t xml:space="preserve"> </w:t>
      </w:r>
      <w:r w:rsidR="00733CE3" w:rsidRPr="000E7E81">
        <w:rPr>
          <w:szCs w:val="22"/>
          <w:lang w:val="hu-HU"/>
        </w:rPr>
        <w:t xml:space="preserve">por oldatos infúzióhoz </w:t>
      </w:r>
      <w:r w:rsidR="00CB64C4" w:rsidRPr="000E7E81">
        <w:rPr>
          <w:szCs w:val="22"/>
          <w:lang w:val="hu-HU"/>
        </w:rPr>
        <w:t xml:space="preserve">készítmény </w:t>
      </w:r>
      <w:r w:rsidR="00733CE3" w:rsidRPr="000E7E81">
        <w:rPr>
          <w:szCs w:val="22"/>
          <w:lang w:val="hu-HU"/>
        </w:rPr>
        <w:t>a szájon át történő kezelés alternatívájaként alkalmazható felnőtteknél, intravénásan az alábbi esetekben</w:t>
      </w:r>
      <w:r w:rsidR="00F0045C" w:rsidRPr="000E7E81">
        <w:rPr>
          <w:szCs w:val="22"/>
          <w:lang w:val="hu-HU"/>
        </w:rPr>
        <w:t>:</w:t>
      </w:r>
    </w:p>
    <w:p w14:paraId="100F7DE2" w14:textId="77777777" w:rsidR="00A35BF7" w:rsidRPr="000E7E81" w:rsidRDefault="00A35BF7" w:rsidP="000E7E81">
      <w:pPr>
        <w:tabs>
          <w:tab w:val="left" w:pos="567"/>
        </w:tabs>
        <w:spacing w:after="0"/>
        <w:rPr>
          <w:szCs w:val="22"/>
        </w:rPr>
      </w:pPr>
    </w:p>
    <w:p w14:paraId="3D5D0F55" w14:textId="4646287D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n</w:t>
      </w:r>
      <w:r w:rsidR="00D654BE" w:rsidRPr="000E7E81">
        <w:rPr>
          <w:rFonts w:ascii="Times New Roman" w:hAnsi="Times New Roman"/>
          <w:noProof w:val="0"/>
          <w:lang w:val="hu-HU"/>
        </w:rPr>
        <w:t xml:space="preserve">yombélfekély </w:t>
      </w:r>
      <w:r w:rsidR="000C3934" w:rsidRPr="000E7E81">
        <w:rPr>
          <w:rFonts w:ascii="Times New Roman" w:hAnsi="Times New Roman"/>
          <w:noProof w:val="0"/>
          <w:lang w:val="hu-HU"/>
        </w:rPr>
        <w:t>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36220D9D" w14:textId="7DD47764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n</w:t>
      </w:r>
      <w:r w:rsidR="00D654BE" w:rsidRPr="000E7E81">
        <w:rPr>
          <w:rFonts w:ascii="Times New Roman" w:hAnsi="Times New Roman"/>
          <w:noProof w:val="0"/>
          <w:lang w:val="hu-HU"/>
        </w:rPr>
        <w:t>yom</w:t>
      </w:r>
      <w:r w:rsidR="000C3934" w:rsidRPr="000E7E81">
        <w:rPr>
          <w:rFonts w:ascii="Times New Roman" w:hAnsi="Times New Roman"/>
          <w:noProof w:val="0"/>
          <w:lang w:val="hu-HU"/>
        </w:rPr>
        <w:t>bélfekély visszatérésének megelőzése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537122CA" w14:textId="0A9442D9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g</w:t>
      </w:r>
      <w:r w:rsidR="000C3934" w:rsidRPr="000E7E81">
        <w:rPr>
          <w:rFonts w:ascii="Times New Roman" w:hAnsi="Times New Roman"/>
          <w:noProof w:val="0"/>
          <w:lang w:val="hu-HU"/>
        </w:rPr>
        <w:t>yomorfekély 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365088A8" w14:textId="3405DAB5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g</w:t>
      </w:r>
      <w:r w:rsidR="000C3934" w:rsidRPr="000E7E81">
        <w:rPr>
          <w:rFonts w:ascii="Times New Roman" w:hAnsi="Times New Roman"/>
          <w:noProof w:val="0"/>
          <w:lang w:val="hu-HU"/>
        </w:rPr>
        <w:t>yomorfekély visszatérésének megelőzése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4A9776BD" w14:textId="3452241F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p</w:t>
      </w:r>
      <w:r w:rsidR="000C3934" w:rsidRPr="000E7E81">
        <w:rPr>
          <w:rFonts w:ascii="Times New Roman" w:hAnsi="Times New Roman"/>
          <w:noProof w:val="0"/>
          <w:lang w:val="hu-HU"/>
        </w:rPr>
        <w:t xml:space="preserve">eptikus fekélybetegségben, megfelelő antibiotikumokkal kombinálva, a </w:t>
      </w:r>
      <w:r w:rsidR="000C3934" w:rsidRPr="000E7E81">
        <w:rPr>
          <w:rFonts w:ascii="Times New Roman" w:hAnsi="Times New Roman"/>
          <w:i/>
          <w:noProof w:val="0"/>
          <w:lang w:val="hu-HU"/>
        </w:rPr>
        <w:t>Helicobacter pylori</w:t>
      </w:r>
      <w:r w:rsidR="000C3934" w:rsidRPr="000E7E81">
        <w:rPr>
          <w:rFonts w:ascii="Times New Roman" w:hAnsi="Times New Roman"/>
          <w:noProof w:val="0"/>
          <w:lang w:val="hu-HU"/>
        </w:rPr>
        <w:t xml:space="preserve"> eradikációja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2FB3051B" w14:textId="4E40889C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a</w:t>
      </w:r>
      <w:r w:rsidR="000C3934" w:rsidRPr="000E7E81">
        <w:rPr>
          <w:rFonts w:ascii="Times New Roman" w:hAnsi="Times New Roman"/>
          <w:noProof w:val="0"/>
          <w:lang w:val="hu-HU"/>
        </w:rPr>
        <w:t xml:space="preserve"> NSAID alkalmazásához társuló gyomor- és </w:t>
      </w:r>
      <w:r w:rsidR="00D654BE" w:rsidRPr="000E7E81">
        <w:rPr>
          <w:rFonts w:ascii="Times New Roman" w:hAnsi="Times New Roman"/>
          <w:noProof w:val="0"/>
          <w:lang w:val="hu-HU"/>
        </w:rPr>
        <w:t>nyom</w:t>
      </w:r>
      <w:r w:rsidR="000C3934" w:rsidRPr="000E7E81">
        <w:rPr>
          <w:rFonts w:ascii="Times New Roman" w:hAnsi="Times New Roman"/>
          <w:noProof w:val="0"/>
          <w:lang w:val="hu-HU"/>
        </w:rPr>
        <w:t>bélfekély 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01D7AB7D" w14:textId="1CC5B03A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a</w:t>
      </w:r>
      <w:r w:rsidR="000C3934" w:rsidRPr="000E7E81">
        <w:rPr>
          <w:rFonts w:ascii="Times New Roman" w:hAnsi="Times New Roman"/>
          <w:noProof w:val="0"/>
          <w:lang w:val="hu-HU"/>
        </w:rPr>
        <w:t xml:space="preserve"> NSAID alkalmazásához társuló gyomor- és </w:t>
      </w:r>
      <w:r w:rsidR="00D654BE" w:rsidRPr="000E7E81">
        <w:rPr>
          <w:rFonts w:ascii="Times New Roman" w:hAnsi="Times New Roman"/>
          <w:noProof w:val="0"/>
          <w:lang w:val="hu-HU"/>
        </w:rPr>
        <w:t>nyom</w:t>
      </w:r>
      <w:r w:rsidR="000C3934" w:rsidRPr="000E7E81">
        <w:rPr>
          <w:rFonts w:ascii="Times New Roman" w:hAnsi="Times New Roman"/>
          <w:noProof w:val="0"/>
          <w:lang w:val="hu-HU"/>
        </w:rPr>
        <w:t>bélfekély megelőzése veszélyeztetett betegeknél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49DA833F" w14:textId="790E8EB8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r</w:t>
      </w:r>
      <w:r w:rsidR="000C3934" w:rsidRPr="000E7E81">
        <w:rPr>
          <w:rFonts w:ascii="Times New Roman" w:hAnsi="Times New Roman"/>
          <w:noProof w:val="0"/>
          <w:lang w:val="hu-HU"/>
        </w:rPr>
        <w:t>eflux oesophagitis 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5EE9E180" w14:textId="3E861544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g</w:t>
      </w:r>
      <w:r w:rsidR="000C3934" w:rsidRPr="000E7E81">
        <w:rPr>
          <w:rFonts w:ascii="Times New Roman" w:hAnsi="Times New Roman"/>
          <w:noProof w:val="0"/>
          <w:lang w:val="hu-HU"/>
        </w:rPr>
        <w:t>yógyult reflux oesophagitisben szenvedő betegek hosszú távú 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4D7CE5A2" w14:textId="1CD25009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t</w:t>
      </w:r>
      <w:r w:rsidR="00D654BE" w:rsidRPr="000E7E81">
        <w:rPr>
          <w:rFonts w:ascii="Times New Roman" w:hAnsi="Times New Roman"/>
          <w:noProof w:val="0"/>
          <w:lang w:val="hu-HU"/>
        </w:rPr>
        <w:t xml:space="preserve">ünetekkel járó </w:t>
      </w:r>
      <w:r w:rsidR="000C3934" w:rsidRPr="000E7E81">
        <w:rPr>
          <w:rFonts w:ascii="Times New Roman" w:hAnsi="Times New Roman"/>
          <w:noProof w:val="0"/>
          <w:lang w:val="hu-HU"/>
        </w:rPr>
        <w:t>gastro-oesophagealis reflux betegség kezelése</w:t>
      </w:r>
      <w:r w:rsidRPr="000E7E81">
        <w:rPr>
          <w:rFonts w:ascii="Times New Roman" w:hAnsi="Times New Roman"/>
          <w:noProof w:val="0"/>
          <w:lang w:val="hu-HU"/>
        </w:rPr>
        <w:t>;</w:t>
      </w:r>
    </w:p>
    <w:p w14:paraId="4B82548A" w14:textId="4B551D32" w:rsidR="000C3934" w:rsidRPr="000E7E81" w:rsidRDefault="00004B35">
      <w:pPr>
        <w:pStyle w:val="Odstavecseseznamem1"/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noProof w:val="0"/>
          <w:lang w:val="hu-HU"/>
        </w:rPr>
      </w:pPr>
      <w:r w:rsidRPr="000E7E81">
        <w:rPr>
          <w:rFonts w:ascii="Times New Roman" w:hAnsi="Times New Roman"/>
          <w:noProof w:val="0"/>
          <w:lang w:val="hu-HU"/>
        </w:rPr>
        <w:t>z</w:t>
      </w:r>
      <w:r w:rsidR="000C3934" w:rsidRPr="000E7E81">
        <w:rPr>
          <w:rFonts w:ascii="Times New Roman" w:hAnsi="Times New Roman"/>
          <w:noProof w:val="0"/>
          <w:lang w:val="hu-HU"/>
        </w:rPr>
        <w:t>ollinger</w:t>
      </w:r>
      <w:r w:rsidR="00D654BE" w:rsidRPr="000E7E81">
        <w:rPr>
          <w:rFonts w:ascii="Times New Roman" w:hAnsi="Times New Roman"/>
          <w:noProof w:val="0"/>
          <w:lang w:val="hu-HU"/>
        </w:rPr>
        <w:t>–</w:t>
      </w:r>
      <w:r w:rsidR="000C3934" w:rsidRPr="000E7E81">
        <w:rPr>
          <w:rFonts w:ascii="Times New Roman" w:hAnsi="Times New Roman"/>
          <w:noProof w:val="0"/>
          <w:lang w:val="hu-HU"/>
        </w:rPr>
        <w:t>Ellison</w:t>
      </w:r>
      <w:r w:rsidR="00D654BE" w:rsidRPr="000E7E81">
        <w:rPr>
          <w:rFonts w:ascii="Times New Roman" w:hAnsi="Times New Roman"/>
          <w:noProof w:val="0"/>
          <w:lang w:val="hu-HU"/>
        </w:rPr>
        <w:t>-</w:t>
      </w:r>
      <w:r w:rsidR="000C3934" w:rsidRPr="000E7E81">
        <w:rPr>
          <w:rFonts w:ascii="Times New Roman" w:hAnsi="Times New Roman"/>
          <w:noProof w:val="0"/>
          <w:lang w:val="hu-HU"/>
        </w:rPr>
        <w:t>szindróma kezelése</w:t>
      </w:r>
      <w:r w:rsidRPr="000E7E81">
        <w:rPr>
          <w:rFonts w:ascii="Times New Roman" w:hAnsi="Times New Roman"/>
          <w:noProof w:val="0"/>
          <w:lang w:val="hu-HU"/>
        </w:rPr>
        <w:t>.</w:t>
      </w:r>
    </w:p>
    <w:p w14:paraId="61F2000E" w14:textId="77777777" w:rsidR="009D1051" w:rsidRPr="000E7E81" w:rsidRDefault="009D1051">
      <w:pPr>
        <w:tabs>
          <w:tab w:val="left" w:pos="567"/>
        </w:tabs>
        <w:spacing w:after="0"/>
        <w:rPr>
          <w:szCs w:val="22"/>
        </w:rPr>
      </w:pPr>
    </w:p>
    <w:p w14:paraId="1BF915B2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</w:pPr>
      <w:r w:rsidRPr="000E7E81">
        <w:t>4.2</w:t>
      </w:r>
      <w:r w:rsidRPr="000E7E81">
        <w:tab/>
      </w:r>
      <w:r w:rsidR="000C3934" w:rsidRPr="000E7E81">
        <w:rPr>
          <w:noProof/>
          <w:lang w:val="hu-HU" w:eastAsia="en-US"/>
        </w:rPr>
        <w:t>Adagolás és alkalmazás</w:t>
      </w:r>
    </w:p>
    <w:p w14:paraId="3DC203C3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</w:rPr>
      </w:pPr>
    </w:p>
    <w:p w14:paraId="57172F39" w14:textId="77777777" w:rsidR="009D1051" w:rsidRPr="000E7E81" w:rsidRDefault="000C3934" w:rsidP="000E7E81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  <w:r w:rsidRPr="000E7E81">
        <w:rPr>
          <w:sz w:val="22"/>
          <w:szCs w:val="22"/>
          <w:u w:val="single"/>
          <w:lang w:val="hu-HU"/>
        </w:rPr>
        <w:t>Adagolás felnőtteknél</w:t>
      </w:r>
    </w:p>
    <w:p w14:paraId="2F7B8050" w14:textId="77777777" w:rsidR="009D1051" w:rsidRPr="000E7E81" w:rsidRDefault="009D1051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2FF65867" w14:textId="77777777" w:rsidR="009D1051" w:rsidRPr="000E7E81" w:rsidRDefault="000C3934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i/>
          <w:iCs/>
          <w:sz w:val="22"/>
          <w:szCs w:val="22"/>
          <w:lang w:val="hu-HU"/>
        </w:rPr>
        <w:t>Orális terápia alternatívája</w:t>
      </w:r>
    </w:p>
    <w:p w14:paraId="18AA2B02" w14:textId="0682E48D" w:rsidR="002A2CF5" w:rsidRPr="000E7E81" w:rsidRDefault="002A2CF5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lang w:val="hu-HU"/>
        </w:rPr>
        <w:t>Azoknál a betegeknél, aki</w:t>
      </w:r>
      <w:r w:rsidR="00636B57" w:rsidRPr="000E7E81">
        <w:rPr>
          <w:sz w:val="22"/>
          <w:szCs w:val="22"/>
          <w:lang w:val="hu-HU"/>
        </w:rPr>
        <w:t>k</w:t>
      </w:r>
      <w:r w:rsidRPr="000E7E81">
        <w:rPr>
          <w:sz w:val="22"/>
          <w:szCs w:val="22"/>
          <w:lang w:val="hu-HU"/>
        </w:rPr>
        <w:t>nél orális készítmények nem alkalmazhatók</w:t>
      </w:r>
      <w:r w:rsidR="003246C8" w:rsidRPr="000E7E81">
        <w:rPr>
          <w:sz w:val="22"/>
          <w:szCs w:val="22"/>
          <w:lang w:val="hu-HU"/>
        </w:rPr>
        <w:t>,</w:t>
      </w:r>
      <w:r w:rsidRPr="000E7E81">
        <w:rPr>
          <w:sz w:val="22"/>
          <w:szCs w:val="22"/>
          <w:lang w:val="hu-HU"/>
        </w:rPr>
        <w:t xml:space="preserve"> az </w:t>
      </w:r>
      <w:r w:rsidR="00D80EBD" w:rsidRPr="000E7E81">
        <w:rPr>
          <w:sz w:val="22"/>
          <w:szCs w:val="22"/>
          <w:lang w:val="hu-HU"/>
        </w:rPr>
        <w:t>O</w:t>
      </w:r>
      <w:r w:rsidRPr="000E7E81">
        <w:rPr>
          <w:sz w:val="22"/>
          <w:szCs w:val="22"/>
          <w:lang w:val="hu-HU"/>
        </w:rPr>
        <w:t>meprazol</w:t>
      </w:r>
      <w:r w:rsidR="00D80EBD" w:rsidRPr="000E7E81">
        <w:rPr>
          <w:sz w:val="22"/>
          <w:szCs w:val="22"/>
          <w:lang w:val="hu-HU"/>
        </w:rPr>
        <w:t>e</w:t>
      </w:r>
      <w:r w:rsidRPr="000E7E81">
        <w:rPr>
          <w:sz w:val="22"/>
          <w:szCs w:val="22"/>
          <w:lang w:val="hu-HU"/>
        </w:rPr>
        <w:t xml:space="preserve"> </w:t>
      </w:r>
      <w:r w:rsidR="006E0E91" w:rsidRPr="000E7E81">
        <w:rPr>
          <w:sz w:val="22"/>
          <w:szCs w:val="22"/>
          <w:lang w:val="hu-HU"/>
        </w:rPr>
        <w:t>Gufic</w:t>
      </w:r>
      <w:r w:rsidR="00D80EBD" w:rsidRPr="000E7E81">
        <w:rPr>
          <w:sz w:val="22"/>
          <w:szCs w:val="22"/>
          <w:lang w:val="hu-HU"/>
        </w:rPr>
        <w:t xml:space="preserve"> </w:t>
      </w:r>
      <w:r w:rsidR="00F7154A" w:rsidRPr="000E7E81">
        <w:rPr>
          <w:sz w:val="22"/>
          <w:szCs w:val="22"/>
          <w:lang w:val="hu-HU"/>
        </w:rPr>
        <w:t xml:space="preserve">napi egyszeri </w:t>
      </w:r>
      <w:r w:rsidR="00636B57" w:rsidRPr="000E7E81">
        <w:rPr>
          <w:sz w:val="22"/>
          <w:szCs w:val="22"/>
          <w:lang w:val="hu-HU"/>
        </w:rPr>
        <w:t xml:space="preserve">intravénás </w:t>
      </w:r>
      <w:r w:rsidR="00D80EBD" w:rsidRPr="000E7E81">
        <w:rPr>
          <w:sz w:val="22"/>
          <w:szCs w:val="22"/>
          <w:lang w:val="hu-HU"/>
        </w:rPr>
        <w:t>adása</w:t>
      </w:r>
      <w:r w:rsidRPr="000E7E81">
        <w:rPr>
          <w:sz w:val="22"/>
          <w:szCs w:val="22"/>
          <w:lang w:val="hu-HU"/>
        </w:rPr>
        <w:t xml:space="preserve"> javasolt. Zollinger</w:t>
      </w:r>
      <w:r w:rsidR="00004B35" w:rsidRPr="000E7E81">
        <w:rPr>
          <w:sz w:val="22"/>
          <w:szCs w:val="22"/>
          <w:lang w:val="hu-HU"/>
        </w:rPr>
        <w:t>–</w:t>
      </w:r>
      <w:r w:rsidRPr="000E7E81">
        <w:rPr>
          <w:sz w:val="22"/>
          <w:szCs w:val="22"/>
          <w:lang w:val="hu-HU"/>
        </w:rPr>
        <w:t>Ellison-szindrómában szenvedő betegek</w:t>
      </w:r>
      <w:r w:rsidR="00D80EBD" w:rsidRPr="000E7E81">
        <w:rPr>
          <w:sz w:val="22"/>
          <w:szCs w:val="22"/>
          <w:lang w:val="hu-HU"/>
        </w:rPr>
        <w:t xml:space="preserve">nél az omeprazol ajánlott </w:t>
      </w:r>
      <w:r w:rsidRPr="000E7E81">
        <w:rPr>
          <w:sz w:val="22"/>
          <w:szCs w:val="22"/>
          <w:lang w:val="hu-HU"/>
        </w:rPr>
        <w:t xml:space="preserve">intravénás </w:t>
      </w:r>
      <w:r w:rsidR="00D80EBD" w:rsidRPr="000E7E81">
        <w:rPr>
          <w:sz w:val="22"/>
          <w:szCs w:val="22"/>
          <w:lang w:val="hu-HU"/>
        </w:rPr>
        <w:t xml:space="preserve">kezdő adagja </w:t>
      </w:r>
      <w:r w:rsidRPr="000E7E81">
        <w:rPr>
          <w:sz w:val="22"/>
          <w:szCs w:val="22"/>
          <w:lang w:val="hu-HU"/>
        </w:rPr>
        <w:t xml:space="preserve">napi 60 mg. </w:t>
      </w:r>
      <w:r w:rsidR="00636B57" w:rsidRPr="000E7E81">
        <w:rPr>
          <w:sz w:val="22"/>
          <w:szCs w:val="22"/>
          <w:lang w:val="hu-HU"/>
        </w:rPr>
        <w:t xml:space="preserve">Nagyobb </w:t>
      </w:r>
      <w:r w:rsidRPr="000E7E81">
        <w:rPr>
          <w:sz w:val="22"/>
          <w:szCs w:val="22"/>
          <w:lang w:val="hu-HU"/>
        </w:rPr>
        <w:t xml:space="preserve">napi adagokra </w:t>
      </w:r>
      <w:r w:rsidR="00636B57" w:rsidRPr="000E7E81">
        <w:rPr>
          <w:sz w:val="22"/>
          <w:szCs w:val="22"/>
          <w:lang w:val="hu-HU"/>
        </w:rPr>
        <w:t xml:space="preserve">is </w:t>
      </w:r>
      <w:r w:rsidRPr="000E7E81">
        <w:rPr>
          <w:sz w:val="22"/>
          <w:szCs w:val="22"/>
          <w:lang w:val="hu-HU"/>
        </w:rPr>
        <w:t>szükség</w:t>
      </w:r>
      <w:r w:rsidR="00636B57" w:rsidRPr="000E7E81">
        <w:rPr>
          <w:sz w:val="22"/>
          <w:szCs w:val="22"/>
          <w:lang w:val="hu-HU"/>
        </w:rPr>
        <w:t xml:space="preserve"> lehet: az adagolást személyre szabottan kell </w:t>
      </w:r>
      <w:r w:rsidRPr="000E7E81">
        <w:rPr>
          <w:sz w:val="22"/>
          <w:szCs w:val="22"/>
          <w:lang w:val="hu-HU"/>
        </w:rPr>
        <w:t xml:space="preserve">beállítani. </w:t>
      </w:r>
      <w:r w:rsidR="00636B57" w:rsidRPr="000E7E81">
        <w:rPr>
          <w:sz w:val="22"/>
          <w:szCs w:val="22"/>
          <w:lang w:val="hu-HU"/>
        </w:rPr>
        <w:t xml:space="preserve">Amennyiben </w:t>
      </w:r>
      <w:r w:rsidRPr="000E7E81">
        <w:rPr>
          <w:sz w:val="22"/>
          <w:szCs w:val="22"/>
          <w:lang w:val="hu-HU"/>
        </w:rPr>
        <w:t>napi 60 mg</w:t>
      </w:r>
      <w:r w:rsidR="00636B57" w:rsidRPr="000E7E81">
        <w:rPr>
          <w:sz w:val="22"/>
          <w:szCs w:val="22"/>
          <w:lang w:val="hu-HU"/>
        </w:rPr>
        <w:t>-nál nagyobb mennyiségre van szükség</w:t>
      </w:r>
      <w:r w:rsidRPr="000E7E81">
        <w:rPr>
          <w:sz w:val="22"/>
          <w:szCs w:val="22"/>
          <w:lang w:val="hu-HU"/>
        </w:rPr>
        <w:t>, a</w:t>
      </w:r>
      <w:r w:rsidR="00636B57" w:rsidRPr="000E7E81">
        <w:rPr>
          <w:sz w:val="22"/>
          <w:szCs w:val="22"/>
          <w:lang w:val="hu-HU"/>
        </w:rPr>
        <w:t xml:space="preserve"> napi </w:t>
      </w:r>
      <w:r w:rsidRPr="000E7E81">
        <w:rPr>
          <w:sz w:val="22"/>
          <w:szCs w:val="22"/>
          <w:lang w:val="hu-HU"/>
        </w:rPr>
        <w:t>adagot meg kell osztani és nap</w:t>
      </w:r>
      <w:r w:rsidR="00FD4AA5" w:rsidRPr="000E7E81">
        <w:rPr>
          <w:sz w:val="22"/>
          <w:szCs w:val="22"/>
          <w:lang w:val="hu-HU"/>
        </w:rPr>
        <w:t xml:space="preserve">i </w:t>
      </w:r>
      <w:r w:rsidRPr="000E7E81">
        <w:rPr>
          <w:sz w:val="22"/>
          <w:szCs w:val="22"/>
          <w:lang w:val="hu-HU"/>
        </w:rPr>
        <w:t>két</w:t>
      </w:r>
      <w:r w:rsidR="00FD4AA5" w:rsidRPr="000E7E81">
        <w:rPr>
          <w:sz w:val="22"/>
          <w:szCs w:val="22"/>
          <w:lang w:val="hu-HU"/>
        </w:rPr>
        <w:t xml:space="preserve"> részletben</w:t>
      </w:r>
      <w:r w:rsidRPr="000E7E81">
        <w:rPr>
          <w:sz w:val="22"/>
          <w:szCs w:val="22"/>
          <w:lang w:val="hu-HU"/>
        </w:rPr>
        <w:t xml:space="preserve"> kell </w:t>
      </w:r>
      <w:r w:rsidR="00FD4AA5" w:rsidRPr="000E7E81">
        <w:rPr>
          <w:sz w:val="22"/>
          <w:szCs w:val="22"/>
          <w:lang w:val="hu-HU"/>
        </w:rPr>
        <w:t>be</w:t>
      </w:r>
      <w:r w:rsidRPr="000E7E81">
        <w:rPr>
          <w:sz w:val="22"/>
          <w:szCs w:val="22"/>
          <w:lang w:val="hu-HU"/>
        </w:rPr>
        <w:t>adni.</w:t>
      </w:r>
    </w:p>
    <w:p w14:paraId="5340990F" w14:textId="77777777" w:rsidR="002A2CF5" w:rsidRPr="000E7E81" w:rsidRDefault="002A2CF5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703CAA2A" w14:textId="77777777" w:rsidR="009D1051" w:rsidRPr="000E7E81" w:rsidRDefault="002373D5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  <w:r w:rsidRPr="000E7E81">
        <w:rPr>
          <w:sz w:val="22"/>
          <w:szCs w:val="22"/>
          <w:u w:val="single"/>
          <w:lang w:val="hu-HU"/>
        </w:rPr>
        <w:t xml:space="preserve">Különleges </w:t>
      </w:r>
      <w:r w:rsidR="002A2CF5" w:rsidRPr="000E7E81">
        <w:rPr>
          <w:sz w:val="22"/>
          <w:szCs w:val="22"/>
          <w:u w:val="single"/>
          <w:lang w:val="hu-HU"/>
        </w:rPr>
        <w:t>betegcsoportok</w:t>
      </w:r>
    </w:p>
    <w:p w14:paraId="625905AA" w14:textId="77777777" w:rsidR="00680133" w:rsidRPr="000E7E81" w:rsidRDefault="00680133">
      <w:pPr>
        <w:pStyle w:val="NormlWeb"/>
        <w:spacing w:before="0" w:beforeAutospacing="0" w:after="0" w:afterAutospacing="0"/>
        <w:rPr>
          <w:rStyle w:val="font4"/>
          <w:iCs/>
          <w:sz w:val="22"/>
          <w:szCs w:val="22"/>
          <w:lang w:val="hu-HU"/>
        </w:rPr>
      </w:pPr>
    </w:p>
    <w:p w14:paraId="0C3B4711" w14:textId="77777777" w:rsidR="009373E4" w:rsidRPr="000E7E81" w:rsidRDefault="0086708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Vesekárosodás</w:t>
      </w:r>
    </w:p>
    <w:p w14:paraId="592217C3" w14:textId="77777777" w:rsidR="009373E4" w:rsidRPr="000E7E81" w:rsidRDefault="0086708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Vesekárosodás</w:t>
      </w:r>
      <w:r w:rsidR="009373E4" w:rsidRPr="000E7E81">
        <w:rPr>
          <w:szCs w:val="22"/>
          <w:lang w:val="hu-HU"/>
        </w:rPr>
        <w:t xml:space="preserve"> esetében nincs szükség az adagolás módosítására (lásd 5.2 pont).</w:t>
      </w:r>
    </w:p>
    <w:p w14:paraId="0BF683B6" w14:textId="77777777" w:rsidR="009373E4" w:rsidRPr="000E7E81" w:rsidRDefault="009373E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B2797DD" w14:textId="77777777" w:rsidR="009373E4" w:rsidRPr="000E7E81" w:rsidRDefault="0086708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lastRenderedPageBreak/>
        <w:t>Májkárosodás</w:t>
      </w:r>
    </w:p>
    <w:p w14:paraId="08F9BC5A" w14:textId="77777777" w:rsidR="009373E4" w:rsidRPr="000E7E81" w:rsidRDefault="0086708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Májkárosodás</w:t>
      </w:r>
      <w:r w:rsidR="009373E4" w:rsidRPr="000E7E81">
        <w:rPr>
          <w:szCs w:val="22"/>
          <w:lang w:val="hu-HU"/>
        </w:rPr>
        <w:t xml:space="preserve"> esetében napi 10</w:t>
      </w:r>
      <w:r w:rsidR="00680133" w:rsidRPr="000E7E81">
        <w:rPr>
          <w:szCs w:val="22"/>
          <w:lang w:val="hu-HU"/>
        </w:rPr>
        <w:t>–</w:t>
      </w:r>
      <w:r w:rsidR="009373E4" w:rsidRPr="000E7E81">
        <w:rPr>
          <w:szCs w:val="22"/>
          <w:lang w:val="hu-HU"/>
        </w:rPr>
        <w:t>20 mg</w:t>
      </w:r>
      <w:r w:rsidR="009373E4" w:rsidRPr="000E7E81">
        <w:rPr>
          <w:szCs w:val="22"/>
          <w:lang w:val="hu-HU"/>
        </w:rPr>
        <w:noBreakHyphen/>
        <w:t>os adag lehet elegendő (lásd 5.2 pont).</w:t>
      </w:r>
    </w:p>
    <w:p w14:paraId="6FBB6B9C" w14:textId="77777777" w:rsidR="009373E4" w:rsidRPr="000E7E81" w:rsidRDefault="009373E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41C323E" w14:textId="77777777" w:rsidR="009373E4" w:rsidRPr="000E7E81" w:rsidRDefault="009373E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Idős</w:t>
      </w:r>
      <w:r w:rsidR="00680133" w:rsidRPr="000E7E81">
        <w:rPr>
          <w:i/>
          <w:szCs w:val="22"/>
          <w:lang w:val="hu-HU"/>
        </w:rPr>
        <w:t>ek</w:t>
      </w:r>
      <w:r w:rsidRPr="000E7E81">
        <w:rPr>
          <w:i/>
          <w:szCs w:val="22"/>
          <w:lang w:val="hu-HU"/>
        </w:rPr>
        <w:t xml:space="preserve"> (&gt; 65 év)</w:t>
      </w:r>
    </w:p>
    <w:p w14:paraId="48C01DA9" w14:textId="77777777" w:rsidR="009373E4" w:rsidRPr="000E7E81" w:rsidRDefault="009373E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Idősek esetében nincs szükség az adagolás módosítására (lásd 5.2 pont).</w:t>
      </w:r>
    </w:p>
    <w:p w14:paraId="0D3EAB86" w14:textId="77777777" w:rsidR="009D1051" w:rsidRPr="00B10F22" w:rsidRDefault="009D1051">
      <w:pPr>
        <w:pStyle w:val="NormlWeb"/>
        <w:spacing w:before="0" w:beforeAutospacing="0" w:after="0" w:afterAutospacing="0"/>
        <w:rPr>
          <w:rStyle w:val="font4"/>
          <w:i/>
          <w:iCs/>
          <w:sz w:val="22"/>
          <w:szCs w:val="22"/>
          <w:lang w:val="hu-HU"/>
        </w:rPr>
      </w:pPr>
    </w:p>
    <w:p w14:paraId="3846DFF7" w14:textId="77777777" w:rsidR="009D1051" w:rsidRPr="000E7E81" w:rsidRDefault="009373E4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i/>
          <w:iCs/>
          <w:sz w:val="22"/>
          <w:szCs w:val="22"/>
          <w:lang w:val="hu-HU"/>
        </w:rPr>
        <w:t>Gyermekek és serdülők</w:t>
      </w:r>
    </w:p>
    <w:p w14:paraId="120AC79F" w14:textId="77777777" w:rsidR="009D1051" w:rsidRPr="000E7E81" w:rsidRDefault="00680133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Korlátozott tapasztalat áll rendelkezésre az omeprazol gyermekeknél történő intravénás alkalmazására vonatkozóan</w:t>
      </w:r>
      <w:r w:rsidR="009D1051" w:rsidRPr="000E7E81">
        <w:rPr>
          <w:rStyle w:val="font4"/>
          <w:sz w:val="22"/>
          <w:szCs w:val="22"/>
          <w:lang w:val="hu-HU"/>
        </w:rPr>
        <w:t>.</w:t>
      </w:r>
    </w:p>
    <w:p w14:paraId="4298DDC7" w14:textId="77777777" w:rsidR="009D1051" w:rsidRPr="000E7E81" w:rsidRDefault="009D1051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7D80EBEA" w14:textId="77777777" w:rsidR="00225753" w:rsidRPr="000E7E81" w:rsidRDefault="00225753">
      <w:pPr>
        <w:widowControl w:val="0"/>
        <w:tabs>
          <w:tab w:val="left" w:pos="1480"/>
        </w:tabs>
        <w:autoSpaceDE w:val="0"/>
        <w:autoSpaceDN w:val="0"/>
        <w:adjustRightInd w:val="0"/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Az alkalmazás módja</w:t>
      </w:r>
    </w:p>
    <w:p w14:paraId="55E75AEE" w14:textId="77777777" w:rsidR="009D1051" w:rsidRPr="000E7E81" w:rsidRDefault="001728A9">
      <w:pPr>
        <w:tabs>
          <w:tab w:val="left" w:pos="567"/>
        </w:tabs>
        <w:spacing w:after="0"/>
        <w:rPr>
          <w:szCs w:val="22"/>
          <w:lang w:val="hu-HU" w:eastAsia="en-US"/>
        </w:rPr>
      </w:pPr>
      <w:r w:rsidRPr="000E7E81">
        <w:rPr>
          <w:szCs w:val="22"/>
          <w:lang w:val="hu-HU"/>
        </w:rPr>
        <w:t xml:space="preserve">Az </w:t>
      </w:r>
      <w:r w:rsidR="003408CB" w:rsidRPr="000E7E81">
        <w:rPr>
          <w:szCs w:val="22"/>
          <w:lang w:val="hu-HU"/>
        </w:rPr>
        <w:t xml:space="preserve">Omeprazole </w:t>
      </w:r>
      <w:r w:rsidR="006E0E91" w:rsidRPr="000E7E81">
        <w:rPr>
          <w:szCs w:val="22"/>
          <w:lang w:val="hu-HU"/>
        </w:rPr>
        <w:t>Gufic</w:t>
      </w:r>
      <w:r w:rsidR="009D1051" w:rsidRPr="000E7E81">
        <w:rPr>
          <w:szCs w:val="22"/>
          <w:lang w:val="hu-HU" w:eastAsia="en-US"/>
        </w:rPr>
        <w:t xml:space="preserve"> </w:t>
      </w:r>
      <w:r w:rsidR="00FF6AC9" w:rsidRPr="000E7E81">
        <w:rPr>
          <w:szCs w:val="22"/>
          <w:lang w:val="hu-HU" w:eastAsia="en-US"/>
        </w:rPr>
        <w:t xml:space="preserve">40 mg </w:t>
      </w:r>
      <w:r w:rsidRPr="000E7E81">
        <w:rPr>
          <w:szCs w:val="22"/>
          <w:lang w:val="hu-HU" w:eastAsia="en-US"/>
        </w:rPr>
        <w:t xml:space="preserve">por oldatos infúzióhoz készítményt feloldás után intravénás infúzióként kell beadni </w:t>
      </w:r>
      <w:r w:rsidR="009D1051" w:rsidRPr="000E7E81">
        <w:rPr>
          <w:szCs w:val="22"/>
          <w:lang w:val="hu-HU" w:eastAsia="en-US"/>
        </w:rPr>
        <w:t xml:space="preserve">20-30 </w:t>
      </w:r>
      <w:r w:rsidRPr="000E7E81">
        <w:rPr>
          <w:szCs w:val="22"/>
          <w:lang w:val="hu-HU" w:eastAsia="en-US"/>
        </w:rPr>
        <w:t>perc alatt</w:t>
      </w:r>
      <w:r w:rsidR="009D1051" w:rsidRPr="000E7E81">
        <w:rPr>
          <w:szCs w:val="22"/>
          <w:lang w:val="hu-HU" w:eastAsia="en-US"/>
        </w:rPr>
        <w:t>.</w:t>
      </w:r>
    </w:p>
    <w:p w14:paraId="27983E18" w14:textId="77777777" w:rsidR="00DF22A9" w:rsidRPr="000E7E81" w:rsidRDefault="001728A9">
      <w:pPr>
        <w:tabs>
          <w:tab w:val="left" w:pos="567"/>
        </w:tabs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 xml:space="preserve">A készítmény felhasználás előtti feloldására </w:t>
      </w:r>
      <w:r w:rsidR="00D34942" w:rsidRPr="000E7E81">
        <w:rPr>
          <w:szCs w:val="22"/>
          <w:lang w:val="hu-HU" w:eastAsia="en-US"/>
        </w:rPr>
        <w:t xml:space="preserve">vonatkozó utasításokat lásd a </w:t>
      </w:r>
      <w:r w:rsidR="009D1051" w:rsidRPr="000E7E81">
        <w:rPr>
          <w:szCs w:val="22"/>
          <w:lang w:val="hu-HU" w:eastAsia="en-US"/>
        </w:rPr>
        <w:t>6.6.</w:t>
      </w:r>
      <w:r w:rsidR="00D34942" w:rsidRPr="000E7E81">
        <w:rPr>
          <w:szCs w:val="22"/>
          <w:lang w:val="hu-HU" w:eastAsia="en-US"/>
        </w:rPr>
        <w:t xml:space="preserve"> pontban.</w:t>
      </w:r>
    </w:p>
    <w:p w14:paraId="1692EC33" w14:textId="77777777" w:rsidR="009D1051" w:rsidRPr="000E7E81" w:rsidRDefault="009D1051">
      <w:pPr>
        <w:tabs>
          <w:tab w:val="left" w:pos="567"/>
        </w:tabs>
        <w:spacing w:after="0"/>
        <w:rPr>
          <w:szCs w:val="22"/>
          <w:lang w:val="hu-HU"/>
        </w:rPr>
      </w:pPr>
    </w:p>
    <w:p w14:paraId="1D7C0CF6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4.3</w:t>
      </w:r>
      <w:r w:rsidRPr="000E7E81">
        <w:rPr>
          <w:lang w:val="hu-HU"/>
        </w:rPr>
        <w:tab/>
      </w:r>
      <w:r w:rsidR="00D34942" w:rsidRPr="000E7E81">
        <w:rPr>
          <w:lang w:val="hu-HU"/>
        </w:rPr>
        <w:t>Ellenjavallatok</w:t>
      </w:r>
    </w:p>
    <w:p w14:paraId="3B0A0831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0AE91CF1" w14:textId="77777777" w:rsidR="00D34942" w:rsidRPr="000E7E81" w:rsidRDefault="00D34942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Omeprazollal, vagy a 6.1 pontban felsorolt bármelyik segédanyaggal szembeni túlérzékenység.</w:t>
      </w:r>
    </w:p>
    <w:p w14:paraId="2C07F490" w14:textId="77777777" w:rsidR="00D34942" w:rsidRPr="000E7E81" w:rsidRDefault="00D34942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83DF5D4" w14:textId="577B6744" w:rsidR="00D34942" w:rsidRPr="000E7E81" w:rsidRDefault="00D34942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– a többi protonpumpagátlóhoz (PPI) hasonlóan –</w:t>
      </w:r>
      <w:r w:rsidR="0041445C" w:rsidRPr="000E7E81">
        <w:rPr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 xml:space="preserve">nem </w:t>
      </w:r>
      <w:r w:rsidR="00680133" w:rsidRPr="000E7E81">
        <w:rPr>
          <w:szCs w:val="22"/>
          <w:lang w:val="hu-HU"/>
        </w:rPr>
        <w:t>adható együtt nelfinavirral</w:t>
      </w:r>
      <w:r w:rsidRPr="000E7E81">
        <w:rPr>
          <w:szCs w:val="22"/>
          <w:lang w:val="hu-HU"/>
        </w:rPr>
        <w:t xml:space="preserve"> (lásd 4.5 pont).</w:t>
      </w:r>
    </w:p>
    <w:p w14:paraId="0C0CA4BA" w14:textId="77777777" w:rsidR="0091302E" w:rsidRPr="000E7E81" w:rsidRDefault="0091302E">
      <w:pPr>
        <w:tabs>
          <w:tab w:val="left" w:pos="567"/>
        </w:tabs>
        <w:spacing w:after="0"/>
        <w:rPr>
          <w:szCs w:val="22"/>
          <w:lang w:val="hu-HU"/>
        </w:rPr>
      </w:pPr>
    </w:p>
    <w:p w14:paraId="5C183DD3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4.4</w:t>
      </w:r>
      <w:r w:rsidRPr="000E7E81">
        <w:rPr>
          <w:lang w:val="hu-HU"/>
        </w:rPr>
        <w:tab/>
      </w:r>
      <w:r w:rsidR="00D34942" w:rsidRPr="000E7E81">
        <w:rPr>
          <w:lang w:val="hu-HU"/>
        </w:rPr>
        <w:t>Különleges figyelmeztetések és az alkalmazással kapcsolatos óvintézkedések</w:t>
      </w:r>
    </w:p>
    <w:p w14:paraId="2908A1B8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4B30D00F" w14:textId="77777777" w:rsidR="00B0593B" w:rsidRPr="000E7E81" w:rsidRDefault="00B0593B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Bármilyen figyelmeztető tünet felléptekor (pl. nem szándékos jelentős fogyás, visszatérő hányás, dysphagia, haematemesis vagy melaena), illetve gyomorfekély gyanúja vagy jelenléte esetében ki kell zárni a malignitást, mivel a kezelés enyhítheti a malignus tüneteket, késleltetve így a diagnózist.</w:t>
      </w:r>
    </w:p>
    <w:p w14:paraId="2AAA9C7A" w14:textId="77777777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E41C3AB" w14:textId="50676355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atazanavir és a protonpumpagátlók együttes alkalmazása nem javasolt (lásd 4.5 pont). Amennyiben elkerülhetetlennek ítélik az atazanavir és valamelyik protonpumpagátló együttes alkalmazását, szoros klinikai megfigyelés (pl. vírusterhelés) javasolt 400 mg</w:t>
      </w:r>
      <w:r w:rsidRPr="000E7E81">
        <w:rPr>
          <w:szCs w:val="22"/>
          <w:lang w:val="hu-HU"/>
        </w:rPr>
        <w:noBreakHyphen/>
        <w:t>ra emelt atazanavir</w:t>
      </w:r>
      <w:r w:rsidR="0041445C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dózis és 100 mg ritonavir alkalmazása mellett; a 20 mg</w:t>
      </w:r>
      <w:r w:rsidRPr="000E7E81">
        <w:rPr>
          <w:szCs w:val="22"/>
          <w:lang w:val="hu-HU"/>
        </w:rPr>
        <w:noBreakHyphen/>
        <w:t>os omeprazol dózist nem szabad túllépni.</w:t>
      </w:r>
    </w:p>
    <w:p w14:paraId="6BFC5EAB" w14:textId="77777777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BC8C786" w14:textId="77777777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Mint minden savtermelést gátló gyógyszer, úgy az omeprazol is a hypochlorhydria, illetve achlorhydria következtében csökkentheti a B</w:t>
      </w:r>
      <w:r w:rsidRPr="000E7E81">
        <w:rPr>
          <w:szCs w:val="22"/>
          <w:vertAlign w:val="subscript"/>
          <w:lang w:val="hu-HU"/>
        </w:rPr>
        <w:t>12</w:t>
      </w:r>
      <w:r w:rsidRPr="000E7E81">
        <w:rPr>
          <w:szCs w:val="22"/>
          <w:lang w:val="hu-HU"/>
        </w:rPr>
        <w:t>-vitamin (cianokobalamin) felszívódását. Ezt figyelembe kell venni azoknál a betegeknél, akik csökkent mennyiségű B</w:t>
      </w:r>
      <w:r w:rsidRPr="000E7E81">
        <w:rPr>
          <w:szCs w:val="22"/>
          <w:vertAlign w:val="subscript"/>
          <w:lang w:val="hu-HU"/>
        </w:rPr>
        <w:t>12</w:t>
      </w:r>
      <w:r w:rsidRPr="000E7E81">
        <w:rPr>
          <w:szCs w:val="22"/>
          <w:lang w:val="hu-HU"/>
        </w:rPr>
        <w:noBreakHyphen/>
        <w:t>vitamin</w:t>
      </w:r>
      <w:r w:rsidR="0041445C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tartalékkal rendelkeznek, illetve akiknél fennállnak olyan kockázati tényezők, melyek következtében a hosszú távú terápia során nem lesz elegendő a B</w:t>
      </w:r>
      <w:r w:rsidRPr="000E7E81">
        <w:rPr>
          <w:szCs w:val="22"/>
          <w:vertAlign w:val="subscript"/>
          <w:lang w:val="hu-HU"/>
        </w:rPr>
        <w:t>12</w:t>
      </w:r>
      <w:r w:rsidRPr="000E7E81">
        <w:rPr>
          <w:szCs w:val="22"/>
          <w:lang w:val="hu-HU"/>
        </w:rPr>
        <w:t>-vitamin felszívódása.</w:t>
      </w:r>
    </w:p>
    <w:p w14:paraId="709B2DD4" w14:textId="77777777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C3A092B" w14:textId="295A90CB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omeprazol CYP2C19-gátló. Az omeprazollal történő kezelés megkezdésekor és befejezésekor figyelembe kell venni a CYP2C19 által metabolizált gyógyszerekkel </w:t>
      </w:r>
      <w:r w:rsidR="0041445C" w:rsidRPr="000E7E81">
        <w:rPr>
          <w:szCs w:val="22"/>
          <w:lang w:val="hu-HU"/>
        </w:rPr>
        <w:t xml:space="preserve">fellépő </w:t>
      </w:r>
      <w:r w:rsidRPr="000E7E81">
        <w:rPr>
          <w:szCs w:val="22"/>
          <w:lang w:val="hu-HU"/>
        </w:rPr>
        <w:t>lehetséges interakciókat. Interakciót figyeltek meg a klopidogr</w:t>
      </w:r>
      <w:r w:rsidR="000F39D2" w:rsidRPr="000E7E81">
        <w:rPr>
          <w:szCs w:val="22"/>
          <w:lang w:val="hu-HU"/>
        </w:rPr>
        <w:t>e</w:t>
      </w:r>
      <w:r w:rsidRPr="000E7E81">
        <w:rPr>
          <w:szCs w:val="22"/>
          <w:lang w:val="hu-HU"/>
        </w:rPr>
        <w:t>l és az omeprazol között (lásd 4.5 pont). Ennek az interakciónak a klinikai jelentősége még nem tisztázott. Elővigyázatosságból nem javasolt az omeprazol és a klopidogr</w:t>
      </w:r>
      <w:r w:rsidR="000F39D2" w:rsidRPr="000E7E81">
        <w:rPr>
          <w:szCs w:val="22"/>
          <w:lang w:val="hu-HU"/>
        </w:rPr>
        <w:t>e</w:t>
      </w:r>
      <w:r w:rsidRPr="000E7E81">
        <w:rPr>
          <w:szCs w:val="22"/>
          <w:lang w:val="hu-HU"/>
        </w:rPr>
        <w:t>l együtt</w:t>
      </w:r>
      <w:r w:rsidR="0041445C" w:rsidRPr="000E7E81">
        <w:rPr>
          <w:szCs w:val="22"/>
          <w:lang w:val="hu-HU"/>
        </w:rPr>
        <w:t>es alkalmazása</w:t>
      </w:r>
      <w:r w:rsidRPr="000E7E81">
        <w:rPr>
          <w:szCs w:val="22"/>
          <w:lang w:val="hu-HU"/>
        </w:rPr>
        <w:t xml:space="preserve"> (lásd 4.5 pont).</w:t>
      </w:r>
    </w:p>
    <w:p w14:paraId="297E6082" w14:textId="77777777" w:rsidR="00AC105F" w:rsidRPr="00B10F22" w:rsidRDefault="00AC105F">
      <w:pPr>
        <w:pStyle w:val="NormlWeb"/>
        <w:spacing w:before="0" w:beforeAutospacing="0" w:after="0" w:afterAutospacing="0"/>
        <w:rPr>
          <w:rStyle w:val="font4"/>
          <w:rFonts w:eastAsiaTheme="minorHAnsi"/>
          <w:sz w:val="22"/>
          <w:szCs w:val="22"/>
          <w:lang w:val="hu-HU"/>
        </w:rPr>
      </w:pPr>
    </w:p>
    <w:p w14:paraId="7049234E" w14:textId="261D9FDD" w:rsidR="00B0593B" w:rsidRPr="000E7E81" w:rsidRDefault="00B0593B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Protonpumpagátlókkal végzett kezelés kismértékben növelheti bizonyos gastrointestinalis fertőzések – pl. a </w:t>
      </w:r>
      <w:r w:rsidRPr="000E7E81">
        <w:rPr>
          <w:i/>
          <w:szCs w:val="22"/>
          <w:lang w:val="hu-HU"/>
        </w:rPr>
        <w:t>Salmonella</w:t>
      </w:r>
      <w:r w:rsidR="0041445C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 vagy a </w:t>
      </w:r>
      <w:r w:rsidRPr="000E7E81">
        <w:rPr>
          <w:i/>
          <w:szCs w:val="22"/>
          <w:lang w:val="hu-HU"/>
        </w:rPr>
        <w:t>Campylobacter</w:t>
      </w:r>
      <w:r w:rsidR="0041445C" w:rsidRPr="000E7E81">
        <w:rPr>
          <w:iCs/>
          <w:szCs w:val="22"/>
          <w:lang w:val="hu-HU"/>
        </w:rPr>
        <w:t>-</w:t>
      </w:r>
      <w:r w:rsidRPr="000E7E81">
        <w:rPr>
          <w:szCs w:val="22"/>
          <w:lang w:val="hu-HU"/>
        </w:rPr>
        <w:t>fertőzés</w:t>
      </w:r>
      <w:r w:rsidR="00FC752B" w:rsidRPr="000E7E81">
        <w:rPr>
          <w:szCs w:val="22"/>
          <w:lang w:val="hu-HU"/>
        </w:rPr>
        <w:t xml:space="preserve">, továbbá kórházban ápolt betegeknél esetleg a </w:t>
      </w:r>
      <w:r w:rsidR="00FC752B" w:rsidRPr="000E7E81">
        <w:rPr>
          <w:rStyle w:val="font4"/>
          <w:i/>
          <w:iCs/>
          <w:szCs w:val="22"/>
          <w:lang w:val="hu-HU"/>
        </w:rPr>
        <w:t>Clostridium difficile</w:t>
      </w:r>
      <w:r w:rsidR="00FC752B" w:rsidRPr="000E7E81">
        <w:rPr>
          <w:rStyle w:val="font4"/>
          <w:szCs w:val="22"/>
          <w:lang w:val="hu-HU"/>
        </w:rPr>
        <w:t xml:space="preserve"> fertőzés</w:t>
      </w:r>
      <w:r w:rsidRPr="000E7E81">
        <w:rPr>
          <w:szCs w:val="22"/>
          <w:lang w:val="hu-HU"/>
        </w:rPr>
        <w:t xml:space="preserve"> – kockázatát (lásd 5.1 pont). </w:t>
      </w:r>
    </w:p>
    <w:p w14:paraId="40DC5D80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60FBBC35" w14:textId="099C475A" w:rsidR="00245B2F" w:rsidRPr="000E7E81" w:rsidRDefault="00245B2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 protonpumpagátlókkal legalább három hónapon át, </w:t>
      </w:r>
      <w:r w:rsidR="0041445C" w:rsidRPr="000E7E81">
        <w:rPr>
          <w:szCs w:val="22"/>
          <w:lang w:val="hu-HU"/>
        </w:rPr>
        <w:t xml:space="preserve">de </w:t>
      </w:r>
      <w:r w:rsidRPr="000E7E81">
        <w:rPr>
          <w:szCs w:val="22"/>
          <w:lang w:val="hu-HU"/>
        </w:rPr>
        <w:t>a legtöbb esetben azonban egy év</w:t>
      </w:r>
      <w:r w:rsidR="0041445C" w:rsidRPr="000E7E81">
        <w:rPr>
          <w:szCs w:val="22"/>
          <w:lang w:val="hu-HU"/>
        </w:rPr>
        <w:t>ig</w:t>
      </w:r>
      <w:r w:rsidRPr="000E7E81">
        <w:rPr>
          <w:szCs w:val="22"/>
          <w:lang w:val="hu-HU"/>
        </w:rPr>
        <w:t xml:space="preserve"> kezelt betegek körében súlyos hypomagnesaemia előfordulásáról számoltak be. A hypomagnesaemia olyan súlyos tünetekkel jelentkezhet, mint például fáradtság, tet</w:t>
      </w:r>
      <w:r w:rsidR="0041445C" w:rsidRPr="000E7E81">
        <w:rPr>
          <w:szCs w:val="22"/>
          <w:lang w:val="hu-HU"/>
        </w:rPr>
        <w:t>a</w:t>
      </w:r>
      <w:r w:rsidRPr="000E7E81">
        <w:rPr>
          <w:szCs w:val="22"/>
          <w:lang w:val="hu-HU"/>
        </w:rPr>
        <w:t>nia, delírium, görcsök, szédülés és kamrai ritmuszavar, ezek azonban észrevétlenül kezdődnek, és elkerülhetik a figyelmet. A legtöbb érintett beteg</w:t>
      </w:r>
      <w:r w:rsidR="0041445C" w:rsidRPr="000E7E81">
        <w:rPr>
          <w:szCs w:val="22"/>
          <w:lang w:val="hu-HU"/>
        </w:rPr>
        <w:t>nél</w:t>
      </w:r>
      <w:r w:rsidRPr="000E7E81">
        <w:rPr>
          <w:szCs w:val="22"/>
          <w:lang w:val="hu-HU"/>
        </w:rPr>
        <w:t xml:space="preserve"> a hypomagnesaemia javult a magnéziumpótló terápia és a protonpumpagátló gyógyszer elhagyása hatására.</w:t>
      </w:r>
    </w:p>
    <w:p w14:paraId="34702CC0" w14:textId="77777777" w:rsidR="00544904" w:rsidRPr="000E7E81" w:rsidRDefault="00544904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E718004" w14:textId="3BC6548F" w:rsidR="00245B2F" w:rsidRPr="000E7E81" w:rsidRDefault="00245B2F">
      <w:pPr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lastRenderedPageBreak/>
        <w:t>Azoknál a betegeknél, akik várhatóan hosszabb ideig részesülnek protonpumpagátlókkal való kezelésben, vagy a protonpumpagátlókkal együtt digoxint vagy olyan gyógyszereket szednek, melyek hypomagnesaemiát okozhatnak (pl. diuretikumok), az orvosnak fontolóra kell vennie a magnéziumszint ellenőrzését a kezelés megkezdése előtt és rendszeres időközönként a kezelés során.</w:t>
      </w:r>
      <w:r w:rsidR="00544904" w:rsidRPr="000E7E81">
        <w:rPr>
          <w:szCs w:val="22"/>
          <w:lang w:val="hu-HU"/>
        </w:rPr>
        <w:t xml:space="preserve"> A súlyos hypomagnesemia hypocalc</w:t>
      </w:r>
      <w:r w:rsidR="00735AAF" w:rsidRPr="000E7E81">
        <w:rPr>
          <w:szCs w:val="22"/>
          <w:lang w:val="hu-HU"/>
        </w:rPr>
        <w:t>a</w:t>
      </w:r>
      <w:r w:rsidR="00544904" w:rsidRPr="000E7E81">
        <w:rPr>
          <w:szCs w:val="22"/>
          <w:lang w:val="hu-HU"/>
        </w:rPr>
        <w:t>emi</w:t>
      </w:r>
      <w:r w:rsidR="00735AAF" w:rsidRPr="000E7E81">
        <w:rPr>
          <w:szCs w:val="22"/>
          <w:lang w:val="hu-HU"/>
        </w:rPr>
        <w:t>á</w:t>
      </w:r>
      <w:r w:rsidR="00544904" w:rsidRPr="000E7E81">
        <w:rPr>
          <w:szCs w:val="22"/>
          <w:lang w:val="hu-HU"/>
        </w:rPr>
        <w:t>t eredményezhet.</w:t>
      </w:r>
    </w:p>
    <w:p w14:paraId="7348F11E" w14:textId="77777777" w:rsidR="00245B2F" w:rsidRPr="000E7E81" w:rsidRDefault="00245B2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5056F9AB" w14:textId="027ECA21" w:rsidR="00130640" w:rsidRPr="000E7E81" w:rsidRDefault="00130640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protonpumpagátlók – különösen, ha nagy adagokban és hosszú távon (</w:t>
      </w:r>
      <w:r w:rsidR="004614D1" w:rsidRPr="000E7E81">
        <w:rPr>
          <w:szCs w:val="22"/>
          <w:lang w:val="hu-HU"/>
        </w:rPr>
        <w:t>1 </w:t>
      </w:r>
      <w:r w:rsidRPr="000E7E81">
        <w:rPr>
          <w:szCs w:val="22"/>
          <w:lang w:val="hu-HU"/>
        </w:rPr>
        <w:t xml:space="preserve">évnél hosszabb ideig) alkalmazzák – enyhén növelhetik a csípő-, csukló- és gerinctörés kockázatát, </w:t>
      </w:r>
      <w:r w:rsidR="00651272" w:rsidRPr="000E7E81">
        <w:rPr>
          <w:szCs w:val="22"/>
          <w:lang w:val="hu-HU"/>
        </w:rPr>
        <w:t xml:space="preserve">főként </w:t>
      </w:r>
      <w:r w:rsidRPr="000E7E81">
        <w:rPr>
          <w:szCs w:val="22"/>
          <w:lang w:val="hu-HU"/>
        </w:rPr>
        <w:t>idősek</w:t>
      </w:r>
      <w:r w:rsidR="00735AAF" w:rsidRPr="000E7E81">
        <w:rPr>
          <w:szCs w:val="22"/>
          <w:lang w:val="hu-HU"/>
        </w:rPr>
        <w:t>nél</w:t>
      </w:r>
      <w:r w:rsidRPr="000E7E81">
        <w:rPr>
          <w:szCs w:val="22"/>
          <w:lang w:val="hu-HU"/>
        </w:rPr>
        <w:t xml:space="preserve"> </w:t>
      </w:r>
      <w:r w:rsidR="00651272" w:rsidRPr="000E7E81">
        <w:rPr>
          <w:szCs w:val="22"/>
          <w:lang w:val="hu-HU"/>
        </w:rPr>
        <w:t>vagy olyan betegeknél, akiknél egyéb ismert kockázati tényezők is fennállnak</w:t>
      </w:r>
      <w:r w:rsidRPr="000E7E81">
        <w:rPr>
          <w:szCs w:val="22"/>
          <w:lang w:val="hu-HU"/>
        </w:rPr>
        <w:t>. Megfigyeléses vizsgálatok eredményei szerint a protonpumpagátlók 10</w:t>
      </w:r>
      <w:r w:rsidR="000F39D2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>40</w:t>
      </w:r>
      <w:r w:rsidR="00651272" w:rsidRPr="000E7E81">
        <w:rPr>
          <w:szCs w:val="22"/>
          <w:lang w:val="hu-HU"/>
        </w:rPr>
        <w:t>%-</w:t>
      </w:r>
      <w:r w:rsidRPr="000E7E81">
        <w:rPr>
          <w:szCs w:val="22"/>
          <w:lang w:val="hu-HU"/>
        </w:rPr>
        <w:t>kal növelhetik a csonttörés</w:t>
      </w:r>
      <w:r w:rsidR="00651272" w:rsidRPr="000E7E81">
        <w:rPr>
          <w:szCs w:val="22"/>
          <w:lang w:val="hu-HU"/>
        </w:rPr>
        <w:t xml:space="preserve">ek </w:t>
      </w:r>
      <w:r w:rsidRPr="000E7E81">
        <w:rPr>
          <w:szCs w:val="22"/>
          <w:lang w:val="hu-HU"/>
        </w:rPr>
        <w:t>kockázat</w:t>
      </w:r>
      <w:r w:rsidR="00651272" w:rsidRPr="000E7E81">
        <w:rPr>
          <w:szCs w:val="22"/>
          <w:lang w:val="hu-HU"/>
        </w:rPr>
        <w:t>á</w:t>
      </w:r>
      <w:r w:rsidRPr="000E7E81">
        <w:rPr>
          <w:szCs w:val="22"/>
          <w:lang w:val="hu-HU"/>
        </w:rPr>
        <w:t xml:space="preserve">t. </w:t>
      </w:r>
      <w:r w:rsidR="00651272" w:rsidRPr="000E7E81">
        <w:rPr>
          <w:szCs w:val="22"/>
          <w:lang w:val="hu-HU"/>
        </w:rPr>
        <w:t>A kockázatnövekedéshez részben egyéb tényezők is hozzájárulhatnak</w:t>
      </w:r>
      <w:r w:rsidRPr="000E7E81">
        <w:rPr>
          <w:szCs w:val="22"/>
          <w:lang w:val="hu-HU"/>
        </w:rPr>
        <w:t xml:space="preserve">. </w:t>
      </w:r>
      <w:r w:rsidR="00B76C79" w:rsidRPr="000E7E81">
        <w:rPr>
          <w:szCs w:val="22"/>
          <w:lang w:val="hu-HU"/>
        </w:rPr>
        <w:t>Az osteoporosis kockázatának kitett betegeknek az érvényes klinikai irányelveknek megfelelő ellátásban, valamint megfelelő D</w:t>
      </w:r>
      <w:r w:rsidR="00735AAF" w:rsidRPr="000E7E81">
        <w:rPr>
          <w:szCs w:val="22"/>
          <w:lang w:val="hu-HU"/>
        </w:rPr>
        <w:noBreakHyphen/>
      </w:r>
      <w:r w:rsidR="00B76C79" w:rsidRPr="000E7E81">
        <w:rPr>
          <w:szCs w:val="22"/>
          <w:lang w:val="hu-HU"/>
        </w:rPr>
        <w:t>vitamin- és kalciumbevitelben kell részesülniük</w:t>
      </w:r>
      <w:r w:rsidRPr="000E7E81">
        <w:rPr>
          <w:szCs w:val="22"/>
          <w:lang w:val="hu-HU"/>
        </w:rPr>
        <w:t>.</w:t>
      </w:r>
    </w:p>
    <w:p w14:paraId="33B4F302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3FDB5E0E" w14:textId="551CFE66" w:rsidR="00130640" w:rsidRPr="000E7E81" w:rsidRDefault="00130640">
      <w:pPr>
        <w:widowControl w:val="0"/>
        <w:autoSpaceDE w:val="0"/>
        <w:autoSpaceDN w:val="0"/>
        <w:adjustRightInd w:val="0"/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Suba</w:t>
      </w:r>
      <w:r w:rsidR="000F39D2" w:rsidRPr="000E7E81">
        <w:rPr>
          <w:szCs w:val="22"/>
          <w:u w:val="single"/>
          <w:lang w:val="hu-HU"/>
        </w:rPr>
        <w:t>c</w:t>
      </w:r>
      <w:r w:rsidRPr="000E7E81">
        <w:rPr>
          <w:szCs w:val="22"/>
          <w:u w:val="single"/>
          <w:lang w:val="hu-HU"/>
        </w:rPr>
        <w:t xml:space="preserve">ut </w:t>
      </w:r>
      <w:r w:rsidR="00735AAF" w:rsidRPr="000E7E81">
        <w:rPr>
          <w:szCs w:val="22"/>
          <w:u w:val="single"/>
          <w:lang w:val="hu-HU"/>
        </w:rPr>
        <w:t xml:space="preserve">cutan </w:t>
      </w:r>
      <w:r w:rsidRPr="000E7E81">
        <w:rPr>
          <w:szCs w:val="22"/>
          <w:u w:val="single"/>
          <w:lang w:val="hu-HU"/>
        </w:rPr>
        <w:t>lupus erythematosus (SCLE)</w:t>
      </w:r>
    </w:p>
    <w:p w14:paraId="5DB4201E" w14:textId="0C9FE676" w:rsidR="00130640" w:rsidRPr="000E7E81" w:rsidRDefault="00130640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protonpumpagátlók használata nagyon ritkán kapcsolatba hozható SCLE</w:t>
      </w:r>
      <w:r w:rsidR="00735AAF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esetekkel. Elváltozások esetén, különösen, ha ez a bőr napnak kitett területén van, valamint ha ízületi fájdalommal társul, sürgősen orvoshoz kell fordulni és meg kell fontolni az </w:t>
      </w:r>
      <w:r w:rsidR="00CC3660" w:rsidRPr="000E7E81">
        <w:rPr>
          <w:szCs w:val="22"/>
          <w:lang w:val="hu-HU"/>
        </w:rPr>
        <w:t>omeprazol</w:t>
      </w:r>
      <w:r w:rsidRPr="000E7E81">
        <w:rPr>
          <w:szCs w:val="22"/>
          <w:lang w:val="hu-HU"/>
        </w:rPr>
        <w:t xml:space="preserve"> alkalmazásának a leállítását. Az SCLE valamely protonpumpagátlóval történő korábbi kezelés </w:t>
      </w:r>
      <w:r w:rsidR="00BA6E6A" w:rsidRPr="000E7E81">
        <w:rPr>
          <w:szCs w:val="22"/>
          <w:lang w:val="hu-HU"/>
        </w:rPr>
        <w:t xml:space="preserve">kapcsán észlelt előfordulása </w:t>
      </w:r>
      <w:r w:rsidRPr="000E7E81">
        <w:rPr>
          <w:szCs w:val="22"/>
          <w:lang w:val="hu-HU"/>
        </w:rPr>
        <w:t>növelheti az SCLE esélyét más protonpumpagátlók használata esetén is.</w:t>
      </w:r>
    </w:p>
    <w:p w14:paraId="6241015A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5AD9CF34" w14:textId="77777777" w:rsidR="00D76313" w:rsidRPr="000E7E81" w:rsidRDefault="00D76313">
      <w:pPr>
        <w:widowControl w:val="0"/>
        <w:autoSpaceDE w:val="0"/>
        <w:autoSpaceDN w:val="0"/>
        <w:adjustRightInd w:val="0"/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Vesekárosodás</w:t>
      </w:r>
    </w:p>
    <w:p w14:paraId="70EEDF12" w14:textId="77777777" w:rsidR="00D76313" w:rsidRPr="000E7E81" w:rsidRDefault="00D763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Omeprazolt szedő betegeknél akut tubulointerstitialis nephritist (TIN) figyeltek meg, amely bármikor előfordulhat az omeprazol-kezelés folyamán (4.8 pont). Az akut tubulointerstitialis nephritis veseelégtelenségbe progrediálhat.</w:t>
      </w:r>
    </w:p>
    <w:p w14:paraId="16F0A5EF" w14:textId="77777777" w:rsidR="00D76313" w:rsidRPr="000E7E81" w:rsidRDefault="00D763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TIN gyanúja esetén az omeprazol alkalmazását le kell állítani, és haladéktalanul megfelelő kezelést kell indítani.</w:t>
      </w:r>
    </w:p>
    <w:p w14:paraId="18FC36C0" w14:textId="77777777" w:rsidR="00D76313" w:rsidRPr="000E7E81" w:rsidRDefault="00D76313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72DDCD75" w14:textId="77777777" w:rsidR="00B76C79" w:rsidRPr="000E7E81" w:rsidRDefault="00B76C79">
      <w:pPr>
        <w:widowControl w:val="0"/>
        <w:autoSpaceDE w:val="0"/>
        <w:autoSpaceDN w:val="0"/>
        <w:adjustRightInd w:val="0"/>
        <w:spacing w:after="0"/>
        <w:rPr>
          <w:i/>
          <w:szCs w:val="22"/>
          <w:lang w:val="hu-HU"/>
        </w:rPr>
      </w:pPr>
      <w:r w:rsidRPr="000E7E81">
        <w:rPr>
          <w:i/>
          <w:szCs w:val="22"/>
          <w:lang w:val="hu-HU"/>
        </w:rPr>
        <w:t>Kölcsönhatás laboratóriumi vizsgálatokkal</w:t>
      </w:r>
    </w:p>
    <w:p w14:paraId="421FF3B2" w14:textId="0AF1BBA6" w:rsidR="00130640" w:rsidRPr="000E7E81" w:rsidRDefault="00130640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megnövekedett kromogranin-A</w:t>
      </w:r>
      <w:r w:rsidR="00ED2A6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 (CgA)</w:t>
      </w:r>
      <w:r w:rsidR="00ED2A6D" w:rsidRPr="000E7E81">
        <w:rPr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 xml:space="preserve">szint zavarhatja a neuroendokrin tumorok vizsgálatait. Ezen kölcsönhatás elkerülése érdekében az </w:t>
      </w:r>
      <w:r w:rsidR="00CC3660" w:rsidRPr="000E7E81">
        <w:rPr>
          <w:szCs w:val="22"/>
          <w:lang w:val="hu-HU"/>
        </w:rPr>
        <w:t>omeprazol-</w:t>
      </w:r>
      <w:r w:rsidRPr="000E7E81">
        <w:rPr>
          <w:szCs w:val="22"/>
          <w:lang w:val="hu-HU"/>
        </w:rPr>
        <w:t xml:space="preserve">kezelést legalább </w:t>
      </w:r>
      <w:r w:rsidR="00B76C79" w:rsidRPr="000E7E81">
        <w:rPr>
          <w:szCs w:val="22"/>
          <w:lang w:val="hu-HU"/>
        </w:rPr>
        <w:t>5</w:t>
      </w:r>
      <w:r w:rsidRPr="000E7E81">
        <w:rPr>
          <w:szCs w:val="22"/>
          <w:lang w:val="hu-HU"/>
        </w:rPr>
        <w:t> nappal a CgA mérése előtt fel kell függeszteni (lásd 5.1 pont). Amennyiben a CgA</w:t>
      </w:r>
      <w:r w:rsidR="00ED2A6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 és gasztrinszintek az eredeti mérés után nem térnek vissza a referenciatartományba, a protonpumpagátló</w:t>
      </w:r>
      <w:r w:rsidR="00B76C79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kezelés felfüggesztése után 14 nappal meg kell ismételni a mérést.</w:t>
      </w:r>
    </w:p>
    <w:p w14:paraId="5ED4C69C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23D42B6F" w14:textId="77777777" w:rsidR="0048768D" w:rsidRPr="000E7E81" w:rsidRDefault="0048768D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Bármilyen hosszú távú kezeléshez hasonlóan, </w:t>
      </w:r>
      <w:r w:rsidR="00B76C79" w:rsidRPr="000E7E81">
        <w:rPr>
          <w:szCs w:val="22"/>
          <w:lang w:val="hu-HU"/>
        </w:rPr>
        <w:t>különösen</w:t>
      </w:r>
      <w:r w:rsidRPr="000E7E81">
        <w:rPr>
          <w:szCs w:val="22"/>
          <w:lang w:val="hu-HU"/>
        </w:rPr>
        <w:t>, ha annak időtartama meghaladja az egy évet, a beteget rendszeres megfigyelés alatt kell tartani.</w:t>
      </w:r>
    </w:p>
    <w:p w14:paraId="1D931638" w14:textId="77777777" w:rsidR="00AC105F" w:rsidRPr="00B10F22" w:rsidRDefault="00AC105F">
      <w:pPr>
        <w:pStyle w:val="NormlWeb"/>
        <w:spacing w:before="0" w:beforeAutospacing="0" w:after="0" w:afterAutospacing="0"/>
        <w:rPr>
          <w:rStyle w:val="font4"/>
          <w:rFonts w:eastAsiaTheme="minorHAnsi"/>
          <w:sz w:val="22"/>
          <w:szCs w:val="22"/>
          <w:lang w:val="hu-HU"/>
        </w:rPr>
      </w:pPr>
    </w:p>
    <w:p w14:paraId="2EC83477" w14:textId="77777777" w:rsidR="00AC105F" w:rsidRPr="000E7E81" w:rsidRDefault="0048768D">
      <w:pPr>
        <w:pStyle w:val="NormlWeb"/>
        <w:spacing w:before="0" w:beforeAutospacing="0" w:after="0" w:afterAutospacing="0"/>
        <w:rPr>
          <w:rStyle w:val="font4"/>
          <w:rFonts w:eastAsiaTheme="minorHAnsi"/>
          <w:sz w:val="22"/>
          <w:szCs w:val="22"/>
          <w:u w:val="single"/>
          <w:lang w:val="hu-HU"/>
        </w:rPr>
      </w:pPr>
      <w:r w:rsidRPr="000E7E81">
        <w:rPr>
          <w:rStyle w:val="font4"/>
          <w:sz w:val="22"/>
          <w:szCs w:val="22"/>
          <w:u w:val="single"/>
          <w:lang w:val="hu-HU"/>
        </w:rPr>
        <w:t>Nátrium</w:t>
      </w:r>
    </w:p>
    <w:p w14:paraId="51919611" w14:textId="77777777" w:rsidR="00AB0559" w:rsidRPr="000E7E81" w:rsidRDefault="00AB0559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lang w:val="hu-HU"/>
        </w:rPr>
        <w:t>A készítmény kevesebb mint 1 mmol (23 mg) nátriumot tartalmaz injekciós üvegenként, azaz gyakorlatilag „nátriummentes”.</w:t>
      </w:r>
    </w:p>
    <w:p w14:paraId="5936E609" w14:textId="77777777" w:rsidR="00AC105F" w:rsidRPr="000E7E81" w:rsidRDefault="00AC105F">
      <w:pPr>
        <w:tabs>
          <w:tab w:val="left" w:pos="567"/>
        </w:tabs>
        <w:spacing w:after="0"/>
        <w:rPr>
          <w:szCs w:val="22"/>
          <w:lang w:val="hu-HU"/>
        </w:rPr>
      </w:pPr>
    </w:p>
    <w:p w14:paraId="2A23DBA3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4.5</w:t>
      </w:r>
      <w:r w:rsidRPr="000E7E81">
        <w:rPr>
          <w:lang w:val="hu-HU"/>
        </w:rPr>
        <w:tab/>
      </w:r>
      <w:r w:rsidR="0009629A" w:rsidRPr="000E7E81">
        <w:rPr>
          <w:lang w:val="hu-HU"/>
        </w:rPr>
        <w:t>Gyógyszerkölcsönhatások és egyéb interakciók</w:t>
      </w:r>
    </w:p>
    <w:p w14:paraId="3CADB310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6EBB4527" w14:textId="77777777" w:rsidR="003408CB" w:rsidRPr="000E7E81" w:rsidRDefault="0009629A" w:rsidP="000E7E81">
      <w:pPr>
        <w:tabs>
          <w:tab w:val="left" w:pos="567"/>
        </w:tabs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Az omeprazol hatása más hatóanyagok farmakokinetikájára</w:t>
      </w:r>
    </w:p>
    <w:p w14:paraId="2158C8EE" w14:textId="77777777" w:rsidR="004D4AB2" w:rsidRPr="000E7E81" w:rsidRDefault="004D4AB2">
      <w:pPr>
        <w:tabs>
          <w:tab w:val="left" w:pos="567"/>
        </w:tabs>
        <w:spacing w:after="0"/>
        <w:rPr>
          <w:szCs w:val="22"/>
          <w:lang w:val="hu-HU"/>
        </w:rPr>
      </w:pPr>
    </w:p>
    <w:p w14:paraId="66210B54" w14:textId="77777777" w:rsidR="00525E56" w:rsidRPr="000E7E81" w:rsidRDefault="00525E56">
      <w:pPr>
        <w:keepNext/>
        <w:widowControl w:val="0"/>
        <w:autoSpaceDE w:val="0"/>
        <w:autoSpaceDN w:val="0"/>
        <w:adjustRightInd w:val="0"/>
        <w:spacing w:after="0"/>
        <w:rPr>
          <w:i/>
          <w:szCs w:val="22"/>
          <w:lang w:val="hu-HU"/>
        </w:rPr>
      </w:pPr>
      <w:r w:rsidRPr="000E7E81">
        <w:rPr>
          <w:i/>
          <w:iCs/>
          <w:szCs w:val="22"/>
          <w:u w:val="single"/>
          <w:lang w:val="hu-HU"/>
        </w:rPr>
        <w:t>A pH függvényében felszívódó hatóanyagok</w:t>
      </w:r>
    </w:p>
    <w:p w14:paraId="1CBC908D" w14:textId="77777777" w:rsidR="00525E56" w:rsidRPr="000E7E81" w:rsidRDefault="00525E56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omeprazol-kezelés ideje alatt lecsökkent gyomorsavmennyiség növelheti vagy csökkentheti a gyomornedv pH</w:t>
      </w:r>
      <w:r w:rsidRPr="000E7E81">
        <w:rPr>
          <w:szCs w:val="22"/>
          <w:lang w:val="hu-HU"/>
        </w:rPr>
        <w:noBreakHyphen/>
        <w:t>értékének függvényében felszívódó hatóanyagok felszívódását.</w:t>
      </w:r>
    </w:p>
    <w:p w14:paraId="09022E71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33BC67E3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Nelfinavir, atazanavir</w:t>
      </w:r>
    </w:p>
    <w:p w14:paraId="5DEA4A34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nelfinavir és az atazanavir plazmakoncentrációja csökken az omeprazollal történő együttes alkalmazásuk esetében.</w:t>
      </w:r>
    </w:p>
    <w:p w14:paraId="002D8576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D65A7CD" w14:textId="2B6F3F36" w:rsidR="00525E56" w:rsidRPr="000E7E81" w:rsidRDefault="00525E56" w:rsidP="00B10F22">
      <w:pPr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és a nelfinavir együttadása ellenjaval</w:t>
      </w:r>
      <w:r w:rsidR="00980A0B" w:rsidRPr="000E7E81">
        <w:rPr>
          <w:szCs w:val="22"/>
          <w:lang w:val="hu-HU"/>
        </w:rPr>
        <w:t>l</w:t>
      </w:r>
      <w:r w:rsidRPr="000E7E81">
        <w:rPr>
          <w:szCs w:val="22"/>
          <w:lang w:val="hu-HU"/>
        </w:rPr>
        <w:t>t (lásd a 4.3 pontot). Az omeprazol együtt</w:t>
      </w:r>
      <w:r w:rsidR="00656162" w:rsidRPr="000E7E81">
        <w:rPr>
          <w:szCs w:val="22"/>
          <w:lang w:val="hu-HU"/>
        </w:rPr>
        <w:t>es alkalmazása</w:t>
      </w:r>
      <w:r w:rsidRPr="000E7E81">
        <w:rPr>
          <w:szCs w:val="22"/>
          <w:lang w:val="hu-HU"/>
        </w:rPr>
        <w:t xml:space="preserve"> (napi egyszeri 40 mg adagban) kb. 40%</w:t>
      </w:r>
      <w:r w:rsidRPr="000E7E81">
        <w:rPr>
          <w:szCs w:val="22"/>
          <w:lang w:val="hu-HU"/>
        </w:rPr>
        <w:noBreakHyphen/>
        <w:t xml:space="preserve">kal csökkentette a nelfinavir átlag expozícióját, a </w:t>
      </w:r>
      <w:r w:rsidRPr="000E7E81">
        <w:rPr>
          <w:szCs w:val="22"/>
          <w:lang w:val="hu-HU"/>
        </w:rPr>
        <w:lastRenderedPageBreak/>
        <w:t>farmakológiailag aktív M8 metabolitjának átlag expozíciója pedig kb. 75</w:t>
      </w:r>
      <w:r w:rsidR="00585D14">
        <w:rPr>
          <w:szCs w:val="22"/>
          <w:lang w:val="hu-HU"/>
        </w:rPr>
        <w:t>-</w:t>
      </w:r>
      <w:r w:rsidRPr="000E7E81">
        <w:rPr>
          <w:szCs w:val="22"/>
          <w:lang w:val="hu-HU"/>
        </w:rPr>
        <w:t>90%</w:t>
      </w:r>
      <w:r w:rsidRPr="000E7E81">
        <w:rPr>
          <w:szCs w:val="22"/>
          <w:lang w:val="hu-HU"/>
        </w:rPr>
        <w:noBreakHyphen/>
        <w:t>kal csökkent. A kölcsönhatás a CYP2C19 gátlásával is járhat.</w:t>
      </w:r>
    </w:p>
    <w:p w14:paraId="6FE35C8E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062B032" w14:textId="3A098913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és az atazanavir együttadása nem javasolt (lásd a 4.4 pontot). Az omeprazol (naponta egyszer 40 mg) és 300 mg atazanavir / 100 mg ritonavir egyidejű alkalmazása egészséges önkéntesek</w:t>
      </w:r>
      <w:r w:rsidR="00656162" w:rsidRPr="000E7E81">
        <w:rPr>
          <w:szCs w:val="22"/>
          <w:lang w:val="hu-HU"/>
        </w:rPr>
        <w:t>nél</w:t>
      </w:r>
      <w:r w:rsidRPr="000E7E81">
        <w:rPr>
          <w:szCs w:val="22"/>
          <w:lang w:val="hu-HU"/>
        </w:rPr>
        <w:t xml:space="preserve"> az atazanavir-expozíció 75%</w:t>
      </w:r>
      <w:r w:rsidRPr="000E7E81">
        <w:rPr>
          <w:szCs w:val="22"/>
          <w:lang w:val="hu-HU"/>
        </w:rPr>
        <w:noBreakHyphen/>
        <w:t>os csökkenését eredményezte. Az atazanavir adagolásának 400 mg</w:t>
      </w:r>
      <w:r w:rsidRPr="000E7E81">
        <w:rPr>
          <w:szCs w:val="22"/>
          <w:lang w:val="hu-HU"/>
        </w:rPr>
        <w:noBreakHyphen/>
        <w:t>ra történő megemelése nem ellensúlyozta az omeprazolnak az atazanavir-expozícióra kifejtett hatását. Az omeprazol (naponta egyszer 20 mg) és 400 mg atazanavir / 100 mg ritonavir egyidejű alkalmazása – összehasonlítva a napi egyszeri 300 mg atazanavir / 100 mg ritonavir beadásával – egészséges önkéntesek</w:t>
      </w:r>
      <w:r w:rsidR="00656162" w:rsidRPr="000E7E81">
        <w:rPr>
          <w:szCs w:val="22"/>
          <w:lang w:val="hu-HU"/>
        </w:rPr>
        <w:t>nél</w:t>
      </w:r>
      <w:r w:rsidRPr="000E7E81">
        <w:rPr>
          <w:szCs w:val="22"/>
          <w:lang w:val="hu-HU"/>
        </w:rPr>
        <w:t xml:space="preserve"> az atazanavir</w:t>
      </w:r>
      <w:r w:rsidRPr="000E7E81">
        <w:rPr>
          <w:szCs w:val="22"/>
          <w:lang w:val="hu-HU"/>
        </w:rPr>
        <w:noBreakHyphen/>
        <w:t>expozíció körülbelül 30%</w:t>
      </w:r>
      <w:r w:rsidRPr="000E7E81">
        <w:rPr>
          <w:szCs w:val="22"/>
          <w:lang w:val="hu-HU"/>
        </w:rPr>
        <w:noBreakHyphen/>
        <w:t>os csökkenését eredményezte.</w:t>
      </w:r>
    </w:p>
    <w:p w14:paraId="650E2456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A94DD98" w14:textId="77777777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Digoxin</w:t>
      </w:r>
    </w:p>
    <w:p w14:paraId="6C05FD16" w14:textId="13C2CA0A" w:rsidR="00525E56" w:rsidRPr="000E7E81" w:rsidRDefault="00525E56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(naponta egyszer 20 mg) és a digoxin együttadása egészséges vizsgálati alanyok</w:t>
      </w:r>
      <w:r w:rsidR="004B572E" w:rsidRPr="000E7E81">
        <w:rPr>
          <w:szCs w:val="22"/>
          <w:lang w:val="hu-HU"/>
        </w:rPr>
        <w:t>nál</w:t>
      </w:r>
      <w:r w:rsidRPr="000E7E81">
        <w:rPr>
          <w:szCs w:val="22"/>
          <w:lang w:val="hu-HU"/>
        </w:rPr>
        <w:t xml:space="preserve"> 10%</w:t>
      </w:r>
      <w:r w:rsidRPr="000E7E81">
        <w:rPr>
          <w:szCs w:val="22"/>
          <w:lang w:val="hu-HU"/>
        </w:rPr>
        <w:noBreakHyphen/>
        <w:t>kal növelte a digoxin biohasznosulását. Ritkán jelentettek digoxin</w:t>
      </w:r>
      <w:r w:rsidR="004B572E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mérgezést. Ennek ellenére fokozott figyelemre van szükség, amikor idős betegeknek nagy dózisban adják az omeprazolt. Ilyenkor intenzívebbé kell tenni a terápiás digoxin-szint monitorozását.</w:t>
      </w:r>
    </w:p>
    <w:p w14:paraId="3CCB3246" w14:textId="77777777" w:rsidR="00AC105F" w:rsidRPr="000E7E81" w:rsidRDefault="00AC105F">
      <w:pPr>
        <w:tabs>
          <w:tab w:val="left" w:pos="567"/>
        </w:tabs>
        <w:spacing w:after="0"/>
        <w:rPr>
          <w:szCs w:val="22"/>
          <w:lang w:val="hu-HU" w:eastAsia="en-US"/>
        </w:rPr>
      </w:pPr>
    </w:p>
    <w:p w14:paraId="5A5475E1" w14:textId="77777777" w:rsidR="00AC105F" w:rsidRPr="000E7E81" w:rsidRDefault="00250CB5">
      <w:pPr>
        <w:tabs>
          <w:tab w:val="left" w:pos="567"/>
        </w:tabs>
        <w:spacing w:after="0"/>
        <w:rPr>
          <w:i/>
          <w:iCs/>
          <w:szCs w:val="22"/>
          <w:lang w:val="hu-HU" w:eastAsia="en-US"/>
        </w:rPr>
      </w:pPr>
      <w:r w:rsidRPr="000E7E81">
        <w:rPr>
          <w:i/>
          <w:iCs/>
          <w:szCs w:val="22"/>
          <w:lang w:val="hu-HU" w:eastAsia="en-US"/>
        </w:rPr>
        <w:t>K</w:t>
      </w:r>
      <w:r w:rsidR="00A07977" w:rsidRPr="000E7E81">
        <w:rPr>
          <w:i/>
          <w:iCs/>
          <w:szCs w:val="22"/>
          <w:lang w:val="hu-HU" w:eastAsia="en-US"/>
        </w:rPr>
        <w:t>lopidogrel</w:t>
      </w:r>
    </w:p>
    <w:p w14:paraId="753B1965" w14:textId="32CD9BC7" w:rsidR="002D249E" w:rsidRPr="000E7E81" w:rsidRDefault="002D249E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egészséges alanyokkal végzett vizsgálatok eredményei kimutatták, hogy a klopidogr</w:t>
      </w:r>
      <w:r w:rsidR="00250CB5" w:rsidRPr="000E7E81">
        <w:rPr>
          <w:szCs w:val="22"/>
          <w:lang w:val="hu-HU"/>
        </w:rPr>
        <w:t>e</w:t>
      </w:r>
      <w:r w:rsidRPr="000E7E81">
        <w:rPr>
          <w:szCs w:val="22"/>
          <w:lang w:val="hu-HU"/>
        </w:rPr>
        <w:t>l (300</w:t>
      </w:r>
      <w:r w:rsidR="00250CB5" w:rsidRPr="000E7E81">
        <w:rPr>
          <w:szCs w:val="22"/>
          <w:lang w:val="hu-HU"/>
        </w:rPr>
        <w:t> </w:t>
      </w:r>
      <w:r w:rsidRPr="000E7E81">
        <w:rPr>
          <w:szCs w:val="22"/>
          <w:lang w:val="hu-HU"/>
        </w:rPr>
        <w:t xml:space="preserve">mg kezdeti és napi 75 mg fenntartó dózis) és az omeprazol (napi 80 mg </w:t>
      </w:r>
      <w:r w:rsidRPr="000E7E81">
        <w:rPr>
          <w:i/>
          <w:szCs w:val="22"/>
          <w:lang w:val="hu-HU"/>
        </w:rPr>
        <w:t>p</w:t>
      </w:r>
      <w:r w:rsidR="00830C7B" w:rsidRPr="000E7E81">
        <w:rPr>
          <w:i/>
          <w:szCs w:val="22"/>
          <w:lang w:val="hu-HU"/>
        </w:rPr>
        <w:t>er os</w:t>
      </w:r>
      <w:r w:rsidRPr="000E7E81">
        <w:rPr>
          <w:szCs w:val="22"/>
          <w:lang w:val="hu-HU"/>
        </w:rPr>
        <w:t>) közötti farmakokinetikai/farmakodinámiás kölcsönhatás következtében a klopidogr</w:t>
      </w:r>
      <w:r w:rsidR="00830C7B" w:rsidRPr="000E7E81">
        <w:rPr>
          <w:szCs w:val="22"/>
          <w:lang w:val="hu-HU"/>
        </w:rPr>
        <w:t>e</w:t>
      </w:r>
      <w:r w:rsidRPr="000E7E81">
        <w:rPr>
          <w:szCs w:val="22"/>
          <w:lang w:val="hu-HU"/>
        </w:rPr>
        <w:t xml:space="preserve">l aktív metabolitjának mennyisége átlagosan 46%-kal, az (ADP által indukált) </w:t>
      </w:r>
      <w:r w:rsidR="00830C7B" w:rsidRPr="000E7E81">
        <w:rPr>
          <w:szCs w:val="22"/>
          <w:lang w:val="hu-HU"/>
        </w:rPr>
        <w:t>thrombocyta</w:t>
      </w:r>
      <w:r w:rsidRPr="000E7E81">
        <w:rPr>
          <w:szCs w:val="22"/>
          <w:lang w:val="hu-HU"/>
        </w:rPr>
        <w:t>aggregáció</w:t>
      </w:r>
      <w:r w:rsidR="004B572E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gátlás maximális értéke átlagosan 16%-kal csökkent.</w:t>
      </w:r>
    </w:p>
    <w:p w14:paraId="774A1DAA" w14:textId="77777777" w:rsidR="002D249E" w:rsidRPr="000E7E81" w:rsidRDefault="002D249E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71610B33" w14:textId="14DDF956" w:rsidR="002D249E" w:rsidRPr="000E7E81" w:rsidRDefault="003B3B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Ellentmondásos adatokat jelentettek mind az obszervációs, mind a klinikai vizsgálatok eredményeképpen az omeprazol farmakokinetikai/farmakodinámiás interakciójának a major cardiovascularis eseményekre gyakorolt klinikai hatásáról. Elővigyázatosságból</w:t>
      </w:r>
      <w:r w:rsidR="002D249E" w:rsidRPr="000E7E81">
        <w:rPr>
          <w:szCs w:val="22"/>
          <w:lang w:val="hu-HU"/>
        </w:rPr>
        <w:t xml:space="preserve"> az omeprazol és a klopidogr</w:t>
      </w:r>
      <w:r w:rsidR="00250CB5" w:rsidRPr="000E7E81">
        <w:rPr>
          <w:szCs w:val="22"/>
          <w:lang w:val="hu-HU"/>
        </w:rPr>
        <w:t>e</w:t>
      </w:r>
      <w:r w:rsidR="002D249E" w:rsidRPr="000E7E81">
        <w:rPr>
          <w:szCs w:val="22"/>
          <w:lang w:val="hu-HU"/>
        </w:rPr>
        <w:t xml:space="preserve">l egyidejű </w:t>
      </w:r>
      <w:r w:rsidR="004B572E" w:rsidRPr="000E7E81">
        <w:rPr>
          <w:szCs w:val="22"/>
          <w:lang w:val="hu-HU"/>
        </w:rPr>
        <w:t xml:space="preserve">alkalmazását </w:t>
      </w:r>
      <w:r w:rsidR="002D249E" w:rsidRPr="000E7E81">
        <w:rPr>
          <w:szCs w:val="22"/>
          <w:lang w:val="hu-HU"/>
        </w:rPr>
        <w:t>kerülni kell (lásd a 4.4</w:t>
      </w:r>
      <w:r w:rsidR="00250CB5" w:rsidRPr="000E7E81">
        <w:rPr>
          <w:szCs w:val="22"/>
          <w:lang w:val="hu-HU"/>
        </w:rPr>
        <w:t xml:space="preserve"> pont</w:t>
      </w:r>
      <w:r w:rsidR="002D249E" w:rsidRPr="000E7E81">
        <w:rPr>
          <w:szCs w:val="22"/>
          <w:lang w:val="hu-HU"/>
        </w:rPr>
        <w:t>).</w:t>
      </w:r>
    </w:p>
    <w:p w14:paraId="32F79AE4" w14:textId="77777777" w:rsidR="00AC105F" w:rsidRPr="000E7E81" w:rsidRDefault="00AC105F">
      <w:pPr>
        <w:tabs>
          <w:tab w:val="left" w:pos="567"/>
        </w:tabs>
        <w:spacing w:after="0"/>
        <w:rPr>
          <w:szCs w:val="22"/>
          <w:lang w:val="hu-HU" w:eastAsia="en-US"/>
        </w:rPr>
      </w:pPr>
    </w:p>
    <w:p w14:paraId="5FFDDDF0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Egyéb hatóanyagok</w:t>
      </w:r>
    </w:p>
    <w:p w14:paraId="29383A79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pozakonazol, erlotinib, ketokonazol és itrakonazol abszorpciója jelentősen csökken, így a klinikai hatásuk is romolhat. A pozakonazol és az erlotinib omeprazollal történő együttes alkalmazását kerülni kell.</w:t>
      </w:r>
    </w:p>
    <w:p w14:paraId="6D27F837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316A4207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i/>
          <w:szCs w:val="22"/>
          <w:u w:val="single"/>
          <w:lang w:val="hu-HU"/>
        </w:rPr>
      </w:pPr>
      <w:r w:rsidRPr="000E7E81">
        <w:rPr>
          <w:i/>
          <w:szCs w:val="22"/>
          <w:u w:val="single"/>
          <w:lang w:val="hu-HU"/>
        </w:rPr>
        <w:t xml:space="preserve">A CYP2C19 által metabolizált </w:t>
      </w:r>
      <w:r w:rsidR="003B3B81" w:rsidRPr="000E7E81">
        <w:rPr>
          <w:i/>
          <w:szCs w:val="22"/>
          <w:u w:val="single"/>
          <w:lang w:val="hu-HU"/>
        </w:rPr>
        <w:t>hatóanyagok</w:t>
      </w:r>
    </w:p>
    <w:p w14:paraId="5473DDAF" w14:textId="3CD025CD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omeprazol </w:t>
      </w:r>
      <w:r w:rsidR="003B3B81" w:rsidRPr="000E7E81">
        <w:rPr>
          <w:szCs w:val="22"/>
          <w:lang w:val="hu-HU"/>
        </w:rPr>
        <w:t>közepes mértékben gátolja a CYP2C19 aktivitását, mely az omeprazol metabolizmusában főszerepet játszik</w:t>
      </w:r>
      <w:r w:rsidRPr="000E7E81">
        <w:rPr>
          <w:szCs w:val="22"/>
          <w:lang w:val="hu-HU"/>
        </w:rPr>
        <w:t xml:space="preserve">. Így </w:t>
      </w:r>
      <w:r w:rsidR="004B572E" w:rsidRPr="000E7E81">
        <w:rPr>
          <w:szCs w:val="22"/>
          <w:lang w:val="hu-HU"/>
        </w:rPr>
        <w:t xml:space="preserve">– </w:t>
      </w:r>
      <w:r w:rsidRPr="000E7E81">
        <w:rPr>
          <w:szCs w:val="22"/>
          <w:lang w:val="hu-HU"/>
        </w:rPr>
        <w:t>együtt</w:t>
      </w:r>
      <w:r w:rsidR="004B572E" w:rsidRPr="000E7E81">
        <w:rPr>
          <w:szCs w:val="22"/>
          <w:lang w:val="hu-HU"/>
        </w:rPr>
        <w:t>es alkalmazás esetén</w:t>
      </w:r>
      <w:r w:rsidRPr="000E7E81">
        <w:rPr>
          <w:szCs w:val="22"/>
          <w:lang w:val="hu-HU"/>
        </w:rPr>
        <w:t xml:space="preserve"> </w:t>
      </w:r>
      <w:r w:rsidR="004B572E" w:rsidRPr="000E7E81">
        <w:rPr>
          <w:szCs w:val="22"/>
          <w:lang w:val="hu-HU"/>
        </w:rPr>
        <w:t xml:space="preserve">– </w:t>
      </w:r>
      <w:r w:rsidRPr="000E7E81">
        <w:rPr>
          <w:szCs w:val="22"/>
          <w:lang w:val="hu-HU"/>
        </w:rPr>
        <w:t xml:space="preserve">a szintén CYP2C19 enzim által metabolizált egyéb hatóanyagok metabolizációja csökkenhet, </w:t>
      </w:r>
      <w:r w:rsidR="004B572E" w:rsidRPr="000E7E81">
        <w:rPr>
          <w:szCs w:val="22"/>
          <w:lang w:val="hu-HU"/>
        </w:rPr>
        <w:t xml:space="preserve">és az </w:t>
      </w:r>
      <w:r w:rsidRPr="000E7E81">
        <w:rPr>
          <w:szCs w:val="22"/>
          <w:lang w:val="hu-HU"/>
        </w:rPr>
        <w:t>ezek</w:t>
      </w:r>
      <w:r w:rsidR="004B572E" w:rsidRPr="000E7E81">
        <w:rPr>
          <w:szCs w:val="22"/>
          <w:lang w:val="hu-HU"/>
        </w:rPr>
        <w:t xml:space="preserve">kel </w:t>
      </w:r>
      <w:r w:rsidRPr="000E7E81">
        <w:rPr>
          <w:szCs w:val="22"/>
          <w:lang w:val="hu-HU"/>
        </w:rPr>
        <w:t>a hatóanyagok</w:t>
      </w:r>
      <w:r w:rsidR="004B572E" w:rsidRPr="000E7E81">
        <w:rPr>
          <w:szCs w:val="22"/>
          <w:lang w:val="hu-HU"/>
        </w:rPr>
        <w:t>kal kapcsolatos</w:t>
      </w:r>
      <w:r w:rsidRPr="000E7E81">
        <w:rPr>
          <w:szCs w:val="22"/>
          <w:lang w:val="hu-HU"/>
        </w:rPr>
        <w:t xml:space="preserve"> szisztémás expozíció pedig nőhet. Ilyen gyógyszerek például az R</w:t>
      </w:r>
      <w:r w:rsidRPr="000E7E81">
        <w:rPr>
          <w:szCs w:val="22"/>
          <w:lang w:val="hu-HU"/>
        </w:rPr>
        <w:noBreakHyphen/>
        <w:t>warfarin és egyéb K</w:t>
      </w:r>
      <w:r w:rsidR="0024785D" w:rsidRPr="000E7E81">
        <w:rPr>
          <w:szCs w:val="22"/>
          <w:lang w:val="hu-HU"/>
        </w:rPr>
        <w:noBreakHyphen/>
      </w:r>
      <w:r w:rsidRPr="000E7E81">
        <w:rPr>
          <w:szCs w:val="22"/>
          <w:lang w:val="hu-HU"/>
        </w:rPr>
        <w:t>vitamin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antagonisták, a cilosztazol, a diazepám és a fenitoin.</w:t>
      </w:r>
    </w:p>
    <w:p w14:paraId="7C0C65ED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2AF2FC2" w14:textId="77777777" w:rsidR="00411655" w:rsidRPr="000E7E81" w:rsidRDefault="00411655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Cilosztazol</w:t>
      </w:r>
    </w:p>
    <w:p w14:paraId="15C7E64B" w14:textId="787658CC" w:rsidR="00411655" w:rsidRPr="000E7E81" w:rsidRDefault="00411655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Egy keresztezett klinikai vizsgálatban egészséges vizsgálati alanyoknak 40 mg dózisban adott omeprazol 18%</w:t>
      </w:r>
      <w:r w:rsidRPr="000E7E81">
        <w:rPr>
          <w:szCs w:val="22"/>
          <w:lang w:val="hu-HU"/>
        </w:rPr>
        <w:noBreakHyphen/>
        <w:t>kal, illetve 26%</w:t>
      </w:r>
      <w:r w:rsidRPr="000E7E81">
        <w:rPr>
          <w:szCs w:val="22"/>
          <w:lang w:val="hu-HU"/>
        </w:rPr>
        <w:noBreakHyphen/>
        <w:t>kal növelte a cilosztazol C</w:t>
      </w:r>
      <w:r w:rsidRPr="000E7E81">
        <w:rPr>
          <w:szCs w:val="22"/>
          <w:vertAlign w:val="subscript"/>
          <w:lang w:val="hu-HU"/>
        </w:rPr>
        <w:t>max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 és AUC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értékét, az egyik aktív metabolitjának C</w:t>
      </w:r>
      <w:r w:rsidRPr="000E7E81">
        <w:rPr>
          <w:szCs w:val="22"/>
          <w:vertAlign w:val="subscript"/>
          <w:lang w:val="hu-HU"/>
        </w:rPr>
        <w:t>max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 és AUC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értékét pedig 29%</w:t>
      </w:r>
      <w:r w:rsidRPr="000E7E81">
        <w:rPr>
          <w:szCs w:val="22"/>
          <w:lang w:val="hu-HU"/>
        </w:rPr>
        <w:noBreakHyphen/>
        <w:t>kal, illetve 69%</w:t>
      </w:r>
      <w:r w:rsidRPr="000E7E81">
        <w:rPr>
          <w:szCs w:val="22"/>
          <w:lang w:val="hu-HU"/>
        </w:rPr>
        <w:noBreakHyphen/>
        <w:t>kal.</w:t>
      </w:r>
    </w:p>
    <w:p w14:paraId="30DA834C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9EBBFFE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Fenitoin</w:t>
      </w:r>
    </w:p>
    <w:p w14:paraId="743154C1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omeprazol-kezelés megkezdését követő első két hét során a fenitoin plazmakoncentrációjának monitorozása ajánlott. Amennyiben módosítani kellett a fenitoin adagolását, az omeprazol</w:t>
      </w:r>
      <w:r w:rsidRPr="000E7E81">
        <w:rPr>
          <w:szCs w:val="22"/>
          <w:lang w:val="hu-HU"/>
        </w:rPr>
        <w:noBreakHyphen/>
        <w:t>kezelés befejezése után újabb monitorozás és újabb dózismódosítás szükséges.</w:t>
      </w:r>
    </w:p>
    <w:p w14:paraId="238D5605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029B27F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Ismeretlen mechanizmus</w:t>
      </w:r>
    </w:p>
    <w:p w14:paraId="5AB159D9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0D0BE03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Szakvinavir</w:t>
      </w:r>
    </w:p>
    <w:p w14:paraId="43165BB2" w14:textId="6F3993C0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és a szakvinavir/ritonavir együttes alkalmazása a</w:t>
      </w:r>
      <w:r w:rsidRPr="000E7E81">
        <w:rPr>
          <w:i/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>szakvinavir plazmaszintjének kb. 70%</w:t>
      </w:r>
      <w:r w:rsidRPr="000E7E81">
        <w:rPr>
          <w:szCs w:val="22"/>
          <w:lang w:val="hu-HU"/>
        </w:rPr>
        <w:noBreakHyphen/>
        <w:t>os emelkedését eredményezte, amit a HIV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fertőzött betegek jól toleráltak.</w:t>
      </w:r>
    </w:p>
    <w:p w14:paraId="4BC89700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955C4F2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Takrolimusz</w:t>
      </w:r>
    </w:p>
    <w:p w14:paraId="1A7171FA" w14:textId="0EE62084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együttadásakor a takrolimusz szérumszintjének növekedését jelentették. Ezért fokozott figyelemmel kell kísérni a takrolimusz</w:t>
      </w:r>
      <w:r w:rsidR="0024785D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koncentrációkat és a veseműködést (kreatinin-clearence), és szükség esetén módosítani kell a takrolimusz adagolását.</w:t>
      </w:r>
    </w:p>
    <w:p w14:paraId="0D2E332E" w14:textId="77777777" w:rsidR="00411655" w:rsidRPr="000E7E81" w:rsidRDefault="0041165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06E1765" w14:textId="77777777" w:rsidR="00411655" w:rsidRPr="000E7E81" w:rsidRDefault="00411655">
      <w:pPr>
        <w:keepNext/>
        <w:widowControl w:val="0"/>
        <w:autoSpaceDE w:val="0"/>
        <w:autoSpaceDN w:val="0"/>
        <w:adjustRightInd w:val="0"/>
        <w:spacing w:after="0"/>
        <w:rPr>
          <w:i/>
          <w:szCs w:val="22"/>
          <w:lang w:val="hu-HU"/>
        </w:rPr>
      </w:pPr>
      <w:r w:rsidRPr="000E7E81">
        <w:rPr>
          <w:i/>
          <w:szCs w:val="22"/>
          <w:lang w:val="hu-HU"/>
        </w:rPr>
        <w:t>Metotrexát</w:t>
      </w:r>
    </w:p>
    <w:p w14:paraId="5A84538F" w14:textId="44243279" w:rsidR="00411655" w:rsidRPr="000E7E81" w:rsidRDefault="00411655">
      <w:pPr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metotrexátot a protonpumpagátlókkal együtt</w:t>
      </w:r>
      <w:r w:rsidR="0024785D" w:rsidRPr="000E7E81">
        <w:rPr>
          <w:szCs w:val="22"/>
          <w:lang w:val="hu-HU"/>
        </w:rPr>
        <w:t xml:space="preserve"> alkalmazva</w:t>
      </w:r>
      <w:r w:rsidRPr="000E7E81">
        <w:rPr>
          <w:szCs w:val="22"/>
          <w:lang w:val="hu-HU"/>
        </w:rPr>
        <w:t>, a metotrexát-szintek emelkedéséről számoltak be néhány betegnél. Magas dózisú metotrexát alkalmazásakor az omeprazol-kezelés ideiglenes felfüggesztésének megfontolására is szükség lehet.</w:t>
      </w:r>
    </w:p>
    <w:p w14:paraId="218674EF" w14:textId="77777777" w:rsidR="00AC105F" w:rsidRPr="000E7E81" w:rsidRDefault="00AC105F">
      <w:pPr>
        <w:spacing w:after="0"/>
        <w:rPr>
          <w:szCs w:val="22"/>
          <w:lang w:val="hu-HU"/>
        </w:rPr>
      </w:pPr>
    </w:p>
    <w:p w14:paraId="3E40C273" w14:textId="77777777" w:rsidR="00AC105F" w:rsidRPr="000E7E81" w:rsidRDefault="00411655">
      <w:pPr>
        <w:keepNext/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Egyéb hatóanyagok hatása az omeprazol farmakokinetikájára</w:t>
      </w:r>
    </w:p>
    <w:p w14:paraId="55709682" w14:textId="77777777" w:rsidR="00AC105F" w:rsidRPr="000E7E81" w:rsidRDefault="00AC105F">
      <w:pPr>
        <w:spacing w:after="0"/>
        <w:rPr>
          <w:i/>
          <w:iCs/>
          <w:szCs w:val="22"/>
          <w:lang w:val="hu-HU"/>
        </w:rPr>
      </w:pPr>
    </w:p>
    <w:p w14:paraId="5B4AE62C" w14:textId="3BB12499" w:rsidR="003D4921" w:rsidRPr="000E7E81" w:rsidRDefault="003D492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u w:val="single"/>
          <w:lang w:val="hu-HU"/>
        </w:rPr>
        <w:t>CYP2C19</w:t>
      </w:r>
      <w:r w:rsidRPr="000E7E81">
        <w:rPr>
          <w:i/>
          <w:szCs w:val="22"/>
          <w:u w:val="single"/>
          <w:lang w:val="hu-HU"/>
        </w:rPr>
        <w:noBreakHyphen/>
        <w:t xml:space="preserve"> és/vagy CYP3A4-inhib</w:t>
      </w:r>
      <w:r w:rsidR="0024785D" w:rsidRPr="000E7E81">
        <w:rPr>
          <w:i/>
          <w:szCs w:val="22"/>
          <w:u w:val="single"/>
          <w:lang w:val="hu-HU"/>
        </w:rPr>
        <w:t>i</w:t>
      </w:r>
      <w:r w:rsidRPr="000E7E81">
        <w:rPr>
          <w:i/>
          <w:szCs w:val="22"/>
          <w:u w:val="single"/>
          <w:lang w:val="hu-HU"/>
        </w:rPr>
        <w:t>torok</w:t>
      </w:r>
    </w:p>
    <w:p w14:paraId="636D03DE" w14:textId="46A2DBC9" w:rsidR="003D4921" w:rsidRPr="000E7E81" w:rsidRDefault="003D492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Mivel az omeprazol a CYP2C19 és CYP3A4 enzimek által metabolizálódik, az olyan hatóanyagok, melyekről </w:t>
      </w:r>
      <w:r w:rsidR="0030021D" w:rsidRPr="000E7E81">
        <w:rPr>
          <w:szCs w:val="22"/>
          <w:lang w:val="hu-HU"/>
        </w:rPr>
        <w:t>ismert</w:t>
      </w:r>
      <w:r w:rsidRPr="000E7E81">
        <w:rPr>
          <w:szCs w:val="22"/>
          <w:lang w:val="hu-HU"/>
        </w:rPr>
        <w:t xml:space="preserve">, hogy gátolják a CYP2C19 és CYP3A4 enzimeket (pl. klaritromicin és vorikonazol), </w:t>
      </w:r>
      <w:r w:rsidR="0024785D" w:rsidRPr="000E7E81">
        <w:rPr>
          <w:szCs w:val="22"/>
          <w:lang w:val="hu-HU"/>
        </w:rPr>
        <w:t xml:space="preserve">az </w:t>
      </w:r>
      <w:r w:rsidR="0030021D" w:rsidRPr="000E7E81">
        <w:rPr>
          <w:szCs w:val="22"/>
          <w:lang w:val="hu-HU"/>
        </w:rPr>
        <w:t>omeprazol</w:t>
      </w:r>
      <w:r w:rsidR="0030021D" w:rsidRPr="000E7E81">
        <w:rPr>
          <w:szCs w:val="22"/>
          <w:lang w:val="hu-HU"/>
        </w:rPr>
        <w:noBreakHyphen/>
        <w:t>metabolizmus mértékének csökkentése miatt az omeprazol szérumszintjének megemelkedését eredményezhetik</w:t>
      </w:r>
      <w:r w:rsidRPr="000E7E81">
        <w:rPr>
          <w:szCs w:val="22"/>
          <w:lang w:val="hu-HU"/>
        </w:rPr>
        <w:t>. A vorikonazollal történő együttadás több mint kétszeres omeprazol-expozíciót eredményezett. Tekintettel arra, hogy a betegek jól tolerálták az omeprazol nagy dózisait, az omeprazol adagolásának módosítása általában nem szükséges. Amennyiben azonban a beteg súlyos májkárosodásban szenved, vagy ha hosszú távú kezelés indokolt, megfontolandó az adagolás módosítása.</w:t>
      </w:r>
    </w:p>
    <w:p w14:paraId="683A4C57" w14:textId="77777777" w:rsidR="003D4921" w:rsidRPr="000E7E81" w:rsidRDefault="003D492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1F8F86A4" w14:textId="15D5D6DA" w:rsidR="003D4921" w:rsidRPr="000E7E81" w:rsidRDefault="003D4921">
      <w:pPr>
        <w:widowControl w:val="0"/>
        <w:autoSpaceDE w:val="0"/>
        <w:autoSpaceDN w:val="0"/>
        <w:adjustRightInd w:val="0"/>
        <w:spacing w:after="0"/>
        <w:rPr>
          <w:i/>
          <w:szCs w:val="22"/>
          <w:u w:val="single"/>
          <w:lang w:val="hu-HU"/>
        </w:rPr>
      </w:pPr>
      <w:r w:rsidRPr="000E7E81">
        <w:rPr>
          <w:i/>
          <w:szCs w:val="22"/>
          <w:u w:val="single"/>
          <w:lang w:val="hu-HU"/>
        </w:rPr>
        <w:t>CYP2C19</w:t>
      </w:r>
      <w:r w:rsidR="0024785D" w:rsidRPr="000E7E81">
        <w:rPr>
          <w:i/>
          <w:szCs w:val="22"/>
          <w:u w:val="single"/>
          <w:lang w:val="hu-HU"/>
        </w:rPr>
        <w:t>-</w:t>
      </w:r>
      <w:r w:rsidRPr="000E7E81">
        <w:rPr>
          <w:i/>
          <w:szCs w:val="22"/>
          <w:u w:val="single"/>
          <w:lang w:val="hu-HU"/>
        </w:rPr>
        <w:t xml:space="preserve"> és/vagy CYP3A4</w:t>
      </w:r>
      <w:r w:rsidR="0024785D" w:rsidRPr="000E7E81">
        <w:rPr>
          <w:i/>
          <w:szCs w:val="22"/>
          <w:u w:val="single"/>
          <w:lang w:val="hu-HU"/>
        </w:rPr>
        <w:t>-</w:t>
      </w:r>
      <w:r w:rsidRPr="000E7E81">
        <w:rPr>
          <w:i/>
          <w:szCs w:val="22"/>
          <w:u w:val="single"/>
          <w:lang w:val="hu-HU"/>
        </w:rPr>
        <w:t xml:space="preserve">indukálók </w:t>
      </w:r>
    </w:p>
    <w:p w14:paraId="602CFDAB" w14:textId="77777777" w:rsidR="003D4921" w:rsidRPr="000E7E81" w:rsidRDefault="003D492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Olyan hatóanyagok, melyekről tudjuk, hogy indukálják a CYP2C19 enzimet vagy a CYP3A4 enzimet, illetve mindkettőt (pl. rifampicin és a közönséges orbáncfű), az omeprazol metabolizmusának fokozásával az omeprazol szérumszintjének csökkenéséhez vezethetnek.</w:t>
      </w:r>
    </w:p>
    <w:p w14:paraId="390C7CE3" w14:textId="77777777" w:rsidR="00AC105F" w:rsidRPr="000E7E81" w:rsidRDefault="00AC105F">
      <w:pPr>
        <w:spacing w:after="0"/>
        <w:rPr>
          <w:szCs w:val="22"/>
          <w:lang w:val="hu-HU"/>
        </w:rPr>
      </w:pPr>
    </w:p>
    <w:p w14:paraId="2F1FDC4B" w14:textId="77777777" w:rsidR="00AC105F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4.6</w:t>
      </w:r>
      <w:r w:rsidRPr="000E7E81">
        <w:rPr>
          <w:lang w:val="hu-HU"/>
        </w:rPr>
        <w:tab/>
      </w:r>
      <w:r w:rsidR="004E7647" w:rsidRPr="000E7E81">
        <w:rPr>
          <w:lang w:val="hu-HU"/>
        </w:rPr>
        <w:t>Termékenység, terhesség és szoptatás</w:t>
      </w:r>
    </w:p>
    <w:p w14:paraId="7452FC30" w14:textId="77777777" w:rsidR="00AC105F" w:rsidRPr="000E7E81" w:rsidRDefault="00AC105F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2EA1C090" w14:textId="77777777" w:rsidR="00AC105F" w:rsidRPr="000E7E81" w:rsidRDefault="004E7647" w:rsidP="000E7E8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u w:val="single"/>
          <w:lang w:val="hu-HU"/>
        </w:rPr>
        <w:t>Terhesség</w:t>
      </w:r>
      <w:r w:rsidR="00535191" w:rsidRPr="000E7E81">
        <w:rPr>
          <w:sz w:val="22"/>
          <w:szCs w:val="22"/>
          <w:lang w:val="hu-HU"/>
        </w:rPr>
        <w:t xml:space="preserve"> </w:t>
      </w:r>
    </w:p>
    <w:p w14:paraId="0E65295C" w14:textId="77777777" w:rsidR="003279D3" w:rsidRPr="000E7E81" w:rsidRDefault="003279D3">
      <w:pPr>
        <w:widowControl w:val="0"/>
        <w:autoSpaceDE w:val="0"/>
        <w:autoSpaceDN w:val="0"/>
        <w:adjustRightInd w:val="0"/>
        <w:spacing w:after="0"/>
        <w:rPr>
          <w:bCs/>
          <w:iCs/>
          <w:szCs w:val="22"/>
          <w:lang w:val="hu-HU"/>
        </w:rPr>
      </w:pPr>
      <w:r w:rsidRPr="000E7E81">
        <w:rPr>
          <w:bCs/>
          <w:iCs/>
          <w:szCs w:val="22"/>
          <w:lang w:val="hu-HU"/>
        </w:rPr>
        <w:t>Három prospektív epidemiológiai vizsgálat eredményei (több mint 1000 vizsgálati eredmény), azt mutatják, hogy az omeprazolnak nincsenek káros hatásai sem a terhességre, sem a magzat, illetve az újszülött egészségére. Az omeprazol alkalmazható a terhesség alatt.</w:t>
      </w:r>
    </w:p>
    <w:p w14:paraId="59F0681E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76D71B7D" w14:textId="77777777" w:rsidR="00AC105F" w:rsidRPr="000E7E81" w:rsidRDefault="004E7647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u w:val="single"/>
          <w:lang w:val="hu-HU"/>
        </w:rPr>
        <w:t>Szoptatás</w:t>
      </w:r>
      <w:r w:rsidR="00535191" w:rsidRPr="000E7E81">
        <w:rPr>
          <w:sz w:val="22"/>
          <w:szCs w:val="22"/>
          <w:lang w:val="hu-HU"/>
        </w:rPr>
        <w:t xml:space="preserve"> </w:t>
      </w:r>
    </w:p>
    <w:p w14:paraId="35468D63" w14:textId="77777777" w:rsidR="003279D3" w:rsidRPr="000E7E81" w:rsidRDefault="003279D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kiválasztódik az anyatejbe, de terápiás dózisban történő alkalmazása esetén nem valószínű, hogy hatással lenne a csecsemőre.</w:t>
      </w:r>
    </w:p>
    <w:p w14:paraId="6EAAD5EB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2ADD9919" w14:textId="77777777" w:rsidR="00AC105F" w:rsidRPr="000E7E81" w:rsidRDefault="004E7647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u w:val="single"/>
          <w:lang w:val="hu-HU"/>
        </w:rPr>
        <w:t>Termékenység</w:t>
      </w:r>
      <w:r w:rsidR="00535191" w:rsidRPr="000E7E81">
        <w:rPr>
          <w:sz w:val="22"/>
          <w:szCs w:val="22"/>
          <w:lang w:val="hu-HU"/>
        </w:rPr>
        <w:t xml:space="preserve"> </w:t>
      </w:r>
    </w:p>
    <w:p w14:paraId="12473052" w14:textId="77777777" w:rsidR="003279D3" w:rsidRPr="000E7E81" w:rsidRDefault="003279D3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 w:eastAsia="en-US"/>
        </w:rPr>
        <w:t xml:space="preserve">Állatkísérletek során az omeprazol orálisan beadott racém elegye </w:t>
      </w:r>
      <w:r w:rsidR="00601FF2" w:rsidRPr="000E7E81">
        <w:rPr>
          <w:szCs w:val="22"/>
          <w:lang w:val="hu-HU" w:eastAsia="en-US"/>
        </w:rPr>
        <w:t xml:space="preserve">nem mutatott </w:t>
      </w:r>
      <w:r w:rsidRPr="000E7E81">
        <w:rPr>
          <w:szCs w:val="22"/>
          <w:lang w:val="hu-HU"/>
        </w:rPr>
        <w:t>a termékenységre gyakorolt hatásokat.</w:t>
      </w:r>
    </w:p>
    <w:p w14:paraId="50158444" w14:textId="77777777" w:rsidR="003279D3" w:rsidRPr="000E7E81" w:rsidRDefault="003279D3">
      <w:pPr>
        <w:tabs>
          <w:tab w:val="left" w:pos="567"/>
        </w:tabs>
        <w:spacing w:after="0"/>
        <w:rPr>
          <w:szCs w:val="22"/>
          <w:lang w:val="hu-HU"/>
        </w:rPr>
      </w:pPr>
    </w:p>
    <w:p w14:paraId="648013AC" w14:textId="77777777" w:rsidR="00AC105F" w:rsidRPr="000E7E81" w:rsidRDefault="00353C75" w:rsidP="00B10F22">
      <w:pPr>
        <w:pStyle w:val="Cmsor2"/>
        <w:spacing w:before="0" w:after="0"/>
        <w:ind w:left="567" w:hanging="567"/>
        <w:rPr>
          <w:lang w:val="hu-HU"/>
        </w:rPr>
      </w:pPr>
      <w:r w:rsidRPr="000E7E81">
        <w:rPr>
          <w:lang w:val="hu-HU"/>
        </w:rPr>
        <w:t>4.7</w:t>
      </w:r>
      <w:r w:rsidRPr="000E7E81">
        <w:rPr>
          <w:lang w:val="hu-HU"/>
        </w:rPr>
        <w:tab/>
      </w:r>
      <w:r w:rsidR="00601FF2" w:rsidRPr="000E7E81">
        <w:rPr>
          <w:lang w:val="hu-HU"/>
        </w:rPr>
        <w:t>A készítmény hatásai a gépjárművezetéshez és a gépek kezeléséhez szükséges képességekre</w:t>
      </w:r>
    </w:p>
    <w:p w14:paraId="207F87B3" w14:textId="77777777" w:rsidR="00AC105F" w:rsidRPr="000E7E81" w:rsidRDefault="00AC105F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5785AC2D" w14:textId="779BC856" w:rsidR="00AC105F" w:rsidRPr="000E7E81" w:rsidRDefault="00601FF2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Omeprazole </w:t>
      </w:r>
      <w:r w:rsidR="006E0E91" w:rsidRPr="000E7E81">
        <w:rPr>
          <w:szCs w:val="22"/>
          <w:lang w:val="hu-HU"/>
        </w:rPr>
        <w:t>Gufic</w:t>
      </w:r>
      <w:r w:rsidRPr="000E7E81">
        <w:rPr>
          <w:szCs w:val="22"/>
          <w:lang w:val="hu-HU"/>
        </w:rPr>
        <w:t xml:space="preserve"> 40 mg</w:t>
      </w:r>
      <w:r w:rsidRPr="000E7E81" w:rsidDel="00B974C4">
        <w:rPr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 xml:space="preserve">por </w:t>
      </w:r>
      <w:r w:rsidR="0024785D" w:rsidRPr="000E7E81">
        <w:rPr>
          <w:szCs w:val="22"/>
          <w:lang w:val="hu-HU"/>
        </w:rPr>
        <w:t xml:space="preserve">oldatos </w:t>
      </w:r>
      <w:r w:rsidRPr="000E7E81">
        <w:rPr>
          <w:szCs w:val="22"/>
          <w:lang w:val="hu-HU"/>
        </w:rPr>
        <w:t xml:space="preserve">infúzióhoz valószínűleg nem befolyásolja a gépjárművezetéshez és a gépek kezeléséhez szükséges képességeket. Előfordulhatnak olyan nemkívánatos hatások, mint például szédülés </w:t>
      </w:r>
      <w:r w:rsidR="0024785D" w:rsidRPr="000E7E81">
        <w:rPr>
          <w:szCs w:val="22"/>
          <w:lang w:val="hu-HU"/>
        </w:rPr>
        <w:t xml:space="preserve">vagy </w:t>
      </w:r>
      <w:r w:rsidRPr="000E7E81">
        <w:rPr>
          <w:szCs w:val="22"/>
          <w:lang w:val="hu-HU"/>
        </w:rPr>
        <w:t>látászavarok (lásd 4.8 pont). Ha fellép ezek valamelyike, a betegnek nem szabad gépjárművet vezetnie vagy gépeket kezelnie.</w:t>
      </w:r>
    </w:p>
    <w:p w14:paraId="3E2B257F" w14:textId="77777777" w:rsidR="00601FF2" w:rsidRPr="000E7E81" w:rsidRDefault="00601FF2">
      <w:pPr>
        <w:tabs>
          <w:tab w:val="left" w:pos="567"/>
        </w:tabs>
        <w:spacing w:after="0"/>
        <w:rPr>
          <w:szCs w:val="22"/>
          <w:lang w:val="hu-HU"/>
        </w:rPr>
      </w:pPr>
    </w:p>
    <w:p w14:paraId="184A493D" w14:textId="77777777" w:rsidR="00AC105F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4.8</w:t>
      </w:r>
      <w:r w:rsidRPr="000E7E81">
        <w:rPr>
          <w:lang w:val="hu-HU"/>
        </w:rPr>
        <w:tab/>
      </w:r>
      <w:r w:rsidR="00601FF2" w:rsidRPr="000E7E81">
        <w:rPr>
          <w:lang w:val="hu-HU"/>
        </w:rPr>
        <w:t>Nemkívánatos hatások, mellékhatások</w:t>
      </w:r>
    </w:p>
    <w:p w14:paraId="74E8634D" w14:textId="77777777" w:rsidR="00AC105F" w:rsidRPr="000E7E81" w:rsidRDefault="00AC105F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12367F61" w14:textId="77777777" w:rsidR="00AC105F" w:rsidRPr="000E7E81" w:rsidRDefault="009F7DF5" w:rsidP="000E7E81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u w:val="single"/>
          <w:lang w:val="hu-HU"/>
        </w:rPr>
        <w:t>A biztonságossági profil összegzése</w:t>
      </w:r>
      <w:r w:rsidR="00535191" w:rsidRPr="000E7E81">
        <w:rPr>
          <w:sz w:val="22"/>
          <w:szCs w:val="22"/>
          <w:lang w:val="hu-HU"/>
        </w:rPr>
        <w:t xml:space="preserve"> </w:t>
      </w:r>
    </w:p>
    <w:p w14:paraId="4FC17033" w14:textId="708576D8" w:rsidR="009F7DF5" w:rsidRPr="000E7E81" w:rsidRDefault="009F7DF5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leggyakoribb mellékhatások (a betegek 1</w:t>
      </w:r>
      <w:r w:rsidR="00B07F1E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 xml:space="preserve">10%-ánál) a fejfájás, hasi fájdalom, székrekedés, hasmenés, </w:t>
      </w:r>
      <w:r w:rsidR="00D7116B" w:rsidRPr="000E7E81">
        <w:rPr>
          <w:szCs w:val="22"/>
          <w:lang w:val="hu-HU"/>
        </w:rPr>
        <w:t xml:space="preserve">flatulentia, illetve a hányinger </w:t>
      </w:r>
      <w:r w:rsidRPr="000E7E81">
        <w:rPr>
          <w:szCs w:val="22"/>
          <w:lang w:val="hu-HU"/>
        </w:rPr>
        <w:t>és hányás.</w:t>
      </w:r>
    </w:p>
    <w:p w14:paraId="4AFA24B3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795ECE80" w14:textId="77777777" w:rsidR="00AC105F" w:rsidRPr="000E7E81" w:rsidRDefault="009F7DF5" w:rsidP="00B10F22">
      <w:pPr>
        <w:pStyle w:val="NormlWeb"/>
        <w:keepNext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sz w:val="22"/>
          <w:szCs w:val="22"/>
          <w:u w:val="single"/>
          <w:lang w:val="hu-HU"/>
        </w:rPr>
        <w:lastRenderedPageBreak/>
        <w:t>Mellékhatások táblázatos felsorolása</w:t>
      </w:r>
      <w:r w:rsidR="00535191" w:rsidRPr="000E7E81">
        <w:rPr>
          <w:sz w:val="22"/>
          <w:szCs w:val="22"/>
          <w:lang w:val="hu-HU"/>
        </w:rPr>
        <w:t xml:space="preserve"> </w:t>
      </w:r>
    </w:p>
    <w:p w14:paraId="4524FEC8" w14:textId="0CEABEFB" w:rsidR="00CD69BF" w:rsidRPr="000E7E81" w:rsidRDefault="00CD69BF">
      <w:pPr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omeprazollal </w:t>
      </w:r>
      <w:r w:rsidR="00D7116B" w:rsidRPr="000E7E81">
        <w:rPr>
          <w:szCs w:val="22"/>
          <w:lang w:val="hu-HU"/>
        </w:rPr>
        <w:t xml:space="preserve">végzett </w:t>
      </w:r>
      <w:r w:rsidRPr="000E7E81">
        <w:rPr>
          <w:szCs w:val="22"/>
          <w:lang w:val="hu-HU"/>
        </w:rPr>
        <w:t xml:space="preserve">klinikai </w:t>
      </w:r>
      <w:r w:rsidR="00D7116B" w:rsidRPr="000E7E81">
        <w:rPr>
          <w:szCs w:val="22"/>
          <w:lang w:val="hu-HU"/>
        </w:rPr>
        <w:t>vizsgálatok során, valamint</w:t>
      </w:r>
      <w:r w:rsidRPr="000E7E81">
        <w:rPr>
          <w:szCs w:val="22"/>
          <w:lang w:val="hu-HU"/>
        </w:rPr>
        <w:t xml:space="preserve"> a forgalomba hozatal után a következő </w:t>
      </w:r>
      <w:r w:rsidR="00881781" w:rsidRPr="000E7E81">
        <w:rPr>
          <w:szCs w:val="22"/>
          <w:lang w:val="hu-HU"/>
        </w:rPr>
        <w:t xml:space="preserve">azonosított vagy feltételezett </w:t>
      </w:r>
      <w:r w:rsidRPr="000E7E81">
        <w:rPr>
          <w:szCs w:val="22"/>
          <w:lang w:val="hu-HU"/>
        </w:rPr>
        <w:t>mellékhatások</w:t>
      </w:r>
      <w:r w:rsidR="00881781" w:rsidRPr="000E7E81">
        <w:rPr>
          <w:szCs w:val="22"/>
          <w:lang w:val="hu-HU"/>
        </w:rPr>
        <w:t>ról számoltak be</w:t>
      </w:r>
      <w:r w:rsidRPr="000E7E81">
        <w:rPr>
          <w:szCs w:val="22"/>
          <w:lang w:val="hu-HU"/>
        </w:rPr>
        <w:t xml:space="preserve">. Egyik mellékhatás sem volt dózisfüggő. A felsorolt mellékhatásokat a gyakoriságuk és a szervrendszerek (System Organ Class, SOC) szerint csoportosítva közöljük. A gyakorisági kategóriák a következő szabálynak megfelelően kerültek meghatározásra: nagyon gyakori (≥1/10), gyakori (≥1/100 </w:t>
      </w:r>
      <w:r w:rsidR="00B07F1E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 xml:space="preserve"> &lt;1/10), nem gyakori (≥1/1000 </w:t>
      </w:r>
      <w:r w:rsidR="00B07F1E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 xml:space="preserve"> &lt;1/100), ritka (≥1/10 000 </w:t>
      </w:r>
      <w:r w:rsidR="00B07F1E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 xml:space="preserve"> &lt;1/1000), nagyon ritka (&lt;1/10 000), nem ismert (a</w:t>
      </w:r>
      <w:r w:rsidR="00B07F1E" w:rsidRPr="000E7E81">
        <w:rPr>
          <w:szCs w:val="22"/>
          <w:lang w:val="hu-HU"/>
        </w:rPr>
        <w:t xml:space="preserve"> gyakoriság a</w:t>
      </w:r>
      <w:r w:rsidRPr="000E7E81">
        <w:rPr>
          <w:szCs w:val="22"/>
          <w:lang w:val="hu-HU"/>
        </w:rPr>
        <w:t xml:space="preserve"> rendelkezésre álló adatok alapján nem állapítható meg).</w:t>
      </w:r>
    </w:p>
    <w:p w14:paraId="374F2948" w14:textId="77777777" w:rsidR="00F23673" w:rsidRPr="000E7E81" w:rsidRDefault="00F23673">
      <w:pPr>
        <w:spacing w:after="0"/>
        <w:rPr>
          <w:szCs w:val="22"/>
          <w:lang w:val="hu-HU"/>
        </w:rPr>
      </w:pP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0"/>
        <w:gridCol w:w="7149"/>
      </w:tblGrid>
      <w:tr w:rsidR="00EB03A8" w:rsidRPr="000E7E81" w14:paraId="3D4F1B93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2EF74D6" w14:textId="77777777" w:rsidR="00EB03A8" w:rsidRPr="000E7E81" w:rsidRDefault="00EB03A8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Szervrendszer / gyakoriság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7623318" w14:textId="77777777" w:rsidR="00EB03A8" w:rsidRPr="000E7E81" w:rsidRDefault="00EB03A8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Mellékhatás</w:t>
            </w:r>
          </w:p>
        </w:tc>
      </w:tr>
      <w:tr w:rsidR="00EB03A8" w:rsidRPr="000E7E81" w14:paraId="54A5DB83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EE1B9E9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EB03A8" w:rsidRPr="000E7E81" w14:paraId="724AA9FD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9E30F72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6D486F9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leukopenia, thrombocytopenia</w:t>
            </w:r>
          </w:p>
        </w:tc>
      </w:tr>
      <w:tr w:rsidR="00EB03A8" w:rsidRPr="000E7E81" w14:paraId="6B0937C6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5683D3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B00DC1D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agranulocytosis, pancytopenia</w:t>
            </w:r>
          </w:p>
        </w:tc>
      </w:tr>
      <w:tr w:rsidR="00EB03A8" w:rsidRPr="000E7E81" w14:paraId="2C4E3F00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BAD8EDB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Immunrendszeri betegségek és tünetek</w:t>
            </w:r>
          </w:p>
        </w:tc>
      </w:tr>
      <w:tr w:rsidR="00EB03A8" w:rsidRPr="00672527" w14:paraId="1C542C1B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0D3BBDD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5DAF77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túlérzékenységi reakciók, pl. láz, angiooedema és anafilaxiás reakció, illetve sokk</w:t>
            </w:r>
          </w:p>
        </w:tc>
      </w:tr>
      <w:tr w:rsidR="00EB03A8" w:rsidRPr="00672527" w14:paraId="26610B6E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42CD129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Anyagcsere- és táplálkozási betegségek és tünetek</w:t>
            </w:r>
          </w:p>
        </w:tc>
      </w:tr>
      <w:tr w:rsidR="00EB03A8" w:rsidRPr="000E7E81" w14:paraId="5D493C0A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4004643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994673C" w14:textId="1AB8D52F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hyponatr</w:t>
            </w:r>
            <w:r w:rsidR="00881781" w:rsidRPr="000E7E81">
              <w:rPr>
                <w:szCs w:val="22"/>
                <w:lang w:val="hu-HU"/>
              </w:rPr>
              <w:t>a</w:t>
            </w:r>
            <w:r w:rsidRPr="000E7E81">
              <w:rPr>
                <w:szCs w:val="22"/>
                <w:lang w:val="hu-HU"/>
              </w:rPr>
              <w:t>emia</w:t>
            </w:r>
          </w:p>
        </w:tc>
      </w:tr>
      <w:tr w:rsidR="00EB03A8" w:rsidRPr="00672527" w14:paraId="52C84EF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D91444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ismert: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8F4CF7A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hypomagnesaemia (ld. a 4.4 pontot), hypocalcaemia*, hypokalaemia.</w:t>
            </w:r>
          </w:p>
        </w:tc>
      </w:tr>
      <w:tr w:rsidR="00EB03A8" w:rsidRPr="000E7E81" w14:paraId="51C15A24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989424C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Pszichiátriai kórképek:</w:t>
            </w:r>
          </w:p>
        </w:tc>
      </w:tr>
      <w:tr w:rsidR="00EB03A8" w:rsidRPr="000E7E81" w14:paraId="711336BA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1ABEC93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B9F808B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álmatlanság</w:t>
            </w:r>
          </w:p>
        </w:tc>
      </w:tr>
      <w:tr w:rsidR="00EB03A8" w:rsidRPr="000E7E81" w14:paraId="7079464B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9277370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984388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izgatottság, zavartság, depresszió</w:t>
            </w:r>
          </w:p>
        </w:tc>
      </w:tr>
      <w:tr w:rsidR="00EB03A8" w:rsidRPr="000E7E81" w14:paraId="1960738A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78A8E60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984DEB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agresszió, hallucináció</w:t>
            </w:r>
          </w:p>
        </w:tc>
      </w:tr>
      <w:tr w:rsidR="00EB03A8" w:rsidRPr="000E7E81" w14:paraId="5931DB82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43D27F0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Idegrendszeri betegségek és tünetek</w:t>
            </w:r>
          </w:p>
        </w:tc>
      </w:tr>
      <w:tr w:rsidR="00EB03A8" w:rsidRPr="000E7E81" w14:paraId="1771A7BD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8BEE257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DFE14D2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fejfájás</w:t>
            </w:r>
          </w:p>
        </w:tc>
      </w:tr>
      <w:tr w:rsidR="00EB03A8" w:rsidRPr="000E7E81" w14:paraId="357C65D4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E3CC36A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C21BDD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szédülés, paraesthesia, aluszékonyság</w:t>
            </w:r>
          </w:p>
        </w:tc>
      </w:tr>
      <w:tr w:rsidR="00EB03A8" w:rsidRPr="000E7E81" w14:paraId="0CC275E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05B3A9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6E2FAF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ízérzési zavarok</w:t>
            </w:r>
          </w:p>
        </w:tc>
      </w:tr>
      <w:tr w:rsidR="00EB03A8" w:rsidRPr="000E7E81" w14:paraId="409A97DE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B30F7AE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Szembetegségek és szemészeti tünetek</w:t>
            </w:r>
          </w:p>
        </w:tc>
      </w:tr>
      <w:tr w:rsidR="00EB03A8" w:rsidRPr="000E7E81" w14:paraId="42D0000F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5C0E85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49DBFB2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homályos látás</w:t>
            </w:r>
          </w:p>
        </w:tc>
      </w:tr>
      <w:tr w:rsidR="00EB03A8" w:rsidRPr="000E7E81" w14:paraId="2F80A140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09F049C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A fül és az egyensúly-érzékelő szerv betegségei és tünetei</w:t>
            </w:r>
          </w:p>
        </w:tc>
      </w:tr>
      <w:tr w:rsidR="00EB03A8" w:rsidRPr="000E7E81" w14:paraId="7E3C8844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4B6E02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6C2121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vertigo</w:t>
            </w:r>
          </w:p>
        </w:tc>
      </w:tr>
      <w:tr w:rsidR="00EB03A8" w:rsidRPr="000E7E81" w14:paraId="28FB75FE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3449455" w14:textId="29C858B9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Légzőrendszeri, mellkasi és mediastin</w:t>
            </w:r>
            <w:r w:rsidR="00881781" w:rsidRPr="000E7E81">
              <w:rPr>
                <w:b/>
                <w:szCs w:val="22"/>
                <w:lang w:val="hu-HU"/>
              </w:rPr>
              <w:t>a</w:t>
            </w:r>
            <w:r w:rsidRPr="000E7E81">
              <w:rPr>
                <w:b/>
                <w:szCs w:val="22"/>
                <w:lang w:val="hu-HU"/>
              </w:rPr>
              <w:t xml:space="preserve">lis betegségek és tünetek </w:t>
            </w:r>
          </w:p>
        </w:tc>
      </w:tr>
      <w:tr w:rsidR="00EB03A8" w:rsidRPr="000E7E81" w14:paraId="066634E5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1EA678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8920F6B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bronchospasmus</w:t>
            </w:r>
          </w:p>
        </w:tc>
      </w:tr>
      <w:tr w:rsidR="00EB03A8" w:rsidRPr="000E7E81" w14:paraId="3DC60AAA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A07F170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Emésztőrendszeri betegségek és tünetek</w:t>
            </w:r>
          </w:p>
        </w:tc>
      </w:tr>
      <w:tr w:rsidR="00EB03A8" w:rsidRPr="00672527" w14:paraId="09C87D8E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193DF57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0EC06AA" w14:textId="5A68051F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 xml:space="preserve">hasi fájdalom, székrekedés, hasmenés, </w:t>
            </w:r>
            <w:r w:rsidR="006A1AAA" w:rsidRPr="000E7E81">
              <w:rPr>
                <w:szCs w:val="22"/>
                <w:lang w:val="hu-HU"/>
              </w:rPr>
              <w:t>f</w:t>
            </w:r>
            <w:r w:rsidR="00633D66" w:rsidRPr="000E7E81">
              <w:rPr>
                <w:szCs w:val="22"/>
                <w:lang w:val="hu-HU"/>
              </w:rPr>
              <w:t>l</w:t>
            </w:r>
            <w:r w:rsidR="006A1AAA" w:rsidRPr="000E7E81">
              <w:rPr>
                <w:szCs w:val="22"/>
                <w:lang w:val="hu-HU"/>
              </w:rPr>
              <w:t>atulentia</w:t>
            </w:r>
            <w:r w:rsidRPr="000E7E81">
              <w:rPr>
                <w:szCs w:val="22"/>
                <w:lang w:val="hu-HU"/>
              </w:rPr>
              <w:t>, hányinger, illetve hányás, fundus</w:t>
            </w:r>
            <w:r w:rsidR="00881781" w:rsidRPr="000E7E81">
              <w:rPr>
                <w:szCs w:val="22"/>
                <w:lang w:val="hu-HU"/>
              </w:rPr>
              <w:t>-</w:t>
            </w:r>
            <w:r w:rsidRPr="000E7E81">
              <w:rPr>
                <w:szCs w:val="22"/>
                <w:lang w:val="hu-HU"/>
              </w:rPr>
              <w:t>mirigy</w:t>
            </w:r>
            <w:r w:rsidR="00881781" w:rsidRPr="000E7E81">
              <w:rPr>
                <w:szCs w:val="22"/>
                <w:lang w:val="hu-HU"/>
              </w:rPr>
              <w:t>-</w:t>
            </w:r>
            <w:r w:rsidRPr="000E7E81">
              <w:rPr>
                <w:szCs w:val="22"/>
                <w:lang w:val="hu-HU"/>
              </w:rPr>
              <w:t xml:space="preserve">polipok (benignus) </w:t>
            </w:r>
          </w:p>
        </w:tc>
      </w:tr>
      <w:tr w:rsidR="00EB03A8" w:rsidRPr="000E7E81" w14:paraId="775960B6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B85633C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73CECE7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szájszárazság, stomatitis, gastrointestinalis candidiasis</w:t>
            </w:r>
          </w:p>
        </w:tc>
      </w:tr>
      <w:tr w:rsidR="00EB03A8" w:rsidRPr="000E7E81" w14:paraId="456611CF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AE01DA1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ismert: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2DD788A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mikroszkópos colitis</w:t>
            </w:r>
          </w:p>
        </w:tc>
      </w:tr>
      <w:tr w:rsidR="00EB03A8" w:rsidRPr="000E7E81" w14:paraId="06694F0C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7C61D92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Máj- és epebetegségek, illetve tünetek</w:t>
            </w:r>
          </w:p>
        </w:tc>
      </w:tr>
      <w:tr w:rsidR="00EB03A8" w:rsidRPr="000E7E81" w14:paraId="1D210536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10A2D2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E72973E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emelkedett májenzim-értékek</w:t>
            </w:r>
          </w:p>
        </w:tc>
      </w:tr>
      <w:tr w:rsidR="00EB03A8" w:rsidRPr="000E7E81" w14:paraId="063A503C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6D19A5F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21BF95F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hepatitis sárgasággal vagy anélkül</w:t>
            </w:r>
          </w:p>
        </w:tc>
      </w:tr>
      <w:tr w:rsidR="00EB03A8" w:rsidRPr="00672527" w14:paraId="1E9D30B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624D369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DCF23CC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 xml:space="preserve">májelégtelenség, encefalopathia a már korábban fennálló májbetegségben szenvedő betegek esetében </w:t>
            </w:r>
          </w:p>
        </w:tc>
      </w:tr>
      <w:tr w:rsidR="00EB03A8" w:rsidRPr="00672527" w14:paraId="31FFDA5A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F61B23F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 xml:space="preserve">A bőr és a bőr alatti szövet betegségei és tünetei </w:t>
            </w:r>
          </w:p>
        </w:tc>
      </w:tr>
      <w:tr w:rsidR="00EB03A8" w:rsidRPr="000E7E81" w14:paraId="2BBE0BDC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F6882C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76D6B67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 xml:space="preserve">dermatitis, viszketés, kiütés, </w:t>
            </w:r>
            <w:r w:rsidR="006A1AAA" w:rsidRPr="000E7E81">
              <w:rPr>
                <w:szCs w:val="22"/>
                <w:lang w:val="hu-HU"/>
              </w:rPr>
              <w:t>urticaria</w:t>
            </w:r>
          </w:p>
        </w:tc>
      </w:tr>
      <w:tr w:rsidR="00EB03A8" w:rsidRPr="000E7E81" w14:paraId="24C2D80B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4D9CEAA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2DA1E23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hajhullás, fényérzékenység</w:t>
            </w:r>
          </w:p>
        </w:tc>
      </w:tr>
      <w:tr w:rsidR="00EB03A8" w:rsidRPr="00672527" w14:paraId="3CAC1C27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1E6E1BB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16EA490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erythema multiforme, Stevens</w:t>
            </w:r>
            <w:r w:rsidR="006A1AAA" w:rsidRPr="000E7E81">
              <w:rPr>
                <w:szCs w:val="22"/>
                <w:lang w:val="hu-HU"/>
              </w:rPr>
              <w:t>–</w:t>
            </w:r>
            <w:r w:rsidRPr="000E7E81">
              <w:rPr>
                <w:szCs w:val="22"/>
                <w:lang w:val="hu-HU"/>
              </w:rPr>
              <w:t>Johnson</w:t>
            </w:r>
            <w:r w:rsidR="006A1AAA" w:rsidRPr="000E7E81">
              <w:rPr>
                <w:szCs w:val="22"/>
                <w:lang w:val="hu-HU"/>
              </w:rPr>
              <w:t>-</w:t>
            </w:r>
            <w:r w:rsidRPr="000E7E81">
              <w:rPr>
                <w:szCs w:val="22"/>
                <w:lang w:val="hu-HU"/>
              </w:rPr>
              <w:t>szindróma, toxikus epidermalis necrolysis (TEN)</w:t>
            </w:r>
          </w:p>
        </w:tc>
      </w:tr>
      <w:tr w:rsidR="00EB03A8" w:rsidRPr="00672527" w14:paraId="565A488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1C0D71D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ismert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E09504C" w14:textId="63995B30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Suba</w:t>
            </w:r>
            <w:r w:rsidR="006A1AAA" w:rsidRPr="000E7E81">
              <w:rPr>
                <w:szCs w:val="22"/>
                <w:lang w:val="hu-HU"/>
              </w:rPr>
              <w:t>c</w:t>
            </w:r>
            <w:r w:rsidRPr="000E7E81">
              <w:rPr>
                <w:szCs w:val="22"/>
                <w:lang w:val="hu-HU"/>
              </w:rPr>
              <w:t xml:space="preserve">ut </w:t>
            </w:r>
            <w:r w:rsidR="00260354" w:rsidRPr="000E7E81">
              <w:rPr>
                <w:szCs w:val="22"/>
                <w:lang w:val="hu-HU"/>
              </w:rPr>
              <w:t xml:space="preserve">cutan </w:t>
            </w:r>
            <w:r w:rsidRPr="000E7E81">
              <w:rPr>
                <w:szCs w:val="22"/>
                <w:lang w:val="hu-HU"/>
              </w:rPr>
              <w:t>lupus erythematosus (lásd 4.4 pont).</w:t>
            </w:r>
          </w:p>
        </w:tc>
      </w:tr>
      <w:tr w:rsidR="00EB03A8" w:rsidRPr="00672527" w14:paraId="678EF662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09C4EFC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EB03A8" w:rsidRPr="00672527" w14:paraId="4CA2DCB8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28EE97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F9F483A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csípő</w:t>
            </w:r>
            <w:r w:rsidRPr="000E7E81">
              <w:rPr>
                <w:szCs w:val="22"/>
                <w:lang w:val="hu-HU"/>
              </w:rPr>
              <w:noBreakHyphen/>
              <w:t>, csukló</w:t>
            </w:r>
            <w:r w:rsidRPr="000E7E81">
              <w:rPr>
                <w:szCs w:val="22"/>
                <w:lang w:val="hu-HU"/>
              </w:rPr>
              <w:noBreakHyphen/>
              <w:t xml:space="preserve"> vagy gerinctörés (lásd 4.4 pont)</w:t>
            </w:r>
          </w:p>
        </w:tc>
      </w:tr>
      <w:tr w:rsidR="00EB03A8" w:rsidRPr="000E7E81" w14:paraId="71C8FD2F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EFA5E3B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05FDB9AE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arthralgia, myalgia</w:t>
            </w:r>
          </w:p>
        </w:tc>
      </w:tr>
      <w:tr w:rsidR="00EB03A8" w:rsidRPr="000E7E81" w14:paraId="07C7A9D7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6A5DE0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443600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izomgyengeség</w:t>
            </w:r>
          </w:p>
        </w:tc>
      </w:tr>
      <w:tr w:rsidR="00EB03A8" w:rsidRPr="000E7E81" w14:paraId="3D78117A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1CB408D" w14:textId="77777777" w:rsidR="00EB03A8" w:rsidRPr="000E7E81" w:rsidRDefault="00EB03A8" w:rsidP="00B10F22">
            <w:pPr>
              <w:keepNext/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lastRenderedPageBreak/>
              <w:t>Vese- és húgyúti betegségek és tünetek</w:t>
            </w:r>
          </w:p>
        </w:tc>
      </w:tr>
      <w:tr w:rsidR="00EB03A8" w:rsidRPr="000E7E81" w14:paraId="3F69026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42434E43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2B1E2B1F" w14:textId="4A6DD9F7" w:rsidR="00EB03A8" w:rsidRPr="000E7E81" w:rsidRDefault="00D76313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tubulo</w:t>
            </w:r>
            <w:r w:rsidR="00EB03A8" w:rsidRPr="000E7E81">
              <w:rPr>
                <w:szCs w:val="22"/>
                <w:lang w:val="hu-HU"/>
              </w:rPr>
              <w:t>interstitialis nephritis</w:t>
            </w:r>
            <w:r w:rsidRPr="000E7E81">
              <w:rPr>
                <w:szCs w:val="22"/>
                <w:lang w:val="hu-HU"/>
              </w:rPr>
              <w:t xml:space="preserve"> (veseelégtelenségbe progrediálhat)</w:t>
            </w:r>
          </w:p>
        </w:tc>
      </w:tr>
      <w:tr w:rsidR="00EB03A8" w:rsidRPr="000E7E81" w14:paraId="503755BE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A8D0CF8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EB03A8" w:rsidRPr="000E7E81" w14:paraId="2FA737C5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5E1371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Nagyon 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5C0B1165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gynecomastia</w:t>
            </w:r>
          </w:p>
        </w:tc>
      </w:tr>
      <w:tr w:rsidR="00EB03A8" w:rsidRPr="000E7E81" w14:paraId="267827E2" w14:textId="77777777" w:rsidTr="00EB03A8">
        <w:trPr>
          <w:cantSplit/>
        </w:trPr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3D133F82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b/>
                <w:szCs w:val="22"/>
                <w:lang w:val="hu-HU"/>
              </w:rPr>
              <w:t xml:space="preserve">Általános tünetek, az alkalmazás helyén fellépő reakciók </w:t>
            </w:r>
          </w:p>
        </w:tc>
      </w:tr>
      <w:tr w:rsidR="00EB03A8" w:rsidRPr="000E7E81" w14:paraId="3BF2F023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A9ED1C8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Nem gyakori: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69E2C6D6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rosszullét, perifériás oedema</w:t>
            </w:r>
          </w:p>
        </w:tc>
      </w:tr>
      <w:tr w:rsidR="00EB03A8" w:rsidRPr="000E7E81" w14:paraId="6E7130B1" w14:textId="77777777" w:rsidTr="00EB03A8">
        <w:trPr>
          <w:cantSplit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71F333DF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Ritka:</w:t>
            </w:r>
          </w:p>
        </w:tc>
        <w:tc>
          <w:tcPr>
            <w:tcW w:w="7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5" w:type="dxa"/>
              <w:right w:w="85" w:type="dxa"/>
            </w:tcMar>
          </w:tcPr>
          <w:p w14:paraId="1A19E4F4" w14:textId="77777777" w:rsidR="00EB03A8" w:rsidRPr="000E7E81" w:rsidRDefault="00EB03A8" w:rsidP="000E7E81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2"/>
                <w:lang w:val="hu-HU"/>
              </w:rPr>
            </w:pPr>
            <w:r w:rsidRPr="000E7E81">
              <w:rPr>
                <w:szCs w:val="22"/>
                <w:lang w:val="hu-HU"/>
              </w:rPr>
              <w:t>hyperhidrosis</w:t>
            </w:r>
          </w:p>
        </w:tc>
      </w:tr>
    </w:tbl>
    <w:p w14:paraId="0765DE28" w14:textId="0EBA9FFE" w:rsidR="0005299A" w:rsidRPr="00B10F22" w:rsidRDefault="0005299A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B10F22">
        <w:rPr>
          <w:szCs w:val="22"/>
          <w:lang w:val="hu-HU"/>
        </w:rPr>
        <w:t>* a súlyos hypomagnes</w:t>
      </w:r>
      <w:r w:rsidR="00260354" w:rsidRPr="00B10F22">
        <w:rPr>
          <w:szCs w:val="22"/>
          <w:lang w:val="hu-HU"/>
        </w:rPr>
        <w:t>a</w:t>
      </w:r>
      <w:r w:rsidRPr="00B10F22">
        <w:rPr>
          <w:szCs w:val="22"/>
          <w:lang w:val="hu-HU"/>
        </w:rPr>
        <w:t xml:space="preserve">emia hypocalcaemia-t </w:t>
      </w:r>
      <w:r w:rsidRPr="00585D14">
        <w:rPr>
          <w:szCs w:val="22"/>
          <w:lang w:val="hu-HU"/>
        </w:rPr>
        <w:t>eredményezhet</w:t>
      </w:r>
    </w:p>
    <w:p w14:paraId="6A084EB7" w14:textId="3F72DB1B" w:rsidR="0005299A" w:rsidRPr="000E7E81" w:rsidRDefault="00260354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Egyes elszigetelt </w:t>
      </w:r>
      <w:r w:rsidR="00567270" w:rsidRPr="000E7E81">
        <w:rPr>
          <w:szCs w:val="22"/>
          <w:lang w:val="hu-HU"/>
        </w:rPr>
        <w:t>esetekben</w:t>
      </w:r>
      <w:r w:rsidR="00567270" w:rsidRPr="000E7E81" w:rsidDel="006A1AAA">
        <w:rPr>
          <w:szCs w:val="22"/>
          <w:lang w:val="hu-HU"/>
        </w:rPr>
        <w:t xml:space="preserve"> </w:t>
      </w:r>
      <w:r w:rsidR="00567270" w:rsidRPr="000E7E81">
        <w:rPr>
          <w:szCs w:val="22"/>
          <w:lang w:val="hu-HU"/>
        </w:rPr>
        <w:t>i</w:t>
      </w:r>
      <w:r w:rsidR="006A1AAA" w:rsidRPr="000E7E81">
        <w:rPr>
          <w:szCs w:val="22"/>
          <w:lang w:val="hu-HU"/>
        </w:rPr>
        <w:t xml:space="preserve">rreverzibilis </w:t>
      </w:r>
      <w:r w:rsidR="0005299A" w:rsidRPr="000E7E81">
        <w:rPr>
          <w:szCs w:val="22"/>
          <w:lang w:val="hu-HU"/>
        </w:rPr>
        <w:t>látáskárosodásról számoltak be</w:t>
      </w:r>
      <w:r w:rsidR="00567270" w:rsidRPr="000E7E81">
        <w:rPr>
          <w:szCs w:val="22"/>
          <w:lang w:val="hu-HU"/>
        </w:rPr>
        <w:t xml:space="preserve"> olyan</w:t>
      </w:r>
      <w:r w:rsidR="0005299A" w:rsidRPr="000E7E81">
        <w:rPr>
          <w:szCs w:val="22"/>
          <w:lang w:val="hu-HU"/>
        </w:rPr>
        <w:t xml:space="preserve"> kritiku</w:t>
      </w:r>
      <w:r w:rsidR="00567270" w:rsidRPr="000E7E81">
        <w:rPr>
          <w:szCs w:val="22"/>
          <w:lang w:val="hu-HU"/>
        </w:rPr>
        <w:t>s</w:t>
      </w:r>
      <w:r w:rsidR="0005299A" w:rsidRPr="000E7E81">
        <w:rPr>
          <w:szCs w:val="22"/>
          <w:lang w:val="hu-HU"/>
        </w:rPr>
        <w:t xml:space="preserve"> </w:t>
      </w:r>
      <w:r w:rsidR="00567270" w:rsidRPr="000E7E81">
        <w:rPr>
          <w:szCs w:val="22"/>
          <w:lang w:val="hu-HU"/>
        </w:rPr>
        <w:t>állapotú</w:t>
      </w:r>
      <w:r w:rsidR="0005299A" w:rsidRPr="000E7E81">
        <w:rPr>
          <w:szCs w:val="22"/>
          <w:lang w:val="hu-HU"/>
        </w:rPr>
        <w:t xml:space="preserve"> betegek</w:t>
      </w:r>
      <w:r w:rsidR="00567270" w:rsidRPr="000E7E81">
        <w:rPr>
          <w:szCs w:val="22"/>
          <w:lang w:val="hu-HU"/>
        </w:rPr>
        <w:t>nél</w:t>
      </w:r>
      <w:r w:rsidR="0005299A" w:rsidRPr="000E7E81">
        <w:rPr>
          <w:szCs w:val="22"/>
          <w:lang w:val="hu-HU"/>
        </w:rPr>
        <w:t>, a</w:t>
      </w:r>
      <w:r w:rsidR="00EB03A8" w:rsidRPr="000E7E81">
        <w:rPr>
          <w:szCs w:val="22"/>
          <w:lang w:val="hu-HU"/>
        </w:rPr>
        <w:t>kik</w:t>
      </w:r>
      <w:r w:rsidR="0005299A" w:rsidRPr="000E7E81">
        <w:rPr>
          <w:szCs w:val="22"/>
          <w:lang w:val="hu-HU"/>
        </w:rPr>
        <w:t xml:space="preserve"> </w:t>
      </w:r>
      <w:r w:rsidR="00AD61D9" w:rsidRPr="000E7E81">
        <w:rPr>
          <w:szCs w:val="22"/>
          <w:lang w:val="hu-HU"/>
        </w:rPr>
        <w:t xml:space="preserve">intravénásan </w:t>
      </w:r>
      <w:r w:rsidR="0005299A" w:rsidRPr="000E7E81">
        <w:rPr>
          <w:szCs w:val="22"/>
          <w:lang w:val="hu-HU"/>
        </w:rPr>
        <w:t>omeprazol</w:t>
      </w:r>
      <w:r w:rsidRPr="000E7E81">
        <w:rPr>
          <w:szCs w:val="22"/>
          <w:lang w:val="hu-HU"/>
        </w:rPr>
        <w:t>-</w:t>
      </w:r>
      <w:r w:rsidR="0005299A" w:rsidRPr="000E7E81">
        <w:rPr>
          <w:szCs w:val="22"/>
          <w:lang w:val="hu-HU"/>
        </w:rPr>
        <w:t>injekciót kaptak, különösen nagy dózisok esetén, de okozati összefüggést nem állapítottak meg.</w:t>
      </w:r>
    </w:p>
    <w:p w14:paraId="5BC0A66F" w14:textId="77777777" w:rsidR="0005299A" w:rsidRPr="00B10F22" w:rsidRDefault="0005299A">
      <w:pPr>
        <w:tabs>
          <w:tab w:val="left" w:pos="567"/>
        </w:tabs>
        <w:spacing w:after="0"/>
        <w:rPr>
          <w:szCs w:val="22"/>
          <w:lang w:val="hu-HU"/>
        </w:rPr>
      </w:pPr>
    </w:p>
    <w:p w14:paraId="08BDD601" w14:textId="77777777" w:rsidR="00EB03A8" w:rsidRPr="000E7E81" w:rsidRDefault="00EB03A8">
      <w:pPr>
        <w:widowControl w:val="0"/>
        <w:autoSpaceDE w:val="0"/>
        <w:autoSpaceDN w:val="0"/>
        <w:adjustRightInd w:val="0"/>
        <w:spacing w:after="0"/>
        <w:rPr>
          <w:szCs w:val="22"/>
          <w:u w:val="single"/>
          <w:lang w:val="hu-HU"/>
        </w:rPr>
      </w:pPr>
      <w:r w:rsidRPr="000E7E81">
        <w:rPr>
          <w:szCs w:val="22"/>
          <w:u w:val="single"/>
          <w:lang w:val="hu-HU"/>
        </w:rPr>
        <w:t>Feltételezett mellékhatások bejelentése</w:t>
      </w:r>
    </w:p>
    <w:p w14:paraId="75C7AA7E" w14:textId="344C7A1E" w:rsidR="00EB03A8" w:rsidRPr="000E7E81" w:rsidRDefault="00EB03A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0E7E81">
          <w:rPr>
            <w:rStyle w:val="Hiperhivatkozs"/>
            <w:szCs w:val="22"/>
            <w:lang w:val="hu-HU"/>
          </w:rPr>
          <w:t>V. függelékben</w:t>
        </w:r>
      </w:hyperlink>
      <w:r w:rsidRPr="000E7E81">
        <w:rPr>
          <w:szCs w:val="22"/>
          <w:lang w:val="hu-HU"/>
        </w:rPr>
        <w:t xml:space="preserve"> található elérhetőségek valamelyikén keresztül.</w:t>
      </w:r>
    </w:p>
    <w:p w14:paraId="07E4A494" w14:textId="77777777" w:rsidR="00601881" w:rsidRPr="000E7E81" w:rsidRDefault="00601881">
      <w:pPr>
        <w:tabs>
          <w:tab w:val="left" w:pos="567"/>
        </w:tabs>
        <w:spacing w:after="0"/>
        <w:rPr>
          <w:szCs w:val="22"/>
          <w:lang w:val="hu-HU"/>
        </w:rPr>
      </w:pPr>
    </w:p>
    <w:p w14:paraId="698A7E88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4.9</w:t>
      </w:r>
      <w:r w:rsidRPr="000E7E81">
        <w:rPr>
          <w:lang w:val="hu-HU"/>
        </w:rPr>
        <w:tab/>
      </w:r>
      <w:r w:rsidR="00EB03A8" w:rsidRPr="000E7E81">
        <w:rPr>
          <w:lang w:val="hu-HU"/>
        </w:rPr>
        <w:t>Túladagolás</w:t>
      </w:r>
    </w:p>
    <w:p w14:paraId="01250D2A" w14:textId="77777777" w:rsidR="0052784A" w:rsidRPr="000E7E81" w:rsidRDefault="0052784A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0576AB00" w14:textId="0FE8E33B" w:rsidR="005A0B6C" w:rsidRPr="000E7E81" w:rsidRDefault="005A0B6C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túladagolásának következményeiről emberek esetében korlátozott mennyiségű információ áll rendelkezésre. Az irodalomban 560 mg</w:t>
      </w:r>
      <w:r w:rsidRPr="000E7E81">
        <w:rPr>
          <w:szCs w:val="22"/>
          <w:lang w:val="hu-HU"/>
        </w:rPr>
        <w:noBreakHyphen/>
        <w:t xml:space="preserve">ig terjedő adagok alkalmazásáról van leírás, és egyes jelentések olyan esetekről számolnak be, amikor az egyszeri </w:t>
      </w:r>
      <w:r w:rsidRPr="000E7E81">
        <w:rPr>
          <w:i/>
          <w:szCs w:val="22"/>
          <w:lang w:val="hu-HU"/>
        </w:rPr>
        <w:t>per os</w:t>
      </w:r>
      <w:r w:rsidRPr="000E7E81">
        <w:rPr>
          <w:szCs w:val="22"/>
          <w:lang w:val="hu-HU"/>
        </w:rPr>
        <w:t xml:space="preserve"> adagok elérték a 2400 mg omeprazolt (vagyis a szokásos</w:t>
      </w:r>
      <w:r w:rsidR="000F7644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ajánlott klinikai dózis 120-szorosát). Hányingerről, hányásról, szédülésről, hasi fájdalmakról, hasmenésről és fejfájásról számoltak be. Néhány esetben apátia, depresszió és zavartság is előfordult.</w:t>
      </w:r>
    </w:p>
    <w:p w14:paraId="348ACEF5" w14:textId="77777777" w:rsidR="005A0B6C" w:rsidRPr="000E7E81" w:rsidRDefault="005A0B6C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C325591" w14:textId="77777777" w:rsidR="005A0B6C" w:rsidRPr="000E7E81" w:rsidRDefault="005A0B6C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leírt tünetek átmenetiek voltak, súlyos kimenetel</w:t>
      </w:r>
      <w:r w:rsidR="00410CB0" w:rsidRPr="000E7E81">
        <w:rPr>
          <w:szCs w:val="22"/>
          <w:lang w:val="hu-HU"/>
        </w:rPr>
        <w:t>ű esetekről nem számoltak be</w:t>
      </w:r>
      <w:r w:rsidRPr="000E7E81">
        <w:rPr>
          <w:szCs w:val="22"/>
          <w:lang w:val="hu-HU"/>
        </w:rPr>
        <w:t>. Az elimináció mértéke növelt dózisok esetén változatlan volt (elsőrendű kinetika). A kezelés – amennyiben szükséges – tüneti.</w:t>
      </w:r>
    </w:p>
    <w:p w14:paraId="42097DF2" w14:textId="77777777" w:rsidR="00AC105F" w:rsidRPr="000E7E81" w:rsidRDefault="00AC105F">
      <w:pPr>
        <w:tabs>
          <w:tab w:val="left" w:pos="567"/>
        </w:tabs>
        <w:spacing w:after="0"/>
        <w:rPr>
          <w:szCs w:val="22"/>
          <w:lang w:val="hu-HU"/>
        </w:rPr>
      </w:pPr>
    </w:p>
    <w:p w14:paraId="01317C0B" w14:textId="67D877F4" w:rsidR="005A0B6C" w:rsidRPr="000E7E81" w:rsidRDefault="005A0B6C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klinikai vizsgálatok során</w:t>
      </w:r>
      <w:r w:rsidR="000F7644" w:rsidRPr="000E7E81">
        <w:rPr>
          <w:szCs w:val="22"/>
          <w:lang w:val="hu-HU"/>
        </w:rPr>
        <w:t>, az</w:t>
      </w:r>
      <w:r w:rsidRPr="000E7E81">
        <w:rPr>
          <w:szCs w:val="22"/>
          <w:lang w:val="hu-HU"/>
        </w:rPr>
        <w:t xml:space="preserve"> </w:t>
      </w:r>
      <w:r w:rsidR="000F7644" w:rsidRPr="000E7E81">
        <w:rPr>
          <w:szCs w:val="22"/>
          <w:lang w:val="hu-HU"/>
        </w:rPr>
        <w:t>egy nap alatt</w:t>
      </w:r>
      <w:r w:rsidR="000F7644" w:rsidRPr="000E7E81" w:rsidDel="000F7644">
        <w:rPr>
          <w:szCs w:val="22"/>
          <w:lang w:val="hu-HU"/>
        </w:rPr>
        <w:t xml:space="preserve"> </w:t>
      </w:r>
      <w:r w:rsidR="000F7644" w:rsidRPr="000E7E81">
        <w:rPr>
          <w:szCs w:val="22"/>
          <w:lang w:val="hu-HU"/>
        </w:rPr>
        <w:t>legfeljebb</w:t>
      </w:r>
      <w:r w:rsidR="00BD71EC" w:rsidRPr="000E7E81">
        <w:rPr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>270 mg</w:t>
      </w:r>
      <w:r w:rsidR="000F7644" w:rsidRPr="000E7E81">
        <w:rPr>
          <w:szCs w:val="22"/>
          <w:lang w:val="hu-HU"/>
        </w:rPr>
        <w:t>, valamint</w:t>
      </w:r>
      <w:r w:rsidRPr="000E7E81">
        <w:rPr>
          <w:szCs w:val="22"/>
          <w:lang w:val="hu-HU"/>
        </w:rPr>
        <w:t xml:space="preserve"> három nap alatt </w:t>
      </w:r>
      <w:r w:rsidR="00BD71EC" w:rsidRPr="000E7E81">
        <w:rPr>
          <w:szCs w:val="22"/>
          <w:lang w:val="hu-HU"/>
        </w:rPr>
        <w:t xml:space="preserve">összesen </w:t>
      </w:r>
      <w:r w:rsidRPr="000E7E81">
        <w:rPr>
          <w:szCs w:val="22"/>
          <w:lang w:val="hu-HU"/>
        </w:rPr>
        <w:t>legfeljebb 650 mg intravénás</w:t>
      </w:r>
      <w:r w:rsidR="00E57164" w:rsidRPr="000E7E81">
        <w:rPr>
          <w:szCs w:val="22"/>
          <w:lang w:val="hu-HU"/>
        </w:rPr>
        <w:t xml:space="preserve"> adag</w:t>
      </w:r>
      <w:r w:rsidRPr="000E7E81">
        <w:rPr>
          <w:szCs w:val="22"/>
          <w:lang w:val="hu-HU"/>
        </w:rPr>
        <w:t xml:space="preserve"> </w:t>
      </w:r>
      <w:r w:rsidR="00BD71EC" w:rsidRPr="000E7E81">
        <w:rPr>
          <w:szCs w:val="22"/>
          <w:lang w:val="hu-HU"/>
        </w:rPr>
        <w:t xml:space="preserve">beadása során </w:t>
      </w:r>
      <w:r w:rsidR="00764CFE" w:rsidRPr="000E7E81">
        <w:rPr>
          <w:szCs w:val="22"/>
          <w:lang w:val="hu-HU"/>
        </w:rPr>
        <w:t>dózis</w:t>
      </w:r>
      <w:r w:rsidR="00BD71EC" w:rsidRPr="000E7E81">
        <w:rPr>
          <w:szCs w:val="22"/>
          <w:lang w:val="hu-HU"/>
        </w:rPr>
        <w:t xml:space="preserve">függő </w:t>
      </w:r>
      <w:r w:rsidRPr="000E7E81">
        <w:rPr>
          <w:szCs w:val="22"/>
          <w:lang w:val="hu-HU"/>
        </w:rPr>
        <w:t>nemkívánatos reakció</w:t>
      </w:r>
      <w:r w:rsidR="00BD71EC" w:rsidRPr="000E7E81">
        <w:rPr>
          <w:szCs w:val="22"/>
          <w:lang w:val="hu-HU"/>
        </w:rPr>
        <w:t>t nem tapasztaltak</w:t>
      </w:r>
      <w:r w:rsidRPr="000E7E81">
        <w:rPr>
          <w:szCs w:val="22"/>
          <w:lang w:val="hu-HU"/>
        </w:rPr>
        <w:t>.</w:t>
      </w:r>
    </w:p>
    <w:p w14:paraId="62705E47" w14:textId="77777777" w:rsidR="005A0B6C" w:rsidRPr="000E7E81" w:rsidRDefault="005A0B6C">
      <w:pPr>
        <w:tabs>
          <w:tab w:val="left" w:pos="567"/>
        </w:tabs>
        <w:spacing w:after="0"/>
        <w:rPr>
          <w:szCs w:val="22"/>
          <w:lang w:val="hu-HU"/>
        </w:rPr>
      </w:pPr>
    </w:p>
    <w:p w14:paraId="0BDDB10D" w14:textId="77777777" w:rsidR="00D16AA4" w:rsidRPr="000E7E81" w:rsidRDefault="00D16AA4">
      <w:pPr>
        <w:tabs>
          <w:tab w:val="left" w:pos="567"/>
        </w:tabs>
        <w:spacing w:after="0"/>
        <w:rPr>
          <w:szCs w:val="22"/>
          <w:lang w:val="hu-HU"/>
        </w:rPr>
      </w:pPr>
    </w:p>
    <w:p w14:paraId="52DDE3D6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5.</w:t>
      </w:r>
      <w:r w:rsidRPr="000E7E81">
        <w:rPr>
          <w:lang w:val="hu-HU"/>
        </w:rPr>
        <w:tab/>
      </w:r>
      <w:r w:rsidR="001E414B" w:rsidRPr="000E7E81">
        <w:rPr>
          <w:lang w:val="hu-HU"/>
        </w:rPr>
        <w:t>FARMAKOLÓGIAI TULAJDONSÁGOK</w:t>
      </w:r>
    </w:p>
    <w:p w14:paraId="257A77B7" w14:textId="77777777" w:rsidR="009E0FD0" w:rsidRPr="000E7E81" w:rsidRDefault="009E0FD0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664F5B54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5.1</w:t>
      </w:r>
      <w:r w:rsidRPr="000E7E81">
        <w:rPr>
          <w:lang w:val="hu-HU"/>
        </w:rPr>
        <w:tab/>
      </w:r>
      <w:r w:rsidR="001E414B" w:rsidRPr="000E7E81">
        <w:rPr>
          <w:lang w:val="hu-HU"/>
        </w:rPr>
        <w:t>Farmakodinámiás tulajdonságok</w:t>
      </w:r>
    </w:p>
    <w:p w14:paraId="0D6F9A08" w14:textId="77777777" w:rsidR="001F0A1A" w:rsidRPr="000E7E81" w:rsidRDefault="001F0A1A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0D74E9B2" w14:textId="52BCA7C2" w:rsidR="00742B28" w:rsidRPr="000E7E81" w:rsidRDefault="00742B28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Farmakoterápiás csoport: protonpumpagátlók</w:t>
      </w:r>
      <w:r w:rsidR="00735AAF" w:rsidRPr="000E7E81">
        <w:rPr>
          <w:szCs w:val="22"/>
          <w:lang w:val="hu-HU"/>
        </w:rPr>
        <w:t xml:space="preserve">, </w:t>
      </w:r>
      <w:r w:rsidRPr="000E7E81">
        <w:rPr>
          <w:szCs w:val="22"/>
          <w:lang w:val="hu-HU"/>
        </w:rPr>
        <w:t>ATC kód: A02BC01</w:t>
      </w:r>
      <w:r w:rsidR="0029049C" w:rsidRPr="000E7E81">
        <w:rPr>
          <w:szCs w:val="22"/>
          <w:lang w:val="hu-HU"/>
        </w:rPr>
        <w:t>.</w:t>
      </w:r>
    </w:p>
    <w:p w14:paraId="5935FB66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6FA5891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Hatásmechanizmus</w:t>
      </w:r>
    </w:p>
    <w:p w14:paraId="4D24645A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– két enantiomer</w:t>
      </w:r>
      <w:r w:rsidR="00410CB0" w:rsidRPr="000E7E81">
        <w:rPr>
          <w:szCs w:val="22"/>
          <w:lang w:val="hu-HU"/>
        </w:rPr>
        <w:t xml:space="preserve"> molekula</w:t>
      </w:r>
      <w:r w:rsidRPr="000E7E81">
        <w:rPr>
          <w:szCs w:val="22"/>
          <w:lang w:val="hu-HU"/>
        </w:rPr>
        <w:t xml:space="preserve"> racém elegye – </w:t>
      </w:r>
      <w:r w:rsidR="00144444" w:rsidRPr="000E7E81">
        <w:rPr>
          <w:szCs w:val="22"/>
          <w:lang w:val="hu-HU"/>
        </w:rPr>
        <w:t>a gyomorsav-szekréciót célzott hatásmechanizmuson keresztül csökkenti</w:t>
      </w:r>
      <w:r w:rsidRPr="000E7E81">
        <w:rPr>
          <w:szCs w:val="22"/>
          <w:lang w:val="hu-HU"/>
        </w:rPr>
        <w:t xml:space="preserve">. Az omeprazol a parietális sejt protonpumpájának specifikus gátlója. Gyorsan hat, és </w:t>
      </w:r>
      <w:r w:rsidR="00144444" w:rsidRPr="000E7E81">
        <w:rPr>
          <w:szCs w:val="22"/>
          <w:lang w:val="hu-HU"/>
        </w:rPr>
        <w:t>a gyomorsav-szekréció reverzibilis gátlásával napi egyszeri adagolás mellett biztosítja a savkontrollt</w:t>
      </w:r>
      <w:r w:rsidRPr="000E7E81">
        <w:rPr>
          <w:szCs w:val="22"/>
          <w:lang w:val="hu-HU"/>
        </w:rPr>
        <w:t>.</w:t>
      </w:r>
    </w:p>
    <w:p w14:paraId="082ABAF3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A529F1E" w14:textId="2A7CAD59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gyenge bázis, és a gyomor parietális sejtjeiben levő intracelluláris canaliculusok savas környezetében koncentrálódik és átalakul aktív formává, itt gátolja a H</w:t>
      </w:r>
      <w:r w:rsidRPr="000E7E81">
        <w:rPr>
          <w:szCs w:val="22"/>
          <w:vertAlign w:val="superscript"/>
          <w:lang w:val="hu-HU"/>
        </w:rPr>
        <w:t>+</w:t>
      </w:r>
      <w:r w:rsidR="0029049C" w:rsidRPr="000E7E81">
        <w:rPr>
          <w:szCs w:val="22"/>
          <w:lang w:val="hu-HU"/>
        </w:rPr>
        <w:t>/</w:t>
      </w:r>
      <w:r w:rsidRPr="000E7E81">
        <w:rPr>
          <w:szCs w:val="22"/>
          <w:lang w:val="hu-HU"/>
        </w:rPr>
        <w:t>K</w:t>
      </w:r>
      <w:r w:rsidRPr="000E7E81">
        <w:rPr>
          <w:szCs w:val="22"/>
          <w:vertAlign w:val="superscript"/>
          <w:lang w:val="hu-HU"/>
        </w:rPr>
        <w:t>+</w:t>
      </w:r>
      <w:r w:rsidRPr="000E7E81">
        <w:rPr>
          <w:szCs w:val="22"/>
          <w:lang w:val="hu-HU"/>
        </w:rPr>
        <w:noBreakHyphen/>
        <w:t>ATP</w:t>
      </w:r>
      <w:r w:rsidRPr="000E7E81">
        <w:rPr>
          <w:szCs w:val="22"/>
          <w:lang w:val="hu-HU"/>
        </w:rPr>
        <w:noBreakHyphen/>
        <w:t xml:space="preserve">áz enzimet, a protonpumpa működését. A gyomorsavképződés folyamatának utolsó szakaszára </w:t>
      </w:r>
      <w:r w:rsidR="00144444" w:rsidRPr="000E7E81">
        <w:rPr>
          <w:szCs w:val="22"/>
          <w:lang w:val="hu-HU"/>
        </w:rPr>
        <w:t>kifejtett</w:t>
      </w:r>
      <w:r w:rsidRPr="000E7E81">
        <w:rPr>
          <w:szCs w:val="22"/>
          <w:lang w:val="hu-HU"/>
        </w:rPr>
        <w:t xml:space="preserve"> hatás dózisfüggő, és igen hatékonyan gátolja mind a bazális, mind a stimulált gyomorsavtermelést, </w:t>
      </w:r>
      <w:r w:rsidR="00C52365" w:rsidRPr="000E7E81">
        <w:rPr>
          <w:szCs w:val="22"/>
          <w:lang w:val="hu-HU"/>
        </w:rPr>
        <w:t>stimulációtól függetlenül</w:t>
      </w:r>
      <w:r w:rsidRPr="000E7E81">
        <w:rPr>
          <w:szCs w:val="22"/>
          <w:lang w:val="hu-HU"/>
        </w:rPr>
        <w:t>.</w:t>
      </w:r>
    </w:p>
    <w:p w14:paraId="7EAF2D7E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217134AF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Farmakodinámiás hatások</w:t>
      </w:r>
    </w:p>
    <w:p w14:paraId="0EFEE56F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összes megfigyelt farmakodinámiás hatása a gyomorsav-elválasztásra gyakorolt hatásával magyarázható.</w:t>
      </w:r>
    </w:p>
    <w:p w14:paraId="63B48E37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20C0CB58" w14:textId="77777777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i/>
          <w:szCs w:val="22"/>
          <w:u w:val="single"/>
          <w:lang w:val="hu-HU"/>
        </w:rPr>
      </w:pPr>
      <w:r w:rsidRPr="000E7E81">
        <w:rPr>
          <w:i/>
          <w:szCs w:val="22"/>
          <w:u w:val="single"/>
          <w:lang w:val="hu-HU"/>
        </w:rPr>
        <w:lastRenderedPageBreak/>
        <w:t>A gyomorsav-elválasztásra gyakorolt hatás</w:t>
      </w:r>
    </w:p>
    <w:p w14:paraId="1F45B002" w14:textId="4CAAC453" w:rsidR="00764CFE" w:rsidRPr="000E7E81" w:rsidRDefault="00764CFE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intravénás omeprazol </w:t>
      </w:r>
      <w:r w:rsidR="00766B09" w:rsidRPr="000E7E81">
        <w:rPr>
          <w:szCs w:val="22"/>
          <w:lang w:val="hu-HU"/>
        </w:rPr>
        <w:t xml:space="preserve">az embernél </w:t>
      </w:r>
      <w:r w:rsidRPr="000E7E81">
        <w:rPr>
          <w:szCs w:val="22"/>
          <w:lang w:val="hu-HU"/>
        </w:rPr>
        <w:t>dózisfüggő gyomorsavszekréció</w:t>
      </w:r>
      <w:r w:rsidR="0029049C" w:rsidRPr="000E7E81">
        <w:rPr>
          <w:szCs w:val="22"/>
          <w:lang w:val="hu-HU"/>
        </w:rPr>
        <w:t>-</w:t>
      </w:r>
      <w:r w:rsidR="00766B09" w:rsidRPr="000E7E81">
        <w:rPr>
          <w:szCs w:val="22"/>
          <w:lang w:val="hu-HU"/>
        </w:rPr>
        <w:t>gátlást okoz</w:t>
      </w:r>
      <w:r w:rsidRPr="000E7E81">
        <w:rPr>
          <w:szCs w:val="22"/>
          <w:lang w:val="hu-HU"/>
        </w:rPr>
        <w:t>.</w:t>
      </w:r>
    </w:p>
    <w:p w14:paraId="4F7E09AD" w14:textId="4E3A93CC" w:rsidR="00764CFE" w:rsidRPr="000E7E81" w:rsidRDefault="00764CFE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Annak érdekében, hogy </w:t>
      </w:r>
      <w:r w:rsidR="00023E17" w:rsidRPr="000E7E81">
        <w:rPr>
          <w:szCs w:val="22"/>
          <w:lang w:val="hu-HU"/>
        </w:rPr>
        <w:t xml:space="preserve">azonnal elérjék az intragasztrikus </w:t>
      </w:r>
      <w:r w:rsidR="0056664F" w:rsidRPr="000E7E81">
        <w:rPr>
          <w:szCs w:val="22"/>
          <w:lang w:val="hu-HU"/>
        </w:rPr>
        <w:t>aciditás</w:t>
      </w:r>
      <w:r w:rsidR="0029049C" w:rsidRPr="000E7E81">
        <w:rPr>
          <w:szCs w:val="22"/>
          <w:lang w:val="hu-HU"/>
        </w:rPr>
        <w:t>nak</w:t>
      </w:r>
      <w:r w:rsidR="0056664F" w:rsidRPr="000E7E81">
        <w:rPr>
          <w:szCs w:val="22"/>
          <w:lang w:val="hu-HU"/>
        </w:rPr>
        <w:t xml:space="preserve"> </w:t>
      </w:r>
      <w:r w:rsidR="00766B09" w:rsidRPr="000E7E81">
        <w:rPr>
          <w:szCs w:val="22"/>
          <w:lang w:val="hu-HU"/>
        </w:rPr>
        <w:t xml:space="preserve">a 20 mg-os ismételt orális adagolás során </w:t>
      </w:r>
      <w:r w:rsidR="00023E17" w:rsidRPr="000E7E81">
        <w:rPr>
          <w:szCs w:val="22"/>
          <w:lang w:val="hu-HU"/>
        </w:rPr>
        <w:t xml:space="preserve">elérhetőhöz hasonló </w:t>
      </w:r>
      <w:r w:rsidRPr="000E7E81">
        <w:rPr>
          <w:szCs w:val="22"/>
          <w:lang w:val="hu-HU"/>
        </w:rPr>
        <w:t xml:space="preserve">csökkenését, </w:t>
      </w:r>
      <w:r w:rsidR="00023E17" w:rsidRPr="000E7E81">
        <w:rPr>
          <w:szCs w:val="22"/>
          <w:lang w:val="hu-HU"/>
        </w:rPr>
        <w:t xml:space="preserve">intravénásan </w:t>
      </w:r>
      <w:r w:rsidRPr="000E7E81">
        <w:rPr>
          <w:szCs w:val="22"/>
          <w:lang w:val="hu-HU"/>
        </w:rPr>
        <w:t xml:space="preserve">40 mg </w:t>
      </w:r>
      <w:r w:rsidR="00023E17" w:rsidRPr="000E7E81">
        <w:rPr>
          <w:szCs w:val="22"/>
          <w:lang w:val="hu-HU"/>
        </w:rPr>
        <w:t xml:space="preserve">kezdeti </w:t>
      </w:r>
      <w:r w:rsidRPr="000E7E81">
        <w:rPr>
          <w:szCs w:val="22"/>
          <w:lang w:val="hu-HU"/>
        </w:rPr>
        <w:t>dózis ajánlott. E</w:t>
      </w:r>
      <w:r w:rsidR="000E2CC8" w:rsidRPr="000E7E81">
        <w:rPr>
          <w:szCs w:val="22"/>
          <w:lang w:val="hu-HU"/>
        </w:rPr>
        <w:t xml:space="preserve">z az intragasztrikus </w:t>
      </w:r>
      <w:r w:rsidR="0056664F" w:rsidRPr="000E7E81">
        <w:rPr>
          <w:szCs w:val="22"/>
          <w:lang w:val="hu-HU"/>
        </w:rPr>
        <w:t xml:space="preserve">aciditás </w:t>
      </w:r>
      <w:r w:rsidR="000E2CC8" w:rsidRPr="000E7E81">
        <w:rPr>
          <w:szCs w:val="22"/>
          <w:lang w:val="hu-HU"/>
        </w:rPr>
        <w:t>azonnali csökkenését</w:t>
      </w:r>
      <w:r w:rsidRPr="000E7E81">
        <w:rPr>
          <w:szCs w:val="22"/>
          <w:lang w:val="hu-HU"/>
        </w:rPr>
        <w:t xml:space="preserve"> eredménye</w:t>
      </w:r>
      <w:r w:rsidR="000E2CC8" w:rsidRPr="000E7E81">
        <w:rPr>
          <w:szCs w:val="22"/>
          <w:lang w:val="hu-HU"/>
        </w:rPr>
        <w:t xml:space="preserve">zi, valamint </w:t>
      </w:r>
      <w:r w:rsidR="007F6A5E" w:rsidRPr="000E7E81">
        <w:rPr>
          <w:szCs w:val="22"/>
          <w:lang w:val="hu-HU"/>
        </w:rPr>
        <w:t xml:space="preserve">átlagosan kb. 90%-os csökkenést a következő 24 órában mind </w:t>
      </w:r>
      <w:r w:rsidR="007F6A5E" w:rsidRPr="000E7E81">
        <w:rPr>
          <w:i/>
          <w:szCs w:val="22"/>
          <w:lang w:val="hu-HU"/>
        </w:rPr>
        <w:t>iv</w:t>
      </w:r>
      <w:r w:rsidR="007F6A5E" w:rsidRPr="000E7E81">
        <w:rPr>
          <w:szCs w:val="22"/>
          <w:lang w:val="hu-HU"/>
        </w:rPr>
        <w:t>. injekció</w:t>
      </w:r>
      <w:r w:rsidR="0029049C" w:rsidRPr="000E7E81">
        <w:rPr>
          <w:szCs w:val="22"/>
          <w:lang w:val="hu-HU"/>
        </w:rPr>
        <w:t>, mind</w:t>
      </w:r>
      <w:r w:rsidR="007F6A5E" w:rsidRPr="000E7E81">
        <w:rPr>
          <w:szCs w:val="22"/>
          <w:lang w:val="hu-HU"/>
        </w:rPr>
        <w:t xml:space="preserve"> </w:t>
      </w:r>
      <w:r w:rsidR="007F6A5E" w:rsidRPr="000E7E81">
        <w:rPr>
          <w:i/>
          <w:szCs w:val="22"/>
          <w:lang w:val="hu-HU"/>
        </w:rPr>
        <w:t>iv</w:t>
      </w:r>
      <w:r w:rsidR="007F6A5E" w:rsidRPr="000E7E81">
        <w:rPr>
          <w:szCs w:val="22"/>
          <w:lang w:val="hu-HU"/>
        </w:rPr>
        <w:t>. infúzió esetében</w:t>
      </w:r>
      <w:r w:rsidRPr="000E7E81">
        <w:rPr>
          <w:szCs w:val="22"/>
          <w:lang w:val="hu-HU"/>
        </w:rPr>
        <w:t>.</w:t>
      </w:r>
    </w:p>
    <w:p w14:paraId="31462098" w14:textId="77777777" w:rsidR="00764CFE" w:rsidRPr="000E7E81" w:rsidRDefault="00764CFE">
      <w:pPr>
        <w:spacing w:after="0"/>
        <w:rPr>
          <w:szCs w:val="22"/>
          <w:lang w:val="hu-HU"/>
        </w:rPr>
      </w:pPr>
    </w:p>
    <w:p w14:paraId="6A5D2C86" w14:textId="41525D7D" w:rsidR="00742B28" w:rsidRPr="000E7E81" w:rsidRDefault="00742B28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gyomorsav</w:t>
      </w:r>
      <w:r w:rsidR="0056664F" w:rsidRPr="000E7E81">
        <w:rPr>
          <w:szCs w:val="22"/>
          <w:lang w:val="hu-HU"/>
        </w:rPr>
        <w:t>szekréció</w:t>
      </w:r>
      <w:r w:rsidRPr="000E7E81">
        <w:rPr>
          <w:szCs w:val="22"/>
          <w:lang w:val="hu-HU"/>
        </w:rPr>
        <w:t xml:space="preserve"> gátlása az omeprazol-plazmakoncentráció és az </w:t>
      </w:r>
      <w:r w:rsidR="008A7B42" w:rsidRPr="000E7E81">
        <w:rPr>
          <w:szCs w:val="22"/>
          <w:lang w:val="hu-HU"/>
        </w:rPr>
        <w:t xml:space="preserve">eltelt </w:t>
      </w:r>
      <w:r w:rsidRPr="000E7E81">
        <w:rPr>
          <w:szCs w:val="22"/>
          <w:lang w:val="hu-HU"/>
        </w:rPr>
        <w:t>idő közötti kapcsolatot kifejező görbe alatti területével</w:t>
      </w:r>
      <w:r w:rsidR="0029049C" w:rsidRPr="000E7E81">
        <w:rPr>
          <w:szCs w:val="22"/>
          <w:lang w:val="hu-HU"/>
        </w:rPr>
        <w:t xml:space="preserve"> (AUC)</w:t>
      </w:r>
      <w:r w:rsidRPr="000E7E81">
        <w:rPr>
          <w:szCs w:val="22"/>
          <w:lang w:val="hu-HU"/>
        </w:rPr>
        <w:t xml:space="preserve"> és nem az adott idő</w:t>
      </w:r>
      <w:r w:rsidR="008A7B42" w:rsidRPr="000E7E81">
        <w:rPr>
          <w:szCs w:val="22"/>
          <w:lang w:val="hu-HU"/>
        </w:rPr>
        <w:t>pon</w:t>
      </w:r>
      <w:r w:rsidRPr="000E7E81">
        <w:rPr>
          <w:szCs w:val="22"/>
          <w:lang w:val="hu-HU"/>
        </w:rPr>
        <w:t>b</w:t>
      </w:r>
      <w:r w:rsidR="008A7B42" w:rsidRPr="000E7E81">
        <w:rPr>
          <w:szCs w:val="22"/>
          <w:lang w:val="hu-HU"/>
        </w:rPr>
        <w:t>a</w:t>
      </w:r>
      <w:r w:rsidRPr="000E7E81">
        <w:rPr>
          <w:szCs w:val="22"/>
          <w:lang w:val="hu-HU"/>
        </w:rPr>
        <w:t>n mért aktuális plazmakoncentráció</w:t>
      </w:r>
      <w:r w:rsidR="00470156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értékével arányos. </w:t>
      </w:r>
    </w:p>
    <w:p w14:paraId="1382118F" w14:textId="77777777" w:rsidR="00742B28" w:rsidRPr="000E7E81" w:rsidRDefault="00742B28">
      <w:pPr>
        <w:spacing w:after="0"/>
        <w:rPr>
          <w:szCs w:val="22"/>
          <w:lang w:val="hu-HU"/>
        </w:rPr>
      </w:pPr>
    </w:p>
    <w:p w14:paraId="7FE85E9B" w14:textId="77777777" w:rsidR="00E014A3" w:rsidRPr="000E7E81" w:rsidRDefault="00E014A3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omeprazollal végzett kezelés során nem figyeltek meg tachyphylaxi</w:t>
      </w:r>
      <w:r w:rsidR="0056664F" w:rsidRPr="000E7E81">
        <w:rPr>
          <w:szCs w:val="22"/>
          <w:lang w:val="hu-HU"/>
        </w:rPr>
        <w:t>á</w:t>
      </w:r>
      <w:r w:rsidRPr="000E7E81">
        <w:rPr>
          <w:szCs w:val="22"/>
          <w:lang w:val="hu-HU"/>
        </w:rPr>
        <w:t>t</w:t>
      </w:r>
      <w:r w:rsidR="008A7B42" w:rsidRPr="000E7E81">
        <w:rPr>
          <w:szCs w:val="22"/>
          <w:lang w:val="hu-HU"/>
        </w:rPr>
        <w:t>.</w:t>
      </w:r>
    </w:p>
    <w:p w14:paraId="10826157" w14:textId="77777777" w:rsidR="00AC105F" w:rsidRPr="000E7E81" w:rsidRDefault="00AC105F">
      <w:pPr>
        <w:spacing w:after="0"/>
        <w:rPr>
          <w:szCs w:val="22"/>
          <w:lang w:val="hu-HU"/>
        </w:rPr>
      </w:pPr>
    </w:p>
    <w:p w14:paraId="74DCF1FC" w14:textId="77777777" w:rsidR="00F50F17" w:rsidRPr="000E7E81" w:rsidRDefault="00F50F17">
      <w:pPr>
        <w:widowControl w:val="0"/>
        <w:autoSpaceDE w:val="0"/>
        <w:autoSpaceDN w:val="0"/>
        <w:adjustRightInd w:val="0"/>
        <w:spacing w:after="0"/>
        <w:rPr>
          <w:i/>
          <w:szCs w:val="22"/>
          <w:u w:val="single"/>
          <w:lang w:val="hu-HU"/>
        </w:rPr>
      </w:pPr>
      <w:r w:rsidRPr="000E7E81">
        <w:rPr>
          <w:i/>
          <w:szCs w:val="22"/>
          <w:u w:val="single"/>
          <w:lang w:val="hu-HU"/>
        </w:rPr>
        <w:t>A H</w:t>
      </w:r>
      <w:r w:rsidR="008A7B42" w:rsidRPr="000E7E81">
        <w:rPr>
          <w:i/>
          <w:szCs w:val="22"/>
          <w:u w:val="single"/>
          <w:lang w:val="hu-HU"/>
        </w:rPr>
        <w:t>elicobacter</w:t>
      </w:r>
      <w:r w:rsidRPr="000E7E81">
        <w:rPr>
          <w:i/>
          <w:szCs w:val="22"/>
          <w:u w:val="single"/>
          <w:lang w:val="hu-HU"/>
        </w:rPr>
        <w:t xml:space="preserve"> pylori baktériumra gyakorolt hatás </w:t>
      </w:r>
    </w:p>
    <w:p w14:paraId="5B3C5744" w14:textId="1E5B2D72" w:rsidR="00F50F17" w:rsidRPr="000E7E81" w:rsidRDefault="00F50F17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</w:t>
      </w:r>
      <w:r w:rsidRPr="000E7E81">
        <w:rPr>
          <w:i/>
          <w:szCs w:val="22"/>
          <w:lang w:val="hu-HU"/>
        </w:rPr>
        <w:t xml:space="preserve"> H. pylori</w:t>
      </w:r>
      <w:r w:rsidRPr="000E7E81">
        <w:rPr>
          <w:szCs w:val="22"/>
          <w:lang w:val="hu-HU"/>
        </w:rPr>
        <w:t xml:space="preserve"> baktérium előfordulása a peptikus fekélybetegség – ezen belül a gyomorfekély és a nyombélfekély – velejárója. A</w:t>
      </w:r>
      <w:r w:rsidRPr="000E7E81">
        <w:rPr>
          <w:i/>
          <w:szCs w:val="22"/>
          <w:lang w:val="hu-HU"/>
        </w:rPr>
        <w:t xml:space="preserve"> H. pylori</w:t>
      </w:r>
      <w:r w:rsidRPr="000E7E81">
        <w:rPr>
          <w:szCs w:val="22"/>
          <w:lang w:val="hu-HU"/>
        </w:rPr>
        <w:t xml:space="preserve"> jelentős szerepet játszik a gastritis kialakulásában. A </w:t>
      </w:r>
      <w:r w:rsidRPr="000E7E81">
        <w:rPr>
          <w:i/>
          <w:szCs w:val="22"/>
          <w:lang w:val="hu-HU"/>
        </w:rPr>
        <w:t>H. pylori</w:t>
      </w:r>
      <w:r w:rsidRPr="000E7E81">
        <w:rPr>
          <w:szCs w:val="22"/>
          <w:lang w:val="hu-HU"/>
        </w:rPr>
        <w:t xml:space="preserve"> a gyomorsavval együtt a peptikus fekélybetegség kialakulásának legfőbb tényező</w:t>
      </w:r>
      <w:r w:rsidR="00470156" w:rsidRPr="000E7E81">
        <w:rPr>
          <w:szCs w:val="22"/>
          <w:lang w:val="hu-HU"/>
        </w:rPr>
        <w:t>je</w:t>
      </w:r>
      <w:r w:rsidRPr="000E7E81">
        <w:rPr>
          <w:szCs w:val="22"/>
          <w:lang w:val="hu-HU"/>
        </w:rPr>
        <w:t xml:space="preserve">. A </w:t>
      </w:r>
      <w:r w:rsidRPr="000E7E81">
        <w:rPr>
          <w:i/>
          <w:szCs w:val="22"/>
          <w:lang w:val="hu-HU"/>
        </w:rPr>
        <w:t>H. pylori</w:t>
      </w:r>
      <w:r w:rsidRPr="000E7E81">
        <w:rPr>
          <w:szCs w:val="22"/>
          <w:lang w:val="hu-HU"/>
        </w:rPr>
        <w:t xml:space="preserve"> továbbá fontos tényezője az atr</w:t>
      </w:r>
      <w:r w:rsidR="00470156" w:rsidRPr="000E7E81">
        <w:rPr>
          <w:szCs w:val="22"/>
          <w:lang w:val="hu-HU"/>
        </w:rPr>
        <w:t>ophi</w:t>
      </w:r>
      <w:r w:rsidRPr="000E7E81">
        <w:rPr>
          <w:szCs w:val="22"/>
          <w:lang w:val="hu-HU"/>
        </w:rPr>
        <w:t>ás gastritis kialakulásának is, amely a gyomorrák kialakulásának fokozott veszélyével jár.</w:t>
      </w:r>
    </w:p>
    <w:p w14:paraId="34ECBC52" w14:textId="77777777" w:rsidR="00F50F17" w:rsidRPr="000E7E81" w:rsidRDefault="00F50F17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79016FDA" w14:textId="77777777" w:rsidR="00F50F17" w:rsidRPr="000E7E81" w:rsidRDefault="00F50F17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 </w:t>
      </w:r>
      <w:r w:rsidRPr="000E7E81">
        <w:rPr>
          <w:i/>
          <w:szCs w:val="22"/>
          <w:lang w:val="hu-HU"/>
        </w:rPr>
        <w:t>H. pylori</w:t>
      </w:r>
      <w:r w:rsidRPr="000E7E81">
        <w:rPr>
          <w:szCs w:val="22"/>
          <w:lang w:val="hu-HU"/>
        </w:rPr>
        <w:t xml:space="preserve"> baktériumnak az omeprazollal és antimikrobiális szerekkel végzett eradikációja nagy százalékban eredményezi a peptikus fekélyek gyógyulást, illetve hosszú távú remisszióját.</w:t>
      </w:r>
    </w:p>
    <w:p w14:paraId="472CE4C6" w14:textId="77777777" w:rsidR="00F50F17" w:rsidRPr="000E7E81" w:rsidRDefault="00F50F17">
      <w:pPr>
        <w:spacing w:after="0"/>
        <w:rPr>
          <w:szCs w:val="22"/>
          <w:lang w:val="hu-HU"/>
        </w:rPr>
      </w:pPr>
    </w:p>
    <w:p w14:paraId="20514D08" w14:textId="77777777" w:rsidR="00CC3660" w:rsidRPr="000E7E81" w:rsidRDefault="00CC3660">
      <w:pPr>
        <w:widowControl w:val="0"/>
        <w:autoSpaceDE w:val="0"/>
        <w:autoSpaceDN w:val="0"/>
        <w:adjustRightInd w:val="0"/>
        <w:spacing w:after="0"/>
        <w:rPr>
          <w:i/>
          <w:szCs w:val="22"/>
          <w:u w:val="single"/>
          <w:lang w:val="hu-HU"/>
        </w:rPr>
      </w:pPr>
      <w:r w:rsidRPr="000E7E81">
        <w:rPr>
          <w:i/>
          <w:szCs w:val="22"/>
          <w:u w:val="single"/>
          <w:lang w:val="hu-HU"/>
        </w:rPr>
        <w:t xml:space="preserve">A gyomorsav-elválasztás gátlásával kapcsolatos egyéb hatások </w:t>
      </w:r>
    </w:p>
    <w:p w14:paraId="6A050239" w14:textId="4B4D468F" w:rsidR="00CC3660" w:rsidRPr="000E7E81" w:rsidRDefault="00CC3660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Hosszú távú kezelés során a gyomorban kialakuló glanduláris ciszták valamivel gyakoribb előfordulását jelentették. Ezek a változások a</w:t>
      </w:r>
      <w:r w:rsidR="008330FF" w:rsidRPr="000E7E81">
        <w:rPr>
          <w:szCs w:val="22"/>
          <w:lang w:val="hu-HU"/>
        </w:rPr>
        <w:t>z</w:t>
      </w:r>
      <w:r w:rsidRPr="000E7E81">
        <w:rPr>
          <w:szCs w:val="22"/>
          <w:lang w:val="hu-HU"/>
        </w:rPr>
        <w:t xml:space="preserve"> </w:t>
      </w:r>
      <w:r w:rsidR="00324FC4" w:rsidRPr="000E7E81">
        <w:rPr>
          <w:szCs w:val="22"/>
          <w:lang w:val="hu-HU"/>
        </w:rPr>
        <w:t xml:space="preserve">erőteljes savszekréció-gátlás </w:t>
      </w:r>
      <w:r w:rsidRPr="000E7E81">
        <w:rPr>
          <w:szCs w:val="22"/>
          <w:lang w:val="hu-HU"/>
        </w:rPr>
        <w:t>következménye</w:t>
      </w:r>
      <w:r w:rsidR="00324FC4" w:rsidRPr="000E7E81">
        <w:rPr>
          <w:szCs w:val="22"/>
          <w:lang w:val="hu-HU"/>
        </w:rPr>
        <w:t>ként kialakuló</w:t>
      </w:r>
      <w:r w:rsidRPr="000E7E81">
        <w:rPr>
          <w:szCs w:val="22"/>
          <w:lang w:val="hu-HU"/>
        </w:rPr>
        <w:t>, jóindulatú</w:t>
      </w:r>
      <w:r w:rsidR="00470156" w:rsidRPr="000E7E81">
        <w:rPr>
          <w:szCs w:val="22"/>
          <w:lang w:val="hu-HU"/>
        </w:rPr>
        <w:t>n</w:t>
      </w:r>
      <w:r w:rsidRPr="000E7E81">
        <w:rPr>
          <w:szCs w:val="22"/>
          <w:lang w:val="hu-HU"/>
        </w:rPr>
        <w:t>ak és reverzibilisnek tűn</w:t>
      </w:r>
      <w:r w:rsidR="00324FC4" w:rsidRPr="000E7E81">
        <w:rPr>
          <w:szCs w:val="22"/>
          <w:lang w:val="hu-HU"/>
        </w:rPr>
        <w:t>ő fiziológiai elváltozások</w:t>
      </w:r>
      <w:r w:rsidRPr="000E7E81">
        <w:rPr>
          <w:szCs w:val="22"/>
          <w:lang w:val="hu-HU"/>
        </w:rPr>
        <w:t>.</w:t>
      </w:r>
    </w:p>
    <w:p w14:paraId="5D332823" w14:textId="77777777" w:rsidR="00AC105F" w:rsidRPr="000E7E81" w:rsidRDefault="00AC105F">
      <w:pPr>
        <w:spacing w:after="0"/>
        <w:rPr>
          <w:szCs w:val="22"/>
          <w:lang w:val="hu-HU"/>
        </w:rPr>
      </w:pPr>
    </w:p>
    <w:p w14:paraId="0E97A1FB" w14:textId="1B742300" w:rsidR="0096575E" w:rsidRPr="000E7E81" w:rsidRDefault="00C56350">
      <w:pPr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bármely okból bekövetkező gyomorsavcsökkenés, beleértve a protonpumpagátlók alkalmazását is, azt eredményezi, hogy a gastrointestinalis tractusban normál állapotban is jelenlévő baktériumok száma megnövekszik a gyomorban</w:t>
      </w:r>
      <w:r w:rsidR="0096575E" w:rsidRPr="000E7E81">
        <w:rPr>
          <w:szCs w:val="22"/>
          <w:lang w:val="hu-HU"/>
        </w:rPr>
        <w:t>. A gyomorsav</w:t>
      </w:r>
      <w:r w:rsidRPr="000E7E81">
        <w:rPr>
          <w:szCs w:val="22"/>
          <w:lang w:val="hu-HU"/>
        </w:rPr>
        <w:t>szekréciót</w:t>
      </w:r>
      <w:r w:rsidR="0096575E" w:rsidRPr="000E7E81">
        <w:rPr>
          <w:szCs w:val="22"/>
          <w:lang w:val="hu-HU"/>
        </w:rPr>
        <w:t xml:space="preserve"> csökkentő gyógyszerekkel végzett kezelés a gastrointestinalis fertőzések – pl. a </w:t>
      </w:r>
      <w:r w:rsidR="0096575E" w:rsidRPr="000E7E81">
        <w:rPr>
          <w:i/>
          <w:iCs/>
          <w:szCs w:val="22"/>
          <w:lang w:val="hu-HU"/>
        </w:rPr>
        <w:t>Salmonella</w:t>
      </w:r>
      <w:r w:rsidR="00470156" w:rsidRPr="000E7E81">
        <w:rPr>
          <w:iCs/>
          <w:szCs w:val="22"/>
          <w:lang w:val="hu-HU"/>
        </w:rPr>
        <w:t>-</w:t>
      </w:r>
      <w:r w:rsidR="0096575E" w:rsidRPr="000E7E81">
        <w:rPr>
          <w:szCs w:val="22"/>
          <w:lang w:val="hu-HU"/>
        </w:rPr>
        <w:t xml:space="preserve"> és a </w:t>
      </w:r>
      <w:r w:rsidR="0096575E" w:rsidRPr="000E7E81">
        <w:rPr>
          <w:i/>
          <w:iCs/>
          <w:szCs w:val="22"/>
          <w:lang w:val="hu-HU"/>
        </w:rPr>
        <w:t>Campylobacter</w:t>
      </w:r>
      <w:r w:rsidR="00470156" w:rsidRPr="000E7E81">
        <w:rPr>
          <w:szCs w:val="22"/>
          <w:lang w:val="hu-HU"/>
        </w:rPr>
        <w:t>-</w:t>
      </w:r>
      <w:r w:rsidR="0096575E" w:rsidRPr="000E7E81">
        <w:rPr>
          <w:szCs w:val="22"/>
          <w:lang w:val="hu-HU"/>
        </w:rPr>
        <w:t>fertőzés</w:t>
      </w:r>
      <w:r w:rsidR="00DD5AD7" w:rsidRPr="000E7E81">
        <w:rPr>
          <w:szCs w:val="22"/>
          <w:lang w:val="hu-HU"/>
        </w:rPr>
        <w:t xml:space="preserve">, továbbá kórházban ápolt betegeknél esetleg a </w:t>
      </w:r>
      <w:r w:rsidR="00DD5AD7" w:rsidRPr="000E7E81">
        <w:rPr>
          <w:rStyle w:val="font4"/>
          <w:i/>
          <w:iCs/>
          <w:szCs w:val="22"/>
          <w:lang w:val="hu-HU"/>
        </w:rPr>
        <w:t>Clostridium difficile</w:t>
      </w:r>
      <w:r w:rsidR="0096575E" w:rsidRPr="000E7E81">
        <w:rPr>
          <w:szCs w:val="22"/>
          <w:lang w:val="hu-HU"/>
        </w:rPr>
        <w:t xml:space="preserve"> </w:t>
      </w:r>
      <w:r w:rsidR="00DD5AD7" w:rsidRPr="000E7E81">
        <w:rPr>
          <w:szCs w:val="22"/>
          <w:lang w:val="hu-HU"/>
        </w:rPr>
        <w:t xml:space="preserve">fertőzés </w:t>
      </w:r>
      <w:r w:rsidR="0096575E" w:rsidRPr="000E7E81">
        <w:rPr>
          <w:szCs w:val="22"/>
          <w:lang w:val="hu-HU"/>
        </w:rPr>
        <w:t>– kockázatának enyhe növekedéséhez vezethet.</w:t>
      </w:r>
    </w:p>
    <w:p w14:paraId="6A2DD6CC" w14:textId="77777777" w:rsidR="00AC105F" w:rsidRPr="000E7E81" w:rsidRDefault="00AC105F">
      <w:pPr>
        <w:tabs>
          <w:tab w:val="left" w:pos="567"/>
        </w:tabs>
        <w:spacing w:after="0"/>
        <w:rPr>
          <w:szCs w:val="22"/>
          <w:lang w:val="hu-HU"/>
        </w:rPr>
      </w:pPr>
    </w:p>
    <w:p w14:paraId="7B964E49" w14:textId="68861C6B" w:rsidR="00DD5AD7" w:rsidRPr="000E7E81" w:rsidRDefault="00DD5AD7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szekréciót gátló gyógyszerekkel végzett kezelés alatt</w:t>
      </w:r>
      <w:r w:rsidR="00470156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a savszekréció csökkenésére adott válaszként</w:t>
      </w:r>
      <w:r w:rsidR="004E0D90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a szérumgasztrinszint emelkedik. A gyomor csökkent aciditása miatt a CgA is emelkedik. A megnövekedett CgA</w:t>
      </w:r>
      <w:r w:rsidR="004E0D90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szint zavarhatja a neuroendokrin tumorok vizsgálatait. A rendelkezésre álló, publikált bizonyítékok arra utalnak, hogy a protonpumpagátlókat a CgA</w:t>
      </w:r>
      <w:r w:rsidR="004E0D90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mérések előtt 5-14 nappal fel kell függeszteni. Ez lehetővé teszi, hogy a PPI</w:t>
      </w:r>
      <w:r w:rsidR="004E0D90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kezelést követően esetleg hamisan emelkedett CgA</w:t>
      </w:r>
      <w:r w:rsidR="004E0D90" w:rsidRPr="000E7E81">
        <w:rPr>
          <w:szCs w:val="22"/>
          <w:lang w:val="hu-HU"/>
        </w:rPr>
        <w:noBreakHyphen/>
      </w:r>
      <w:r w:rsidRPr="000E7E81">
        <w:rPr>
          <w:szCs w:val="22"/>
          <w:lang w:val="hu-HU"/>
        </w:rPr>
        <w:t>szint visszatérjen a referenciatartományba.</w:t>
      </w:r>
      <w:r w:rsidR="006B41A7" w:rsidRPr="000E7E81">
        <w:rPr>
          <w:szCs w:val="22"/>
          <w:lang w:val="hu-HU"/>
        </w:rPr>
        <w:t xml:space="preserve"> Egyes betegek</w:t>
      </w:r>
      <w:r w:rsidR="004E0D90" w:rsidRPr="000E7E81">
        <w:rPr>
          <w:szCs w:val="22"/>
          <w:lang w:val="hu-HU"/>
        </w:rPr>
        <w:t>nél</w:t>
      </w:r>
      <w:r w:rsidR="006B41A7" w:rsidRPr="000E7E81">
        <w:rPr>
          <w:szCs w:val="22"/>
          <w:lang w:val="hu-HU"/>
        </w:rPr>
        <w:t xml:space="preserve"> (mind gyermekek, mind felnőttek) az omeprazollal végzett hosszú távú kezelés során a megnövekedett szérumgas</w:t>
      </w:r>
      <w:r w:rsidR="007735BF" w:rsidRPr="000E7E81">
        <w:rPr>
          <w:szCs w:val="22"/>
          <w:lang w:val="hu-HU"/>
        </w:rPr>
        <w:t>z</w:t>
      </w:r>
      <w:r w:rsidR="006B41A7" w:rsidRPr="000E7E81">
        <w:rPr>
          <w:szCs w:val="22"/>
          <w:lang w:val="hu-HU"/>
        </w:rPr>
        <w:t>trinszintekhez köthető megnövekedett számú ECL-sejt figyelhető meg.</w:t>
      </w:r>
    </w:p>
    <w:p w14:paraId="5046423A" w14:textId="77777777" w:rsidR="00DD5AD7" w:rsidRPr="000E7E81" w:rsidRDefault="00DD5AD7">
      <w:pPr>
        <w:tabs>
          <w:tab w:val="left" w:pos="567"/>
        </w:tabs>
        <w:spacing w:after="0"/>
        <w:rPr>
          <w:szCs w:val="22"/>
          <w:lang w:val="hu-HU"/>
        </w:rPr>
      </w:pPr>
    </w:p>
    <w:p w14:paraId="326780B7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5.2</w:t>
      </w:r>
      <w:r w:rsidRPr="000E7E81">
        <w:rPr>
          <w:lang w:val="hu-HU"/>
        </w:rPr>
        <w:tab/>
      </w:r>
      <w:r w:rsidR="00DB28FB" w:rsidRPr="000E7E81">
        <w:rPr>
          <w:lang w:val="hu-HU"/>
        </w:rPr>
        <w:t>Farmakokinetikai tulajdonságok</w:t>
      </w:r>
    </w:p>
    <w:p w14:paraId="47C1B78F" w14:textId="77777777" w:rsidR="0040300E" w:rsidRPr="000E7E81" w:rsidRDefault="0040300E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6DABC2F0" w14:textId="77777777" w:rsidR="00D63813" w:rsidRPr="000E7E81" w:rsidRDefault="00D63813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Eloszlás</w:t>
      </w:r>
    </w:p>
    <w:p w14:paraId="716250CB" w14:textId="7BFD2A81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látszólagos eloszlási térfogata egészséges egyének</w:t>
      </w:r>
      <w:r w:rsidR="00AA5C29" w:rsidRPr="000E7E81">
        <w:rPr>
          <w:szCs w:val="22"/>
          <w:lang w:val="hu-HU"/>
        </w:rPr>
        <w:t>nél</w:t>
      </w:r>
      <w:r w:rsidRPr="000E7E81">
        <w:rPr>
          <w:szCs w:val="22"/>
          <w:lang w:val="hu-HU"/>
        </w:rPr>
        <w:t xml:space="preserve"> körülbelül 0,3 l/ttkg. Az omeprazol 97%</w:t>
      </w:r>
      <w:r w:rsidRPr="000E7E81">
        <w:rPr>
          <w:szCs w:val="22"/>
          <w:lang w:val="hu-HU"/>
        </w:rPr>
        <w:noBreakHyphen/>
        <w:t>ban kötődik a plazmafehérjékhez.</w:t>
      </w:r>
    </w:p>
    <w:p w14:paraId="63C27341" w14:textId="77777777" w:rsidR="00AC105F" w:rsidRPr="000E7E81" w:rsidRDefault="00AC105F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</w:p>
    <w:p w14:paraId="35CC7A07" w14:textId="77777777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Biotranszformáció</w:t>
      </w:r>
    </w:p>
    <w:p w14:paraId="00722A3A" w14:textId="2E602975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teljes mértékben metabolizálódik a citokróm P450</w:t>
      </w:r>
      <w:r w:rsidR="00AA5C29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rendszeren (CYP) keresztül. </w:t>
      </w:r>
      <w:r w:rsidR="007735BF" w:rsidRPr="000E7E81">
        <w:rPr>
          <w:szCs w:val="22"/>
          <w:lang w:val="hu-HU"/>
        </w:rPr>
        <w:t>Metabolizmusának fő része, a plazma fő metabolitjának, a hidroxi-omeprazol kialakulásáért felelős, polimorf</w:t>
      </w:r>
      <w:r w:rsidR="00AA5C29" w:rsidRPr="000E7E81">
        <w:rPr>
          <w:szCs w:val="22"/>
          <w:lang w:val="hu-HU"/>
        </w:rPr>
        <w:t xml:space="preserve"> módon kifejeződő</w:t>
      </w:r>
      <w:r w:rsidR="007735BF" w:rsidRPr="000E7E81">
        <w:rPr>
          <w:szCs w:val="22"/>
          <w:lang w:val="hu-HU"/>
        </w:rPr>
        <w:t xml:space="preserve"> CYP2C19 enzimtől függ</w:t>
      </w:r>
      <w:r w:rsidRPr="000E7E81">
        <w:rPr>
          <w:szCs w:val="22"/>
          <w:lang w:val="hu-HU"/>
        </w:rPr>
        <w:t xml:space="preserve">. A </w:t>
      </w:r>
      <w:r w:rsidR="007735BF" w:rsidRPr="000E7E81">
        <w:rPr>
          <w:szCs w:val="22"/>
          <w:lang w:val="hu-HU"/>
        </w:rPr>
        <w:t xml:space="preserve">fennmaradó </w:t>
      </w:r>
      <w:r w:rsidRPr="000E7E81">
        <w:rPr>
          <w:szCs w:val="22"/>
          <w:lang w:val="hu-HU"/>
        </w:rPr>
        <w:t>rész</w:t>
      </w:r>
      <w:r w:rsidR="007735BF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egy másik specifikus izoformát</w:t>
      </w:r>
      <w:r w:rsidR="00AA5C29" w:rsidRPr="000E7E81">
        <w:rPr>
          <w:szCs w:val="22"/>
          <w:lang w:val="hu-HU"/>
        </w:rPr>
        <w:t>ól</w:t>
      </w:r>
      <w:r w:rsidR="007735BF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az omeprazol-szulfon kialakulásáért felelős CYP3A4</w:t>
      </w:r>
      <w:r w:rsidR="00AA5C29" w:rsidRPr="000E7E81">
        <w:rPr>
          <w:szCs w:val="22"/>
          <w:lang w:val="hu-HU"/>
        </w:rPr>
        <w:t>-től függ</w:t>
      </w:r>
      <w:r w:rsidRPr="000E7E81">
        <w:rPr>
          <w:szCs w:val="22"/>
          <w:lang w:val="hu-HU"/>
        </w:rPr>
        <w:t xml:space="preserve">. Az omeprazolnak a CYP2C19 iránti nagy affinitása következtében fennáll a kompetitív gátlás lehetősége, valamint a </w:t>
      </w:r>
      <w:bookmarkStart w:id="3" w:name="Farmakológia"/>
      <w:r w:rsidRPr="000E7E81">
        <w:rPr>
          <w:szCs w:val="22"/>
          <w:lang w:val="hu-HU"/>
        </w:rPr>
        <w:t>CYP2C19 egyéb szubsztrátjaival való metabolikus gyógyszer-gyógyszer kölcsönhatások lehetősége</w:t>
      </w:r>
      <w:bookmarkEnd w:id="3"/>
      <w:r w:rsidRPr="000E7E81">
        <w:rPr>
          <w:szCs w:val="22"/>
          <w:lang w:val="hu-HU"/>
        </w:rPr>
        <w:t xml:space="preserve">. </w:t>
      </w:r>
      <w:r w:rsidRPr="000E7E81">
        <w:rPr>
          <w:szCs w:val="22"/>
          <w:lang w:val="hu-HU"/>
        </w:rPr>
        <w:lastRenderedPageBreak/>
        <w:t xml:space="preserve">A CYP3A4 iránti alacsony affinitás miatt azonban az omeprazol nem képes gátolni a CYP3A4 egyéb szubsztrátjainak metabolizációját. Emellett az omeprazolnak nincs gátló hatása a </w:t>
      </w:r>
      <w:r w:rsidR="007735BF" w:rsidRPr="000E7E81">
        <w:rPr>
          <w:szCs w:val="22"/>
          <w:lang w:val="hu-HU"/>
        </w:rPr>
        <w:t xml:space="preserve">legfontosabb </w:t>
      </w:r>
      <w:r w:rsidRPr="000E7E81">
        <w:rPr>
          <w:szCs w:val="22"/>
          <w:lang w:val="hu-HU"/>
        </w:rPr>
        <w:t>CYP</w:t>
      </w:r>
      <w:r w:rsidR="00B96CA7" w:rsidRPr="000E7E81">
        <w:rPr>
          <w:szCs w:val="22"/>
          <w:lang w:val="hu-HU"/>
        </w:rPr>
        <w:t> </w:t>
      </w:r>
      <w:r w:rsidRPr="000E7E81">
        <w:rPr>
          <w:szCs w:val="22"/>
          <w:lang w:val="hu-HU"/>
        </w:rPr>
        <w:t>enzimekre</w:t>
      </w:r>
      <w:r w:rsidR="00F7154A" w:rsidRPr="000E7E81">
        <w:rPr>
          <w:szCs w:val="22"/>
          <w:lang w:val="hu-HU"/>
        </w:rPr>
        <w:t xml:space="preserve"> sem</w:t>
      </w:r>
      <w:r w:rsidRPr="000E7E81">
        <w:rPr>
          <w:szCs w:val="22"/>
          <w:lang w:val="hu-HU"/>
        </w:rPr>
        <w:t>.</w:t>
      </w:r>
    </w:p>
    <w:p w14:paraId="36CA91B8" w14:textId="77777777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1444FE7D" w14:textId="3A232FF7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kaukázusi populáció kb. 3</w:t>
      </w:r>
      <w:r w:rsidR="007735BF" w:rsidRPr="000E7E81">
        <w:rPr>
          <w:szCs w:val="22"/>
          <w:lang w:val="hu-HU"/>
        </w:rPr>
        <w:t>%-</w:t>
      </w:r>
      <w:r w:rsidRPr="000E7E81">
        <w:rPr>
          <w:szCs w:val="22"/>
          <w:lang w:val="hu-HU"/>
        </w:rPr>
        <w:t>ánál és az ázsiai populáció 15</w:t>
      </w:r>
      <w:r w:rsidR="007735BF" w:rsidRPr="000E7E81">
        <w:rPr>
          <w:szCs w:val="22"/>
          <w:lang w:val="hu-HU"/>
        </w:rPr>
        <w:t>–</w:t>
      </w:r>
      <w:r w:rsidRPr="000E7E81">
        <w:rPr>
          <w:szCs w:val="22"/>
          <w:lang w:val="hu-HU"/>
        </w:rPr>
        <w:t>20</w:t>
      </w:r>
      <w:r w:rsidR="007735BF" w:rsidRPr="000E7E81">
        <w:rPr>
          <w:szCs w:val="22"/>
          <w:lang w:val="hu-HU"/>
        </w:rPr>
        <w:t>%-</w:t>
      </w:r>
      <w:r w:rsidRPr="000E7E81">
        <w:rPr>
          <w:szCs w:val="22"/>
          <w:lang w:val="hu-HU"/>
        </w:rPr>
        <w:t>ánál hiányzik a funkcionális CYP2C19 enzim, és ezért őket lassú metabolizálóknak nevezik. Ezeknél az egyéneknél az omeprazol metabolizációjának fő katalizátora valószínűleg a CYP3A4. Napi egyszeri 20 mg omeprazol ismételt beadása után az átlag AUC</w:t>
      </w:r>
      <w:r w:rsidR="00B96CA7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érték a gyengén metabolizálókban 5</w:t>
      </w:r>
      <w:r w:rsidR="007735BF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10</w:t>
      </w:r>
      <w:r w:rsidRPr="000E7E81">
        <w:rPr>
          <w:szCs w:val="22"/>
          <w:lang w:val="hu-HU"/>
        </w:rPr>
        <w:noBreakHyphen/>
        <w:t>szer volt magasabb, mint a funkcionál</w:t>
      </w:r>
      <w:r w:rsidR="005519F1" w:rsidRPr="000E7E81">
        <w:rPr>
          <w:szCs w:val="22"/>
          <w:lang w:val="hu-HU"/>
        </w:rPr>
        <w:t>ó</w:t>
      </w:r>
      <w:r w:rsidRPr="000E7E81">
        <w:rPr>
          <w:szCs w:val="22"/>
          <w:lang w:val="hu-HU"/>
        </w:rPr>
        <w:t xml:space="preserve"> CYP2C19 enzimmel rendelkezők (gyors metabolizálók) körében. </w:t>
      </w:r>
      <w:r w:rsidR="005519F1" w:rsidRPr="000E7E81">
        <w:rPr>
          <w:szCs w:val="22"/>
          <w:lang w:val="hu-HU"/>
        </w:rPr>
        <w:t>Az átlagos csúcs-plazmakoncentrációk is mintegy 3-5-szörösére növekedtek</w:t>
      </w:r>
      <w:r w:rsidRPr="000E7E81">
        <w:rPr>
          <w:szCs w:val="22"/>
          <w:lang w:val="hu-HU"/>
        </w:rPr>
        <w:t>. Ezek a megállapítások nem befolyásolják az omeprazol adagolását.</w:t>
      </w:r>
    </w:p>
    <w:p w14:paraId="35E3BAA8" w14:textId="77777777" w:rsidR="00D63813" w:rsidRPr="000E7E81" w:rsidRDefault="00D63813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7C7C902D" w14:textId="77777777" w:rsidR="00D63813" w:rsidRPr="000E7E81" w:rsidRDefault="00D63813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u w:val="single"/>
          <w:lang w:val="hu-HU"/>
        </w:rPr>
        <w:t>Elimináció</w:t>
      </w:r>
    </w:p>
    <w:p w14:paraId="51B403AF" w14:textId="77777777" w:rsidR="0043225B" w:rsidRPr="000E7E81" w:rsidRDefault="0043225B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1FE3BCD" w14:textId="7120A121" w:rsidR="00D63813" w:rsidRPr="000E7E81" w:rsidRDefault="0043225B">
      <w:pPr>
        <w:keepNext/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teljes plazma-clearance körülbelül 30-40 l/h egyszeri adag után. Az omeprazol eliminációs f</w:t>
      </w:r>
      <w:r w:rsidR="00B96CA7" w:rsidRPr="000E7E81">
        <w:rPr>
          <w:szCs w:val="22"/>
          <w:lang w:val="hu-HU"/>
        </w:rPr>
        <w:t xml:space="preserve">elezési </w:t>
      </w:r>
      <w:r w:rsidRPr="000E7E81">
        <w:rPr>
          <w:szCs w:val="22"/>
          <w:lang w:val="hu-HU"/>
        </w:rPr>
        <w:t xml:space="preserve">ideje </w:t>
      </w:r>
      <w:r w:rsidR="00B96CA7" w:rsidRPr="000E7E81">
        <w:rPr>
          <w:szCs w:val="22"/>
          <w:lang w:val="hu-HU"/>
        </w:rPr>
        <w:t xml:space="preserve">a plazmában </w:t>
      </w:r>
      <w:r w:rsidRPr="000E7E81">
        <w:rPr>
          <w:szCs w:val="22"/>
          <w:lang w:val="hu-HU"/>
        </w:rPr>
        <w:t>rendszerint kevesebb mint egy óra</w:t>
      </w:r>
      <w:r w:rsidR="00B96CA7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mind egyszeri, mind napi egyszeri ismételt </w:t>
      </w:r>
      <w:r w:rsidRPr="000E7E81">
        <w:rPr>
          <w:i/>
          <w:iCs/>
          <w:szCs w:val="22"/>
          <w:lang w:val="hu-HU"/>
        </w:rPr>
        <w:t>per os</w:t>
      </w:r>
      <w:r w:rsidRPr="000E7E81">
        <w:rPr>
          <w:szCs w:val="22"/>
          <w:lang w:val="hu-HU"/>
        </w:rPr>
        <w:t xml:space="preserve"> adagolást követően</w:t>
      </w:r>
      <w:r w:rsidR="00D63813" w:rsidRPr="000E7E81">
        <w:rPr>
          <w:szCs w:val="22"/>
          <w:lang w:val="hu-HU"/>
        </w:rPr>
        <w:t xml:space="preserve">. Az omeprazol az egyes beadások között teljesen kiválasztódik a plazmából, így a napi egyszeri alkalmazás folyamán nem mutat akkumulációs tendenciát. Az omeprazol </w:t>
      </w:r>
      <w:r w:rsidR="00D63813" w:rsidRPr="000E7E81">
        <w:rPr>
          <w:iCs/>
          <w:szCs w:val="22"/>
          <w:lang w:val="hu-HU"/>
        </w:rPr>
        <w:t>orális</w:t>
      </w:r>
      <w:r w:rsidR="00D63813" w:rsidRPr="000E7E81">
        <w:rPr>
          <w:i/>
          <w:szCs w:val="22"/>
          <w:lang w:val="hu-HU"/>
        </w:rPr>
        <w:t xml:space="preserve"> </w:t>
      </w:r>
      <w:r w:rsidR="00D63813" w:rsidRPr="000E7E81">
        <w:rPr>
          <w:szCs w:val="22"/>
          <w:lang w:val="hu-HU"/>
        </w:rPr>
        <w:t>dózisának csaknem 80%</w:t>
      </w:r>
      <w:r w:rsidR="00D63813" w:rsidRPr="000E7E81">
        <w:rPr>
          <w:szCs w:val="22"/>
          <w:lang w:val="hu-HU"/>
        </w:rPr>
        <w:noBreakHyphen/>
        <w:t>a metabolitok formájában a vizelettel választódik ki, a maradék elsősorban epekiválasztás útján a széklettel ürül.</w:t>
      </w:r>
    </w:p>
    <w:p w14:paraId="1148D82E" w14:textId="77777777" w:rsidR="00AC105F" w:rsidRPr="000E7E81" w:rsidRDefault="00AC105F">
      <w:pPr>
        <w:pStyle w:val="NormlWeb"/>
        <w:spacing w:before="0" w:beforeAutospacing="0" w:after="0" w:afterAutospacing="0"/>
        <w:rPr>
          <w:rStyle w:val="font2"/>
          <w:b/>
          <w:bCs/>
          <w:sz w:val="22"/>
          <w:szCs w:val="22"/>
          <w:lang w:val="hu-HU" w:eastAsia="en-GB"/>
        </w:rPr>
      </w:pPr>
    </w:p>
    <w:p w14:paraId="329A12BD" w14:textId="77777777" w:rsidR="00AC105F" w:rsidRPr="000E7E81" w:rsidRDefault="00D63813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noProof/>
          <w:sz w:val="22"/>
          <w:szCs w:val="22"/>
          <w:u w:val="single"/>
          <w:lang w:val="hu-HU"/>
        </w:rPr>
        <w:t>Linearitás/nem-linearitás</w:t>
      </w:r>
    </w:p>
    <w:p w14:paraId="5BCDA5B7" w14:textId="0BD25A4A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AUC</w:t>
      </w:r>
      <w:r w:rsidR="00B96CA7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értéke az ismételt alkalmazás során növekszik. Ez a növekedés</w:t>
      </w:r>
      <w:r w:rsidRPr="000E7E81" w:rsidDel="00565AE6">
        <w:rPr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>ismételt adagolás után dózisfüggő és nem lineáris dózis-AUC kapcsolatot eredményez. Az idő- és dózisfüggés oka a first pass metabolizáció (a májon való első áthaladás során történt metabolizáció) és a szisztémás clearance-érték csökkenése, amit valószínűleg az omeprazol</w:t>
      </w:r>
      <w:r w:rsidR="00B96CA7" w:rsidRPr="000E7E81">
        <w:rPr>
          <w:szCs w:val="22"/>
          <w:lang w:val="hu-HU"/>
        </w:rPr>
        <w:t>,</w:t>
      </w:r>
      <w:r w:rsidRPr="000E7E81">
        <w:rPr>
          <w:szCs w:val="22"/>
          <w:lang w:val="hu-HU"/>
        </w:rPr>
        <w:t xml:space="preserve"> illetve metabolitjai (pl. szulfon) általi CYP2C19</w:t>
      </w:r>
      <w:r w:rsidRPr="000E7E81">
        <w:rPr>
          <w:szCs w:val="22"/>
          <w:lang w:val="hu-HU"/>
        </w:rPr>
        <w:noBreakHyphen/>
        <w:t>gátlás okoz.</w:t>
      </w:r>
    </w:p>
    <w:p w14:paraId="7B5B3B23" w14:textId="1FDE808F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metabolitok nincsenek hatással a gyomorsav</w:t>
      </w:r>
      <w:r w:rsidR="00B96CA7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szekrécióra.</w:t>
      </w:r>
    </w:p>
    <w:p w14:paraId="75F8AFDD" w14:textId="77777777" w:rsidR="00AC105F" w:rsidRPr="000E7E81" w:rsidRDefault="00AC105F">
      <w:pPr>
        <w:pStyle w:val="NormlWeb"/>
        <w:spacing w:before="0" w:beforeAutospacing="0" w:after="0" w:afterAutospacing="0"/>
        <w:rPr>
          <w:rStyle w:val="font4"/>
          <w:sz w:val="22"/>
          <w:szCs w:val="22"/>
          <w:u w:val="single"/>
          <w:lang w:val="hu-HU" w:eastAsia="en-GB"/>
        </w:rPr>
      </w:pPr>
    </w:p>
    <w:p w14:paraId="607F9EC1" w14:textId="77777777" w:rsidR="00AC105F" w:rsidRPr="000E7E81" w:rsidRDefault="0043225B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u w:val="single"/>
          <w:lang w:val="hu-HU"/>
        </w:rPr>
        <w:t>Különle</w:t>
      </w:r>
      <w:r w:rsidR="00DB50A9" w:rsidRPr="000E7E81">
        <w:rPr>
          <w:rStyle w:val="font4"/>
          <w:sz w:val="22"/>
          <w:szCs w:val="22"/>
          <w:u w:val="single"/>
          <w:lang w:val="hu-HU"/>
        </w:rPr>
        <w:t xml:space="preserve">ges </w:t>
      </w:r>
      <w:r w:rsidR="00293E0F" w:rsidRPr="000E7E81">
        <w:rPr>
          <w:rStyle w:val="font4"/>
          <w:sz w:val="22"/>
          <w:szCs w:val="22"/>
          <w:u w:val="single"/>
          <w:lang w:val="hu-HU"/>
        </w:rPr>
        <w:t>betegcsoportok</w:t>
      </w:r>
    </w:p>
    <w:p w14:paraId="1AFA3A7E" w14:textId="77777777" w:rsidR="00AC105F" w:rsidRPr="000E7E81" w:rsidRDefault="00AC105F">
      <w:pPr>
        <w:pStyle w:val="NormlWeb"/>
        <w:spacing w:before="0" w:beforeAutospacing="0" w:after="0" w:afterAutospacing="0"/>
        <w:rPr>
          <w:rStyle w:val="font4"/>
          <w:i/>
          <w:iCs/>
          <w:sz w:val="22"/>
          <w:szCs w:val="22"/>
          <w:u w:val="single"/>
          <w:lang w:val="hu-HU" w:eastAsia="en-GB"/>
        </w:rPr>
      </w:pPr>
    </w:p>
    <w:p w14:paraId="0CA2A83A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Májkárosodás</w:t>
      </w:r>
    </w:p>
    <w:p w14:paraId="571C723D" w14:textId="35F69FDA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Májkárosodásban szenvedő betegeknél az omeprazol metabolizációja csökken, ami az AUC</w:t>
      </w:r>
      <w:r w:rsidR="00B96CA7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érték növekedését eredményezi. A napi egyszeri dózis esetében az omeprazol nem mutatott akkumulációs tendenciát.</w:t>
      </w:r>
    </w:p>
    <w:p w14:paraId="79577EB3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2CA4927D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Vesekárosodás</w:t>
      </w:r>
    </w:p>
    <w:p w14:paraId="409489D2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Az omeprazol farmakokinetikája, beleértve a szisztémás biohasznosulást és az eliminációs sebességet, változatlan a károsodott veseműködésű betegeknél. </w:t>
      </w:r>
    </w:p>
    <w:p w14:paraId="1D7810E9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222D8965" w14:textId="77777777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i/>
          <w:szCs w:val="22"/>
          <w:lang w:val="hu-HU"/>
        </w:rPr>
        <w:t>Idősek</w:t>
      </w:r>
    </w:p>
    <w:p w14:paraId="47FCBDDC" w14:textId="515F46FC" w:rsidR="00293E0F" w:rsidRPr="000E7E81" w:rsidRDefault="00293E0F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 metaboliz</w:t>
      </w:r>
      <w:r w:rsidR="00F01171" w:rsidRPr="000E7E81">
        <w:rPr>
          <w:szCs w:val="22"/>
          <w:lang w:val="hu-HU"/>
        </w:rPr>
        <w:t>musa</w:t>
      </w:r>
      <w:r w:rsidRPr="000E7E81">
        <w:rPr>
          <w:szCs w:val="22"/>
          <w:lang w:val="hu-HU"/>
        </w:rPr>
        <w:t xml:space="preserve"> </w:t>
      </w:r>
      <w:r w:rsidR="00B96CA7" w:rsidRPr="000E7E81">
        <w:rPr>
          <w:szCs w:val="22"/>
          <w:lang w:val="hu-HU"/>
        </w:rPr>
        <w:t xml:space="preserve">kissé </w:t>
      </w:r>
      <w:r w:rsidRPr="000E7E81">
        <w:rPr>
          <w:szCs w:val="22"/>
          <w:lang w:val="hu-HU"/>
        </w:rPr>
        <w:t>csökken az idős (75</w:t>
      </w:r>
      <w:r w:rsidR="00F01171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79 éves) betegek esetében.</w:t>
      </w:r>
    </w:p>
    <w:p w14:paraId="460C766A" w14:textId="77777777" w:rsidR="00AC105F" w:rsidRPr="000E7E81" w:rsidRDefault="00AC105F">
      <w:pPr>
        <w:tabs>
          <w:tab w:val="left" w:pos="567"/>
        </w:tabs>
        <w:spacing w:after="0"/>
        <w:rPr>
          <w:bCs/>
          <w:szCs w:val="22"/>
          <w:lang w:val="hu-HU"/>
        </w:rPr>
      </w:pPr>
    </w:p>
    <w:p w14:paraId="6727A403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5.3</w:t>
      </w:r>
      <w:r w:rsidRPr="000E7E81">
        <w:rPr>
          <w:lang w:val="hu-HU"/>
        </w:rPr>
        <w:tab/>
      </w:r>
      <w:r w:rsidR="00BE02DA" w:rsidRPr="000E7E81">
        <w:rPr>
          <w:lang w:val="hu-HU"/>
        </w:rPr>
        <w:t>A preklinikai biztonságossági vizsgálatok eredményei</w:t>
      </w:r>
    </w:p>
    <w:p w14:paraId="76CBE951" w14:textId="77777777" w:rsidR="0040300E" w:rsidRPr="000E7E81" w:rsidRDefault="0040300E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07C2CDA7" w14:textId="7A8F48EF" w:rsidR="00663EE2" w:rsidRPr="000E7E81" w:rsidRDefault="00663EE2" w:rsidP="000E7E81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Az omeprazollal kezelt patkányok élethosszig tartó vizsgálataiban a gyomor ECL-sejtjeinek hyperplasiáját és gyomor</w:t>
      </w:r>
      <w:r w:rsidR="00B96CA7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carcinoidokat figyeltek meg. Ezen változások a gyomorsav-elválasztás gátlása miatt másodlagosan fennálló tartós hypergastrinaemia következményei. Hasonló eredményeket mutattak ki a H</w:t>
      </w:r>
      <w:r w:rsidRPr="000E7E81">
        <w:rPr>
          <w:szCs w:val="22"/>
          <w:vertAlign w:val="subscript"/>
          <w:lang w:val="hu-HU"/>
        </w:rPr>
        <w:t>2</w:t>
      </w:r>
      <w:r w:rsidRPr="000E7E81">
        <w:rPr>
          <w:szCs w:val="22"/>
          <w:lang w:val="hu-HU"/>
        </w:rPr>
        <w:noBreakHyphen/>
        <w:t>receptor</w:t>
      </w:r>
      <w:r w:rsidR="006B1AC6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antagonistáival vagy a protonpumpagátlókkal történő kezelések és a részleges fundectomia után is. A fenti változások tehát nem tekinthetők valamelyik hatóanyag közvetlen hatásának.</w:t>
      </w:r>
    </w:p>
    <w:p w14:paraId="575831A5" w14:textId="77777777" w:rsidR="005504B1" w:rsidRPr="000E7E81" w:rsidRDefault="005504B1">
      <w:pPr>
        <w:tabs>
          <w:tab w:val="left" w:pos="567"/>
        </w:tabs>
        <w:spacing w:after="0"/>
        <w:rPr>
          <w:szCs w:val="22"/>
          <w:lang w:val="hu-HU"/>
        </w:rPr>
      </w:pPr>
    </w:p>
    <w:p w14:paraId="6D7566B3" w14:textId="77777777" w:rsidR="002140C9" w:rsidRPr="000E7E81" w:rsidRDefault="002140C9">
      <w:pPr>
        <w:tabs>
          <w:tab w:val="left" w:pos="567"/>
        </w:tabs>
        <w:spacing w:after="0"/>
        <w:rPr>
          <w:szCs w:val="22"/>
          <w:lang w:val="hu-HU"/>
        </w:rPr>
      </w:pPr>
    </w:p>
    <w:p w14:paraId="4BF1C01C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lastRenderedPageBreak/>
        <w:t>6.</w:t>
      </w:r>
      <w:r w:rsidRPr="000E7E81">
        <w:rPr>
          <w:lang w:val="hu-HU"/>
        </w:rPr>
        <w:tab/>
      </w:r>
      <w:r w:rsidR="00F01171" w:rsidRPr="000E7E81">
        <w:rPr>
          <w:lang w:val="hu-HU"/>
        </w:rPr>
        <w:t>GYÓGYSZERÉSZETI JELLEMZŐK</w:t>
      </w:r>
    </w:p>
    <w:p w14:paraId="1463DF58" w14:textId="77777777" w:rsidR="0040300E" w:rsidRPr="000E7E81" w:rsidRDefault="0040300E" w:rsidP="00B10F22">
      <w:pPr>
        <w:keepNext/>
        <w:tabs>
          <w:tab w:val="left" w:pos="567"/>
        </w:tabs>
        <w:spacing w:after="0"/>
        <w:rPr>
          <w:szCs w:val="22"/>
          <w:lang w:val="hu-HU"/>
        </w:rPr>
      </w:pPr>
    </w:p>
    <w:p w14:paraId="567BFF65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6.1</w:t>
      </w:r>
      <w:r w:rsidRPr="000E7E81">
        <w:rPr>
          <w:lang w:val="hu-HU"/>
        </w:rPr>
        <w:tab/>
      </w:r>
      <w:r w:rsidR="005A7D8A" w:rsidRPr="000E7E81">
        <w:rPr>
          <w:lang w:val="hu-HU"/>
        </w:rPr>
        <w:t>Segédanyagok felsorolása</w:t>
      </w:r>
    </w:p>
    <w:p w14:paraId="6E01AA05" w14:textId="77777777" w:rsidR="0040300E" w:rsidRPr="000E7E81" w:rsidRDefault="0040300E" w:rsidP="00B10F22">
      <w:pPr>
        <w:keepNext/>
        <w:tabs>
          <w:tab w:val="left" w:pos="567"/>
        </w:tabs>
        <w:spacing w:after="0"/>
        <w:rPr>
          <w:szCs w:val="22"/>
          <w:lang w:val="hu-HU"/>
        </w:rPr>
      </w:pPr>
    </w:p>
    <w:p w14:paraId="50E463F9" w14:textId="3E887AA4" w:rsidR="009A0C1A" w:rsidRPr="000E7E81" w:rsidRDefault="009A0C1A" w:rsidP="000E7E81">
      <w:pPr>
        <w:tabs>
          <w:tab w:val="left" w:pos="567"/>
        </w:tabs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Di</w:t>
      </w:r>
      <w:r w:rsidR="001953EC" w:rsidRPr="000E7E81">
        <w:rPr>
          <w:szCs w:val="22"/>
          <w:lang w:val="hu-HU" w:eastAsia="en-US"/>
        </w:rPr>
        <w:t>nátrium-</w:t>
      </w:r>
      <w:r w:rsidRPr="000E7E81">
        <w:rPr>
          <w:szCs w:val="22"/>
          <w:lang w:val="hu-HU" w:eastAsia="en-US"/>
        </w:rPr>
        <w:t>edet</w:t>
      </w:r>
      <w:r w:rsidR="001953EC" w:rsidRPr="000E7E81">
        <w:rPr>
          <w:szCs w:val="22"/>
          <w:lang w:val="hu-HU" w:eastAsia="en-US"/>
        </w:rPr>
        <w:t>át</w:t>
      </w:r>
      <w:r w:rsidR="00585D14">
        <w:rPr>
          <w:szCs w:val="22"/>
          <w:lang w:val="hu-HU" w:eastAsia="en-US"/>
        </w:rPr>
        <w:t>,</w:t>
      </w:r>
    </w:p>
    <w:p w14:paraId="64DC1F7F" w14:textId="0876C351" w:rsidR="009861FF" w:rsidRPr="000E7E81" w:rsidRDefault="00585D14">
      <w:pPr>
        <w:tabs>
          <w:tab w:val="left" w:pos="567"/>
        </w:tabs>
        <w:spacing w:after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n</w:t>
      </w:r>
      <w:r w:rsidR="00482555" w:rsidRPr="000E7E81">
        <w:rPr>
          <w:szCs w:val="22"/>
          <w:lang w:val="hu-HU" w:eastAsia="en-US"/>
        </w:rPr>
        <w:t>átrium-</w:t>
      </w:r>
      <w:r w:rsidR="009A0C1A" w:rsidRPr="000E7E81">
        <w:rPr>
          <w:szCs w:val="22"/>
          <w:lang w:val="hu-HU" w:eastAsia="en-US"/>
        </w:rPr>
        <w:t>h</w:t>
      </w:r>
      <w:r w:rsidR="00482555" w:rsidRPr="000E7E81">
        <w:rPr>
          <w:szCs w:val="22"/>
          <w:lang w:val="hu-HU" w:eastAsia="en-US"/>
        </w:rPr>
        <w:t>i</w:t>
      </w:r>
      <w:r w:rsidR="009A0C1A" w:rsidRPr="000E7E81">
        <w:rPr>
          <w:szCs w:val="22"/>
          <w:lang w:val="hu-HU" w:eastAsia="en-US"/>
        </w:rPr>
        <w:t>droxid (</w:t>
      </w:r>
      <w:r w:rsidR="00482555" w:rsidRPr="000E7E81">
        <w:rPr>
          <w:szCs w:val="22"/>
          <w:lang w:val="hu-HU" w:eastAsia="en-US"/>
        </w:rPr>
        <w:t xml:space="preserve">a </w:t>
      </w:r>
      <w:r w:rsidR="009A0C1A" w:rsidRPr="000E7E81">
        <w:rPr>
          <w:szCs w:val="22"/>
          <w:lang w:val="hu-HU" w:eastAsia="en-US"/>
        </w:rPr>
        <w:t xml:space="preserve">pH </w:t>
      </w:r>
      <w:r w:rsidR="00482555" w:rsidRPr="000E7E81">
        <w:rPr>
          <w:szCs w:val="22"/>
          <w:lang w:val="hu-HU" w:eastAsia="en-US"/>
        </w:rPr>
        <w:t>beállításához</w:t>
      </w:r>
      <w:r w:rsidR="009A0C1A" w:rsidRPr="000E7E81">
        <w:rPr>
          <w:szCs w:val="22"/>
          <w:lang w:val="hu-HU" w:eastAsia="en-US"/>
        </w:rPr>
        <w:t>)</w:t>
      </w:r>
      <w:r>
        <w:rPr>
          <w:szCs w:val="22"/>
          <w:lang w:val="hu-HU" w:eastAsia="en-US"/>
        </w:rPr>
        <w:t>.</w:t>
      </w:r>
    </w:p>
    <w:p w14:paraId="6BB13562" w14:textId="77777777" w:rsidR="009A0C1A" w:rsidRPr="000E7E81" w:rsidRDefault="009A0C1A">
      <w:pPr>
        <w:tabs>
          <w:tab w:val="left" w:pos="567"/>
        </w:tabs>
        <w:spacing w:after="0"/>
        <w:rPr>
          <w:szCs w:val="22"/>
          <w:lang w:val="hu-HU"/>
        </w:rPr>
      </w:pPr>
    </w:p>
    <w:p w14:paraId="0859E02C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6.2</w:t>
      </w:r>
      <w:r w:rsidRPr="000E7E81">
        <w:rPr>
          <w:lang w:val="hu-HU"/>
        </w:rPr>
        <w:tab/>
      </w:r>
      <w:r w:rsidR="00482555" w:rsidRPr="000E7E81">
        <w:rPr>
          <w:lang w:val="hu-HU"/>
        </w:rPr>
        <w:t>Inkompatibilitások</w:t>
      </w:r>
    </w:p>
    <w:p w14:paraId="7AF9BD4A" w14:textId="77777777" w:rsidR="0040300E" w:rsidRPr="000E7E81" w:rsidRDefault="0040300E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59DFC0C2" w14:textId="42C2929D" w:rsidR="009A0C1A" w:rsidRPr="000E7E81" w:rsidRDefault="00482555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Ez a </w:t>
      </w:r>
      <w:r w:rsidR="00195492" w:rsidRPr="000E7E81">
        <w:rPr>
          <w:szCs w:val="22"/>
          <w:lang w:val="hu-HU"/>
        </w:rPr>
        <w:t xml:space="preserve">gyógyszer kizárólag </w:t>
      </w:r>
      <w:r w:rsidRPr="000E7E81">
        <w:rPr>
          <w:szCs w:val="22"/>
          <w:lang w:val="hu-HU"/>
        </w:rPr>
        <w:t xml:space="preserve">a 6.6 pontban </w:t>
      </w:r>
      <w:r w:rsidR="00195492" w:rsidRPr="000E7E81">
        <w:rPr>
          <w:szCs w:val="22"/>
          <w:lang w:val="hu-HU"/>
        </w:rPr>
        <w:t>felsorolt gyógyszerekkel keverhető</w:t>
      </w:r>
      <w:r w:rsidR="00E93206" w:rsidRPr="000E7E81">
        <w:rPr>
          <w:szCs w:val="22"/>
          <w:lang w:val="hu-HU"/>
        </w:rPr>
        <w:t>.</w:t>
      </w:r>
    </w:p>
    <w:p w14:paraId="77F2BC7F" w14:textId="77777777" w:rsidR="00535191" w:rsidRPr="000E7E81" w:rsidRDefault="00535191">
      <w:pPr>
        <w:tabs>
          <w:tab w:val="left" w:pos="567"/>
        </w:tabs>
        <w:spacing w:after="0"/>
        <w:rPr>
          <w:szCs w:val="22"/>
          <w:lang w:val="hu-HU"/>
        </w:rPr>
      </w:pPr>
    </w:p>
    <w:p w14:paraId="3636552A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6.3</w:t>
      </w:r>
      <w:r w:rsidRPr="000E7E81">
        <w:rPr>
          <w:lang w:val="hu-HU"/>
        </w:rPr>
        <w:tab/>
      </w:r>
      <w:r w:rsidR="00482555" w:rsidRPr="000E7E81">
        <w:rPr>
          <w:lang w:val="hu-HU"/>
        </w:rPr>
        <w:t>Felhasználhatósági időtartam</w:t>
      </w:r>
    </w:p>
    <w:p w14:paraId="5D6DFE01" w14:textId="77777777" w:rsidR="0040300E" w:rsidRPr="000E7E81" w:rsidRDefault="0040300E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5FB64CB8" w14:textId="5CDE2600" w:rsidR="000C38BF" w:rsidRPr="000E7E81" w:rsidRDefault="00482555" w:rsidP="000E7E81">
      <w:pPr>
        <w:tabs>
          <w:tab w:val="left" w:pos="567"/>
        </w:tabs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Eredeti</w:t>
      </w:r>
      <w:r w:rsidR="000E5332">
        <w:rPr>
          <w:szCs w:val="22"/>
          <w:lang w:val="hu-HU" w:eastAsia="en-US"/>
        </w:rPr>
        <w:t>,</w:t>
      </w:r>
      <w:r w:rsidRPr="000E7E81">
        <w:rPr>
          <w:szCs w:val="22"/>
          <w:lang w:val="hu-HU" w:eastAsia="en-US"/>
        </w:rPr>
        <w:t xml:space="preserve"> zárt csomagolásban: </w:t>
      </w:r>
      <w:r w:rsidR="007D3206" w:rsidRPr="000E7E81">
        <w:rPr>
          <w:szCs w:val="22"/>
          <w:lang w:val="hu-HU" w:eastAsia="en-US"/>
        </w:rPr>
        <w:t>3</w:t>
      </w:r>
      <w:r w:rsidR="0052039F" w:rsidRPr="000E7E81">
        <w:rPr>
          <w:szCs w:val="22"/>
          <w:lang w:val="hu-HU" w:eastAsia="en-US"/>
        </w:rPr>
        <w:t xml:space="preserve"> </w:t>
      </w:r>
      <w:r w:rsidRPr="000E7E81">
        <w:rPr>
          <w:szCs w:val="22"/>
          <w:lang w:val="hu-HU" w:eastAsia="en-US"/>
        </w:rPr>
        <w:t>év</w:t>
      </w:r>
      <w:r w:rsidR="000C38BF" w:rsidRPr="000E7E81">
        <w:rPr>
          <w:szCs w:val="22"/>
          <w:lang w:val="hu-HU" w:eastAsia="en-US"/>
        </w:rPr>
        <w:t>.</w:t>
      </w:r>
    </w:p>
    <w:p w14:paraId="6FAA1F4F" w14:textId="77777777" w:rsidR="000C38BF" w:rsidRPr="000E7E81" w:rsidRDefault="000C38BF">
      <w:pPr>
        <w:tabs>
          <w:tab w:val="left" w:pos="567"/>
        </w:tabs>
        <w:spacing w:after="0"/>
        <w:rPr>
          <w:szCs w:val="22"/>
          <w:highlight w:val="yellow"/>
          <w:lang w:val="hu-HU" w:eastAsia="en-US"/>
        </w:rPr>
      </w:pPr>
    </w:p>
    <w:p w14:paraId="6C800C30" w14:textId="77777777" w:rsidR="000C38BF" w:rsidRPr="000E7E81" w:rsidRDefault="0038115C">
      <w:pPr>
        <w:tabs>
          <w:tab w:val="left" w:pos="567"/>
        </w:tabs>
        <w:spacing w:after="0"/>
        <w:rPr>
          <w:szCs w:val="22"/>
          <w:u w:val="single"/>
          <w:lang w:val="hu-HU" w:eastAsia="en-US"/>
        </w:rPr>
      </w:pPr>
      <w:r w:rsidRPr="000E7E81">
        <w:rPr>
          <w:szCs w:val="22"/>
          <w:u w:val="single"/>
          <w:lang w:val="hu-HU" w:eastAsia="en-US"/>
        </w:rPr>
        <w:t xml:space="preserve">A port tartalmazó injekciós üvegben </w:t>
      </w:r>
      <w:r w:rsidR="004751C8" w:rsidRPr="000E7E81">
        <w:rPr>
          <w:szCs w:val="22"/>
          <w:u w:val="single"/>
          <w:lang w:val="hu-HU" w:eastAsia="en-US"/>
        </w:rPr>
        <w:t>elkészített oldat</w:t>
      </w:r>
      <w:r w:rsidR="000B45A9" w:rsidRPr="000E7E81">
        <w:rPr>
          <w:szCs w:val="22"/>
          <w:lang w:val="hu-HU" w:eastAsia="en-US"/>
        </w:rPr>
        <w:t>:</w:t>
      </w:r>
    </w:p>
    <w:p w14:paraId="07607C43" w14:textId="0C274569" w:rsidR="00A62B9E" w:rsidRPr="000E7E81" w:rsidRDefault="00A21F6E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Az 5 ml 9 mg/ml (0,9%) koncentrációjú nátrium-klorid</w:t>
      </w:r>
      <w:r w:rsidR="00E67146" w:rsidRPr="000E7E81">
        <w:rPr>
          <w:szCs w:val="22"/>
          <w:lang w:val="hu-HU" w:eastAsia="en-US"/>
        </w:rPr>
        <w:t>-</w:t>
      </w:r>
      <w:r w:rsidRPr="000E7E81">
        <w:rPr>
          <w:szCs w:val="22"/>
          <w:lang w:val="hu-HU" w:eastAsia="en-US"/>
        </w:rPr>
        <w:t xml:space="preserve">oldattal vagy 5 ml 50 mg/ml (5%) </w:t>
      </w:r>
      <w:r w:rsidR="00D273A2" w:rsidRPr="000E7E81">
        <w:rPr>
          <w:szCs w:val="22"/>
          <w:lang w:val="hu-HU" w:eastAsia="en-US"/>
        </w:rPr>
        <w:t>koncentrációjú glükózoldattal elkészített gyógyszeres oldat azonnal hígítandó</w:t>
      </w:r>
      <w:r w:rsidR="00A62B9E" w:rsidRPr="000E7E81">
        <w:rPr>
          <w:szCs w:val="22"/>
          <w:lang w:val="hu-HU" w:eastAsia="en-US"/>
        </w:rPr>
        <w:t>.</w:t>
      </w:r>
    </w:p>
    <w:p w14:paraId="32216D5B" w14:textId="77777777" w:rsidR="00A21585" w:rsidRPr="000E7E81" w:rsidRDefault="00A21585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</w:p>
    <w:p w14:paraId="5AC4BFE0" w14:textId="77777777" w:rsidR="00540BEF" w:rsidRPr="000E7E81" w:rsidRDefault="0038115C">
      <w:pPr>
        <w:tabs>
          <w:tab w:val="left" w:pos="567"/>
        </w:tabs>
        <w:spacing w:after="0"/>
        <w:rPr>
          <w:szCs w:val="22"/>
          <w:u w:val="single"/>
          <w:lang w:val="hu-HU" w:eastAsia="en-US"/>
        </w:rPr>
      </w:pPr>
      <w:r w:rsidRPr="000E7E81">
        <w:rPr>
          <w:szCs w:val="22"/>
          <w:u w:val="single"/>
          <w:lang w:val="hu-HU" w:eastAsia="en-US"/>
        </w:rPr>
        <w:t>Hígított oldat</w:t>
      </w:r>
      <w:r w:rsidR="00540BEF" w:rsidRPr="000E7E81">
        <w:rPr>
          <w:szCs w:val="22"/>
          <w:lang w:val="hu-HU" w:eastAsia="en-US"/>
        </w:rPr>
        <w:t>:</w:t>
      </w:r>
    </w:p>
    <w:p w14:paraId="4901DAA7" w14:textId="57155422" w:rsidR="003F2853" w:rsidRPr="000E7E81" w:rsidRDefault="003F2853">
      <w:pPr>
        <w:tabs>
          <w:tab w:val="left" w:pos="567"/>
        </w:tabs>
        <w:spacing w:after="0"/>
        <w:rPr>
          <w:szCs w:val="22"/>
          <w:lang w:val="hu-HU" w:eastAsia="en-US"/>
        </w:rPr>
      </w:pPr>
      <w:bookmarkStart w:id="4" w:name="_Hlk69211180"/>
      <w:r w:rsidRPr="000E7E81">
        <w:rPr>
          <w:szCs w:val="22"/>
          <w:lang w:val="hu-HU" w:eastAsia="en-US"/>
        </w:rPr>
        <w:t>A hígított oldat kémiai és fizikai stabilitása 100 ml 0,9%-os nátrium-kloriddal történő hígítás után 25 </w:t>
      </w:r>
      <w:r w:rsidR="000E5332" w:rsidRPr="00F51BFE">
        <w:rPr>
          <w:szCs w:val="22"/>
          <w:lang w:val="hu-HU" w:eastAsia="en-US"/>
        </w:rPr>
        <w:t>°</w:t>
      </w:r>
      <w:r w:rsidRPr="000E7E81">
        <w:rPr>
          <w:szCs w:val="22"/>
          <w:lang w:val="hu-HU" w:eastAsia="en-US"/>
        </w:rPr>
        <w:t>C-on 12 órán át igazolt, 100 ml 5%-os glükózoldattal történő hígítás után 25 °C-on 6 órán át igazolt.</w:t>
      </w:r>
    </w:p>
    <w:p w14:paraId="672E102F" w14:textId="77777777" w:rsidR="003F2853" w:rsidRPr="000E7E81" w:rsidRDefault="003F2853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</w:p>
    <w:p w14:paraId="6D2FBAE8" w14:textId="78A9288E" w:rsidR="008A6068" w:rsidRPr="000E7E81" w:rsidRDefault="003F2853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Mikrobiológiai szempontból a készítményt azonnal fel kell használni, kivéve</w:t>
      </w:r>
      <w:r w:rsidR="00195492" w:rsidRPr="000E7E81">
        <w:rPr>
          <w:szCs w:val="22"/>
          <w:lang w:val="hu-HU" w:eastAsia="en-US"/>
        </w:rPr>
        <w:t>,</w:t>
      </w:r>
      <w:r w:rsidRPr="000E7E81">
        <w:rPr>
          <w:szCs w:val="22"/>
          <w:lang w:val="hu-HU" w:eastAsia="en-US"/>
        </w:rPr>
        <w:t xml:space="preserve"> amikor a felbontás/elkészítés/hígítás módszere kizárja a mikrobiológiai szennyeződés kockázatát. Amennyiben nem használják fel azonnal, a felhasználásig az eltartási idő és a tárolási körülmények a felhasználó felelőssége</w:t>
      </w:r>
      <w:r w:rsidR="008A6068" w:rsidRPr="000E7E81">
        <w:rPr>
          <w:szCs w:val="22"/>
          <w:lang w:val="hu-HU" w:eastAsia="en-US"/>
        </w:rPr>
        <w:t>.</w:t>
      </w:r>
    </w:p>
    <w:p w14:paraId="5B223C55" w14:textId="77777777" w:rsidR="000C38BF" w:rsidRPr="000E7E81" w:rsidRDefault="000C38BF">
      <w:pPr>
        <w:tabs>
          <w:tab w:val="left" w:pos="567"/>
        </w:tabs>
        <w:spacing w:after="0"/>
        <w:rPr>
          <w:szCs w:val="22"/>
          <w:lang w:val="hu-HU"/>
        </w:rPr>
      </w:pPr>
    </w:p>
    <w:p w14:paraId="268413D5" w14:textId="75AB960B" w:rsidR="00AC4274" w:rsidRPr="000E7E81" w:rsidRDefault="00AC4274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feloldott omeprazol pH-ja glükózoldatban 10,0-11,0; 0,9%-os nátrium-klorid</w:t>
      </w:r>
      <w:r w:rsidR="00093C46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oldatban 10,0-11,0. </w:t>
      </w:r>
    </w:p>
    <w:p w14:paraId="33F9A2C7" w14:textId="3D52FEC4" w:rsidR="00AC4274" w:rsidRPr="000E7E81" w:rsidRDefault="00AC4274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A készre hígított oldatos infúzió pH-ja glükózoldatban 10,0-11,0; 0,9%-os nátrium-klorid</w:t>
      </w:r>
      <w:r w:rsidR="00093C46" w:rsidRPr="000E7E81">
        <w:rPr>
          <w:szCs w:val="22"/>
          <w:lang w:val="hu-HU"/>
        </w:rPr>
        <w:t>-</w:t>
      </w:r>
      <w:r w:rsidRPr="000E7E81">
        <w:rPr>
          <w:szCs w:val="22"/>
          <w:lang w:val="hu-HU"/>
        </w:rPr>
        <w:t>oldatban 10,0-11,0.</w:t>
      </w:r>
    </w:p>
    <w:p w14:paraId="47DC418F" w14:textId="77777777" w:rsidR="00AC4274" w:rsidRPr="000E7E81" w:rsidRDefault="00AC4274">
      <w:pPr>
        <w:tabs>
          <w:tab w:val="left" w:pos="567"/>
        </w:tabs>
        <w:spacing w:after="0"/>
        <w:rPr>
          <w:szCs w:val="22"/>
          <w:lang w:val="hu-HU"/>
        </w:rPr>
      </w:pPr>
    </w:p>
    <w:bookmarkEnd w:id="4"/>
    <w:p w14:paraId="4B717201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6.4</w:t>
      </w:r>
      <w:r w:rsidRPr="000E7E81">
        <w:rPr>
          <w:lang w:val="hu-HU"/>
        </w:rPr>
        <w:tab/>
      </w:r>
      <w:r w:rsidR="001E3853" w:rsidRPr="000E7E81">
        <w:rPr>
          <w:lang w:val="hu-HU"/>
        </w:rPr>
        <w:t>Különleges tárolási előírások</w:t>
      </w:r>
    </w:p>
    <w:p w14:paraId="4566DDCA" w14:textId="41273DFD" w:rsidR="004259A3" w:rsidRPr="000E7E81" w:rsidRDefault="004259A3" w:rsidP="000E7E81">
      <w:pPr>
        <w:tabs>
          <w:tab w:val="left" w:pos="567"/>
        </w:tabs>
        <w:spacing w:after="0"/>
        <w:rPr>
          <w:noProof/>
          <w:szCs w:val="22"/>
          <w:lang w:val="hu-HU"/>
        </w:rPr>
      </w:pPr>
    </w:p>
    <w:p w14:paraId="2339F0D3" w14:textId="5332229E" w:rsidR="004259A3" w:rsidRPr="000E5332" w:rsidRDefault="004259A3" w:rsidP="000E7E81">
      <w:pPr>
        <w:tabs>
          <w:tab w:val="left" w:pos="567"/>
        </w:tabs>
        <w:spacing w:after="0"/>
        <w:rPr>
          <w:noProof/>
          <w:szCs w:val="22"/>
          <w:lang w:val="hu-HU"/>
        </w:rPr>
      </w:pPr>
      <w:r w:rsidRPr="00B10F22">
        <w:rPr>
          <w:bCs/>
          <w:noProof/>
          <w:szCs w:val="22"/>
          <w:lang w:val="hu-HU"/>
        </w:rPr>
        <w:t>Ez a gyógyszer különleges tárolási hőmérsékletet nem igényel.</w:t>
      </w:r>
    </w:p>
    <w:p w14:paraId="7361564B" w14:textId="330BE0EA" w:rsidR="00ED134E" w:rsidRPr="000E7E81" w:rsidRDefault="0049592F" w:rsidP="00B10F22">
      <w:pPr>
        <w:spacing w:after="0"/>
        <w:rPr>
          <w:noProof/>
          <w:szCs w:val="22"/>
          <w:lang w:val="hu-HU"/>
        </w:rPr>
      </w:pPr>
      <w:bookmarkStart w:id="5" w:name="_Hlk180359308"/>
      <w:r w:rsidRPr="000E7E81">
        <w:rPr>
          <w:noProof/>
          <w:szCs w:val="22"/>
          <w:lang w:val="hu-HU"/>
        </w:rPr>
        <w:t xml:space="preserve">A fénytől való védelem érdekében az injekciós üveg </w:t>
      </w:r>
      <w:r w:rsidR="007A30BD" w:rsidRPr="000E7E81">
        <w:rPr>
          <w:noProof/>
          <w:szCs w:val="22"/>
          <w:lang w:val="hu-HU"/>
        </w:rPr>
        <w:t xml:space="preserve">felhasználásig </w:t>
      </w:r>
      <w:r w:rsidRPr="000E7E81">
        <w:rPr>
          <w:noProof/>
          <w:szCs w:val="22"/>
          <w:lang w:val="hu-HU"/>
        </w:rPr>
        <w:t>az eredeti csomagolásban tárolandó.</w:t>
      </w:r>
      <w:bookmarkEnd w:id="5"/>
    </w:p>
    <w:p w14:paraId="02FBD290" w14:textId="3EE34CE7" w:rsidR="00535191" w:rsidRPr="000E7E81" w:rsidRDefault="001E3853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noProof/>
          <w:szCs w:val="22"/>
          <w:lang w:val="hu-HU"/>
        </w:rPr>
        <w:t xml:space="preserve">A </w:t>
      </w:r>
      <w:r w:rsidR="00C813AC" w:rsidRPr="000E7E81">
        <w:rPr>
          <w:noProof/>
          <w:szCs w:val="22"/>
          <w:lang w:val="hu-HU"/>
        </w:rPr>
        <w:t xml:space="preserve">gyógyszer </w:t>
      </w:r>
      <w:r w:rsidR="003F2853" w:rsidRPr="000E7E81">
        <w:rPr>
          <w:noProof/>
          <w:szCs w:val="22"/>
          <w:lang w:val="hu-HU"/>
        </w:rPr>
        <w:t>fel</w:t>
      </w:r>
      <w:r w:rsidRPr="000E7E81">
        <w:rPr>
          <w:noProof/>
          <w:szCs w:val="22"/>
          <w:lang w:val="hu-HU"/>
        </w:rPr>
        <w:t>old</w:t>
      </w:r>
      <w:r w:rsidR="00C813AC" w:rsidRPr="000E7E81">
        <w:rPr>
          <w:noProof/>
          <w:szCs w:val="22"/>
          <w:lang w:val="hu-HU"/>
        </w:rPr>
        <w:t>ás</w:t>
      </w:r>
      <w:r w:rsidRPr="000E7E81">
        <w:rPr>
          <w:noProof/>
          <w:szCs w:val="22"/>
          <w:lang w:val="hu-HU"/>
        </w:rPr>
        <w:t xml:space="preserve"> és hí</w:t>
      </w:r>
      <w:r w:rsidR="00FA443A" w:rsidRPr="000E7E81">
        <w:rPr>
          <w:noProof/>
          <w:szCs w:val="22"/>
          <w:lang w:val="hu-HU"/>
        </w:rPr>
        <w:t>g</w:t>
      </w:r>
      <w:r w:rsidRPr="000E7E81">
        <w:rPr>
          <w:noProof/>
          <w:szCs w:val="22"/>
          <w:lang w:val="hu-HU"/>
        </w:rPr>
        <w:t>ít</w:t>
      </w:r>
      <w:r w:rsidR="00C813AC" w:rsidRPr="000E7E81">
        <w:rPr>
          <w:noProof/>
          <w:szCs w:val="22"/>
          <w:lang w:val="hu-HU"/>
        </w:rPr>
        <w:t>ás utáni</w:t>
      </w:r>
      <w:r w:rsidRPr="000E7E81">
        <w:rPr>
          <w:noProof/>
          <w:szCs w:val="22"/>
          <w:lang w:val="hu-HU"/>
        </w:rPr>
        <w:t xml:space="preserve"> tárolás</w:t>
      </w:r>
      <w:r w:rsidR="00C813AC" w:rsidRPr="000E7E81">
        <w:rPr>
          <w:noProof/>
          <w:szCs w:val="22"/>
          <w:lang w:val="hu-HU"/>
        </w:rPr>
        <w:t xml:space="preserve">ára vonatkozó előírásokat </w:t>
      </w:r>
      <w:r w:rsidR="00FA443A" w:rsidRPr="000E7E81">
        <w:rPr>
          <w:noProof/>
          <w:szCs w:val="22"/>
          <w:lang w:val="hu-HU"/>
        </w:rPr>
        <w:t>lásd a 6.3 pont</w:t>
      </w:r>
      <w:r w:rsidR="00C813AC" w:rsidRPr="000E7E81">
        <w:rPr>
          <w:noProof/>
          <w:szCs w:val="22"/>
          <w:lang w:val="hu-HU"/>
        </w:rPr>
        <w:t>ban</w:t>
      </w:r>
      <w:r w:rsidR="00FA443A" w:rsidRPr="000E7E81">
        <w:rPr>
          <w:noProof/>
          <w:szCs w:val="22"/>
          <w:lang w:val="hu-HU"/>
        </w:rPr>
        <w:t>.</w:t>
      </w:r>
    </w:p>
    <w:p w14:paraId="11C98E32" w14:textId="77777777" w:rsidR="005504B1" w:rsidRPr="00B10F22" w:rsidRDefault="005504B1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7C60CA43" w14:textId="77777777" w:rsidR="009E0FD0" w:rsidRPr="000E7E81" w:rsidRDefault="00353C75" w:rsidP="00B10F22">
      <w:pPr>
        <w:pStyle w:val="Cmsor2"/>
        <w:tabs>
          <w:tab w:val="left" w:pos="567"/>
        </w:tabs>
        <w:spacing w:before="0" w:after="0"/>
        <w:rPr>
          <w:lang w:val="hu-HU"/>
        </w:rPr>
      </w:pPr>
      <w:r w:rsidRPr="000E7E81">
        <w:rPr>
          <w:lang w:val="hu-HU"/>
        </w:rPr>
        <w:t>6.5</w:t>
      </w:r>
      <w:r w:rsidRPr="000E7E81">
        <w:rPr>
          <w:lang w:val="hu-HU"/>
        </w:rPr>
        <w:tab/>
      </w:r>
      <w:r w:rsidR="00FA443A" w:rsidRPr="000E7E81">
        <w:rPr>
          <w:lang w:val="hu-HU"/>
        </w:rPr>
        <w:t>Csomagolás típusa és kiszerelése</w:t>
      </w:r>
    </w:p>
    <w:p w14:paraId="283C62BA" w14:textId="77777777" w:rsidR="000C38BF" w:rsidRPr="000E7E81" w:rsidRDefault="000C38BF" w:rsidP="000E7E81">
      <w:pPr>
        <w:spacing w:after="0"/>
        <w:rPr>
          <w:szCs w:val="22"/>
          <w:highlight w:val="yellow"/>
          <w:lang w:val="hu-HU" w:eastAsia="en-US"/>
        </w:rPr>
      </w:pPr>
    </w:p>
    <w:p w14:paraId="2FA4531C" w14:textId="639E042D" w:rsidR="00192F08" w:rsidRPr="000E7E81" w:rsidRDefault="004A6EE8" w:rsidP="000E7E81">
      <w:pPr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Por s</w:t>
      </w:r>
      <w:r w:rsidR="0041186E" w:rsidRPr="000E7E81">
        <w:rPr>
          <w:szCs w:val="22"/>
          <w:lang w:val="hu-HU" w:eastAsia="en-US"/>
        </w:rPr>
        <w:t>ötétszürke, szilikono</w:t>
      </w:r>
      <w:r w:rsidR="003F2853" w:rsidRPr="000E7E81">
        <w:rPr>
          <w:szCs w:val="22"/>
          <w:lang w:val="hu-HU" w:eastAsia="en-US"/>
        </w:rPr>
        <w:t>zott</w:t>
      </w:r>
      <w:r w:rsidR="0041186E" w:rsidRPr="000E7E81">
        <w:rPr>
          <w:szCs w:val="22"/>
          <w:lang w:val="hu-HU" w:eastAsia="en-US"/>
        </w:rPr>
        <w:t xml:space="preserve"> brómbutil gumidugóval</w:t>
      </w:r>
      <w:r w:rsidR="000E5332">
        <w:rPr>
          <w:szCs w:val="22"/>
          <w:lang w:val="hu-HU" w:eastAsia="en-US"/>
        </w:rPr>
        <w:t xml:space="preserve"> és</w:t>
      </w:r>
      <w:r w:rsidR="0041186E" w:rsidRPr="000E7E81">
        <w:rPr>
          <w:szCs w:val="22"/>
          <w:lang w:val="hu-HU" w:eastAsia="en-US"/>
        </w:rPr>
        <w:t xml:space="preserve"> alumínium</w:t>
      </w:r>
      <w:r w:rsidR="003F2853" w:rsidRPr="000E7E81">
        <w:rPr>
          <w:szCs w:val="22"/>
          <w:lang w:val="hu-HU" w:eastAsia="en-US"/>
        </w:rPr>
        <w:t xml:space="preserve">kupakkal </w:t>
      </w:r>
      <w:r w:rsidR="003F2853" w:rsidRPr="000E7E81">
        <w:rPr>
          <w:szCs w:val="22"/>
          <w:lang w:val="hu-HU"/>
        </w:rPr>
        <w:t>lezárt, fehér lepattintható PP védőkupakkal ellátott</w:t>
      </w:r>
      <w:r w:rsidR="00C0419D" w:rsidRPr="000E7E81">
        <w:rPr>
          <w:szCs w:val="22"/>
          <w:lang w:val="hu-HU" w:eastAsia="en-US"/>
        </w:rPr>
        <w:t>, színtelen,</w:t>
      </w:r>
      <w:r w:rsidR="003F2853" w:rsidRPr="000E7E81">
        <w:rPr>
          <w:szCs w:val="22"/>
          <w:lang w:val="hu-HU" w:eastAsia="en-US"/>
        </w:rPr>
        <w:t xml:space="preserve"> átlát</w:t>
      </w:r>
      <w:r w:rsidR="0042282E" w:rsidRPr="000E7E81">
        <w:rPr>
          <w:szCs w:val="22"/>
          <w:lang w:val="hu-HU" w:eastAsia="en-US"/>
        </w:rPr>
        <w:t>s</w:t>
      </w:r>
      <w:r w:rsidR="003F2853" w:rsidRPr="000E7E81">
        <w:rPr>
          <w:szCs w:val="22"/>
          <w:lang w:val="hu-HU" w:eastAsia="en-US"/>
        </w:rPr>
        <w:t>zó</w:t>
      </w:r>
      <w:r w:rsidR="00C0419D" w:rsidRPr="000E7E81">
        <w:rPr>
          <w:szCs w:val="22"/>
          <w:lang w:val="hu-HU" w:eastAsia="en-US"/>
        </w:rPr>
        <w:t xml:space="preserve"> I-es típusú</w:t>
      </w:r>
      <w:r w:rsidR="0041186E" w:rsidRPr="000E7E81">
        <w:rPr>
          <w:szCs w:val="22"/>
          <w:lang w:val="hu-HU" w:eastAsia="en-US"/>
        </w:rPr>
        <w:t xml:space="preserve"> </w:t>
      </w:r>
      <w:r w:rsidR="00FA443A" w:rsidRPr="000E7E81">
        <w:rPr>
          <w:szCs w:val="22"/>
          <w:lang w:val="hu-HU" w:eastAsia="en-US"/>
        </w:rPr>
        <w:t>injekciós üvegbe</w:t>
      </w:r>
      <w:r w:rsidR="003F2853" w:rsidRPr="000E7E81">
        <w:rPr>
          <w:szCs w:val="22"/>
          <w:lang w:val="hu-HU" w:eastAsia="en-US"/>
        </w:rPr>
        <w:t>n</w:t>
      </w:r>
      <w:r w:rsidR="00FA443A" w:rsidRPr="000E7E81">
        <w:rPr>
          <w:szCs w:val="22"/>
          <w:lang w:val="hu-HU" w:eastAsia="en-US"/>
        </w:rPr>
        <w:t xml:space="preserve"> </w:t>
      </w:r>
      <w:r w:rsidRPr="000E7E81">
        <w:rPr>
          <w:szCs w:val="22"/>
          <w:lang w:val="hu-HU" w:eastAsia="en-US"/>
        </w:rPr>
        <w:t>és dobozban</w:t>
      </w:r>
      <w:r w:rsidR="0041186E" w:rsidRPr="000E7E81">
        <w:rPr>
          <w:szCs w:val="22"/>
          <w:lang w:val="hu-HU" w:eastAsia="en-US"/>
        </w:rPr>
        <w:t>.</w:t>
      </w:r>
      <w:r w:rsidR="00BF7DD1" w:rsidRPr="000E7E81" w:rsidDel="00BF7DD1">
        <w:rPr>
          <w:szCs w:val="22"/>
          <w:lang w:val="hu-HU" w:eastAsia="en-US"/>
        </w:rPr>
        <w:t xml:space="preserve"> </w:t>
      </w:r>
    </w:p>
    <w:p w14:paraId="4E153555" w14:textId="77777777" w:rsidR="00BF7DD1" w:rsidRPr="000E7E81" w:rsidRDefault="00BF7DD1">
      <w:pPr>
        <w:spacing w:after="0"/>
        <w:rPr>
          <w:szCs w:val="22"/>
          <w:lang w:val="hu-HU" w:eastAsia="en-US"/>
        </w:rPr>
      </w:pPr>
    </w:p>
    <w:p w14:paraId="1EABE7C1" w14:textId="77777777" w:rsidR="00304609" w:rsidRPr="000E7E81" w:rsidRDefault="00C0419D">
      <w:pPr>
        <w:spacing w:after="0"/>
        <w:rPr>
          <w:szCs w:val="22"/>
          <w:lang w:val="hu-HU" w:eastAsia="en-US"/>
        </w:rPr>
      </w:pPr>
      <w:bookmarkStart w:id="6" w:name="_Hlk71556650"/>
      <w:r w:rsidRPr="000E7E81">
        <w:rPr>
          <w:szCs w:val="22"/>
          <w:lang w:val="hu-HU" w:eastAsia="en-US"/>
        </w:rPr>
        <w:t>Kiszerelés:</w:t>
      </w:r>
      <w:r w:rsidR="000C38BF" w:rsidRPr="000E7E81">
        <w:rPr>
          <w:szCs w:val="22"/>
          <w:lang w:val="hu-HU" w:eastAsia="en-US"/>
        </w:rPr>
        <w:t xml:space="preserve"> </w:t>
      </w:r>
    </w:p>
    <w:p w14:paraId="43E6A3D7" w14:textId="0DD34168" w:rsidR="00304609" w:rsidRPr="000E7E81" w:rsidRDefault="0083203C">
      <w:pPr>
        <w:spacing w:after="0"/>
        <w:rPr>
          <w:szCs w:val="22"/>
          <w:lang w:val="hu-HU" w:eastAsia="en-US"/>
        </w:rPr>
      </w:pPr>
      <w:r w:rsidRPr="000E7E81">
        <w:rPr>
          <w:szCs w:val="22"/>
          <w:lang w:val="hu-HU" w:eastAsia="en-US"/>
        </w:rPr>
        <w:t>10</w:t>
      </w:r>
      <w:r w:rsidR="00542ADB" w:rsidRPr="000E7E81">
        <w:rPr>
          <w:szCs w:val="22"/>
          <w:lang w:val="hu-HU" w:eastAsia="en-US"/>
        </w:rPr>
        <w:t xml:space="preserve"> db</w:t>
      </w:r>
      <w:r w:rsidR="000C38BF" w:rsidRPr="000E7E81">
        <w:rPr>
          <w:szCs w:val="22"/>
          <w:lang w:val="hu-HU" w:eastAsia="en-US"/>
        </w:rPr>
        <w:t xml:space="preserve"> </w:t>
      </w:r>
      <w:r w:rsidR="0042282E" w:rsidRPr="000E7E81">
        <w:rPr>
          <w:szCs w:val="22"/>
          <w:lang w:val="hu-HU" w:eastAsia="en-US"/>
        </w:rPr>
        <w:t>injekciós üveg</w:t>
      </w:r>
      <w:r w:rsidR="0042282E" w:rsidRPr="000E7E81" w:rsidDel="00304609">
        <w:rPr>
          <w:szCs w:val="22"/>
          <w:lang w:val="hu-HU" w:eastAsia="en-US"/>
        </w:rPr>
        <w:t xml:space="preserve"> </w:t>
      </w:r>
      <w:r w:rsidR="00304609" w:rsidRPr="000E7E81">
        <w:rPr>
          <w:szCs w:val="22"/>
          <w:lang w:val="hu-HU"/>
        </w:rPr>
        <w:t>dobozban.</w:t>
      </w:r>
    </w:p>
    <w:bookmarkEnd w:id="6"/>
    <w:p w14:paraId="5E833D96" w14:textId="77777777" w:rsidR="0042282E" w:rsidRPr="000E7E81" w:rsidRDefault="0042282E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6343B2A3" w14:textId="77777777" w:rsidR="009E0FD0" w:rsidRPr="000E7E81" w:rsidRDefault="00353C75" w:rsidP="00B10F22">
      <w:pPr>
        <w:pStyle w:val="Cmsor2"/>
        <w:spacing w:before="0" w:after="0"/>
        <w:ind w:left="567" w:hanging="567"/>
        <w:rPr>
          <w:lang w:val="hu-HU"/>
        </w:rPr>
      </w:pPr>
      <w:r w:rsidRPr="000E7E81">
        <w:rPr>
          <w:lang w:val="hu-HU"/>
        </w:rPr>
        <w:t>6.6</w:t>
      </w:r>
      <w:r w:rsidRPr="000E7E81">
        <w:rPr>
          <w:lang w:val="hu-HU"/>
        </w:rPr>
        <w:tab/>
      </w:r>
      <w:r w:rsidR="00FA443A" w:rsidRPr="000E7E81">
        <w:rPr>
          <w:lang w:val="hu-HU"/>
        </w:rPr>
        <w:t>A megsemmisítésre vonatkozó különleges óvintézkedések és egyéb, a készítmény kezelésével kapcsolatos információk</w:t>
      </w:r>
    </w:p>
    <w:p w14:paraId="37291159" w14:textId="77777777" w:rsidR="0040300E" w:rsidRPr="000E7E81" w:rsidRDefault="0040300E" w:rsidP="000E7E81">
      <w:pPr>
        <w:tabs>
          <w:tab w:val="left" w:pos="567"/>
        </w:tabs>
        <w:spacing w:after="0"/>
        <w:rPr>
          <w:color w:val="000000" w:themeColor="text1"/>
          <w:szCs w:val="22"/>
          <w:lang w:val="hu-HU"/>
        </w:rPr>
      </w:pPr>
    </w:p>
    <w:p w14:paraId="3D8B6005" w14:textId="6B755CD7" w:rsidR="00FF175F" w:rsidRPr="00B10F22" w:rsidRDefault="00FF175F" w:rsidP="000E7E81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lang w:val="hu-HU"/>
        </w:rPr>
      </w:pPr>
      <w:r w:rsidRPr="000E7E81">
        <w:rPr>
          <w:rStyle w:val="font4"/>
          <w:sz w:val="22"/>
          <w:szCs w:val="22"/>
          <w:lang w:val="hu-HU"/>
        </w:rPr>
        <w:t>Az egyes injekciós üvegek teljes tartalmát kb. 5 ml folyadékban kell feloldani, majd azonnal 100 ml-re hígít</w:t>
      </w:r>
      <w:r w:rsidR="00B22F12" w:rsidRPr="000E7E81">
        <w:rPr>
          <w:rStyle w:val="font4"/>
          <w:sz w:val="22"/>
          <w:szCs w:val="22"/>
          <w:lang w:val="hu-HU"/>
        </w:rPr>
        <w:t>ani</w:t>
      </w:r>
      <w:r w:rsidRPr="000E7E81">
        <w:rPr>
          <w:rStyle w:val="font4"/>
          <w:sz w:val="22"/>
          <w:szCs w:val="22"/>
          <w:lang w:val="hu-HU"/>
        </w:rPr>
        <w:t xml:space="preserve">. </w:t>
      </w:r>
      <w:r w:rsidR="00936AA6" w:rsidRPr="000E7E81">
        <w:rPr>
          <w:rStyle w:val="font4"/>
          <w:sz w:val="22"/>
          <w:szCs w:val="22"/>
          <w:lang w:val="hu-HU"/>
        </w:rPr>
        <w:t xml:space="preserve">Ehhez </w:t>
      </w:r>
      <w:r w:rsidR="004B78AD" w:rsidRPr="000E7E81">
        <w:rPr>
          <w:rStyle w:val="font4"/>
          <w:sz w:val="22"/>
          <w:szCs w:val="22"/>
          <w:lang w:val="hu-HU"/>
        </w:rPr>
        <w:t>9 mg/ml (</w:t>
      </w:r>
      <w:r w:rsidR="004A6EE8" w:rsidRPr="000E7E81">
        <w:rPr>
          <w:rStyle w:val="font4"/>
          <w:sz w:val="22"/>
          <w:szCs w:val="22"/>
          <w:lang w:val="hu-HU"/>
        </w:rPr>
        <w:t>0,</w:t>
      </w:r>
      <w:r w:rsidR="004B78AD" w:rsidRPr="000E7E81">
        <w:rPr>
          <w:rStyle w:val="font4"/>
          <w:sz w:val="22"/>
          <w:szCs w:val="22"/>
          <w:lang w:val="hu-HU"/>
        </w:rPr>
        <w:t>9%) infúzióhoz való n</w:t>
      </w:r>
      <w:r w:rsidRPr="000E7E81">
        <w:rPr>
          <w:rStyle w:val="font4"/>
          <w:sz w:val="22"/>
          <w:szCs w:val="22"/>
          <w:lang w:val="hu-HU"/>
        </w:rPr>
        <w:t>átrium-klorid</w:t>
      </w:r>
      <w:r w:rsidR="000E5332">
        <w:rPr>
          <w:rStyle w:val="font4"/>
          <w:sz w:val="22"/>
          <w:szCs w:val="22"/>
          <w:lang w:val="hu-HU"/>
        </w:rPr>
        <w:t>-oldatot</w:t>
      </w:r>
      <w:r w:rsidRPr="000E7E81">
        <w:rPr>
          <w:rStyle w:val="font4"/>
          <w:sz w:val="22"/>
          <w:szCs w:val="22"/>
          <w:lang w:val="hu-HU"/>
        </w:rPr>
        <w:t xml:space="preserve"> vagy 50 mg/ml (5%) </w:t>
      </w:r>
      <w:r w:rsidR="004B78AD" w:rsidRPr="000E7E81">
        <w:rPr>
          <w:rStyle w:val="font4"/>
          <w:sz w:val="22"/>
          <w:szCs w:val="22"/>
          <w:lang w:val="hu-HU"/>
        </w:rPr>
        <w:t>infúzióhoz való glükóz</w:t>
      </w:r>
      <w:r w:rsidRPr="000E7E81">
        <w:rPr>
          <w:rStyle w:val="font4"/>
          <w:sz w:val="22"/>
          <w:szCs w:val="22"/>
          <w:lang w:val="hu-HU"/>
        </w:rPr>
        <w:t>oldat</w:t>
      </w:r>
      <w:r w:rsidR="004B78AD" w:rsidRPr="000E7E81">
        <w:rPr>
          <w:rStyle w:val="font4"/>
          <w:sz w:val="22"/>
          <w:szCs w:val="22"/>
          <w:lang w:val="hu-HU"/>
        </w:rPr>
        <w:t>ot</w:t>
      </w:r>
      <w:r w:rsidRPr="000E7E81">
        <w:rPr>
          <w:rStyle w:val="font4"/>
          <w:sz w:val="22"/>
          <w:szCs w:val="22"/>
          <w:lang w:val="hu-HU"/>
        </w:rPr>
        <w:t xml:space="preserve"> kell használni. </w:t>
      </w:r>
      <w:r w:rsidR="004B78AD" w:rsidRPr="000E7E81">
        <w:rPr>
          <w:rStyle w:val="font4"/>
          <w:sz w:val="22"/>
          <w:szCs w:val="22"/>
          <w:lang w:val="hu-HU"/>
        </w:rPr>
        <w:t>A</w:t>
      </w:r>
      <w:r w:rsidRPr="000E7E81">
        <w:rPr>
          <w:rStyle w:val="font4"/>
          <w:sz w:val="22"/>
          <w:szCs w:val="22"/>
          <w:lang w:val="hu-HU"/>
        </w:rPr>
        <w:t xml:space="preserve">z </w:t>
      </w:r>
      <w:r w:rsidR="00C813AC" w:rsidRPr="000E7E81">
        <w:rPr>
          <w:rStyle w:val="font4"/>
          <w:sz w:val="22"/>
          <w:szCs w:val="22"/>
          <w:lang w:val="hu-HU"/>
        </w:rPr>
        <w:t xml:space="preserve">oldatos </w:t>
      </w:r>
      <w:r w:rsidRPr="000E7E81">
        <w:rPr>
          <w:rStyle w:val="font4"/>
          <w:sz w:val="22"/>
          <w:szCs w:val="22"/>
          <w:lang w:val="hu-HU"/>
        </w:rPr>
        <w:t>infúzió pH-ja befolyásolja</w:t>
      </w:r>
      <w:r w:rsidR="004B78AD" w:rsidRPr="000E7E81">
        <w:rPr>
          <w:rStyle w:val="font4"/>
          <w:sz w:val="22"/>
          <w:szCs w:val="22"/>
          <w:lang w:val="hu-HU"/>
        </w:rPr>
        <w:t xml:space="preserve"> az omeprazol stabilitását</w:t>
      </w:r>
      <w:r w:rsidRPr="000E7E81">
        <w:rPr>
          <w:rStyle w:val="font4"/>
          <w:sz w:val="22"/>
          <w:szCs w:val="22"/>
          <w:lang w:val="hu-HU"/>
        </w:rPr>
        <w:t>, ezért nem szabad más oldószert vagy mennyiséget használni a hígításhoz.</w:t>
      </w:r>
    </w:p>
    <w:p w14:paraId="26EF6DBE" w14:textId="77777777" w:rsidR="00FF175F" w:rsidRPr="000E7E81" w:rsidRDefault="00FF175F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lang w:val="hu-HU"/>
        </w:rPr>
      </w:pPr>
    </w:p>
    <w:p w14:paraId="4A51E844" w14:textId="77777777" w:rsidR="000C38BF" w:rsidRPr="000E7E81" w:rsidRDefault="00936AA6" w:rsidP="00B10F22">
      <w:pPr>
        <w:pStyle w:val="NormlWeb"/>
        <w:keepNext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u w:val="single"/>
          <w:lang w:val="hu-HU"/>
        </w:rPr>
        <w:lastRenderedPageBreak/>
        <w:t>Elkészítés</w:t>
      </w:r>
    </w:p>
    <w:p w14:paraId="4348552A" w14:textId="0E05C0C5" w:rsidR="000C38BF" w:rsidRPr="000E7E81" w:rsidRDefault="004261AD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Szívjon fel e</w:t>
      </w:r>
      <w:r w:rsidR="00BB1C91" w:rsidRPr="000E7E81">
        <w:rPr>
          <w:rStyle w:val="font4"/>
          <w:sz w:val="22"/>
          <w:szCs w:val="22"/>
          <w:lang w:val="hu-HU"/>
        </w:rPr>
        <w:t xml:space="preserve">gy fecskendővel </w:t>
      </w:r>
      <w:r w:rsidRPr="000E7E81">
        <w:rPr>
          <w:rStyle w:val="font4"/>
          <w:sz w:val="22"/>
          <w:szCs w:val="22"/>
          <w:lang w:val="hu-HU"/>
        </w:rPr>
        <w:t>5 ml oldato</w:t>
      </w:r>
      <w:r w:rsidR="00C813AC" w:rsidRPr="000E7E81">
        <w:rPr>
          <w:rStyle w:val="font4"/>
          <w:sz w:val="22"/>
          <w:szCs w:val="22"/>
          <w:lang w:val="hu-HU"/>
        </w:rPr>
        <w:t>s</w:t>
      </w:r>
      <w:r w:rsidRPr="000E7E81">
        <w:rPr>
          <w:rStyle w:val="font4"/>
          <w:sz w:val="22"/>
          <w:szCs w:val="22"/>
          <w:lang w:val="hu-HU"/>
        </w:rPr>
        <w:t xml:space="preserve"> </w:t>
      </w:r>
      <w:r w:rsidR="00C813AC" w:rsidRPr="000E7E81">
        <w:rPr>
          <w:rStyle w:val="font4"/>
          <w:sz w:val="22"/>
          <w:szCs w:val="22"/>
          <w:lang w:val="hu-HU"/>
        </w:rPr>
        <w:t xml:space="preserve">infúziót </w:t>
      </w:r>
      <w:r w:rsidRPr="000E7E81">
        <w:rPr>
          <w:rStyle w:val="font4"/>
          <w:sz w:val="22"/>
          <w:szCs w:val="22"/>
          <w:lang w:val="hu-HU"/>
        </w:rPr>
        <w:t>a 100 ml-es infúziós palackból vagy zsákból.</w:t>
      </w:r>
    </w:p>
    <w:p w14:paraId="48F80BA4" w14:textId="77777777" w:rsidR="000C38BF" w:rsidRPr="000E7E81" w:rsidRDefault="000C38BF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Ad</w:t>
      </w:r>
      <w:r w:rsidR="004261AD" w:rsidRPr="000E7E81">
        <w:rPr>
          <w:rStyle w:val="font4"/>
          <w:sz w:val="22"/>
          <w:szCs w:val="22"/>
          <w:lang w:val="hu-HU"/>
        </w:rPr>
        <w:t xml:space="preserve">ja ezt a mennyiséget az omeprazolt tartalmazó injekciós üvegbe. Gondosan keverje össze, hogy az omeprazol </w:t>
      </w:r>
      <w:r w:rsidR="005529B2" w:rsidRPr="000E7E81">
        <w:rPr>
          <w:rStyle w:val="font4"/>
          <w:sz w:val="22"/>
          <w:szCs w:val="22"/>
          <w:lang w:val="hu-HU"/>
        </w:rPr>
        <w:t>teljes mennyisége biztosan feloldódjon</w:t>
      </w:r>
      <w:r w:rsidRPr="000E7E81">
        <w:rPr>
          <w:rStyle w:val="font4"/>
          <w:sz w:val="22"/>
          <w:szCs w:val="22"/>
          <w:lang w:val="hu-HU"/>
        </w:rPr>
        <w:t>.</w:t>
      </w:r>
    </w:p>
    <w:p w14:paraId="6EE3752E" w14:textId="77777777" w:rsidR="000C38BF" w:rsidRPr="000E7E81" w:rsidRDefault="005529B2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Szívja vissza a fecskendőbe az omeprazol-oldatot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2713676A" w14:textId="77777777" w:rsidR="000C38BF" w:rsidRPr="000E7E81" w:rsidRDefault="005529B2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Fecskendezze be az oldatot az infúziós palackba vagy zsákba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2E73112B" w14:textId="77777777" w:rsidR="000C38BF" w:rsidRPr="000E7E81" w:rsidRDefault="005529B2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Ismételje meg az előző négy lépést, hogy az omeprazol teljes mennyisége biztosan átkerüljön az injekciós üvegből az infúziós palackba vagy zsákba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0F66794A" w14:textId="77777777" w:rsidR="000C38BF" w:rsidRPr="000E7E81" w:rsidRDefault="000C38BF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u w:val="single"/>
          <w:lang w:val="hu-HU"/>
        </w:rPr>
      </w:pPr>
    </w:p>
    <w:p w14:paraId="6947B71D" w14:textId="77777777" w:rsidR="000C38BF" w:rsidRPr="000E7E81" w:rsidRDefault="00936AA6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u w:val="single"/>
          <w:lang w:val="hu-HU"/>
        </w:rPr>
        <w:t>Zsákos infúzió készítésére szolgáló módszer</w:t>
      </w:r>
    </w:p>
    <w:p w14:paraId="7F48CC51" w14:textId="77777777" w:rsidR="000C38BF" w:rsidRPr="000E7E81" w:rsidRDefault="002A4378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 xml:space="preserve">Csatlakoztasson egy </w:t>
      </w:r>
      <w:r w:rsidR="00081F18" w:rsidRPr="000E7E81">
        <w:rPr>
          <w:rStyle w:val="font4"/>
          <w:sz w:val="22"/>
          <w:szCs w:val="22"/>
          <w:lang w:val="hu-HU"/>
        </w:rPr>
        <w:t xml:space="preserve">duplavégű áttöltőtűt </w:t>
      </w:r>
      <w:r w:rsidRPr="000E7E81">
        <w:rPr>
          <w:rStyle w:val="font4"/>
          <w:sz w:val="22"/>
          <w:szCs w:val="22"/>
          <w:lang w:val="hu-HU"/>
        </w:rPr>
        <w:t xml:space="preserve">az infúziós zsák </w:t>
      </w:r>
      <w:r w:rsidR="008930E6" w:rsidRPr="000E7E81">
        <w:rPr>
          <w:rStyle w:val="font4"/>
          <w:sz w:val="22"/>
          <w:szCs w:val="22"/>
          <w:lang w:val="hu-HU"/>
        </w:rPr>
        <w:t>injekciós portjához. A tű másik végét csatlakoztassa az omeprazolt tartalmazó injekciós üveghez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26D33823" w14:textId="41F34C14" w:rsidR="000C38BF" w:rsidRPr="000E7E81" w:rsidRDefault="008930E6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 xml:space="preserve">Oldja fel az omeprazolt az </w:t>
      </w:r>
      <w:r w:rsidR="00E67146" w:rsidRPr="000E7E81">
        <w:rPr>
          <w:rStyle w:val="font4"/>
          <w:sz w:val="22"/>
          <w:szCs w:val="22"/>
          <w:lang w:val="hu-HU"/>
        </w:rPr>
        <w:t xml:space="preserve">oldatos </w:t>
      </w:r>
      <w:r w:rsidRPr="000E7E81">
        <w:rPr>
          <w:rStyle w:val="font4"/>
          <w:sz w:val="22"/>
          <w:szCs w:val="22"/>
          <w:lang w:val="hu-HU"/>
        </w:rPr>
        <w:t xml:space="preserve">infúzió </w:t>
      </w:r>
      <w:r w:rsidR="00D20AC8" w:rsidRPr="000E7E81">
        <w:rPr>
          <w:rStyle w:val="font4"/>
          <w:sz w:val="22"/>
          <w:szCs w:val="22"/>
          <w:lang w:val="hu-HU"/>
        </w:rPr>
        <w:t xml:space="preserve">injekciós üveg és infúziós zsák közötti </w:t>
      </w:r>
      <w:r w:rsidRPr="000E7E81">
        <w:rPr>
          <w:rStyle w:val="font4"/>
          <w:sz w:val="22"/>
          <w:szCs w:val="22"/>
          <w:lang w:val="hu-HU"/>
        </w:rPr>
        <w:t xml:space="preserve">oda-vissza történő </w:t>
      </w:r>
      <w:r w:rsidR="00D20AC8" w:rsidRPr="000E7E81">
        <w:rPr>
          <w:rStyle w:val="font4"/>
          <w:sz w:val="22"/>
          <w:szCs w:val="22"/>
          <w:lang w:val="hu-HU"/>
        </w:rPr>
        <w:t>pumpálásával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101D622C" w14:textId="77777777" w:rsidR="000C38BF" w:rsidRPr="000E7E81" w:rsidRDefault="00D20AC8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Ellenőrizze, hogy az omeprazol teljes mennyisége feloldódott-e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524BE216" w14:textId="77777777" w:rsidR="000C38BF" w:rsidRPr="000E7E81" w:rsidRDefault="000C38BF">
      <w:pPr>
        <w:pStyle w:val="NormlWeb"/>
        <w:spacing w:before="0" w:beforeAutospacing="0" w:after="0" w:afterAutospacing="0"/>
        <w:rPr>
          <w:rStyle w:val="font4"/>
          <w:sz w:val="22"/>
          <w:szCs w:val="22"/>
          <w:lang w:val="hu-HU"/>
        </w:rPr>
      </w:pPr>
    </w:p>
    <w:p w14:paraId="442D575C" w14:textId="77777777" w:rsidR="000C38BF" w:rsidRPr="000E7E81" w:rsidRDefault="00D20AC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E7E81">
        <w:rPr>
          <w:rStyle w:val="font4"/>
          <w:sz w:val="22"/>
          <w:szCs w:val="22"/>
          <w:lang w:val="hu-HU"/>
        </w:rPr>
        <w:t>Az oldatos infúziót 20-30 perc alatt kell beadni intravénásan</w:t>
      </w:r>
      <w:r w:rsidR="000C38BF" w:rsidRPr="000E7E81">
        <w:rPr>
          <w:rStyle w:val="font4"/>
          <w:sz w:val="22"/>
          <w:szCs w:val="22"/>
          <w:lang w:val="hu-HU"/>
        </w:rPr>
        <w:t>.</w:t>
      </w:r>
    </w:p>
    <w:p w14:paraId="1A7D3772" w14:textId="77777777" w:rsidR="00A85D27" w:rsidRPr="000E7E81" w:rsidRDefault="00A85D27">
      <w:pPr>
        <w:tabs>
          <w:tab w:val="left" w:pos="567"/>
        </w:tabs>
        <w:spacing w:after="0"/>
        <w:rPr>
          <w:szCs w:val="22"/>
          <w:lang w:val="hu-HU"/>
        </w:rPr>
      </w:pPr>
    </w:p>
    <w:p w14:paraId="50C4CDC8" w14:textId="41A70028" w:rsidR="00A85D27" w:rsidRPr="000E7E81" w:rsidRDefault="002C7760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 feloldott omeprazol pH-ja glükózoldatban </w:t>
      </w:r>
      <w:r w:rsidR="00FF7D68" w:rsidRPr="000E7E81">
        <w:rPr>
          <w:szCs w:val="22"/>
          <w:lang w:val="hu-HU"/>
        </w:rPr>
        <w:t>10,0-11,0</w:t>
      </w:r>
      <w:r w:rsidRPr="000E7E81">
        <w:rPr>
          <w:szCs w:val="22"/>
          <w:lang w:val="hu-HU"/>
        </w:rPr>
        <w:t>; 0,9%-os nátrium-klorid</w:t>
      </w:r>
      <w:r w:rsidR="003C66AB">
        <w:rPr>
          <w:szCs w:val="22"/>
          <w:lang w:val="hu-HU"/>
        </w:rPr>
        <w:t>-</w:t>
      </w:r>
      <w:r w:rsidRPr="000E7E81">
        <w:rPr>
          <w:szCs w:val="22"/>
          <w:lang w:val="hu-HU"/>
        </w:rPr>
        <w:t xml:space="preserve">oldatban </w:t>
      </w:r>
      <w:r w:rsidR="00A85D27" w:rsidRPr="000E7E81">
        <w:rPr>
          <w:szCs w:val="22"/>
          <w:lang w:val="hu-HU"/>
        </w:rPr>
        <w:t>10</w:t>
      </w:r>
      <w:r w:rsidRPr="000E7E81">
        <w:rPr>
          <w:szCs w:val="22"/>
          <w:lang w:val="hu-HU"/>
        </w:rPr>
        <w:t>,</w:t>
      </w:r>
      <w:r w:rsidR="00A85D27" w:rsidRPr="000E7E81">
        <w:rPr>
          <w:szCs w:val="22"/>
          <w:lang w:val="hu-HU"/>
        </w:rPr>
        <w:t>0-11</w:t>
      </w:r>
      <w:r w:rsidRPr="000E7E81">
        <w:rPr>
          <w:szCs w:val="22"/>
          <w:lang w:val="hu-HU"/>
        </w:rPr>
        <w:t>,</w:t>
      </w:r>
      <w:r w:rsidR="00A85D27" w:rsidRPr="000E7E81">
        <w:rPr>
          <w:szCs w:val="22"/>
          <w:lang w:val="hu-HU"/>
        </w:rPr>
        <w:t xml:space="preserve">0. </w:t>
      </w:r>
    </w:p>
    <w:p w14:paraId="2917426E" w14:textId="200B0243" w:rsidR="00A85D27" w:rsidRPr="000E7E81" w:rsidRDefault="002C7760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 xml:space="preserve">A készre hígított </w:t>
      </w:r>
      <w:r w:rsidR="00E67146" w:rsidRPr="000E7E81">
        <w:rPr>
          <w:szCs w:val="22"/>
          <w:lang w:val="hu-HU"/>
        </w:rPr>
        <w:t xml:space="preserve">oldatos </w:t>
      </w:r>
      <w:r w:rsidRPr="000E7E81">
        <w:rPr>
          <w:szCs w:val="22"/>
          <w:lang w:val="hu-HU"/>
        </w:rPr>
        <w:t xml:space="preserve">infúzió pH-ja </w:t>
      </w:r>
      <w:r w:rsidR="008552C5" w:rsidRPr="000E7E81">
        <w:rPr>
          <w:szCs w:val="22"/>
          <w:lang w:val="hu-HU"/>
        </w:rPr>
        <w:t xml:space="preserve">glükózoldatban </w:t>
      </w:r>
      <w:r w:rsidR="00684E9A" w:rsidRPr="000E7E81">
        <w:rPr>
          <w:szCs w:val="22"/>
          <w:lang w:val="hu-HU"/>
        </w:rPr>
        <w:t>10,0-11,0.</w:t>
      </w:r>
      <w:r w:rsidR="008552C5" w:rsidRPr="000E7E81">
        <w:rPr>
          <w:szCs w:val="22"/>
          <w:lang w:val="hu-HU"/>
        </w:rPr>
        <w:t>; 0,9%-os nátrium-klorid</w:t>
      </w:r>
      <w:r w:rsidR="003C66AB">
        <w:rPr>
          <w:szCs w:val="22"/>
          <w:lang w:val="hu-HU"/>
        </w:rPr>
        <w:t>-</w:t>
      </w:r>
      <w:r w:rsidR="008552C5" w:rsidRPr="000E7E81">
        <w:rPr>
          <w:szCs w:val="22"/>
          <w:lang w:val="hu-HU"/>
        </w:rPr>
        <w:t>oldatban</w:t>
      </w:r>
      <w:r w:rsidR="00A85D27" w:rsidRPr="000E7E81">
        <w:rPr>
          <w:szCs w:val="22"/>
          <w:lang w:val="hu-HU"/>
        </w:rPr>
        <w:t xml:space="preserve"> </w:t>
      </w:r>
      <w:r w:rsidR="00FF7D68" w:rsidRPr="000E7E81">
        <w:rPr>
          <w:szCs w:val="22"/>
          <w:lang w:val="hu-HU"/>
        </w:rPr>
        <w:t>10,0-11,0</w:t>
      </w:r>
      <w:r w:rsidR="00A85D27" w:rsidRPr="000E7E81">
        <w:rPr>
          <w:szCs w:val="22"/>
          <w:lang w:val="hu-HU"/>
        </w:rPr>
        <w:t>.</w:t>
      </w:r>
    </w:p>
    <w:p w14:paraId="7C5C4874" w14:textId="77777777" w:rsidR="000C38BF" w:rsidRPr="00B10F22" w:rsidRDefault="000C38BF">
      <w:pPr>
        <w:pStyle w:val="NormlWeb"/>
        <w:spacing w:before="0" w:beforeAutospacing="0" w:after="0" w:afterAutospacing="0"/>
        <w:rPr>
          <w:rStyle w:val="font4"/>
          <w:sz w:val="22"/>
          <w:szCs w:val="22"/>
          <w:lang w:val="hu-HU"/>
        </w:rPr>
      </w:pPr>
    </w:p>
    <w:p w14:paraId="7B5489D1" w14:textId="77777777" w:rsidR="00035B1C" w:rsidRPr="000E7E81" w:rsidRDefault="00035B1C">
      <w:pPr>
        <w:spacing w:after="0"/>
        <w:rPr>
          <w:noProof/>
          <w:szCs w:val="22"/>
          <w:lang w:val="hu-HU" w:eastAsia="en-US"/>
        </w:rPr>
      </w:pPr>
      <w:r w:rsidRPr="000E7E81">
        <w:rPr>
          <w:noProof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7538048B" w14:textId="77777777" w:rsidR="00535191" w:rsidRPr="000E7E81" w:rsidRDefault="00535191">
      <w:pPr>
        <w:tabs>
          <w:tab w:val="left" w:pos="567"/>
        </w:tabs>
        <w:spacing w:after="0"/>
        <w:rPr>
          <w:szCs w:val="22"/>
          <w:lang w:val="hu-HU"/>
        </w:rPr>
      </w:pPr>
    </w:p>
    <w:p w14:paraId="01133ED0" w14:textId="01E159A8" w:rsidR="00FE7489" w:rsidRPr="000E7E81" w:rsidRDefault="00FE7489">
      <w:pPr>
        <w:spacing w:after="0"/>
        <w:rPr>
          <w:bCs/>
          <w:szCs w:val="22"/>
          <w:lang w:val="hu-HU"/>
        </w:rPr>
      </w:pPr>
      <w:r w:rsidRPr="000E7E81">
        <w:rPr>
          <w:b/>
          <w:szCs w:val="22"/>
          <w:lang w:val="hu-HU"/>
        </w:rPr>
        <w:t xml:space="preserve">Megjegyzés: </w:t>
      </w:r>
      <w:r w:rsidRPr="000E7E81">
        <w:rPr>
          <w:szCs w:val="22"/>
          <w:lang w:val="hu-HU"/>
        </w:rPr>
        <w:sym w:font="Wingdings" w:char="F058"/>
      </w:r>
      <w:r w:rsidRPr="000E7E81">
        <w:rPr>
          <w:bCs/>
          <w:szCs w:val="22"/>
          <w:lang w:val="hu-HU"/>
        </w:rPr>
        <w:t xml:space="preserve"> (egy kereszt)</w:t>
      </w:r>
    </w:p>
    <w:p w14:paraId="5A5D5DD8" w14:textId="77777777" w:rsidR="00FE7489" w:rsidRPr="000E7E81" w:rsidRDefault="00FE7489">
      <w:pPr>
        <w:pStyle w:val="Cmsor2"/>
        <w:keepNext w:val="0"/>
        <w:spacing w:before="0" w:after="0"/>
        <w:rPr>
          <w:b w:val="0"/>
          <w:szCs w:val="22"/>
          <w:lang w:val="hu-HU"/>
        </w:rPr>
      </w:pPr>
      <w:r w:rsidRPr="000E7E81">
        <w:rPr>
          <w:b w:val="0"/>
          <w:szCs w:val="22"/>
          <w:lang w:val="hu-HU"/>
        </w:rPr>
        <w:t>Osztályozás:</w:t>
      </w:r>
      <w:r w:rsidRPr="000E7E81">
        <w:rPr>
          <w:bCs/>
          <w:szCs w:val="22"/>
          <w:lang w:val="hu-HU"/>
        </w:rPr>
        <w:t xml:space="preserve"> </w:t>
      </w:r>
      <w:r w:rsidRPr="000E7E81">
        <w:rPr>
          <w:szCs w:val="22"/>
          <w:lang w:val="hu-HU"/>
        </w:rPr>
        <w:t>II./3 csoport</w:t>
      </w:r>
    </w:p>
    <w:p w14:paraId="4AE60EB9" w14:textId="3D3939EE" w:rsidR="00FE7489" w:rsidRPr="000E7E81" w:rsidRDefault="00FE7489">
      <w:pPr>
        <w:spacing w:after="0"/>
        <w:rPr>
          <w:bCs/>
          <w:szCs w:val="22"/>
          <w:lang w:val="hu-HU"/>
        </w:rPr>
      </w:pPr>
      <w:r w:rsidRPr="000E7E81">
        <w:rPr>
          <w:szCs w:val="22"/>
          <w:lang w:val="hu-HU"/>
        </w:rPr>
        <w:t>Korlátozott érvényű orvosi rendelvényhez kötött, az egészségügyről szóló 1997. évi CLIV. törvény 3.</w:t>
      </w:r>
      <w:r w:rsidR="00B95C9A" w:rsidRPr="000E7E81">
        <w:rPr>
          <w:szCs w:val="22"/>
          <w:lang w:val="hu-HU"/>
        </w:rPr>
        <w:t> </w:t>
      </w:r>
      <w:r w:rsidRPr="000E7E81">
        <w:rPr>
          <w:szCs w:val="22"/>
          <w:lang w:val="hu-HU"/>
        </w:rPr>
        <w:t>§-ának ga) pontja szerinti rendelőintézeti járóbeteg-szakellátást vagy fekvőbeteg-szakellátást nyújtó szolgáltatók által biztosított körülmények között alkalmazható gyógyszer</w:t>
      </w:r>
      <w:r w:rsidRPr="000E7E81">
        <w:rPr>
          <w:bCs/>
          <w:szCs w:val="22"/>
          <w:lang w:val="hu-HU"/>
        </w:rPr>
        <w:t xml:space="preserve"> (I).</w:t>
      </w:r>
    </w:p>
    <w:p w14:paraId="76CF99AF" w14:textId="77777777" w:rsidR="00FE7489" w:rsidRPr="000E7E81" w:rsidRDefault="00FE7489">
      <w:pPr>
        <w:tabs>
          <w:tab w:val="left" w:pos="567"/>
        </w:tabs>
        <w:spacing w:after="0"/>
        <w:rPr>
          <w:szCs w:val="22"/>
          <w:lang w:val="hu-HU"/>
        </w:rPr>
      </w:pPr>
    </w:p>
    <w:p w14:paraId="1547BD8C" w14:textId="77777777" w:rsidR="00327456" w:rsidRPr="000E7E81" w:rsidRDefault="00327456">
      <w:pPr>
        <w:tabs>
          <w:tab w:val="left" w:pos="567"/>
        </w:tabs>
        <w:spacing w:after="0"/>
        <w:rPr>
          <w:szCs w:val="22"/>
          <w:lang w:val="hu-HU"/>
        </w:rPr>
      </w:pPr>
    </w:p>
    <w:p w14:paraId="7C3F57C8" w14:textId="77777777" w:rsidR="009E0FD0" w:rsidRPr="000E7E81" w:rsidRDefault="00353C75" w:rsidP="00B10F22">
      <w:pPr>
        <w:pStyle w:val="Cmsor1"/>
        <w:tabs>
          <w:tab w:val="left" w:pos="567"/>
        </w:tabs>
        <w:spacing w:before="0" w:after="0"/>
      </w:pPr>
      <w:r w:rsidRPr="000E7E81">
        <w:t>7.</w:t>
      </w:r>
      <w:r w:rsidRPr="000E7E81">
        <w:tab/>
      </w:r>
      <w:r w:rsidR="00B30018" w:rsidRPr="000E7E81">
        <w:rPr>
          <w:lang w:val="hu-HU"/>
        </w:rPr>
        <w:t>A FORGALOMBA HOZATALI ENGEDÉLY JOGOSULTJA</w:t>
      </w:r>
    </w:p>
    <w:p w14:paraId="25178F24" w14:textId="77777777" w:rsidR="00CC24B8" w:rsidRPr="000E7E81" w:rsidRDefault="00CC24B8" w:rsidP="000E7E81">
      <w:pPr>
        <w:tabs>
          <w:tab w:val="left" w:pos="567"/>
        </w:tabs>
        <w:spacing w:after="0"/>
        <w:rPr>
          <w:szCs w:val="22"/>
        </w:rPr>
      </w:pPr>
    </w:p>
    <w:p w14:paraId="4D0938BE" w14:textId="77777777" w:rsidR="006A3BEF" w:rsidRPr="000E7E81" w:rsidRDefault="00861BC2" w:rsidP="000E7E81">
      <w:pPr>
        <w:tabs>
          <w:tab w:val="left" w:pos="567"/>
        </w:tabs>
        <w:spacing w:after="0"/>
        <w:rPr>
          <w:szCs w:val="22"/>
        </w:rPr>
      </w:pPr>
      <w:r w:rsidRPr="000E7E81">
        <w:rPr>
          <w:szCs w:val="22"/>
        </w:rPr>
        <w:t>Gufic Ireland Limited</w:t>
      </w:r>
    </w:p>
    <w:p w14:paraId="788F9DED" w14:textId="77777777" w:rsidR="006A3BEF" w:rsidRPr="000E7E81" w:rsidRDefault="006A3BEF">
      <w:pPr>
        <w:tabs>
          <w:tab w:val="left" w:pos="567"/>
        </w:tabs>
        <w:spacing w:after="0"/>
        <w:rPr>
          <w:szCs w:val="22"/>
        </w:rPr>
      </w:pPr>
      <w:r w:rsidRPr="000E7E81">
        <w:rPr>
          <w:szCs w:val="22"/>
        </w:rPr>
        <w:t>The Black Church</w:t>
      </w:r>
    </w:p>
    <w:p w14:paraId="14869FEC" w14:textId="77777777" w:rsidR="006A3BEF" w:rsidRPr="000E7E81" w:rsidRDefault="006A3BEF">
      <w:pPr>
        <w:tabs>
          <w:tab w:val="left" w:pos="567"/>
        </w:tabs>
        <w:spacing w:after="0"/>
        <w:rPr>
          <w:szCs w:val="22"/>
        </w:rPr>
      </w:pPr>
      <w:r w:rsidRPr="000E7E81">
        <w:rPr>
          <w:szCs w:val="22"/>
        </w:rPr>
        <w:t>St. Mary’s Place</w:t>
      </w:r>
    </w:p>
    <w:p w14:paraId="0BA2C5B9" w14:textId="77777777" w:rsidR="006A3BEF" w:rsidRPr="000E7E81" w:rsidRDefault="006A3BEF">
      <w:pPr>
        <w:tabs>
          <w:tab w:val="left" w:pos="567"/>
        </w:tabs>
        <w:spacing w:after="0"/>
        <w:rPr>
          <w:szCs w:val="22"/>
        </w:rPr>
      </w:pPr>
      <w:r w:rsidRPr="000E7E81">
        <w:rPr>
          <w:szCs w:val="22"/>
        </w:rPr>
        <w:t>Dublin 7</w:t>
      </w:r>
    </w:p>
    <w:p w14:paraId="3FD37D8F" w14:textId="77777777" w:rsidR="00150417" w:rsidRPr="000E7E81" w:rsidRDefault="006A3BEF">
      <w:pPr>
        <w:tabs>
          <w:tab w:val="left" w:pos="567"/>
        </w:tabs>
        <w:spacing w:after="0"/>
        <w:rPr>
          <w:szCs w:val="22"/>
          <w:lang w:val="hu-HU"/>
        </w:rPr>
      </w:pPr>
      <w:r w:rsidRPr="000E7E81">
        <w:rPr>
          <w:szCs w:val="22"/>
          <w:lang w:val="hu-HU"/>
        </w:rPr>
        <w:t>Írország</w:t>
      </w:r>
    </w:p>
    <w:p w14:paraId="5751017F" w14:textId="77777777" w:rsidR="00BF7DD1" w:rsidRPr="000E7E81" w:rsidRDefault="00BF7DD1">
      <w:pPr>
        <w:tabs>
          <w:tab w:val="left" w:pos="567"/>
        </w:tabs>
        <w:spacing w:after="0"/>
        <w:rPr>
          <w:szCs w:val="22"/>
          <w:lang w:val="ro-RO"/>
        </w:rPr>
      </w:pPr>
    </w:p>
    <w:p w14:paraId="59B3421F" w14:textId="77777777" w:rsidR="00F11AA0" w:rsidRPr="000E7E81" w:rsidRDefault="00F11AA0">
      <w:pPr>
        <w:tabs>
          <w:tab w:val="left" w:pos="567"/>
        </w:tabs>
        <w:spacing w:after="0"/>
        <w:rPr>
          <w:szCs w:val="22"/>
        </w:rPr>
      </w:pPr>
    </w:p>
    <w:p w14:paraId="4CFC890F" w14:textId="77777777" w:rsidR="009E0FD0" w:rsidRPr="00672527" w:rsidRDefault="00353C75" w:rsidP="00B10F22">
      <w:pPr>
        <w:pStyle w:val="Cmsor1"/>
        <w:tabs>
          <w:tab w:val="left" w:pos="567"/>
        </w:tabs>
        <w:spacing w:before="0" w:after="0"/>
      </w:pPr>
      <w:r w:rsidRPr="00672527">
        <w:t>8.</w:t>
      </w:r>
      <w:r w:rsidRPr="00672527">
        <w:tab/>
      </w:r>
      <w:r w:rsidR="00B30018" w:rsidRPr="00672527">
        <w:rPr>
          <w:lang w:val="hu-HU"/>
        </w:rPr>
        <w:t>A FORGALOMBA HOZATALI ENGEDÉLY SZÁMA(I)</w:t>
      </w:r>
    </w:p>
    <w:p w14:paraId="0F22F093" w14:textId="77777777" w:rsidR="000F2E30" w:rsidRPr="00672527" w:rsidRDefault="000F2E30" w:rsidP="000E7E81">
      <w:pPr>
        <w:tabs>
          <w:tab w:val="left" w:pos="567"/>
        </w:tabs>
        <w:spacing w:after="0"/>
        <w:rPr>
          <w:szCs w:val="22"/>
        </w:rPr>
      </w:pPr>
    </w:p>
    <w:p w14:paraId="4A73EF00" w14:textId="75BC6321" w:rsidR="00F11AA0" w:rsidRPr="00672527" w:rsidRDefault="00B30018" w:rsidP="00B10F22">
      <w:pPr>
        <w:tabs>
          <w:tab w:val="left" w:pos="567"/>
          <w:tab w:val="left" w:pos="2127"/>
          <w:tab w:val="left" w:pos="2977"/>
        </w:tabs>
        <w:spacing w:after="0"/>
        <w:rPr>
          <w:szCs w:val="22"/>
          <w:lang w:val="hu-HU"/>
        </w:rPr>
      </w:pPr>
      <w:r w:rsidRPr="00672527">
        <w:rPr>
          <w:szCs w:val="22"/>
          <w:lang w:val="hu-HU"/>
        </w:rPr>
        <w:t>OGYI-T-</w:t>
      </w:r>
      <w:r w:rsidR="00672527" w:rsidRPr="00672527">
        <w:rPr>
          <w:szCs w:val="22"/>
          <w:lang w:val="hu-HU"/>
        </w:rPr>
        <w:t>24573</w:t>
      </w:r>
      <w:r w:rsidRPr="00672527">
        <w:rPr>
          <w:szCs w:val="22"/>
          <w:lang w:val="hu-HU"/>
        </w:rPr>
        <w:t>/01</w:t>
      </w:r>
      <w:r w:rsidR="00E326F6" w:rsidRPr="00672527">
        <w:rPr>
          <w:szCs w:val="22"/>
          <w:lang w:val="hu-HU"/>
        </w:rPr>
        <w:tab/>
        <w:t>1</w:t>
      </w:r>
      <w:r w:rsidR="002D5490" w:rsidRPr="00672527">
        <w:rPr>
          <w:szCs w:val="22"/>
          <w:lang w:val="hu-HU"/>
        </w:rPr>
        <w:t>0</w:t>
      </w:r>
      <w:r w:rsidR="00E326F6" w:rsidRPr="00672527">
        <w:rPr>
          <w:szCs w:val="22"/>
          <w:lang w:val="hu-HU"/>
        </w:rPr>
        <w:t xml:space="preserve"> ×</w:t>
      </w:r>
      <w:r w:rsidR="00CC6D5F" w:rsidRPr="00672527">
        <w:rPr>
          <w:szCs w:val="22"/>
          <w:lang w:val="hu-HU"/>
        </w:rPr>
        <w:tab/>
      </w:r>
      <w:r w:rsidR="00E326F6" w:rsidRPr="00672527">
        <w:rPr>
          <w:szCs w:val="22"/>
          <w:lang w:val="hu-HU"/>
        </w:rPr>
        <w:t>injekciós üveg</w:t>
      </w:r>
      <w:r w:rsidR="00304609" w:rsidRPr="00672527">
        <w:rPr>
          <w:szCs w:val="22"/>
          <w:lang w:val="hu-HU"/>
        </w:rPr>
        <w:t>ben</w:t>
      </w:r>
    </w:p>
    <w:p w14:paraId="333FD486" w14:textId="77777777" w:rsidR="00BF7DD1" w:rsidRPr="00672527" w:rsidRDefault="00BF7DD1">
      <w:pPr>
        <w:tabs>
          <w:tab w:val="left" w:pos="567"/>
        </w:tabs>
        <w:spacing w:after="0"/>
        <w:rPr>
          <w:szCs w:val="22"/>
          <w:lang w:val="hu-HU"/>
        </w:rPr>
      </w:pPr>
    </w:p>
    <w:p w14:paraId="32C8D526" w14:textId="77777777" w:rsidR="00F01171" w:rsidRPr="00672527" w:rsidRDefault="00F01171">
      <w:pPr>
        <w:tabs>
          <w:tab w:val="left" w:pos="567"/>
        </w:tabs>
        <w:spacing w:after="0"/>
        <w:rPr>
          <w:szCs w:val="22"/>
          <w:lang w:val="hu-HU"/>
        </w:rPr>
      </w:pPr>
    </w:p>
    <w:p w14:paraId="5DA5DCAF" w14:textId="085A0204" w:rsidR="009E0FD0" w:rsidRPr="00672527" w:rsidRDefault="00353C75" w:rsidP="00B10F22">
      <w:pPr>
        <w:pStyle w:val="Cmsor1"/>
        <w:spacing w:before="0" w:after="0"/>
        <w:ind w:left="567" w:hanging="567"/>
        <w:rPr>
          <w:lang w:val="hu-HU"/>
        </w:rPr>
      </w:pPr>
      <w:r w:rsidRPr="00672527">
        <w:rPr>
          <w:lang w:val="hu-HU"/>
        </w:rPr>
        <w:t>9.</w:t>
      </w:r>
      <w:r w:rsidRPr="00672527">
        <w:rPr>
          <w:lang w:val="hu-HU"/>
        </w:rPr>
        <w:tab/>
      </w:r>
      <w:r w:rsidR="00B30018" w:rsidRPr="00672527">
        <w:rPr>
          <w:lang w:val="hu-HU"/>
        </w:rPr>
        <w:t>A FORGALOMBA HOZATALI ENGEDÉLY ELSŐ KIADÁSÁNAK/</w:t>
      </w:r>
      <w:r w:rsidR="004452DF" w:rsidRPr="00672527">
        <w:rPr>
          <w:lang w:val="hu-HU"/>
        </w:rPr>
        <w:t xml:space="preserve"> </w:t>
      </w:r>
      <w:r w:rsidR="00B30018" w:rsidRPr="00672527">
        <w:rPr>
          <w:lang w:val="hu-HU"/>
        </w:rPr>
        <w:t>MEGÚJÍTÁSÁNAK DÁTUMA</w:t>
      </w:r>
    </w:p>
    <w:p w14:paraId="3F100329" w14:textId="77777777" w:rsidR="00BB1612" w:rsidRPr="00672527" w:rsidRDefault="00BB1612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645610B6" w14:textId="33B6F4EA" w:rsidR="00895108" w:rsidRPr="00672527" w:rsidRDefault="00B30018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672527">
        <w:rPr>
          <w:szCs w:val="22"/>
          <w:lang w:val="hu-HU"/>
        </w:rPr>
        <w:t xml:space="preserve">A forgalomba hozatali engedély első kiadásának </w:t>
      </w:r>
      <w:proofErr w:type="gramStart"/>
      <w:r w:rsidRPr="00672527">
        <w:rPr>
          <w:szCs w:val="22"/>
          <w:lang w:val="hu-HU"/>
        </w:rPr>
        <w:t>dátuma</w:t>
      </w:r>
      <w:proofErr w:type="gramEnd"/>
      <w:r w:rsidRPr="00672527">
        <w:rPr>
          <w:szCs w:val="22"/>
          <w:lang w:val="hu-HU"/>
        </w:rPr>
        <w:t>:</w:t>
      </w:r>
      <w:r w:rsidR="00B95C9A" w:rsidRPr="00672527">
        <w:rPr>
          <w:szCs w:val="22"/>
          <w:lang w:val="hu-HU"/>
        </w:rPr>
        <w:t xml:space="preserve"> </w:t>
      </w:r>
      <w:r w:rsidR="00D26877" w:rsidRPr="00672527">
        <w:rPr>
          <w:szCs w:val="22"/>
          <w:lang w:val="hu-HU"/>
        </w:rPr>
        <w:t xml:space="preserve">2025. </w:t>
      </w:r>
      <w:r w:rsidR="00672527" w:rsidRPr="00672527">
        <w:rPr>
          <w:szCs w:val="22"/>
          <w:lang w:val="hu-HU"/>
        </w:rPr>
        <w:t>május 23</w:t>
      </w:r>
      <w:r w:rsidR="00D26877" w:rsidRPr="00672527">
        <w:rPr>
          <w:szCs w:val="22"/>
          <w:lang w:val="hu-HU"/>
        </w:rPr>
        <w:t>.</w:t>
      </w:r>
    </w:p>
    <w:p w14:paraId="54CC07A2" w14:textId="77777777" w:rsidR="002140C9" w:rsidRPr="00672527" w:rsidRDefault="002140C9">
      <w:pPr>
        <w:tabs>
          <w:tab w:val="left" w:pos="567"/>
        </w:tabs>
        <w:spacing w:after="0"/>
        <w:rPr>
          <w:szCs w:val="22"/>
          <w:lang w:val="hu-HU"/>
        </w:rPr>
      </w:pPr>
    </w:p>
    <w:p w14:paraId="324DB2CF" w14:textId="77777777" w:rsidR="00BF7DD1" w:rsidRPr="00672527" w:rsidRDefault="00BF7DD1">
      <w:pPr>
        <w:tabs>
          <w:tab w:val="left" w:pos="567"/>
        </w:tabs>
        <w:spacing w:after="0"/>
        <w:rPr>
          <w:szCs w:val="22"/>
          <w:lang w:val="hu-HU"/>
        </w:rPr>
      </w:pPr>
    </w:p>
    <w:p w14:paraId="69D18AAF" w14:textId="77777777" w:rsidR="002D5AAC" w:rsidRPr="00672527" w:rsidRDefault="00353C75" w:rsidP="00B10F22">
      <w:pPr>
        <w:pStyle w:val="Cmsor1"/>
        <w:tabs>
          <w:tab w:val="left" w:pos="567"/>
        </w:tabs>
        <w:spacing w:before="0" w:after="0"/>
        <w:rPr>
          <w:lang w:val="hu-HU"/>
        </w:rPr>
      </w:pPr>
      <w:r w:rsidRPr="00672527">
        <w:rPr>
          <w:lang w:val="hu-HU"/>
        </w:rPr>
        <w:t>10.</w:t>
      </w:r>
      <w:r w:rsidRPr="00672527">
        <w:rPr>
          <w:lang w:val="hu-HU"/>
        </w:rPr>
        <w:tab/>
      </w:r>
      <w:r w:rsidR="00B30018" w:rsidRPr="00672527">
        <w:rPr>
          <w:lang w:val="hu-HU"/>
        </w:rPr>
        <w:t>A SZÖVEG ELLENŐRZÉSÉNEK DÁTUMA</w:t>
      </w:r>
    </w:p>
    <w:p w14:paraId="26C25376" w14:textId="77777777" w:rsidR="00CC24B8" w:rsidRPr="00672527" w:rsidRDefault="00CC24B8" w:rsidP="000E7E81">
      <w:pPr>
        <w:tabs>
          <w:tab w:val="left" w:pos="567"/>
        </w:tabs>
        <w:spacing w:after="0"/>
        <w:rPr>
          <w:szCs w:val="22"/>
          <w:lang w:val="hu-HU"/>
        </w:rPr>
      </w:pPr>
    </w:p>
    <w:p w14:paraId="4E219D41" w14:textId="0A160E12" w:rsidR="001E0283" w:rsidRPr="00B10F22" w:rsidRDefault="00D26877" w:rsidP="000E7E81">
      <w:pPr>
        <w:tabs>
          <w:tab w:val="left" w:pos="567"/>
        </w:tabs>
        <w:spacing w:after="0"/>
        <w:rPr>
          <w:szCs w:val="22"/>
          <w:lang w:val="hu-HU"/>
        </w:rPr>
      </w:pPr>
      <w:r w:rsidRPr="00672527">
        <w:rPr>
          <w:szCs w:val="22"/>
          <w:lang w:val="hu-HU"/>
        </w:rPr>
        <w:t xml:space="preserve">2025. </w:t>
      </w:r>
      <w:r w:rsidR="00672527" w:rsidRPr="00672527">
        <w:rPr>
          <w:szCs w:val="22"/>
          <w:lang w:val="hu-HU"/>
        </w:rPr>
        <w:t>május 23</w:t>
      </w:r>
      <w:r w:rsidRPr="00672527">
        <w:rPr>
          <w:szCs w:val="22"/>
          <w:lang w:val="hu-HU"/>
        </w:rPr>
        <w:t>.</w:t>
      </w:r>
      <w:bookmarkStart w:id="7" w:name="_GoBack"/>
      <w:bookmarkEnd w:id="7"/>
    </w:p>
    <w:p w14:paraId="7A9AB7FA" w14:textId="77777777" w:rsidR="001E0283" w:rsidRPr="00B10F22" w:rsidRDefault="001E0283">
      <w:pPr>
        <w:tabs>
          <w:tab w:val="left" w:pos="567"/>
        </w:tabs>
        <w:spacing w:after="0"/>
        <w:rPr>
          <w:szCs w:val="22"/>
          <w:lang w:val="hu-HU"/>
        </w:rPr>
      </w:pPr>
    </w:p>
    <w:p w14:paraId="1C90EB35" w14:textId="77777777" w:rsidR="001E0283" w:rsidRPr="00B10F22" w:rsidRDefault="001E0283">
      <w:pPr>
        <w:spacing w:after="0"/>
        <w:rPr>
          <w:szCs w:val="22"/>
          <w:lang w:val="hu-HU"/>
        </w:rPr>
      </w:pPr>
    </w:p>
    <w:sectPr w:rsidR="001E0283" w:rsidRPr="00B10F22" w:rsidSect="009010AF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34055" w14:textId="77777777" w:rsidR="00A42148" w:rsidRDefault="00A42148" w:rsidP="00D74BF2">
      <w:pPr>
        <w:spacing w:after="0"/>
      </w:pPr>
      <w:r>
        <w:separator/>
      </w:r>
    </w:p>
  </w:endnote>
  <w:endnote w:type="continuationSeparator" w:id="0">
    <w:p w14:paraId="0D93160C" w14:textId="77777777" w:rsidR="00A42148" w:rsidRDefault="00A42148" w:rsidP="00D74B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7BCDB" w14:textId="3210DB2C" w:rsidR="007D6630" w:rsidRPr="00864C65" w:rsidRDefault="007D6630">
    <w:pPr>
      <w:pStyle w:val="llb"/>
      <w:rPr>
        <w:sz w:val="18"/>
        <w:szCs w:val="18"/>
      </w:rPr>
    </w:pPr>
    <w:r w:rsidRPr="00004B35">
      <w:rPr>
        <w:sz w:val="18"/>
        <w:szCs w:val="18"/>
      </w:rPr>
      <w:t>OGYÉI/71008/2023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3D887" w14:textId="77777777" w:rsidR="00A42148" w:rsidRDefault="00A42148" w:rsidP="00D74BF2">
      <w:pPr>
        <w:spacing w:after="0"/>
      </w:pPr>
      <w:r>
        <w:separator/>
      </w:r>
    </w:p>
  </w:footnote>
  <w:footnote w:type="continuationSeparator" w:id="0">
    <w:p w14:paraId="36B2E426" w14:textId="77777777" w:rsidR="00A42148" w:rsidRDefault="00A42148" w:rsidP="00D74B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B28BB" w14:textId="0BA946C7" w:rsidR="007D6630" w:rsidRPr="000218B7" w:rsidRDefault="007D6630" w:rsidP="000218B7">
    <w:pPr>
      <w:pStyle w:val="lfej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27B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724D7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CACF0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1E46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D6E7E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52BF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480A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300E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5AA4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B89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06429CD"/>
    <w:multiLevelType w:val="hybridMultilevel"/>
    <w:tmpl w:val="A3C899BC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C223BB"/>
    <w:multiLevelType w:val="multilevel"/>
    <w:tmpl w:val="A57E6A8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0B3350CF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B4A397B"/>
    <w:multiLevelType w:val="hybridMultilevel"/>
    <w:tmpl w:val="C82CF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7C44FF"/>
    <w:multiLevelType w:val="hybridMultilevel"/>
    <w:tmpl w:val="67DAB59E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A4391"/>
    <w:multiLevelType w:val="hybridMultilevel"/>
    <w:tmpl w:val="A2426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C05C31"/>
    <w:multiLevelType w:val="hybridMultilevel"/>
    <w:tmpl w:val="1376EC3C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615F6F"/>
    <w:multiLevelType w:val="hybridMultilevel"/>
    <w:tmpl w:val="EBCA4BEE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633701"/>
    <w:multiLevelType w:val="hybridMultilevel"/>
    <w:tmpl w:val="C0CAA276"/>
    <w:lvl w:ilvl="0" w:tplc="0405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0" w15:restartNumberingAfterBreak="0">
    <w:nsid w:val="2D0D7FE0"/>
    <w:multiLevelType w:val="hybridMultilevel"/>
    <w:tmpl w:val="F0E4226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142B8"/>
    <w:multiLevelType w:val="hybridMultilevel"/>
    <w:tmpl w:val="AFA25D76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0E2AEA"/>
    <w:multiLevelType w:val="hybridMultilevel"/>
    <w:tmpl w:val="FC80790E"/>
    <w:lvl w:ilvl="0" w:tplc="7AF0C82C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60A561E"/>
    <w:multiLevelType w:val="hybridMultilevel"/>
    <w:tmpl w:val="E7100CF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35389B"/>
    <w:multiLevelType w:val="hybridMultilevel"/>
    <w:tmpl w:val="A418A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90D01"/>
    <w:multiLevelType w:val="hybridMultilevel"/>
    <w:tmpl w:val="3DF44ECE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391C62"/>
    <w:multiLevelType w:val="hybridMultilevel"/>
    <w:tmpl w:val="A418A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4C5197"/>
    <w:multiLevelType w:val="hybridMultilevel"/>
    <w:tmpl w:val="BF6C2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6F70D8"/>
    <w:multiLevelType w:val="hybridMultilevel"/>
    <w:tmpl w:val="DD603E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45C30B30"/>
    <w:multiLevelType w:val="hybridMultilevel"/>
    <w:tmpl w:val="D58262BA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9F32153"/>
    <w:multiLevelType w:val="hybridMultilevel"/>
    <w:tmpl w:val="3188B5B0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1139A"/>
    <w:multiLevelType w:val="hybridMultilevel"/>
    <w:tmpl w:val="62A2811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8F3A8B"/>
    <w:multiLevelType w:val="hybridMultilevel"/>
    <w:tmpl w:val="2946ABAC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A35780"/>
    <w:multiLevelType w:val="hybridMultilevel"/>
    <w:tmpl w:val="0BD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50799"/>
    <w:multiLevelType w:val="hybridMultilevel"/>
    <w:tmpl w:val="5CC0ADB8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026B4A"/>
    <w:multiLevelType w:val="hybridMultilevel"/>
    <w:tmpl w:val="8F1CB21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CE0D95"/>
    <w:multiLevelType w:val="hybridMultilevel"/>
    <w:tmpl w:val="8B4C4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C62196"/>
    <w:multiLevelType w:val="hybridMultilevel"/>
    <w:tmpl w:val="D74616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F652A8"/>
    <w:multiLevelType w:val="singleLevel"/>
    <w:tmpl w:val="6986CAA6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4236DD9"/>
    <w:multiLevelType w:val="multilevel"/>
    <w:tmpl w:val="63C0252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1" w15:restartNumberingAfterBreak="0">
    <w:nsid w:val="668F4029"/>
    <w:multiLevelType w:val="hybridMultilevel"/>
    <w:tmpl w:val="6F4ADCE8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756D1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72156C78"/>
    <w:multiLevelType w:val="hybridMultilevel"/>
    <w:tmpl w:val="258A89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0D7A87"/>
    <w:multiLevelType w:val="hybridMultilevel"/>
    <w:tmpl w:val="C9B81136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A0B5C87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A33570D"/>
    <w:multiLevelType w:val="multilevel"/>
    <w:tmpl w:val="A57E6A8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7AF014C9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8" w15:restartNumberingAfterBreak="0">
    <w:nsid w:val="7AF55C08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B054374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9"/>
  </w:num>
  <w:num w:numId="2">
    <w:abstractNumId w:val="40"/>
  </w:num>
  <w:num w:numId="3">
    <w:abstractNumId w:val="40"/>
  </w:num>
  <w:num w:numId="4">
    <w:abstractNumId w:val="40"/>
  </w:num>
  <w:num w:numId="5">
    <w:abstractNumId w:val="40"/>
  </w:num>
  <w:num w:numId="6">
    <w:abstractNumId w:val="47"/>
  </w:num>
  <w:num w:numId="7">
    <w:abstractNumId w:val="45"/>
  </w:num>
  <w:num w:numId="8">
    <w:abstractNumId w:val="42"/>
  </w:num>
  <w:num w:numId="9">
    <w:abstractNumId w:val="13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39"/>
  </w:num>
  <w:num w:numId="21">
    <w:abstractNumId w:val="22"/>
  </w:num>
  <w:num w:numId="22">
    <w:abstractNumId w:val="46"/>
  </w:num>
  <w:num w:numId="23">
    <w:abstractNumId w:val="12"/>
  </w:num>
  <w:num w:numId="24">
    <w:abstractNumId w:val="48"/>
  </w:num>
  <w:num w:numId="25">
    <w:abstractNumId w:val="49"/>
  </w:num>
  <w:num w:numId="26">
    <w:abstractNumId w:val="16"/>
  </w:num>
  <w:num w:numId="27">
    <w:abstractNumId w:val="27"/>
  </w:num>
  <w:num w:numId="28">
    <w:abstractNumId w:val="34"/>
  </w:num>
  <w:num w:numId="29">
    <w:abstractNumId w:val="24"/>
  </w:num>
  <w:num w:numId="30">
    <w:abstractNumId w:val="37"/>
  </w:num>
  <w:num w:numId="31">
    <w:abstractNumId w:val="43"/>
  </w:num>
  <w:num w:numId="32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3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4">
    <w:abstractNumId w:val="33"/>
  </w:num>
  <w:num w:numId="35">
    <w:abstractNumId w:val="21"/>
  </w:num>
  <w:num w:numId="36">
    <w:abstractNumId w:val="25"/>
  </w:num>
  <w:num w:numId="37">
    <w:abstractNumId w:val="35"/>
  </w:num>
  <w:num w:numId="38">
    <w:abstractNumId w:val="30"/>
  </w:num>
  <w:num w:numId="39">
    <w:abstractNumId w:val="44"/>
  </w:num>
  <w:num w:numId="40">
    <w:abstractNumId w:val="38"/>
  </w:num>
  <w:num w:numId="41">
    <w:abstractNumId w:val="28"/>
  </w:num>
  <w:num w:numId="42">
    <w:abstractNumId w:val="14"/>
  </w:num>
  <w:num w:numId="43">
    <w:abstractNumId w:val="20"/>
  </w:num>
  <w:num w:numId="44">
    <w:abstractNumId w:val="41"/>
  </w:num>
  <w:num w:numId="45">
    <w:abstractNumId w:val="15"/>
  </w:num>
  <w:num w:numId="46">
    <w:abstractNumId w:val="36"/>
  </w:num>
  <w:num w:numId="47">
    <w:abstractNumId w:val="11"/>
  </w:num>
  <w:num w:numId="48">
    <w:abstractNumId w:val="23"/>
  </w:num>
  <w:num w:numId="49">
    <w:abstractNumId w:val="32"/>
  </w:num>
  <w:num w:numId="50">
    <w:abstractNumId w:val="17"/>
  </w:num>
  <w:num w:numId="51">
    <w:abstractNumId w:val="31"/>
  </w:num>
  <w:num w:numId="52">
    <w:abstractNumId w:val="18"/>
  </w:num>
  <w:num w:numId="53">
    <w:abstractNumId w:val="26"/>
  </w:num>
  <w:num w:numId="54">
    <w:abstractNumId w:val="1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AT" w:vendorID="64" w:dllVersion="6" w:nlCheck="1" w:checkStyle="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hu-HU" w:vendorID="64" w:dllVersion="4096" w:nlCheck="1" w:checkStyle="0"/>
  <w:activeWritingStyle w:appName="MSWord" w:lang="en-US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0F"/>
    <w:rsid w:val="00004B35"/>
    <w:rsid w:val="00005F92"/>
    <w:rsid w:val="000173F4"/>
    <w:rsid w:val="000218B7"/>
    <w:rsid w:val="00023E17"/>
    <w:rsid w:val="00033375"/>
    <w:rsid w:val="00034341"/>
    <w:rsid w:val="00035A17"/>
    <w:rsid w:val="00035B1C"/>
    <w:rsid w:val="00040909"/>
    <w:rsid w:val="00044BE9"/>
    <w:rsid w:val="00045F34"/>
    <w:rsid w:val="000467E3"/>
    <w:rsid w:val="000517BD"/>
    <w:rsid w:val="0005299A"/>
    <w:rsid w:val="0005659F"/>
    <w:rsid w:val="00060058"/>
    <w:rsid w:val="000623FC"/>
    <w:rsid w:val="00075451"/>
    <w:rsid w:val="00077BDA"/>
    <w:rsid w:val="00077E07"/>
    <w:rsid w:val="000805E2"/>
    <w:rsid w:val="00081F18"/>
    <w:rsid w:val="000822BB"/>
    <w:rsid w:val="00093C46"/>
    <w:rsid w:val="0009629A"/>
    <w:rsid w:val="00097BC5"/>
    <w:rsid w:val="000A2BB7"/>
    <w:rsid w:val="000A630B"/>
    <w:rsid w:val="000B45A9"/>
    <w:rsid w:val="000B6BC3"/>
    <w:rsid w:val="000C2ACB"/>
    <w:rsid w:val="000C38BF"/>
    <w:rsid w:val="000C3934"/>
    <w:rsid w:val="000C5E48"/>
    <w:rsid w:val="000C7856"/>
    <w:rsid w:val="000E2CC8"/>
    <w:rsid w:val="000E5332"/>
    <w:rsid w:val="000E7E81"/>
    <w:rsid w:val="000F2E30"/>
    <w:rsid w:val="000F362C"/>
    <w:rsid w:val="000F39D2"/>
    <w:rsid w:val="000F7644"/>
    <w:rsid w:val="00100838"/>
    <w:rsid w:val="00106A3B"/>
    <w:rsid w:val="00110960"/>
    <w:rsid w:val="00112D93"/>
    <w:rsid w:val="001134A5"/>
    <w:rsid w:val="0011667C"/>
    <w:rsid w:val="00116FFC"/>
    <w:rsid w:val="0011721C"/>
    <w:rsid w:val="001205D7"/>
    <w:rsid w:val="00127588"/>
    <w:rsid w:val="0012765C"/>
    <w:rsid w:val="00127D0C"/>
    <w:rsid w:val="00130640"/>
    <w:rsid w:val="00142165"/>
    <w:rsid w:val="00144444"/>
    <w:rsid w:val="00146BBE"/>
    <w:rsid w:val="00150417"/>
    <w:rsid w:val="00155EA5"/>
    <w:rsid w:val="001630C4"/>
    <w:rsid w:val="001728A9"/>
    <w:rsid w:val="00192F08"/>
    <w:rsid w:val="001953EC"/>
    <w:rsid w:val="00195492"/>
    <w:rsid w:val="00195B9C"/>
    <w:rsid w:val="0019643E"/>
    <w:rsid w:val="001A2133"/>
    <w:rsid w:val="001A53F5"/>
    <w:rsid w:val="001A72C7"/>
    <w:rsid w:val="001B1499"/>
    <w:rsid w:val="001B458F"/>
    <w:rsid w:val="001C1704"/>
    <w:rsid w:val="001C374A"/>
    <w:rsid w:val="001D2168"/>
    <w:rsid w:val="001D2DE7"/>
    <w:rsid w:val="001E0283"/>
    <w:rsid w:val="001E3446"/>
    <w:rsid w:val="001E3853"/>
    <w:rsid w:val="001E414B"/>
    <w:rsid w:val="001E698B"/>
    <w:rsid w:val="001F0A1A"/>
    <w:rsid w:val="001F7DAE"/>
    <w:rsid w:val="002040D4"/>
    <w:rsid w:val="00206B45"/>
    <w:rsid w:val="002140C9"/>
    <w:rsid w:val="00220ABE"/>
    <w:rsid w:val="00225753"/>
    <w:rsid w:val="002304E8"/>
    <w:rsid w:val="00230E1A"/>
    <w:rsid w:val="002373D5"/>
    <w:rsid w:val="00237720"/>
    <w:rsid w:val="00243877"/>
    <w:rsid w:val="00245B2F"/>
    <w:rsid w:val="0024656E"/>
    <w:rsid w:val="00246CBD"/>
    <w:rsid w:val="0024785D"/>
    <w:rsid w:val="00247F17"/>
    <w:rsid w:val="00250CB5"/>
    <w:rsid w:val="00252796"/>
    <w:rsid w:val="00255263"/>
    <w:rsid w:val="00260354"/>
    <w:rsid w:val="00261E9B"/>
    <w:rsid w:val="002653D5"/>
    <w:rsid w:val="00271838"/>
    <w:rsid w:val="00273AE0"/>
    <w:rsid w:val="0028202C"/>
    <w:rsid w:val="002824BF"/>
    <w:rsid w:val="0029049C"/>
    <w:rsid w:val="00293E0F"/>
    <w:rsid w:val="00293E1D"/>
    <w:rsid w:val="0029545B"/>
    <w:rsid w:val="002A2CF5"/>
    <w:rsid w:val="002A4378"/>
    <w:rsid w:val="002B26F1"/>
    <w:rsid w:val="002C4B6C"/>
    <w:rsid w:val="002C5EEE"/>
    <w:rsid w:val="002C7760"/>
    <w:rsid w:val="002D249E"/>
    <w:rsid w:val="002D40AD"/>
    <w:rsid w:val="002D5490"/>
    <w:rsid w:val="002D5AAC"/>
    <w:rsid w:val="002F1050"/>
    <w:rsid w:val="002F2D4C"/>
    <w:rsid w:val="002F4933"/>
    <w:rsid w:val="0030021D"/>
    <w:rsid w:val="00303B87"/>
    <w:rsid w:val="00304609"/>
    <w:rsid w:val="003172B2"/>
    <w:rsid w:val="003246C8"/>
    <w:rsid w:val="00324FC4"/>
    <w:rsid w:val="00327456"/>
    <w:rsid w:val="003279D3"/>
    <w:rsid w:val="00331BCF"/>
    <w:rsid w:val="00333996"/>
    <w:rsid w:val="00333EC6"/>
    <w:rsid w:val="003408CB"/>
    <w:rsid w:val="00343869"/>
    <w:rsid w:val="00344992"/>
    <w:rsid w:val="003455AE"/>
    <w:rsid w:val="003533FA"/>
    <w:rsid w:val="00353C75"/>
    <w:rsid w:val="00354644"/>
    <w:rsid w:val="003631FA"/>
    <w:rsid w:val="00364185"/>
    <w:rsid w:val="0036541C"/>
    <w:rsid w:val="003708EF"/>
    <w:rsid w:val="00370B16"/>
    <w:rsid w:val="0038115C"/>
    <w:rsid w:val="00381375"/>
    <w:rsid w:val="00381F2C"/>
    <w:rsid w:val="00394720"/>
    <w:rsid w:val="00397BFA"/>
    <w:rsid w:val="003A512A"/>
    <w:rsid w:val="003A6A5D"/>
    <w:rsid w:val="003B0D1C"/>
    <w:rsid w:val="003B3832"/>
    <w:rsid w:val="003B39D9"/>
    <w:rsid w:val="003B3B81"/>
    <w:rsid w:val="003B60DB"/>
    <w:rsid w:val="003B63E8"/>
    <w:rsid w:val="003C08C7"/>
    <w:rsid w:val="003C1078"/>
    <w:rsid w:val="003C15A3"/>
    <w:rsid w:val="003C20A9"/>
    <w:rsid w:val="003C645D"/>
    <w:rsid w:val="003C66AB"/>
    <w:rsid w:val="003D23A5"/>
    <w:rsid w:val="003D4921"/>
    <w:rsid w:val="003D7333"/>
    <w:rsid w:val="003F0F7C"/>
    <w:rsid w:val="003F2853"/>
    <w:rsid w:val="00400141"/>
    <w:rsid w:val="0040300E"/>
    <w:rsid w:val="00405C57"/>
    <w:rsid w:val="0040728B"/>
    <w:rsid w:val="00410CB0"/>
    <w:rsid w:val="00411655"/>
    <w:rsid w:val="0041186E"/>
    <w:rsid w:val="004136C7"/>
    <w:rsid w:val="0041445C"/>
    <w:rsid w:val="00414815"/>
    <w:rsid w:val="004176F0"/>
    <w:rsid w:val="00420262"/>
    <w:rsid w:val="0042282E"/>
    <w:rsid w:val="004259A3"/>
    <w:rsid w:val="004261AD"/>
    <w:rsid w:val="00427A28"/>
    <w:rsid w:val="0043225B"/>
    <w:rsid w:val="004343D2"/>
    <w:rsid w:val="0044087E"/>
    <w:rsid w:val="004452DF"/>
    <w:rsid w:val="00445C05"/>
    <w:rsid w:val="00446F67"/>
    <w:rsid w:val="00450EB1"/>
    <w:rsid w:val="004510F0"/>
    <w:rsid w:val="00452CC7"/>
    <w:rsid w:val="0045423E"/>
    <w:rsid w:val="004614D1"/>
    <w:rsid w:val="004625A1"/>
    <w:rsid w:val="00462641"/>
    <w:rsid w:val="00463A6A"/>
    <w:rsid w:val="004664C2"/>
    <w:rsid w:val="00470156"/>
    <w:rsid w:val="004751C8"/>
    <w:rsid w:val="004776B7"/>
    <w:rsid w:val="00482555"/>
    <w:rsid w:val="00482AB4"/>
    <w:rsid w:val="00486D7E"/>
    <w:rsid w:val="0048768D"/>
    <w:rsid w:val="00491E2D"/>
    <w:rsid w:val="0049264B"/>
    <w:rsid w:val="0049592F"/>
    <w:rsid w:val="004A313C"/>
    <w:rsid w:val="004A6EE8"/>
    <w:rsid w:val="004A7237"/>
    <w:rsid w:val="004B05A3"/>
    <w:rsid w:val="004B1F38"/>
    <w:rsid w:val="004B3316"/>
    <w:rsid w:val="004B572E"/>
    <w:rsid w:val="004B78AD"/>
    <w:rsid w:val="004C3045"/>
    <w:rsid w:val="004C7236"/>
    <w:rsid w:val="004C7D8C"/>
    <w:rsid w:val="004D39EC"/>
    <w:rsid w:val="004D4AB2"/>
    <w:rsid w:val="004E0D90"/>
    <w:rsid w:val="004E0DF1"/>
    <w:rsid w:val="004E4A3E"/>
    <w:rsid w:val="004E5263"/>
    <w:rsid w:val="004E53DB"/>
    <w:rsid w:val="004E64F7"/>
    <w:rsid w:val="004E7647"/>
    <w:rsid w:val="004F1B08"/>
    <w:rsid w:val="004F3E84"/>
    <w:rsid w:val="004F45E6"/>
    <w:rsid w:val="004F5CFD"/>
    <w:rsid w:val="005014B4"/>
    <w:rsid w:val="00501E30"/>
    <w:rsid w:val="0050465E"/>
    <w:rsid w:val="00504E92"/>
    <w:rsid w:val="005104A8"/>
    <w:rsid w:val="00515543"/>
    <w:rsid w:val="0052039F"/>
    <w:rsid w:val="00522BFC"/>
    <w:rsid w:val="0052314F"/>
    <w:rsid w:val="00524E08"/>
    <w:rsid w:val="00525E56"/>
    <w:rsid w:val="00526890"/>
    <w:rsid w:val="0052784A"/>
    <w:rsid w:val="005335E5"/>
    <w:rsid w:val="00534A36"/>
    <w:rsid w:val="00535191"/>
    <w:rsid w:val="00540BEF"/>
    <w:rsid w:val="0054113A"/>
    <w:rsid w:val="00542ADB"/>
    <w:rsid w:val="00544904"/>
    <w:rsid w:val="005504B1"/>
    <w:rsid w:val="005519F1"/>
    <w:rsid w:val="005529B2"/>
    <w:rsid w:val="00560172"/>
    <w:rsid w:val="00565B67"/>
    <w:rsid w:val="0056664F"/>
    <w:rsid w:val="00567270"/>
    <w:rsid w:val="005706EC"/>
    <w:rsid w:val="00570EB1"/>
    <w:rsid w:val="00585D14"/>
    <w:rsid w:val="00594556"/>
    <w:rsid w:val="00597287"/>
    <w:rsid w:val="005A07CC"/>
    <w:rsid w:val="005A0B6C"/>
    <w:rsid w:val="005A793F"/>
    <w:rsid w:val="005A7D8A"/>
    <w:rsid w:val="005B1939"/>
    <w:rsid w:val="005C013A"/>
    <w:rsid w:val="005C75AF"/>
    <w:rsid w:val="005D22F9"/>
    <w:rsid w:val="005D485D"/>
    <w:rsid w:val="005E4C97"/>
    <w:rsid w:val="005F26D0"/>
    <w:rsid w:val="005F7118"/>
    <w:rsid w:val="00600A90"/>
    <w:rsid w:val="00601881"/>
    <w:rsid w:val="00601FF2"/>
    <w:rsid w:val="00604CDD"/>
    <w:rsid w:val="00606440"/>
    <w:rsid w:val="00607F80"/>
    <w:rsid w:val="006157EB"/>
    <w:rsid w:val="00626FFE"/>
    <w:rsid w:val="00632740"/>
    <w:rsid w:val="00633D66"/>
    <w:rsid w:val="006343F4"/>
    <w:rsid w:val="00636B57"/>
    <w:rsid w:val="00650391"/>
    <w:rsid w:val="00650B66"/>
    <w:rsid w:val="00650CFE"/>
    <w:rsid w:val="00651272"/>
    <w:rsid w:val="00656162"/>
    <w:rsid w:val="00657221"/>
    <w:rsid w:val="00657F03"/>
    <w:rsid w:val="00660EDD"/>
    <w:rsid w:val="00663EE2"/>
    <w:rsid w:val="00672527"/>
    <w:rsid w:val="006732D4"/>
    <w:rsid w:val="00673CA1"/>
    <w:rsid w:val="00680133"/>
    <w:rsid w:val="0068386A"/>
    <w:rsid w:val="00684E9A"/>
    <w:rsid w:val="00686D99"/>
    <w:rsid w:val="00690A30"/>
    <w:rsid w:val="00694D7D"/>
    <w:rsid w:val="00695EA8"/>
    <w:rsid w:val="006A1AAA"/>
    <w:rsid w:val="006A3BEF"/>
    <w:rsid w:val="006A53CD"/>
    <w:rsid w:val="006B1007"/>
    <w:rsid w:val="006B1AC6"/>
    <w:rsid w:val="006B22B4"/>
    <w:rsid w:val="006B381E"/>
    <w:rsid w:val="006B41A7"/>
    <w:rsid w:val="006C2E0A"/>
    <w:rsid w:val="006C59B4"/>
    <w:rsid w:val="006C6C51"/>
    <w:rsid w:val="006C763F"/>
    <w:rsid w:val="006D06F9"/>
    <w:rsid w:val="006D1004"/>
    <w:rsid w:val="006E0E91"/>
    <w:rsid w:val="006E1081"/>
    <w:rsid w:val="006E6658"/>
    <w:rsid w:val="006F0791"/>
    <w:rsid w:val="006F0806"/>
    <w:rsid w:val="006F23B7"/>
    <w:rsid w:val="00700CBA"/>
    <w:rsid w:val="0070514C"/>
    <w:rsid w:val="00713E0F"/>
    <w:rsid w:val="00717AC7"/>
    <w:rsid w:val="00720F46"/>
    <w:rsid w:val="00721FF7"/>
    <w:rsid w:val="0072383C"/>
    <w:rsid w:val="00725538"/>
    <w:rsid w:val="00726DB5"/>
    <w:rsid w:val="00726E76"/>
    <w:rsid w:val="0072752A"/>
    <w:rsid w:val="00732969"/>
    <w:rsid w:val="00733348"/>
    <w:rsid w:val="00733CE3"/>
    <w:rsid w:val="00733E31"/>
    <w:rsid w:val="00735609"/>
    <w:rsid w:val="00735AAF"/>
    <w:rsid w:val="007376EF"/>
    <w:rsid w:val="00742B28"/>
    <w:rsid w:val="0075171F"/>
    <w:rsid w:val="00753DDE"/>
    <w:rsid w:val="00755200"/>
    <w:rsid w:val="00755AEB"/>
    <w:rsid w:val="00755FF6"/>
    <w:rsid w:val="00764CFE"/>
    <w:rsid w:val="00766B09"/>
    <w:rsid w:val="00771B5C"/>
    <w:rsid w:val="007735BF"/>
    <w:rsid w:val="0077485C"/>
    <w:rsid w:val="0077626F"/>
    <w:rsid w:val="007763C3"/>
    <w:rsid w:val="0078481F"/>
    <w:rsid w:val="007859B4"/>
    <w:rsid w:val="007865C4"/>
    <w:rsid w:val="00793EDA"/>
    <w:rsid w:val="00795501"/>
    <w:rsid w:val="007A01FB"/>
    <w:rsid w:val="007A30BD"/>
    <w:rsid w:val="007B27EC"/>
    <w:rsid w:val="007D23F4"/>
    <w:rsid w:val="007D3206"/>
    <w:rsid w:val="007D56EF"/>
    <w:rsid w:val="007D6630"/>
    <w:rsid w:val="007F34F1"/>
    <w:rsid w:val="007F6A5E"/>
    <w:rsid w:val="0080568E"/>
    <w:rsid w:val="00805F62"/>
    <w:rsid w:val="008154CA"/>
    <w:rsid w:val="008238A5"/>
    <w:rsid w:val="008253BE"/>
    <w:rsid w:val="00826D52"/>
    <w:rsid w:val="00827FE2"/>
    <w:rsid w:val="00830C7B"/>
    <w:rsid w:val="00830C7F"/>
    <w:rsid w:val="0083203C"/>
    <w:rsid w:val="008326B2"/>
    <w:rsid w:val="008330FF"/>
    <w:rsid w:val="00833CEC"/>
    <w:rsid w:val="0085226B"/>
    <w:rsid w:val="00852C81"/>
    <w:rsid w:val="0085335B"/>
    <w:rsid w:val="008535BA"/>
    <w:rsid w:val="008552C5"/>
    <w:rsid w:val="00861BC2"/>
    <w:rsid w:val="00864C65"/>
    <w:rsid w:val="00867084"/>
    <w:rsid w:val="00872623"/>
    <w:rsid w:val="00877F13"/>
    <w:rsid w:val="00881781"/>
    <w:rsid w:val="008853F0"/>
    <w:rsid w:val="008930E6"/>
    <w:rsid w:val="0089356A"/>
    <w:rsid w:val="008937CE"/>
    <w:rsid w:val="00893F52"/>
    <w:rsid w:val="00895108"/>
    <w:rsid w:val="008A6068"/>
    <w:rsid w:val="008A7B42"/>
    <w:rsid w:val="008B27A2"/>
    <w:rsid w:val="008C2CEE"/>
    <w:rsid w:val="008C5AE5"/>
    <w:rsid w:val="008D1FB4"/>
    <w:rsid w:val="008D3298"/>
    <w:rsid w:val="008D36F6"/>
    <w:rsid w:val="008E0B1C"/>
    <w:rsid w:val="008F1D44"/>
    <w:rsid w:val="008F240E"/>
    <w:rsid w:val="008F662B"/>
    <w:rsid w:val="009010AF"/>
    <w:rsid w:val="00904D26"/>
    <w:rsid w:val="00904ED2"/>
    <w:rsid w:val="00911547"/>
    <w:rsid w:val="0091291A"/>
    <w:rsid w:val="0091302E"/>
    <w:rsid w:val="00915EE5"/>
    <w:rsid w:val="009207DA"/>
    <w:rsid w:val="00922BA5"/>
    <w:rsid w:val="00923C69"/>
    <w:rsid w:val="00936AA6"/>
    <w:rsid w:val="009373E4"/>
    <w:rsid w:val="00937EC5"/>
    <w:rsid w:val="0094395E"/>
    <w:rsid w:val="00944EF9"/>
    <w:rsid w:val="00960948"/>
    <w:rsid w:val="0096575E"/>
    <w:rsid w:val="009673CD"/>
    <w:rsid w:val="009751EB"/>
    <w:rsid w:val="00980A0B"/>
    <w:rsid w:val="009861FF"/>
    <w:rsid w:val="00986585"/>
    <w:rsid w:val="00986607"/>
    <w:rsid w:val="009A02B4"/>
    <w:rsid w:val="009A0C1A"/>
    <w:rsid w:val="009A1B67"/>
    <w:rsid w:val="009A3466"/>
    <w:rsid w:val="009A3518"/>
    <w:rsid w:val="009B603F"/>
    <w:rsid w:val="009C39D3"/>
    <w:rsid w:val="009D1051"/>
    <w:rsid w:val="009D4493"/>
    <w:rsid w:val="009D52DB"/>
    <w:rsid w:val="009E0FD0"/>
    <w:rsid w:val="009E39F4"/>
    <w:rsid w:val="009F5D9F"/>
    <w:rsid w:val="009F7DF5"/>
    <w:rsid w:val="00A01252"/>
    <w:rsid w:val="00A053B4"/>
    <w:rsid w:val="00A07977"/>
    <w:rsid w:val="00A114D3"/>
    <w:rsid w:val="00A13DE6"/>
    <w:rsid w:val="00A21585"/>
    <w:rsid w:val="00A21F6E"/>
    <w:rsid w:val="00A2507F"/>
    <w:rsid w:val="00A2769C"/>
    <w:rsid w:val="00A32D34"/>
    <w:rsid w:val="00A35BF7"/>
    <w:rsid w:val="00A36C97"/>
    <w:rsid w:val="00A4203B"/>
    <w:rsid w:val="00A42148"/>
    <w:rsid w:val="00A43D42"/>
    <w:rsid w:val="00A43E44"/>
    <w:rsid w:val="00A4791C"/>
    <w:rsid w:val="00A50742"/>
    <w:rsid w:val="00A53522"/>
    <w:rsid w:val="00A53C4B"/>
    <w:rsid w:val="00A57FA8"/>
    <w:rsid w:val="00A62B9E"/>
    <w:rsid w:val="00A652E0"/>
    <w:rsid w:val="00A670F3"/>
    <w:rsid w:val="00A70FB6"/>
    <w:rsid w:val="00A71C45"/>
    <w:rsid w:val="00A749F0"/>
    <w:rsid w:val="00A75EE3"/>
    <w:rsid w:val="00A8268E"/>
    <w:rsid w:val="00A85D27"/>
    <w:rsid w:val="00A969A4"/>
    <w:rsid w:val="00AA3EC5"/>
    <w:rsid w:val="00AA5424"/>
    <w:rsid w:val="00AA5C29"/>
    <w:rsid w:val="00AB0559"/>
    <w:rsid w:val="00AC050F"/>
    <w:rsid w:val="00AC105F"/>
    <w:rsid w:val="00AC335D"/>
    <w:rsid w:val="00AC4274"/>
    <w:rsid w:val="00AC721A"/>
    <w:rsid w:val="00AC7A03"/>
    <w:rsid w:val="00AD1C95"/>
    <w:rsid w:val="00AD4CBE"/>
    <w:rsid w:val="00AD5297"/>
    <w:rsid w:val="00AD61D9"/>
    <w:rsid w:val="00AE088B"/>
    <w:rsid w:val="00AE65EF"/>
    <w:rsid w:val="00AE6EDA"/>
    <w:rsid w:val="00B0013D"/>
    <w:rsid w:val="00B0593B"/>
    <w:rsid w:val="00B07F1E"/>
    <w:rsid w:val="00B10F22"/>
    <w:rsid w:val="00B12856"/>
    <w:rsid w:val="00B15472"/>
    <w:rsid w:val="00B15518"/>
    <w:rsid w:val="00B21253"/>
    <w:rsid w:val="00B22F12"/>
    <w:rsid w:val="00B23D3A"/>
    <w:rsid w:val="00B26845"/>
    <w:rsid w:val="00B30018"/>
    <w:rsid w:val="00B34466"/>
    <w:rsid w:val="00B41F94"/>
    <w:rsid w:val="00B50179"/>
    <w:rsid w:val="00B5389D"/>
    <w:rsid w:val="00B56D3A"/>
    <w:rsid w:val="00B6252B"/>
    <w:rsid w:val="00B65091"/>
    <w:rsid w:val="00B71A8F"/>
    <w:rsid w:val="00B76C79"/>
    <w:rsid w:val="00B92EAE"/>
    <w:rsid w:val="00B95673"/>
    <w:rsid w:val="00B95C9A"/>
    <w:rsid w:val="00B96CA7"/>
    <w:rsid w:val="00BA1E37"/>
    <w:rsid w:val="00BA6E6A"/>
    <w:rsid w:val="00BA7A50"/>
    <w:rsid w:val="00BB1612"/>
    <w:rsid w:val="00BB1C91"/>
    <w:rsid w:val="00BB34C9"/>
    <w:rsid w:val="00BB4B72"/>
    <w:rsid w:val="00BC0015"/>
    <w:rsid w:val="00BC0B29"/>
    <w:rsid w:val="00BC21FE"/>
    <w:rsid w:val="00BC2F5B"/>
    <w:rsid w:val="00BC7083"/>
    <w:rsid w:val="00BD06CD"/>
    <w:rsid w:val="00BD4433"/>
    <w:rsid w:val="00BD53E6"/>
    <w:rsid w:val="00BD71EC"/>
    <w:rsid w:val="00BE02DA"/>
    <w:rsid w:val="00BE255C"/>
    <w:rsid w:val="00BE641C"/>
    <w:rsid w:val="00BE6901"/>
    <w:rsid w:val="00BF38CA"/>
    <w:rsid w:val="00BF77D7"/>
    <w:rsid w:val="00BF79CA"/>
    <w:rsid w:val="00BF7DD1"/>
    <w:rsid w:val="00C0419D"/>
    <w:rsid w:val="00C04899"/>
    <w:rsid w:val="00C07CD7"/>
    <w:rsid w:val="00C15CF0"/>
    <w:rsid w:val="00C165B2"/>
    <w:rsid w:val="00C17441"/>
    <w:rsid w:val="00C214FB"/>
    <w:rsid w:val="00C2219F"/>
    <w:rsid w:val="00C23E92"/>
    <w:rsid w:val="00C250FF"/>
    <w:rsid w:val="00C31AB3"/>
    <w:rsid w:val="00C33CB8"/>
    <w:rsid w:val="00C371DF"/>
    <w:rsid w:val="00C4088B"/>
    <w:rsid w:val="00C52365"/>
    <w:rsid w:val="00C56350"/>
    <w:rsid w:val="00C56458"/>
    <w:rsid w:val="00C709C5"/>
    <w:rsid w:val="00C71ADA"/>
    <w:rsid w:val="00C80B7B"/>
    <w:rsid w:val="00C813AC"/>
    <w:rsid w:val="00C82913"/>
    <w:rsid w:val="00C92A91"/>
    <w:rsid w:val="00C9618D"/>
    <w:rsid w:val="00CA17A3"/>
    <w:rsid w:val="00CA1F15"/>
    <w:rsid w:val="00CA33C7"/>
    <w:rsid w:val="00CA7540"/>
    <w:rsid w:val="00CB64C4"/>
    <w:rsid w:val="00CB786B"/>
    <w:rsid w:val="00CC021D"/>
    <w:rsid w:val="00CC24B8"/>
    <w:rsid w:val="00CC3660"/>
    <w:rsid w:val="00CC6D5F"/>
    <w:rsid w:val="00CC77C5"/>
    <w:rsid w:val="00CD22D1"/>
    <w:rsid w:val="00CD69BF"/>
    <w:rsid w:val="00CF3854"/>
    <w:rsid w:val="00CF4564"/>
    <w:rsid w:val="00CF7CCF"/>
    <w:rsid w:val="00D017D5"/>
    <w:rsid w:val="00D0329E"/>
    <w:rsid w:val="00D11D2B"/>
    <w:rsid w:val="00D16AA4"/>
    <w:rsid w:val="00D20AC8"/>
    <w:rsid w:val="00D26877"/>
    <w:rsid w:val="00D273A2"/>
    <w:rsid w:val="00D3192D"/>
    <w:rsid w:val="00D34942"/>
    <w:rsid w:val="00D36350"/>
    <w:rsid w:val="00D40368"/>
    <w:rsid w:val="00D40D3C"/>
    <w:rsid w:val="00D43624"/>
    <w:rsid w:val="00D4408E"/>
    <w:rsid w:val="00D510E6"/>
    <w:rsid w:val="00D510F0"/>
    <w:rsid w:val="00D512B7"/>
    <w:rsid w:val="00D534E7"/>
    <w:rsid w:val="00D53FC9"/>
    <w:rsid w:val="00D557E3"/>
    <w:rsid w:val="00D55B8C"/>
    <w:rsid w:val="00D63813"/>
    <w:rsid w:val="00D654BE"/>
    <w:rsid w:val="00D66010"/>
    <w:rsid w:val="00D70EEA"/>
    <w:rsid w:val="00D7116B"/>
    <w:rsid w:val="00D74BF2"/>
    <w:rsid w:val="00D76313"/>
    <w:rsid w:val="00D77F4A"/>
    <w:rsid w:val="00D80EBD"/>
    <w:rsid w:val="00D84CA5"/>
    <w:rsid w:val="00D977C4"/>
    <w:rsid w:val="00D97945"/>
    <w:rsid w:val="00DA02D4"/>
    <w:rsid w:val="00DA11CD"/>
    <w:rsid w:val="00DA6276"/>
    <w:rsid w:val="00DB28FB"/>
    <w:rsid w:val="00DB50A9"/>
    <w:rsid w:val="00DC1350"/>
    <w:rsid w:val="00DC46CB"/>
    <w:rsid w:val="00DC7741"/>
    <w:rsid w:val="00DD12F4"/>
    <w:rsid w:val="00DD3937"/>
    <w:rsid w:val="00DD52EE"/>
    <w:rsid w:val="00DD5AD7"/>
    <w:rsid w:val="00DE0D43"/>
    <w:rsid w:val="00DE1028"/>
    <w:rsid w:val="00DE12A8"/>
    <w:rsid w:val="00DE1814"/>
    <w:rsid w:val="00DE1921"/>
    <w:rsid w:val="00DE19A7"/>
    <w:rsid w:val="00DE604E"/>
    <w:rsid w:val="00DF141D"/>
    <w:rsid w:val="00DF22A9"/>
    <w:rsid w:val="00DF7FAF"/>
    <w:rsid w:val="00E014A3"/>
    <w:rsid w:val="00E03882"/>
    <w:rsid w:val="00E06E23"/>
    <w:rsid w:val="00E10326"/>
    <w:rsid w:val="00E11095"/>
    <w:rsid w:val="00E11F61"/>
    <w:rsid w:val="00E142C9"/>
    <w:rsid w:val="00E144A4"/>
    <w:rsid w:val="00E21413"/>
    <w:rsid w:val="00E23F87"/>
    <w:rsid w:val="00E26CC7"/>
    <w:rsid w:val="00E326F6"/>
    <w:rsid w:val="00E33D96"/>
    <w:rsid w:val="00E35927"/>
    <w:rsid w:val="00E40225"/>
    <w:rsid w:val="00E42A02"/>
    <w:rsid w:val="00E47F5F"/>
    <w:rsid w:val="00E532C3"/>
    <w:rsid w:val="00E57164"/>
    <w:rsid w:val="00E66E09"/>
    <w:rsid w:val="00E67146"/>
    <w:rsid w:val="00E7148E"/>
    <w:rsid w:val="00E8122B"/>
    <w:rsid w:val="00E85774"/>
    <w:rsid w:val="00E858B3"/>
    <w:rsid w:val="00E907D2"/>
    <w:rsid w:val="00E909F5"/>
    <w:rsid w:val="00E90A6F"/>
    <w:rsid w:val="00E93206"/>
    <w:rsid w:val="00E97969"/>
    <w:rsid w:val="00E97CDD"/>
    <w:rsid w:val="00EA59AE"/>
    <w:rsid w:val="00EA7EB9"/>
    <w:rsid w:val="00EB03A8"/>
    <w:rsid w:val="00EB0DBB"/>
    <w:rsid w:val="00ED134E"/>
    <w:rsid w:val="00ED2A6D"/>
    <w:rsid w:val="00ED63BB"/>
    <w:rsid w:val="00ED7809"/>
    <w:rsid w:val="00EF4A21"/>
    <w:rsid w:val="00EF608D"/>
    <w:rsid w:val="00F0045C"/>
    <w:rsid w:val="00F004D7"/>
    <w:rsid w:val="00F00C11"/>
    <w:rsid w:val="00F01171"/>
    <w:rsid w:val="00F0389B"/>
    <w:rsid w:val="00F1006C"/>
    <w:rsid w:val="00F1199B"/>
    <w:rsid w:val="00F11AA0"/>
    <w:rsid w:val="00F13C87"/>
    <w:rsid w:val="00F16142"/>
    <w:rsid w:val="00F202C8"/>
    <w:rsid w:val="00F22AFC"/>
    <w:rsid w:val="00F23673"/>
    <w:rsid w:val="00F31A61"/>
    <w:rsid w:val="00F50F17"/>
    <w:rsid w:val="00F511FD"/>
    <w:rsid w:val="00F540F1"/>
    <w:rsid w:val="00F61C3A"/>
    <w:rsid w:val="00F651A0"/>
    <w:rsid w:val="00F67D5E"/>
    <w:rsid w:val="00F70EF5"/>
    <w:rsid w:val="00F7154A"/>
    <w:rsid w:val="00F77DA2"/>
    <w:rsid w:val="00F904CC"/>
    <w:rsid w:val="00F949A2"/>
    <w:rsid w:val="00F960FC"/>
    <w:rsid w:val="00FA443A"/>
    <w:rsid w:val="00FA4E2C"/>
    <w:rsid w:val="00FA5B7C"/>
    <w:rsid w:val="00FC0705"/>
    <w:rsid w:val="00FC247E"/>
    <w:rsid w:val="00FC752B"/>
    <w:rsid w:val="00FD03C8"/>
    <w:rsid w:val="00FD387A"/>
    <w:rsid w:val="00FD4A09"/>
    <w:rsid w:val="00FD4AA5"/>
    <w:rsid w:val="00FD6694"/>
    <w:rsid w:val="00FE691D"/>
    <w:rsid w:val="00FE7489"/>
    <w:rsid w:val="00FF175F"/>
    <w:rsid w:val="00FF6AC9"/>
    <w:rsid w:val="00FF7460"/>
    <w:rsid w:val="00FF753D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E353C"/>
  <w15:docId w15:val="{AD2E4F2C-F263-48AE-A33E-1168CA2E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20"/>
    </w:pPr>
    <w:rPr>
      <w:sz w:val="22"/>
      <w:lang w:val="en-GB" w:eastAsia="en-GB"/>
    </w:rPr>
  </w:style>
  <w:style w:type="paragraph" w:styleId="Cmsor1">
    <w:name w:val="heading 1"/>
    <w:basedOn w:val="Norml"/>
    <w:next w:val="Normlbehzs"/>
    <w:qFormat/>
    <w:rsid w:val="004452DF"/>
    <w:pPr>
      <w:keepNext/>
      <w:spacing w:before="120"/>
      <w:outlineLvl w:val="0"/>
    </w:pPr>
    <w:rPr>
      <w:b/>
      <w:kern w:val="28"/>
    </w:rPr>
  </w:style>
  <w:style w:type="paragraph" w:styleId="Cmsor2">
    <w:name w:val="heading 2"/>
    <w:basedOn w:val="Norml"/>
    <w:next w:val="Normlbehzs"/>
    <w:qFormat/>
    <w:rsid w:val="004452DF"/>
    <w:pPr>
      <w:keepNext/>
      <w:spacing w:before="120"/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ulletList">
    <w:name w:val="Bullet List"/>
    <w:basedOn w:val="Norml"/>
    <w:pPr>
      <w:numPr>
        <w:numId w:val="1"/>
      </w:numPr>
    </w:pPr>
  </w:style>
  <w:style w:type="paragraph" w:customStyle="1" w:styleId="Table">
    <w:name w:val="Table"/>
    <w:basedOn w:val="Norml"/>
    <w:pPr>
      <w:spacing w:before="40" w:after="40"/>
    </w:pPr>
  </w:style>
  <w:style w:type="paragraph" w:customStyle="1" w:styleId="DocumentHeading">
    <w:name w:val="Document Heading"/>
    <w:basedOn w:val="Norml"/>
    <w:next w:val="Norml"/>
    <w:rPr>
      <w:b/>
      <w:sz w:val="28"/>
    </w:rPr>
  </w:style>
  <w:style w:type="paragraph" w:customStyle="1" w:styleId="SectionHeading">
    <w:name w:val="Section Heading"/>
    <w:basedOn w:val="Norml"/>
    <w:next w:val="Norml"/>
    <w:rPr>
      <w:b/>
      <w:sz w:val="28"/>
    </w:rPr>
  </w:style>
  <w:style w:type="paragraph" w:styleId="Kpalrs">
    <w:name w:val="caption"/>
    <w:basedOn w:val="Norml"/>
    <w:next w:val="Norml"/>
    <w:qFormat/>
    <w:pPr>
      <w:jc w:val="center"/>
    </w:pPr>
    <w:rPr>
      <w:bCs/>
      <w:i/>
      <w:sz w:val="18"/>
    </w:rPr>
  </w:style>
  <w:style w:type="paragraph" w:customStyle="1" w:styleId="CaptionStyle">
    <w:name w:val="Caption Style"/>
    <w:basedOn w:val="Kpalrs"/>
    <w:rPr>
      <w:bCs w:val="0"/>
      <w:iCs/>
    </w:rPr>
  </w:style>
  <w:style w:type="paragraph" w:styleId="Dokumentumtrkp">
    <w:name w:val="Document Map"/>
    <w:basedOn w:val="Norml"/>
    <w:semiHidden/>
    <w:rsid w:val="005F7118"/>
    <w:pPr>
      <w:shd w:val="clear" w:color="auto" w:fill="000080"/>
    </w:pPr>
    <w:rPr>
      <w:rFonts w:ascii="Tahoma" w:hAnsi="Tahoma" w:cs="Tahoma"/>
      <w:sz w:val="20"/>
    </w:rPr>
  </w:style>
  <w:style w:type="paragraph" w:styleId="Normlbehzs">
    <w:name w:val="Normal Indent"/>
    <w:basedOn w:val="Norml"/>
    <w:rsid w:val="009E0FD0"/>
    <w:pPr>
      <w:ind w:left="720"/>
    </w:pPr>
  </w:style>
  <w:style w:type="table" w:styleId="Rcsostblzat">
    <w:name w:val="Table Grid"/>
    <w:basedOn w:val="Normltblzat"/>
    <w:rsid w:val="00E14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E142C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Feladcmebortkon">
    <w:name w:val="envelope return"/>
    <w:basedOn w:val="Norml"/>
    <w:link w:val="FeladcmebortkonChar"/>
    <w:rsid w:val="00732969"/>
    <w:rPr>
      <w:rFonts w:ascii="Arial" w:hAnsi="Arial" w:cs="Arial"/>
      <w:sz w:val="20"/>
    </w:rPr>
  </w:style>
  <w:style w:type="character" w:customStyle="1" w:styleId="FeladcmebortkonChar">
    <w:name w:val="Feladó címe borítékon Char"/>
    <w:link w:val="Feladcmebortkon"/>
    <w:rsid w:val="00732969"/>
    <w:rPr>
      <w:rFonts w:ascii="Arial" w:hAnsi="Arial" w:cs="Arial"/>
      <w:lang w:val="en-GB" w:eastAsia="en-GB" w:bidi="ar-SA"/>
    </w:rPr>
  </w:style>
  <w:style w:type="paragraph" w:customStyle="1" w:styleId="Default">
    <w:name w:val="Default"/>
    <w:rsid w:val="006732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uborkszveg">
    <w:name w:val="Balloon Text"/>
    <w:basedOn w:val="Norml"/>
    <w:link w:val="BuborkszvegChar"/>
    <w:rsid w:val="008D3298"/>
    <w:pPr>
      <w:spacing w:after="0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8D3298"/>
    <w:rPr>
      <w:rFonts w:ascii="Tahoma" w:hAnsi="Tahoma" w:cs="Tahoma"/>
      <w:sz w:val="16"/>
      <w:szCs w:val="16"/>
      <w:lang w:val="en-GB" w:eastAsia="en-GB"/>
    </w:rPr>
  </w:style>
  <w:style w:type="character" w:customStyle="1" w:styleId="hps">
    <w:name w:val="hps"/>
    <w:rsid w:val="002140C9"/>
  </w:style>
  <w:style w:type="character" w:customStyle="1" w:styleId="alt-edited1">
    <w:name w:val="alt-edited1"/>
    <w:rsid w:val="002140C9"/>
    <w:rPr>
      <w:color w:val="4D90F0"/>
    </w:rPr>
  </w:style>
  <w:style w:type="character" w:customStyle="1" w:styleId="font101">
    <w:name w:val="font101"/>
    <w:rsid w:val="00CF3854"/>
    <w:rPr>
      <w:rFonts w:ascii="Times New Roman" w:hAnsi="Times New Roman" w:cs="Times New Roman" w:hint="default"/>
      <w:sz w:val="20"/>
      <w:szCs w:val="20"/>
    </w:rPr>
  </w:style>
  <w:style w:type="character" w:customStyle="1" w:styleId="font91">
    <w:name w:val="font91"/>
    <w:rsid w:val="00CF3854"/>
    <w:rPr>
      <w:rFonts w:ascii="Times New Roman" w:hAnsi="Times New Roman" w:cs="Times New Roman" w:hint="default"/>
      <w:sz w:val="18"/>
      <w:szCs w:val="18"/>
    </w:rPr>
  </w:style>
  <w:style w:type="character" w:customStyle="1" w:styleId="font11">
    <w:name w:val="font11"/>
    <w:basedOn w:val="Bekezdsalapbettpusa"/>
    <w:rsid w:val="00CF3854"/>
  </w:style>
  <w:style w:type="character" w:customStyle="1" w:styleId="font3">
    <w:name w:val="font3"/>
    <w:rsid w:val="005504B1"/>
  </w:style>
  <w:style w:type="character" w:customStyle="1" w:styleId="font4">
    <w:name w:val="font4"/>
    <w:rsid w:val="009D1051"/>
  </w:style>
  <w:style w:type="character" w:customStyle="1" w:styleId="font2">
    <w:name w:val="font2"/>
    <w:rsid w:val="009D1051"/>
  </w:style>
  <w:style w:type="character" w:customStyle="1" w:styleId="font41">
    <w:name w:val="font41"/>
    <w:rsid w:val="00F23673"/>
    <w:rPr>
      <w:rFonts w:ascii="Calibri" w:hAnsi="Calibri" w:cs="Calibri" w:hint="default"/>
      <w:sz w:val="18"/>
      <w:szCs w:val="18"/>
    </w:rPr>
  </w:style>
  <w:style w:type="character" w:customStyle="1" w:styleId="font31">
    <w:name w:val="font31"/>
    <w:rsid w:val="00F23673"/>
    <w:rPr>
      <w:rFonts w:ascii="Calibri" w:hAnsi="Calibri" w:cs="Calibri" w:hint="default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1E0283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1E0283"/>
    <w:rPr>
      <w:rFonts w:ascii="Verdana" w:eastAsia="Verdana" w:hAnsi="Verdana" w:cs="Verdana"/>
      <w:sz w:val="18"/>
      <w:szCs w:val="18"/>
      <w:lang w:val="en-GB" w:eastAsia="en-GB"/>
    </w:rPr>
  </w:style>
  <w:style w:type="paragraph" w:styleId="Listaszerbekezds">
    <w:name w:val="List Paragraph"/>
    <w:basedOn w:val="Norml"/>
    <w:uiPriority w:val="34"/>
    <w:qFormat/>
    <w:rsid w:val="001E0283"/>
    <w:pPr>
      <w:tabs>
        <w:tab w:val="left" w:pos="567"/>
      </w:tabs>
      <w:spacing w:after="0" w:line="260" w:lineRule="exact"/>
      <w:ind w:left="720"/>
      <w:contextualSpacing/>
    </w:pPr>
    <w:rPr>
      <w:lang w:eastAsia="en-US"/>
    </w:rPr>
  </w:style>
  <w:style w:type="character" w:styleId="Jegyzethivatkozs">
    <w:name w:val="annotation reference"/>
    <w:uiPriority w:val="99"/>
    <w:unhideWhenUsed/>
    <w:rsid w:val="0098658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86585"/>
    <w:pPr>
      <w:widowControl w:val="0"/>
      <w:autoSpaceDE w:val="0"/>
      <w:autoSpaceDN w:val="0"/>
      <w:spacing w:after="0"/>
    </w:pPr>
    <w:rPr>
      <w:sz w:val="20"/>
      <w:lang w:val="en-US" w:eastAsia="en-US" w:bidi="en-US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86585"/>
    <w:rPr>
      <w:lang w:bidi="en-US"/>
    </w:rPr>
  </w:style>
  <w:style w:type="character" w:customStyle="1" w:styleId="fullform">
    <w:name w:val="fullform"/>
    <w:basedOn w:val="Bekezdsalapbettpusa"/>
    <w:rsid w:val="00524E08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4176F0"/>
    <w:pPr>
      <w:widowControl/>
      <w:autoSpaceDE/>
      <w:autoSpaceDN/>
      <w:spacing w:after="120"/>
    </w:pPr>
    <w:rPr>
      <w:b/>
      <w:bCs/>
      <w:lang w:val="en-GB" w:eastAsia="en-GB" w:bidi="ar-SA"/>
    </w:rPr>
  </w:style>
  <w:style w:type="character" w:customStyle="1" w:styleId="MegjegyzstrgyaChar">
    <w:name w:val="Megjegyzés tárgya Char"/>
    <w:basedOn w:val="JegyzetszvegChar"/>
    <w:link w:val="Megjegyzstrgya"/>
    <w:semiHidden/>
    <w:rsid w:val="004176F0"/>
    <w:rPr>
      <w:b/>
      <w:bCs/>
      <w:lang w:val="en-GB" w:eastAsia="en-GB" w:bidi="en-US"/>
    </w:rPr>
  </w:style>
  <w:style w:type="character" w:styleId="Hiperhivatkozs">
    <w:name w:val="Hyperlink"/>
    <w:rsid w:val="003C08C7"/>
    <w:rPr>
      <w:color w:val="0000FF"/>
      <w:u w:val="single"/>
    </w:rPr>
  </w:style>
  <w:style w:type="paragraph" w:styleId="Vltozat">
    <w:name w:val="Revision"/>
    <w:hidden/>
    <w:uiPriority w:val="99"/>
    <w:semiHidden/>
    <w:rsid w:val="00D510F0"/>
    <w:rPr>
      <w:sz w:val="22"/>
      <w:lang w:val="en-GB" w:eastAsia="en-GB"/>
    </w:rPr>
  </w:style>
  <w:style w:type="paragraph" w:styleId="lfej">
    <w:name w:val="header"/>
    <w:basedOn w:val="Norml"/>
    <w:link w:val="lfejChar"/>
    <w:uiPriority w:val="99"/>
    <w:unhideWhenUsed/>
    <w:rsid w:val="00D74BF2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D74BF2"/>
    <w:rPr>
      <w:sz w:val="22"/>
      <w:lang w:val="en-GB" w:eastAsia="en-GB"/>
    </w:rPr>
  </w:style>
  <w:style w:type="paragraph" w:styleId="llb">
    <w:name w:val="footer"/>
    <w:basedOn w:val="Norml"/>
    <w:link w:val="llbChar"/>
    <w:unhideWhenUsed/>
    <w:rsid w:val="00D74BF2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rsid w:val="00D74BF2"/>
    <w:rPr>
      <w:sz w:val="22"/>
      <w:lang w:val="en-GB" w:eastAsia="en-GB"/>
    </w:rPr>
  </w:style>
  <w:style w:type="paragraph" w:customStyle="1" w:styleId="EMEAEnBodyText">
    <w:name w:val="EMEA En Body Text"/>
    <w:basedOn w:val="Norml"/>
    <w:rsid w:val="00DC1350"/>
    <w:pPr>
      <w:spacing w:before="120"/>
      <w:jc w:val="both"/>
    </w:pPr>
    <w:rPr>
      <w:lang w:val="en-US" w:eastAsia="en-US"/>
    </w:rPr>
  </w:style>
  <w:style w:type="paragraph" w:customStyle="1" w:styleId="Odstavecseseznamem1">
    <w:name w:val="Odstavec se seznamem1"/>
    <w:basedOn w:val="Norml"/>
    <w:uiPriority w:val="99"/>
    <w:rsid w:val="000C3934"/>
    <w:pPr>
      <w:spacing w:after="200" w:line="276" w:lineRule="auto"/>
      <w:ind w:left="720"/>
      <w:contextualSpacing/>
    </w:pPr>
    <w:rPr>
      <w:rFonts w:ascii="Calibri" w:hAnsi="Calibri"/>
      <w:noProof/>
      <w:szCs w:val="22"/>
      <w:lang w:val="yo-NG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43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817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9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65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12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3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2443">
          <w:marLeft w:val="0"/>
          <w:marRight w:val="0"/>
          <w:marTop w:val="0"/>
          <w:marBottom w:val="0"/>
          <w:divBdr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divBdr>
        </w:div>
      </w:divsChild>
    </w:div>
    <w:div w:id="8512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1708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296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321628C-E28A-49F0-96A6-6C32C7D3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3693</Words>
  <Characters>27529</Characters>
  <Application>Microsoft Office Word</Application>
  <DocSecurity>0</DocSecurity>
  <Lines>229</Lines>
  <Paragraphs>62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Summary of Product Characteristics</vt:lpstr>
      <vt:lpstr>Summary of Product Characteristics</vt:lpstr>
      <vt:lpstr>Part IB Summary of Product Characteristics</vt:lpstr>
    </vt:vector>
  </TitlesOfParts>
  <Company>rompharm</Company>
  <LinksUpToDate>false</LinksUpToDate>
  <CharactersWithSpaces>31160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>Omeprazole Rompharm 40 mg powder for solution for infusion</dc:subject>
  <dc:creator>Alexandru Danila</dc:creator>
  <cp:lastModifiedBy>HU_OGYI_45.1</cp:lastModifiedBy>
  <cp:revision>4</cp:revision>
  <cp:lastPrinted>2021-05-20T13:30:00Z</cp:lastPrinted>
  <dcterms:created xsi:type="dcterms:W3CDTF">2025-05-19T08:25:00Z</dcterms:created>
  <dcterms:modified xsi:type="dcterms:W3CDTF">2025-05-23T08:02:00Z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