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6752A4" w14:textId="541FB1A6" w:rsidR="00B62AE4" w:rsidRPr="00F7245E" w:rsidRDefault="004C106B" w:rsidP="00A21724">
      <w:pPr>
        <w:pStyle w:val="Nincstrkz"/>
        <w:tabs>
          <w:tab w:val="left" w:pos="567"/>
        </w:tabs>
        <w:rPr>
          <w:rFonts w:cs="Times New Roman"/>
          <w:b/>
          <w:bCs/>
        </w:rPr>
      </w:pPr>
      <w:r w:rsidRPr="00F7245E">
        <w:rPr>
          <w:rFonts w:cs="Times New Roman"/>
          <w:b/>
          <w:bCs/>
          <w:w w:val="105"/>
        </w:rPr>
        <w:t>1</w:t>
      </w:r>
      <w:r w:rsidR="00C53EC1" w:rsidRPr="00F7245E">
        <w:rPr>
          <w:rFonts w:cs="Times New Roman"/>
          <w:b/>
          <w:bCs/>
          <w:w w:val="105"/>
        </w:rPr>
        <w:t>.</w:t>
      </w:r>
      <w:r w:rsidRPr="00F7245E">
        <w:rPr>
          <w:rFonts w:cs="Times New Roman"/>
          <w:b/>
          <w:bCs/>
          <w:w w:val="105"/>
        </w:rPr>
        <w:tab/>
      </w:r>
      <w:r w:rsidR="00B62AE4" w:rsidRPr="00F7245E">
        <w:rPr>
          <w:rFonts w:cs="Times New Roman"/>
          <w:b/>
          <w:bCs/>
          <w:w w:val="105"/>
        </w:rPr>
        <w:t>A GYÓGYSZER</w:t>
      </w:r>
      <w:r w:rsidR="00B62AE4" w:rsidRPr="00F7245E">
        <w:rPr>
          <w:rFonts w:cs="Times New Roman"/>
          <w:b/>
          <w:bCs/>
          <w:spacing w:val="-2"/>
          <w:w w:val="105"/>
        </w:rPr>
        <w:t xml:space="preserve"> </w:t>
      </w:r>
      <w:r w:rsidR="00B62AE4" w:rsidRPr="00F7245E">
        <w:rPr>
          <w:rFonts w:cs="Times New Roman"/>
          <w:b/>
          <w:bCs/>
          <w:w w:val="105"/>
        </w:rPr>
        <w:t>NEVE</w:t>
      </w:r>
    </w:p>
    <w:p w14:paraId="2DDA12B4" w14:textId="77777777" w:rsidR="00B62AE4" w:rsidRPr="00F7245E" w:rsidRDefault="00B62AE4" w:rsidP="00A21724">
      <w:pPr>
        <w:pStyle w:val="Nincstrkz"/>
        <w:rPr>
          <w:rFonts w:cs="Times New Roman"/>
        </w:rPr>
      </w:pPr>
    </w:p>
    <w:p w14:paraId="220C54EA" w14:textId="566F7CA1" w:rsidR="00B62AE4" w:rsidRPr="00F7245E" w:rsidRDefault="00F665F7" w:rsidP="00A21724">
      <w:pPr>
        <w:pStyle w:val="Nincstrkz"/>
        <w:rPr>
          <w:rFonts w:cs="Times New Roman"/>
        </w:rPr>
      </w:pPr>
      <w:bookmarkStart w:id="0" w:name="_Hlk184049516"/>
      <w:r w:rsidRPr="00F7245E">
        <w:rPr>
          <w:rFonts w:cs="Times New Roman"/>
          <w:lang w:val="en-US"/>
        </w:rPr>
        <w:t>Voziberin</w:t>
      </w:r>
      <w:bookmarkEnd w:id="0"/>
      <w:r w:rsidRPr="00F7245E">
        <w:rPr>
          <w:rFonts w:cs="Times New Roman"/>
          <w:lang w:val="en-US"/>
        </w:rPr>
        <w:t xml:space="preserve"> </w:t>
      </w:r>
      <w:r w:rsidR="004C106B" w:rsidRPr="00F7245E">
        <w:rPr>
          <w:rFonts w:cs="Times New Roman"/>
          <w:w w:val="105"/>
        </w:rPr>
        <w:t xml:space="preserve">2,5 mg </w:t>
      </w:r>
      <w:r w:rsidR="00B62AE4" w:rsidRPr="00F7245E">
        <w:rPr>
          <w:rFonts w:cs="Times New Roman"/>
          <w:w w:val="105"/>
        </w:rPr>
        <w:t>filmtabletta</w:t>
      </w:r>
    </w:p>
    <w:p w14:paraId="4E226076" w14:textId="77777777" w:rsidR="00B62AE4" w:rsidRPr="00F7245E" w:rsidRDefault="00B62AE4" w:rsidP="00A21724">
      <w:pPr>
        <w:pStyle w:val="Nincstrkz"/>
        <w:rPr>
          <w:rFonts w:cs="Times New Roman"/>
        </w:rPr>
      </w:pPr>
    </w:p>
    <w:p w14:paraId="17DB6556" w14:textId="77777777" w:rsidR="00B62AE4" w:rsidRPr="00F7245E" w:rsidRDefault="00B62AE4" w:rsidP="00A21724">
      <w:pPr>
        <w:pStyle w:val="Nincstrkz"/>
        <w:rPr>
          <w:rFonts w:cs="Times New Roman"/>
        </w:rPr>
      </w:pPr>
    </w:p>
    <w:p w14:paraId="56CB5F3F" w14:textId="741D3C33" w:rsidR="00B62AE4" w:rsidRPr="00F7245E" w:rsidRDefault="004C106B" w:rsidP="00A21724">
      <w:pPr>
        <w:pStyle w:val="Nincstrkz"/>
        <w:tabs>
          <w:tab w:val="left" w:pos="567"/>
        </w:tabs>
        <w:rPr>
          <w:rFonts w:cs="Times New Roman"/>
          <w:b/>
          <w:bCs/>
        </w:rPr>
      </w:pPr>
      <w:r w:rsidRPr="00F7245E">
        <w:rPr>
          <w:rFonts w:cs="Times New Roman"/>
          <w:b/>
          <w:bCs/>
          <w:w w:val="105"/>
        </w:rPr>
        <w:t>2.</w:t>
      </w:r>
      <w:r w:rsidRPr="00F7245E">
        <w:rPr>
          <w:rFonts w:cs="Times New Roman"/>
          <w:b/>
          <w:bCs/>
          <w:w w:val="105"/>
        </w:rPr>
        <w:tab/>
      </w:r>
      <w:r w:rsidR="00B62AE4" w:rsidRPr="00F7245E">
        <w:rPr>
          <w:rFonts w:cs="Times New Roman"/>
          <w:b/>
          <w:bCs/>
          <w:w w:val="105"/>
        </w:rPr>
        <w:t>MINŐSÉGI ÉS MENNYISÉGI</w:t>
      </w:r>
      <w:r w:rsidR="00B62AE4" w:rsidRPr="00F7245E">
        <w:rPr>
          <w:rFonts w:cs="Times New Roman"/>
          <w:b/>
          <w:bCs/>
          <w:spacing w:val="-6"/>
          <w:w w:val="105"/>
        </w:rPr>
        <w:t xml:space="preserve"> </w:t>
      </w:r>
      <w:r w:rsidR="00B62AE4" w:rsidRPr="00F7245E">
        <w:rPr>
          <w:rFonts w:cs="Times New Roman"/>
          <w:b/>
          <w:bCs/>
          <w:w w:val="105"/>
        </w:rPr>
        <w:t>ÖSSZETÉTEL</w:t>
      </w:r>
    </w:p>
    <w:p w14:paraId="0651C6E9" w14:textId="77777777" w:rsidR="004C106B" w:rsidRPr="00F7245E" w:rsidRDefault="004C106B" w:rsidP="00A21724">
      <w:pPr>
        <w:pStyle w:val="Nincstrkz"/>
        <w:rPr>
          <w:rFonts w:cs="Times New Roman"/>
          <w:w w:val="105"/>
        </w:rPr>
      </w:pPr>
    </w:p>
    <w:p w14:paraId="1979D25D" w14:textId="64917FA6" w:rsidR="004C106B" w:rsidRPr="00F7245E" w:rsidRDefault="00B62AE4" w:rsidP="00A21724">
      <w:pPr>
        <w:pStyle w:val="Nincstrkz"/>
        <w:rPr>
          <w:rFonts w:cs="Times New Roman"/>
          <w:w w:val="105"/>
        </w:rPr>
      </w:pPr>
      <w:r w:rsidRPr="00F7245E">
        <w:rPr>
          <w:rFonts w:cs="Times New Roman"/>
          <w:w w:val="105"/>
        </w:rPr>
        <w:t>2,5</w:t>
      </w:r>
      <w:r w:rsidR="004C106B" w:rsidRPr="00F7245E">
        <w:rPr>
          <w:rFonts w:cs="Times New Roman"/>
          <w:w w:val="105"/>
        </w:rPr>
        <w:t> mg</w:t>
      </w:r>
      <w:r w:rsidRPr="00F7245E">
        <w:rPr>
          <w:rFonts w:cs="Times New Roman"/>
          <w:w w:val="105"/>
        </w:rPr>
        <w:t xml:space="preserve"> apixab</w:t>
      </w:r>
      <w:r w:rsidR="00CA2919" w:rsidRPr="00F7245E">
        <w:rPr>
          <w:rFonts w:cs="Times New Roman"/>
          <w:w w:val="105"/>
        </w:rPr>
        <w:t>á</w:t>
      </w:r>
      <w:r w:rsidRPr="00F7245E">
        <w:rPr>
          <w:rFonts w:cs="Times New Roman"/>
          <w:w w:val="105"/>
        </w:rPr>
        <w:t>n</w:t>
      </w:r>
      <w:r w:rsidR="009E33F0" w:rsidRPr="00F7245E">
        <w:rPr>
          <w:rFonts w:cs="Times New Roman"/>
          <w:w w:val="105"/>
        </w:rPr>
        <w:t>t tartalmaz</w:t>
      </w:r>
      <w:r w:rsidRPr="00F7245E">
        <w:rPr>
          <w:rFonts w:cs="Times New Roman"/>
          <w:w w:val="105"/>
        </w:rPr>
        <w:t xml:space="preserve"> filmtablettánként. </w:t>
      </w:r>
    </w:p>
    <w:p w14:paraId="072D0EF0" w14:textId="77777777" w:rsidR="004C106B" w:rsidRPr="00F7245E" w:rsidRDefault="004C106B" w:rsidP="00A21724">
      <w:pPr>
        <w:pStyle w:val="Nincstrkz"/>
        <w:rPr>
          <w:rFonts w:cs="Times New Roman"/>
          <w:w w:val="105"/>
        </w:rPr>
      </w:pPr>
    </w:p>
    <w:p w14:paraId="5311C6E8" w14:textId="7187F0C8" w:rsidR="00B62AE4" w:rsidRPr="00F7245E" w:rsidRDefault="00B62AE4" w:rsidP="00A21724">
      <w:pPr>
        <w:pStyle w:val="Nincstrkz"/>
        <w:rPr>
          <w:rFonts w:cs="Times New Roman"/>
        </w:rPr>
      </w:pPr>
      <w:r w:rsidRPr="00F7245E">
        <w:rPr>
          <w:rFonts w:cs="Times New Roman"/>
          <w:w w:val="105"/>
          <w:u w:val="single"/>
        </w:rPr>
        <w:t>Ismert hatású segédanyagok</w:t>
      </w:r>
    </w:p>
    <w:p w14:paraId="6C089602" w14:textId="5DC7EBDC" w:rsidR="00B62AE4" w:rsidRPr="00F7245E" w:rsidRDefault="00B62AE4" w:rsidP="00A21724">
      <w:pPr>
        <w:pStyle w:val="Nincstrkz"/>
        <w:rPr>
          <w:rFonts w:cs="Times New Roman"/>
        </w:rPr>
      </w:pPr>
      <w:r w:rsidRPr="00F7245E">
        <w:rPr>
          <w:rFonts w:cs="Times New Roman"/>
          <w:w w:val="105"/>
        </w:rPr>
        <w:t>5</w:t>
      </w:r>
      <w:r w:rsidR="004D7C22" w:rsidRPr="00F7245E">
        <w:rPr>
          <w:rFonts w:cs="Times New Roman"/>
          <w:w w:val="105"/>
        </w:rPr>
        <w:t>2</w:t>
      </w:r>
      <w:r w:rsidR="004C106B" w:rsidRPr="00F7245E">
        <w:rPr>
          <w:rFonts w:cs="Times New Roman"/>
          <w:w w:val="105"/>
        </w:rPr>
        <w:t> mg</w:t>
      </w:r>
      <w:r w:rsidRPr="00F7245E">
        <w:rPr>
          <w:rFonts w:cs="Times New Roman"/>
          <w:w w:val="105"/>
        </w:rPr>
        <w:t xml:space="preserve"> laktóz</w:t>
      </w:r>
      <w:r w:rsidR="009E33F0" w:rsidRPr="00F7245E">
        <w:rPr>
          <w:rFonts w:cs="Times New Roman"/>
          <w:w w:val="105"/>
        </w:rPr>
        <w:t>t tartalmaz</w:t>
      </w:r>
      <w:r w:rsidRPr="00F7245E">
        <w:rPr>
          <w:rFonts w:cs="Times New Roman"/>
          <w:w w:val="105"/>
        </w:rPr>
        <w:t xml:space="preserve"> 2,5</w:t>
      </w:r>
      <w:r w:rsidR="004C106B" w:rsidRPr="00F7245E">
        <w:rPr>
          <w:rFonts w:cs="Times New Roman"/>
          <w:w w:val="105"/>
        </w:rPr>
        <w:t> mg</w:t>
      </w:r>
      <w:r w:rsidR="004C106B" w:rsidRPr="00F7245E">
        <w:rPr>
          <w:rFonts w:cs="Times New Roman"/>
          <w:w w:val="105"/>
        </w:rPr>
        <w:noBreakHyphen/>
      </w:r>
      <w:r w:rsidRPr="00F7245E">
        <w:rPr>
          <w:rFonts w:cs="Times New Roman"/>
          <w:w w:val="105"/>
        </w:rPr>
        <w:t>os filmtablettánként</w:t>
      </w:r>
      <w:r w:rsidR="004D7C22" w:rsidRPr="00F7245E">
        <w:rPr>
          <w:rFonts w:cs="Times New Roman"/>
          <w:w w:val="105"/>
        </w:rPr>
        <w:t xml:space="preserve"> (lásd 4.4 pont)</w:t>
      </w:r>
      <w:r w:rsidR="004C106B" w:rsidRPr="00F7245E">
        <w:rPr>
          <w:rFonts w:cs="Times New Roman"/>
          <w:w w:val="105"/>
        </w:rPr>
        <w:t>.</w:t>
      </w:r>
    </w:p>
    <w:p w14:paraId="206FC1DD" w14:textId="77777777" w:rsidR="00B62AE4" w:rsidRPr="00F7245E" w:rsidRDefault="00B62AE4" w:rsidP="00A21724">
      <w:pPr>
        <w:pStyle w:val="Nincstrkz"/>
        <w:rPr>
          <w:rFonts w:cs="Times New Roman"/>
        </w:rPr>
      </w:pPr>
    </w:p>
    <w:p w14:paraId="7A6D0DEE" w14:textId="06E68CB8" w:rsidR="00B62AE4" w:rsidRPr="00F7245E" w:rsidRDefault="00B62AE4" w:rsidP="00A21724">
      <w:pPr>
        <w:pStyle w:val="Nincstrkz"/>
        <w:rPr>
          <w:rFonts w:cs="Times New Roman"/>
        </w:rPr>
      </w:pPr>
      <w:r w:rsidRPr="00F7245E">
        <w:rPr>
          <w:rFonts w:cs="Times New Roman"/>
          <w:w w:val="105"/>
        </w:rPr>
        <w:t>A segédanyagok teljes listáját lásd a 6.1</w:t>
      </w:r>
      <w:r w:rsidR="004C106B" w:rsidRPr="00F7245E">
        <w:rPr>
          <w:rFonts w:cs="Times New Roman"/>
          <w:w w:val="105"/>
        </w:rPr>
        <w:t> pont</w:t>
      </w:r>
      <w:r w:rsidRPr="00F7245E">
        <w:rPr>
          <w:rFonts w:cs="Times New Roman"/>
          <w:w w:val="105"/>
        </w:rPr>
        <w:t>ban.</w:t>
      </w:r>
    </w:p>
    <w:p w14:paraId="44BC4AB6" w14:textId="77777777" w:rsidR="00B62AE4" w:rsidRPr="00F7245E" w:rsidRDefault="00B62AE4" w:rsidP="00A21724">
      <w:pPr>
        <w:pStyle w:val="Nincstrkz"/>
        <w:rPr>
          <w:rFonts w:cs="Times New Roman"/>
        </w:rPr>
      </w:pPr>
    </w:p>
    <w:p w14:paraId="068B0DA6" w14:textId="77777777" w:rsidR="00B62AE4" w:rsidRPr="00F7245E" w:rsidRDefault="00B62AE4" w:rsidP="00A21724">
      <w:pPr>
        <w:pStyle w:val="Nincstrkz"/>
        <w:rPr>
          <w:rFonts w:cs="Times New Roman"/>
        </w:rPr>
      </w:pPr>
    </w:p>
    <w:p w14:paraId="1F975181" w14:textId="1E39EBE8" w:rsidR="00B62AE4" w:rsidRPr="00F7245E" w:rsidRDefault="004C106B" w:rsidP="00A21724">
      <w:pPr>
        <w:pStyle w:val="Nincstrkz"/>
        <w:tabs>
          <w:tab w:val="left" w:pos="567"/>
        </w:tabs>
        <w:rPr>
          <w:rFonts w:cs="Times New Roman"/>
          <w:b/>
          <w:bCs/>
        </w:rPr>
      </w:pPr>
      <w:r w:rsidRPr="00F7245E">
        <w:rPr>
          <w:rFonts w:cs="Times New Roman"/>
          <w:b/>
          <w:bCs/>
          <w:w w:val="105"/>
        </w:rPr>
        <w:t>3.</w:t>
      </w:r>
      <w:r w:rsidRPr="00F7245E">
        <w:rPr>
          <w:rFonts w:cs="Times New Roman"/>
          <w:b/>
          <w:bCs/>
          <w:w w:val="105"/>
        </w:rPr>
        <w:tab/>
      </w:r>
      <w:r w:rsidR="00B62AE4" w:rsidRPr="00F7245E">
        <w:rPr>
          <w:rFonts w:cs="Times New Roman"/>
          <w:b/>
          <w:bCs/>
          <w:w w:val="105"/>
        </w:rPr>
        <w:t>GYÓGYSZERFORMA</w:t>
      </w:r>
    </w:p>
    <w:p w14:paraId="0B1E7E2F" w14:textId="77777777" w:rsidR="00B62AE4" w:rsidRPr="00F7245E" w:rsidRDefault="00B62AE4" w:rsidP="00A21724">
      <w:pPr>
        <w:pStyle w:val="Nincstrkz"/>
        <w:rPr>
          <w:rFonts w:cs="Times New Roman"/>
        </w:rPr>
      </w:pPr>
    </w:p>
    <w:p w14:paraId="2BDB8D05" w14:textId="718D51A0" w:rsidR="00B62AE4" w:rsidRPr="00F7245E" w:rsidRDefault="00B62AE4" w:rsidP="00A21724">
      <w:pPr>
        <w:pStyle w:val="Nincstrkz"/>
        <w:rPr>
          <w:rFonts w:cs="Times New Roman"/>
          <w:w w:val="105"/>
        </w:rPr>
      </w:pPr>
      <w:r w:rsidRPr="00F7245E">
        <w:rPr>
          <w:rFonts w:cs="Times New Roman"/>
          <w:w w:val="105"/>
        </w:rPr>
        <w:t>Filmtabletta (tabletta)</w:t>
      </w:r>
    </w:p>
    <w:p w14:paraId="5581654E" w14:textId="77777777" w:rsidR="004D7C22" w:rsidRPr="00F7245E" w:rsidRDefault="004D7C22" w:rsidP="00A21724">
      <w:pPr>
        <w:pStyle w:val="Nincstrkz"/>
        <w:rPr>
          <w:rFonts w:cs="Times New Roman"/>
        </w:rPr>
      </w:pPr>
    </w:p>
    <w:p w14:paraId="2953763A" w14:textId="0F1F81D5" w:rsidR="00B62AE4" w:rsidRPr="00F7245E" w:rsidRDefault="003C57F2" w:rsidP="00A21724">
      <w:pPr>
        <w:pStyle w:val="Nincstrkz"/>
        <w:rPr>
          <w:rFonts w:cs="Times New Roman"/>
        </w:rPr>
      </w:pPr>
      <w:r>
        <w:rPr>
          <w:rFonts w:cs="Times New Roman"/>
        </w:rPr>
        <w:t>Sárga, kerek (körülbelül</w:t>
      </w:r>
      <w:r w:rsidR="00CB29ED" w:rsidRPr="00CB29ED">
        <w:rPr>
          <w:rFonts w:cs="Times New Roman"/>
        </w:rPr>
        <w:t xml:space="preserve"> 6 mm átmérőjű), mindkét oldalán domború, egyik oldalán mélynyomású „M”, másik oldalon „2.5” jelöléssel ellátva.</w:t>
      </w:r>
    </w:p>
    <w:p w14:paraId="01EB6145" w14:textId="77777777" w:rsidR="00B62AE4" w:rsidRPr="00F7245E" w:rsidRDefault="00B62AE4" w:rsidP="00A21724">
      <w:pPr>
        <w:pStyle w:val="Nincstrkz"/>
        <w:rPr>
          <w:rFonts w:cs="Times New Roman"/>
        </w:rPr>
      </w:pPr>
    </w:p>
    <w:p w14:paraId="3DFF5182" w14:textId="7CEF0C3C" w:rsidR="00B62AE4" w:rsidRPr="00F7245E" w:rsidRDefault="00053112" w:rsidP="00A21724">
      <w:pPr>
        <w:pStyle w:val="Nincstrkz"/>
        <w:tabs>
          <w:tab w:val="left" w:pos="567"/>
        </w:tabs>
        <w:rPr>
          <w:rFonts w:cs="Times New Roman"/>
          <w:b/>
          <w:bCs/>
        </w:rPr>
      </w:pPr>
      <w:r w:rsidRPr="00F7245E">
        <w:rPr>
          <w:rFonts w:cs="Times New Roman"/>
          <w:b/>
          <w:bCs/>
          <w:w w:val="105"/>
        </w:rPr>
        <w:t>4</w:t>
      </w:r>
      <w:r w:rsidRPr="00F7245E">
        <w:rPr>
          <w:rFonts w:cs="Times New Roman"/>
          <w:b/>
          <w:bCs/>
          <w:w w:val="105"/>
        </w:rPr>
        <w:tab/>
      </w:r>
      <w:r w:rsidR="00B62AE4" w:rsidRPr="00F7245E">
        <w:rPr>
          <w:rFonts w:cs="Times New Roman"/>
          <w:b/>
          <w:bCs/>
          <w:w w:val="105"/>
        </w:rPr>
        <w:t>KLINIKAI</w:t>
      </w:r>
      <w:r w:rsidR="00B62AE4" w:rsidRPr="00F7245E">
        <w:rPr>
          <w:rFonts w:cs="Times New Roman"/>
          <w:b/>
          <w:bCs/>
          <w:spacing w:val="-1"/>
          <w:w w:val="105"/>
        </w:rPr>
        <w:t xml:space="preserve"> </w:t>
      </w:r>
      <w:r w:rsidR="00B62AE4" w:rsidRPr="00F7245E">
        <w:rPr>
          <w:rFonts w:cs="Times New Roman"/>
          <w:b/>
          <w:bCs/>
          <w:w w:val="105"/>
        </w:rPr>
        <w:t>JELLEMZŐK</w:t>
      </w:r>
    </w:p>
    <w:p w14:paraId="06E6BFF9" w14:textId="77777777" w:rsidR="00B62AE4" w:rsidRPr="00F7245E" w:rsidRDefault="00B62AE4" w:rsidP="00A21724">
      <w:pPr>
        <w:pStyle w:val="Nincstrkz"/>
        <w:rPr>
          <w:rFonts w:cs="Times New Roman"/>
        </w:rPr>
      </w:pPr>
    </w:p>
    <w:p w14:paraId="5D5F7278" w14:textId="0010D78D" w:rsidR="00B62AE4" w:rsidRPr="00F7245E" w:rsidRDefault="00053112" w:rsidP="00A21724">
      <w:pPr>
        <w:pStyle w:val="Nincstrkz"/>
        <w:tabs>
          <w:tab w:val="left" w:pos="567"/>
        </w:tabs>
        <w:rPr>
          <w:rFonts w:cs="Times New Roman"/>
          <w:b/>
          <w:bCs/>
        </w:rPr>
      </w:pPr>
      <w:r w:rsidRPr="00F7245E">
        <w:rPr>
          <w:rFonts w:cs="Times New Roman"/>
          <w:b/>
          <w:bCs/>
          <w:w w:val="105"/>
        </w:rPr>
        <w:t>4.1</w:t>
      </w:r>
      <w:r w:rsidRPr="00F7245E">
        <w:rPr>
          <w:rFonts w:cs="Times New Roman"/>
          <w:b/>
          <w:bCs/>
          <w:w w:val="105"/>
        </w:rPr>
        <w:tab/>
      </w:r>
      <w:r w:rsidR="00B62AE4" w:rsidRPr="00F7245E">
        <w:rPr>
          <w:rFonts w:cs="Times New Roman"/>
          <w:b/>
          <w:bCs/>
          <w:w w:val="105"/>
        </w:rPr>
        <w:t>Terápiás</w:t>
      </w:r>
      <w:r w:rsidR="00B62AE4" w:rsidRPr="00F7245E">
        <w:rPr>
          <w:rFonts w:cs="Times New Roman"/>
          <w:b/>
          <w:bCs/>
          <w:spacing w:val="-2"/>
          <w:w w:val="105"/>
        </w:rPr>
        <w:t xml:space="preserve"> </w:t>
      </w:r>
      <w:r w:rsidR="00B62AE4" w:rsidRPr="00F7245E">
        <w:rPr>
          <w:rFonts w:cs="Times New Roman"/>
          <w:b/>
          <w:bCs/>
          <w:w w:val="105"/>
        </w:rPr>
        <w:t>javallatok</w:t>
      </w:r>
    </w:p>
    <w:p w14:paraId="31B75C95" w14:textId="77777777" w:rsidR="00B62AE4" w:rsidRPr="00F7245E" w:rsidRDefault="00B62AE4" w:rsidP="00A21724">
      <w:pPr>
        <w:pStyle w:val="Nincstrkz"/>
        <w:rPr>
          <w:rFonts w:cs="Times New Roman"/>
        </w:rPr>
      </w:pPr>
    </w:p>
    <w:p w14:paraId="15D2A628" w14:textId="77777777" w:rsidR="00F665F7" w:rsidRPr="00F7245E" w:rsidRDefault="00F665F7" w:rsidP="00A21724">
      <w:pPr>
        <w:pStyle w:val="Nincstrkz"/>
        <w:rPr>
          <w:rFonts w:cs="Times New Roman"/>
          <w:u w:val="single"/>
        </w:rPr>
      </w:pPr>
      <w:r w:rsidRPr="00F7245E">
        <w:rPr>
          <w:rFonts w:cs="Times New Roman"/>
          <w:u w:val="single"/>
        </w:rPr>
        <w:t>Felnőttek</w:t>
      </w:r>
    </w:p>
    <w:p w14:paraId="38613C76" w14:textId="77777777" w:rsidR="00F665F7" w:rsidRPr="00F7245E" w:rsidRDefault="00F665F7" w:rsidP="00A21724">
      <w:pPr>
        <w:pStyle w:val="Nincstrkz"/>
        <w:rPr>
          <w:rFonts w:cs="Times New Roman"/>
        </w:rPr>
      </w:pPr>
    </w:p>
    <w:p w14:paraId="626784B0" w14:textId="6037950D" w:rsidR="00B62AE4" w:rsidRPr="00F7245E" w:rsidRDefault="00B62AE4" w:rsidP="00A21724">
      <w:pPr>
        <w:pStyle w:val="Nincstrkz"/>
        <w:rPr>
          <w:rFonts w:cs="Times New Roman"/>
        </w:rPr>
      </w:pPr>
      <w:r w:rsidRPr="00F7245E">
        <w:rPr>
          <w:rFonts w:cs="Times New Roman"/>
        </w:rPr>
        <w:t>Vénás thromboemboliás események (</w:t>
      </w:r>
      <w:r w:rsidR="00987180" w:rsidRPr="00F7245E">
        <w:rPr>
          <w:rFonts w:cs="Times New Roman"/>
        </w:rPr>
        <w:t xml:space="preserve">venous thromboembolic events, </w:t>
      </w:r>
      <w:r w:rsidRPr="00F7245E">
        <w:rPr>
          <w:rFonts w:cs="Times New Roman"/>
        </w:rPr>
        <w:t>VTE) megelőzése elektív csípő</w:t>
      </w:r>
      <w:r w:rsidR="004B45F8" w:rsidRPr="00F7245E">
        <w:rPr>
          <w:rFonts w:cs="Times New Roman"/>
        </w:rPr>
        <w:noBreakHyphen/>
      </w:r>
      <w:r w:rsidRPr="00F7245E">
        <w:rPr>
          <w:rFonts w:cs="Times New Roman"/>
        </w:rPr>
        <w:t xml:space="preserve"> vagy térdprotézis műtéten átesett felnőtteknél.</w:t>
      </w:r>
    </w:p>
    <w:p w14:paraId="385A357F" w14:textId="77777777" w:rsidR="00B62AE4" w:rsidRPr="00F7245E" w:rsidRDefault="00B62AE4" w:rsidP="00A21724">
      <w:pPr>
        <w:pStyle w:val="Nincstrkz"/>
        <w:rPr>
          <w:rFonts w:cs="Times New Roman"/>
        </w:rPr>
      </w:pPr>
    </w:p>
    <w:p w14:paraId="77C30FA4" w14:textId="4B2F1ED7" w:rsidR="00B62AE4" w:rsidRPr="00F7245E" w:rsidRDefault="004B45F8" w:rsidP="00A21724">
      <w:pPr>
        <w:pStyle w:val="Nincstrkz"/>
        <w:rPr>
          <w:rFonts w:cs="Times New Roman"/>
        </w:rPr>
      </w:pPr>
      <w:r w:rsidRPr="00F7245E">
        <w:rPr>
          <w:rFonts w:cs="Times New Roman"/>
        </w:rPr>
        <w:t>S</w:t>
      </w:r>
      <w:r w:rsidR="00B62AE4" w:rsidRPr="00F7245E">
        <w:rPr>
          <w:rFonts w:cs="Times New Roman"/>
        </w:rPr>
        <w:t xml:space="preserve">troke és a szisztémás embolizáció megelőzése nem </w:t>
      </w:r>
      <w:r w:rsidRPr="00F7245E">
        <w:rPr>
          <w:rFonts w:cs="Times New Roman"/>
        </w:rPr>
        <w:t>valvuláris</w:t>
      </w:r>
      <w:r w:rsidR="00B62AE4" w:rsidRPr="00F7245E">
        <w:rPr>
          <w:rFonts w:cs="Times New Roman"/>
        </w:rPr>
        <w:t xml:space="preserve"> pitvarfibrillációban (</w:t>
      </w:r>
      <w:r w:rsidR="00987180" w:rsidRPr="00F7245E">
        <w:rPr>
          <w:rFonts w:cs="Times New Roman"/>
        </w:rPr>
        <w:t xml:space="preserve">nem billentyű eredetű pitvarfibrillációban, non-valvular atrial fibrillation, </w:t>
      </w:r>
      <w:r w:rsidR="00B62AE4" w:rsidRPr="00F7245E">
        <w:rPr>
          <w:rFonts w:cs="Times New Roman"/>
        </w:rPr>
        <w:t xml:space="preserve">NVPF) szenvedő, </w:t>
      </w:r>
      <w:r w:rsidR="00023B78" w:rsidRPr="00F7245E">
        <w:rPr>
          <w:rFonts w:cs="Times New Roman"/>
        </w:rPr>
        <w:t xml:space="preserve">olyan </w:t>
      </w:r>
      <w:r w:rsidRPr="00F7245E">
        <w:rPr>
          <w:rFonts w:cs="Times New Roman"/>
        </w:rPr>
        <w:t>felnőtt</w:t>
      </w:r>
      <w:r w:rsidR="008E1640" w:rsidRPr="00F7245E">
        <w:rPr>
          <w:rFonts w:cs="Times New Roman"/>
        </w:rPr>
        <w:t xml:space="preserve"> </w:t>
      </w:r>
      <w:r w:rsidR="00A1416D" w:rsidRPr="00F7245E">
        <w:rPr>
          <w:rFonts w:cs="Times New Roman"/>
        </w:rPr>
        <w:t>beteg</w:t>
      </w:r>
      <w:r w:rsidRPr="00F7245E">
        <w:rPr>
          <w:rFonts w:cs="Times New Roman"/>
        </w:rPr>
        <w:t xml:space="preserve">eknél, akiknél </w:t>
      </w:r>
      <w:r w:rsidR="00B62AE4" w:rsidRPr="00F7245E">
        <w:rPr>
          <w:rFonts w:cs="Times New Roman"/>
        </w:rPr>
        <w:t>egy vagy több kockázati tényező</w:t>
      </w:r>
      <w:r w:rsidRPr="00F7245E">
        <w:rPr>
          <w:rFonts w:cs="Times New Roman"/>
        </w:rPr>
        <w:t xml:space="preserve"> áll fenn</w:t>
      </w:r>
      <w:r w:rsidR="00B62AE4" w:rsidRPr="00F7245E">
        <w:rPr>
          <w:rFonts w:cs="Times New Roman"/>
        </w:rPr>
        <w:t>, például korábbi stroke vagy tran</w:t>
      </w:r>
      <w:r w:rsidR="00987180" w:rsidRPr="00F7245E">
        <w:rPr>
          <w:rFonts w:cs="Times New Roman"/>
        </w:rPr>
        <w:t>z</w:t>
      </w:r>
      <w:r w:rsidR="00B62AE4" w:rsidRPr="00F7245E">
        <w:rPr>
          <w:rFonts w:cs="Times New Roman"/>
        </w:rPr>
        <w:t>iens ischaemiás attak (TIA), 75</w:t>
      </w:r>
      <w:r w:rsidR="00045408" w:rsidRPr="00F7245E">
        <w:rPr>
          <w:rFonts w:cs="Times New Roman"/>
        </w:rPr>
        <w:t> év</w:t>
      </w:r>
      <w:r w:rsidR="00023B78" w:rsidRPr="00F7245E">
        <w:rPr>
          <w:rFonts w:cs="Times New Roman"/>
        </w:rPr>
        <w:t>es</w:t>
      </w:r>
      <w:r w:rsidR="00B62AE4" w:rsidRPr="00F7245E">
        <w:rPr>
          <w:rFonts w:cs="Times New Roman"/>
        </w:rPr>
        <w:t xml:space="preserve"> vagy </w:t>
      </w:r>
      <w:r w:rsidR="00D066D9" w:rsidRPr="00F7245E">
        <w:rPr>
          <w:rFonts w:cs="Times New Roman"/>
        </w:rPr>
        <w:t>annál idősebb</w:t>
      </w:r>
      <w:r w:rsidR="00B62AE4" w:rsidRPr="00F7245E">
        <w:rPr>
          <w:rFonts w:cs="Times New Roman"/>
        </w:rPr>
        <w:t>, hypertonia, diabetes mellitus, valamint tünetekkel járó szívelégtelenség (NYHA stádium ≥</w:t>
      </w:r>
      <w:r w:rsidR="00023B78" w:rsidRPr="00F7245E">
        <w:rPr>
          <w:rFonts w:cs="Times New Roman"/>
        </w:rPr>
        <w:t> </w:t>
      </w:r>
      <w:r w:rsidR="00B62AE4" w:rsidRPr="00F7245E">
        <w:rPr>
          <w:rFonts w:cs="Times New Roman"/>
        </w:rPr>
        <w:t>II).</w:t>
      </w:r>
    </w:p>
    <w:p w14:paraId="113C03DD" w14:textId="77777777" w:rsidR="00B62AE4" w:rsidRPr="00F7245E" w:rsidRDefault="00B62AE4" w:rsidP="00A21724">
      <w:pPr>
        <w:pStyle w:val="Nincstrkz"/>
        <w:rPr>
          <w:rFonts w:cs="Times New Roman"/>
        </w:rPr>
      </w:pPr>
    </w:p>
    <w:p w14:paraId="5975662B" w14:textId="771216AD" w:rsidR="00B62AE4" w:rsidRPr="00F7245E" w:rsidRDefault="00822B30" w:rsidP="00A21724">
      <w:pPr>
        <w:pStyle w:val="Nincstrkz"/>
        <w:rPr>
          <w:rFonts w:cs="Times New Roman"/>
        </w:rPr>
      </w:pPr>
      <w:r w:rsidRPr="00F7245E">
        <w:rPr>
          <w:rFonts w:cs="Times New Roman"/>
        </w:rPr>
        <w:t>M</w:t>
      </w:r>
      <w:r w:rsidR="00B62AE4" w:rsidRPr="00F7245E">
        <w:rPr>
          <w:rFonts w:cs="Times New Roman"/>
        </w:rPr>
        <w:t>élyvénás thrombosis (MVT) és a pulmonalis embolia (PE) kezelése, valamint az MVT és a PE kiújulásának megelőzése felnőtteknél (a hemodinamikailag instabil tüdőembóliás</w:t>
      </w:r>
      <w:r w:rsidR="008E1640" w:rsidRPr="00F7245E">
        <w:rPr>
          <w:rFonts w:cs="Times New Roman"/>
        </w:rPr>
        <w:t xml:space="preserve"> betegeket</w:t>
      </w:r>
      <w:r w:rsidR="00B62AE4" w:rsidRPr="00F7245E">
        <w:rPr>
          <w:rFonts w:cs="Times New Roman"/>
        </w:rPr>
        <w:t xml:space="preserve"> lásd a</w:t>
      </w:r>
      <w:r w:rsidRPr="00F7245E">
        <w:rPr>
          <w:rFonts w:cs="Times New Roman"/>
        </w:rPr>
        <w:t xml:space="preserve"> </w:t>
      </w:r>
      <w:r w:rsidR="00B62AE4" w:rsidRPr="00F7245E">
        <w:rPr>
          <w:rFonts w:cs="Times New Roman"/>
        </w:rPr>
        <w:t>4.4</w:t>
      </w:r>
      <w:r w:rsidR="004C106B" w:rsidRPr="00F7245E">
        <w:rPr>
          <w:rFonts w:cs="Times New Roman"/>
        </w:rPr>
        <w:t> pont</w:t>
      </w:r>
      <w:r w:rsidR="00B62AE4" w:rsidRPr="00F7245E">
        <w:rPr>
          <w:rFonts w:cs="Times New Roman"/>
        </w:rPr>
        <w:t>ban).</w:t>
      </w:r>
    </w:p>
    <w:p w14:paraId="07DD659A" w14:textId="77777777" w:rsidR="00B62AE4" w:rsidRPr="00F7245E" w:rsidRDefault="00B62AE4" w:rsidP="00A21724">
      <w:pPr>
        <w:pStyle w:val="Nincstrkz"/>
        <w:rPr>
          <w:rFonts w:cs="Times New Roman"/>
        </w:rPr>
      </w:pPr>
    </w:p>
    <w:p w14:paraId="27AFC13A" w14:textId="77777777" w:rsidR="00987180" w:rsidRPr="00F7245E" w:rsidRDefault="00987180" w:rsidP="00987180">
      <w:pPr>
        <w:rPr>
          <w:u w:val="single"/>
          <w:lang w:eastAsia="en-US" w:bidi="ar-SA"/>
        </w:rPr>
      </w:pPr>
      <w:r w:rsidRPr="00F7245E">
        <w:rPr>
          <w:u w:val="single"/>
          <w:lang w:eastAsia="en-US" w:bidi="ar-SA"/>
        </w:rPr>
        <w:t xml:space="preserve">Gyermekek és serdülők </w:t>
      </w:r>
    </w:p>
    <w:p w14:paraId="1C949627" w14:textId="77777777" w:rsidR="00987180" w:rsidRPr="00F7245E" w:rsidRDefault="00987180" w:rsidP="00987180">
      <w:pPr>
        <w:rPr>
          <w:u w:val="single"/>
          <w:lang w:eastAsia="en-US" w:bidi="ar-SA"/>
        </w:rPr>
      </w:pPr>
    </w:p>
    <w:p w14:paraId="0B5125F8" w14:textId="77777777" w:rsidR="00987180" w:rsidRPr="00F7245E" w:rsidRDefault="00987180" w:rsidP="00987180">
      <w:pPr>
        <w:rPr>
          <w:lang w:eastAsia="en-US" w:bidi="ar-SA"/>
        </w:rPr>
      </w:pPr>
      <w:r w:rsidRPr="00F7245E">
        <w:rPr>
          <w:lang w:eastAsia="en-US" w:bidi="ar-SA"/>
        </w:rPr>
        <w:t>Vénás thromboembolia (VTE) kezelése és a VTE kiújulásának megelőzése gyermekeknél és serdülőknél 28 napos kortól, betöltött 18 éves korig.</w:t>
      </w:r>
    </w:p>
    <w:p w14:paraId="432A5FBA" w14:textId="77777777" w:rsidR="00987180" w:rsidRPr="00F7245E" w:rsidRDefault="00987180" w:rsidP="00987180">
      <w:pPr>
        <w:rPr>
          <w:lang w:eastAsia="en-US" w:bidi="ar-SA"/>
        </w:rPr>
      </w:pPr>
    </w:p>
    <w:p w14:paraId="5D237F41" w14:textId="77777777" w:rsidR="00F665F7" w:rsidRPr="00F7245E" w:rsidRDefault="00F665F7" w:rsidP="00A21724">
      <w:pPr>
        <w:pStyle w:val="Nincstrkz"/>
        <w:rPr>
          <w:rFonts w:cs="Times New Roman"/>
        </w:rPr>
      </w:pPr>
    </w:p>
    <w:p w14:paraId="538F8096" w14:textId="77777777" w:rsidR="00B62AE4" w:rsidRPr="00F7245E" w:rsidRDefault="00B62AE4" w:rsidP="00A21724">
      <w:pPr>
        <w:pStyle w:val="Nincstrkz"/>
        <w:tabs>
          <w:tab w:val="left" w:pos="567"/>
        </w:tabs>
        <w:rPr>
          <w:rFonts w:cs="Times New Roman"/>
          <w:b/>
          <w:bCs/>
        </w:rPr>
      </w:pPr>
      <w:r w:rsidRPr="00F7245E">
        <w:rPr>
          <w:rFonts w:cs="Times New Roman"/>
          <w:b/>
          <w:bCs/>
          <w:w w:val="105"/>
        </w:rPr>
        <w:t>4.2</w:t>
      </w:r>
      <w:r w:rsidRPr="00F7245E">
        <w:rPr>
          <w:rFonts w:cs="Times New Roman"/>
          <w:b/>
          <w:bCs/>
          <w:w w:val="105"/>
        </w:rPr>
        <w:tab/>
        <w:t>Adagolás és</w:t>
      </w:r>
      <w:r w:rsidRPr="00F7245E">
        <w:rPr>
          <w:rFonts w:cs="Times New Roman"/>
          <w:b/>
          <w:bCs/>
          <w:spacing w:val="-3"/>
          <w:w w:val="105"/>
        </w:rPr>
        <w:t xml:space="preserve"> </w:t>
      </w:r>
      <w:r w:rsidRPr="00F7245E">
        <w:rPr>
          <w:rFonts w:cs="Times New Roman"/>
          <w:b/>
          <w:bCs/>
          <w:w w:val="105"/>
        </w:rPr>
        <w:t>alkalmazás</w:t>
      </w:r>
    </w:p>
    <w:p w14:paraId="4344EACF" w14:textId="77777777" w:rsidR="00B62AE4" w:rsidRPr="00F7245E" w:rsidRDefault="00B62AE4" w:rsidP="00A21724">
      <w:pPr>
        <w:pStyle w:val="Nincstrkz"/>
        <w:rPr>
          <w:rFonts w:cs="Times New Roman"/>
        </w:rPr>
      </w:pPr>
    </w:p>
    <w:p w14:paraId="45F0EBC1" w14:textId="77777777" w:rsidR="00B62AE4" w:rsidRPr="00F7245E" w:rsidRDefault="00B62AE4" w:rsidP="00A21724">
      <w:pPr>
        <w:pStyle w:val="Nincstrkz"/>
        <w:rPr>
          <w:rFonts w:cs="Times New Roman"/>
          <w:u w:val="single"/>
        </w:rPr>
      </w:pPr>
      <w:r w:rsidRPr="00F7245E">
        <w:rPr>
          <w:rFonts w:cs="Times New Roman"/>
          <w:w w:val="105"/>
          <w:u w:val="single"/>
        </w:rPr>
        <w:t>Adagolás</w:t>
      </w:r>
    </w:p>
    <w:p w14:paraId="46911BD0" w14:textId="77777777" w:rsidR="00B62AE4" w:rsidRPr="00F7245E" w:rsidRDefault="00B62AE4" w:rsidP="00A21724">
      <w:pPr>
        <w:pStyle w:val="Nincstrkz"/>
        <w:rPr>
          <w:rFonts w:cs="Times New Roman"/>
        </w:rPr>
      </w:pPr>
    </w:p>
    <w:p w14:paraId="47E4C617" w14:textId="60DD048B" w:rsidR="00B62AE4" w:rsidRPr="00F7245E" w:rsidRDefault="00822B30" w:rsidP="00A21724">
      <w:pPr>
        <w:pStyle w:val="Nincstrkz"/>
        <w:rPr>
          <w:rFonts w:cs="Times New Roman"/>
          <w:i/>
          <w:u w:val="single"/>
        </w:rPr>
      </w:pPr>
      <w:r w:rsidRPr="00F7245E">
        <w:rPr>
          <w:rFonts w:cs="Times New Roman"/>
          <w:i/>
          <w:w w:val="105"/>
          <w:u w:val="single"/>
        </w:rPr>
        <w:t>V</w:t>
      </w:r>
      <w:r w:rsidR="00B62AE4" w:rsidRPr="00F7245E">
        <w:rPr>
          <w:rFonts w:cs="Times New Roman"/>
          <w:i/>
          <w:w w:val="105"/>
          <w:u w:val="single"/>
        </w:rPr>
        <w:t xml:space="preserve">énás thromboembolia </w:t>
      </w:r>
      <w:r w:rsidRPr="00F7245E">
        <w:rPr>
          <w:rFonts w:cs="Times New Roman"/>
          <w:i/>
          <w:w w:val="105"/>
          <w:u w:val="single"/>
        </w:rPr>
        <w:t>prevenciója</w:t>
      </w:r>
      <w:r w:rsidR="00B62AE4" w:rsidRPr="00F7245E">
        <w:rPr>
          <w:rFonts w:cs="Times New Roman"/>
          <w:i/>
          <w:w w:val="105"/>
          <w:u w:val="single"/>
        </w:rPr>
        <w:t xml:space="preserve"> </w:t>
      </w:r>
      <w:r w:rsidR="00987180" w:rsidRPr="00F7245E">
        <w:rPr>
          <w:rFonts w:cs="Times New Roman"/>
          <w:i/>
          <w:w w:val="105"/>
          <w:u w:val="single"/>
        </w:rPr>
        <w:t>(VTE prevention – VTEp)</w:t>
      </w:r>
      <w:r w:rsidR="00B62AE4" w:rsidRPr="00F7245E">
        <w:rPr>
          <w:rFonts w:cs="Times New Roman"/>
          <w:i/>
          <w:w w:val="105"/>
          <w:u w:val="single"/>
        </w:rPr>
        <w:t>: elektív csípő</w:t>
      </w:r>
      <w:r w:rsidR="00190E11" w:rsidRPr="00F7245E">
        <w:rPr>
          <w:rFonts w:cs="Times New Roman"/>
          <w:i/>
          <w:w w:val="105"/>
          <w:u w:val="single"/>
        </w:rPr>
        <w:noBreakHyphen/>
      </w:r>
      <w:r w:rsidR="00B62AE4" w:rsidRPr="00F7245E">
        <w:rPr>
          <w:rFonts w:cs="Times New Roman"/>
          <w:i/>
          <w:w w:val="105"/>
          <w:u w:val="single"/>
        </w:rPr>
        <w:t xml:space="preserve"> vagy térdprotézis műtét</w:t>
      </w:r>
      <w:r w:rsidR="008A4D7E" w:rsidRPr="00F7245E">
        <w:rPr>
          <w:rFonts w:cs="Times New Roman"/>
          <w:i/>
          <w:w w:val="105"/>
          <w:u w:val="single"/>
        </w:rPr>
        <w:t xml:space="preserve"> felnőtteknél</w:t>
      </w:r>
    </w:p>
    <w:p w14:paraId="2E903DCB" w14:textId="1A04257C" w:rsidR="00B62AE4" w:rsidRPr="00F7245E" w:rsidRDefault="00B62AE4" w:rsidP="00A21724">
      <w:pPr>
        <w:pStyle w:val="Nincstrkz"/>
        <w:rPr>
          <w:rFonts w:cs="Times New Roman"/>
        </w:rPr>
      </w:pPr>
      <w:r w:rsidRPr="00F7245E">
        <w:rPr>
          <w:rFonts w:cs="Times New Roman"/>
          <w:w w:val="105"/>
        </w:rPr>
        <w:t>Az</w:t>
      </w:r>
      <w:r w:rsidRPr="00F7245E">
        <w:rPr>
          <w:rFonts w:cs="Times New Roman"/>
          <w:spacing w:val="-11"/>
          <w:w w:val="105"/>
        </w:rPr>
        <w:t xml:space="preserve"> </w:t>
      </w:r>
      <w:r w:rsidR="00CA2919" w:rsidRPr="00F7245E">
        <w:rPr>
          <w:rFonts w:cs="Times New Roman"/>
          <w:w w:val="105"/>
        </w:rPr>
        <w:t xml:space="preserve">apixabán </w:t>
      </w:r>
      <w:r w:rsidRPr="00F7245E">
        <w:rPr>
          <w:rFonts w:cs="Times New Roman"/>
          <w:w w:val="105"/>
        </w:rPr>
        <w:t>ajánlott</w:t>
      </w:r>
      <w:r w:rsidRPr="00F7245E">
        <w:rPr>
          <w:rFonts w:cs="Times New Roman"/>
          <w:spacing w:val="-9"/>
          <w:w w:val="105"/>
        </w:rPr>
        <w:t xml:space="preserve"> </w:t>
      </w:r>
      <w:r w:rsidR="008A4D7E" w:rsidRPr="00F7245E">
        <w:rPr>
          <w:rFonts w:cs="Times New Roman"/>
          <w:w w:val="105"/>
        </w:rPr>
        <w:t>dózisa</w:t>
      </w:r>
      <w:r w:rsidR="00956D6F" w:rsidRPr="00F7245E">
        <w:rPr>
          <w:rFonts w:cs="Times New Roman"/>
          <w:w w:val="105"/>
        </w:rPr>
        <w:t xml:space="preserve"> </w:t>
      </w:r>
      <w:r w:rsidR="003B67D5" w:rsidRPr="00F7245E">
        <w:rPr>
          <w:rFonts w:cs="Times New Roman"/>
          <w:spacing w:val="-10"/>
          <w:w w:val="105"/>
        </w:rPr>
        <w:t>nap</w:t>
      </w:r>
      <w:r w:rsidRPr="00F7245E">
        <w:rPr>
          <w:rFonts w:cs="Times New Roman"/>
          <w:w w:val="105"/>
        </w:rPr>
        <w:t>onta</w:t>
      </w:r>
      <w:r w:rsidRPr="00F7245E">
        <w:rPr>
          <w:rFonts w:cs="Times New Roman"/>
          <w:spacing w:val="-10"/>
          <w:w w:val="105"/>
        </w:rPr>
        <w:t xml:space="preserve"> </w:t>
      </w:r>
      <w:r w:rsidRPr="00F7245E">
        <w:rPr>
          <w:rFonts w:cs="Times New Roman"/>
          <w:w w:val="105"/>
        </w:rPr>
        <w:t>kétszer</w:t>
      </w:r>
      <w:r w:rsidRPr="00F7245E">
        <w:rPr>
          <w:rFonts w:cs="Times New Roman"/>
          <w:spacing w:val="-10"/>
          <w:w w:val="105"/>
        </w:rPr>
        <w:t xml:space="preserve"> </w:t>
      </w:r>
      <w:r w:rsidRPr="00F7245E">
        <w:rPr>
          <w:rFonts w:cs="Times New Roman"/>
          <w:w w:val="105"/>
        </w:rPr>
        <w:t>2,5</w:t>
      </w:r>
      <w:r w:rsidR="004C106B" w:rsidRPr="00F7245E">
        <w:rPr>
          <w:rFonts w:cs="Times New Roman"/>
          <w:spacing w:val="-8"/>
          <w:w w:val="105"/>
        </w:rPr>
        <w:t> mg</w:t>
      </w:r>
      <w:r w:rsidRPr="00F7245E">
        <w:rPr>
          <w:rFonts w:cs="Times New Roman"/>
          <w:spacing w:val="-12"/>
          <w:w w:val="105"/>
        </w:rPr>
        <w:t xml:space="preserve"> </w:t>
      </w:r>
      <w:r w:rsidRPr="00F7245E">
        <w:rPr>
          <w:rFonts w:cs="Times New Roman"/>
          <w:w w:val="105"/>
        </w:rPr>
        <w:t>szájon</w:t>
      </w:r>
      <w:r w:rsidRPr="00F7245E">
        <w:rPr>
          <w:rFonts w:cs="Times New Roman"/>
          <w:spacing w:val="-11"/>
          <w:w w:val="105"/>
        </w:rPr>
        <w:t xml:space="preserve"> </w:t>
      </w:r>
      <w:r w:rsidRPr="00F7245E">
        <w:rPr>
          <w:rFonts w:cs="Times New Roman"/>
          <w:w w:val="105"/>
        </w:rPr>
        <w:t>át</w:t>
      </w:r>
      <w:r w:rsidR="003B67D5" w:rsidRPr="00F7245E">
        <w:rPr>
          <w:rFonts w:cs="Times New Roman"/>
          <w:w w:val="105"/>
        </w:rPr>
        <w:t xml:space="preserve"> </w:t>
      </w:r>
      <w:r w:rsidR="00F83F0A" w:rsidRPr="00F7245E">
        <w:rPr>
          <w:rFonts w:cs="Times New Roman"/>
          <w:w w:val="105"/>
        </w:rPr>
        <w:t>alkalmazva</w:t>
      </w:r>
      <w:r w:rsidRPr="00F7245E">
        <w:rPr>
          <w:rFonts w:cs="Times New Roman"/>
          <w:w w:val="105"/>
        </w:rPr>
        <w:t>.</w:t>
      </w:r>
      <w:r w:rsidRPr="00F7245E">
        <w:rPr>
          <w:rFonts w:cs="Times New Roman"/>
          <w:spacing w:val="-11"/>
          <w:w w:val="105"/>
        </w:rPr>
        <w:t xml:space="preserve"> </w:t>
      </w:r>
      <w:r w:rsidRPr="00F7245E">
        <w:rPr>
          <w:rFonts w:cs="Times New Roman"/>
          <w:w w:val="105"/>
        </w:rPr>
        <w:t>Az</w:t>
      </w:r>
      <w:r w:rsidRPr="00F7245E">
        <w:rPr>
          <w:rFonts w:cs="Times New Roman"/>
          <w:spacing w:val="-10"/>
          <w:w w:val="105"/>
        </w:rPr>
        <w:t xml:space="preserve"> </w:t>
      </w:r>
      <w:r w:rsidRPr="00F7245E">
        <w:rPr>
          <w:rFonts w:cs="Times New Roman"/>
          <w:w w:val="105"/>
        </w:rPr>
        <w:t>első</w:t>
      </w:r>
      <w:r w:rsidRPr="00F7245E">
        <w:rPr>
          <w:rFonts w:cs="Times New Roman"/>
          <w:spacing w:val="-11"/>
          <w:w w:val="105"/>
        </w:rPr>
        <w:t xml:space="preserve"> </w:t>
      </w:r>
      <w:r w:rsidRPr="00F7245E">
        <w:rPr>
          <w:rFonts w:cs="Times New Roman"/>
          <w:w w:val="105"/>
        </w:rPr>
        <w:t>adagot</w:t>
      </w:r>
      <w:r w:rsidRPr="00F7245E">
        <w:rPr>
          <w:rFonts w:cs="Times New Roman"/>
          <w:spacing w:val="-10"/>
          <w:w w:val="105"/>
        </w:rPr>
        <w:t xml:space="preserve"> </w:t>
      </w:r>
      <w:r w:rsidRPr="00F7245E">
        <w:rPr>
          <w:rFonts w:cs="Times New Roman"/>
          <w:w w:val="105"/>
        </w:rPr>
        <w:t>a</w:t>
      </w:r>
      <w:r w:rsidRPr="00F7245E">
        <w:rPr>
          <w:rFonts w:cs="Times New Roman"/>
          <w:spacing w:val="-8"/>
          <w:w w:val="105"/>
        </w:rPr>
        <w:t xml:space="preserve"> </w:t>
      </w:r>
      <w:r w:rsidRPr="00F7245E">
        <w:rPr>
          <w:rFonts w:cs="Times New Roman"/>
          <w:w w:val="105"/>
        </w:rPr>
        <w:t>műtét után 12</w:t>
      </w:r>
      <w:r w:rsidR="003B67D5" w:rsidRPr="00F7245E">
        <w:rPr>
          <w:rFonts w:cs="Times New Roman"/>
          <w:w w:val="105"/>
        </w:rPr>
        <w:noBreakHyphen/>
      </w:r>
      <w:r w:rsidRPr="00F7245E">
        <w:rPr>
          <w:rFonts w:cs="Times New Roman"/>
          <w:w w:val="105"/>
        </w:rPr>
        <w:t>24</w:t>
      </w:r>
      <w:r w:rsidR="0071046D" w:rsidRPr="00F7245E">
        <w:rPr>
          <w:rFonts w:cs="Times New Roman"/>
          <w:w w:val="105"/>
        </w:rPr>
        <w:t> ór</w:t>
      </w:r>
      <w:r w:rsidRPr="00F7245E">
        <w:rPr>
          <w:rFonts w:cs="Times New Roman"/>
          <w:w w:val="105"/>
        </w:rPr>
        <w:t>ával kell</w:t>
      </w:r>
      <w:r w:rsidRPr="00F7245E">
        <w:rPr>
          <w:rFonts w:cs="Times New Roman"/>
          <w:spacing w:val="-5"/>
          <w:w w:val="105"/>
        </w:rPr>
        <w:t xml:space="preserve"> </w:t>
      </w:r>
      <w:r w:rsidRPr="00F7245E">
        <w:rPr>
          <w:rFonts w:cs="Times New Roman"/>
          <w:w w:val="105"/>
        </w:rPr>
        <w:t>bevenni.</w:t>
      </w:r>
    </w:p>
    <w:p w14:paraId="6E9F5BA0" w14:textId="77777777" w:rsidR="00B62AE4" w:rsidRPr="00F7245E" w:rsidRDefault="00B62AE4" w:rsidP="00A21724">
      <w:pPr>
        <w:pStyle w:val="Nincstrkz"/>
        <w:rPr>
          <w:rFonts w:cs="Times New Roman"/>
        </w:rPr>
      </w:pPr>
    </w:p>
    <w:p w14:paraId="000D2D44" w14:textId="77777777" w:rsidR="00B20E30" w:rsidRPr="00F7245E" w:rsidRDefault="00B20E30" w:rsidP="00A21724">
      <w:pPr>
        <w:pStyle w:val="Nincstrkz"/>
        <w:rPr>
          <w:rFonts w:eastAsia="Times New Roman" w:cs="Times New Roman"/>
        </w:rPr>
      </w:pPr>
      <w:r w:rsidRPr="00F7245E">
        <w:rPr>
          <w:rFonts w:eastAsia="Times New Roman" w:cs="Times New Roman"/>
        </w:rPr>
        <w:lastRenderedPageBreak/>
        <w:t>A fenti időintervallumon belül az orvosok mérlegelhetik a beadás idejét, figyelembe véve a korai antikoaguláció lehetséges előnyeit a VTE megelőzése szempontjából, valamint a műtét utáni vérzés kockázatát.</w:t>
      </w:r>
    </w:p>
    <w:p w14:paraId="59FA7862" w14:textId="77777777" w:rsidR="00B62AE4" w:rsidRPr="00F7245E" w:rsidRDefault="00B62AE4" w:rsidP="00A21724">
      <w:pPr>
        <w:pStyle w:val="Nincstrkz"/>
        <w:rPr>
          <w:rFonts w:cs="Times New Roman"/>
        </w:rPr>
      </w:pPr>
    </w:p>
    <w:p w14:paraId="78E9312C" w14:textId="2A9C8368" w:rsidR="00B62AE4" w:rsidRPr="00F7245E" w:rsidRDefault="00B62AE4" w:rsidP="00A21724">
      <w:pPr>
        <w:pStyle w:val="Nincstrkz"/>
        <w:rPr>
          <w:rFonts w:cs="Times New Roman"/>
          <w:i/>
        </w:rPr>
      </w:pPr>
      <w:r w:rsidRPr="00F7245E">
        <w:rPr>
          <w:rFonts w:cs="Times New Roman"/>
          <w:i/>
          <w:w w:val="105"/>
        </w:rPr>
        <w:t>Csípőprotézis műtéten átes</w:t>
      </w:r>
      <w:r w:rsidR="00FF3805" w:rsidRPr="00F7245E">
        <w:rPr>
          <w:rFonts w:cs="Times New Roman"/>
          <w:i/>
          <w:w w:val="105"/>
        </w:rPr>
        <w:t>ett</w:t>
      </w:r>
      <w:r w:rsidR="008E1640" w:rsidRPr="00F7245E">
        <w:rPr>
          <w:rFonts w:cs="Times New Roman"/>
          <w:i/>
          <w:w w:val="105"/>
        </w:rPr>
        <w:t xml:space="preserve"> </w:t>
      </w:r>
      <w:r w:rsidR="00A1416D" w:rsidRPr="00F7245E">
        <w:rPr>
          <w:rFonts w:cs="Times New Roman"/>
          <w:i/>
          <w:w w:val="105"/>
        </w:rPr>
        <w:t>beteg</w:t>
      </w:r>
      <w:r w:rsidRPr="00F7245E">
        <w:rPr>
          <w:rFonts w:cs="Times New Roman"/>
          <w:i/>
          <w:w w:val="105"/>
        </w:rPr>
        <w:t>ek</w:t>
      </w:r>
    </w:p>
    <w:p w14:paraId="25106291" w14:textId="01E48AF9" w:rsidR="00B62AE4" w:rsidRPr="00F7245E" w:rsidRDefault="00B62AE4" w:rsidP="00A21724">
      <w:pPr>
        <w:pStyle w:val="Nincstrkz"/>
        <w:rPr>
          <w:rFonts w:cs="Times New Roman"/>
        </w:rPr>
      </w:pPr>
      <w:r w:rsidRPr="00F7245E">
        <w:rPr>
          <w:rFonts w:cs="Times New Roman"/>
          <w:w w:val="105"/>
        </w:rPr>
        <w:t>A kezelés javasolt időtartama 32</w:t>
      </w:r>
      <w:r w:rsidR="003B67D5" w:rsidRPr="00F7245E">
        <w:rPr>
          <w:rFonts w:cs="Times New Roman"/>
          <w:w w:val="105"/>
        </w:rPr>
        <w:noBreakHyphen/>
      </w:r>
      <w:r w:rsidRPr="00F7245E">
        <w:rPr>
          <w:rFonts w:cs="Times New Roman"/>
          <w:w w:val="105"/>
        </w:rPr>
        <w:t>38</w:t>
      </w:r>
      <w:r w:rsidR="003B67D5" w:rsidRPr="00F7245E">
        <w:rPr>
          <w:rFonts w:cs="Times New Roman"/>
          <w:w w:val="105"/>
        </w:rPr>
        <w:t> nap</w:t>
      </w:r>
      <w:r w:rsidRPr="00F7245E">
        <w:rPr>
          <w:rFonts w:cs="Times New Roman"/>
          <w:w w:val="105"/>
        </w:rPr>
        <w:t>.</w:t>
      </w:r>
    </w:p>
    <w:p w14:paraId="00A218A4" w14:textId="77777777" w:rsidR="00B62AE4" w:rsidRPr="00F7245E" w:rsidRDefault="00B62AE4" w:rsidP="00A21724">
      <w:pPr>
        <w:pStyle w:val="Nincstrkz"/>
        <w:rPr>
          <w:rFonts w:cs="Times New Roman"/>
        </w:rPr>
      </w:pPr>
    </w:p>
    <w:p w14:paraId="6597F563" w14:textId="6839F9B6" w:rsidR="00B62AE4" w:rsidRPr="00F7245E" w:rsidRDefault="00B62AE4" w:rsidP="00A21724">
      <w:pPr>
        <w:pStyle w:val="Nincstrkz"/>
        <w:rPr>
          <w:rFonts w:cs="Times New Roman"/>
          <w:i/>
        </w:rPr>
      </w:pPr>
      <w:r w:rsidRPr="00F7245E">
        <w:rPr>
          <w:rFonts w:cs="Times New Roman"/>
          <w:i/>
          <w:w w:val="105"/>
        </w:rPr>
        <w:t>Térdprotézis műtéten átes</w:t>
      </w:r>
      <w:r w:rsidR="00FF3805" w:rsidRPr="00F7245E">
        <w:rPr>
          <w:rFonts w:cs="Times New Roman"/>
          <w:i/>
          <w:w w:val="105"/>
        </w:rPr>
        <w:t>ett</w:t>
      </w:r>
      <w:r w:rsidR="008E1640" w:rsidRPr="00F7245E">
        <w:rPr>
          <w:rFonts w:cs="Times New Roman"/>
          <w:i/>
          <w:w w:val="105"/>
        </w:rPr>
        <w:t xml:space="preserve"> </w:t>
      </w:r>
      <w:r w:rsidR="00A1416D" w:rsidRPr="00F7245E">
        <w:rPr>
          <w:rFonts w:cs="Times New Roman"/>
          <w:i/>
          <w:w w:val="105"/>
        </w:rPr>
        <w:t>beteg</w:t>
      </w:r>
      <w:r w:rsidRPr="00F7245E">
        <w:rPr>
          <w:rFonts w:cs="Times New Roman"/>
          <w:i/>
          <w:w w:val="105"/>
        </w:rPr>
        <w:t>ek</w:t>
      </w:r>
    </w:p>
    <w:p w14:paraId="11ADBE72" w14:textId="151A53C3" w:rsidR="00B62AE4" w:rsidRPr="00F7245E" w:rsidRDefault="00B62AE4" w:rsidP="00A21724">
      <w:pPr>
        <w:pStyle w:val="Nincstrkz"/>
        <w:rPr>
          <w:rFonts w:cs="Times New Roman"/>
        </w:rPr>
      </w:pPr>
      <w:r w:rsidRPr="00F7245E">
        <w:rPr>
          <w:rFonts w:cs="Times New Roman"/>
          <w:w w:val="105"/>
        </w:rPr>
        <w:t>A kezelés javasolt időtartama 10</w:t>
      </w:r>
      <w:r w:rsidR="003B67D5" w:rsidRPr="00F7245E">
        <w:rPr>
          <w:rFonts w:cs="Times New Roman"/>
          <w:w w:val="105"/>
        </w:rPr>
        <w:noBreakHyphen/>
      </w:r>
      <w:r w:rsidRPr="00F7245E">
        <w:rPr>
          <w:rFonts w:cs="Times New Roman"/>
          <w:w w:val="105"/>
        </w:rPr>
        <w:t>14</w:t>
      </w:r>
      <w:r w:rsidR="003B67D5" w:rsidRPr="00F7245E">
        <w:rPr>
          <w:rFonts w:cs="Times New Roman"/>
          <w:w w:val="105"/>
        </w:rPr>
        <w:t> nap</w:t>
      </w:r>
      <w:r w:rsidRPr="00F7245E">
        <w:rPr>
          <w:rFonts w:cs="Times New Roman"/>
          <w:w w:val="105"/>
        </w:rPr>
        <w:t>.</w:t>
      </w:r>
    </w:p>
    <w:p w14:paraId="51D8B495" w14:textId="77777777" w:rsidR="0071156E" w:rsidRPr="00F7245E" w:rsidRDefault="0071156E" w:rsidP="00A21724">
      <w:pPr>
        <w:pStyle w:val="Nincstrkz"/>
        <w:rPr>
          <w:rFonts w:cs="Times New Roman"/>
          <w:i/>
          <w:w w:val="105"/>
        </w:rPr>
      </w:pPr>
    </w:p>
    <w:p w14:paraId="4A3588EE" w14:textId="00A83411" w:rsidR="00B62AE4" w:rsidRPr="00F7245E" w:rsidRDefault="0071156E" w:rsidP="00A21724">
      <w:pPr>
        <w:pStyle w:val="Nincstrkz"/>
        <w:rPr>
          <w:rFonts w:cs="Times New Roman"/>
          <w:i/>
          <w:u w:val="single"/>
        </w:rPr>
      </w:pPr>
      <w:r w:rsidRPr="00F7245E">
        <w:rPr>
          <w:rFonts w:cs="Times New Roman"/>
          <w:i/>
          <w:w w:val="105"/>
          <w:u w:val="single"/>
        </w:rPr>
        <w:t>S</w:t>
      </w:r>
      <w:r w:rsidR="00B62AE4" w:rsidRPr="00F7245E">
        <w:rPr>
          <w:rFonts w:cs="Times New Roman"/>
          <w:i/>
          <w:w w:val="105"/>
          <w:u w:val="single"/>
        </w:rPr>
        <w:t xml:space="preserve">troke és szisztémás embolizáció megelőzése nem </w:t>
      </w:r>
      <w:r w:rsidR="00956D6F" w:rsidRPr="00F7245E">
        <w:rPr>
          <w:rFonts w:cs="Times New Roman"/>
          <w:i/>
          <w:w w:val="105"/>
          <w:u w:val="single"/>
        </w:rPr>
        <w:t>valvuláris</w:t>
      </w:r>
      <w:r w:rsidR="00B62AE4" w:rsidRPr="00F7245E">
        <w:rPr>
          <w:rFonts w:cs="Times New Roman"/>
          <w:i/>
          <w:w w:val="105"/>
          <w:u w:val="single"/>
        </w:rPr>
        <w:t xml:space="preserve"> pitvarfibrillációban (NVPF) szenvedő</w:t>
      </w:r>
      <w:r w:rsidR="008E1640" w:rsidRPr="00F7245E">
        <w:rPr>
          <w:rFonts w:cs="Times New Roman"/>
          <w:i/>
          <w:w w:val="105"/>
          <w:u w:val="single"/>
        </w:rPr>
        <w:t xml:space="preserve"> </w:t>
      </w:r>
      <w:r w:rsidR="003D6212" w:rsidRPr="00F7245E">
        <w:rPr>
          <w:rFonts w:cs="Times New Roman"/>
          <w:i/>
          <w:w w:val="105"/>
          <w:u w:val="single"/>
        </w:rPr>
        <w:t xml:space="preserve">felnőtt </w:t>
      </w:r>
      <w:r w:rsidR="00A1416D" w:rsidRPr="00F7245E">
        <w:rPr>
          <w:rFonts w:cs="Times New Roman"/>
          <w:i/>
          <w:w w:val="105"/>
          <w:u w:val="single"/>
        </w:rPr>
        <w:t>beteg</w:t>
      </w:r>
      <w:r w:rsidR="00B62AE4" w:rsidRPr="00F7245E">
        <w:rPr>
          <w:rFonts w:cs="Times New Roman"/>
          <w:i/>
          <w:w w:val="105"/>
          <w:u w:val="single"/>
        </w:rPr>
        <w:t>eknél</w:t>
      </w:r>
    </w:p>
    <w:p w14:paraId="02D2EDCD" w14:textId="0EFD1DD2" w:rsidR="00B62AE4" w:rsidRPr="00F7245E" w:rsidRDefault="00B62AE4" w:rsidP="00A21724">
      <w:pPr>
        <w:pStyle w:val="Nincstrkz"/>
        <w:rPr>
          <w:rFonts w:cs="Times New Roman"/>
        </w:rPr>
      </w:pPr>
      <w:r w:rsidRPr="00F7245E">
        <w:rPr>
          <w:rFonts w:cs="Times New Roman"/>
          <w:w w:val="105"/>
        </w:rPr>
        <w:t xml:space="preserve">Az </w:t>
      </w:r>
      <w:r w:rsidR="00CA2919" w:rsidRPr="00F7245E">
        <w:rPr>
          <w:rFonts w:cs="Times New Roman"/>
          <w:w w:val="105"/>
        </w:rPr>
        <w:t xml:space="preserve">apixabán </w:t>
      </w:r>
      <w:r w:rsidRPr="00F7245E">
        <w:rPr>
          <w:rFonts w:cs="Times New Roman"/>
          <w:w w:val="105"/>
        </w:rPr>
        <w:t>javasolt adagja</w:t>
      </w:r>
      <w:r w:rsidR="001F3291" w:rsidRPr="00F7245E">
        <w:rPr>
          <w:rFonts w:cs="Times New Roman"/>
          <w:w w:val="105"/>
        </w:rPr>
        <w:t xml:space="preserve"> </w:t>
      </w:r>
      <w:r w:rsidR="003B67D5" w:rsidRPr="00F7245E">
        <w:rPr>
          <w:rFonts w:cs="Times New Roman"/>
          <w:w w:val="105"/>
        </w:rPr>
        <w:t>nap</w:t>
      </w:r>
      <w:r w:rsidRPr="00F7245E">
        <w:rPr>
          <w:rFonts w:cs="Times New Roman"/>
          <w:w w:val="105"/>
        </w:rPr>
        <w:t>onta kétszer 5</w:t>
      </w:r>
      <w:r w:rsidR="004C106B" w:rsidRPr="00F7245E">
        <w:rPr>
          <w:rFonts w:cs="Times New Roman"/>
          <w:w w:val="105"/>
        </w:rPr>
        <w:t> mg</w:t>
      </w:r>
      <w:r w:rsidRPr="00F7245E">
        <w:rPr>
          <w:rFonts w:cs="Times New Roman"/>
          <w:w w:val="105"/>
        </w:rPr>
        <w:t xml:space="preserve">, szájon át </w:t>
      </w:r>
      <w:r w:rsidR="00F83F0A" w:rsidRPr="00F7245E">
        <w:rPr>
          <w:rFonts w:cs="Times New Roman"/>
          <w:w w:val="105"/>
        </w:rPr>
        <w:t>alkalmazva</w:t>
      </w:r>
      <w:r w:rsidRPr="00F7245E">
        <w:rPr>
          <w:rFonts w:cs="Times New Roman"/>
          <w:w w:val="105"/>
        </w:rPr>
        <w:t>.</w:t>
      </w:r>
    </w:p>
    <w:p w14:paraId="70F9950E" w14:textId="77777777" w:rsidR="00B62AE4" w:rsidRPr="00F7245E" w:rsidRDefault="00B62AE4" w:rsidP="00A21724">
      <w:pPr>
        <w:pStyle w:val="Nincstrkz"/>
        <w:rPr>
          <w:rFonts w:cs="Times New Roman"/>
        </w:rPr>
      </w:pPr>
    </w:p>
    <w:p w14:paraId="31D83426" w14:textId="5A61D71D" w:rsidR="00B62AE4" w:rsidRPr="00F7245E" w:rsidRDefault="00B62AE4" w:rsidP="00A21724">
      <w:pPr>
        <w:pStyle w:val="Nincstrkz"/>
        <w:rPr>
          <w:rFonts w:cs="Times New Roman"/>
          <w:i/>
          <w:iCs/>
        </w:rPr>
      </w:pPr>
      <w:r w:rsidRPr="00F7245E">
        <w:rPr>
          <w:rFonts w:cs="Times New Roman"/>
          <w:i/>
          <w:iCs/>
          <w:w w:val="105"/>
        </w:rPr>
        <w:t>Dóziscsökkentés</w:t>
      </w:r>
      <w:r w:rsidR="004D3967" w:rsidRPr="00F7245E">
        <w:rPr>
          <w:rFonts w:cs="Times New Roman"/>
          <w:i/>
          <w:iCs/>
          <w:w w:val="105"/>
        </w:rPr>
        <w:t xml:space="preserve"> </w:t>
      </w:r>
    </w:p>
    <w:p w14:paraId="4E555C29" w14:textId="23B95208" w:rsidR="00B62AE4" w:rsidRPr="00F7245E" w:rsidRDefault="00847342" w:rsidP="00A21724">
      <w:pPr>
        <w:pStyle w:val="Nincstrkz"/>
        <w:rPr>
          <w:rFonts w:cs="Times New Roman"/>
        </w:rPr>
      </w:pPr>
      <w:r w:rsidRPr="00F7245E">
        <w:rPr>
          <w:rFonts w:cs="Times New Roman"/>
          <w:w w:val="105"/>
        </w:rPr>
        <w:t>Az</w:t>
      </w:r>
      <w:r w:rsidRPr="00F7245E">
        <w:rPr>
          <w:rFonts w:cs="Times New Roman"/>
          <w:spacing w:val="-10"/>
          <w:w w:val="105"/>
        </w:rPr>
        <w:t xml:space="preserve"> </w:t>
      </w:r>
      <w:r w:rsidR="00CA2919" w:rsidRPr="00F7245E">
        <w:rPr>
          <w:rFonts w:cs="Times New Roman"/>
          <w:w w:val="105"/>
        </w:rPr>
        <w:t xml:space="preserve">apixabán </w:t>
      </w:r>
      <w:r w:rsidRPr="00F7245E">
        <w:rPr>
          <w:rFonts w:cs="Times New Roman"/>
          <w:w w:val="105"/>
        </w:rPr>
        <w:t>javasolt</w:t>
      </w:r>
      <w:r w:rsidRPr="00F7245E">
        <w:rPr>
          <w:rFonts w:cs="Times New Roman"/>
          <w:spacing w:val="-10"/>
          <w:w w:val="105"/>
        </w:rPr>
        <w:t xml:space="preserve"> </w:t>
      </w:r>
      <w:r w:rsidR="00E73A6C" w:rsidRPr="00F7245E">
        <w:rPr>
          <w:rFonts w:cs="Times New Roman"/>
          <w:w w:val="105"/>
        </w:rPr>
        <w:t>dózisa</w:t>
      </w:r>
      <w:r w:rsidRPr="00F7245E">
        <w:rPr>
          <w:rFonts w:cs="Times New Roman"/>
          <w:w w:val="105"/>
        </w:rPr>
        <w:t xml:space="preserve"> </w:t>
      </w:r>
      <w:r w:rsidRPr="00F7245E">
        <w:rPr>
          <w:rFonts w:cs="Times New Roman"/>
          <w:spacing w:val="-8"/>
          <w:w w:val="105"/>
        </w:rPr>
        <w:t>nap</w:t>
      </w:r>
      <w:r w:rsidRPr="00F7245E">
        <w:rPr>
          <w:rFonts w:cs="Times New Roman"/>
          <w:w w:val="105"/>
        </w:rPr>
        <w:t>onta</w:t>
      </w:r>
      <w:r w:rsidRPr="00F7245E">
        <w:rPr>
          <w:rFonts w:cs="Times New Roman"/>
          <w:spacing w:val="-9"/>
          <w:w w:val="105"/>
        </w:rPr>
        <w:t xml:space="preserve"> </w:t>
      </w:r>
      <w:r w:rsidRPr="00F7245E">
        <w:rPr>
          <w:rFonts w:cs="Times New Roman"/>
          <w:w w:val="105"/>
        </w:rPr>
        <w:t>kétszer</w:t>
      </w:r>
      <w:r w:rsidRPr="00F7245E">
        <w:rPr>
          <w:rFonts w:cs="Times New Roman"/>
          <w:spacing w:val="-10"/>
          <w:w w:val="105"/>
        </w:rPr>
        <w:t xml:space="preserve"> </w:t>
      </w:r>
      <w:r w:rsidRPr="00F7245E">
        <w:rPr>
          <w:rFonts w:cs="Times New Roman"/>
          <w:w w:val="105"/>
        </w:rPr>
        <w:t>2,5</w:t>
      </w:r>
      <w:r w:rsidRPr="00F7245E">
        <w:rPr>
          <w:rFonts w:cs="Times New Roman"/>
          <w:spacing w:val="-9"/>
          <w:w w:val="105"/>
        </w:rPr>
        <w:t> mg</w:t>
      </w:r>
      <w:r w:rsidRPr="00F7245E">
        <w:rPr>
          <w:rFonts w:cs="Times New Roman"/>
          <w:w w:val="105"/>
        </w:rPr>
        <w:t>,</w:t>
      </w:r>
      <w:r w:rsidRPr="00F7245E">
        <w:rPr>
          <w:rFonts w:cs="Times New Roman"/>
          <w:spacing w:val="-10"/>
          <w:w w:val="105"/>
        </w:rPr>
        <w:t xml:space="preserve"> </w:t>
      </w:r>
      <w:r w:rsidRPr="00F7245E">
        <w:rPr>
          <w:rFonts w:cs="Times New Roman"/>
          <w:w w:val="105"/>
        </w:rPr>
        <w:t>szájon</w:t>
      </w:r>
      <w:r w:rsidRPr="00F7245E">
        <w:rPr>
          <w:rFonts w:cs="Times New Roman"/>
          <w:spacing w:val="-11"/>
          <w:w w:val="105"/>
        </w:rPr>
        <w:t xml:space="preserve"> </w:t>
      </w:r>
      <w:r w:rsidRPr="00F7245E">
        <w:rPr>
          <w:rFonts w:cs="Times New Roman"/>
          <w:w w:val="105"/>
        </w:rPr>
        <w:t>át</w:t>
      </w:r>
      <w:r w:rsidRPr="00F7245E">
        <w:rPr>
          <w:rFonts w:cs="Times New Roman"/>
          <w:spacing w:val="-10"/>
          <w:w w:val="105"/>
        </w:rPr>
        <w:t xml:space="preserve"> </w:t>
      </w:r>
      <w:r w:rsidR="00F83F0A" w:rsidRPr="00F7245E">
        <w:rPr>
          <w:rFonts w:cs="Times New Roman"/>
          <w:w w:val="105"/>
        </w:rPr>
        <w:t>alkalmazva</w:t>
      </w:r>
      <w:r w:rsidRPr="00F7245E">
        <w:rPr>
          <w:rFonts w:cs="Times New Roman"/>
          <w:w w:val="105"/>
        </w:rPr>
        <w:t xml:space="preserve"> azoknál a</w:t>
      </w:r>
      <w:r w:rsidR="00B62AE4" w:rsidRPr="00F7245E">
        <w:rPr>
          <w:rFonts w:cs="Times New Roman"/>
          <w:spacing w:val="-13"/>
          <w:w w:val="105"/>
        </w:rPr>
        <w:t xml:space="preserve"> </w:t>
      </w:r>
      <w:r w:rsidR="00B62AE4" w:rsidRPr="00F7245E">
        <w:rPr>
          <w:rFonts w:cs="Times New Roman"/>
          <w:w w:val="105"/>
        </w:rPr>
        <w:t>nem</w:t>
      </w:r>
      <w:r w:rsidR="00B62AE4" w:rsidRPr="00F7245E">
        <w:rPr>
          <w:rFonts w:cs="Times New Roman"/>
          <w:spacing w:val="-14"/>
          <w:w w:val="105"/>
        </w:rPr>
        <w:t xml:space="preserve"> </w:t>
      </w:r>
      <w:r w:rsidR="001F3291" w:rsidRPr="00F7245E">
        <w:rPr>
          <w:rFonts w:cs="Times New Roman"/>
          <w:w w:val="105"/>
        </w:rPr>
        <w:t>valvuláris</w:t>
      </w:r>
      <w:r w:rsidR="00B62AE4" w:rsidRPr="00F7245E">
        <w:rPr>
          <w:rFonts w:cs="Times New Roman"/>
          <w:spacing w:val="-14"/>
          <w:w w:val="105"/>
        </w:rPr>
        <w:t xml:space="preserve"> </w:t>
      </w:r>
      <w:r w:rsidR="00B62AE4" w:rsidRPr="00F7245E">
        <w:rPr>
          <w:rFonts w:cs="Times New Roman"/>
          <w:w w:val="105"/>
        </w:rPr>
        <w:t>pitvarfibrillációban</w:t>
      </w:r>
      <w:r w:rsidR="00B62AE4" w:rsidRPr="00F7245E">
        <w:rPr>
          <w:rFonts w:cs="Times New Roman"/>
          <w:spacing w:val="-13"/>
          <w:w w:val="105"/>
        </w:rPr>
        <w:t xml:space="preserve"> </w:t>
      </w:r>
      <w:r w:rsidR="00B62AE4" w:rsidRPr="00F7245E">
        <w:rPr>
          <w:rFonts w:cs="Times New Roman"/>
          <w:w w:val="105"/>
        </w:rPr>
        <w:t>szenvedő</w:t>
      </w:r>
      <w:r w:rsidR="000825C0" w:rsidRPr="00F7245E">
        <w:rPr>
          <w:rFonts w:cs="Times New Roman"/>
          <w:w w:val="105"/>
        </w:rPr>
        <w:t xml:space="preserve"> betegeknél</w:t>
      </w:r>
      <w:r w:rsidR="00B62AE4" w:rsidRPr="00F7245E">
        <w:rPr>
          <w:rFonts w:cs="Times New Roman"/>
          <w:w w:val="105"/>
        </w:rPr>
        <w:t>,</w:t>
      </w:r>
      <w:r w:rsidR="00B62AE4" w:rsidRPr="00F7245E">
        <w:rPr>
          <w:rFonts w:cs="Times New Roman"/>
          <w:spacing w:val="-14"/>
          <w:w w:val="105"/>
        </w:rPr>
        <w:t xml:space="preserve"> </w:t>
      </w:r>
      <w:r w:rsidR="00B62AE4" w:rsidRPr="00F7245E">
        <w:rPr>
          <w:rFonts w:cs="Times New Roman"/>
          <w:w w:val="105"/>
        </w:rPr>
        <w:t>akiknél</w:t>
      </w:r>
      <w:r w:rsidR="00B62AE4" w:rsidRPr="00F7245E">
        <w:rPr>
          <w:rFonts w:cs="Times New Roman"/>
          <w:spacing w:val="-13"/>
          <w:w w:val="105"/>
        </w:rPr>
        <w:t xml:space="preserve"> </w:t>
      </w:r>
      <w:r w:rsidR="00B62AE4" w:rsidRPr="00F7245E">
        <w:rPr>
          <w:rFonts w:cs="Times New Roman"/>
          <w:w w:val="105"/>
        </w:rPr>
        <w:t>az</w:t>
      </w:r>
      <w:r w:rsidR="00B62AE4" w:rsidRPr="00F7245E">
        <w:rPr>
          <w:rFonts w:cs="Times New Roman"/>
          <w:spacing w:val="-13"/>
          <w:w w:val="105"/>
        </w:rPr>
        <w:t xml:space="preserve"> </w:t>
      </w:r>
      <w:r w:rsidR="00B62AE4" w:rsidRPr="00F7245E">
        <w:rPr>
          <w:rFonts w:cs="Times New Roman"/>
          <w:w w:val="105"/>
        </w:rPr>
        <w:t>alábbi</w:t>
      </w:r>
      <w:r w:rsidR="00B62AE4" w:rsidRPr="00F7245E">
        <w:rPr>
          <w:rFonts w:cs="Times New Roman"/>
          <w:spacing w:val="-14"/>
          <w:w w:val="105"/>
        </w:rPr>
        <w:t xml:space="preserve"> </w:t>
      </w:r>
      <w:r w:rsidR="00B62AE4" w:rsidRPr="00F7245E">
        <w:rPr>
          <w:rFonts w:cs="Times New Roman"/>
          <w:w w:val="105"/>
        </w:rPr>
        <w:t>jellemzők közül</w:t>
      </w:r>
      <w:r w:rsidR="00B62AE4" w:rsidRPr="00F7245E">
        <w:rPr>
          <w:rFonts w:cs="Times New Roman"/>
          <w:spacing w:val="-11"/>
          <w:w w:val="105"/>
        </w:rPr>
        <w:t xml:space="preserve"> </w:t>
      </w:r>
      <w:r w:rsidR="00B62AE4" w:rsidRPr="00F7245E">
        <w:rPr>
          <w:rFonts w:cs="Times New Roman"/>
          <w:w w:val="105"/>
        </w:rPr>
        <w:t>legalább</w:t>
      </w:r>
      <w:r w:rsidR="00B62AE4" w:rsidRPr="00F7245E">
        <w:rPr>
          <w:rFonts w:cs="Times New Roman"/>
          <w:spacing w:val="-11"/>
          <w:w w:val="105"/>
        </w:rPr>
        <w:t xml:space="preserve"> </w:t>
      </w:r>
      <w:r w:rsidRPr="00F7245E">
        <w:rPr>
          <w:rFonts w:cs="Times New Roman"/>
          <w:w w:val="105"/>
        </w:rPr>
        <w:t xml:space="preserve">kettő </w:t>
      </w:r>
      <w:r w:rsidR="00E73A6C" w:rsidRPr="00F7245E">
        <w:rPr>
          <w:rFonts w:cs="Times New Roman"/>
          <w:w w:val="105"/>
        </w:rPr>
        <w:t>fennáll</w:t>
      </w:r>
      <w:r w:rsidR="00B62AE4" w:rsidRPr="00F7245E">
        <w:rPr>
          <w:rFonts w:cs="Times New Roman"/>
          <w:w w:val="105"/>
        </w:rPr>
        <w:t>: életkor</w:t>
      </w:r>
      <w:r w:rsidR="00B62AE4" w:rsidRPr="00F7245E">
        <w:rPr>
          <w:rFonts w:cs="Times New Roman"/>
          <w:spacing w:val="-6"/>
          <w:w w:val="105"/>
        </w:rPr>
        <w:t xml:space="preserve"> </w:t>
      </w:r>
      <w:r w:rsidR="00B62AE4" w:rsidRPr="00F7245E">
        <w:rPr>
          <w:rFonts w:cs="Times New Roman"/>
          <w:w w:val="105"/>
        </w:rPr>
        <w:t>≥</w:t>
      </w:r>
      <w:r w:rsidRPr="00F7245E">
        <w:rPr>
          <w:rFonts w:cs="Times New Roman"/>
          <w:w w:val="105"/>
        </w:rPr>
        <w:t> </w:t>
      </w:r>
      <w:r w:rsidR="00B62AE4" w:rsidRPr="00F7245E">
        <w:rPr>
          <w:rFonts w:cs="Times New Roman"/>
          <w:w w:val="105"/>
        </w:rPr>
        <w:t>80</w:t>
      </w:r>
      <w:r w:rsidR="00045408" w:rsidRPr="00F7245E">
        <w:rPr>
          <w:rFonts w:cs="Times New Roman"/>
          <w:spacing w:val="-5"/>
          <w:w w:val="105"/>
        </w:rPr>
        <w:t> év</w:t>
      </w:r>
      <w:r w:rsidR="00B62AE4" w:rsidRPr="00F7245E">
        <w:rPr>
          <w:rFonts w:cs="Times New Roman"/>
          <w:w w:val="105"/>
        </w:rPr>
        <w:t>,</w:t>
      </w:r>
      <w:r w:rsidR="00B62AE4" w:rsidRPr="00F7245E">
        <w:rPr>
          <w:rFonts w:cs="Times New Roman"/>
          <w:spacing w:val="-5"/>
          <w:w w:val="105"/>
        </w:rPr>
        <w:t xml:space="preserve"> </w:t>
      </w:r>
      <w:r w:rsidR="00B62AE4" w:rsidRPr="00F7245E">
        <w:rPr>
          <w:rFonts w:cs="Times New Roman"/>
          <w:w w:val="105"/>
        </w:rPr>
        <w:t>testtömeg</w:t>
      </w:r>
      <w:r w:rsidR="00B62AE4" w:rsidRPr="00F7245E">
        <w:rPr>
          <w:rFonts w:cs="Times New Roman"/>
          <w:spacing w:val="-5"/>
          <w:w w:val="105"/>
        </w:rPr>
        <w:t xml:space="preserve"> </w:t>
      </w:r>
      <w:r w:rsidR="00B62AE4" w:rsidRPr="00F7245E">
        <w:rPr>
          <w:rFonts w:cs="Times New Roman"/>
          <w:w w:val="105"/>
        </w:rPr>
        <w:t>≤</w:t>
      </w:r>
      <w:r w:rsidRPr="00F7245E">
        <w:rPr>
          <w:rFonts w:cs="Times New Roman"/>
          <w:w w:val="105"/>
        </w:rPr>
        <w:t> </w:t>
      </w:r>
      <w:r w:rsidR="00B62AE4" w:rsidRPr="00F7245E">
        <w:rPr>
          <w:rFonts w:cs="Times New Roman"/>
          <w:w w:val="105"/>
        </w:rPr>
        <w:t>60</w:t>
      </w:r>
      <w:r w:rsidR="00B75CD6" w:rsidRPr="00F7245E">
        <w:rPr>
          <w:rFonts w:cs="Times New Roman"/>
          <w:spacing w:val="-5"/>
          <w:w w:val="105"/>
        </w:rPr>
        <w:t> kg</w:t>
      </w:r>
      <w:r w:rsidR="00B62AE4" w:rsidRPr="00F7245E">
        <w:rPr>
          <w:rFonts w:cs="Times New Roman"/>
          <w:spacing w:val="-5"/>
          <w:w w:val="105"/>
        </w:rPr>
        <w:t xml:space="preserve"> </w:t>
      </w:r>
      <w:r w:rsidR="00B62AE4" w:rsidRPr="00F7245E">
        <w:rPr>
          <w:rFonts w:cs="Times New Roman"/>
          <w:w w:val="105"/>
        </w:rPr>
        <w:t>vagy</w:t>
      </w:r>
      <w:r w:rsidR="00B62AE4" w:rsidRPr="00F7245E">
        <w:rPr>
          <w:rFonts w:cs="Times New Roman"/>
          <w:spacing w:val="-4"/>
          <w:w w:val="105"/>
        </w:rPr>
        <w:t xml:space="preserve"> </w:t>
      </w:r>
      <w:r w:rsidR="00B62AE4" w:rsidRPr="00F7245E">
        <w:rPr>
          <w:rFonts w:cs="Times New Roman"/>
          <w:w w:val="105"/>
        </w:rPr>
        <w:t>a</w:t>
      </w:r>
      <w:r w:rsidR="00B62AE4" w:rsidRPr="00F7245E">
        <w:rPr>
          <w:rFonts w:cs="Times New Roman"/>
          <w:spacing w:val="-6"/>
          <w:w w:val="105"/>
        </w:rPr>
        <w:t xml:space="preserve"> </w:t>
      </w:r>
      <w:r w:rsidR="00B62AE4" w:rsidRPr="00F7245E">
        <w:rPr>
          <w:rFonts w:cs="Times New Roman"/>
          <w:w w:val="105"/>
        </w:rPr>
        <w:t>szérum</w:t>
      </w:r>
      <w:r w:rsidR="00B62AE4" w:rsidRPr="00F7245E">
        <w:rPr>
          <w:rFonts w:cs="Times New Roman"/>
          <w:spacing w:val="-8"/>
          <w:w w:val="105"/>
        </w:rPr>
        <w:t xml:space="preserve"> </w:t>
      </w:r>
      <w:r w:rsidR="00B62AE4" w:rsidRPr="00F7245E">
        <w:rPr>
          <w:rFonts w:cs="Times New Roman"/>
          <w:w w:val="105"/>
        </w:rPr>
        <w:t>kreatininszint</w:t>
      </w:r>
      <w:r w:rsidR="00B62AE4" w:rsidRPr="00F7245E">
        <w:rPr>
          <w:rFonts w:cs="Times New Roman"/>
          <w:spacing w:val="-6"/>
          <w:w w:val="105"/>
        </w:rPr>
        <w:t xml:space="preserve"> </w:t>
      </w:r>
      <w:r w:rsidR="00B62AE4" w:rsidRPr="00F7245E">
        <w:rPr>
          <w:rFonts w:cs="Times New Roman"/>
          <w:w w:val="105"/>
        </w:rPr>
        <w:t>≥</w:t>
      </w:r>
      <w:r w:rsidRPr="00F7245E">
        <w:rPr>
          <w:rFonts w:cs="Times New Roman"/>
          <w:w w:val="105"/>
        </w:rPr>
        <w:t> </w:t>
      </w:r>
      <w:r w:rsidR="00B62AE4" w:rsidRPr="00F7245E">
        <w:rPr>
          <w:rFonts w:cs="Times New Roman"/>
          <w:w w:val="105"/>
        </w:rPr>
        <w:t>1,5</w:t>
      </w:r>
      <w:r w:rsidR="004C106B" w:rsidRPr="00F7245E">
        <w:rPr>
          <w:rFonts w:cs="Times New Roman"/>
          <w:spacing w:val="-5"/>
          <w:w w:val="105"/>
        </w:rPr>
        <w:t> mg</w:t>
      </w:r>
      <w:r w:rsidR="00B62AE4" w:rsidRPr="00F7245E">
        <w:rPr>
          <w:rFonts w:cs="Times New Roman"/>
          <w:w w:val="105"/>
        </w:rPr>
        <w:t>/dl</w:t>
      </w:r>
      <w:r w:rsidR="00B62AE4" w:rsidRPr="00F7245E">
        <w:rPr>
          <w:rFonts w:cs="Times New Roman"/>
          <w:spacing w:val="-6"/>
          <w:w w:val="105"/>
        </w:rPr>
        <w:t xml:space="preserve"> </w:t>
      </w:r>
      <w:r w:rsidR="00B62AE4" w:rsidRPr="00F7245E">
        <w:rPr>
          <w:rFonts w:cs="Times New Roman"/>
          <w:w w:val="105"/>
        </w:rPr>
        <w:t>(133</w:t>
      </w:r>
      <w:r w:rsidR="001706DF" w:rsidRPr="00F7245E">
        <w:rPr>
          <w:rFonts w:cs="Times New Roman"/>
          <w:spacing w:val="-5"/>
          <w:w w:val="105"/>
        </w:rPr>
        <w:t> </w:t>
      </w:r>
      <w:r w:rsidR="00B62AE4" w:rsidRPr="00F7245E">
        <w:rPr>
          <w:rFonts w:cs="Times New Roman"/>
          <w:w w:val="105"/>
        </w:rPr>
        <w:t>mikromol/l).</w:t>
      </w:r>
    </w:p>
    <w:p w14:paraId="3BBD803D" w14:textId="77777777" w:rsidR="00B62AE4" w:rsidRPr="00F7245E" w:rsidRDefault="00B62AE4" w:rsidP="00A21724">
      <w:pPr>
        <w:pStyle w:val="Nincstrkz"/>
        <w:rPr>
          <w:rFonts w:cs="Times New Roman"/>
        </w:rPr>
      </w:pPr>
    </w:p>
    <w:p w14:paraId="6FED7AD9" w14:textId="039D81A0" w:rsidR="00B62AE4" w:rsidRPr="00F7245E" w:rsidRDefault="00B62AE4" w:rsidP="00A21724">
      <w:pPr>
        <w:pStyle w:val="Nincstrkz"/>
        <w:rPr>
          <w:rFonts w:cs="Times New Roman"/>
        </w:rPr>
      </w:pPr>
      <w:r w:rsidRPr="00F7245E">
        <w:rPr>
          <w:rFonts w:cs="Times New Roman"/>
        </w:rPr>
        <w:t xml:space="preserve">A kezelést hosszú </w:t>
      </w:r>
      <w:r w:rsidR="00EA24F2" w:rsidRPr="00F7245E">
        <w:rPr>
          <w:rFonts w:cs="Times New Roman"/>
        </w:rPr>
        <w:t>távon</w:t>
      </w:r>
      <w:r w:rsidRPr="00F7245E">
        <w:rPr>
          <w:rFonts w:cs="Times New Roman"/>
        </w:rPr>
        <w:t xml:space="preserve"> kell folytatni.</w:t>
      </w:r>
    </w:p>
    <w:p w14:paraId="048EDD1C" w14:textId="77777777" w:rsidR="00B62AE4" w:rsidRPr="00F7245E" w:rsidRDefault="00B62AE4" w:rsidP="00A21724">
      <w:pPr>
        <w:pStyle w:val="Nincstrkz"/>
        <w:rPr>
          <w:rFonts w:cs="Times New Roman"/>
        </w:rPr>
      </w:pPr>
    </w:p>
    <w:p w14:paraId="77C51B77" w14:textId="178CCA3C" w:rsidR="00B62AE4" w:rsidRPr="00F7245E" w:rsidRDefault="00B62AE4" w:rsidP="00A21724">
      <w:pPr>
        <w:pStyle w:val="Nincstrkz"/>
        <w:rPr>
          <w:rFonts w:cs="Times New Roman"/>
          <w:i/>
          <w:iCs/>
          <w:u w:val="single"/>
        </w:rPr>
      </w:pPr>
      <w:r w:rsidRPr="00F7245E">
        <w:rPr>
          <w:rFonts w:cs="Times New Roman"/>
          <w:i/>
          <w:iCs/>
          <w:u w:val="single"/>
        </w:rPr>
        <w:t>MVT kezelése, PE kezelése és az MVT</w:t>
      </w:r>
      <w:r w:rsidR="002E16CA" w:rsidRPr="00F7245E">
        <w:rPr>
          <w:rFonts w:cs="Times New Roman"/>
          <w:i/>
          <w:iCs/>
          <w:u w:val="single"/>
        </w:rPr>
        <w:t xml:space="preserve">, </w:t>
      </w:r>
      <w:r w:rsidR="00352CD3" w:rsidRPr="00F7245E">
        <w:rPr>
          <w:rFonts w:cs="Times New Roman"/>
          <w:i/>
          <w:iCs/>
          <w:u w:val="single"/>
        </w:rPr>
        <w:t>és</w:t>
      </w:r>
      <w:r w:rsidR="002E16CA" w:rsidRPr="00F7245E">
        <w:rPr>
          <w:rFonts w:cs="Times New Roman"/>
          <w:i/>
          <w:iCs/>
          <w:u w:val="single"/>
        </w:rPr>
        <w:t xml:space="preserve"> a</w:t>
      </w:r>
      <w:r w:rsidRPr="00F7245E">
        <w:rPr>
          <w:rFonts w:cs="Times New Roman"/>
          <w:i/>
          <w:iCs/>
          <w:u w:val="single"/>
        </w:rPr>
        <w:t xml:space="preserve"> PE kiújulásának megelőzése (együtt: VTE</w:t>
      </w:r>
      <w:r w:rsidR="002E16CA" w:rsidRPr="00F7245E">
        <w:rPr>
          <w:rFonts w:cs="Times New Roman"/>
          <w:i/>
          <w:iCs/>
          <w:u w:val="single"/>
        </w:rPr>
        <w:noBreakHyphen/>
      </w:r>
      <w:r w:rsidR="00D70E9C" w:rsidRPr="00F7245E">
        <w:rPr>
          <w:rFonts w:cs="Times New Roman"/>
          <w:i/>
          <w:iCs/>
          <w:u w:val="single"/>
        </w:rPr>
        <w:t>terápia</w:t>
      </w:r>
      <w:r w:rsidR="002E16CA" w:rsidRPr="00F7245E">
        <w:rPr>
          <w:rFonts w:cs="Times New Roman"/>
          <w:i/>
          <w:iCs/>
          <w:u w:val="single"/>
        </w:rPr>
        <w:t>, VTE</w:t>
      </w:r>
      <w:r w:rsidR="00D70E9C" w:rsidRPr="00F7245E">
        <w:rPr>
          <w:rFonts w:cs="Times New Roman"/>
          <w:i/>
          <w:iCs/>
          <w:u w:val="single"/>
        </w:rPr>
        <w:t>t</w:t>
      </w:r>
      <w:r w:rsidR="00352CD3" w:rsidRPr="00F7245E">
        <w:rPr>
          <w:rFonts w:cs="Times New Roman"/>
          <w:i/>
          <w:iCs/>
          <w:u w:val="single"/>
        </w:rPr>
        <w:t xml:space="preserve"> felnőtteknél</w:t>
      </w:r>
      <w:r w:rsidRPr="00F7245E">
        <w:rPr>
          <w:rFonts w:cs="Times New Roman"/>
          <w:i/>
          <w:iCs/>
          <w:u w:val="single"/>
        </w:rPr>
        <w:t>)</w:t>
      </w:r>
    </w:p>
    <w:p w14:paraId="3886D75A" w14:textId="50FF0742" w:rsidR="00B62AE4" w:rsidRPr="00F7245E" w:rsidRDefault="00B62AE4" w:rsidP="00A21724">
      <w:pPr>
        <w:pStyle w:val="Nincstrkz"/>
        <w:rPr>
          <w:rFonts w:cs="Times New Roman"/>
        </w:rPr>
      </w:pPr>
      <w:r w:rsidRPr="00F7245E">
        <w:rPr>
          <w:rFonts w:cs="Times New Roman"/>
        </w:rPr>
        <w:t xml:space="preserve">Az </w:t>
      </w:r>
      <w:r w:rsidR="00CA2919" w:rsidRPr="00F7245E">
        <w:rPr>
          <w:rFonts w:cs="Times New Roman"/>
        </w:rPr>
        <w:t xml:space="preserve">apixabán </w:t>
      </w:r>
      <w:r w:rsidRPr="00F7245E">
        <w:rPr>
          <w:rFonts w:cs="Times New Roman"/>
        </w:rPr>
        <w:t xml:space="preserve">javasolt adagja akut mélyvénás thrombosis </w:t>
      </w:r>
      <w:r w:rsidR="00205DB7" w:rsidRPr="00F7245E">
        <w:rPr>
          <w:rFonts w:cs="Times New Roman"/>
        </w:rPr>
        <w:t xml:space="preserve">(MVT) </w:t>
      </w:r>
      <w:r w:rsidRPr="00F7245E">
        <w:rPr>
          <w:rFonts w:cs="Times New Roman"/>
        </w:rPr>
        <w:t xml:space="preserve">és pulmonalis embolia </w:t>
      </w:r>
      <w:r w:rsidR="00205DB7" w:rsidRPr="00F7245E">
        <w:rPr>
          <w:rFonts w:cs="Times New Roman"/>
        </w:rPr>
        <w:t xml:space="preserve">(PE) </w:t>
      </w:r>
      <w:r w:rsidRPr="00F7245E">
        <w:rPr>
          <w:rFonts w:cs="Times New Roman"/>
        </w:rPr>
        <w:t xml:space="preserve">kezelésére </w:t>
      </w:r>
      <w:r w:rsidR="00205DB7" w:rsidRPr="00F7245E">
        <w:rPr>
          <w:rFonts w:cs="Times New Roman"/>
        </w:rPr>
        <w:t xml:space="preserve">naponta kétszer 10 mg szájon át </w:t>
      </w:r>
      <w:r w:rsidR="00F83F0A" w:rsidRPr="00F7245E">
        <w:rPr>
          <w:rFonts w:cs="Times New Roman"/>
        </w:rPr>
        <w:t xml:space="preserve">alkalmazva </w:t>
      </w:r>
      <w:r w:rsidRPr="00F7245E">
        <w:rPr>
          <w:rFonts w:cs="Times New Roman"/>
        </w:rPr>
        <w:t>az első 7</w:t>
      </w:r>
      <w:r w:rsidR="00451F5E" w:rsidRPr="00F7245E">
        <w:rPr>
          <w:rFonts w:cs="Times New Roman"/>
        </w:rPr>
        <w:t> napon</w:t>
      </w:r>
      <w:r w:rsidRPr="00F7245E">
        <w:rPr>
          <w:rFonts w:cs="Times New Roman"/>
        </w:rPr>
        <w:t>, majd azt követően</w:t>
      </w:r>
      <w:r w:rsidR="00995269" w:rsidRPr="00F7245E">
        <w:rPr>
          <w:rFonts w:cs="Times New Roman"/>
        </w:rPr>
        <w:t xml:space="preserve"> </w:t>
      </w:r>
      <w:r w:rsidR="003B67D5" w:rsidRPr="00F7245E">
        <w:rPr>
          <w:rFonts w:cs="Times New Roman"/>
        </w:rPr>
        <w:t>nap</w:t>
      </w:r>
      <w:r w:rsidRPr="00F7245E">
        <w:rPr>
          <w:rFonts w:cs="Times New Roman"/>
        </w:rPr>
        <w:t xml:space="preserve">onta kétszer </w:t>
      </w:r>
      <w:r w:rsidR="00995269" w:rsidRPr="00F7245E">
        <w:rPr>
          <w:rFonts w:cs="Times New Roman"/>
          <w:i/>
          <w:iCs/>
        </w:rPr>
        <w:t>per os</w:t>
      </w:r>
      <w:r w:rsidR="00995269" w:rsidRPr="00F7245E">
        <w:rPr>
          <w:rFonts w:cs="Times New Roman"/>
        </w:rPr>
        <w:t xml:space="preserve"> </w:t>
      </w:r>
      <w:r w:rsidRPr="00F7245E">
        <w:rPr>
          <w:rFonts w:cs="Times New Roman"/>
        </w:rPr>
        <w:t>5</w:t>
      </w:r>
      <w:r w:rsidR="004C106B" w:rsidRPr="00F7245E">
        <w:rPr>
          <w:rFonts w:cs="Times New Roman"/>
        </w:rPr>
        <w:t> mg</w:t>
      </w:r>
      <w:r w:rsidRPr="00F7245E">
        <w:rPr>
          <w:rFonts w:cs="Times New Roman"/>
        </w:rPr>
        <w:t xml:space="preserve">. A rendelkezésre álló orvosi </w:t>
      </w:r>
      <w:r w:rsidR="00205DB7" w:rsidRPr="00F7245E">
        <w:rPr>
          <w:rFonts w:cs="Times New Roman"/>
        </w:rPr>
        <w:t>ajánlások</w:t>
      </w:r>
      <w:r w:rsidRPr="00F7245E">
        <w:rPr>
          <w:rFonts w:cs="Times New Roman"/>
        </w:rPr>
        <w:t xml:space="preserve"> szerint a rövid időtartamú (legalább</w:t>
      </w:r>
      <w:r w:rsidR="00205DB7" w:rsidRPr="00F7245E">
        <w:rPr>
          <w:rFonts w:cs="Times New Roman"/>
        </w:rPr>
        <w:t xml:space="preserve"> </w:t>
      </w:r>
      <w:r w:rsidRPr="00F7245E">
        <w:rPr>
          <w:rFonts w:cs="Times New Roman"/>
        </w:rPr>
        <w:t>3</w:t>
      </w:r>
      <w:r w:rsidR="00205DB7" w:rsidRPr="00F7245E">
        <w:rPr>
          <w:rFonts w:cs="Times New Roman"/>
        </w:rPr>
        <w:t> </w:t>
      </w:r>
      <w:r w:rsidRPr="00F7245E">
        <w:rPr>
          <w:rFonts w:cs="Times New Roman"/>
        </w:rPr>
        <w:t>hónap</w:t>
      </w:r>
      <w:r w:rsidR="00205DB7" w:rsidRPr="00F7245E">
        <w:rPr>
          <w:rFonts w:cs="Times New Roman"/>
        </w:rPr>
        <w:t>os</w:t>
      </w:r>
      <w:r w:rsidRPr="00F7245E">
        <w:rPr>
          <w:rFonts w:cs="Times New Roman"/>
        </w:rPr>
        <w:t xml:space="preserve">) </w:t>
      </w:r>
      <w:r w:rsidR="00205DB7" w:rsidRPr="00F7245E">
        <w:rPr>
          <w:rFonts w:cs="Times New Roman"/>
        </w:rPr>
        <w:t xml:space="preserve">terápiának </w:t>
      </w:r>
      <w:r w:rsidRPr="00F7245E">
        <w:rPr>
          <w:rFonts w:cs="Times New Roman"/>
        </w:rPr>
        <w:t xml:space="preserve">az átmeneti kockázati tényezőkön (pl. nemrégiben lezajlott műtét, trauma, </w:t>
      </w:r>
      <w:r w:rsidR="00205DB7" w:rsidRPr="00F7245E">
        <w:rPr>
          <w:rFonts w:cs="Times New Roman"/>
        </w:rPr>
        <w:t>i</w:t>
      </w:r>
      <w:r w:rsidRPr="00F7245E">
        <w:rPr>
          <w:rFonts w:cs="Times New Roman"/>
        </w:rPr>
        <w:t>mmobilizáció) kell alapulnia.</w:t>
      </w:r>
    </w:p>
    <w:p w14:paraId="280060AD" w14:textId="77777777" w:rsidR="00B62AE4" w:rsidRPr="00F7245E" w:rsidRDefault="00B62AE4" w:rsidP="00A21724">
      <w:pPr>
        <w:pStyle w:val="Nincstrkz"/>
        <w:rPr>
          <w:rFonts w:cs="Times New Roman"/>
        </w:rPr>
      </w:pPr>
    </w:p>
    <w:p w14:paraId="0853C50B" w14:textId="528F6274" w:rsidR="00B62AE4" w:rsidRPr="00F7245E" w:rsidRDefault="00B62AE4" w:rsidP="00A21724">
      <w:pPr>
        <w:pStyle w:val="Nincstrkz"/>
        <w:rPr>
          <w:rFonts w:cs="Times New Roman"/>
        </w:rPr>
      </w:pPr>
      <w:r w:rsidRPr="00F7245E">
        <w:rPr>
          <w:rFonts w:cs="Times New Roman"/>
        </w:rPr>
        <w:t xml:space="preserve">MVT és PE </w:t>
      </w:r>
      <w:r w:rsidR="00451F5E" w:rsidRPr="00F7245E">
        <w:rPr>
          <w:rFonts w:cs="Times New Roman"/>
        </w:rPr>
        <w:t xml:space="preserve">kiújulásának </w:t>
      </w:r>
      <w:r w:rsidRPr="00F7245E">
        <w:rPr>
          <w:rFonts w:cs="Times New Roman"/>
        </w:rPr>
        <w:t>megelőzés</w:t>
      </w:r>
      <w:r w:rsidR="00205DB7" w:rsidRPr="00F7245E">
        <w:rPr>
          <w:rFonts w:cs="Times New Roman"/>
        </w:rPr>
        <w:t xml:space="preserve">ére </w:t>
      </w:r>
      <w:r w:rsidRPr="00F7245E">
        <w:rPr>
          <w:rFonts w:cs="Times New Roman"/>
        </w:rPr>
        <w:t xml:space="preserve">az </w:t>
      </w:r>
      <w:r w:rsidR="00CA2919" w:rsidRPr="00F7245E">
        <w:rPr>
          <w:rFonts w:cs="Times New Roman"/>
        </w:rPr>
        <w:t xml:space="preserve">apixabán </w:t>
      </w:r>
      <w:r w:rsidRPr="00F7245E">
        <w:rPr>
          <w:rFonts w:cs="Times New Roman"/>
        </w:rPr>
        <w:t xml:space="preserve">javasolt </w:t>
      </w:r>
      <w:r w:rsidR="00B84428" w:rsidRPr="00F7245E">
        <w:rPr>
          <w:rFonts w:cs="Times New Roman"/>
        </w:rPr>
        <w:t>dózisa</w:t>
      </w:r>
      <w:r w:rsidR="00205DB7" w:rsidRPr="00F7245E">
        <w:rPr>
          <w:rFonts w:cs="Times New Roman"/>
        </w:rPr>
        <w:t xml:space="preserve"> </w:t>
      </w:r>
      <w:r w:rsidR="003B67D5" w:rsidRPr="00F7245E">
        <w:rPr>
          <w:rFonts w:cs="Times New Roman"/>
        </w:rPr>
        <w:t>nap</w:t>
      </w:r>
      <w:r w:rsidRPr="00F7245E">
        <w:rPr>
          <w:rFonts w:cs="Times New Roman"/>
        </w:rPr>
        <w:t>onta kétszer 2,5</w:t>
      </w:r>
      <w:r w:rsidR="004C106B" w:rsidRPr="00F7245E">
        <w:rPr>
          <w:rFonts w:cs="Times New Roman"/>
        </w:rPr>
        <w:t> mg</w:t>
      </w:r>
      <w:r w:rsidRPr="00F7245E">
        <w:rPr>
          <w:rFonts w:cs="Times New Roman"/>
        </w:rPr>
        <w:t xml:space="preserve">, szájon át </w:t>
      </w:r>
      <w:r w:rsidR="00F83F0A" w:rsidRPr="00F7245E">
        <w:rPr>
          <w:rFonts w:cs="Times New Roman"/>
        </w:rPr>
        <w:t>alkalmazva</w:t>
      </w:r>
      <w:r w:rsidRPr="00F7245E">
        <w:rPr>
          <w:rFonts w:cs="Times New Roman"/>
        </w:rPr>
        <w:t>.</w:t>
      </w:r>
      <w:r w:rsidR="00451F5E" w:rsidRPr="00F7245E">
        <w:rPr>
          <w:rFonts w:cs="Times New Roman"/>
        </w:rPr>
        <w:t xml:space="preserve"> </w:t>
      </w:r>
      <w:r w:rsidRPr="00F7245E">
        <w:rPr>
          <w:rFonts w:cs="Times New Roman"/>
        </w:rPr>
        <w:t>MVT és PE kiújulásának megelőz</w:t>
      </w:r>
      <w:r w:rsidR="003D56B9" w:rsidRPr="00F7245E">
        <w:rPr>
          <w:rFonts w:cs="Times New Roman"/>
        </w:rPr>
        <w:t>és</w:t>
      </w:r>
      <w:r w:rsidR="00B84428" w:rsidRPr="00F7245E">
        <w:rPr>
          <w:rFonts w:cs="Times New Roman"/>
        </w:rPr>
        <w:t>ére</w:t>
      </w:r>
      <w:r w:rsidR="003D56B9" w:rsidRPr="00F7245E">
        <w:rPr>
          <w:rFonts w:cs="Times New Roman"/>
        </w:rPr>
        <w:t xml:space="preserve"> </w:t>
      </w:r>
      <w:r w:rsidR="00B84428" w:rsidRPr="00F7245E">
        <w:rPr>
          <w:rFonts w:cs="Times New Roman"/>
        </w:rPr>
        <w:t xml:space="preserve">a </w:t>
      </w:r>
      <w:r w:rsidR="003B67D5" w:rsidRPr="00F7245E">
        <w:rPr>
          <w:rFonts w:cs="Times New Roman"/>
        </w:rPr>
        <w:t>nap</w:t>
      </w:r>
      <w:r w:rsidRPr="00F7245E">
        <w:rPr>
          <w:rFonts w:cs="Times New Roman"/>
        </w:rPr>
        <w:t>onta kétszer 2,5</w:t>
      </w:r>
      <w:r w:rsidR="004C106B" w:rsidRPr="00F7245E">
        <w:rPr>
          <w:rFonts w:cs="Times New Roman"/>
        </w:rPr>
        <w:t> mg</w:t>
      </w:r>
      <w:r w:rsidR="003D56B9" w:rsidRPr="00F7245E">
        <w:rPr>
          <w:rFonts w:cs="Times New Roman"/>
        </w:rPr>
        <w:noBreakHyphen/>
      </w:r>
      <w:r w:rsidRPr="00F7245E">
        <w:rPr>
          <w:rFonts w:cs="Times New Roman"/>
        </w:rPr>
        <w:t>os dózist a 6</w:t>
      </w:r>
      <w:r w:rsidR="003D56B9" w:rsidRPr="00F7245E">
        <w:rPr>
          <w:rFonts w:cs="Times New Roman"/>
        </w:rPr>
        <w:t> </w:t>
      </w:r>
      <w:r w:rsidRPr="00F7245E">
        <w:rPr>
          <w:rFonts w:cs="Times New Roman"/>
        </w:rPr>
        <w:t>hónapig tartó,</w:t>
      </w:r>
      <w:r w:rsidR="003D56B9" w:rsidRPr="00F7245E">
        <w:rPr>
          <w:rFonts w:cs="Times New Roman"/>
        </w:rPr>
        <w:t xml:space="preserve"> </w:t>
      </w:r>
      <w:r w:rsidR="003B67D5" w:rsidRPr="00F7245E">
        <w:rPr>
          <w:rFonts w:cs="Times New Roman"/>
        </w:rPr>
        <w:t>nap</w:t>
      </w:r>
      <w:r w:rsidRPr="00F7245E">
        <w:rPr>
          <w:rFonts w:cs="Times New Roman"/>
        </w:rPr>
        <w:t>onta kétszer 5</w:t>
      </w:r>
      <w:r w:rsidR="004C106B" w:rsidRPr="00F7245E">
        <w:rPr>
          <w:rFonts w:cs="Times New Roman"/>
        </w:rPr>
        <w:t> mg</w:t>
      </w:r>
      <w:r w:rsidRPr="00F7245E">
        <w:rPr>
          <w:rFonts w:cs="Times New Roman"/>
        </w:rPr>
        <w:t xml:space="preserve"> apixab</w:t>
      </w:r>
      <w:r w:rsidR="00F83F0A" w:rsidRPr="00F7245E">
        <w:rPr>
          <w:rFonts w:cs="Times New Roman"/>
        </w:rPr>
        <w:t>á</w:t>
      </w:r>
      <w:r w:rsidRPr="00F7245E">
        <w:rPr>
          <w:rFonts w:cs="Times New Roman"/>
        </w:rPr>
        <w:t>nnal vagy más antikoagulánssal végzett kezelés befejezése után kell elkezdeni, amint azt az alábbi, 1. táblázat mutatja (lásd még</w:t>
      </w:r>
      <w:r w:rsidR="003D56B9" w:rsidRPr="00F7245E">
        <w:rPr>
          <w:rFonts w:cs="Times New Roman"/>
        </w:rPr>
        <w:t xml:space="preserve"> 5.1 </w:t>
      </w:r>
      <w:r w:rsidRPr="00F7245E">
        <w:rPr>
          <w:rFonts w:cs="Times New Roman"/>
        </w:rPr>
        <w:t>pont).</w:t>
      </w:r>
    </w:p>
    <w:p w14:paraId="10BAFDA8" w14:textId="77777777" w:rsidR="00B62AE4" w:rsidRPr="00F7245E" w:rsidRDefault="00B62AE4" w:rsidP="00A21724">
      <w:pPr>
        <w:pStyle w:val="Nincstrkz"/>
        <w:rPr>
          <w:rFonts w:cs="Times New Roman"/>
        </w:rPr>
      </w:pPr>
    </w:p>
    <w:p w14:paraId="70A1D485" w14:textId="6AFE2951" w:rsidR="00B62AE4" w:rsidRPr="00F7245E" w:rsidRDefault="0072037C" w:rsidP="00A21724">
      <w:pPr>
        <w:pStyle w:val="Nincstrkz"/>
        <w:rPr>
          <w:rFonts w:cs="Times New Roman"/>
          <w:b/>
          <w:bCs/>
        </w:rPr>
      </w:pPr>
      <w:r w:rsidRPr="00F7245E">
        <w:rPr>
          <w:rFonts w:cs="Times New Roman"/>
          <w:b/>
          <w:bCs/>
          <w:w w:val="105"/>
        </w:rPr>
        <w:t xml:space="preserve">1. </w:t>
      </w:r>
      <w:r w:rsidR="0040501A" w:rsidRPr="00F7245E">
        <w:rPr>
          <w:rFonts w:cs="Times New Roman"/>
          <w:b/>
          <w:bCs/>
          <w:w w:val="105"/>
        </w:rPr>
        <w:t>T</w:t>
      </w:r>
      <w:r w:rsidR="00B62AE4" w:rsidRPr="00F7245E">
        <w:rPr>
          <w:rFonts w:cs="Times New Roman"/>
          <w:b/>
          <w:bCs/>
          <w:w w:val="105"/>
        </w:rPr>
        <w:t>áblázat</w:t>
      </w:r>
      <w:r w:rsidR="0040501A" w:rsidRPr="00F7245E">
        <w:rPr>
          <w:rFonts w:cs="Times New Roman"/>
          <w:b/>
          <w:bCs/>
          <w:w w:val="105"/>
        </w:rPr>
        <w:t>: Dózisajánlás (VTEt)</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38"/>
        <w:gridCol w:w="3387"/>
        <w:gridCol w:w="2447"/>
      </w:tblGrid>
      <w:tr w:rsidR="00B62AE4" w:rsidRPr="00F7245E" w14:paraId="0A5F34F8" w14:textId="77777777" w:rsidTr="00451F5E">
        <w:trPr>
          <w:trHeight w:val="387"/>
        </w:trPr>
        <w:tc>
          <w:tcPr>
            <w:tcW w:w="3238" w:type="dxa"/>
          </w:tcPr>
          <w:p w14:paraId="0B62DEE4" w14:textId="77777777" w:rsidR="00B62AE4" w:rsidRPr="00F7245E" w:rsidRDefault="00B62AE4" w:rsidP="00A21724">
            <w:pPr>
              <w:pStyle w:val="Nincstrkz"/>
              <w:rPr>
                <w:rFonts w:cs="Times New Roman"/>
                <w:lang w:val="hu-HU"/>
              </w:rPr>
            </w:pPr>
          </w:p>
        </w:tc>
        <w:tc>
          <w:tcPr>
            <w:tcW w:w="3387" w:type="dxa"/>
            <w:vAlign w:val="center"/>
          </w:tcPr>
          <w:p w14:paraId="6B0D8BF2" w14:textId="77777777" w:rsidR="00B62AE4" w:rsidRPr="00F7245E" w:rsidRDefault="00B62AE4" w:rsidP="00A21724">
            <w:pPr>
              <w:pStyle w:val="Nincstrkz"/>
              <w:rPr>
                <w:rFonts w:cs="Times New Roman"/>
                <w:lang w:val="hu-HU"/>
              </w:rPr>
            </w:pPr>
            <w:r w:rsidRPr="00F7245E">
              <w:rPr>
                <w:rFonts w:cs="Times New Roman"/>
                <w:w w:val="105"/>
                <w:lang w:val="hu-HU"/>
              </w:rPr>
              <w:t>Adagolási rend</w:t>
            </w:r>
          </w:p>
        </w:tc>
        <w:tc>
          <w:tcPr>
            <w:tcW w:w="2447" w:type="dxa"/>
            <w:vAlign w:val="center"/>
          </w:tcPr>
          <w:p w14:paraId="01BEA8D2" w14:textId="61C0D71A" w:rsidR="00B62AE4" w:rsidRPr="00F7245E" w:rsidRDefault="00B62AE4" w:rsidP="00A21724">
            <w:pPr>
              <w:pStyle w:val="Nincstrkz"/>
              <w:rPr>
                <w:rFonts w:cs="Times New Roman"/>
                <w:lang w:val="hu-HU"/>
              </w:rPr>
            </w:pPr>
            <w:r w:rsidRPr="00F7245E">
              <w:rPr>
                <w:rFonts w:cs="Times New Roman"/>
                <w:w w:val="105"/>
                <w:lang w:val="hu-HU"/>
              </w:rPr>
              <w:t>Maximális</w:t>
            </w:r>
            <w:r w:rsidR="00155D20" w:rsidRPr="00F7245E">
              <w:rPr>
                <w:rFonts w:cs="Times New Roman"/>
                <w:w w:val="105"/>
                <w:lang w:val="hu-HU"/>
              </w:rPr>
              <w:t xml:space="preserve"> </w:t>
            </w:r>
            <w:r w:rsidR="003B67D5" w:rsidRPr="00F7245E">
              <w:rPr>
                <w:rFonts w:cs="Times New Roman"/>
                <w:w w:val="105"/>
                <w:lang w:val="hu-HU"/>
              </w:rPr>
              <w:t>nap</w:t>
            </w:r>
            <w:r w:rsidRPr="00F7245E">
              <w:rPr>
                <w:rFonts w:cs="Times New Roman"/>
                <w:w w:val="105"/>
                <w:lang w:val="hu-HU"/>
              </w:rPr>
              <w:t xml:space="preserve">i </w:t>
            </w:r>
            <w:r w:rsidR="00DC2731" w:rsidRPr="00F7245E">
              <w:rPr>
                <w:rFonts w:cs="Times New Roman"/>
                <w:w w:val="105"/>
                <w:lang w:val="hu-HU"/>
              </w:rPr>
              <w:t>dózis</w:t>
            </w:r>
          </w:p>
        </w:tc>
      </w:tr>
      <w:tr w:rsidR="00B62AE4" w:rsidRPr="00F7245E" w14:paraId="3B171E53" w14:textId="77777777" w:rsidTr="00451F5E">
        <w:trPr>
          <w:trHeight w:val="388"/>
        </w:trPr>
        <w:tc>
          <w:tcPr>
            <w:tcW w:w="3238" w:type="dxa"/>
            <w:vMerge w:val="restart"/>
          </w:tcPr>
          <w:p w14:paraId="017FB5D0" w14:textId="77777777" w:rsidR="00B62AE4" w:rsidRPr="00F7245E" w:rsidRDefault="00B62AE4" w:rsidP="00A21724">
            <w:pPr>
              <w:pStyle w:val="Nincstrkz"/>
              <w:ind w:left="142"/>
              <w:rPr>
                <w:rFonts w:cs="Times New Roman"/>
                <w:lang w:val="hu-HU"/>
              </w:rPr>
            </w:pPr>
            <w:r w:rsidRPr="00F7245E">
              <w:rPr>
                <w:rFonts w:cs="Times New Roman"/>
                <w:w w:val="105"/>
                <w:lang w:val="hu-HU"/>
              </w:rPr>
              <w:t>MVT vagy PE kezelése</w:t>
            </w:r>
          </w:p>
        </w:tc>
        <w:tc>
          <w:tcPr>
            <w:tcW w:w="3387" w:type="dxa"/>
            <w:vAlign w:val="center"/>
          </w:tcPr>
          <w:p w14:paraId="1B6E9B03" w14:textId="5064B069" w:rsidR="00B62AE4" w:rsidRPr="00F7245E" w:rsidRDefault="00B62AE4" w:rsidP="00A21724">
            <w:pPr>
              <w:ind w:left="21"/>
              <w:rPr>
                <w:lang w:val="hu-HU"/>
              </w:rPr>
            </w:pPr>
            <w:r w:rsidRPr="00F7245E">
              <w:rPr>
                <w:w w:val="105"/>
                <w:lang w:val="hu-HU"/>
              </w:rPr>
              <w:t>naponta 2</w:t>
            </w:r>
            <w:r w:rsidR="003D56B9" w:rsidRPr="00F7245E">
              <w:t> </w:t>
            </w:r>
            <w:bookmarkStart w:id="1" w:name="_Hlk41995704"/>
            <w:r w:rsidR="003D56B9" w:rsidRPr="00F7245E">
              <w:t>×</w:t>
            </w:r>
            <w:bookmarkEnd w:id="1"/>
            <w:r w:rsidR="003D56B9" w:rsidRPr="00F7245E">
              <w:t> </w:t>
            </w:r>
            <w:r w:rsidRPr="00F7245E">
              <w:rPr>
                <w:w w:val="105"/>
                <w:lang w:val="hu-HU"/>
              </w:rPr>
              <w:t>10</w:t>
            </w:r>
            <w:r w:rsidR="004C106B" w:rsidRPr="00F7245E">
              <w:rPr>
                <w:w w:val="105"/>
                <w:lang w:val="hu-HU"/>
              </w:rPr>
              <w:t> mg</w:t>
            </w:r>
            <w:r w:rsidRPr="00F7245E">
              <w:rPr>
                <w:w w:val="105"/>
                <w:lang w:val="hu-HU"/>
              </w:rPr>
              <w:t xml:space="preserve"> az első 7</w:t>
            </w:r>
            <w:r w:rsidR="003B67D5" w:rsidRPr="00F7245E">
              <w:rPr>
                <w:w w:val="105"/>
                <w:lang w:val="hu-HU"/>
              </w:rPr>
              <w:t> nap</w:t>
            </w:r>
            <w:r w:rsidR="003D56B9" w:rsidRPr="00F7245E">
              <w:rPr>
                <w:w w:val="105"/>
                <w:lang w:val="hu-HU"/>
              </w:rPr>
              <w:t>on</w:t>
            </w:r>
          </w:p>
        </w:tc>
        <w:tc>
          <w:tcPr>
            <w:tcW w:w="2447" w:type="dxa"/>
            <w:vAlign w:val="center"/>
          </w:tcPr>
          <w:p w14:paraId="7D3D7DFC" w14:textId="259B86DD" w:rsidR="00B62AE4" w:rsidRPr="00F7245E" w:rsidRDefault="00B62AE4" w:rsidP="00A21724">
            <w:pPr>
              <w:pStyle w:val="Nincstrkz"/>
              <w:rPr>
                <w:rFonts w:cs="Times New Roman"/>
                <w:lang w:val="hu-HU"/>
              </w:rPr>
            </w:pPr>
            <w:r w:rsidRPr="00F7245E">
              <w:rPr>
                <w:rFonts w:cs="Times New Roman"/>
                <w:w w:val="105"/>
                <w:lang w:val="hu-HU"/>
              </w:rPr>
              <w:t>20</w:t>
            </w:r>
            <w:r w:rsidR="004C106B" w:rsidRPr="00F7245E">
              <w:rPr>
                <w:rFonts w:cs="Times New Roman"/>
                <w:w w:val="105"/>
                <w:lang w:val="hu-HU"/>
              </w:rPr>
              <w:t> mg</w:t>
            </w:r>
          </w:p>
        </w:tc>
      </w:tr>
      <w:tr w:rsidR="00B62AE4" w:rsidRPr="00F7245E" w14:paraId="7241A8B8" w14:textId="77777777" w:rsidTr="00451F5E">
        <w:trPr>
          <w:trHeight w:val="404"/>
        </w:trPr>
        <w:tc>
          <w:tcPr>
            <w:tcW w:w="3238" w:type="dxa"/>
            <w:vMerge/>
            <w:tcBorders>
              <w:top w:val="nil"/>
            </w:tcBorders>
          </w:tcPr>
          <w:p w14:paraId="00F33C6F" w14:textId="77777777" w:rsidR="00B62AE4" w:rsidRPr="00F7245E" w:rsidRDefault="00B62AE4" w:rsidP="00A21724">
            <w:pPr>
              <w:pStyle w:val="Nincstrkz"/>
              <w:rPr>
                <w:rFonts w:cs="Times New Roman"/>
                <w:lang w:val="hu-HU"/>
              </w:rPr>
            </w:pPr>
          </w:p>
        </w:tc>
        <w:tc>
          <w:tcPr>
            <w:tcW w:w="3387" w:type="dxa"/>
            <w:vAlign w:val="center"/>
          </w:tcPr>
          <w:p w14:paraId="0E621F7B" w14:textId="41D08708" w:rsidR="00B62AE4" w:rsidRPr="00F7245E" w:rsidRDefault="003D56B9" w:rsidP="00A21724">
            <w:pPr>
              <w:ind w:left="21"/>
              <w:rPr>
                <w:lang w:val="hu-HU"/>
              </w:rPr>
            </w:pPr>
            <w:r w:rsidRPr="00F7245E">
              <w:rPr>
                <w:w w:val="105"/>
                <w:lang w:val="hu-HU"/>
              </w:rPr>
              <w:t xml:space="preserve">ezt követően </w:t>
            </w:r>
            <w:r w:rsidR="003B67D5" w:rsidRPr="00F7245E">
              <w:rPr>
                <w:w w:val="105"/>
                <w:lang w:val="hu-HU"/>
              </w:rPr>
              <w:t>nap</w:t>
            </w:r>
            <w:r w:rsidR="00B62AE4" w:rsidRPr="00F7245E">
              <w:rPr>
                <w:w w:val="105"/>
                <w:lang w:val="hu-HU"/>
              </w:rPr>
              <w:t>onta 2</w:t>
            </w:r>
            <w:r w:rsidRPr="00F7245E">
              <w:t> × </w:t>
            </w:r>
            <w:r w:rsidR="00B62AE4" w:rsidRPr="00F7245E">
              <w:rPr>
                <w:w w:val="105"/>
                <w:lang w:val="hu-HU"/>
              </w:rPr>
              <w:t>5</w:t>
            </w:r>
            <w:r w:rsidR="004C106B" w:rsidRPr="00F7245E">
              <w:rPr>
                <w:w w:val="105"/>
                <w:lang w:val="hu-HU"/>
              </w:rPr>
              <w:t> mg</w:t>
            </w:r>
          </w:p>
        </w:tc>
        <w:tc>
          <w:tcPr>
            <w:tcW w:w="2447" w:type="dxa"/>
            <w:vAlign w:val="center"/>
          </w:tcPr>
          <w:p w14:paraId="655E6B27" w14:textId="5A91860E" w:rsidR="00B62AE4" w:rsidRPr="00F7245E" w:rsidRDefault="00B62AE4" w:rsidP="00A21724">
            <w:pPr>
              <w:pStyle w:val="Nincstrkz"/>
              <w:rPr>
                <w:rFonts w:cs="Times New Roman"/>
                <w:lang w:val="hu-HU"/>
              </w:rPr>
            </w:pPr>
            <w:r w:rsidRPr="00F7245E">
              <w:rPr>
                <w:rFonts w:cs="Times New Roman"/>
                <w:w w:val="105"/>
                <w:lang w:val="hu-HU"/>
              </w:rPr>
              <w:t>10</w:t>
            </w:r>
            <w:r w:rsidR="004C106B" w:rsidRPr="00F7245E">
              <w:rPr>
                <w:rFonts w:cs="Times New Roman"/>
                <w:w w:val="105"/>
                <w:lang w:val="hu-HU"/>
              </w:rPr>
              <w:t> mg</w:t>
            </w:r>
          </w:p>
        </w:tc>
      </w:tr>
      <w:tr w:rsidR="00B62AE4" w:rsidRPr="00F7245E" w14:paraId="0AA79B85" w14:textId="77777777" w:rsidTr="00451F5E">
        <w:trPr>
          <w:trHeight w:val="917"/>
        </w:trPr>
        <w:tc>
          <w:tcPr>
            <w:tcW w:w="3238" w:type="dxa"/>
          </w:tcPr>
          <w:p w14:paraId="5BF2926E" w14:textId="48D31F56" w:rsidR="00B62AE4" w:rsidRPr="00F7245E" w:rsidRDefault="00B62AE4" w:rsidP="00A21724">
            <w:pPr>
              <w:pStyle w:val="Nincstrkz"/>
              <w:rPr>
                <w:rFonts w:cs="Times New Roman"/>
                <w:lang w:val="hu-HU"/>
              </w:rPr>
            </w:pPr>
            <w:r w:rsidRPr="00F7245E">
              <w:rPr>
                <w:rFonts w:cs="Times New Roman"/>
                <w:w w:val="105"/>
                <w:lang w:val="hu-HU"/>
              </w:rPr>
              <w:t xml:space="preserve">MVT és/vagy PE </w:t>
            </w:r>
            <w:r w:rsidR="00451F5E" w:rsidRPr="00F7245E">
              <w:rPr>
                <w:rFonts w:cs="Times New Roman"/>
                <w:w w:val="105"/>
                <w:lang w:val="hu-HU"/>
              </w:rPr>
              <w:t xml:space="preserve">kiújulásának </w:t>
            </w:r>
            <w:r w:rsidRPr="00F7245E">
              <w:rPr>
                <w:rFonts w:cs="Times New Roman"/>
                <w:w w:val="105"/>
                <w:lang w:val="hu-HU"/>
              </w:rPr>
              <w:t>megelőzése</w:t>
            </w:r>
            <w:r w:rsidR="00451F5E" w:rsidRPr="00F7245E">
              <w:rPr>
                <w:rFonts w:cs="Times New Roman"/>
                <w:w w:val="105"/>
                <w:lang w:val="hu-HU"/>
              </w:rPr>
              <w:t>,</w:t>
            </w:r>
            <w:r w:rsidRPr="00F7245E">
              <w:rPr>
                <w:rFonts w:cs="Times New Roman"/>
                <w:w w:val="105"/>
                <w:lang w:val="hu-HU"/>
              </w:rPr>
              <w:t xml:space="preserve"> az MVT vagy a PE 6</w:t>
            </w:r>
            <w:r w:rsidR="00E149FF" w:rsidRPr="00F7245E">
              <w:rPr>
                <w:rFonts w:cs="Times New Roman"/>
                <w:w w:val="105"/>
                <w:lang w:val="hu-HU"/>
              </w:rPr>
              <w:t> </w:t>
            </w:r>
            <w:r w:rsidRPr="00F7245E">
              <w:rPr>
                <w:rFonts w:cs="Times New Roman"/>
                <w:w w:val="105"/>
                <w:lang w:val="hu-HU"/>
              </w:rPr>
              <w:t>hónapig tartó kezelésének befejezése után</w:t>
            </w:r>
          </w:p>
        </w:tc>
        <w:tc>
          <w:tcPr>
            <w:tcW w:w="3387" w:type="dxa"/>
            <w:vAlign w:val="center"/>
          </w:tcPr>
          <w:p w14:paraId="03E85BE8" w14:textId="77D92468" w:rsidR="00B62AE4" w:rsidRPr="00F7245E" w:rsidRDefault="00B62AE4" w:rsidP="00A21724">
            <w:pPr>
              <w:ind w:left="21"/>
              <w:rPr>
                <w:lang w:val="hu-HU"/>
              </w:rPr>
            </w:pPr>
            <w:r w:rsidRPr="00F7245E">
              <w:rPr>
                <w:w w:val="105"/>
                <w:lang w:val="hu-HU"/>
              </w:rPr>
              <w:t>naponta 2</w:t>
            </w:r>
            <w:r w:rsidR="003D56B9" w:rsidRPr="00F7245E">
              <w:t> × </w:t>
            </w:r>
            <w:r w:rsidRPr="00F7245E">
              <w:rPr>
                <w:w w:val="105"/>
                <w:lang w:val="hu-HU"/>
              </w:rPr>
              <w:t>2,5</w:t>
            </w:r>
            <w:r w:rsidR="004C106B" w:rsidRPr="00F7245E">
              <w:rPr>
                <w:w w:val="105"/>
                <w:lang w:val="hu-HU"/>
              </w:rPr>
              <w:t> mg</w:t>
            </w:r>
          </w:p>
        </w:tc>
        <w:tc>
          <w:tcPr>
            <w:tcW w:w="2447" w:type="dxa"/>
            <w:vAlign w:val="center"/>
          </w:tcPr>
          <w:p w14:paraId="041A93E0" w14:textId="1BD0A2A7" w:rsidR="00B62AE4" w:rsidRPr="00F7245E" w:rsidRDefault="00B62AE4" w:rsidP="00A21724">
            <w:pPr>
              <w:pStyle w:val="Nincstrkz"/>
              <w:rPr>
                <w:rFonts w:cs="Times New Roman"/>
                <w:lang w:val="hu-HU"/>
              </w:rPr>
            </w:pPr>
            <w:r w:rsidRPr="00F7245E">
              <w:rPr>
                <w:rFonts w:cs="Times New Roman"/>
                <w:w w:val="105"/>
                <w:lang w:val="hu-HU"/>
              </w:rPr>
              <w:t>5</w:t>
            </w:r>
            <w:r w:rsidR="004C106B" w:rsidRPr="00F7245E">
              <w:rPr>
                <w:rFonts w:cs="Times New Roman"/>
                <w:w w:val="105"/>
                <w:lang w:val="hu-HU"/>
              </w:rPr>
              <w:t> mg</w:t>
            </w:r>
          </w:p>
        </w:tc>
      </w:tr>
    </w:tbl>
    <w:p w14:paraId="5B05F80F" w14:textId="77777777" w:rsidR="00B62AE4" w:rsidRPr="00F7245E" w:rsidRDefault="00B62AE4" w:rsidP="00A21724">
      <w:pPr>
        <w:pStyle w:val="Nincstrkz"/>
        <w:rPr>
          <w:rFonts w:cs="Times New Roman"/>
          <w:bCs/>
        </w:rPr>
      </w:pPr>
    </w:p>
    <w:p w14:paraId="6CA1B594" w14:textId="15835652" w:rsidR="00DC2731" w:rsidRPr="00F7245E" w:rsidRDefault="00DC2731" w:rsidP="00A21724">
      <w:pPr>
        <w:pStyle w:val="Nincstrkz"/>
        <w:rPr>
          <w:rFonts w:cs="Times New Roman"/>
        </w:rPr>
      </w:pPr>
      <w:r w:rsidRPr="00F7245E">
        <w:rPr>
          <w:rFonts w:cs="Times New Roman"/>
        </w:rPr>
        <w:t>A kezelés teljes időtartamát egyénileg kell meghatározni a kezelés előnyének és a vérzés kockázatának gondos mérlegelését követően (lásd 4.4 pont).</w:t>
      </w:r>
    </w:p>
    <w:p w14:paraId="17679AA8" w14:textId="77777777" w:rsidR="00B62AE4" w:rsidRPr="00F7245E" w:rsidRDefault="00B62AE4" w:rsidP="00A21724">
      <w:pPr>
        <w:pStyle w:val="Nincstrkz"/>
        <w:rPr>
          <w:rFonts w:cs="Times New Roman"/>
        </w:rPr>
      </w:pPr>
    </w:p>
    <w:p w14:paraId="1B230B3A" w14:textId="77777777" w:rsidR="00D72679" w:rsidRPr="00F7245E" w:rsidRDefault="00D72679" w:rsidP="00D72679">
      <w:pPr>
        <w:pStyle w:val="Nincstrkz"/>
        <w:rPr>
          <w:i/>
          <w:iCs/>
          <w:u w:val="single"/>
        </w:rPr>
      </w:pPr>
      <w:r w:rsidRPr="00F7245E">
        <w:rPr>
          <w:i/>
          <w:iCs/>
          <w:u w:val="single"/>
        </w:rPr>
        <w:t>A VTE kezelése és a VTE kiújulásának megelőzése gyermekeknél és serdülőknél</w:t>
      </w:r>
    </w:p>
    <w:p w14:paraId="2A72675E" w14:textId="77777777" w:rsidR="00D72679" w:rsidRPr="00F7245E" w:rsidRDefault="00D72679" w:rsidP="00D72679">
      <w:pPr>
        <w:pStyle w:val="Nincstrkz"/>
      </w:pPr>
      <w:r w:rsidRPr="00F7245E">
        <w:t>Az apixabán-kezelést gyermekeknél és serdülőknél (28 napos kortól betöltött 18 éves életkorig) legalább 5 napos kezdeti parenterális véralvadásgátló-kezelés után szabad megkezdeni (lásd 5.1 pont).</w:t>
      </w:r>
    </w:p>
    <w:p w14:paraId="01F45CF1" w14:textId="77777777" w:rsidR="00D72679" w:rsidRPr="00F7245E" w:rsidRDefault="00D72679" w:rsidP="00D72679">
      <w:pPr>
        <w:pStyle w:val="Nincstrkz"/>
      </w:pPr>
    </w:p>
    <w:p w14:paraId="169E2A39" w14:textId="77777777" w:rsidR="00D72679" w:rsidRPr="00F7245E" w:rsidRDefault="00D72679" w:rsidP="00D72679">
      <w:pPr>
        <w:pStyle w:val="Nincstrkz"/>
      </w:pPr>
      <w:r w:rsidRPr="00F7245E">
        <w:t>Az apixabán-kezelés adagolását gyermekeknél és serdülőknél a testtömeg alapján kell meghatározni.</w:t>
      </w:r>
    </w:p>
    <w:p w14:paraId="4CC687AD" w14:textId="63A12DD7" w:rsidR="00D72679" w:rsidRPr="00F7245E" w:rsidRDefault="00D72679" w:rsidP="00D72679">
      <w:pPr>
        <w:pStyle w:val="Nincstrkz"/>
      </w:pPr>
      <w:r w:rsidRPr="00F7245E">
        <w:t xml:space="preserve">Az apixabán javasolt </w:t>
      </w:r>
      <w:r w:rsidR="004E05D7" w:rsidRPr="00F7245E">
        <w:t>dózisát</w:t>
      </w:r>
      <w:r w:rsidRPr="00F7245E">
        <w:t xml:space="preserve"> ≥ 35 kg-os gyermekekre és serdülőkre vonatkozóan a 2. táblázat mutatja be.</w:t>
      </w:r>
    </w:p>
    <w:p w14:paraId="6206ED0D" w14:textId="77777777" w:rsidR="00D72679" w:rsidRPr="00F7245E" w:rsidRDefault="00D72679" w:rsidP="00A21724">
      <w:pPr>
        <w:pStyle w:val="Nincstrkz"/>
        <w:rPr>
          <w:rFonts w:cs="Times New Roman"/>
        </w:rPr>
      </w:pPr>
    </w:p>
    <w:p w14:paraId="3B47A992" w14:textId="2028F023" w:rsidR="00D72679" w:rsidRPr="00F7245E" w:rsidRDefault="00D72679" w:rsidP="00D72679">
      <w:pPr>
        <w:pStyle w:val="Nincstrkz"/>
        <w:rPr>
          <w:b/>
          <w:bCs/>
          <w:lang w:bidi="hu-HU"/>
        </w:rPr>
      </w:pPr>
      <w:r w:rsidRPr="00F7245E">
        <w:rPr>
          <w:b/>
          <w:bCs/>
        </w:rPr>
        <w:lastRenderedPageBreak/>
        <w:t xml:space="preserve">2. táblázat: Ajánlott adagolás VTE kezelésére és VTE kiújulásának megelőzésére ≥ 35 kg-os gyermekeknél és serdülőknél </w:t>
      </w:r>
      <w:r w:rsidRPr="00F7245E">
        <w:rPr>
          <w:b/>
          <w:bCs/>
          <w:lang w:bidi="hu-HU"/>
        </w:rPr>
        <w:t>(a kezdeti parenterális antikoaguláció után)</w:t>
      </w:r>
    </w:p>
    <w:tbl>
      <w:tblPr>
        <w:tblW w:w="0" w:type="auto"/>
        <w:tblBorders>
          <w:top w:val="single" w:sz="4" w:space="0" w:color="auto"/>
          <w:left w:val="single" w:sz="4" w:space="0" w:color="auto"/>
          <w:bottom w:val="single" w:sz="4" w:space="0" w:color="auto"/>
          <w:right w:val="single" w:sz="4" w:space="0" w:color="auto"/>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1721"/>
        <w:gridCol w:w="1948"/>
        <w:gridCol w:w="1757"/>
        <w:gridCol w:w="1875"/>
        <w:gridCol w:w="1754"/>
      </w:tblGrid>
      <w:tr w:rsidR="00D72679" w:rsidRPr="00F7245E" w14:paraId="5782E225" w14:textId="77777777" w:rsidTr="00D72679">
        <w:trPr>
          <w:trHeight w:hRule="exact" w:val="376"/>
        </w:trPr>
        <w:tc>
          <w:tcPr>
            <w:tcW w:w="1721" w:type="dxa"/>
            <w:tcBorders>
              <w:top w:val="single" w:sz="4" w:space="0" w:color="auto"/>
              <w:left w:val="single" w:sz="4" w:space="0" w:color="auto"/>
              <w:bottom w:val="single" w:sz="8" w:space="0" w:color="000000"/>
              <w:right w:val="single" w:sz="8" w:space="0" w:color="000000"/>
            </w:tcBorders>
          </w:tcPr>
          <w:p w14:paraId="474113BD" w14:textId="77777777" w:rsidR="00D72679" w:rsidRPr="00F7245E" w:rsidRDefault="00D72679" w:rsidP="00D72679">
            <w:pPr>
              <w:pStyle w:val="Nincstrkz"/>
            </w:pPr>
          </w:p>
        </w:tc>
        <w:tc>
          <w:tcPr>
            <w:tcW w:w="3705" w:type="dxa"/>
            <w:gridSpan w:val="2"/>
            <w:tcBorders>
              <w:top w:val="single" w:sz="4" w:space="0" w:color="auto"/>
              <w:left w:val="single" w:sz="8" w:space="0" w:color="000000"/>
              <w:bottom w:val="single" w:sz="8" w:space="0" w:color="000000"/>
              <w:right w:val="single" w:sz="8" w:space="0" w:color="000000"/>
            </w:tcBorders>
            <w:hideMark/>
          </w:tcPr>
          <w:p w14:paraId="269F215D" w14:textId="77777777" w:rsidR="00D72679" w:rsidRPr="00F7245E" w:rsidRDefault="00D72679" w:rsidP="00D72679">
            <w:pPr>
              <w:pStyle w:val="Nincstrkz"/>
            </w:pPr>
            <w:r w:rsidRPr="00F7245E">
              <w:t>1–7. nap</w:t>
            </w:r>
          </w:p>
        </w:tc>
        <w:tc>
          <w:tcPr>
            <w:tcW w:w="3629" w:type="dxa"/>
            <w:gridSpan w:val="2"/>
            <w:tcBorders>
              <w:top w:val="single" w:sz="4" w:space="0" w:color="auto"/>
              <w:left w:val="single" w:sz="8" w:space="0" w:color="000000"/>
              <w:bottom w:val="single" w:sz="8" w:space="0" w:color="000000"/>
              <w:right w:val="single" w:sz="4" w:space="0" w:color="auto"/>
            </w:tcBorders>
            <w:hideMark/>
          </w:tcPr>
          <w:p w14:paraId="41CFAF3F" w14:textId="77777777" w:rsidR="00D72679" w:rsidRPr="00F7245E" w:rsidRDefault="00D72679" w:rsidP="00D72679">
            <w:pPr>
              <w:pStyle w:val="Nincstrkz"/>
            </w:pPr>
            <w:r w:rsidRPr="00F7245E">
              <w:t>8. napon és azután</w:t>
            </w:r>
          </w:p>
        </w:tc>
      </w:tr>
      <w:tr w:rsidR="00D72679" w:rsidRPr="00F7245E" w14:paraId="532C1886" w14:textId="77777777" w:rsidTr="00F7245E">
        <w:trPr>
          <w:trHeight w:hRule="exact" w:val="550"/>
        </w:trPr>
        <w:tc>
          <w:tcPr>
            <w:tcW w:w="1721" w:type="dxa"/>
            <w:tcBorders>
              <w:top w:val="single" w:sz="8" w:space="0" w:color="000000"/>
              <w:left w:val="single" w:sz="4" w:space="0" w:color="auto"/>
              <w:bottom w:val="single" w:sz="8" w:space="0" w:color="000000"/>
              <w:right w:val="single" w:sz="8" w:space="0" w:color="000000"/>
            </w:tcBorders>
            <w:hideMark/>
          </w:tcPr>
          <w:p w14:paraId="532A929C" w14:textId="77777777" w:rsidR="00D72679" w:rsidRPr="00F7245E" w:rsidRDefault="00D72679" w:rsidP="00D72679">
            <w:pPr>
              <w:pStyle w:val="Nincstrkz"/>
            </w:pPr>
            <w:r w:rsidRPr="00F7245E">
              <w:t>Testtömeg (kg)</w:t>
            </w:r>
          </w:p>
        </w:tc>
        <w:tc>
          <w:tcPr>
            <w:tcW w:w="1948" w:type="dxa"/>
            <w:tcBorders>
              <w:top w:val="single" w:sz="8" w:space="0" w:color="000000"/>
              <w:left w:val="single" w:sz="8" w:space="0" w:color="000000"/>
              <w:bottom w:val="single" w:sz="8" w:space="0" w:color="000000"/>
              <w:right w:val="single" w:sz="8" w:space="0" w:color="000000"/>
            </w:tcBorders>
            <w:hideMark/>
          </w:tcPr>
          <w:p w14:paraId="23475D77" w14:textId="77777777" w:rsidR="00D72679" w:rsidRPr="00F7245E" w:rsidRDefault="00D72679" w:rsidP="00D72679">
            <w:pPr>
              <w:pStyle w:val="Nincstrkz"/>
            </w:pPr>
            <w:r w:rsidRPr="00F7245E">
              <w:t>Adagolási rend</w:t>
            </w:r>
          </w:p>
        </w:tc>
        <w:tc>
          <w:tcPr>
            <w:tcW w:w="1757" w:type="dxa"/>
            <w:tcBorders>
              <w:top w:val="single" w:sz="8" w:space="0" w:color="000000"/>
              <w:left w:val="single" w:sz="8" w:space="0" w:color="000000"/>
              <w:bottom w:val="single" w:sz="8" w:space="0" w:color="000000"/>
              <w:right w:val="single" w:sz="8" w:space="0" w:color="000000"/>
            </w:tcBorders>
            <w:hideMark/>
          </w:tcPr>
          <w:p w14:paraId="03D95C33" w14:textId="77777777" w:rsidR="00D72679" w:rsidRPr="00F7245E" w:rsidRDefault="00D72679" w:rsidP="00D72679">
            <w:pPr>
              <w:pStyle w:val="Nincstrkz"/>
            </w:pPr>
            <w:r w:rsidRPr="00F7245E">
              <w:t>Maximális napi dózis</w:t>
            </w:r>
          </w:p>
        </w:tc>
        <w:tc>
          <w:tcPr>
            <w:tcW w:w="1875" w:type="dxa"/>
            <w:tcBorders>
              <w:top w:val="single" w:sz="8" w:space="0" w:color="000000"/>
              <w:left w:val="single" w:sz="8" w:space="0" w:color="000000"/>
              <w:bottom w:val="single" w:sz="8" w:space="0" w:color="000000"/>
              <w:right w:val="single" w:sz="8" w:space="0" w:color="000000"/>
            </w:tcBorders>
            <w:hideMark/>
          </w:tcPr>
          <w:p w14:paraId="44B2CC52" w14:textId="77777777" w:rsidR="00D72679" w:rsidRPr="00F7245E" w:rsidRDefault="00D72679" w:rsidP="00D72679">
            <w:pPr>
              <w:pStyle w:val="Nincstrkz"/>
            </w:pPr>
            <w:r w:rsidRPr="00F7245E">
              <w:t>Adagolási rend</w:t>
            </w:r>
          </w:p>
        </w:tc>
        <w:tc>
          <w:tcPr>
            <w:tcW w:w="1754" w:type="dxa"/>
            <w:tcBorders>
              <w:top w:val="single" w:sz="8" w:space="0" w:color="000000"/>
              <w:left w:val="single" w:sz="8" w:space="0" w:color="000000"/>
              <w:bottom w:val="single" w:sz="8" w:space="0" w:color="000000"/>
              <w:right w:val="single" w:sz="4" w:space="0" w:color="auto"/>
            </w:tcBorders>
            <w:hideMark/>
          </w:tcPr>
          <w:p w14:paraId="1A553DAF" w14:textId="77777777" w:rsidR="00D72679" w:rsidRPr="00F7245E" w:rsidRDefault="00D72679" w:rsidP="00D72679">
            <w:pPr>
              <w:pStyle w:val="Nincstrkz"/>
            </w:pPr>
            <w:r w:rsidRPr="00F7245E">
              <w:t>Maximális napi dózis</w:t>
            </w:r>
          </w:p>
        </w:tc>
      </w:tr>
      <w:tr w:rsidR="00D72679" w:rsidRPr="00F7245E" w14:paraId="4B79849D" w14:textId="77777777" w:rsidTr="00F7245E">
        <w:trPr>
          <w:trHeight w:hRule="exact" w:val="337"/>
        </w:trPr>
        <w:tc>
          <w:tcPr>
            <w:tcW w:w="1721" w:type="dxa"/>
            <w:tcBorders>
              <w:top w:val="single" w:sz="8" w:space="0" w:color="000000"/>
              <w:left w:val="single" w:sz="4" w:space="0" w:color="auto"/>
              <w:bottom w:val="single" w:sz="4" w:space="0" w:color="auto"/>
              <w:right w:val="single" w:sz="8" w:space="0" w:color="000000"/>
            </w:tcBorders>
            <w:hideMark/>
          </w:tcPr>
          <w:p w14:paraId="5DB59E20" w14:textId="77777777" w:rsidR="00D72679" w:rsidRPr="00F7245E" w:rsidRDefault="00D72679" w:rsidP="00D72679">
            <w:pPr>
              <w:pStyle w:val="Nincstrkz"/>
            </w:pPr>
            <w:r w:rsidRPr="00F7245E">
              <w:t>≥ 35</w:t>
            </w:r>
          </w:p>
        </w:tc>
        <w:tc>
          <w:tcPr>
            <w:tcW w:w="1948" w:type="dxa"/>
            <w:tcBorders>
              <w:top w:val="single" w:sz="8" w:space="0" w:color="000000"/>
              <w:left w:val="single" w:sz="8" w:space="0" w:color="000000"/>
              <w:bottom w:val="single" w:sz="4" w:space="0" w:color="auto"/>
              <w:right w:val="single" w:sz="8" w:space="0" w:color="000000"/>
            </w:tcBorders>
            <w:hideMark/>
          </w:tcPr>
          <w:p w14:paraId="1B801C7A" w14:textId="77777777" w:rsidR="00D72679" w:rsidRPr="00F7245E" w:rsidRDefault="00D72679" w:rsidP="00D72679">
            <w:pPr>
              <w:pStyle w:val="Nincstrkz"/>
            </w:pPr>
            <w:r w:rsidRPr="00F7245E">
              <w:t>naponta 2 × 10 mg</w:t>
            </w:r>
          </w:p>
        </w:tc>
        <w:tc>
          <w:tcPr>
            <w:tcW w:w="1757" w:type="dxa"/>
            <w:tcBorders>
              <w:top w:val="single" w:sz="8" w:space="0" w:color="000000"/>
              <w:left w:val="single" w:sz="8" w:space="0" w:color="000000"/>
              <w:bottom w:val="single" w:sz="4" w:space="0" w:color="auto"/>
              <w:right w:val="single" w:sz="8" w:space="0" w:color="000000"/>
            </w:tcBorders>
            <w:hideMark/>
          </w:tcPr>
          <w:p w14:paraId="1CD1288C" w14:textId="77777777" w:rsidR="00D72679" w:rsidRPr="00F7245E" w:rsidRDefault="00D72679" w:rsidP="00D72679">
            <w:pPr>
              <w:pStyle w:val="Nincstrkz"/>
            </w:pPr>
            <w:r w:rsidRPr="00F7245E">
              <w:t>20 mg</w:t>
            </w:r>
          </w:p>
        </w:tc>
        <w:tc>
          <w:tcPr>
            <w:tcW w:w="1875" w:type="dxa"/>
            <w:tcBorders>
              <w:top w:val="single" w:sz="8" w:space="0" w:color="000000"/>
              <w:left w:val="single" w:sz="8" w:space="0" w:color="000000"/>
              <w:bottom w:val="single" w:sz="4" w:space="0" w:color="auto"/>
              <w:right w:val="single" w:sz="8" w:space="0" w:color="000000"/>
            </w:tcBorders>
            <w:hideMark/>
          </w:tcPr>
          <w:p w14:paraId="1F0D4D7E" w14:textId="77777777" w:rsidR="00D72679" w:rsidRPr="00F7245E" w:rsidRDefault="00D72679" w:rsidP="00D72679">
            <w:pPr>
              <w:pStyle w:val="Nincstrkz"/>
            </w:pPr>
            <w:r w:rsidRPr="00F7245E">
              <w:t>naponta 2 × 5 mg</w:t>
            </w:r>
          </w:p>
        </w:tc>
        <w:tc>
          <w:tcPr>
            <w:tcW w:w="1754" w:type="dxa"/>
            <w:tcBorders>
              <w:top w:val="single" w:sz="8" w:space="0" w:color="000000"/>
              <w:left w:val="single" w:sz="8" w:space="0" w:color="000000"/>
              <w:bottom w:val="single" w:sz="4" w:space="0" w:color="auto"/>
              <w:right w:val="single" w:sz="4" w:space="0" w:color="auto"/>
            </w:tcBorders>
            <w:hideMark/>
          </w:tcPr>
          <w:p w14:paraId="5C628AF3" w14:textId="77777777" w:rsidR="00D72679" w:rsidRPr="00F7245E" w:rsidRDefault="00D72679" w:rsidP="00D72679">
            <w:pPr>
              <w:pStyle w:val="Nincstrkz"/>
            </w:pPr>
            <w:r w:rsidRPr="00F7245E">
              <w:t>10 mg</w:t>
            </w:r>
          </w:p>
        </w:tc>
      </w:tr>
    </w:tbl>
    <w:p w14:paraId="0FE149F0" w14:textId="77777777" w:rsidR="00D72679" w:rsidRPr="00F7245E" w:rsidRDefault="00D72679" w:rsidP="00D72679">
      <w:pPr>
        <w:pStyle w:val="Nincstrkz"/>
      </w:pPr>
    </w:p>
    <w:p w14:paraId="50DE39ED" w14:textId="77777777" w:rsidR="00D72679" w:rsidRPr="00F7245E" w:rsidRDefault="00D72679" w:rsidP="00D72679">
      <w:pPr>
        <w:pStyle w:val="Nincstrkz"/>
      </w:pPr>
      <w:r w:rsidRPr="00F7245E">
        <w:t>&lt; 35 kg-os gyermekek és serdülők esetén a testtömegnek megfelelő egyéb forgalomban lévő készítményt kell alkalmazni.</w:t>
      </w:r>
    </w:p>
    <w:p w14:paraId="78612CB5" w14:textId="77777777" w:rsidR="00D72679" w:rsidRPr="00F7245E" w:rsidRDefault="00D72679" w:rsidP="00D72679">
      <w:pPr>
        <w:pStyle w:val="Nincstrkz"/>
      </w:pPr>
    </w:p>
    <w:p w14:paraId="42FD265F" w14:textId="77777777" w:rsidR="00D72679" w:rsidRPr="00F7245E" w:rsidRDefault="00D72679" w:rsidP="00D72679">
      <w:pPr>
        <w:pStyle w:val="Nincstrkz"/>
      </w:pPr>
      <w:r w:rsidRPr="00F7245E">
        <w:t>A VTE kezelésének gyermekekre és serdülőkre vonatkozó irányelvei alapján a kezelés teljes időtartamát a kezelés előnyének és a vérzés kockázatának gondos mérlegelését követően, egyénileg kell meghatározni (lásd 4.4 pont).</w:t>
      </w:r>
    </w:p>
    <w:p w14:paraId="04B5E5DA" w14:textId="77777777" w:rsidR="00D72679" w:rsidRPr="00F7245E" w:rsidRDefault="00D72679" w:rsidP="00D72679">
      <w:pPr>
        <w:pStyle w:val="Nincstrkz"/>
      </w:pPr>
    </w:p>
    <w:p w14:paraId="513F9FC8" w14:textId="77777777" w:rsidR="00D72679" w:rsidRPr="00F7245E" w:rsidRDefault="00D72679" w:rsidP="00D72679">
      <w:pPr>
        <w:pStyle w:val="Nincstrkz"/>
        <w:rPr>
          <w:i/>
          <w:u w:val="single"/>
        </w:rPr>
      </w:pPr>
      <w:r w:rsidRPr="00F7245E">
        <w:rPr>
          <w:i/>
          <w:u w:val="single"/>
        </w:rPr>
        <w:t xml:space="preserve">Kihagyott adag </w:t>
      </w:r>
      <w:bookmarkStart w:id="2" w:name="_Hlk181171874"/>
      <w:r w:rsidRPr="00F7245E">
        <w:rPr>
          <w:i/>
          <w:u w:val="single"/>
        </w:rPr>
        <w:t>felnőtteknél valamint gyermekeknél és serdülőknél</w:t>
      </w:r>
      <w:bookmarkEnd w:id="2"/>
    </w:p>
    <w:p w14:paraId="10E18F5B" w14:textId="77777777" w:rsidR="00D72679" w:rsidRPr="00F7245E" w:rsidRDefault="00D72679" w:rsidP="00D72679">
      <w:pPr>
        <w:pStyle w:val="Nincstrkz"/>
      </w:pPr>
      <w:bookmarkStart w:id="3" w:name="_Hlk181171915"/>
      <w:r w:rsidRPr="00F7245E">
        <w:t>A kihagyott reggeli</w:t>
      </w:r>
      <w:bookmarkEnd w:id="3"/>
      <w:r w:rsidRPr="00F7245E">
        <w:t xml:space="preserve"> adagot azonnal be kell vennie, </w:t>
      </w:r>
      <w:bookmarkStart w:id="4" w:name="_Hlk181171961"/>
      <w:r w:rsidRPr="00F7245E">
        <w:t xml:space="preserve">amint észreveszik, és bevehető az esti adaggal együtt is. A kihagyott esti adagot csak ugyanazon az estén szabad bevenni, a beteg nem vehet be két adagot a következő reggel. A betegnek a következő napon a szokásos, </w:t>
      </w:r>
      <w:bookmarkEnd w:id="4"/>
      <w:r w:rsidRPr="00F7245E">
        <w:t>napi kétszeri adagolással kell folytatnia a kezelést.</w:t>
      </w:r>
    </w:p>
    <w:p w14:paraId="226A4EDD" w14:textId="77777777" w:rsidR="00B62AE4" w:rsidRPr="00F7245E" w:rsidRDefault="00B62AE4" w:rsidP="00A21724">
      <w:pPr>
        <w:pStyle w:val="Nincstrkz"/>
        <w:rPr>
          <w:rFonts w:cs="Times New Roman"/>
        </w:rPr>
      </w:pPr>
    </w:p>
    <w:p w14:paraId="63604B0D" w14:textId="77777777" w:rsidR="00B62AE4" w:rsidRPr="00F7245E" w:rsidRDefault="00B62AE4" w:rsidP="00A21724">
      <w:pPr>
        <w:pStyle w:val="Nincstrkz"/>
        <w:rPr>
          <w:rFonts w:cs="Times New Roman"/>
          <w:i/>
          <w:iCs/>
          <w:u w:val="single"/>
        </w:rPr>
      </w:pPr>
      <w:r w:rsidRPr="00F7245E">
        <w:rPr>
          <w:rFonts w:cs="Times New Roman"/>
          <w:i/>
          <w:iCs/>
          <w:u w:val="single"/>
        </w:rPr>
        <w:t xml:space="preserve">Átállítás </w:t>
      </w:r>
    </w:p>
    <w:p w14:paraId="002C189A" w14:textId="147F2A08" w:rsidR="00B62AE4" w:rsidRPr="00F7245E" w:rsidRDefault="00B62AE4" w:rsidP="00A21724">
      <w:pPr>
        <w:pStyle w:val="Nincstrkz"/>
        <w:rPr>
          <w:rFonts w:cs="Times New Roman"/>
        </w:rPr>
      </w:pPr>
      <w:r w:rsidRPr="00F7245E">
        <w:rPr>
          <w:rFonts w:cs="Times New Roman"/>
        </w:rPr>
        <w:t xml:space="preserve">A kezelés parenterális antikoagulánsokról </w:t>
      </w:r>
      <w:r w:rsidR="00F665F7" w:rsidRPr="00F7245E">
        <w:rPr>
          <w:rFonts w:cs="Times New Roman"/>
          <w:lang w:val="en-US"/>
        </w:rPr>
        <w:t>Voziberin</w:t>
      </w:r>
      <w:r w:rsidRPr="00F7245E">
        <w:rPr>
          <w:rFonts w:cs="Times New Roman"/>
        </w:rPr>
        <w:t>r</w:t>
      </w:r>
      <w:r w:rsidR="00F665F7" w:rsidRPr="00F7245E">
        <w:rPr>
          <w:rFonts w:cs="Times New Roman"/>
        </w:rPr>
        <w:t>e</w:t>
      </w:r>
      <w:r w:rsidRPr="00F7245E">
        <w:rPr>
          <w:rFonts w:cs="Times New Roman"/>
        </w:rPr>
        <w:t xml:space="preserve"> (és fordítva) </w:t>
      </w:r>
      <w:r w:rsidR="00965147" w:rsidRPr="00F7245E">
        <w:rPr>
          <w:rFonts w:cs="Times New Roman"/>
        </w:rPr>
        <w:t xml:space="preserve">történő átállítását </w:t>
      </w:r>
      <w:r w:rsidRPr="00F7245E">
        <w:rPr>
          <w:rFonts w:cs="Times New Roman"/>
        </w:rPr>
        <w:t xml:space="preserve">a következő előírt adag </w:t>
      </w:r>
      <w:r w:rsidR="00965147" w:rsidRPr="00F7245E">
        <w:rPr>
          <w:rFonts w:cs="Times New Roman"/>
        </w:rPr>
        <w:t xml:space="preserve">beadásának </w:t>
      </w:r>
      <w:r w:rsidRPr="00F7245E">
        <w:rPr>
          <w:rFonts w:cs="Times New Roman"/>
        </w:rPr>
        <w:t xml:space="preserve">időpontjában </w:t>
      </w:r>
      <w:r w:rsidR="00965147" w:rsidRPr="00F7245E">
        <w:rPr>
          <w:rFonts w:cs="Times New Roman"/>
        </w:rPr>
        <w:t xml:space="preserve">lehet elvégezni </w:t>
      </w:r>
      <w:r w:rsidRPr="00F7245E">
        <w:rPr>
          <w:rFonts w:cs="Times New Roman"/>
        </w:rPr>
        <w:t>(lásd 4.5</w:t>
      </w:r>
      <w:r w:rsidR="004C106B" w:rsidRPr="00F7245E">
        <w:rPr>
          <w:rFonts w:cs="Times New Roman"/>
        </w:rPr>
        <w:t> pont</w:t>
      </w:r>
      <w:r w:rsidRPr="00F7245E">
        <w:rPr>
          <w:rFonts w:cs="Times New Roman"/>
        </w:rPr>
        <w:t>). Ezeket a gyógyszereket nem szabad egyidejűleg alkalmazni.</w:t>
      </w:r>
    </w:p>
    <w:p w14:paraId="36B88E7C" w14:textId="77777777" w:rsidR="00B62AE4" w:rsidRPr="00F7245E" w:rsidRDefault="00B62AE4" w:rsidP="00A21724">
      <w:pPr>
        <w:pStyle w:val="Nincstrkz"/>
        <w:rPr>
          <w:rFonts w:cs="Times New Roman"/>
        </w:rPr>
      </w:pPr>
    </w:p>
    <w:p w14:paraId="613EE9E9" w14:textId="6D7C1ECA" w:rsidR="00B62AE4" w:rsidRPr="00F7245E" w:rsidRDefault="00B62AE4" w:rsidP="00A21724">
      <w:pPr>
        <w:pStyle w:val="Nincstrkz"/>
        <w:rPr>
          <w:rFonts w:cs="Times New Roman"/>
          <w:i/>
          <w:iCs/>
        </w:rPr>
      </w:pPr>
      <w:r w:rsidRPr="00F7245E">
        <w:rPr>
          <w:rFonts w:cs="Times New Roman"/>
          <w:i/>
          <w:iCs/>
        </w:rPr>
        <w:t>Átállítás K</w:t>
      </w:r>
      <w:r w:rsidR="00965147" w:rsidRPr="00F7245E">
        <w:rPr>
          <w:rFonts w:cs="Times New Roman"/>
          <w:i/>
          <w:iCs/>
        </w:rPr>
        <w:noBreakHyphen/>
      </w:r>
      <w:r w:rsidRPr="00F7245E">
        <w:rPr>
          <w:rFonts w:cs="Times New Roman"/>
          <w:i/>
          <w:iCs/>
        </w:rPr>
        <w:t>vitamin</w:t>
      </w:r>
      <w:r w:rsidR="00E70E17" w:rsidRPr="00F7245E">
        <w:rPr>
          <w:rFonts w:cs="Times New Roman"/>
          <w:i/>
          <w:iCs/>
        </w:rPr>
        <w:noBreakHyphen/>
      </w:r>
      <w:r w:rsidRPr="00F7245E">
        <w:rPr>
          <w:rFonts w:cs="Times New Roman"/>
          <w:i/>
          <w:iCs/>
        </w:rPr>
        <w:t>antagonista</w:t>
      </w:r>
      <w:r w:rsidR="00E70E17" w:rsidRPr="00F7245E">
        <w:rPr>
          <w:rFonts w:cs="Times New Roman"/>
          <w:i/>
          <w:iCs/>
        </w:rPr>
        <w:noBreakHyphen/>
      </w:r>
      <w:r w:rsidRPr="00F7245E">
        <w:rPr>
          <w:rFonts w:cs="Times New Roman"/>
          <w:i/>
          <w:iCs/>
        </w:rPr>
        <w:t xml:space="preserve">kezelésről </w:t>
      </w:r>
      <w:r w:rsidR="00F665F7" w:rsidRPr="00F7245E">
        <w:rPr>
          <w:rFonts w:cs="Times New Roman"/>
          <w:i/>
          <w:iCs/>
          <w:lang w:val="en-US"/>
        </w:rPr>
        <w:t>Voziberin</w:t>
      </w:r>
      <w:r w:rsidRPr="00F7245E">
        <w:rPr>
          <w:rFonts w:cs="Times New Roman"/>
          <w:i/>
          <w:iCs/>
        </w:rPr>
        <w:t>r</w:t>
      </w:r>
      <w:r w:rsidR="00F665F7" w:rsidRPr="00F7245E">
        <w:rPr>
          <w:rFonts w:cs="Times New Roman"/>
          <w:i/>
          <w:iCs/>
        </w:rPr>
        <w:t>e</w:t>
      </w:r>
      <w:r w:rsidRPr="00F7245E">
        <w:rPr>
          <w:rFonts w:cs="Times New Roman"/>
          <w:i/>
          <w:iCs/>
        </w:rPr>
        <w:t xml:space="preserve"> </w:t>
      </w:r>
    </w:p>
    <w:p w14:paraId="45A08715" w14:textId="538E34C8" w:rsidR="00B62AE4" w:rsidRPr="00F7245E" w:rsidRDefault="00B62AE4" w:rsidP="00A21724">
      <w:pPr>
        <w:pStyle w:val="Nincstrkz"/>
        <w:rPr>
          <w:rFonts w:cs="Times New Roman"/>
        </w:rPr>
      </w:pPr>
      <w:r w:rsidRPr="00F7245E">
        <w:rPr>
          <w:rFonts w:cs="Times New Roman"/>
        </w:rPr>
        <w:t>A</w:t>
      </w:r>
      <w:r w:rsidR="004E05D7" w:rsidRPr="00F7245E">
        <w:rPr>
          <w:rFonts w:cs="Times New Roman"/>
        </w:rPr>
        <w:t>mikor a</w:t>
      </w:r>
      <w:r w:rsidR="00E70E17" w:rsidRPr="00F7245E">
        <w:rPr>
          <w:rFonts w:cs="Times New Roman"/>
        </w:rPr>
        <w:t xml:space="preserve"> </w:t>
      </w:r>
      <w:r w:rsidR="00A1416D" w:rsidRPr="00F7245E">
        <w:rPr>
          <w:rFonts w:cs="Times New Roman"/>
        </w:rPr>
        <w:t>beteg</w:t>
      </w:r>
      <w:r w:rsidRPr="00F7245E">
        <w:rPr>
          <w:rFonts w:cs="Times New Roman"/>
        </w:rPr>
        <w:t>ek</w:t>
      </w:r>
      <w:r w:rsidR="004E05D7" w:rsidRPr="00F7245E">
        <w:rPr>
          <w:rFonts w:cs="Times New Roman"/>
        </w:rPr>
        <w:t>et</w:t>
      </w:r>
      <w:r w:rsidRPr="00F7245E">
        <w:rPr>
          <w:rFonts w:cs="Times New Roman"/>
        </w:rPr>
        <w:t xml:space="preserve"> K</w:t>
      </w:r>
      <w:r w:rsidR="00965147" w:rsidRPr="00F7245E">
        <w:rPr>
          <w:rFonts w:cs="Times New Roman"/>
        </w:rPr>
        <w:noBreakHyphen/>
      </w:r>
      <w:r w:rsidRPr="00F7245E">
        <w:rPr>
          <w:rFonts w:cs="Times New Roman"/>
        </w:rPr>
        <w:t>vitamin</w:t>
      </w:r>
      <w:r w:rsidR="004E05D7" w:rsidRPr="00F7245E">
        <w:rPr>
          <w:rFonts w:cs="Times New Roman"/>
        </w:rPr>
        <w:t>-</w:t>
      </w:r>
      <w:r w:rsidRPr="00F7245E">
        <w:rPr>
          <w:rFonts w:cs="Times New Roman"/>
        </w:rPr>
        <w:t>antagonist</w:t>
      </w:r>
      <w:r w:rsidR="00357495" w:rsidRPr="00F7245E">
        <w:rPr>
          <w:rFonts w:cs="Times New Roman"/>
        </w:rPr>
        <w:t>áról</w:t>
      </w:r>
      <w:r w:rsidRPr="00F7245E">
        <w:rPr>
          <w:rFonts w:cs="Times New Roman"/>
        </w:rPr>
        <w:t xml:space="preserve"> </w:t>
      </w:r>
      <w:r w:rsidR="00F665F7" w:rsidRPr="00F7245E">
        <w:rPr>
          <w:rFonts w:cs="Times New Roman"/>
          <w:lang w:val="en-US"/>
        </w:rPr>
        <w:t>Voziberin</w:t>
      </w:r>
      <w:r w:rsidR="00357495" w:rsidRPr="00F7245E">
        <w:rPr>
          <w:rFonts w:cs="Times New Roman"/>
        </w:rPr>
        <w:noBreakHyphen/>
      </w:r>
      <w:r w:rsidRPr="00F7245E">
        <w:rPr>
          <w:rFonts w:cs="Times New Roman"/>
        </w:rPr>
        <w:t>r</w:t>
      </w:r>
      <w:r w:rsidR="00F665F7" w:rsidRPr="00F7245E">
        <w:rPr>
          <w:rFonts w:cs="Times New Roman"/>
        </w:rPr>
        <w:t>e</w:t>
      </w:r>
      <w:r w:rsidR="00262327" w:rsidRPr="00F7245E">
        <w:rPr>
          <w:rFonts w:cs="Times New Roman"/>
        </w:rPr>
        <w:t xml:space="preserve"> á</w:t>
      </w:r>
      <w:r w:rsidR="004E05D7" w:rsidRPr="00F7245E">
        <w:rPr>
          <w:rFonts w:cs="Times New Roman"/>
        </w:rPr>
        <w:t xml:space="preserve">llítják át, </w:t>
      </w:r>
      <w:r w:rsidRPr="00F7245E">
        <w:rPr>
          <w:rFonts w:cs="Times New Roman"/>
        </w:rPr>
        <w:t>abba kell hagyni a warfarin</w:t>
      </w:r>
      <w:r w:rsidR="00357495" w:rsidRPr="00F7245E">
        <w:rPr>
          <w:rFonts w:cs="Times New Roman"/>
        </w:rPr>
        <w:noBreakHyphen/>
        <w:t>,</w:t>
      </w:r>
      <w:r w:rsidRPr="00F7245E">
        <w:rPr>
          <w:rFonts w:cs="Times New Roman"/>
        </w:rPr>
        <w:t xml:space="preserve"> vagy más K</w:t>
      </w:r>
      <w:r w:rsidR="00357495" w:rsidRPr="00F7245E">
        <w:rPr>
          <w:rFonts w:cs="Times New Roman"/>
        </w:rPr>
        <w:noBreakHyphen/>
      </w:r>
      <w:r w:rsidRPr="00F7245E">
        <w:rPr>
          <w:rFonts w:cs="Times New Roman"/>
        </w:rPr>
        <w:t>vitamin</w:t>
      </w:r>
      <w:r w:rsidR="004E05D7" w:rsidRPr="00F7245E">
        <w:rPr>
          <w:rFonts w:cs="Times New Roman"/>
        </w:rPr>
        <w:t>-</w:t>
      </w:r>
      <w:r w:rsidRPr="00F7245E">
        <w:rPr>
          <w:rFonts w:cs="Times New Roman"/>
        </w:rPr>
        <w:t>antagonista</w:t>
      </w:r>
      <w:r w:rsidR="00357495" w:rsidRPr="00F7245E">
        <w:rPr>
          <w:rFonts w:cs="Times New Roman"/>
        </w:rPr>
        <w:noBreakHyphen/>
      </w:r>
      <w:r w:rsidRPr="00F7245E">
        <w:rPr>
          <w:rFonts w:cs="Times New Roman"/>
        </w:rPr>
        <w:t xml:space="preserve">kezelést, és </w:t>
      </w:r>
      <w:r w:rsidR="002A2AFA" w:rsidRPr="00F7245E">
        <w:rPr>
          <w:rFonts w:cs="Times New Roman"/>
        </w:rPr>
        <w:t xml:space="preserve">akkor kell </w:t>
      </w:r>
      <w:r w:rsidR="00357495" w:rsidRPr="00F7245E">
        <w:rPr>
          <w:rFonts w:cs="Times New Roman"/>
        </w:rPr>
        <w:t xml:space="preserve">elkezdeni </w:t>
      </w:r>
      <w:r w:rsidRPr="00F7245E">
        <w:rPr>
          <w:rFonts w:cs="Times New Roman"/>
        </w:rPr>
        <w:t xml:space="preserve">az </w:t>
      </w:r>
      <w:r w:rsidR="00F665F7" w:rsidRPr="00F7245E">
        <w:rPr>
          <w:rFonts w:cs="Times New Roman"/>
          <w:lang w:val="en-US"/>
        </w:rPr>
        <w:t>Voziberin</w:t>
      </w:r>
      <w:r w:rsidR="00357495" w:rsidRPr="00F7245E">
        <w:rPr>
          <w:rFonts w:cs="Times New Roman"/>
        </w:rPr>
        <w:noBreakHyphen/>
      </w:r>
      <w:r w:rsidRPr="00F7245E">
        <w:rPr>
          <w:rFonts w:cs="Times New Roman"/>
        </w:rPr>
        <w:t xml:space="preserve">t, </w:t>
      </w:r>
      <w:r w:rsidR="00262327" w:rsidRPr="00F7245E">
        <w:rPr>
          <w:rFonts w:cs="Times New Roman"/>
        </w:rPr>
        <w:t>ha</w:t>
      </w:r>
      <w:r w:rsidRPr="00F7245E">
        <w:rPr>
          <w:rFonts w:cs="Times New Roman"/>
        </w:rPr>
        <w:t xml:space="preserve"> a nemzetközi normalizált arány (INR) &lt;</w:t>
      </w:r>
      <w:r w:rsidR="00357495" w:rsidRPr="00F7245E">
        <w:rPr>
          <w:rFonts w:cs="Times New Roman"/>
        </w:rPr>
        <w:t> </w:t>
      </w:r>
      <w:r w:rsidRPr="00F7245E">
        <w:rPr>
          <w:rFonts w:cs="Times New Roman"/>
        </w:rPr>
        <w:t>2.</w:t>
      </w:r>
    </w:p>
    <w:p w14:paraId="3A6AF8A3" w14:textId="77777777" w:rsidR="00B62AE4" w:rsidRPr="00F7245E" w:rsidRDefault="00B62AE4" w:rsidP="00A21724">
      <w:pPr>
        <w:pStyle w:val="Nincstrkz"/>
        <w:rPr>
          <w:rFonts w:cs="Times New Roman"/>
        </w:rPr>
      </w:pPr>
    </w:p>
    <w:p w14:paraId="34D14E0C" w14:textId="3AD03285" w:rsidR="00B62AE4" w:rsidRPr="00F7245E" w:rsidRDefault="00B62AE4" w:rsidP="00A21724">
      <w:pPr>
        <w:pStyle w:val="Nincstrkz"/>
        <w:rPr>
          <w:rFonts w:cs="Times New Roman"/>
          <w:i/>
          <w:iCs/>
        </w:rPr>
      </w:pPr>
      <w:r w:rsidRPr="00F7245E">
        <w:rPr>
          <w:rFonts w:cs="Times New Roman"/>
          <w:i/>
          <w:iCs/>
        </w:rPr>
        <w:t xml:space="preserve">Átállítás </w:t>
      </w:r>
      <w:r w:rsidR="00F665F7" w:rsidRPr="00F7245E">
        <w:rPr>
          <w:rFonts w:cs="Times New Roman"/>
          <w:i/>
          <w:iCs/>
        </w:rPr>
        <w:t>Vozibein</w:t>
      </w:r>
      <w:r w:rsidR="007332A2" w:rsidRPr="00F7245E">
        <w:rPr>
          <w:rFonts w:cs="Times New Roman"/>
          <w:i/>
          <w:iCs/>
        </w:rPr>
        <w:t>-</w:t>
      </w:r>
      <w:r w:rsidR="00262327" w:rsidRPr="00F7245E">
        <w:rPr>
          <w:rFonts w:cs="Times New Roman"/>
          <w:i/>
          <w:iCs/>
        </w:rPr>
        <w:t>r</w:t>
      </w:r>
      <w:r w:rsidR="00F665F7" w:rsidRPr="00F7245E">
        <w:rPr>
          <w:rFonts w:cs="Times New Roman"/>
          <w:i/>
          <w:iCs/>
        </w:rPr>
        <w:t>ő</w:t>
      </w:r>
      <w:r w:rsidRPr="00F7245E">
        <w:rPr>
          <w:rFonts w:cs="Times New Roman"/>
          <w:i/>
          <w:iCs/>
        </w:rPr>
        <w:t>l K</w:t>
      </w:r>
      <w:r w:rsidR="00262327" w:rsidRPr="00F7245E">
        <w:rPr>
          <w:rFonts w:cs="Times New Roman"/>
          <w:i/>
          <w:iCs/>
        </w:rPr>
        <w:noBreakHyphen/>
      </w:r>
      <w:r w:rsidRPr="00F7245E">
        <w:rPr>
          <w:rFonts w:cs="Times New Roman"/>
          <w:i/>
          <w:iCs/>
        </w:rPr>
        <w:t>vitamin</w:t>
      </w:r>
      <w:r w:rsidR="00E70E17" w:rsidRPr="00F7245E">
        <w:rPr>
          <w:rFonts w:cs="Times New Roman"/>
          <w:i/>
          <w:iCs/>
        </w:rPr>
        <w:noBreakHyphen/>
      </w:r>
      <w:r w:rsidRPr="00F7245E">
        <w:rPr>
          <w:rFonts w:cs="Times New Roman"/>
          <w:i/>
          <w:iCs/>
        </w:rPr>
        <w:t>antagonista</w:t>
      </w:r>
      <w:r w:rsidR="00E70E17" w:rsidRPr="00F7245E">
        <w:rPr>
          <w:rFonts w:cs="Times New Roman"/>
          <w:i/>
          <w:iCs/>
        </w:rPr>
        <w:noBreakHyphen/>
      </w:r>
      <w:r w:rsidRPr="00F7245E">
        <w:rPr>
          <w:rFonts w:cs="Times New Roman"/>
          <w:i/>
          <w:iCs/>
        </w:rPr>
        <w:t>kezelésre</w:t>
      </w:r>
    </w:p>
    <w:p w14:paraId="5CABEB1D" w14:textId="6A669F76" w:rsidR="00B62AE4" w:rsidRPr="00F7245E" w:rsidRDefault="00B62AE4" w:rsidP="00A21724">
      <w:pPr>
        <w:pStyle w:val="Nincstrkz"/>
        <w:rPr>
          <w:rFonts w:cs="Times New Roman"/>
        </w:rPr>
      </w:pPr>
      <w:r w:rsidRPr="00F7245E">
        <w:rPr>
          <w:rFonts w:cs="Times New Roman"/>
        </w:rPr>
        <w:t>A</w:t>
      </w:r>
      <w:r w:rsidR="002A2AFA" w:rsidRPr="00F7245E">
        <w:rPr>
          <w:rFonts w:cs="Times New Roman"/>
        </w:rPr>
        <w:t>mikor a</w:t>
      </w:r>
      <w:r w:rsidR="00E70E17" w:rsidRPr="00F7245E">
        <w:rPr>
          <w:rFonts w:cs="Times New Roman"/>
        </w:rPr>
        <w:t xml:space="preserve"> </w:t>
      </w:r>
      <w:r w:rsidR="00A1416D" w:rsidRPr="00F7245E">
        <w:rPr>
          <w:rFonts w:cs="Times New Roman"/>
        </w:rPr>
        <w:t>beteg</w:t>
      </w:r>
      <w:r w:rsidRPr="00F7245E">
        <w:rPr>
          <w:rFonts w:cs="Times New Roman"/>
        </w:rPr>
        <w:t>ek</w:t>
      </w:r>
      <w:r w:rsidR="002A2AFA" w:rsidRPr="00F7245E">
        <w:rPr>
          <w:rFonts w:cs="Times New Roman"/>
        </w:rPr>
        <w:t>et</w:t>
      </w:r>
      <w:r w:rsidRPr="00F7245E">
        <w:rPr>
          <w:rFonts w:cs="Times New Roman"/>
        </w:rPr>
        <w:t xml:space="preserve"> </w:t>
      </w:r>
      <w:r w:rsidR="00F665F7" w:rsidRPr="00F7245E">
        <w:rPr>
          <w:rFonts w:cs="Times New Roman"/>
          <w:lang w:val="en-US"/>
        </w:rPr>
        <w:t>Voziberin</w:t>
      </w:r>
      <w:r w:rsidR="00262327" w:rsidRPr="00F7245E">
        <w:rPr>
          <w:rFonts w:cs="Times New Roman"/>
        </w:rPr>
        <w:noBreakHyphen/>
      </w:r>
      <w:r w:rsidRPr="00F7245E">
        <w:rPr>
          <w:rFonts w:cs="Times New Roman"/>
        </w:rPr>
        <w:t>r</w:t>
      </w:r>
      <w:r w:rsidR="00262327" w:rsidRPr="00F7245E">
        <w:rPr>
          <w:rFonts w:cs="Times New Roman"/>
        </w:rPr>
        <w:t>ó</w:t>
      </w:r>
      <w:r w:rsidRPr="00F7245E">
        <w:rPr>
          <w:rFonts w:cs="Times New Roman"/>
        </w:rPr>
        <w:t>l K</w:t>
      </w:r>
      <w:r w:rsidR="00262327" w:rsidRPr="00F7245E">
        <w:rPr>
          <w:rFonts w:cs="Times New Roman"/>
        </w:rPr>
        <w:noBreakHyphen/>
      </w:r>
      <w:r w:rsidRPr="00F7245E">
        <w:rPr>
          <w:rFonts w:cs="Times New Roman"/>
        </w:rPr>
        <w:t>vitamin</w:t>
      </w:r>
      <w:r w:rsidR="008A4962" w:rsidRPr="00F7245E">
        <w:rPr>
          <w:rFonts w:cs="Times New Roman"/>
        </w:rPr>
        <w:noBreakHyphen/>
      </w:r>
      <w:r w:rsidRPr="00F7245E">
        <w:rPr>
          <w:rFonts w:cs="Times New Roman"/>
        </w:rPr>
        <w:t>antagonista</w:t>
      </w:r>
      <w:r w:rsidR="00E70E17" w:rsidRPr="00F7245E">
        <w:rPr>
          <w:rFonts w:cs="Times New Roman"/>
        </w:rPr>
        <w:noBreakHyphen/>
      </w:r>
      <w:r w:rsidRPr="00F7245E">
        <w:rPr>
          <w:rFonts w:cs="Times New Roman"/>
        </w:rPr>
        <w:t>kezelésre állít</w:t>
      </w:r>
      <w:r w:rsidR="002A2AFA" w:rsidRPr="00F7245E">
        <w:rPr>
          <w:rFonts w:cs="Times New Roman"/>
        </w:rPr>
        <w:t xml:space="preserve">ják át, </w:t>
      </w:r>
      <w:r w:rsidRPr="00F7245E">
        <w:rPr>
          <w:rFonts w:cs="Times New Roman"/>
        </w:rPr>
        <w:t>a K</w:t>
      </w:r>
      <w:r w:rsidR="003B556C" w:rsidRPr="00F7245E">
        <w:rPr>
          <w:rFonts w:cs="Times New Roman"/>
        </w:rPr>
        <w:noBreakHyphen/>
      </w:r>
      <w:r w:rsidRPr="00F7245E">
        <w:rPr>
          <w:rFonts w:cs="Times New Roman"/>
        </w:rPr>
        <w:t>vitamin</w:t>
      </w:r>
      <w:r w:rsidR="00E70E17" w:rsidRPr="00F7245E">
        <w:rPr>
          <w:rFonts w:cs="Times New Roman"/>
        </w:rPr>
        <w:noBreakHyphen/>
      </w:r>
      <w:r w:rsidRPr="00F7245E">
        <w:rPr>
          <w:rFonts w:cs="Times New Roman"/>
        </w:rPr>
        <w:t>antagonista</w:t>
      </w:r>
      <w:r w:rsidR="003B556C" w:rsidRPr="00F7245E">
        <w:rPr>
          <w:rFonts w:cs="Times New Roman"/>
        </w:rPr>
        <w:noBreakHyphen/>
      </w:r>
      <w:r w:rsidRPr="00F7245E">
        <w:rPr>
          <w:rFonts w:cs="Times New Roman"/>
        </w:rPr>
        <w:t xml:space="preserve">kezelés elkezdése után </w:t>
      </w:r>
      <w:r w:rsidR="00897B11" w:rsidRPr="00F7245E">
        <w:rPr>
          <w:rFonts w:cs="Times New Roman"/>
        </w:rPr>
        <w:t xml:space="preserve">még </w:t>
      </w:r>
      <w:r w:rsidRPr="00F7245E">
        <w:rPr>
          <w:rFonts w:cs="Times New Roman"/>
        </w:rPr>
        <w:t>legalább 2</w:t>
      </w:r>
      <w:r w:rsidR="003B67D5" w:rsidRPr="00F7245E">
        <w:rPr>
          <w:rFonts w:cs="Times New Roman"/>
        </w:rPr>
        <w:t> nap</w:t>
      </w:r>
      <w:r w:rsidRPr="00F7245E">
        <w:rPr>
          <w:rFonts w:cs="Times New Roman"/>
        </w:rPr>
        <w:t xml:space="preserve">ig folytatni kell a </w:t>
      </w:r>
      <w:r w:rsidR="00F665F7" w:rsidRPr="00F7245E">
        <w:rPr>
          <w:rFonts w:cs="Times New Roman"/>
          <w:lang w:val="en-US"/>
        </w:rPr>
        <w:t xml:space="preserve">Voziberin </w:t>
      </w:r>
      <w:r w:rsidRPr="00F7245E">
        <w:rPr>
          <w:rFonts w:cs="Times New Roman"/>
        </w:rPr>
        <w:t xml:space="preserve">adását. A </w:t>
      </w:r>
      <w:r w:rsidR="00F665F7" w:rsidRPr="00F7245E">
        <w:rPr>
          <w:rFonts w:cs="Times New Roman"/>
          <w:lang w:val="en-US"/>
        </w:rPr>
        <w:t xml:space="preserve">Voziberin </w:t>
      </w:r>
      <w:r w:rsidRPr="00F7245E">
        <w:rPr>
          <w:rFonts w:cs="Times New Roman"/>
        </w:rPr>
        <w:t>és a K</w:t>
      </w:r>
      <w:r w:rsidR="00262327" w:rsidRPr="00F7245E">
        <w:rPr>
          <w:rFonts w:cs="Times New Roman"/>
        </w:rPr>
        <w:noBreakHyphen/>
      </w:r>
      <w:r w:rsidRPr="00F7245E">
        <w:rPr>
          <w:rFonts w:cs="Times New Roman"/>
        </w:rPr>
        <w:t>vitamin</w:t>
      </w:r>
      <w:r w:rsidR="00E70E17" w:rsidRPr="00F7245E">
        <w:rPr>
          <w:rFonts w:cs="Times New Roman"/>
        </w:rPr>
        <w:noBreakHyphen/>
      </w:r>
      <w:r w:rsidRPr="00F7245E">
        <w:rPr>
          <w:rFonts w:cs="Times New Roman"/>
        </w:rPr>
        <w:t>antagonista</w:t>
      </w:r>
      <w:r w:rsidR="00262327" w:rsidRPr="00F7245E">
        <w:rPr>
          <w:rFonts w:cs="Times New Roman"/>
        </w:rPr>
        <w:noBreakHyphen/>
      </w:r>
      <w:r w:rsidRPr="00F7245E">
        <w:rPr>
          <w:rFonts w:cs="Times New Roman"/>
        </w:rPr>
        <w:t>kezelés 2</w:t>
      </w:r>
      <w:r w:rsidR="003B67D5" w:rsidRPr="00F7245E">
        <w:rPr>
          <w:rFonts w:cs="Times New Roman"/>
        </w:rPr>
        <w:t> nap</w:t>
      </w:r>
      <w:r w:rsidR="003B556C" w:rsidRPr="00F7245E">
        <w:rPr>
          <w:rFonts w:cs="Times New Roman"/>
        </w:rPr>
        <w:t xml:space="preserve">ig történő </w:t>
      </w:r>
      <w:r w:rsidRPr="00F7245E">
        <w:rPr>
          <w:rFonts w:cs="Times New Roman"/>
        </w:rPr>
        <w:t xml:space="preserve">egyidejű alkalmazása után az </w:t>
      </w:r>
      <w:r w:rsidR="00F665F7" w:rsidRPr="00F7245E">
        <w:rPr>
          <w:rFonts w:cs="Times New Roman"/>
          <w:lang w:val="en-US"/>
        </w:rPr>
        <w:t xml:space="preserve">Voziberin </w:t>
      </w:r>
      <w:r w:rsidRPr="00F7245E">
        <w:rPr>
          <w:rFonts w:cs="Times New Roman"/>
        </w:rPr>
        <w:t>következő, tervezett dózisa előtt meg kell mérni az INR</w:t>
      </w:r>
      <w:r w:rsidR="003B556C" w:rsidRPr="00F7245E">
        <w:rPr>
          <w:rFonts w:cs="Times New Roman"/>
        </w:rPr>
        <w:noBreakHyphen/>
      </w:r>
      <w:r w:rsidRPr="00F7245E">
        <w:rPr>
          <w:rFonts w:cs="Times New Roman"/>
        </w:rPr>
        <w:t xml:space="preserve">értéket. A </w:t>
      </w:r>
      <w:r w:rsidR="00F665F7" w:rsidRPr="00F7245E">
        <w:rPr>
          <w:rFonts w:cs="Times New Roman"/>
          <w:lang w:val="en-US"/>
        </w:rPr>
        <w:t xml:space="preserve">Voziberin </w:t>
      </w:r>
      <w:r w:rsidRPr="00F7245E">
        <w:rPr>
          <w:rFonts w:cs="Times New Roman"/>
        </w:rPr>
        <w:t>és K</w:t>
      </w:r>
      <w:r w:rsidR="003B556C" w:rsidRPr="00F7245E">
        <w:rPr>
          <w:rFonts w:cs="Times New Roman"/>
        </w:rPr>
        <w:noBreakHyphen/>
      </w:r>
      <w:r w:rsidRPr="00F7245E">
        <w:rPr>
          <w:rFonts w:cs="Times New Roman"/>
        </w:rPr>
        <w:t>vitamin</w:t>
      </w:r>
      <w:r w:rsidR="006F1B7F" w:rsidRPr="00F7245E">
        <w:rPr>
          <w:rFonts w:cs="Times New Roman"/>
        </w:rPr>
        <w:t>-</w:t>
      </w:r>
      <w:r w:rsidRPr="00F7245E">
        <w:rPr>
          <w:rFonts w:cs="Times New Roman"/>
        </w:rPr>
        <w:t>antagonista</w:t>
      </w:r>
      <w:r w:rsidR="003B556C" w:rsidRPr="00F7245E">
        <w:rPr>
          <w:rFonts w:cs="Times New Roman"/>
        </w:rPr>
        <w:noBreakHyphen/>
      </w:r>
      <w:r w:rsidRPr="00F7245E">
        <w:rPr>
          <w:rFonts w:cs="Times New Roman"/>
        </w:rPr>
        <w:t>kezelés egyidejű alkalmazását addig kell folytatni, amíg a</w:t>
      </w:r>
      <w:r w:rsidR="003B556C" w:rsidRPr="00F7245E">
        <w:rPr>
          <w:rFonts w:cs="Times New Roman"/>
        </w:rPr>
        <w:t xml:space="preserve"> nemzetközi normalizált arány (</w:t>
      </w:r>
      <w:r w:rsidRPr="00F7245E">
        <w:rPr>
          <w:rFonts w:cs="Times New Roman"/>
        </w:rPr>
        <w:t>INR</w:t>
      </w:r>
      <w:r w:rsidR="003B556C" w:rsidRPr="00F7245E">
        <w:rPr>
          <w:rFonts w:cs="Times New Roman"/>
        </w:rPr>
        <w:t>)</w:t>
      </w:r>
      <w:r w:rsidR="00741DD5" w:rsidRPr="00F7245E">
        <w:rPr>
          <w:rFonts w:cs="Times New Roman"/>
        </w:rPr>
        <w:t> </w:t>
      </w:r>
      <w:r w:rsidRPr="00F7245E">
        <w:rPr>
          <w:rFonts w:cs="Times New Roman"/>
        </w:rPr>
        <w:t>≥</w:t>
      </w:r>
      <w:r w:rsidR="001706DF" w:rsidRPr="00F7245E">
        <w:rPr>
          <w:rFonts w:cs="Times New Roman"/>
        </w:rPr>
        <w:t> </w:t>
      </w:r>
      <w:r w:rsidRPr="00F7245E">
        <w:rPr>
          <w:rFonts w:cs="Times New Roman"/>
        </w:rPr>
        <w:t>2</w:t>
      </w:r>
      <w:r w:rsidR="00F74813" w:rsidRPr="00F7245E">
        <w:rPr>
          <w:rFonts w:cs="Times New Roman"/>
        </w:rPr>
        <w:t xml:space="preserve"> lesz</w:t>
      </w:r>
      <w:r w:rsidRPr="00F7245E">
        <w:rPr>
          <w:rFonts w:cs="Times New Roman"/>
        </w:rPr>
        <w:t>.</w:t>
      </w:r>
    </w:p>
    <w:p w14:paraId="4A679FAF" w14:textId="38698919" w:rsidR="00B62AE4" w:rsidRPr="00F7245E" w:rsidRDefault="00B62AE4" w:rsidP="00A21724">
      <w:pPr>
        <w:pStyle w:val="Nincstrkz"/>
        <w:rPr>
          <w:rFonts w:cs="Times New Roman"/>
        </w:rPr>
      </w:pPr>
    </w:p>
    <w:p w14:paraId="09FE1A4D" w14:textId="14EB9F12" w:rsidR="00D72679" w:rsidRPr="00F7245E" w:rsidRDefault="00D72679" w:rsidP="00A21724">
      <w:pPr>
        <w:pStyle w:val="Nincstrkz"/>
        <w:rPr>
          <w:rFonts w:cs="Times New Roman"/>
        </w:rPr>
      </w:pPr>
      <w:r w:rsidRPr="00F7245E">
        <w:rPr>
          <w:rFonts w:cs="Times New Roman"/>
        </w:rPr>
        <w:t>Gyermekek és serdülők esetében nem állnak rendelkezésre adatok.</w:t>
      </w:r>
    </w:p>
    <w:p w14:paraId="24F7B670" w14:textId="77777777" w:rsidR="00D72679" w:rsidRPr="00F7245E" w:rsidRDefault="00D72679" w:rsidP="00A21724">
      <w:pPr>
        <w:pStyle w:val="Nincstrkz"/>
        <w:rPr>
          <w:rFonts w:cs="Times New Roman"/>
        </w:rPr>
      </w:pPr>
    </w:p>
    <w:p w14:paraId="52DA37A1" w14:textId="77777777" w:rsidR="00F96022" w:rsidRPr="00F7245E" w:rsidRDefault="00F96022" w:rsidP="00A21724">
      <w:pPr>
        <w:pStyle w:val="Nincstrkz"/>
        <w:rPr>
          <w:rFonts w:cs="Times New Roman"/>
          <w:i/>
          <w:iCs/>
          <w:u w:val="single"/>
        </w:rPr>
      </w:pPr>
      <w:r w:rsidRPr="00F7245E">
        <w:rPr>
          <w:rFonts w:cs="Times New Roman"/>
          <w:i/>
          <w:iCs/>
          <w:u w:val="single"/>
        </w:rPr>
        <w:t>Idősek</w:t>
      </w:r>
    </w:p>
    <w:p w14:paraId="18950284" w14:textId="77777777" w:rsidR="00F96022" w:rsidRPr="00F7245E" w:rsidRDefault="00F96022" w:rsidP="00A21724">
      <w:pPr>
        <w:pStyle w:val="Nincstrkz"/>
        <w:rPr>
          <w:rFonts w:cs="Times New Roman"/>
        </w:rPr>
      </w:pPr>
      <w:r w:rsidRPr="00F7245E">
        <w:rPr>
          <w:rFonts w:cs="Times New Roman"/>
        </w:rPr>
        <w:t>VTEp és VTEt - Nincs szükség dózismódosításra (lásd 4.4 és 5.2 pont).</w:t>
      </w:r>
    </w:p>
    <w:p w14:paraId="278E526E" w14:textId="77777777" w:rsidR="00F96022" w:rsidRPr="00F7245E" w:rsidRDefault="00F96022" w:rsidP="00A21724">
      <w:pPr>
        <w:pStyle w:val="Nincstrkz"/>
        <w:rPr>
          <w:rFonts w:cs="Times New Roman"/>
        </w:rPr>
      </w:pPr>
    </w:p>
    <w:p w14:paraId="19FCFC96" w14:textId="77777777" w:rsidR="00F96022" w:rsidRPr="00F7245E" w:rsidRDefault="00F96022" w:rsidP="00A21724">
      <w:pPr>
        <w:pStyle w:val="Nincstrkz"/>
        <w:rPr>
          <w:rFonts w:cs="Times New Roman"/>
        </w:rPr>
      </w:pPr>
      <w:r w:rsidRPr="00F7245E">
        <w:rPr>
          <w:rFonts w:cs="Times New Roman"/>
        </w:rPr>
        <w:t>NVPF – A dózis módosítása nem szükséges, kivéve, ha a dózis csökkentésének kritériumai teljesülnek (lásd „</w:t>
      </w:r>
      <w:r w:rsidRPr="00F7245E">
        <w:rPr>
          <w:rFonts w:cs="Times New Roman"/>
          <w:i/>
        </w:rPr>
        <w:t>Dóziscsökkentés</w:t>
      </w:r>
      <w:r w:rsidRPr="00F7245E">
        <w:rPr>
          <w:rFonts w:cs="Times New Roman"/>
        </w:rPr>
        <w:t>” a 4.2 pont elején).</w:t>
      </w:r>
    </w:p>
    <w:p w14:paraId="43BD5E5F" w14:textId="77777777" w:rsidR="00F96022" w:rsidRPr="00F7245E" w:rsidRDefault="00F96022" w:rsidP="00A21724">
      <w:pPr>
        <w:pStyle w:val="Nincstrkz"/>
        <w:rPr>
          <w:rFonts w:cs="Times New Roman"/>
        </w:rPr>
      </w:pPr>
    </w:p>
    <w:p w14:paraId="0465E8D9" w14:textId="77777777" w:rsidR="00B62AE4" w:rsidRPr="00F7245E" w:rsidRDefault="00B62AE4" w:rsidP="00A21724">
      <w:pPr>
        <w:pStyle w:val="Nincstrkz"/>
        <w:rPr>
          <w:rFonts w:cs="Times New Roman"/>
          <w:i/>
          <w:iCs/>
          <w:u w:val="single"/>
        </w:rPr>
      </w:pPr>
      <w:r w:rsidRPr="00F7245E">
        <w:rPr>
          <w:rFonts w:cs="Times New Roman"/>
          <w:i/>
          <w:iCs/>
          <w:u w:val="single"/>
        </w:rPr>
        <w:t>Vesekárosodás</w:t>
      </w:r>
    </w:p>
    <w:p w14:paraId="15C9D0F9" w14:textId="77777777" w:rsidR="002F39B0" w:rsidRPr="00F7245E" w:rsidRDefault="002F39B0" w:rsidP="002F39B0">
      <w:pPr>
        <w:rPr>
          <w:i/>
          <w:iCs/>
          <w:lang w:eastAsia="en-US" w:bidi="ar-SA"/>
        </w:rPr>
      </w:pPr>
    </w:p>
    <w:p w14:paraId="2EED6BE1" w14:textId="37536801" w:rsidR="002F39B0" w:rsidRPr="00F7245E" w:rsidRDefault="002F39B0" w:rsidP="002F39B0">
      <w:pPr>
        <w:rPr>
          <w:i/>
          <w:iCs/>
          <w:lang w:eastAsia="en-US" w:bidi="ar-SA"/>
        </w:rPr>
      </w:pPr>
      <w:r w:rsidRPr="00F7245E">
        <w:rPr>
          <w:i/>
          <w:iCs/>
          <w:lang w:eastAsia="en-US" w:bidi="ar-SA"/>
        </w:rPr>
        <w:t>Felnőttek</w:t>
      </w:r>
    </w:p>
    <w:p w14:paraId="24E2D8C9" w14:textId="77777777" w:rsidR="002F39B0" w:rsidRPr="00F7245E" w:rsidRDefault="002F39B0" w:rsidP="002F39B0">
      <w:pPr>
        <w:rPr>
          <w:lang w:eastAsia="en-US" w:bidi="ar-SA"/>
        </w:rPr>
      </w:pPr>
    </w:p>
    <w:p w14:paraId="65505AFF" w14:textId="668C0684" w:rsidR="002F39B0" w:rsidRPr="00F7245E" w:rsidRDefault="002F39B0" w:rsidP="002F39B0">
      <w:pPr>
        <w:rPr>
          <w:lang w:eastAsia="en-US" w:bidi="ar-SA"/>
        </w:rPr>
      </w:pPr>
      <w:r w:rsidRPr="00F7245E">
        <w:rPr>
          <w:lang w:eastAsia="en-US" w:bidi="ar-SA"/>
        </w:rPr>
        <w:t>Az enyhe vagy közepes fokú vesekárosodásban szenvedő felnőtt betegekre az alábbi ajánlások vonatkoznak:</w:t>
      </w:r>
    </w:p>
    <w:p w14:paraId="56BFD4AF" w14:textId="77777777" w:rsidR="002F39B0" w:rsidRPr="00F7245E" w:rsidRDefault="002F39B0" w:rsidP="002F39B0">
      <w:pPr>
        <w:rPr>
          <w:lang w:eastAsia="en-US" w:bidi="ar-SA"/>
        </w:rPr>
      </w:pPr>
    </w:p>
    <w:p w14:paraId="184F1492" w14:textId="77777777" w:rsidR="002F39B0" w:rsidRPr="00F7245E" w:rsidRDefault="002F39B0" w:rsidP="002F39B0">
      <w:pPr>
        <w:widowControl/>
        <w:numPr>
          <w:ilvl w:val="0"/>
          <w:numId w:val="18"/>
        </w:numPr>
        <w:autoSpaceDE/>
        <w:autoSpaceDN/>
        <w:spacing w:after="160" w:line="259" w:lineRule="auto"/>
        <w:ind w:left="567" w:hanging="567"/>
        <w:rPr>
          <w:lang w:eastAsia="en-US" w:bidi="ar-SA"/>
        </w:rPr>
      </w:pPr>
      <w:r w:rsidRPr="00F7245E">
        <w:rPr>
          <w:lang w:eastAsia="en-US" w:bidi="ar-SA"/>
        </w:rPr>
        <w:t>elektív csípő- vagy térdprotézisműtét esetén a VTE prevenciójához (VTEp), MVT kezeléséhez, PE kezeléséhez, valamint MVT és PE kiújulásának megelőzéséhez (VTEt) nincs szükség dózismódosításra (lásd 5.2 pont);</w:t>
      </w:r>
    </w:p>
    <w:p w14:paraId="2CD4D418" w14:textId="77777777" w:rsidR="002F39B0" w:rsidRPr="00F7245E" w:rsidRDefault="002F39B0" w:rsidP="002F39B0">
      <w:pPr>
        <w:ind w:left="567"/>
        <w:jc w:val="both"/>
        <w:rPr>
          <w:lang w:eastAsia="en-US" w:bidi="ar-SA"/>
        </w:rPr>
      </w:pPr>
    </w:p>
    <w:p w14:paraId="7BD97940" w14:textId="77777777" w:rsidR="002F39B0" w:rsidRPr="00F7245E" w:rsidRDefault="002F39B0" w:rsidP="002F39B0">
      <w:pPr>
        <w:widowControl/>
        <w:numPr>
          <w:ilvl w:val="0"/>
          <w:numId w:val="18"/>
        </w:numPr>
        <w:autoSpaceDE/>
        <w:autoSpaceDN/>
        <w:spacing w:after="160" w:line="259" w:lineRule="auto"/>
        <w:ind w:left="567" w:hanging="567"/>
        <w:rPr>
          <w:lang w:eastAsia="en-US" w:bidi="ar-SA"/>
        </w:rPr>
      </w:pPr>
      <w:r w:rsidRPr="00F7245E">
        <w:rPr>
          <w:lang w:eastAsia="en-US" w:bidi="ar-SA"/>
        </w:rPr>
        <w:t xml:space="preserve">stroke és a szisztémás embolizáció prevenciójára alkalmazva dóziscsökkentésre van szükség a nem valvuláris pitvarfibrillációban szenvedő betegeknél, akiknél a szérum-kreatininszint ≥ 1,5 mg/dl (133 mikromol/l) és életkoruk ≥ 80 év vagy testtömegük ≤ 60 kg. </w:t>
      </w:r>
      <w:bookmarkStart w:id="5" w:name="_Hlk181082772"/>
      <w:r w:rsidRPr="00F7245E">
        <w:rPr>
          <w:lang w:eastAsia="en-US" w:bidi="ar-SA"/>
        </w:rPr>
        <w:t xml:space="preserve">(Lásd feljebb </w:t>
      </w:r>
      <w:r w:rsidRPr="00F7245E">
        <w:rPr>
          <w:i/>
          <w:iCs/>
          <w:lang w:eastAsia="en-US" w:bidi="ar-SA"/>
        </w:rPr>
        <w:t>Dóziscsökkentés</w:t>
      </w:r>
      <w:r w:rsidRPr="00F7245E">
        <w:rPr>
          <w:lang w:eastAsia="en-US" w:bidi="ar-SA"/>
        </w:rPr>
        <w:t xml:space="preserve">). </w:t>
      </w:r>
      <w:bookmarkEnd w:id="5"/>
      <w:r w:rsidRPr="00F7245E">
        <w:rPr>
          <w:lang w:eastAsia="en-US" w:bidi="ar-SA"/>
        </w:rPr>
        <w:t>A dóziscsökkentés egyéb kritériumainak (életkor, testtömeg) hiányában nincs szükség dózismódosításra (lásd 5.2 pont).</w:t>
      </w:r>
    </w:p>
    <w:p w14:paraId="610D98F7" w14:textId="77777777" w:rsidR="002F39B0" w:rsidRPr="00F7245E" w:rsidRDefault="002F39B0" w:rsidP="002F39B0">
      <w:pPr>
        <w:ind w:left="567"/>
        <w:rPr>
          <w:lang w:eastAsia="en-US" w:bidi="ar-SA"/>
        </w:rPr>
      </w:pPr>
    </w:p>
    <w:p w14:paraId="61B21A5D" w14:textId="77777777" w:rsidR="002F39B0" w:rsidRPr="00F7245E" w:rsidRDefault="002F39B0" w:rsidP="002F39B0">
      <w:pPr>
        <w:rPr>
          <w:lang w:eastAsia="en-US" w:bidi="ar-SA"/>
        </w:rPr>
      </w:pPr>
      <w:r w:rsidRPr="00F7245E">
        <w:rPr>
          <w:lang w:eastAsia="en-US" w:bidi="ar-SA"/>
        </w:rPr>
        <w:t>Súlyos fokú vesekárosodásban (kreatinin-clearance 15–29 ml/perc) szenvedő betegekre az alábbi ajánlások vonatkoznak (lásd 4.4 és 5.2 pont):</w:t>
      </w:r>
    </w:p>
    <w:p w14:paraId="08AA4B70" w14:textId="77777777" w:rsidR="002F39B0" w:rsidRPr="00F7245E" w:rsidRDefault="002F39B0" w:rsidP="002F39B0">
      <w:pPr>
        <w:rPr>
          <w:lang w:eastAsia="en-US" w:bidi="ar-SA"/>
        </w:rPr>
      </w:pPr>
    </w:p>
    <w:p w14:paraId="081CBF83" w14:textId="77777777" w:rsidR="002F39B0" w:rsidRPr="00F7245E" w:rsidRDefault="002F39B0" w:rsidP="002F39B0">
      <w:pPr>
        <w:widowControl/>
        <w:numPr>
          <w:ilvl w:val="0"/>
          <w:numId w:val="18"/>
        </w:numPr>
        <w:autoSpaceDE/>
        <w:autoSpaceDN/>
        <w:spacing w:after="160" w:line="259" w:lineRule="auto"/>
        <w:ind w:left="567" w:hanging="567"/>
        <w:rPr>
          <w:lang w:eastAsia="en-US" w:bidi="ar-SA"/>
        </w:rPr>
      </w:pPr>
      <w:r w:rsidRPr="00F7245E">
        <w:rPr>
          <w:lang w:eastAsia="en-US" w:bidi="ar-SA"/>
        </w:rPr>
        <w:t>elektív csípő- vagy térdprotézisműtét esetén VTE prevenciójára (VTEp), valamint MVT kezelésére, PE kezelésére, illetve MVT és PE kiújulásának megelőzésére (VTEt) az apixabánt kellő elővigyázatossággal kell alkalmazni;</w:t>
      </w:r>
    </w:p>
    <w:p w14:paraId="51EBC46E" w14:textId="77777777" w:rsidR="002F39B0" w:rsidRPr="00F7245E" w:rsidRDefault="002F39B0" w:rsidP="002F39B0">
      <w:pPr>
        <w:ind w:left="567"/>
        <w:rPr>
          <w:lang w:eastAsia="en-US" w:bidi="ar-SA"/>
        </w:rPr>
      </w:pPr>
    </w:p>
    <w:p w14:paraId="5CDB8082" w14:textId="77777777" w:rsidR="002F39B0" w:rsidRPr="00F7245E" w:rsidRDefault="002F39B0" w:rsidP="002F39B0">
      <w:pPr>
        <w:widowControl/>
        <w:numPr>
          <w:ilvl w:val="0"/>
          <w:numId w:val="18"/>
        </w:numPr>
        <w:autoSpaceDE/>
        <w:autoSpaceDN/>
        <w:spacing w:after="160" w:line="259" w:lineRule="auto"/>
        <w:ind w:left="567" w:hanging="567"/>
        <w:rPr>
          <w:lang w:eastAsia="en-US" w:bidi="ar-SA"/>
        </w:rPr>
      </w:pPr>
      <w:r w:rsidRPr="00F7245E">
        <w:rPr>
          <w:lang w:eastAsia="en-US" w:bidi="ar-SA"/>
        </w:rPr>
        <w:t>stroke és a szisztémás embolizáció prevenciójára a nem valvuláris pitvarfibrillációban szenvedő betegeknek alacsonyabb, naponta kétszer 2,5 mg-os apixabán-dózist kell kapniuk.</w:t>
      </w:r>
    </w:p>
    <w:p w14:paraId="6BDDDF2E" w14:textId="77777777" w:rsidR="002F39B0" w:rsidRPr="00F7245E" w:rsidRDefault="002F39B0" w:rsidP="002F39B0">
      <w:pPr>
        <w:rPr>
          <w:lang w:eastAsia="en-US" w:bidi="ar-SA"/>
        </w:rPr>
      </w:pPr>
    </w:p>
    <w:p w14:paraId="39C7CD64" w14:textId="4F9F5F3A" w:rsidR="002F39B0" w:rsidRPr="00F7245E" w:rsidRDefault="002F39B0" w:rsidP="002F39B0">
      <w:pPr>
        <w:rPr>
          <w:lang w:eastAsia="en-US" w:bidi="ar-SA"/>
        </w:rPr>
      </w:pPr>
      <w:r w:rsidRPr="00F7245E">
        <w:rPr>
          <w:lang w:eastAsia="en-US" w:bidi="ar-SA"/>
        </w:rPr>
        <w:t>Nincsenek klinikai tapasztalatok olyan betegekre vonatkozóan, akiknek a kreatinin-clearence-e &lt; 15 ml/perc vagy dialízis-kezelés alatt állnak, ezért az apixabán alkalmazása ezeknél a betegeknél nem javasolt (lásd 4.4 és 5.2 pont).</w:t>
      </w:r>
    </w:p>
    <w:p w14:paraId="06BD7B5B" w14:textId="77777777" w:rsidR="00015928" w:rsidRPr="00F7245E" w:rsidRDefault="00015928" w:rsidP="00A21724">
      <w:pPr>
        <w:pStyle w:val="Nincstrkz"/>
        <w:rPr>
          <w:rFonts w:cs="Times New Roman"/>
        </w:rPr>
      </w:pPr>
    </w:p>
    <w:p w14:paraId="3EE0F00A" w14:textId="77777777" w:rsidR="00015928" w:rsidRPr="00F7245E" w:rsidRDefault="00015928" w:rsidP="00015928">
      <w:pPr>
        <w:widowControl/>
        <w:suppressAutoHyphens/>
        <w:autoSpaceDE/>
        <w:autoSpaceDN/>
        <w:rPr>
          <w:i/>
          <w:iCs/>
          <w:szCs w:val="20"/>
          <w:lang w:eastAsia="zh-CN" w:bidi="ar-SA"/>
        </w:rPr>
      </w:pPr>
      <w:r w:rsidRPr="00F7245E">
        <w:rPr>
          <w:i/>
          <w:iCs/>
          <w:szCs w:val="20"/>
          <w:lang w:eastAsia="zh-CN" w:bidi="ar-SA"/>
        </w:rPr>
        <w:t>Gyermekek és serdülők</w:t>
      </w:r>
    </w:p>
    <w:p w14:paraId="56658846" w14:textId="77777777" w:rsidR="00015928" w:rsidRPr="00F7245E" w:rsidRDefault="00015928" w:rsidP="00015928">
      <w:pPr>
        <w:widowControl/>
        <w:suppressAutoHyphens/>
        <w:autoSpaceDE/>
        <w:autoSpaceDN/>
        <w:rPr>
          <w:lang w:eastAsia="zh-CN" w:bidi="ar-SA"/>
        </w:rPr>
      </w:pPr>
      <w:r w:rsidRPr="00F7245E">
        <w:rPr>
          <w:szCs w:val="20"/>
          <w:lang w:eastAsia="zh-CN" w:bidi="ar-SA"/>
        </w:rPr>
        <w:t>A felnőttekre vonatkozó adatok és a gyermekekre és serdülőkre vonatkozó, korlátozott mennyiségű adatok (lásd 5.2 pont) alapján nincs szükség dózismódosításra a gyermekeknél és serdülőknél enyhe vagy közepesen súlyos vesekárosodás esetén. Az apixabán alkalmazása nem javasolt súlyos vesekárosodásban szenvedő gyermekeknél és serdülőknél (lásd 4.4 pont).</w:t>
      </w:r>
    </w:p>
    <w:p w14:paraId="15CB1086" w14:textId="77777777" w:rsidR="00015928" w:rsidRPr="00F7245E" w:rsidRDefault="00015928" w:rsidP="00A21724">
      <w:pPr>
        <w:pStyle w:val="Nincstrkz"/>
        <w:rPr>
          <w:rFonts w:cs="Times New Roman"/>
        </w:rPr>
      </w:pPr>
    </w:p>
    <w:p w14:paraId="16BC146E" w14:textId="77777777" w:rsidR="00B62AE4" w:rsidRPr="00F7245E" w:rsidRDefault="00B62AE4" w:rsidP="00A21724">
      <w:pPr>
        <w:pStyle w:val="Nincstrkz"/>
        <w:rPr>
          <w:rFonts w:cs="Times New Roman"/>
        </w:rPr>
      </w:pPr>
    </w:p>
    <w:p w14:paraId="48687097" w14:textId="77777777" w:rsidR="00B62AE4" w:rsidRPr="00F7245E" w:rsidRDefault="00B62AE4" w:rsidP="00A21724">
      <w:pPr>
        <w:pStyle w:val="Nincstrkz"/>
        <w:rPr>
          <w:rFonts w:cs="Times New Roman"/>
          <w:i/>
          <w:iCs/>
          <w:u w:val="single"/>
        </w:rPr>
      </w:pPr>
      <w:r w:rsidRPr="00F7245E">
        <w:rPr>
          <w:rFonts w:cs="Times New Roman"/>
          <w:i/>
          <w:iCs/>
          <w:u w:val="single"/>
        </w:rPr>
        <w:t>Májkárosodás</w:t>
      </w:r>
    </w:p>
    <w:p w14:paraId="69B42646" w14:textId="216CACA3" w:rsidR="00B62AE4" w:rsidRPr="00F7245E" w:rsidRDefault="00B62AE4" w:rsidP="00A21724">
      <w:pPr>
        <w:pStyle w:val="Nincstrkz"/>
        <w:rPr>
          <w:rFonts w:cs="Times New Roman"/>
        </w:rPr>
      </w:pPr>
      <w:r w:rsidRPr="00F7245E">
        <w:rPr>
          <w:rFonts w:cs="Times New Roman"/>
        </w:rPr>
        <w:t>A</w:t>
      </w:r>
      <w:r w:rsidR="00F665F7" w:rsidRPr="00F7245E">
        <w:rPr>
          <w:rFonts w:cs="Times New Roman"/>
        </w:rPr>
        <w:t xml:space="preserve"> </w:t>
      </w:r>
      <w:r w:rsidR="00F665F7" w:rsidRPr="00F7245E">
        <w:rPr>
          <w:rFonts w:cs="Times New Roman"/>
          <w:lang w:val="en-US"/>
        </w:rPr>
        <w:t xml:space="preserve">Voziberin </w:t>
      </w:r>
      <w:r w:rsidRPr="00F7245E">
        <w:rPr>
          <w:rFonts w:cs="Times New Roman"/>
        </w:rPr>
        <w:t>ellenjavallt véralvadási zavarral és klinikailag jelentős vérzési kockázattal járó májbetegségben szenvedő</w:t>
      </w:r>
      <w:r w:rsidR="00910D0F" w:rsidRPr="00F7245E">
        <w:rPr>
          <w:rFonts w:cs="Times New Roman"/>
        </w:rPr>
        <w:t xml:space="preserve"> </w:t>
      </w:r>
      <w:r w:rsidR="00843E5D">
        <w:rPr>
          <w:rFonts w:cs="Times New Roman"/>
        </w:rPr>
        <w:t xml:space="preserve">felnőtt </w:t>
      </w:r>
      <w:r w:rsidR="00A1416D" w:rsidRPr="00F7245E">
        <w:rPr>
          <w:rFonts w:cs="Times New Roman"/>
        </w:rPr>
        <w:t>beteg</w:t>
      </w:r>
      <w:r w:rsidRPr="00F7245E">
        <w:rPr>
          <w:rFonts w:cs="Times New Roman"/>
        </w:rPr>
        <w:t>eknél (lásd 4.3</w:t>
      </w:r>
      <w:r w:rsidR="00522CA0" w:rsidRPr="00F7245E">
        <w:rPr>
          <w:rFonts w:cs="Times New Roman"/>
        </w:rPr>
        <w:t> pont</w:t>
      </w:r>
      <w:r w:rsidRPr="00F7245E">
        <w:rPr>
          <w:rFonts w:cs="Times New Roman"/>
        </w:rPr>
        <w:t>).</w:t>
      </w:r>
    </w:p>
    <w:p w14:paraId="3F2D27F7" w14:textId="77777777" w:rsidR="00B62AE4" w:rsidRPr="00F7245E" w:rsidRDefault="00B62AE4" w:rsidP="00A21724">
      <w:pPr>
        <w:pStyle w:val="Nincstrkz"/>
        <w:rPr>
          <w:rFonts w:cs="Times New Roman"/>
        </w:rPr>
      </w:pPr>
    </w:p>
    <w:p w14:paraId="42631515" w14:textId="6432846D" w:rsidR="00B62AE4" w:rsidRPr="00F7245E" w:rsidRDefault="00F11A29" w:rsidP="00A21724">
      <w:pPr>
        <w:pStyle w:val="Nincstrkz"/>
        <w:rPr>
          <w:rFonts w:cs="Times New Roman"/>
        </w:rPr>
      </w:pPr>
      <w:r w:rsidRPr="00F7245E">
        <w:rPr>
          <w:rFonts w:cs="Times New Roman"/>
        </w:rPr>
        <w:t>Nem ajánlott s</w:t>
      </w:r>
      <w:r w:rsidR="00B62AE4" w:rsidRPr="00F7245E">
        <w:rPr>
          <w:rFonts w:cs="Times New Roman"/>
        </w:rPr>
        <w:t>úlyos májkárosodásban szenvedő</w:t>
      </w:r>
      <w:r w:rsidR="00910D0F" w:rsidRPr="00F7245E">
        <w:rPr>
          <w:rFonts w:cs="Times New Roman"/>
        </w:rPr>
        <w:t xml:space="preserve"> </w:t>
      </w:r>
      <w:r w:rsidR="00A1416D" w:rsidRPr="00F7245E">
        <w:rPr>
          <w:rFonts w:cs="Times New Roman"/>
        </w:rPr>
        <w:t>beteg</w:t>
      </w:r>
      <w:r w:rsidR="00B62AE4" w:rsidRPr="00F7245E">
        <w:rPr>
          <w:rFonts w:cs="Times New Roman"/>
        </w:rPr>
        <w:t>ek</w:t>
      </w:r>
      <w:r w:rsidRPr="00F7245E">
        <w:rPr>
          <w:rFonts w:cs="Times New Roman"/>
        </w:rPr>
        <w:t xml:space="preserve"> számára</w:t>
      </w:r>
      <w:r w:rsidR="00B62AE4" w:rsidRPr="00F7245E">
        <w:rPr>
          <w:rFonts w:cs="Times New Roman"/>
        </w:rPr>
        <w:t xml:space="preserve"> (lásd 4.4 és 5.2</w:t>
      </w:r>
      <w:r w:rsidR="004C106B" w:rsidRPr="00F7245E">
        <w:rPr>
          <w:rFonts w:cs="Times New Roman"/>
        </w:rPr>
        <w:t> pont</w:t>
      </w:r>
      <w:r w:rsidR="00B62AE4" w:rsidRPr="00F7245E">
        <w:rPr>
          <w:rFonts w:cs="Times New Roman"/>
        </w:rPr>
        <w:t>).</w:t>
      </w:r>
    </w:p>
    <w:p w14:paraId="6E2CA51C" w14:textId="77777777" w:rsidR="00B62AE4" w:rsidRPr="00F7245E" w:rsidRDefault="00B62AE4" w:rsidP="00A21724">
      <w:pPr>
        <w:pStyle w:val="Nincstrkz"/>
        <w:rPr>
          <w:rFonts w:cs="Times New Roman"/>
        </w:rPr>
      </w:pPr>
    </w:p>
    <w:p w14:paraId="41C7253F" w14:textId="50AF8891" w:rsidR="00B62AE4" w:rsidRPr="00F7245E" w:rsidRDefault="00B62AE4" w:rsidP="00A21724">
      <w:pPr>
        <w:pStyle w:val="Nincstrkz"/>
        <w:rPr>
          <w:rFonts w:cs="Times New Roman"/>
        </w:rPr>
      </w:pPr>
      <w:r w:rsidRPr="00F7245E">
        <w:rPr>
          <w:rFonts w:cs="Times New Roman"/>
        </w:rPr>
        <w:t>Enyhe vagy közepesen súlyos májkárosodásban (Child</w:t>
      </w:r>
      <w:r w:rsidR="006D72A7" w:rsidRPr="00F7245E">
        <w:rPr>
          <w:rFonts w:cs="Times New Roman"/>
        </w:rPr>
        <w:t>‒</w:t>
      </w:r>
      <w:r w:rsidRPr="00F7245E">
        <w:rPr>
          <w:rFonts w:cs="Times New Roman"/>
        </w:rPr>
        <w:t xml:space="preserve">Pugh A vagy B stádium) </w:t>
      </w:r>
      <w:r w:rsidR="00F11A29" w:rsidRPr="00F7245E">
        <w:rPr>
          <w:rFonts w:cs="Times New Roman"/>
        </w:rPr>
        <w:t>szenvedő</w:t>
      </w:r>
      <w:r w:rsidR="00910D0F" w:rsidRPr="00F7245E">
        <w:rPr>
          <w:rFonts w:cs="Times New Roman"/>
        </w:rPr>
        <w:t xml:space="preserve"> betegeknél</w:t>
      </w:r>
      <w:r w:rsidR="00F11A29" w:rsidRPr="00F7245E">
        <w:rPr>
          <w:rFonts w:cs="Times New Roman"/>
        </w:rPr>
        <w:t xml:space="preserve"> elővigyázatosan</w:t>
      </w:r>
      <w:r w:rsidRPr="00F7245E">
        <w:rPr>
          <w:rFonts w:cs="Times New Roman"/>
        </w:rPr>
        <w:t xml:space="preserve"> kell alkalmazni. Enyhe vagy közepesen súlyos májkárosodásban szenvedő</w:t>
      </w:r>
      <w:r w:rsidR="00910D0F" w:rsidRPr="00F7245E">
        <w:rPr>
          <w:rFonts w:cs="Times New Roman"/>
        </w:rPr>
        <w:t xml:space="preserve"> betegeknél</w:t>
      </w:r>
      <w:r w:rsidRPr="00F7245E">
        <w:rPr>
          <w:rFonts w:cs="Times New Roman"/>
        </w:rPr>
        <w:t xml:space="preserve"> </w:t>
      </w:r>
      <w:r w:rsidR="00F11A29" w:rsidRPr="00F7245E">
        <w:rPr>
          <w:rFonts w:cs="Times New Roman"/>
        </w:rPr>
        <w:t xml:space="preserve">nem szükséges </w:t>
      </w:r>
      <w:r w:rsidRPr="00F7245E">
        <w:rPr>
          <w:rFonts w:cs="Times New Roman"/>
        </w:rPr>
        <w:t>a dózis módosítása (lásd 4.4 és 5.2</w:t>
      </w:r>
      <w:r w:rsidR="00F11A29" w:rsidRPr="00F7245E">
        <w:rPr>
          <w:rFonts w:cs="Times New Roman"/>
        </w:rPr>
        <w:t> pont</w:t>
      </w:r>
      <w:r w:rsidRPr="00F7245E">
        <w:rPr>
          <w:rFonts w:cs="Times New Roman"/>
        </w:rPr>
        <w:t>).</w:t>
      </w:r>
    </w:p>
    <w:p w14:paraId="0FECC851" w14:textId="77777777" w:rsidR="00B62AE4" w:rsidRPr="00F7245E" w:rsidRDefault="00B62AE4" w:rsidP="00A21724">
      <w:pPr>
        <w:pStyle w:val="Nincstrkz"/>
        <w:rPr>
          <w:rFonts w:cs="Times New Roman"/>
        </w:rPr>
      </w:pPr>
    </w:p>
    <w:p w14:paraId="2D47C18C" w14:textId="0138A443" w:rsidR="00B62AE4" w:rsidRPr="00F7245E" w:rsidRDefault="006163CF" w:rsidP="00A21724">
      <w:pPr>
        <w:pStyle w:val="Nincstrkz"/>
        <w:rPr>
          <w:rFonts w:cs="Times New Roman"/>
        </w:rPr>
      </w:pPr>
      <w:r w:rsidRPr="00F7245E">
        <w:rPr>
          <w:rFonts w:cs="Times New Roman"/>
        </w:rPr>
        <w:t>Kizárták a klinikai vizsgálatokból a</w:t>
      </w:r>
      <w:r w:rsidR="00B62AE4" w:rsidRPr="00F7245E">
        <w:rPr>
          <w:rFonts w:cs="Times New Roman"/>
        </w:rPr>
        <w:t>zokat a</w:t>
      </w:r>
      <w:r w:rsidR="00910D0F" w:rsidRPr="00F7245E">
        <w:rPr>
          <w:rFonts w:cs="Times New Roman"/>
        </w:rPr>
        <w:t xml:space="preserve"> </w:t>
      </w:r>
      <w:r w:rsidR="00A1416D" w:rsidRPr="00F7245E">
        <w:rPr>
          <w:rFonts w:cs="Times New Roman"/>
        </w:rPr>
        <w:t>beteg</w:t>
      </w:r>
      <w:r w:rsidR="00B62AE4" w:rsidRPr="00F7245E">
        <w:rPr>
          <w:rFonts w:cs="Times New Roman"/>
        </w:rPr>
        <w:t xml:space="preserve">eket, akiknél </w:t>
      </w:r>
      <w:r w:rsidR="00C944A7" w:rsidRPr="00F7245E">
        <w:rPr>
          <w:rFonts w:cs="Times New Roman"/>
        </w:rPr>
        <w:t>a glutamát</w:t>
      </w:r>
      <w:r w:rsidR="00C944A7" w:rsidRPr="00F7245E">
        <w:rPr>
          <w:rFonts w:cs="Times New Roman"/>
        </w:rPr>
        <w:noBreakHyphen/>
        <w:t>piruvát</w:t>
      </w:r>
      <w:r w:rsidR="00C944A7" w:rsidRPr="00F7245E">
        <w:rPr>
          <w:rFonts w:cs="Times New Roman"/>
        </w:rPr>
        <w:noBreakHyphen/>
        <w:t>transzamináz (GPT)/glutamát</w:t>
      </w:r>
      <w:r w:rsidR="00C944A7" w:rsidRPr="00F7245E">
        <w:rPr>
          <w:rFonts w:cs="Times New Roman"/>
        </w:rPr>
        <w:noBreakHyphen/>
        <w:t>oxálacetát</w:t>
      </w:r>
      <w:r w:rsidR="00C944A7" w:rsidRPr="00F7245E">
        <w:rPr>
          <w:rFonts w:cs="Times New Roman"/>
        </w:rPr>
        <w:noBreakHyphen/>
        <w:t xml:space="preserve">aminotranszferáz (GOT) </w:t>
      </w:r>
      <w:r w:rsidR="00B62AE4" w:rsidRPr="00F7245E">
        <w:rPr>
          <w:rFonts w:cs="Times New Roman"/>
        </w:rPr>
        <w:t>májenzim</w:t>
      </w:r>
      <w:r w:rsidRPr="00F7245E">
        <w:rPr>
          <w:rFonts w:cs="Times New Roman"/>
        </w:rPr>
        <w:t xml:space="preserve">ek </w:t>
      </w:r>
      <w:r w:rsidR="00B62AE4" w:rsidRPr="00F7245E">
        <w:rPr>
          <w:rFonts w:cs="Times New Roman"/>
        </w:rPr>
        <w:t>szint</w:t>
      </w:r>
      <w:r w:rsidRPr="00F7245E">
        <w:rPr>
          <w:rFonts w:cs="Times New Roman"/>
        </w:rPr>
        <w:t>jének</w:t>
      </w:r>
      <w:r w:rsidR="00B62AE4" w:rsidRPr="00F7245E">
        <w:rPr>
          <w:rFonts w:cs="Times New Roman"/>
        </w:rPr>
        <w:t xml:space="preserve"> emelked</w:t>
      </w:r>
      <w:r w:rsidR="00C944A7" w:rsidRPr="00F7245E">
        <w:rPr>
          <w:rFonts w:cs="Times New Roman"/>
        </w:rPr>
        <w:t xml:space="preserve">ése meghaladta a normálérték felső határának </w:t>
      </w:r>
      <w:r w:rsidR="00B62AE4" w:rsidRPr="00F7245E">
        <w:rPr>
          <w:rFonts w:cs="Times New Roman"/>
        </w:rPr>
        <w:t>2</w:t>
      </w:r>
      <w:r w:rsidR="00C944A7" w:rsidRPr="00F7245E">
        <w:rPr>
          <w:rFonts w:cs="Times New Roman"/>
        </w:rPr>
        <w:noBreakHyphen/>
      </w:r>
      <w:r w:rsidR="00B62AE4" w:rsidRPr="00F7245E">
        <w:rPr>
          <w:rFonts w:cs="Times New Roman"/>
        </w:rPr>
        <w:t>szer</w:t>
      </w:r>
      <w:r w:rsidR="00C944A7" w:rsidRPr="00F7245E">
        <w:rPr>
          <w:rFonts w:cs="Times New Roman"/>
        </w:rPr>
        <w:t>esét</w:t>
      </w:r>
      <w:r w:rsidR="00B62AE4" w:rsidRPr="00F7245E">
        <w:rPr>
          <w:rFonts w:cs="Times New Roman"/>
        </w:rPr>
        <w:t>, vagy az összbilirubin szintje ≥</w:t>
      </w:r>
      <w:r w:rsidR="00F11A29" w:rsidRPr="00F7245E">
        <w:rPr>
          <w:rFonts w:cs="Times New Roman"/>
        </w:rPr>
        <w:t> </w:t>
      </w:r>
      <w:r w:rsidR="00B62AE4" w:rsidRPr="00F7245E">
        <w:rPr>
          <w:rFonts w:cs="Times New Roman"/>
        </w:rPr>
        <w:t>1,5</w:t>
      </w:r>
      <w:r w:rsidR="00C944A7" w:rsidRPr="00F7245E">
        <w:rPr>
          <w:rFonts w:cs="Times New Roman"/>
        </w:rPr>
        <w:noBreakHyphen/>
      </w:r>
      <w:r w:rsidR="00B62AE4" w:rsidRPr="00F7245E">
        <w:rPr>
          <w:rFonts w:cs="Times New Roman"/>
        </w:rPr>
        <w:t xml:space="preserve">szer magasabb volt, mint a normálérték felső határa. Ezért a </w:t>
      </w:r>
      <w:r w:rsidR="00F665F7" w:rsidRPr="00F7245E">
        <w:rPr>
          <w:rFonts w:cs="Times New Roman"/>
          <w:lang w:val="en-US"/>
        </w:rPr>
        <w:t>Voziberin</w:t>
      </w:r>
      <w:r w:rsidR="00F11A29" w:rsidRPr="00F7245E">
        <w:rPr>
          <w:rFonts w:cs="Times New Roman"/>
        </w:rPr>
        <w:noBreakHyphen/>
      </w:r>
      <w:r w:rsidR="00B62AE4" w:rsidRPr="00F7245E">
        <w:rPr>
          <w:rFonts w:cs="Times New Roman"/>
        </w:rPr>
        <w:t>t ebben a</w:t>
      </w:r>
      <w:r w:rsidR="008A7BFE" w:rsidRPr="00F7245E">
        <w:rPr>
          <w:rFonts w:cs="Times New Roman"/>
        </w:rPr>
        <w:t xml:space="preserve"> b</w:t>
      </w:r>
      <w:r w:rsidR="00A1416D" w:rsidRPr="00F7245E">
        <w:rPr>
          <w:rFonts w:cs="Times New Roman"/>
        </w:rPr>
        <w:t>eteg</w:t>
      </w:r>
      <w:r w:rsidR="00B62AE4" w:rsidRPr="00F7245E">
        <w:rPr>
          <w:rFonts w:cs="Times New Roman"/>
        </w:rPr>
        <w:t xml:space="preserve">csoportban </w:t>
      </w:r>
      <w:r w:rsidR="00F11A29" w:rsidRPr="00F7245E">
        <w:rPr>
          <w:rFonts w:cs="Times New Roman"/>
        </w:rPr>
        <w:t>elővigyázatosan</w:t>
      </w:r>
      <w:r w:rsidR="00B62AE4" w:rsidRPr="00F7245E">
        <w:rPr>
          <w:rFonts w:cs="Times New Roman"/>
        </w:rPr>
        <w:t xml:space="preserve"> kell alkalmazni (lásd 4.4 és</w:t>
      </w:r>
      <w:r w:rsidR="00F11A29" w:rsidRPr="00F7245E">
        <w:rPr>
          <w:rFonts w:cs="Times New Roman"/>
        </w:rPr>
        <w:t xml:space="preserve"> 5.</w:t>
      </w:r>
      <w:r w:rsidRPr="00F7245E">
        <w:rPr>
          <w:rFonts w:cs="Times New Roman"/>
        </w:rPr>
        <w:t>2</w:t>
      </w:r>
      <w:r w:rsidR="00F11A29" w:rsidRPr="00F7245E">
        <w:rPr>
          <w:rFonts w:cs="Times New Roman"/>
        </w:rPr>
        <w:t> </w:t>
      </w:r>
      <w:r w:rsidR="00B62AE4" w:rsidRPr="00F7245E">
        <w:rPr>
          <w:rFonts w:cs="Times New Roman"/>
        </w:rPr>
        <w:t xml:space="preserve">pont). A </w:t>
      </w:r>
      <w:r w:rsidR="00F665F7" w:rsidRPr="00F7245E">
        <w:rPr>
          <w:rFonts w:cs="Times New Roman"/>
          <w:lang w:val="en-US"/>
        </w:rPr>
        <w:t>Voziberin</w:t>
      </w:r>
      <w:r w:rsidR="006D72A7" w:rsidRPr="00F7245E">
        <w:rPr>
          <w:rFonts w:cs="Times New Roman"/>
        </w:rPr>
        <w:t>-kezelés megkezdése</w:t>
      </w:r>
      <w:r w:rsidR="00B62AE4" w:rsidRPr="00F7245E">
        <w:rPr>
          <w:rFonts w:cs="Times New Roman"/>
        </w:rPr>
        <w:t xml:space="preserve"> előtt májfunkciós vizsgálatot kell végezni.</w:t>
      </w:r>
    </w:p>
    <w:p w14:paraId="34D8D84C" w14:textId="77777777" w:rsidR="00B62AE4" w:rsidRPr="00F7245E" w:rsidRDefault="00B62AE4" w:rsidP="00A21724">
      <w:pPr>
        <w:pStyle w:val="Nincstrkz"/>
        <w:rPr>
          <w:rFonts w:cs="Times New Roman"/>
        </w:rPr>
      </w:pPr>
    </w:p>
    <w:p w14:paraId="5C74833E" w14:textId="77777777" w:rsidR="00663148" w:rsidRPr="00F7245E" w:rsidRDefault="00663148" w:rsidP="00663148">
      <w:r w:rsidRPr="00F7245E">
        <w:t>Az apixabánt nem vizsgálták májkárosodásban szenvedő gyermekeknél és serdülőknél.</w:t>
      </w:r>
    </w:p>
    <w:p w14:paraId="092C009B" w14:textId="77777777" w:rsidR="00663148" w:rsidRPr="00F7245E" w:rsidRDefault="00663148" w:rsidP="00A21724">
      <w:pPr>
        <w:pStyle w:val="Nincstrkz"/>
        <w:rPr>
          <w:rFonts w:cs="Times New Roman"/>
        </w:rPr>
      </w:pPr>
    </w:p>
    <w:p w14:paraId="7DEEBD8A" w14:textId="77777777" w:rsidR="00B62AE4" w:rsidRPr="00F7245E" w:rsidRDefault="00B62AE4" w:rsidP="0027640E">
      <w:pPr>
        <w:pStyle w:val="Nincstrkz"/>
        <w:keepNext/>
        <w:rPr>
          <w:rFonts w:cs="Times New Roman"/>
          <w:i/>
          <w:iCs/>
        </w:rPr>
      </w:pPr>
      <w:r w:rsidRPr="00F7245E">
        <w:rPr>
          <w:rFonts w:cs="Times New Roman"/>
          <w:i/>
          <w:iCs/>
          <w:w w:val="105"/>
          <w:u w:val="single"/>
        </w:rPr>
        <w:t>Testtömeg</w:t>
      </w:r>
    </w:p>
    <w:p w14:paraId="4AEA407B" w14:textId="75025569" w:rsidR="00B62AE4" w:rsidRPr="00F7245E" w:rsidRDefault="00B62AE4" w:rsidP="0027640E">
      <w:pPr>
        <w:pStyle w:val="Nincstrkz"/>
        <w:keepNext/>
        <w:rPr>
          <w:rFonts w:cs="Times New Roman"/>
        </w:rPr>
      </w:pPr>
      <w:r w:rsidRPr="00F7245E">
        <w:rPr>
          <w:rFonts w:cs="Times New Roman"/>
        </w:rPr>
        <w:t xml:space="preserve">VTEp és VTEt </w:t>
      </w:r>
      <w:r w:rsidR="006D72A7" w:rsidRPr="00F7245E">
        <w:rPr>
          <w:rFonts w:cs="Times New Roman"/>
        </w:rPr>
        <w:t>‒</w:t>
      </w:r>
      <w:r w:rsidRPr="00F7245E">
        <w:rPr>
          <w:rFonts w:cs="Times New Roman"/>
        </w:rPr>
        <w:t xml:space="preserve"> A dózis módosítása nem szükséges </w:t>
      </w:r>
      <w:r w:rsidR="006D72A7" w:rsidRPr="00F7245E">
        <w:rPr>
          <w:rFonts w:cs="Times New Roman"/>
        </w:rPr>
        <w:t xml:space="preserve">felnőtteknél </w:t>
      </w:r>
      <w:r w:rsidRPr="00F7245E">
        <w:rPr>
          <w:rFonts w:cs="Times New Roman"/>
        </w:rPr>
        <w:t>(lásd 4.4 és 5.2</w:t>
      </w:r>
      <w:r w:rsidR="004C106B" w:rsidRPr="00F7245E">
        <w:rPr>
          <w:rFonts w:cs="Times New Roman"/>
        </w:rPr>
        <w:t> pont</w:t>
      </w:r>
      <w:r w:rsidRPr="00F7245E">
        <w:rPr>
          <w:rFonts w:cs="Times New Roman"/>
        </w:rPr>
        <w:t>).</w:t>
      </w:r>
    </w:p>
    <w:p w14:paraId="17B89783" w14:textId="77777777" w:rsidR="00B62AE4" w:rsidRPr="00F7245E" w:rsidRDefault="00B62AE4" w:rsidP="00A21724">
      <w:pPr>
        <w:pStyle w:val="Nincstrkz"/>
        <w:rPr>
          <w:rFonts w:cs="Times New Roman"/>
        </w:rPr>
      </w:pPr>
    </w:p>
    <w:p w14:paraId="1F99347D" w14:textId="7B4DC14D" w:rsidR="00B62AE4" w:rsidRPr="00F7245E" w:rsidRDefault="00B62AE4" w:rsidP="00A21724">
      <w:pPr>
        <w:pStyle w:val="Nincstrkz"/>
        <w:rPr>
          <w:rFonts w:cs="Times New Roman"/>
        </w:rPr>
      </w:pPr>
      <w:r w:rsidRPr="00F7245E">
        <w:rPr>
          <w:rFonts w:cs="Times New Roman"/>
        </w:rPr>
        <w:t xml:space="preserve">Nem </w:t>
      </w:r>
      <w:r w:rsidR="006163CF" w:rsidRPr="00F7245E">
        <w:rPr>
          <w:rFonts w:cs="Times New Roman"/>
        </w:rPr>
        <w:t>valvuláris</w:t>
      </w:r>
      <w:r w:rsidRPr="00F7245E">
        <w:rPr>
          <w:rFonts w:cs="Times New Roman"/>
        </w:rPr>
        <w:t xml:space="preserve"> pitvarfibrilláció </w:t>
      </w:r>
      <w:r w:rsidR="006163CF" w:rsidRPr="00F7245E">
        <w:rPr>
          <w:rFonts w:cs="Times New Roman"/>
        </w:rPr>
        <w:t xml:space="preserve">(NVPF) </w:t>
      </w:r>
      <w:r w:rsidRPr="00F7245E">
        <w:rPr>
          <w:rFonts w:cs="Times New Roman"/>
        </w:rPr>
        <w:t xml:space="preserve">– A dózis módosítása nem szükséges, kivéve, ha a dózis csökkentésének kritériumai teljesülnek (lásd </w:t>
      </w:r>
      <w:r w:rsidR="00156430" w:rsidRPr="00F7245E">
        <w:rPr>
          <w:rFonts w:cs="Times New Roman"/>
          <w:i/>
        </w:rPr>
        <w:t>„</w:t>
      </w:r>
      <w:r w:rsidRPr="00F7245E">
        <w:rPr>
          <w:rFonts w:cs="Times New Roman"/>
          <w:i/>
        </w:rPr>
        <w:t>Dóziscsökkentés</w:t>
      </w:r>
      <w:r w:rsidR="00156430" w:rsidRPr="00F7245E">
        <w:rPr>
          <w:rFonts w:cs="Times New Roman"/>
          <w:i/>
        </w:rPr>
        <w:t>”</w:t>
      </w:r>
      <w:r w:rsidRPr="00F7245E">
        <w:rPr>
          <w:rFonts w:cs="Times New Roman"/>
        </w:rPr>
        <w:t xml:space="preserve"> a 4.2</w:t>
      </w:r>
      <w:r w:rsidR="004C106B" w:rsidRPr="00F7245E">
        <w:rPr>
          <w:rFonts w:cs="Times New Roman"/>
        </w:rPr>
        <w:t> </w:t>
      </w:r>
      <w:r w:rsidR="0005010D" w:rsidRPr="00F7245E">
        <w:rPr>
          <w:rFonts w:cs="Times New Roman"/>
        </w:rPr>
        <w:t>pont elején)</w:t>
      </w:r>
      <w:r w:rsidRPr="00F7245E">
        <w:rPr>
          <w:rFonts w:cs="Times New Roman"/>
        </w:rPr>
        <w:t>.</w:t>
      </w:r>
    </w:p>
    <w:p w14:paraId="537F6637" w14:textId="77777777" w:rsidR="00B62AE4" w:rsidRPr="00F7245E" w:rsidRDefault="00B62AE4" w:rsidP="00A21724">
      <w:pPr>
        <w:pStyle w:val="Nincstrkz"/>
        <w:rPr>
          <w:rFonts w:cs="Times New Roman"/>
        </w:rPr>
      </w:pPr>
    </w:p>
    <w:p w14:paraId="28C905B1" w14:textId="77777777" w:rsidR="00663148" w:rsidRPr="00F7245E" w:rsidRDefault="00814AFC" w:rsidP="00663148">
      <w:hyperlink r:id="rId8" w:tgtFrame="_blank" w:history="1">
        <w:r w:rsidR="00663148" w:rsidRPr="00F7245E">
          <w:t>Az apixabán gyermekeknél és serdülőknél történő alkalmazása a testtömeg alapján meghatározott, fix dózison alapul (lásd 4.2 pont).</w:t>
        </w:r>
      </w:hyperlink>
    </w:p>
    <w:p w14:paraId="2B5923E4" w14:textId="77777777" w:rsidR="00663148" w:rsidRPr="00F7245E" w:rsidRDefault="00663148" w:rsidP="00A21724">
      <w:pPr>
        <w:pStyle w:val="Nincstrkz"/>
        <w:rPr>
          <w:rFonts w:cs="Times New Roman"/>
        </w:rPr>
      </w:pPr>
    </w:p>
    <w:p w14:paraId="59813EC5" w14:textId="77777777" w:rsidR="00B62AE4" w:rsidRPr="00F7245E" w:rsidRDefault="00B62AE4" w:rsidP="00A21724">
      <w:pPr>
        <w:pStyle w:val="Nincstrkz"/>
        <w:rPr>
          <w:rFonts w:cs="Times New Roman"/>
          <w:i/>
          <w:iCs/>
          <w:u w:val="single"/>
        </w:rPr>
      </w:pPr>
      <w:r w:rsidRPr="00F7245E">
        <w:rPr>
          <w:rFonts w:cs="Times New Roman"/>
          <w:i/>
          <w:iCs/>
          <w:u w:val="single"/>
        </w:rPr>
        <w:t>Nemek</w:t>
      </w:r>
    </w:p>
    <w:p w14:paraId="4E51EFE5" w14:textId="13EAD338" w:rsidR="00B62AE4" w:rsidRPr="00F7245E" w:rsidRDefault="006163CF" w:rsidP="00A21724">
      <w:pPr>
        <w:pStyle w:val="Nincstrkz"/>
        <w:rPr>
          <w:rFonts w:cs="Times New Roman"/>
        </w:rPr>
      </w:pPr>
      <w:r w:rsidRPr="00F7245E">
        <w:rPr>
          <w:rFonts w:cs="Times New Roman"/>
        </w:rPr>
        <w:t>N</w:t>
      </w:r>
      <w:r w:rsidR="00910D0F" w:rsidRPr="00F7245E">
        <w:rPr>
          <w:rFonts w:cs="Times New Roman"/>
        </w:rPr>
        <w:t xml:space="preserve">incs szükség </w:t>
      </w:r>
      <w:r w:rsidR="00B62AE4" w:rsidRPr="00F7245E">
        <w:rPr>
          <w:rFonts w:cs="Times New Roman"/>
        </w:rPr>
        <w:t>dózismódosítás</w:t>
      </w:r>
      <w:r w:rsidR="00910D0F" w:rsidRPr="00F7245E">
        <w:rPr>
          <w:rFonts w:cs="Times New Roman"/>
        </w:rPr>
        <w:t>ra</w:t>
      </w:r>
      <w:r w:rsidR="00B62AE4" w:rsidRPr="00F7245E">
        <w:rPr>
          <w:rFonts w:cs="Times New Roman"/>
        </w:rPr>
        <w:t xml:space="preserve"> (lásd 5.2</w:t>
      </w:r>
      <w:r w:rsidR="004C106B" w:rsidRPr="00F7245E">
        <w:rPr>
          <w:rFonts w:cs="Times New Roman"/>
        </w:rPr>
        <w:t> pont</w:t>
      </w:r>
      <w:r w:rsidR="00B62AE4" w:rsidRPr="00F7245E">
        <w:rPr>
          <w:rFonts w:cs="Times New Roman"/>
        </w:rPr>
        <w:t>).</w:t>
      </w:r>
    </w:p>
    <w:p w14:paraId="3A980507" w14:textId="77777777" w:rsidR="00B62AE4" w:rsidRPr="00F7245E" w:rsidRDefault="00B62AE4" w:rsidP="00A21724">
      <w:pPr>
        <w:pStyle w:val="Nincstrkz"/>
        <w:rPr>
          <w:rFonts w:cs="Times New Roman"/>
        </w:rPr>
      </w:pPr>
    </w:p>
    <w:p w14:paraId="7505A83E" w14:textId="7D0BFE25" w:rsidR="00B62AE4" w:rsidRPr="00F7245E" w:rsidRDefault="00B62AE4" w:rsidP="00A21724">
      <w:pPr>
        <w:pStyle w:val="Nincstrkz"/>
        <w:rPr>
          <w:rFonts w:cs="Times New Roman"/>
          <w:i/>
          <w:iCs/>
          <w:u w:val="single"/>
        </w:rPr>
      </w:pPr>
      <w:r w:rsidRPr="00F7245E">
        <w:rPr>
          <w:rFonts w:cs="Times New Roman"/>
          <w:i/>
          <w:iCs/>
          <w:u w:val="single"/>
        </w:rPr>
        <w:t>Katéteres abl</w:t>
      </w:r>
      <w:r w:rsidR="00AE4C7B" w:rsidRPr="00F7245E">
        <w:rPr>
          <w:rFonts w:cs="Times New Roman"/>
          <w:i/>
          <w:iCs/>
          <w:u w:val="single"/>
        </w:rPr>
        <w:t>ác</w:t>
      </w:r>
      <w:r w:rsidR="00E65EE3" w:rsidRPr="00F7245E">
        <w:rPr>
          <w:rFonts w:cs="Times New Roman"/>
          <w:i/>
          <w:iCs/>
          <w:u w:val="single"/>
        </w:rPr>
        <w:t>i</w:t>
      </w:r>
      <w:r w:rsidR="00AE4C7B" w:rsidRPr="00F7245E">
        <w:rPr>
          <w:rFonts w:cs="Times New Roman"/>
          <w:i/>
          <w:iCs/>
          <w:u w:val="single"/>
        </w:rPr>
        <w:t>ó</w:t>
      </w:r>
      <w:r w:rsidRPr="00F7245E">
        <w:rPr>
          <w:rFonts w:cs="Times New Roman"/>
          <w:i/>
          <w:iCs/>
          <w:u w:val="single"/>
        </w:rPr>
        <w:t>ban részesülő</w:t>
      </w:r>
      <w:r w:rsidR="000E4128" w:rsidRPr="00F7245E">
        <w:rPr>
          <w:rFonts w:cs="Times New Roman"/>
          <w:i/>
          <w:iCs/>
          <w:u w:val="single"/>
        </w:rPr>
        <w:t xml:space="preserve"> </w:t>
      </w:r>
      <w:r w:rsidR="00A1416D" w:rsidRPr="00F7245E">
        <w:rPr>
          <w:rFonts w:cs="Times New Roman"/>
          <w:i/>
          <w:iCs/>
          <w:u w:val="single"/>
        </w:rPr>
        <w:t>beteg</w:t>
      </w:r>
      <w:r w:rsidRPr="00F7245E">
        <w:rPr>
          <w:rFonts w:cs="Times New Roman"/>
          <w:i/>
          <w:iCs/>
          <w:u w:val="single"/>
        </w:rPr>
        <w:t>ek (NV</w:t>
      </w:r>
      <w:r w:rsidR="00E65EE3" w:rsidRPr="00F7245E">
        <w:rPr>
          <w:rFonts w:cs="Times New Roman"/>
          <w:i/>
          <w:iCs/>
          <w:u w:val="single"/>
        </w:rPr>
        <w:t>P</w:t>
      </w:r>
      <w:r w:rsidRPr="00F7245E">
        <w:rPr>
          <w:rFonts w:cs="Times New Roman"/>
          <w:i/>
          <w:iCs/>
          <w:u w:val="single"/>
        </w:rPr>
        <w:t>F)</w:t>
      </w:r>
    </w:p>
    <w:p w14:paraId="75145665" w14:textId="0F00641F" w:rsidR="00B62AE4" w:rsidRPr="00F7245E" w:rsidRDefault="003A131B" w:rsidP="00A21724">
      <w:pPr>
        <w:pStyle w:val="Nincstrkz"/>
        <w:rPr>
          <w:rFonts w:cs="Times New Roman"/>
        </w:rPr>
      </w:pPr>
      <w:r w:rsidRPr="00F7245E">
        <w:rPr>
          <w:rFonts w:cs="Times New Roman"/>
        </w:rPr>
        <w:t>Az apixabán-kezelés folytatható a katéteres ablációban részesülő betegeknél</w:t>
      </w:r>
      <w:r w:rsidR="00B62AE4" w:rsidRPr="00F7245E">
        <w:rPr>
          <w:rFonts w:cs="Times New Roman"/>
        </w:rPr>
        <w:t xml:space="preserve"> (lásd 4.3, 4.4 és 4.5</w:t>
      </w:r>
      <w:r w:rsidR="004C106B" w:rsidRPr="00F7245E">
        <w:rPr>
          <w:rFonts w:cs="Times New Roman"/>
        </w:rPr>
        <w:t> pont</w:t>
      </w:r>
      <w:r w:rsidR="00B62AE4" w:rsidRPr="00F7245E">
        <w:rPr>
          <w:rFonts w:cs="Times New Roman"/>
        </w:rPr>
        <w:t>).</w:t>
      </w:r>
    </w:p>
    <w:p w14:paraId="284354E8" w14:textId="77777777" w:rsidR="00B62AE4" w:rsidRPr="00F7245E" w:rsidRDefault="00B62AE4" w:rsidP="00A21724">
      <w:pPr>
        <w:pStyle w:val="Nincstrkz"/>
        <w:rPr>
          <w:rFonts w:cs="Times New Roman"/>
        </w:rPr>
      </w:pPr>
    </w:p>
    <w:p w14:paraId="3A1D17A2" w14:textId="34071EAA" w:rsidR="00B62AE4" w:rsidRPr="00F7245E" w:rsidRDefault="00B62AE4" w:rsidP="00A21724">
      <w:pPr>
        <w:pStyle w:val="Nincstrkz"/>
        <w:rPr>
          <w:rFonts w:cs="Times New Roman"/>
          <w:i/>
          <w:iCs/>
          <w:u w:val="single"/>
        </w:rPr>
      </w:pPr>
      <w:r w:rsidRPr="00F7245E">
        <w:rPr>
          <w:rFonts w:cs="Times New Roman"/>
          <w:i/>
          <w:iCs/>
          <w:u w:val="single"/>
        </w:rPr>
        <w:t>Kardioverzió</w:t>
      </w:r>
      <w:r w:rsidR="00E65EE3" w:rsidRPr="00F7245E">
        <w:rPr>
          <w:rFonts w:cs="Times New Roman"/>
          <w:i/>
          <w:iCs/>
          <w:u w:val="single"/>
        </w:rPr>
        <w:t>n áteső</w:t>
      </w:r>
      <w:r w:rsidR="000E4128" w:rsidRPr="00F7245E">
        <w:rPr>
          <w:rFonts w:cs="Times New Roman"/>
          <w:i/>
          <w:iCs/>
          <w:u w:val="single"/>
        </w:rPr>
        <w:t xml:space="preserve"> </w:t>
      </w:r>
      <w:r w:rsidR="00A1416D" w:rsidRPr="00F7245E">
        <w:rPr>
          <w:rFonts w:cs="Times New Roman"/>
          <w:i/>
          <w:iCs/>
          <w:u w:val="single"/>
        </w:rPr>
        <w:t>beteg</w:t>
      </w:r>
      <w:r w:rsidRPr="00F7245E">
        <w:rPr>
          <w:rFonts w:cs="Times New Roman"/>
          <w:i/>
          <w:iCs/>
          <w:u w:val="single"/>
        </w:rPr>
        <w:t>ek</w:t>
      </w:r>
    </w:p>
    <w:p w14:paraId="0920630B" w14:textId="206849A6" w:rsidR="00B62AE4" w:rsidRPr="00F7245E" w:rsidRDefault="00B62AE4" w:rsidP="00A21724">
      <w:pPr>
        <w:pStyle w:val="Nincstrkz"/>
        <w:rPr>
          <w:rFonts w:cs="Times New Roman"/>
        </w:rPr>
      </w:pPr>
      <w:r w:rsidRPr="00F7245E">
        <w:rPr>
          <w:rFonts w:cs="Times New Roman"/>
        </w:rPr>
        <w:t>Az apixab</w:t>
      </w:r>
      <w:r w:rsidR="002C0B56" w:rsidRPr="00F7245E">
        <w:rPr>
          <w:rFonts w:cs="Times New Roman"/>
        </w:rPr>
        <w:t>á</w:t>
      </w:r>
      <w:r w:rsidRPr="00F7245E">
        <w:rPr>
          <w:rFonts w:cs="Times New Roman"/>
        </w:rPr>
        <w:t>n</w:t>
      </w:r>
      <w:r w:rsidR="00E65EE3" w:rsidRPr="00F7245E">
        <w:rPr>
          <w:rFonts w:cs="Times New Roman"/>
        </w:rPr>
        <w:noBreakHyphen/>
      </w:r>
      <w:r w:rsidRPr="00F7245E">
        <w:rPr>
          <w:rFonts w:cs="Times New Roman"/>
        </w:rPr>
        <w:t>kezelés</w:t>
      </w:r>
      <w:r w:rsidR="00E65EE3" w:rsidRPr="00F7245E">
        <w:rPr>
          <w:rFonts w:cs="Times New Roman"/>
        </w:rPr>
        <w:t xml:space="preserve"> elkezdhető</w:t>
      </w:r>
      <w:r w:rsidRPr="00F7245E">
        <w:rPr>
          <w:rFonts w:cs="Times New Roman"/>
        </w:rPr>
        <w:t xml:space="preserve"> vagy folytatható azoknál</w:t>
      </w:r>
      <w:r w:rsidR="00E65EE3" w:rsidRPr="00F7245E">
        <w:rPr>
          <w:rFonts w:cs="Times New Roman"/>
        </w:rPr>
        <w:t xml:space="preserve"> a nem valvuláris pitvarfibrillációban szenvedő</w:t>
      </w:r>
      <w:r w:rsidR="000E4128" w:rsidRPr="00F7245E">
        <w:rPr>
          <w:rFonts w:cs="Times New Roman"/>
        </w:rPr>
        <w:t xml:space="preserve"> </w:t>
      </w:r>
      <w:r w:rsidR="00A1416D" w:rsidRPr="00F7245E">
        <w:rPr>
          <w:rFonts w:cs="Times New Roman"/>
        </w:rPr>
        <w:t>beteg</w:t>
      </w:r>
      <w:r w:rsidRPr="00F7245E">
        <w:rPr>
          <w:rFonts w:cs="Times New Roman"/>
        </w:rPr>
        <w:t>eknél, akiknél kardioverzi</w:t>
      </w:r>
      <w:r w:rsidR="0071046D" w:rsidRPr="00F7245E">
        <w:rPr>
          <w:rFonts w:cs="Times New Roman"/>
        </w:rPr>
        <w:t>ór</w:t>
      </w:r>
      <w:r w:rsidRPr="00F7245E">
        <w:rPr>
          <w:rFonts w:cs="Times New Roman"/>
        </w:rPr>
        <w:t>a lehet szükség.</w:t>
      </w:r>
    </w:p>
    <w:p w14:paraId="3A845186" w14:textId="77777777" w:rsidR="00B62AE4" w:rsidRPr="00F7245E" w:rsidRDefault="00B62AE4" w:rsidP="00A21724">
      <w:pPr>
        <w:pStyle w:val="Nincstrkz"/>
        <w:rPr>
          <w:rFonts w:cs="Times New Roman"/>
        </w:rPr>
      </w:pPr>
    </w:p>
    <w:p w14:paraId="013841D3" w14:textId="55EAD6A4" w:rsidR="00B62AE4" w:rsidRPr="00F7245E" w:rsidRDefault="00B62AE4" w:rsidP="00A21724">
      <w:pPr>
        <w:pStyle w:val="Nincstrkz"/>
        <w:rPr>
          <w:rFonts w:cs="Times New Roman"/>
        </w:rPr>
      </w:pPr>
      <w:r w:rsidRPr="00F7245E">
        <w:rPr>
          <w:rFonts w:cs="Times New Roman"/>
        </w:rPr>
        <w:t>A korábban antikoagulánsokkal nem kezelt</w:t>
      </w:r>
      <w:r w:rsidR="000E4128" w:rsidRPr="00F7245E">
        <w:rPr>
          <w:rFonts w:cs="Times New Roman"/>
        </w:rPr>
        <w:t xml:space="preserve"> betegeknél</w:t>
      </w:r>
      <w:r w:rsidRPr="00F7245E">
        <w:rPr>
          <w:rFonts w:cs="Times New Roman"/>
        </w:rPr>
        <w:t xml:space="preserve"> </w:t>
      </w:r>
      <w:r w:rsidR="000E4128" w:rsidRPr="00F7245E">
        <w:rPr>
          <w:rFonts w:cs="Times New Roman"/>
        </w:rPr>
        <w:t>a</w:t>
      </w:r>
      <w:r w:rsidRPr="00F7245E">
        <w:rPr>
          <w:rFonts w:cs="Times New Roman"/>
        </w:rPr>
        <w:t xml:space="preserve"> bal pitvari thrombus</w:t>
      </w:r>
      <w:r w:rsidR="00626CAD" w:rsidRPr="00F7245E">
        <w:rPr>
          <w:rFonts w:cs="Times New Roman"/>
        </w:rPr>
        <w:t xml:space="preserve"> </w:t>
      </w:r>
      <w:r w:rsidR="000E4128" w:rsidRPr="00F7245E">
        <w:rPr>
          <w:rFonts w:cs="Times New Roman"/>
        </w:rPr>
        <w:t xml:space="preserve">kizárása érdekében </w:t>
      </w:r>
      <w:r w:rsidR="00626CAD" w:rsidRPr="00F7245E">
        <w:rPr>
          <w:rFonts w:cs="Times New Roman"/>
        </w:rPr>
        <w:t xml:space="preserve">a kardioverzió előtt </w:t>
      </w:r>
      <w:r w:rsidRPr="00F7245E">
        <w:rPr>
          <w:rFonts w:cs="Times New Roman"/>
        </w:rPr>
        <w:t xml:space="preserve">meg kell fontolni egy képalkotó </w:t>
      </w:r>
      <w:r w:rsidR="00626CAD" w:rsidRPr="00F7245E">
        <w:rPr>
          <w:rFonts w:cs="Times New Roman"/>
        </w:rPr>
        <w:t>eljárás</w:t>
      </w:r>
      <w:r w:rsidR="000E4128" w:rsidRPr="00F7245E">
        <w:rPr>
          <w:rFonts w:cs="Times New Roman"/>
        </w:rPr>
        <w:t xml:space="preserve">sal végzett </w:t>
      </w:r>
      <w:r w:rsidR="002600EB" w:rsidRPr="00F7245E">
        <w:rPr>
          <w:rFonts w:cs="Times New Roman"/>
        </w:rPr>
        <w:t xml:space="preserve">vizsgálat </w:t>
      </w:r>
      <w:r w:rsidRPr="00F7245E">
        <w:rPr>
          <w:rFonts w:cs="Times New Roman"/>
        </w:rPr>
        <w:t xml:space="preserve">(pl. transoesophagealis echokardiográfia </w:t>
      </w:r>
      <w:r w:rsidR="000E4128" w:rsidRPr="00F7245E">
        <w:rPr>
          <w:rFonts w:cs="Times New Roman"/>
        </w:rPr>
        <w:t>[</w:t>
      </w:r>
      <w:r w:rsidRPr="00F7245E">
        <w:rPr>
          <w:rFonts w:cs="Times New Roman"/>
        </w:rPr>
        <w:t>TEE</w:t>
      </w:r>
      <w:r w:rsidR="000E4128" w:rsidRPr="00F7245E">
        <w:rPr>
          <w:rFonts w:cs="Times New Roman"/>
        </w:rPr>
        <w:t>]</w:t>
      </w:r>
      <w:r w:rsidRPr="00F7245E">
        <w:rPr>
          <w:rFonts w:cs="Times New Roman"/>
        </w:rPr>
        <w:t xml:space="preserve"> vagy komputertomográfi</w:t>
      </w:r>
      <w:r w:rsidR="00626CAD" w:rsidRPr="00F7245E">
        <w:rPr>
          <w:rFonts w:cs="Times New Roman"/>
        </w:rPr>
        <w:t xml:space="preserve">a </w:t>
      </w:r>
      <w:r w:rsidR="000E4128" w:rsidRPr="00F7245E">
        <w:rPr>
          <w:rFonts w:cs="Times New Roman"/>
        </w:rPr>
        <w:t>[</w:t>
      </w:r>
      <w:r w:rsidRPr="00F7245E">
        <w:rPr>
          <w:rFonts w:cs="Times New Roman"/>
        </w:rPr>
        <w:t>CT</w:t>
      </w:r>
      <w:r w:rsidR="000E4128" w:rsidRPr="00F7245E">
        <w:rPr>
          <w:rFonts w:cs="Times New Roman"/>
        </w:rPr>
        <w:t>])</w:t>
      </w:r>
      <w:r w:rsidR="000C72B0" w:rsidRPr="00F7245E">
        <w:t xml:space="preserve"> </w:t>
      </w:r>
      <w:r w:rsidR="000C72B0" w:rsidRPr="00F7245E">
        <w:rPr>
          <w:rFonts w:cs="Times New Roman"/>
        </w:rPr>
        <w:t>elvégzését az érvényes egészségügyi irányelvekkel összhangban.</w:t>
      </w:r>
    </w:p>
    <w:p w14:paraId="6641DB58" w14:textId="77777777" w:rsidR="00B62AE4" w:rsidRPr="00F7245E" w:rsidRDefault="00B62AE4" w:rsidP="00A21724">
      <w:pPr>
        <w:pStyle w:val="Nincstrkz"/>
        <w:rPr>
          <w:rFonts w:cs="Times New Roman"/>
        </w:rPr>
      </w:pPr>
    </w:p>
    <w:p w14:paraId="0788B8CF" w14:textId="750A2410" w:rsidR="00B62AE4" w:rsidRPr="00F7245E" w:rsidRDefault="00B62AE4" w:rsidP="00A21724">
      <w:pPr>
        <w:pStyle w:val="Nincstrkz"/>
        <w:rPr>
          <w:rFonts w:cs="Times New Roman"/>
        </w:rPr>
      </w:pPr>
      <w:r w:rsidRPr="00F7245E">
        <w:rPr>
          <w:rFonts w:cs="Times New Roman"/>
        </w:rPr>
        <w:t>Az</w:t>
      </w:r>
      <w:r w:rsidR="002600EB" w:rsidRPr="00F7245E">
        <w:rPr>
          <w:rFonts w:cs="Times New Roman"/>
        </w:rPr>
        <w:t>oknak a</w:t>
      </w:r>
      <w:r w:rsidR="00584814" w:rsidRPr="00F7245E">
        <w:rPr>
          <w:rFonts w:cs="Times New Roman"/>
        </w:rPr>
        <w:t xml:space="preserve"> </w:t>
      </w:r>
      <w:r w:rsidR="00A1416D" w:rsidRPr="00F7245E">
        <w:rPr>
          <w:rFonts w:cs="Times New Roman"/>
        </w:rPr>
        <w:t>beteg</w:t>
      </w:r>
      <w:r w:rsidR="002600EB" w:rsidRPr="00F7245E">
        <w:rPr>
          <w:rFonts w:cs="Times New Roman"/>
        </w:rPr>
        <w:t>ekn</w:t>
      </w:r>
      <w:r w:rsidR="001307B4" w:rsidRPr="00F7245E">
        <w:rPr>
          <w:rFonts w:cs="Times New Roman"/>
        </w:rPr>
        <w:t>ek</w:t>
      </w:r>
      <w:r w:rsidR="002600EB" w:rsidRPr="00F7245E">
        <w:rPr>
          <w:rFonts w:cs="Times New Roman"/>
        </w:rPr>
        <w:t xml:space="preserve">, akik a kezelést </w:t>
      </w:r>
      <w:r w:rsidRPr="00F7245E">
        <w:rPr>
          <w:rFonts w:cs="Times New Roman"/>
        </w:rPr>
        <w:t>apixab</w:t>
      </w:r>
      <w:r w:rsidR="002C0B56" w:rsidRPr="00F7245E">
        <w:rPr>
          <w:rFonts w:cs="Times New Roman"/>
        </w:rPr>
        <w:t>á</w:t>
      </w:r>
      <w:r w:rsidRPr="00F7245E">
        <w:rPr>
          <w:rFonts w:cs="Times New Roman"/>
        </w:rPr>
        <w:t>n</w:t>
      </w:r>
      <w:r w:rsidR="002600EB" w:rsidRPr="00F7245E">
        <w:rPr>
          <w:rFonts w:cs="Times New Roman"/>
        </w:rPr>
        <w:t>nal</w:t>
      </w:r>
      <w:r w:rsidRPr="00F7245E">
        <w:rPr>
          <w:rFonts w:cs="Times New Roman"/>
        </w:rPr>
        <w:t xml:space="preserve"> kezd</w:t>
      </w:r>
      <w:r w:rsidR="002600EB" w:rsidRPr="00F7245E">
        <w:rPr>
          <w:rFonts w:cs="Times New Roman"/>
        </w:rPr>
        <w:t xml:space="preserve">ik, </w:t>
      </w:r>
      <w:r w:rsidR="001307B4" w:rsidRPr="00F7245E">
        <w:rPr>
          <w:rFonts w:cs="Times New Roman"/>
        </w:rPr>
        <w:t xml:space="preserve">a megfelelő mértékű antikoagulálás biztosítása érdekében legalább két és fél napon keresztül </w:t>
      </w:r>
      <w:r w:rsidR="003B67D5" w:rsidRPr="00F7245E">
        <w:rPr>
          <w:rFonts w:cs="Times New Roman"/>
        </w:rPr>
        <w:t>nap</w:t>
      </w:r>
      <w:r w:rsidRPr="00F7245E">
        <w:rPr>
          <w:rFonts w:cs="Times New Roman"/>
        </w:rPr>
        <w:t>onta kétszer 5</w:t>
      </w:r>
      <w:r w:rsidR="004C106B" w:rsidRPr="00F7245E">
        <w:rPr>
          <w:rFonts w:cs="Times New Roman"/>
        </w:rPr>
        <w:t> mg</w:t>
      </w:r>
      <w:r w:rsidR="002600EB" w:rsidRPr="00F7245E">
        <w:rPr>
          <w:rFonts w:cs="Times New Roman"/>
        </w:rPr>
        <w:noBreakHyphen/>
      </w:r>
      <w:r w:rsidRPr="00F7245E">
        <w:rPr>
          <w:rFonts w:cs="Times New Roman"/>
        </w:rPr>
        <w:t>ot kell adni (5</w:t>
      </w:r>
      <w:r w:rsidR="002600EB" w:rsidRPr="00F7245E">
        <w:rPr>
          <w:rFonts w:cs="Times New Roman"/>
        </w:rPr>
        <w:t> </w:t>
      </w:r>
      <w:r w:rsidRPr="00F7245E">
        <w:rPr>
          <w:rFonts w:cs="Times New Roman"/>
        </w:rPr>
        <w:t>egyszeri adag) a kardioverzió előtt (lásd 5.1</w:t>
      </w:r>
      <w:r w:rsidR="004C106B" w:rsidRPr="00F7245E">
        <w:rPr>
          <w:rFonts w:cs="Times New Roman"/>
        </w:rPr>
        <w:t> pont</w:t>
      </w:r>
      <w:r w:rsidRPr="00F7245E">
        <w:rPr>
          <w:rFonts w:cs="Times New Roman"/>
        </w:rPr>
        <w:t>). Az adagolást</w:t>
      </w:r>
      <w:r w:rsidR="001307B4" w:rsidRPr="00F7245E">
        <w:rPr>
          <w:rFonts w:cs="Times New Roman"/>
        </w:rPr>
        <w:t xml:space="preserve"> </w:t>
      </w:r>
      <w:r w:rsidR="003B67D5" w:rsidRPr="00F7245E">
        <w:rPr>
          <w:rFonts w:cs="Times New Roman"/>
        </w:rPr>
        <w:t>nap</w:t>
      </w:r>
      <w:r w:rsidRPr="00F7245E">
        <w:rPr>
          <w:rFonts w:cs="Times New Roman"/>
        </w:rPr>
        <w:t>i kétszeri 2,5</w:t>
      </w:r>
      <w:r w:rsidR="004C106B" w:rsidRPr="00F7245E">
        <w:rPr>
          <w:rFonts w:cs="Times New Roman"/>
        </w:rPr>
        <w:t> mg</w:t>
      </w:r>
      <w:r w:rsidRPr="00F7245E">
        <w:rPr>
          <w:rFonts w:cs="Times New Roman"/>
        </w:rPr>
        <w:t xml:space="preserve"> apixab</w:t>
      </w:r>
      <w:r w:rsidR="002C0B56" w:rsidRPr="00F7245E">
        <w:rPr>
          <w:rFonts w:cs="Times New Roman"/>
        </w:rPr>
        <w:t>á</w:t>
      </w:r>
      <w:r w:rsidRPr="00F7245E">
        <w:rPr>
          <w:rFonts w:cs="Times New Roman"/>
        </w:rPr>
        <w:t>nra kell csökkenteni és azt legalább</w:t>
      </w:r>
      <w:r w:rsidR="00584814" w:rsidRPr="00F7245E">
        <w:rPr>
          <w:rFonts w:cs="Times New Roman"/>
        </w:rPr>
        <w:t xml:space="preserve"> két és fél napon</w:t>
      </w:r>
      <w:r w:rsidRPr="00F7245E">
        <w:rPr>
          <w:rFonts w:cs="Times New Roman"/>
        </w:rPr>
        <w:t xml:space="preserve"> keresztül (5</w:t>
      </w:r>
      <w:r w:rsidR="001307B4" w:rsidRPr="00F7245E">
        <w:rPr>
          <w:rFonts w:cs="Times New Roman"/>
        </w:rPr>
        <w:t> </w:t>
      </w:r>
      <w:r w:rsidRPr="00F7245E">
        <w:rPr>
          <w:rFonts w:cs="Times New Roman"/>
        </w:rPr>
        <w:t xml:space="preserve">egyszeri adag) kell alkalmazni, ha </w:t>
      </w:r>
      <w:r w:rsidR="009B5E6F" w:rsidRPr="00F7245E">
        <w:rPr>
          <w:rFonts w:cs="Times New Roman"/>
        </w:rPr>
        <w:t xml:space="preserve">a betegnél fennálnak a </w:t>
      </w:r>
      <w:r w:rsidRPr="00F7245E">
        <w:rPr>
          <w:rFonts w:cs="Times New Roman"/>
        </w:rPr>
        <w:t xml:space="preserve">dóziscsökkentés feltételei (lásd a fenti </w:t>
      </w:r>
      <w:r w:rsidR="001307B4" w:rsidRPr="00F7245E">
        <w:rPr>
          <w:rFonts w:cs="Times New Roman"/>
          <w:i/>
          <w:iCs/>
        </w:rPr>
        <w:t>„</w:t>
      </w:r>
      <w:r w:rsidRPr="00F7245E">
        <w:rPr>
          <w:rFonts w:cs="Times New Roman"/>
          <w:i/>
          <w:iCs/>
        </w:rPr>
        <w:t>Dóziscsökkentés</w:t>
      </w:r>
      <w:r w:rsidR="001307B4" w:rsidRPr="00F7245E">
        <w:rPr>
          <w:rFonts w:cs="Times New Roman"/>
          <w:i/>
          <w:iCs/>
        </w:rPr>
        <w:t>”</w:t>
      </w:r>
      <w:r w:rsidRPr="00F7245E">
        <w:rPr>
          <w:rFonts w:cs="Times New Roman"/>
        </w:rPr>
        <w:t xml:space="preserve"> és </w:t>
      </w:r>
      <w:r w:rsidR="001307B4" w:rsidRPr="00F7245E">
        <w:rPr>
          <w:rFonts w:cs="Times New Roman"/>
          <w:i/>
          <w:iCs/>
        </w:rPr>
        <w:t>„</w:t>
      </w:r>
      <w:r w:rsidRPr="00F7245E">
        <w:rPr>
          <w:rFonts w:cs="Times New Roman"/>
          <w:i/>
          <w:iCs/>
        </w:rPr>
        <w:t>Vesekárosodás</w:t>
      </w:r>
      <w:r w:rsidR="001307B4" w:rsidRPr="00F7245E">
        <w:rPr>
          <w:rFonts w:cs="Times New Roman"/>
          <w:i/>
          <w:iCs/>
        </w:rPr>
        <w:t>”</w:t>
      </w:r>
      <w:r w:rsidRPr="00F7245E">
        <w:rPr>
          <w:rFonts w:cs="Times New Roman"/>
        </w:rPr>
        <w:t xml:space="preserve"> </w:t>
      </w:r>
      <w:r w:rsidR="00584814" w:rsidRPr="00F7245E">
        <w:rPr>
          <w:rFonts w:cs="Times New Roman"/>
        </w:rPr>
        <w:t>pontokat</w:t>
      </w:r>
      <w:r w:rsidRPr="00F7245E">
        <w:rPr>
          <w:rFonts w:cs="Times New Roman"/>
        </w:rPr>
        <w:t>).</w:t>
      </w:r>
    </w:p>
    <w:p w14:paraId="2326831D" w14:textId="77777777" w:rsidR="00B62AE4" w:rsidRPr="00F7245E" w:rsidRDefault="00B62AE4" w:rsidP="00A21724">
      <w:pPr>
        <w:pStyle w:val="Nincstrkz"/>
        <w:rPr>
          <w:rFonts w:cs="Times New Roman"/>
        </w:rPr>
      </w:pPr>
    </w:p>
    <w:p w14:paraId="1780C5EE" w14:textId="336B2526" w:rsidR="00B62AE4" w:rsidRPr="00F7245E" w:rsidRDefault="001307B4" w:rsidP="00A21724">
      <w:pPr>
        <w:pStyle w:val="Nincstrkz"/>
        <w:rPr>
          <w:rFonts w:cs="Times New Roman"/>
        </w:rPr>
      </w:pPr>
      <w:r w:rsidRPr="00F7245E">
        <w:rPr>
          <w:rFonts w:cs="Times New Roman"/>
        </w:rPr>
        <w:t xml:space="preserve">Amennyiben </w:t>
      </w:r>
      <w:r w:rsidR="00D60484" w:rsidRPr="00F7245E">
        <w:rPr>
          <w:rFonts w:cs="Times New Roman"/>
        </w:rPr>
        <w:t>azelőtt van szükség kardioverzi</w:t>
      </w:r>
      <w:r w:rsidR="0071046D" w:rsidRPr="00F7245E">
        <w:rPr>
          <w:rFonts w:cs="Times New Roman"/>
        </w:rPr>
        <w:t>ór</w:t>
      </w:r>
      <w:r w:rsidR="00D60484" w:rsidRPr="00F7245E">
        <w:rPr>
          <w:rFonts w:cs="Times New Roman"/>
        </w:rPr>
        <w:t>a</w:t>
      </w:r>
      <w:r w:rsidR="00B62AE4" w:rsidRPr="00F7245E">
        <w:rPr>
          <w:rFonts w:cs="Times New Roman"/>
        </w:rPr>
        <w:t xml:space="preserve">, </w:t>
      </w:r>
      <w:r w:rsidR="00D60484" w:rsidRPr="00F7245E">
        <w:rPr>
          <w:rFonts w:cs="Times New Roman"/>
        </w:rPr>
        <w:t xml:space="preserve">mielőtt </w:t>
      </w:r>
      <w:r w:rsidR="00B62AE4" w:rsidRPr="00F7245E">
        <w:rPr>
          <w:rFonts w:cs="Times New Roman"/>
        </w:rPr>
        <w:t>a</w:t>
      </w:r>
      <w:r w:rsidR="00584814" w:rsidRPr="00F7245E">
        <w:rPr>
          <w:rFonts w:cs="Times New Roman"/>
        </w:rPr>
        <w:t xml:space="preserve"> beteg megkaphatta </w:t>
      </w:r>
      <w:r w:rsidR="00D60484" w:rsidRPr="00F7245E">
        <w:rPr>
          <w:rFonts w:cs="Times New Roman"/>
        </w:rPr>
        <w:t xml:space="preserve">volna az </w:t>
      </w:r>
      <w:r w:rsidR="00B62AE4" w:rsidRPr="00F7245E">
        <w:rPr>
          <w:rFonts w:cs="Times New Roman"/>
        </w:rPr>
        <w:t>5</w:t>
      </w:r>
      <w:r w:rsidR="00D60484" w:rsidRPr="00F7245E">
        <w:rPr>
          <w:rFonts w:cs="Times New Roman"/>
        </w:rPr>
        <w:t> </w:t>
      </w:r>
      <w:r w:rsidR="00B62AE4" w:rsidRPr="00F7245E">
        <w:rPr>
          <w:rFonts w:cs="Times New Roman"/>
        </w:rPr>
        <w:t>adag apixab</w:t>
      </w:r>
      <w:r w:rsidR="002C0B56" w:rsidRPr="00F7245E">
        <w:rPr>
          <w:rFonts w:cs="Times New Roman"/>
        </w:rPr>
        <w:t>á</w:t>
      </w:r>
      <w:r w:rsidR="00B62AE4" w:rsidRPr="00F7245E">
        <w:rPr>
          <w:rFonts w:cs="Times New Roman"/>
        </w:rPr>
        <w:t xml:space="preserve">nt, </w:t>
      </w:r>
      <w:r w:rsidR="00D60484" w:rsidRPr="00F7245E">
        <w:rPr>
          <w:rFonts w:cs="Times New Roman"/>
        </w:rPr>
        <w:t>a</w:t>
      </w:r>
      <w:r w:rsidR="00584814" w:rsidRPr="00F7245E">
        <w:rPr>
          <w:rFonts w:cs="Times New Roman"/>
        </w:rPr>
        <w:t xml:space="preserve"> betegnek</w:t>
      </w:r>
      <w:r w:rsidR="00D60484" w:rsidRPr="00F7245E">
        <w:rPr>
          <w:rFonts w:cs="Times New Roman"/>
        </w:rPr>
        <w:t xml:space="preserve"> </w:t>
      </w:r>
      <w:r w:rsidR="00B62AE4" w:rsidRPr="00F7245E">
        <w:rPr>
          <w:rFonts w:cs="Times New Roman"/>
        </w:rPr>
        <w:t>10</w:t>
      </w:r>
      <w:r w:rsidR="004C106B" w:rsidRPr="00F7245E">
        <w:rPr>
          <w:rFonts w:cs="Times New Roman"/>
        </w:rPr>
        <w:t> mg</w:t>
      </w:r>
      <w:r w:rsidR="00B62AE4" w:rsidRPr="00F7245E">
        <w:rPr>
          <w:rFonts w:cs="Times New Roman"/>
        </w:rPr>
        <w:t xml:space="preserve"> </w:t>
      </w:r>
      <w:r w:rsidR="0037685F" w:rsidRPr="00F7245E">
        <w:rPr>
          <w:rFonts w:cs="Times New Roman"/>
        </w:rPr>
        <w:t>telítő</w:t>
      </w:r>
      <w:r w:rsidR="00B62AE4" w:rsidRPr="00F7245E">
        <w:rPr>
          <w:rFonts w:cs="Times New Roman"/>
        </w:rPr>
        <w:t xml:space="preserve"> dózist kell </w:t>
      </w:r>
      <w:r w:rsidR="00D60484" w:rsidRPr="00F7245E">
        <w:rPr>
          <w:rFonts w:cs="Times New Roman"/>
        </w:rPr>
        <w:t>adni</w:t>
      </w:r>
      <w:r w:rsidR="00B62AE4" w:rsidRPr="00F7245E">
        <w:rPr>
          <w:rFonts w:cs="Times New Roman"/>
        </w:rPr>
        <w:t>, majd</w:t>
      </w:r>
      <w:r w:rsidR="00D60484" w:rsidRPr="00F7245E">
        <w:rPr>
          <w:rFonts w:cs="Times New Roman"/>
        </w:rPr>
        <w:t xml:space="preserve"> ezt követően </w:t>
      </w:r>
      <w:r w:rsidR="003B67D5" w:rsidRPr="00F7245E">
        <w:rPr>
          <w:rFonts w:cs="Times New Roman"/>
        </w:rPr>
        <w:t>nap</w:t>
      </w:r>
      <w:r w:rsidR="00B62AE4" w:rsidRPr="00F7245E">
        <w:rPr>
          <w:rFonts w:cs="Times New Roman"/>
        </w:rPr>
        <w:t>onta kétszer 5</w:t>
      </w:r>
      <w:r w:rsidR="004C106B" w:rsidRPr="00F7245E">
        <w:rPr>
          <w:rFonts w:cs="Times New Roman"/>
        </w:rPr>
        <w:t> mg</w:t>
      </w:r>
      <w:r w:rsidR="00D60484" w:rsidRPr="00F7245E">
        <w:rPr>
          <w:rFonts w:cs="Times New Roman"/>
        </w:rPr>
        <w:noBreakHyphen/>
      </w:r>
      <w:r w:rsidR="00B62AE4" w:rsidRPr="00F7245E">
        <w:rPr>
          <w:rFonts w:cs="Times New Roman"/>
        </w:rPr>
        <w:t xml:space="preserve">ot. Az adagolást </w:t>
      </w:r>
      <w:r w:rsidR="00D60484" w:rsidRPr="00F7245E">
        <w:rPr>
          <w:rFonts w:cs="Times New Roman"/>
        </w:rPr>
        <w:t xml:space="preserve">5 mg </w:t>
      </w:r>
      <w:r w:rsidR="0037685F" w:rsidRPr="00F7245E">
        <w:rPr>
          <w:rFonts w:cs="Times New Roman"/>
        </w:rPr>
        <w:t>telítő</w:t>
      </w:r>
      <w:r w:rsidR="00D60484" w:rsidRPr="00F7245E">
        <w:rPr>
          <w:rFonts w:cs="Times New Roman"/>
        </w:rPr>
        <w:t xml:space="preserve"> dózisra </w:t>
      </w:r>
      <w:r w:rsidR="00B62AE4" w:rsidRPr="00F7245E">
        <w:rPr>
          <w:rFonts w:cs="Times New Roman"/>
        </w:rPr>
        <w:t>kell csökkenteni, majd</w:t>
      </w:r>
      <w:r w:rsidR="006771F7" w:rsidRPr="00F7245E">
        <w:rPr>
          <w:rFonts w:cs="Times New Roman"/>
        </w:rPr>
        <w:t xml:space="preserve"> </w:t>
      </w:r>
      <w:r w:rsidR="003B67D5" w:rsidRPr="00F7245E">
        <w:rPr>
          <w:rFonts w:cs="Times New Roman"/>
        </w:rPr>
        <w:t>nap</w:t>
      </w:r>
      <w:r w:rsidR="00B62AE4" w:rsidRPr="00F7245E">
        <w:rPr>
          <w:rFonts w:cs="Times New Roman"/>
        </w:rPr>
        <w:t>onta kétszer 2,5</w:t>
      </w:r>
      <w:r w:rsidR="004C106B" w:rsidRPr="00F7245E">
        <w:rPr>
          <w:rFonts w:cs="Times New Roman"/>
        </w:rPr>
        <w:t> mg</w:t>
      </w:r>
      <w:r w:rsidR="006771F7" w:rsidRPr="00F7245E">
        <w:rPr>
          <w:rFonts w:cs="Times New Roman"/>
        </w:rPr>
        <w:noBreakHyphen/>
      </w:r>
      <w:r w:rsidR="00B62AE4" w:rsidRPr="00F7245E">
        <w:rPr>
          <w:rFonts w:cs="Times New Roman"/>
        </w:rPr>
        <w:t>ra, ha a</w:t>
      </w:r>
      <w:r w:rsidR="00584814" w:rsidRPr="00F7245E">
        <w:rPr>
          <w:rFonts w:cs="Times New Roman"/>
        </w:rPr>
        <w:t xml:space="preserve"> </w:t>
      </w:r>
      <w:r w:rsidR="00A1416D" w:rsidRPr="00F7245E">
        <w:rPr>
          <w:rFonts w:cs="Times New Roman"/>
        </w:rPr>
        <w:t>beteg</w:t>
      </w:r>
      <w:r w:rsidR="00B62AE4" w:rsidRPr="00F7245E">
        <w:rPr>
          <w:rFonts w:cs="Times New Roman"/>
        </w:rPr>
        <w:t xml:space="preserve"> megfelel a dóziscsökkentés feltételeinek (lásd a fenti </w:t>
      </w:r>
      <w:r w:rsidR="006771F7" w:rsidRPr="00F7245E">
        <w:rPr>
          <w:rFonts w:cs="Times New Roman"/>
        </w:rPr>
        <w:t>„</w:t>
      </w:r>
      <w:r w:rsidR="00B62AE4" w:rsidRPr="00F7245E">
        <w:rPr>
          <w:rFonts w:cs="Times New Roman"/>
        </w:rPr>
        <w:t>Dóziscsökkentés</w:t>
      </w:r>
      <w:r w:rsidR="006771F7" w:rsidRPr="00F7245E">
        <w:rPr>
          <w:rFonts w:cs="Times New Roman"/>
        </w:rPr>
        <w:t>”</w:t>
      </w:r>
      <w:r w:rsidR="00B62AE4" w:rsidRPr="00F7245E">
        <w:rPr>
          <w:rFonts w:cs="Times New Roman"/>
        </w:rPr>
        <w:t xml:space="preserve"> és </w:t>
      </w:r>
      <w:r w:rsidR="006771F7" w:rsidRPr="00F7245E">
        <w:rPr>
          <w:rFonts w:cs="Times New Roman"/>
        </w:rPr>
        <w:t>„</w:t>
      </w:r>
      <w:r w:rsidR="00B62AE4" w:rsidRPr="00F7245E">
        <w:rPr>
          <w:rFonts w:cs="Times New Roman"/>
        </w:rPr>
        <w:t>Vesekárosodás</w:t>
      </w:r>
      <w:r w:rsidR="006771F7" w:rsidRPr="00F7245E">
        <w:rPr>
          <w:rFonts w:cs="Times New Roman"/>
        </w:rPr>
        <w:t>”</w:t>
      </w:r>
      <w:r w:rsidR="00B62AE4" w:rsidRPr="00F7245E">
        <w:rPr>
          <w:rFonts w:cs="Times New Roman"/>
        </w:rPr>
        <w:t xml:space="preserve"> </w:t>
      </w:r>
      <w:r w:rsidR="00584814" w:rsidRPr="00F7245E">
        <w:rPr>
          <w:rFonts w:cs="Times New Roman"/>
        </w:rPr>
        <w:t>pont</w:t>
      </w:r>
      <w:r w:rsidR="00B62AE4" w:rsidRPr="00F7245E">
        <w:rPr>
          <w:rFonts w:cs="Times New Roman"/>
        </w:rPr>
        <w:t xml:space="preserve">). A </w:t>
      </w:r>
      <w:r w:rsidR="0037685F" w:rsidRPr="00F7245E">
        <w:rPr>
          <w:rFonts w:cs="Times New Roman"/>
        </w:rPr>
        <w:t>telítő</w:t>
      </w:r>
      <w:r w:rsidR="00B62AE4" w:rsidRPr="00F7245E">
        <w:rPr>
          <w:rFonts w:cs="Times New Roman"/>
        </w:rPr>
        <w:t xml:space="preserve"> dózist legalább 2</w:t>
      </w:r>
      <w:r w:rsidR="0071046D" w:rsidRPr="00F7245E">
        <w:rPr>
          <w:rFonts w:cs="Times New Roman"/>
        </w:rPr>
        <w:t> ór</w:t>
      </w:r>
      <w:r w:rsidR="00B62AE4" w:rsidRPr="00F7245E">
        <w:rPr>
          <w:rFonts w:cs="Times New Roman"/>
        </w:rPr>
        <w:t>ával a kardioverzió előtt kell beadni (lásd 5.1</w:t>
      </w:r>
      <w:r w:rsidR="004C106B" w:rsidRPr="00F7245E">
        <w:rPr>
          <w:rFonts w:cs="Times New Roman"/>
        </w:rPr>
        <w:t> pont</w:t>
      </w:r>
      <w:r w:rsidR="00B62AE4" w:rsidRPr="00F7245E">
        <w:rPr>
          <w:rFonts w:cs="Times New Roman"/>
        </w:rPr>
        <w:t>).</w:t>
      </w:r>
    </w:p>
    <w:p w14:paraId="4235FF7F" w14:textId="77777777" w:rsidR="00B62AE4" w:rsidRPr="00F7245E" w:rsidRDefault="00B62AE4" w:rsidP="00A21724">
      <w:pPr>
        <w:pStyle w:val="Nincstrkz"/>
        <w:rPr>
          <w:rFonts w:cs="Times New Roman"/>
        </w:rPr>
      </w:pPr>
    </w:p>
    <w:p w14:paraId="2C978248" w14:textId="23223499" w:rsidR="00B62AE4" w:rsidRPr="00F7245E" w:rsidRDefault="0097069C" w:rsidP="00A21724">
      <w:pPr>
        <w:pStyle w:val="Nincstrkz"/>
        <w:rPr>
          <w:rFonts w:cs="Times New Roman"/>
        </w:rPr>
      </w:pPr>
      <w:r w:rsidRPr="00F7245E">
        <w:rPr>
          <w:rFonts w:cs="Times New Roman"/>
        </w:rPr>
        <w:t>A kardioverzióban részesülő összes betegnél a kardioverzió előtt meg kell győződni arról, hogy a beteg a felírtak szerint bevette az apixabánt.</w:t>
      </w:r>
      <w:r w:rsidR="00B62AE4" w:rsidRPr="00F7245E">
        <w:rPr>
          <w:rFonts w:cs="Times New Roman"/>
        </w:rPr>
        <w:t xml:space="preserve"> </w:t>
      </w:r>
      <w:r w:rsidRPr="00F7245E">
        <w:rPr>
          <w:rFonts w:cs="Times New Roman"/>
        </w:rPr>
        <w:t>A kezelés megkezdésére és a kezelés időtartamára vonatkozó döntésnél figyelembe kell venni a kardioverzión áteső betegek antikoagulációs kezelésére vonatkozó érvényben lévő ajánlásokat.</w:t>
      </w:r>
    </w:p>
    <w:p w14:paraId="4B6DC126" w14:textId="77777777" w:rsidR="00B62AE4" w:rsidRPr="00F7245E" w:rsidRDefault="00B62AE4" w:rsidP="00A21724">
      <w:pPr>
        <w:pStyle w:val="Nincstrkz"/>
        <w:rPr>
          <w:rFonts w:cs="Times New Roman"/>
        </w:rPr>
      </w:pPr>
    </w:p>
    <w:p w14:paraId="760A6CE4" w14:textId="4E73A8E5" w:rsidR="00F3552E" w:rsidRPr="00F7245E" w:rsidRDefault="00B62AE4" w:rsidP="00A21724">
      <w:pPr>
        <w:pStyle w:val="Nincstrkz"/>
        <w:rPr>
          <w:rFonts w:cs="Times New Roman"/>
          <w:i/>
          <w:iCs/>
          <w:u w:val="single"/>
        </w:rPr>
      </w:pPr>
      <w:r w:rsidRPr="00F7245E">
        <w:rPr>
          <w:rFonts w:cs="Times New Roman"/>
          <w:i/>
          <w:iCs/>
          <w:u w:val="single"/>
        </w:rPr>
        <w:t>N</w:t>
      </w:r>
      <w:r w:rsidR="00F3552E" w:rsidRPr="00F7245E">
        <w:rPr>
          <w:rFonts w:cs="Times New Roman"/>
          <w:i/>
          <w:iCs/>
          <w:u w:val="single"/>
        </w:rPr>
        <w:t>em valvuláris pitvarfibrillációban (N</w:t>
      </w:r>
      <w:r w:rsidRPr="00F7245E">
        <w:rPr>
          <w:rFonts w:cs="Times New Roman"/>
          <w:i/>
          <w:iCs/>
          <w:u w:val="single"/>
        </w:rPr>
        <w:t>V</w:t>
      </w:r>
      <w:r w:rsidR="00F3552E" w:rsidRPr="00F7245E">
        <w:rPr>
          <w:rFonts w:cs="Times New Roman"/>
          <w:i/>
          <w:iCs/>
          <w:u w:val="single"/>
        </w:rPr>
        <w:t>P</w:t>
      </w:r>
      <w:r w:rsidRPr="00F7245E">
        <w:rPr>
          <w:rFonts w:cs="Times New Roman"/>
          <w:i/>
          <w:iCs/>
          <w:u w:val="single"/>
        </w:rPr>
        <w:t>F</w:t>
      </w:r>
      <w:r w:rsidR="00F3552E" w:rsidRPr="00F7245E">
        <w:rPr>
          <w:rFonts w:cs="Times New Roman"/>
          <w:i/>
          <w:iCs/>
          <w:u w:val="single"/>
        </w:rPr>
        <w:t xml:space="preserve">) és </w:t>
      </w:r>
      <w:r w:rsidRPr="00F7245E">
        <w:rPr>
          <w:rFonts w:cs="Times New Roman"/>
          <w:i/>
          <w:iCs/>
          <w:u w:val="single"/>
        </w:rPr>
        <w:t>akut coronaria szindrómá</w:t>
      </w:r>
      <w:r w:rsidR="00F3552E" w:rsidRPr="00F7245E">
        <w:rPr>
          <w:rFonts w:cs="Times New Roman"/>
          <w:i/>
          <w:iCs/>
          <w:u w:val="single"/>
        </w:rPr>
        <w:t xml:space="preserve">ban </w:t>
      </w:r>
      <w:r w:rsidRPr="00F7245E">
        <w:rPr>
          <w:rFonts w:cs="Times New Roman"/>
          <w:i/>
          <w:iCs/>
          <w:u w:val="single"/>
        </w:rPr>
        <w:t xml:space="preserve">(ACS) </w:t>
      </w:r>
      <w:r w:rsidR="006D1177" w:rsidRPr="00F7245E">
        <w:rPr>
          <w:rFonts w:cs="Times New Roman"/>
          <w:i/>
          <w:iCs/>
          <w:u w:val="single"/>
        </w:rPr>
        <w:t xml:space="preserve">szenvedő </w:t>
      </w:r>
      <w:r w:rsidRPr="00F7245E">
        <w:rPr>
          <w:rFonts w:cs="Times New Roman"/>
          <w:i/>
          <w:iCs/>
          <w:u w:val="single"/>
        </w:rPr>
        <w:t xml:space="preserve">és/vagy </w:t>
      </w:r>
      <w:r w:rsidR="00AD265A" w:rsidRPr="00F7245E">
        <w:rPr>
          <w:rFonts w:cs="Times New Roman"/>
          <w:i/>
          <w:iCs/>
          <w:u w:val="single"/>
        </w:rPr>
        <w:t>percutan</w:t>
      </w:r>
      <w:r w:rsidRPr="00F7245E">
        <w:rPr>
          <w:rFonts w:cs="Times New Roman"/>
          <w:i/>
          <w:iCs/>
          <w:u w:val="single"/>
        </w:rPr>
        <w:t xml:space="preserve"> coronaria intervenció</w:t>
      </w:r>
      <w:r w:rsidR="00F3552E" w:rsidRPr="00F7245E">
        <w:rPr>
          <w:rFonts w:cs="Times New Roman"/>
          <w:i/>
          <w:iCs/>
          <w:u w:val="single"/>
        </w:rPr>
        <w:t>ban</w:t>
      </w:r>
      <w:r w:rsidRPr="00F7245E">
        <w:rPr>
          <w:rFonts w:cs="Times New Roman"/>
          <w:i/>
          <w:iCs/>
          <w:u w:val="single"/>
        </w:rPr>
        <w:t xml:space="preserve"> (PCI)</w:t>
      </w:r>
      <w:r w:rsidR="00F3552E" w:rsidRPr="00F7245E">
        <w:rPr>
          <w:rFonts w:cs="Times New Roman"/>
          <w:i/>
          <w:iCs/>
          <w:u w:val="single"/>
        </w:rPr>
        <w:t xml:space="preserve"> </w:t>
      </w:r>
      <w:r w:rsidR="006D1177" w:rsidRPr="00F7245E">
        <w:rPr>
          <w:rFonts w:cs="Times New Roman"/>
          <w:i/>
          <w:iCs/>
          <w:u w:val="single"/>
        </w:rPr>
        <w:t xml:space="preserve">részesülő </w:t>
      </w:r>
      <w:r w:rsidR="00A1416D" w:rsidRPr="00F7245E">
        <w:rPr>
          <w:rFonts w:cs="Times New Roman"/>
          <w:i/>
          <w:iCs/>
          <w:u w:val="single"/>
        </w:rPr>
        <w:t>beteg</w:t>
      </w:r>
      <w:r w:rsidR="00F3552E" w:rsidRPr="00F7245E">
        <w:rPr>
          <w:rFonts w:cs="Times New Roman"/>
          <w:i/>
          <w:iCs/>
          <w:u w:val="single"/>
        </w:rPr>
        <w:t>ek</w:t>
      </w:r>
      <w:r w:rsidRPr="00F7245E">
        <w:rPr>
          <w:rFonts w:cs="Times New Roman"/>
          <w:i/>
          <w:iCs/>
          <w:u w:val="single"/>
        </w:rPr>
        <w:t xml:space="preserve"> </w:t>
      </w:r>
    </w:p>
    <w:p w14:paraId="278205BA" w14:textId="47D04E05" w:rsidR="00F36278" w:rsidRPr="00F7245E" w:rsidRDefault="00F36278" w:rsidP="00A21724">
      <w:pPr>
        <w:pStyle w:val="Nincstrkz"/>
        <w:rPr>
          <w:rFonts w:cs="Times New Roman"/>
        </w:rPr>
      </w:pPr>
      <w:r w:rsidRPr="00F7245E">
        <w:rPr>
          <w:rFonts w:cs="Times New Roman"/>
        </w:rPr>
        <w:t>Korlátozottak a rendelkezésre álló tapasztalatok az apixabán NVAF-betegek kezelésében ajánlott dózisáról olyan esetben, amikor thrombocytaaggregáció-gátló szerekkel együttesen alkalmazzák ACS-ben szenvedő betegeknél és/vagy PCI-n átesett betegeknél a haemostasis helyreállása után (lásd 4.4 és 5.1 pont).</w:t>
      </w:r>
    </w:p>
    <w:p w14:paraId="1C2A2B85" w14:textId="77777777" w:rsidR="00B62AE4" w:rsidRPr="00F7245E" w:rsidRDefault="00B62AE4" w:rsidP="00A21724">
      <w:pPr>
        <w:pStyle w:val="Nincstrkz"/>
        <w:rPr>
          <w:rFonts w:cs="Times New Roman"/>
        </w:rPr>
      </w:pPr>
    </w:p>
    <w:p w14:paraId="7099C003" w14:textId="77777777" w:rsidR="007314A3" w:rsidRPr="00F7245E" w:rsidRDefault="007314A3" w:rsidP="007314A3">
      <w:pPr>
        <w:rPr>
          <w:i/>
          <w:lang w:eastAsia="en-US" w:bidi="ar-SA"/>
        </w:rPr>
      </w:pPr>
      <w:r w:rsidRPr="00F7245E">
        <w:rPr>
          <w:i/>
          <w:u w:val="single"/>
          <w:lang w:eastAsia="en-US" w:bidi="ar-SA"/>
        </w:rPr>
        <w:t>Gyermekek és serdülők</w:t>
      </w:r>
    </w:p>
    <w:p w14:paraId="55681911" w14:textId="0AC01C3B" w:rsidR="007314A3" w:rsidRPr="00F7245E" w:rsidRDefault="007314A3" w:rsidP="007314A3">
      <w:pPr>
        <w:rPr>
          <w:lang w:eastAsia="en-US" w:bidi="ar-SA"/>
        </w:rPr>
      </w:pPr>
      <w:r w:rsidRPr="00F7245E">
        <w:rPr>
          <w:lang w:eastAsia="en-US" w:bidi="ar-SA"/>
        </w:rPr>
        <w:t>Az apixabán biztonságosságát és hatásosságát gyermekek és serdülők (28 napos kortól betöltött 18 éves korig) esetében kizárólag vénás thromboembolia (VTE) kezelése és a VTE kiújulásának megelőzése indikációkban igazolták. Nincsenek rendelkezésre álló adatok újszülöttekre és egyéb javallatokra vonatkozóan (lásd még 5.1 pont). Ezért a Voziberin alkalmazása nem javasolt újszülötteknél, valamint gyermekeknél és serdülőknél (28 napos kortól betöltött 18 éves korig) a VTE kezelésétől és a VTE kiújulásának megelőzésétől eltérő indikációban.</w:t>
      </w:r>
    </w:p>
    <w:p w14:paraId="15968343" w14:textId="77777777" w:rsidR="007314A3" w:rsidRPr="00F7245E" w:rsidRDefault="007314A3" w:rsidP="007314A3">
      <w:pPr>
        <w:rPr>
          <w:lang w:eastAsia="en-US" w:bidi="ar-SA"/>
        </w:rPr>
      </w:pPr>
    </w:p>
    <w:p w14:paraId="4A364BE6" w14:textId="77777777" w:rsidR="007314A3" w:rsidRPr="00F7245E" w:rsidRDefault="007314A3" w:rsidP="007314A3">
      <w:pPr>
        <w:rPr>
          <w:lang w:eastAsia="en-US" w:bidi="ar-SA"/>
        </w:rPr>
      </w:pPr>
      <w:r w:rsidRPr="00F7245E">
        <w:rPr>
          <w:lang w:eastAsia="en-US" w:bidi="ar-SA"/>
        </w:rPr>
        <w:t>Az apixabán biztonságosságát és hatásosságát 18 évesnél fiatalabb gyermekek és serdülők esetében thromboembolia megelőzése indikációban nem igazolták. A thromboembolia megelőzésével kapcsolatos jelenleg rendelkezésre álló adatok leírása az 5.1 pontban található, de nincs az adagolásra vonatkozó javaslat.</w:t>
      </w:r>
    </w:p>
    <w:p w14:paraId="200A96FD" w14:textId="77777777" w:rsidR="007314A3" w:rsidRPr="00F7245E" w:rsidRDefault="007314A3" w:rsidP="007314A3">
      <w:pPr>
        <w:rPr>
          <w:lang w:eastAsia="en-US" w:bidi="ar-SA"/>
        </w:rPr>
      </w:pPr>
    </w:p>
    <w:p w14:paraId="00EDB2AE" w14:textId="174C201E" w:rsidR="007314A3" w:rsidRPr="00F7245E" w:rsidRDefault="007314A3" w:rsidP="00F7245E">
      <w:r w:rsidRPr="00F7245E">
        <w:rPr>
          <w:i/>
          <w:u w:val="single"/>
          <w:lang w:eastAsia="en-US" w:bidi="ar-SA"/>
        </w:rPr>
        <w:t>Az alkalmazás módja felnőtteknél, valamint gyermekeknél és serdülőknél</w:t>
      </w:r>
    </w:p>
    <w:p w14:paraId="699FE20F" w14:textId="780F6048" w:rsidR="00B62AE4" w:rsidRPr="00F7245E" w:rsidRDefault="00B62AE4" w:rsidP="00A21724">
      <w:pPr>
        <w:pStyle w:val="Nincstrkz"/>
        <w:rPr>
          <w:rFonts w:cs="Times New Roman"/>
        </w:rPr>
      </w:pPr>
      <w:r w:rsidRPr="00F7245E">
        <w:rPr>
          <w:rFonts w:cs="Times New Roman"/>
        </w:rPr>
        <w:t>Szájon át történő alkalmazás</w:t>
      </w:r>
      <w:r w:rsidR="003E2B05" w:rsidRPr="00F7245E">
        <w:rPr>
          <w:rFonts w:cs="Times New Roman"/>
        </w:rPr>
        <w:t>ra</w:t>
      </w:r>
      <w:r w:rsidRPr="00F7245E">
        <w:rPr>
          <w:rFonts w:cs="Times New Roman"/>
        </w:rPr>
        <w:t>.</w:t>
      </w:r>
    </w:p>
    <w:p w14:paraId="35B04A38" w14:textId="0B968902" w:rsidR="00B62AE4" w:rsidRPr="00F7245E" w:rsidRDefault="00F665F7" w:rsidP="00A21724">
      <w:pPr>
        <w:pStyle w:val="Nincstrkz"/>
        <w:rPr>
          <w:rFonts w:cs="Times New Roman"/>
        </w:rPr>
      </w:pPr>
      <w:r w:rsidRPr="00F7245E">
        <w:rPr>
          <w:rFonts w:cs="Times New Roman"/>
        </w:rPr>
        <w:t>A</w:t>
      </w:r>
      <w:r w:rsidR="00B62AE4" w:rsidRPr="00F7245E">
        <w:rPr>
          <w:rFonts w:cs="Times New Roman"/>
        </w:rPr>
        <w:t xml:space="preserve"> </w:t>
      </w:r>
      <w:r w:rsidRPr="00F7245E">
        <w:rPr>
          <w:rFonts w:cs="Times New Roman"/>
          <w:lang w:val="en-US"/>
        </w:rPr>
        <w:t>Voziberin</w:t>
      </w:r>
      <w:r w:rsidR="00B22E28" w:rsidRPr="00F7245E">
        <w:rPr>
          <w:rFonts w:cs="Times New Roman"/>
        </w:rPr>
        <w:noBreakHyphen/>
      </w:r>
      <w:r w:rsidR="00B62AE4" w:rsidRPr="00F7245E">
        <w:rPr>
          <w:rFonts w:cs="Times New Roman"/>
        </w:rPr>
        <w:t>t étkezés közben vagy attól függetlenül, vízzel kell bevenni.</w:t>
      </w:r>
    </w:p>
    <w:p w14:paraId="471C1EFC" w14:textId="77777777" w:rsidR="00B62AE4" w:rsidRPr="00F7245E" w:rsidRDefault="00B62AE4" w:rsidP="00A21724">
      <w:pPr>
        <w:pStyle w:val="Nincstrkz"/>
        <w:rPr>
          <w:rFonts w:cs="Times New Roman"/>
        </w:rPr>
      </w:pPr>
    </w:p>
    <w:p w14:paraId="7F0E2D8C" w14:textId="1F183830" w:rsidR="00306806" w:rsidRPr="00F7245E" w:rsidRDefault="00B22E28" w:rsidP="00A21724">
      <w:pPr>
        <w:pStyle w:val="Nincstrkz"/>
        <w:rPr>
          <w:rFonts w:cs="Times New Roman"/>
          <w:spacing w:val="-7"/>
          <w:w w:val="105"/>
        </w:rPr>
      </w:pPr>
      <w:r w:rsidRPr="00F7245E">
        <w:rPr>
          <w:rFonts w:cs="Times New Roman"/>
          <w:w w:val="105"/>
        </w:rPr>
        <w:t>O</w:t>
      </w:r>
      <w:r w:rsidR="00B62AE4" w:rsidRPr="00F7245E">
        <w:rPr>
          <w:rFonts w:cs="Times New Roman"/>
          <w:w w:val="105"/>
        </w:rPr>
        <w:t>lyan</w:t>
      </w:r>
      <w:r w:rsidR="006D1177" w:rsidRPr="00F7245E">
        <w:rPr>
          <w:rFonts w:cs="Times New Roman"/>
          <w:w w:val="105"/>
        </w:rPr>
        <w:t xml:space="preserve"> </w:t>
      </w:r>
      <w:r w:rsidR="00A1416D" w:rsidRPr="00F7245E">
        <w:rPr>
          <w:rFonts w:cs="Times New Roman"/>
          <w:w w:val="105"/>
        </w:rPr>
        <w:t>beteg</w:t>
      </w:r>
      <w:r w:rsidR="00B62AE4" w:rsidRPr="00F7245E">
        <w:rPr>
          <w:rFonts w:cs="Times New Roman"/>
          <w:w w:val="105"/>
        </w:rPr>
        <w:t xml:space="preserve">ek számára, akik nem képesek lenyelni </w:t>
      </w:r>
      <w:r w:rsidRPr="00F7245E">
        <w:rPr>
          <w:rFonts w:cs="Times New Roman"/>
          <w:w w:val="105"/>
        </w:rPr>
        <w:t>egy egész</w:t>
      </w:r>
      <w:r w:rsidR="00B62AE4" w:rsidRPr="00F7245E">
        <w:rPr>
          <w:rFonts w:cs="Times New Roman"/>
          <w:w w:val="105"/>
        </w:rPr>
        <w:t xml:space="preserve"> tablettá</w:t>
      </w:r>
      <w:r w:rsidRPr="00F7245E">
        <w:rPr>
          <w:rFonts w:cs="Times New Roman"/>
          <w:w w:val="105"/>
        </w:rPr>
        <w:t>t</w:t>
      </w:r>
      <w:r w:rsidR="00B62AE4" w:rsidRPr="00F7245E">
        <w:rPr>
          <w:rFonts w:cs="Times New Roman"/>
          <w:w w:val="105"/>
        </w:rPr>
        <w:t xml:space="preserve">, a </w:t>
      </w:r>
      <w:r w:rsidR="00F665F7" w:rsidRPr="00F7245E">
        <w:rPr>
          <w:rFonts w:cs="Times New Roman"/>
          <w:lang w:val="en-US"/>
        </w:rPr>
        <w:t xml:space="preserve">Voziberin </w:t>
      </w:r>
      <w:r w:rsidR="00B62AE4" w:rsidRPr="00F7245E">
        <w:rPr>
          <w:rFonts w:cs="Times New Roman"/>
          <w:w w:val="105"/>
        </w:rPr>
        <w:t>tablettákat porrá</w:t>
      </w:r>
      <w:r w:rsidR="00B62AE4" w:rsidRPr="00F7245E">
        <w:rPr>
          <w:rFonts w:cs="Times New Roman"/>
          <w:spacing w:val="-12"/>
          <w:w w:val="105"/>
        </w:rPr>
        <w:t xml:space="preserve"> </w:t>
      </w:r>
      <w:r w:rsidR="00B62AE4" w:rsidRPr="00F7245E">
        <w:rPr>
          <w:rFonts w:cs="Times New Roman"/>
          <w:w w:val="105"/>
        </w:rPr>
        <w:t>lehet</w:t>
      </w:r>
      <w:r w:rsidR="00B62AE4" w:rsidRPr="00F7245E">
        <w:rPr>
          <w:rFonts w:cs="Times New Roman"/>
          <w:spacing w:val="-12"/>
          <w:w w:val="105"/>
        </w:rPr>
        <w:t xml:space="preserve"> </w:t>
      </w:r>
      <w:r w:rsidR="00B62AE4" w:rsidRPr="00F7245E">
        <w:rPr>
          <w:rFonts w:cs="Times New Roman"/>
          <w:w w:val="105"/>
        </w:rPr>
        <w:t>törni,</w:t>
      </w:r>
      <w:r w:rsidR="00B62AE4" w:rsidRPr="00F7245E">
        <w:rPr>
          <w:rFonts w:cs="Times New Roman"/>
          <w:spacing w:val="-12"/>
          <w:w w:val="105"/>
        </w:rPr>
        <w:t xml:space="preserve"> </w:t>
      </w:r>
      <w:r w:rsidR="00B62AE4" w:rsidRPr="00F7245E">
        <w:rPr>
          <w:rFonts w:cs="Times New Roman"/>
          <w:w w:val="105"/>
        </w:rPr>
        <w:t>és</w:t>
      </w:r>
      <w:r w:rsidR="00B62AE4" w:rsidRPr="00F7245E">
        <w:rPr>
          <w:rFonts w:cs="Times New Roman"/>
          <w:spacing w:val="-12"/>
          <w:w w:val="105"/>
        </w:rPr>
        <w:t xml:space="preserve"> </w:t>
      </w:r>
      <w:r w:rsidR="00B62AE4" w:rsidRPr="00F7245E">
        <w:rPr>
          <w:rFonts w:cs="Times New Roman"/>
          <w:w w:val="105"/>
        </w:rPr>
        <w:t>vízben,</w:t>
      </w:r>
      <w:r w:rsidR="00B62AE4" w:rsidRPr="00F7245E">
        <w:rPr>
          <w:rFonts w:cs="Times New Roman"/>
          <w:spacing w:val="-12"/>
          <w:w w:val="105"/>
        </w:rPr>
        <w:t xml:space="preserve"> </w:t>
      </w:r>
      <w:r w:rsidR="003E2B05" w:rsidRPr="00F7245E">
        <w:rPr>
          <w:rFonts w:cs="Times New Roman"/>
          <w:w w:val="105"/>
        </w:rPr>
        <w:t>glükóz</w:t>
      </w:r>
      <w:r w:rsidR="003E2B05" w:rsidRPr="00F7245E">
        <w:rPr>
          <w:rFonts w:cs="Times New Roman"/>
          <w:spacing w:val="-12"/>
          <w:w w:val="105"/>
        </w:rPr>
        <w:t xml:space="preserve"> </w:t>
      </w:r>
      <w:r w:rsidR="00B62AE4" w:rsidRPr="00F7245E">
        <w:rPr>
          <w:rFonts w:cs="Times New Roman"/>
          <w:w w:val="105"/>
        </w:rPr>
        <w:t>5%</w:t>
      </w:r>
      <w:r w:rsidRPr="00F7245E">
        <w:rPr>
          <w:rFonts w:cs="Times New Roman"/>
          <w:w w:val="105"/>
        </w:rPr>
        <w:noBreakHyphen/>
      </w:r>
      <w:r w:rsidR="00B62AE4" w:rsidRPr="00F7245E">
        <w:rPr>
          <w:rFonts w:cs="Times New Roman"/>
          <w:w w:val="105"/>
        </w:rPr>
        <w:t>os</w:t>
      </w:r>
      <w:r w:rsidR="00B62AE4" w:rsidRPr="00F7245E">
        <w:rPr>
          <w:rFonts w:cs="Times New Roman"/>
          <w:spacing w:val="-12"/>
          <w:w w:val="105"/>
        </w:rPr>
        <w:t xml:space="preserve"> </w:t>
      </w:r>
      <w:r w:rsidR="00B62AE4" w:rsidRPr="00F7245E">
        <w:rPr>
          <w:rFonts w:cs="Times New Roman"/>
          <w:w w:val="105"/>
        </w:rPr>
        <w:t>vizes</w:t>
      </w:r>
      <w:r w:rsidR="00B62AE4" w:rsidRPr="00F7245E">
        <w:rPr>
          <w:rFonts w:cs="Times New Roman"/>
          <w:spacing w:val="-12"/>
          <w:w w:val="105"/>
        </w:rPr>
        <w:t xml:space="preserve"> </w:t>
      </w:r>
      <w:r w:rsidR="00B62AE4" w:rsidRPr="00F7245E">
        <w:rPr>
          <w:rFonts w:cs="Times New Roman"/>
          <w:w w:val="105"/>
        </w:rPr>
        <w:t>oldatában,</w:t>
      </w:r>
      <w:r w:rsidR="00B62AE4" w:rsidRPr="00F7245E">
        <w:rPr>
          <w:rFonts w:cs="Times New Roman"/>
          <w:spacing w:val="-11"/>
          <w:w w:val="105"/>
        </w:rPr>
        <w:t xml:space="preserve"> </w:t>
      </w:r>
      <w:r w:rsidR="00B62AE4" w:rsidRPr="00F7245E">
        <w:rPr>
          <w:rFonts w:cs="Times New Roman"/>
          <w:w w:val="105"/>
        </w:rPr>
        <w:t>almalében</w:t>
      </w:r>
      <w:r w:rsidR="006D1177" w:rsidRPr="00F7245E">
        <w:rPr>
          <w:rFonts w:cs="Times New Roman"/>
          <w:w w:val="105"/>
        </w:rPr>
        <w:t xml:space="preserve"> lehet szuszpendálni</w:t>
      </w:r>
      <w:r w:rsidR="00B62AE4" w:rsidRPr="00F7245E">
        <w:rPr>
          <w:rFonts w:cs="Times New Roman"/>
          <w:w w:val="105"/>
        </w:rPr>
        <w:t>,</w:t>
      </w:r>
      <w:r w:rsidR="00B62AE4" w:rsidRPr="00F7245E">
        <w:rPr>
          <w:rFonts w:cs="Times New Roman"/>
          <w:spacing w:val="-11"/>
          <w:w w:val="105"/>
        </w:rPr>
        <w:t xml:space="preserve"> </w:t>
      </w:r>
      <w:r w:rsidR="00B62AE4" w:rsidRPr="00F7245E">
        <w:rPr>
          <w:rFonts w:cs="Times New Roman"/>
          <w:w w:val="105"/>
        </w:rPr>
        <w:t>vagy</w:t>
      </w:r>
      <w:r w:rsidR="00B62AE4" w:rsidRPr="00F7245E">
        <w:rPr>
          <w:rFonts w:cs="Times New Roman"/>
          <w:spacing w:val="-11"/>
          <w:w w:val="105"/>
        </w:rPr>
        <w:t xml:space="preserve"> </w:t>
      </w:r>
      <w:r w:rsidR="00B62AE4" w:rsidRPr="00F7245E">
        <w:rPr>
          <w:rFonts w:cs="Times New Roman"/>
          <w:w w:val="105"/>
        </w:rPr>
        <w:t xml:space="preserve">hozzá lehet keverni almapüréhez, </w:t>
      </w:r>
      <w:r w:rsidR="0005010D" w:rsidRPr="00F7245E">
        <w:rPr>
          <w:rFonts w:cs="Times New Roman"/>
          <w:w w:val="105"/>
        </w:rPr>
        <w:t>amit</w:t>
      </w:r>
      <w:r w:rsidR="00B62AE4" w:rsidRPr="00F7245E">
        <w:rPr>
          <w:rFonts w:cs="Times New Roman"/>
          <w:w w:val="105"/>
        </w:rPr>
        <w:t xml:space="preserve"> azonnal be kell adni szájon át (lásd 5.2</w:t>
      </w:r>
      <w:r w:rsidR="004C106B" w:rsidRPr="00F7245E">
        <w:rPr>
          <w:rFonts w:cs="Times New Roman"/>
          <w:w w:val="105"/>
        </w:rPr>
        <w:t> pont</w:t>
      </w:r>
      <w:r w:rsidR="00B62AE4" w:rsidRPr="00F7245E">
        <w:rPr>
          <w:rFonts w:cs="Times New Roman"/>
          <w:w w:val="105"/>
        </w:rPr>
        <w:t>). Másik megoldásként a</w:t>
      </w:r>
      <w:r w:rsidR="00F665F7" w:rsidRPr="00F7245E">
        <w:rPr>
          <w:rFonts w:cs="Times New Roman"/>
          <w:w w:val="105"/>
        </w:rPr>
        <w:t xml:space="preserve"> </w:t>
      </w:r>
      <w:r w:rsidR="00F665F7" w:rsidRPr="00F7245E">
        <w:rPr>
          <w:rFonts w:cs="Times New Roman"/>
          <w:lang w:val="en-US"/>
        </w:rPr>
        <w:t xml:space="preserve">Voziberin </w:t>
      </w:r>
      <w:r w:rsidR="00B62AE4" w:rsidRPr="00F7245E">
        <w:rPr>
          <w:rFonts w:cs="Times New Roman"/>
          <w:w w:val="105"/>
        </w:rPr>
        <w:t xml:space="preserve">tablettákat porrá lehet törni és </w:t>
      </w:r>
      <w:r w:rsidR="006D1177" w:rsidRPr="00F7245E">
        <w:rPr>
          <w:rFonts w:cs="Times New Roman"/>
          <w:w w:val="105"/>
        </w:rPr>
        <w:t>60 ml vízben vagy 5%</w:t>
      </w:r>
      <w:r w:rsidR="0005010D" w:rsidRPr="00F7245E">
        <w:rPr>
          <w:rFonts w:cs="Times New Roman"/>
          <w:w w:val="105"/>
        </w:rPr>
        <w:noBreakHyphen/>
      </w:r>
      <w:r w:rsidR="006D1177" w:rsidRPr="00F7245E">
        <w:rPr>
          <w:rFonts w:cs="Times New Roman"/>
          <w:w w:val="105"/>
        </w:rPr>
        <w:t xml:space="preserve">os </w:t>
      </w:r>
      <w:r w:rsidR="003E2B05" w:rsidRPr="00F7245E">
        <w:rPr>
          <w:rFonts w:cs="Times New Roman"/>
          <w:w w:val="105"/>
        </w:rPr>
        <w:t xml:space="preserve">glükóz </w:t>
      </w:r>
      <w:r w:rsidR="006D1177" w:rsidRPr="00F7245E">
        <w:rPr>
          <w:rFonts w:cs="Times New Roman"/>
          <w:w w:val="105"/>
        </w:rPr>
        <w:t xml:space="preserve">oldatban lehet </w:t>
      </w:r>
      <w:r w:rsidR="00B62AE4" w:rsidRPr="00F7245E">
        <w:rPr>
          <w:rFonts w:cs="Times New Roman"/>
          <w:w w:val="105"/>
        </w:rPr>
        <w:t xml:space="preserve">szuszpendálni, majd </w:t>
      </w:r>
      <w:r w:rsidR="00E3204F" w:rsidRPr="00F7245E">
        <w:rPr>
          <w:rFonts w:cs="Times New Roman"/>
          <w:w w:val="105"/>
        </w:rPr>
        <w:t>azonnal</w:t>
      </w:r>
      <w:r w:rsidR="00E3204F" w:rsidRPr="00F7245E">
        <w:rPr>
          <w:rFonts w:cs="Times New Roman"/>
          <w:spacing w:val="-6"/>
          <w:w w:val="105"/>
        </w:rPr>
        <w:t xml:space="preserve"> </w:t>
      </w:r>
      <w:r w:rsidR="00E3204F" w:rsidRPr="00F7245E">
        <w:rPr>
          <w:rFonts w:cs="Times New Roman"/>
          <w:w w:val="105"/>
        </w:rPr>
        <w:t>be</w:t>
      </w:r>
      <w:r w:rsidR="00E3204F" w:rsidRPr="00F7245E">
        <w:rPr>
          <w:rFonts w:cs="Times New Roman"/>
          <w:spacing w:val="-8"/>
          <w:w w:val="105"/>
        </w:rPr>
        <w:t xml:space="preserve"> </w:t>
      </w:r>
      <w:r w:rsidR="00E3204F" w:rsidRPr="00F7245E">
        <w:rPr>
          <w:rFonts w:cs="Times New Roman"/>
          <w:w w:val="105"/>
        </w:rPr>
        <w:t>kell</w:t>
      </w:r>
      <w:r w:rsidR="00E3204F" w:rsidRPr="00F7245E">
        <w:rPr>
          <w:rFonts w:cs="Times New Roman"/>
          <w:spacing w:val="-8"/>
          <w:w w:val="105"/>
        </w:rPr>
        <w:t xml:space="preserve"> </w:t>
      </w:r>
      <w:r w:rsidR="00E3204F" w:rsidRPr="00F7245E">
        <w:rPr>
          <w:rFonts w:cs="Times New Roman"/>
          <w:w w:val="105"/>
        </w:rPr>
        <w:t>adni</w:t>
      </w:r>
      <w:r w:rsidR="00E3204F" w:rsidRPr="00F7245E">
        <w:rPr>
          <w:rFonts w:cs="Times New Roman"/>
          <w:spacing w:val="-6"/>
          <w:w w:val="105"/>
        </w:rPr>
        <w:t xml:space="preserve"> </w:t>
      </w:r>
      <w:r w:rsidR="00B62AE4" w:rsidRPr="00F7245E">
        <w:rPr>
          <w:rFonts w:cs="Times New Roman"/>
          <w:w w:val="105"/>
        </w:rPr>
        <w:t>nasogastricus</w:t>
      </w:r>
      <w:r w:rsidR="00B62AE4" w:rsidRPr="00F7245E">
        <w:rPr>
          <w:rFonts w:cs="Times New Roman"/>
          <w:spacing w:val="-8"/>
          <w:w w:val="105"/>
        </w:rPr>
        <w:t xml:space="preserve"> </w:t>
      </w:r>
      <w:r w:rsidR="00B62AE4" w:rsidRPr="00F7245E">
        <w:rPr>
          <w:rFonts w:cs="Times New Roman"/>
          <w:w w:val="105"/>
        </w:rPr>
        <w:t>szondán</w:t>
      </w:r>
      <w:r w:rsidR="00B62AE4" w:rsidRPr="00F7245E">
        <w:rPr>
          <w:rFonts w:cs="Times New Roman"/>
          <w:spacing w:val="-8"/>
          <w:w w:val="105"/>
        </w:rPr>
        <w:t xml:space="preserve"> </w:t>
      </w:r>
      <w:r w:rsidR="00E3204F" w:rsidRPr="00F7245E">
        <w:rPr>
          <w:rFonts w:cs="Times New Roman"/>
          <w:w w:val="105"/>
        </w:rPr>
        <w:t>keresztül</w:t>
      </w:r>
      <w:r w:rsidR="00B62AE4" w:rsidRPr="00F7245E">
        <w:rPr>
          <w:rFonts w:cs="Times New Roman"/>
          <w:spacing w:val="-8"/>
          <w:w w:val="105"/>
        </w:rPr>
        <w:t xml:space="preserve"> </w:t>
      </w:r>
      <w:r w:rsidR="00B62AE4" w:rsidRPr="00F7245E">
        <w:rPr>
          <w:rFonts w:cs="Times New Roman"/>
          <w:w w:val="105"/>
        </w:rPr>
        <w:t>(lásd</w:t>
      </w:r>
      <w:r w:rsidR="00B62AE4" w:rsidRPr="00F7245E">
        <w:rPr>
          <w:rFonts w:cs="Times New Roman"/>
          <w:spacing w:val="-8"/>
          <w:w w:val="105"/>
        </w:rPr>
        <w:t xml:space="preserve"> </w:t>
      </w:r>
      <w:r w:rsidR="00B62AE4" w:rsidRPr="00F7245E">
        <w:rPr>
          <w:rFonts w:cs="Times New Roman"/>
          <w:w w:val="105"/>
        </w:rPr>
        <w:t>5.2</w:t>
      </w:r>
      <w:r w:rsidR="004C106B" w:rsidRPr="00F7245E">
        <w:rPr>
          <w:rFonts w:cs="Times New Roman"/>
          <w:spacing w:val="-8"/>
          <w:w w:val="105"/>
        </w:rPr>
        <w:t> pont</w:t>
      </w:r>
      <w:r w:rsidR="00B62AE4" w:rsidRPr="00F7245E">
        <w:rPr>
          <w:rFonts w:cs="Times New Roman"/>
          <w:w w:val="105"/>
        </w:rPr>
        <w:t>).</w:t>
      </w:r>
      <w:r w:rsidR="00B62AE4" w:rsidRPr="00F7245E">
        <w:rPr>
          <w:rFonts w:cs="Times New Roman"/>
          <w:spacing w:val="-7"/>
          <w:w w:val="105"/>
        </w:rPr>
        <w:t xml:space="preserve"> </w:t>
      </w:r>
    </w:p>
    <w:p w14:paraId="7856E686" w14:textId="68CEC6CF" w:rsidR="00B62AE4" w:rsidRPr="00F7245E" w:rsidRDefault="00B62AE4" w:rsidP="00A21724">
      <w:pPr>
        <w:pStyle w:val="Nincstrkz"/>
        <w:rPr>
          <w:rFonts w:cs="Times New Roman"/>
        </w:rPr>
      </w:pPr>
      <w:r w:rsidRPr="00F7245E">
        <w:rPr>
          <w:rFonts w:cs="Times New Roman"/>
          <w:w w:val="105"/>
        </w:rPr>
        <w:t>A</w:t>
      </w:r>
      <w:r w:rsidRPr="00F7245E">
        <w:rPr>
          <w:rFonts w:cs="Times New Roman"/>
          <w:spacing w:val="-8"/>
          <w:w w:val="105"/>
        </w:rPr>
        <w:t xml:space="preserve"> </w:t>
      </w:r>
      <w:r w:rsidRPr="00F7245E">
        <w:rPr>
          <w:rFonts w:cs="Times New Roman"/>
          <w:w w:val="105"/>
        </w:rPr>
        <w:t>porrá</w:t>
      </w:r>
      <w:r w:rsidRPr="00F7245E">
        <w:rPr>
          <w:rFonts w:cs="Times New Roman"/>
          <w:spacing w:val="-8"/>
          <w:w w:val="105"/>
        </w:rPr>
        <w:t xml:space="preserve"> </w:t>
      </w:r>
      <w:r w:rsidRPr="00F7245E">
        <w:rPr>
          <w:rFonts w:cs="Times New Roman"/>
          <w:w w:val="105"/>
        </w:rPr>
        <w:t>tört</w:t>
      </w:r>
      <w:r w:rsidRPr="00F7245E">
        <w:rPr>
          <w:rFonts w:cs="Times New Roman"/>
          <w:spacing w:val="-8"/>
          <w:w w:val="105"/>
        </w:rPr>
        <w:t xml:space="preserve"> </w:t>
      </w:r>
      <w:r w:rsidR="00F665F7" w:rsidRPr="00F7245E">
        <w:rPr>
          <w:rFonts w:cs="Times New Roman"/>
          <w:lang w:val="en-US"/>
        </w:rPr>
        <w:t xml:space="preserve">Voziberin </w:t>
      </w:r>
      <w:r w:rsidRPr="00F7245E">
        <w:rPr>
          <w:rFonts w:cs="Times New Roman"/>
          <w:w w:val="105"/>
        </w:rPr>
        <w:t>tablett</w:t>
      </w:r>
      <w:r w:rsidR="00E3204F" w:rsidRPr="00F7245E">
        <w:rPr>
          <w:rFonts w:cs="Times New Roman"/>
          <w:w w:val="105"/>
        </w:rPr>
        <w:t>a</w:t>
      </w:r>
      <w:r w:rsidRPr="00F7245E">
        <w:rPr>
          <w:rFonts w:cs="Times New Roman"/>
          <w:spacing w:val="-7"/>
          <w:w w:val="105"/>
        </w:rPr>
        <w:t xml:space="preserve"> </w:t>
      </w:r>
      <w:r w:rsidRPr="00F7245E">
        <w:rPr>
          <w:rFonts w:cs="Times New Roman"/>
          <w:w w:val="105"/>
        </w:rPr>
        <w:t>vízben,</w:t>
      </w:r>
      <w:r w:rsidR="00E3204F" w:rsidRPr="00F7245E">
        <w:rPr>
          <w:rFonts w:cs="Times New Roman"/>
          <w:w w:val="105"/>
        </w:rPr>
        <w:t xml:space="preserve"> </w:t>
      </w:r>
      <w:r w:rsidRPr="00F7245E">
        <w:rPr>
          <w:rFonts w:cs="Times New Roman"/>
          <w:w w:val="105"/>
        </w:rPr>
        <w:t>5%</w:t>
      </w:r>
      <w:r w:rsidR="00E3204F" w:rsidRPr="00F7245E">
        <w:rPr>
          <w:rFonts w:cs="Times New Roman"/>
          <w:w w:val="105"/>
        </w:rPr>
        <w:noBreakHyphen/>
      </w:r>
      <w:r w:rsidRPr="00F7245E">
        <w:rPr>
          <w:rFonts w:cs="Times New Roman"/>
          <w:w w:val="105"/>
        </w:rPr>
        <w:t xml:space="preserve">os </w:t>
      </w:r>
      <w:r w:rsidR="005D26DB">
        <w:rPr>
          <w:rFonts w:cs="Times New Roman"/>
          <w:w w:val="105"/>
        </w:rPr>
        <w:t>glükóz</w:t>
      </w:r>
      <w:r w:rsidRPr="00F7245E">
        <w:rPr>
          <w:rFonts w:cs="Times New Roman"/>
          <w:w w:val="105"/>
        </w:rPr>
        <w:t>oldatban, almalében és almapürében legfeljebb 4</w:t>
      </w:r>
      <w:r w:rsidR="0071046D" w:rsidRPr="00F7245E">
        <w:rPr>
          <w:rFonts w:cs="Times New Roman"/>
          <w:w w:val="105"/>
        </w:rPr>
        <w:t> ór</w:t>
      </w:r>
      <w:r w:rsidRPr="00F7245E">
        <w:rPr>
          <w:rFonts w:cs="Times New Roman"/>
          <w:w w:val="105"/>
        </w:rPr>
        <w:t xml:space="preserve">án keresztül </w:t>
      </w:r>
      <w:r w:rsidR="00E3204F" w:rsidRPr="00F7245E">
        <w:rPr>
          <w:rFonts w:cs="Times New Roman"/>
          <w:w w:val="105"/>
        </w:rPr>
        <w:t xml:space="preserve">marad </w:t>
      </w:r>
      <w:r w:rsidRPr="00F7245E">
        <w:rPr>
          <w:rFonts w:cs="Times New Roman"/>
          <w:w w:val="105"/>
        </w:rPr>
        <w:t>stabil.</w:t>
      </w:r>
    </w:p>
    <w:p w14:paraId="38D69146" w14:textId="77777777" w:rsidR="00B62AE4" w:rsidRPr="00F7245E" w:rsidRDefault="00B62AE4" w:rsidP="00A21724">
      <w:pPr>
        <w:pStyle w:val="Nincstrkz"/>
        <w:rPr>
          <w:rFonts w:cs="Times New Roman"/>
        </w:rPr>
      </w:pPr>
    </w:p>
    <w:p w14:paraId="1A90082B" w14:textId="37F9CE9F" w:rsidR="00B62AE4" w:rsidRPr="00F7245E" w:rsidRDefault="00E3204F" w:rsidP="00A21724">
      <w:pPr>
        <w:pStyle w:val="Nincstrkz"/>
        <w:tabs>
          <w:tab w:val="left" w:pos="567"/>
        </w:tabs>
        <w:rPr>
          <w:rFonts w:cs="Times New Roman"/>
          <w:b/>
          <w:bCs/>
        </w:rPr>
      </w:pPr>
      <w:r w:rsidRPr="00F7245E">
        <w:rPr>
          <w:rFonts w:cs="Times New Roman"/>
          <w:b/>
          <w:bCs/>
          <w:w w:val="105"/>
        </w:rPr>
        <w:t>4.3</w:t>
      </w:r>
      <w:r w:rsidRPr="00F7245E">
        <w:rPr>
          <w:rFonts w:cs="Times New Roman"/>
          <w:b/>
          <w:bCs/>
          <w:w w:val="105"/>
        </w:rPr>
        <w:tab/>
      </w:r>
      <w:r w:rsidR="00B62AE4" w:rsidRPr="00F7245E">
        <w:rPr>
          <w:rFonts w:cs="Times New Roman"/>
          <w:b/>
          <w:bCs/>
          <w:w w:val="105"/>
        </w:rPr>
        <w:t>Ellenjavallatok</w:t>
      </w:r>
    </w:p>
    <w:p w14:paraId="22961604" w14:textId="77777777" w:rsidR="00B62AE4" w:rsidRPr="00F7245E" w:rsidRDefault="00B62AE4" w:rsidP="00A21724">
      <w:pPr>
        <w:pStyle w:val="Nincstrkz"/>
        <w:rPr>
          <w:rFonts w:cs="Times New Roman"/>
          <w:bCs/>
        </w:rPr>
      </w:pPr>
    </w:p>
    <w:p w14:paraId="72D75A5C" w14:textId="4C172563" w:rsidR="00B62AE4" w:rsidRPr="00F7245E" w:rsidRDefault="00B62AE4" w:rsidP="00A21724">
      <w:pPr>
        <w:pStyle w:val="Nincstrkz"/>
        <w:numPr>
          <w:ilvl w:val="0"/>
          <w:numId w:val="14"/>
        </w:numPr>
        <w:ind w:left="567" w:hanging="567"/>
        <w:rPr>
          <w:rFonts w:cs="Times New Roman"/>
        </w:rPr>
      </w:pPr>
      <w:r w:rsidRPr="00F7245E">
        <w:rPr>
          <w:rFonts w:cs="Times New Roman"/>
        </w:rPr>
        <w:t>A készítmény hatóanyagával vagy a 6.1</w:t>
      </w:r>
      <w:r w:rsidR="006D1177" w:rsidRPr="00F7245E">
        <w:rPr>
          <w:rFonts w:cs="Times New Roman"/>
        </w:rPr>
        <w:t> pontban</w:t>
      </w:r>
      <w:r w:rsidRPr="00F7245E">
        <w:rPr>
          <w:rFonts w:cs="Times New Roman"/>
        </w:rPr>
        <w:t xml:space="preserve"> felsorolt bármely segédanyagával szembeni túlérzékenység.</w:t>
      </w:r>
    </w:p>
    <w:p w14:paraId="4AB2837E" w14:textId="77777777" w:rsidR="00B62AE4" w:rsidRPr="00F7245E" w:rsidRDefault="00B62AE4" w:rsidP="00A21724">
      <w:pPr>
        <w:pStyle w:val="Nincstrkz"/>
        <w:numPr>
          <w:ilvl w:val="0"/>
          <w:numId w:val="14"/>
        </w:numPr>
        <w:ind w:left="567" w:hanging="567"/>
        <w:rPr>
          <w:rFonts w:cs="Times New Roman"/>
        </w:rPr>
      </w:pPr>
      <w:r w:rsidRPr="00F7245E">
        <w:rPr>
          <w:rFonts w:cs="Times New Roman"/>
        </w:rPr>
        <w:t>Aktív, klinikailag jelentős vérzés.</w:t>
      </w:r>
    </w:p>
    <w:p w14:paraId="3D6B4D38" w14:textId="0E10FB79" w:rsidR="00B62AE4" w:rsidRPr="00F7245E" w:rsidRDefault="00B62AE4" w:rsidP="00A21724">
      <w:pPr>
        <w:pStyle w:val="Nincstrkz"/>
        <w:numPr>
          <w:ilvl w:val="0"/>
          <w:numId w:val="14"/>
        </w:numPr>
        <w:ind w:left="567" w:hanging="567"/>
        <w:rPr>
          <w:rFonts w:cs="Times New Roman"/>
        </w:rPr>
      </w:pPr>
      <w:r w:rsidRPr="00F7245E">
        <w:rPr>
          <w:rFonts w:cs="Times New Roman"/>
        </w:rPr>
        <w:t>Véralvadási zavarral és klinikailag jelentős vérzési kockázattal járó májbetegség (lásd 5.2</w:t>
      </w:r>
      <w:r w:rsidR="004C106B" w:rsidRPr="00F7245E">
        <w:rPr>
          <w:rFonts w:cs="Times New Roman"/>
        </w:rPr>
        <w:t> pont</w:t>
      </w:r>
      <w:r w:rsidRPr="00F7245E">
        <w:rPr>
          <w:rFonts w:cs="Times New Roman"/>
        </w:rPr>
        <w:t>).</w:t>
      </w:r>
    </w:p>
    <w:p w14:paraId="587E2C04" w14:textId="347E63B6" w:rsidR="00B62AE4" w:rsidRPr="00F7245E" w:rsidRDefault="00B62AE4" w:rsidP="00A21724">
      <w:pPr>
        <w:pStyle w:val="Nincstrkz"/>
        <w:numPr>
          <w:ilvl w:val="0"/>
          <w:numId w:val="14"/>
        </w:numPr>
        <w:ind w:left="567" w:hanging="567"/>
        <w:rPr>
          <w:rFonts w:cs="Times New Roman"/>
        </w:rPr>
      </w:pPr>
      <w:r w:rsidRPr="00F7245E">
        <w:rPr>
          <w:rFonts w:cs="Times New Roman"/>
        </w:rPr>
        <w:t xml:space="preserve">Léziók vagy </w:t>
      </w:r>
      <w:r w:rsidR="00F60CDB" w:rsidRPr="00F7245E">
        <w:rPr>
          <w:rFonts w:cs="Times New Roman"/>
        </w:rPr>
        <w:t>bizonyos</w:t>
      </w:r>
      <w:r w:rsidR="00666BD9" w:rsidRPr="00F7245E">
        <w:rPr>
          <w:rFonts w:cs="Times New Roman"/>
        </w:rPr>
        <w:t xml:space="preserve"> </w:t>
      </w:r>
      <w:r w:rsidRPr="00F7245E">
        <w:rPr>
          <w:rFonts w:cs="Times New Roman"/>
        </w:rPr>
        <w:t xml:space="preserve">állapotok, </w:t>
      </w:r>
      <w:r w:rsidR="00666BD9" w:rsidRPr="00F7245E">
        <w:rPr>
          <w:rFonts w:cs="Times New Roman"/>
        </w:rPr>
        <w:t>ha ezek</w:t>
      </w:r>
      <w:r w:rsidRPr="00F7245E">
        <w:rPr>
          <w:rFonts w:cs="Times New Roman"/>
        </w:rPr>
        <w:t xml:space="preserve"> a nagyfokú vérzés jelentős rizikófaktorának tekinthetők. Ide tartozhat az aktuálisan fennálló vagy nemrégiben lezajlott gastrointestinalis fekély, a vérzés magasabb kockázatával járó malignus daganatok </w:t>
      </w:r>
      <w:r w:rsidR="000767AE" w:rsidRPr="00F7245E">
        <w:rPr>
          <w:rFonts w:cs="Times New Roman"/>
        </w:rPr>
        <w:t>jelenléte</w:t>
      </w:r>
      <w:r w:rsidRPr="00F7245E">
        <w:rPr>
          <w:rFonts w:cs="Times New Roman"/>
        </w:rPr>
        <w:t>, friss agy</w:t>
      </w:r>
      <w:r w:rsidR="008D7580" w:rsidRPr="00F7245E">
        <w:rPr>
          <w:rFonts w:cs="Times New Roman"/>
        </w:rPr>
        <w:noBreakHyphen/>
      </w:r>
      <w:r w:rsidRPr="00F7245E">
        <w:rPr>
          <w:rFonts w:cs="Times New Roman"/>
        </w:rPr>
        <w:t xml:space="preserve"> vagy gerincsérülés, nemrégiben lezajlott agy</w:t>
      </w:r>
      <w:r w:rsidR="000767AE" w:rsidRPr="00F7245E">
        <w:rPr>
          <w:rFonts w:cs="Times New Roman"/>
        </w:rPr>
        <w:noBreakHyphen/>
      </w:r>
      <w:r w:rsidRPr="00F7245E">
        <w:rPr>
          <w:rFonts w:cs="Times New Roman"/>
        </w:rPr>
        <w:t>, gerinc</w:t>
      </w:r>
      <w:r w:rsidR="000767AE" w:rsidRPr="00F7245E">
        <w:rPr>
          <w:rFonts w:cs="Times New Roman"/>
        </w:rPr>
        <w:noBreakHyphen/>
      </w:r>
      <w:r w:rsidRPr="00F7245E">
        <w:rPr>
          <w:rFonts w:cs="Times New Roman"/>
        </w:rPr>
        <w:t xml:space="preserve"> vagy szemműtét, nemrégiben lezajlott intracranialis vérzés,</w:t>
      </w:r>
      <w:r w:rsidR="000767AE" w:rsidRPr="00F7245E">
        <w:rPr>
          <w:rFonts w:cs="Times New Roman"/>
        </w:rPr>
        <w:t xml:space="preserve"> ismert vagy feltételezett oesophagealis varix, arteriovenosus malformációk, vascularis aneurysmák vagy jelentős intraspinalis, illetve intracerebralis vascularis rendellenességek.</w:t>
      </w:r>
    </w:p>
    <w:p w14:paraId="7013594E" w14:textId="6CC6CD15" w:rsidR="00B62AE4" w:rsidRPr="00F7245E" w:rsidRDefault="00B62AE4" w:rsidP="00A21724">
      <w:pPr>
        <w:pStyle w:val="Nincstrkz"/>
        <w:numPr>
          <w:ilvl w:val="0"/>
          <w:numId w:val="14"/>
        </w:numPr>
        <w:ind w:left="567" w:hanging="567"/>
        <w:rPr>
          <w:rFonts w:cs="Times New Roman"/>
        </w:rPr>
      </w:pPr>
      <w:r w:rsidRPr="00F7245E">
        <w:rPr>
          <w:rFonts w:cs="Times New Roman"/>
        </w:rPr>
        <w:t>Bármilyen más antikoaguláns szerrel, pl. nem frakcionált heparinnal (</w:t>
      </w:r>
      <w:r w:rsidR="008D7580" w:rsidRPr="00F7245E">
        <w:rPr>
          <w:rFonts w:cs="Times New Roman"/>
        </w:rPr>
        <w:t>NFH</w:t>
      </w:r>
      <w:r w:rsidRPr="00F7245E">
        <w:rPr>
          <w:rFonts w:cs="Times New Roman"/>
        </w:rPr>
        <w:t>), kis molekulatömegű heparinokkal (enoxaparin, dalteparin, stb.), heparin</w:t>
      </w:r>
      <w:r w:rsidR="006A6490" w:rsidRPr="00F7245E">
        <w:rPr>
          <w:rFonts w:cs="Times New Roman"/>
        </w:rPr>
        <w:t>-</w:t>
      </w:r>
      <w:r w:rsidRPr="00F7245E">
        <w:rPr>
          <w:rFonts w:cs="Times New Roman"/>
        </w:rPr>
        <w:t>származékokkal (fondaparinux, stb.), oralis antikoagulánsokkal (warfarin, rivaroxabán, dabigatrán, stb.) történő egyidejű kezelés, kivéve azokat a specifikus körülményeket, amikor a</w:t>
      </w:r>
      <w:r w:rsidR="008D7580" w:rsidRPr="00F7245E">
        <w:rPr>
          <w:rFonts w:cs="Times New Roman"/>
        </w:rPr>
        <w:t xml:space="preserve"> </w:t>
      </w:r>
      <w:r w:rsidR="00A1416D" w:rsidRPr="00F7245E">
        <w:rPr>
          <w:rFonts w:cs="Times New Roman"/>
        </w:rPr>
        <w:t>beteg</w:t>
      </w:r>
      <w:r w:rsidRPr="00F7245E">
        <w:rPr>
          <w:rFonts w:cs="Times New Roman"/>
        </w:rPr>
        <w:t>et az egyik antikoaguláns kezelésről egy másikra állítják át (lásd 4.2</w:t>
      </w:r>
      <w:r w:rsidR="004C106B" w:rsidRPr="00F7245E">
        <w:rPr>
          <w:rFonts w:cs="Times New Roman"/>
        </w:rPr>
        <w:t> pont</w:t>
      </w:r>
      <w:r w:rsidRPr="00F7245E">
        <w:rPr>
          <w:rFonts w:cs="Times New Roman"/>
        </w:rPr>
        <w:t>), amikor a nem frakcionált heparint a centrális vénás vagy artériás kanül átjárhatóságának fenntartásához szükséges dózisokban adják vagy amikor nem frakcionált heparint adnak pitvarfibrilláció miatti katéteres abláció alatt (lásd 4.4 és 4.5</w:t>
      </w:r>
      <w:r w:rsidR="00052B39" w:rsidRPr="00F7245E">
        <w:rPr>
          <w:rFonts w:cs="Times New Roman"/>
        </w:rPr>
        <w:t> pont</w:t>
      </w:r>
      <w:r w:rsidRPr="00F7245E">
        <w:rPr>
          <w:rFonts w:cs="Times New Roman"/>
        </w:rPr>
        <w:t>).</w:t>
      </w:r>
    </w:p>
    <w:p w14:paraId="3155EB17" w14:textId="77777777" w:rsidR="00B62AE4" w:rsidRPr="00F7245E" w:rsidRDefault="00B62AE4" w:rsidP="00A21724">
      <w:pPr>
        <w:pStyle w:val="Nincstrkz"/>
        <w:ind w:left="567" w:hanging="567"/>
        <w:rPr>
          <w:rFonts w:cs="Times New Roman"/>
        </w:rPr>
      </w:pPr>
    </w:p>
    <w:p w14:paraId="48289E9B" w14:textId="2389AC36" w:rsidR="00B62AE4" w:rsidRPr="00F7245E" w:rsidRDefault="00E3204F" w:rsidP="00A21724">
      <w:pPr>
        <w:pStyle w:val="Nincstrkz"/>
        <w:tabs>
          <w:tab w:val="left" w:pos="567"/>
        </w:tabs>
        <w:rPr>
          <w:rFonts w:cs="Times New Roman"/>
          <w:b/>
          <w:bCs/>
        </w:rPr>
      </w:pPr>
      <w:r w:rsidRPr="00F7245E">
        <w:rPr>
          <w:rFonts w:cs="Times New Roman"/>
          <w:b/>
          <w:bCs/>
          <w:w w:val="105"/>
        </w:rPr>
        <w:t>4.4</w:t>
      </w:r>
      <w:r w:rsidRPr="00F7245E">
        <w:rPr>
          <w:rFonts w:cs="Times New Roman"/>
          <w:b/>
          <w:bCs/>
          <w:w w:val="105"/>
        </w:rPr>
        <w:tab/>
      </w:r>
      <w:r w:rsidR="00B62AE4" w:rsidRPr="00F7245E">
        <w:rPr>
          <w:rFonts w:cs="Times New Roman"/>
          <w:b/>
          <w:bCs/>
          <w:w w:val="105"/>
        </w:rPr>
        <w:t>Különleges figyelmeztetések és az alkalmazással kapcsolatos</w:t>
      </w:r>
      <w:r w:rsidR="00B62AE4" w:rsidRPr="00F7245E">
        <w:rPr>
          <w:rFonts w:cs="Times New Roman"/>
          <w:b/>
          <w:bCs/>
          <w:spacing w:val="-25"/>
          <w:w w:val="105"/>
        </w:rPr>
        <w:t xml:space="preserve"> </w:t>
      </w:r>
      <w:r w:rsidR="00B62AE4" w:rsidRPr="00F7245E">
        <w:rPr>
          <w:rFonts w:cs="Times New Roman"/>
          <w:b/>
          <w:bCs/>
          <w:w w:val="105"/>
        </w:rPr>
        <w:t>óvintézkedések</w:t>
      </w:r>
    </w:p>
    <w:p w14:paraId="59598490" w14:textId="77777777" w:rsidR="00B62AE4" w:rsidRPr="00F7245E" w:rsidRDefault="00B62AE4" w:rsidP="00A21724">
      <w:pPr>
        <w:pStyle w:val="Nincstrkz"/>
        <w:rPr>
          <w:rFonts w:cs="Times New Roman"/>
        </w:rPr>
      </w:pPr>
    </w:p>
    <w:p w14:paraId="5A3F6380" w14:textId="5E78D49F" w:rsidR="00B62AE4" w:rsidRPr="00F7245E" w:rsidRDefault="00015928" w:rsidP="00A21724">
      <w:pPr>
        <w:pStyle w:val="Nincstrkz"/>
        <w:rPr>
          <w:rFonts w:cs="Times New Roman"/>
          <w:u w:val="single"/>
        </w:rPr>
      </w:pPr>
      <w:r w:rsidRPr="00F7245E">
        <w:rPr>
          <w:rFonts w:cs="Times New Roman"/>
          <w:u w:val="single"/>
        </w:rPr>
        <w:t>Vérzésveszély</w:t>
      </w:r>
    </w:p>
    <w:p w14:paraId="4CD90183" w14:textId="4D7FD94F" w:rsidR="00B62AE4" w:rsidRPr="00F7245E" w:rsidRDefault="00B62AE4" w:rsidP="00A21724">
      <w:pPr>
        <w:pStyle w:val="Nincstrkz"/>
        <w:rPr>
          <w:rFonts w:cs="Times New Roman"/>
        </w:rPr>
      </w:pPr>
      <w:r w:rsidRPr="00F7245E">
        <w:rPr>
          <w:rFonts w:cs="Times New Roman"/>
        </w:rPr>
        <w:t xml:space="preserve">Más antikoagulánsokhoz hasonlóan az </w:t>
      </w:r>
      <w:r w:rsidR="00B95635" w:rsidRPr="00F7245E">
        <w:rPr>
          <w:rFonts w:cs="Times New Roman"/>
        </w:rPr>
        <w:t>a</w:t>
      </w:r>
      <w:r w:rsidR="00FA2868" w:rsidRPr="00F7245E">
        <w:rPr>
          <w:rFonts w:cs="Times New Roman"/>
        </w:rPr>
        <w:t>pixab</w:t>
      </w:r>
      <w:r w:rsidR="00B95635" w:rsidRPr="00F7245E">
        <w:rPr>
          <w:rFonts w:cs="Times New Roman"/>
        </w:rPr>
        <w:t>á</w:t>
      </w:r>
      <w:r w:rsidR="00FA2868" w:rsidRPr="00F7245E">
        <w:rPr>
          <w:rFonts w:cs="Times New Roman"/>
        </w:rPr>
        <w:t>n</w:t>
      </w:r>
      <w:r w:rsidRPr="00F7245E">
        <w:rPr>
          <w:rFonts w:cs="Times New Roman"/>
        </w:rPr>
        <w:t>t szedő</w:t>
      </w:r>
      <w:r w:rsidR="00052B39" w:rsidRPr="00F7245E">
        <w:rPr>
          <w:rFonts w:cs="Times New Roman"/>
        </w:rPr>
        <w:t xml:space="preserve"> </w:t>
      </w:r>
      <w:r w:rsidR="00A1416D" w:rsidRPr="00F7245E">
        <w:rPr>
          <w:rFonts w:cs="Times New Roman"/>
        </w:rPr>
        <w:t>beteg</w:t>
      </w:r>
      <w:r w:rsidRPr="00F7245E">
        <w:rPr>
          <w:rFonts w:cs="Times New Roman"/>
        </w:rPr>
        <w:t xml:space="preserve">eknél </w:t>
      </w:r>
      <w:r w:rsidR="00052B39" w:rsidRPr="00F7245E">
        <w:rPr>
          <w:rFonts w:cs="Times New Roman"/>
        </w:rPr>
        <w:t xml:space="preserve">is </w:t>
      </w:r>
      <w:r w:rsidRPr="00F7245E">
        <w:rPr>
          <w:rFonts w:cs="Times New Roman"/>
        </w:rPr>
        <w:t xml:space="preserve">gondosan figyelni kell a vérzésre utaló jeleket. </w:t>
      </w:r>
      <w:r w:rsidR="00621D02" w:rsidRPr="00F7245E">
        <w:rPr>
          <w:rFonts w:cs="Times New Roman"/>
        </w:rPr>
        <w:t xml:space="preserve">Elővigyázatosan ajánlott </w:t>
      </w:r>
      <w:r w:rsidRPr="00F7245E">
        <w:rPr>
          <w:rFonts w:cs="Times New Roman"/>
        </w:rPr>
        <w:t>alkalmaz</w:t>
      </w:r>
      <w:r w:rsidR="00621D02" w:rsidRPr="00F7245E">
        <w:rPr>
          <w:rFonts w:cs="Times New Roman"/>
        </w:rPr>
        <w:t>ni a</w:t>
      </w:r>
      <w:r w:rsidRPr="00F7245E">
        <w:rPr>
          <w:rFonts w:cs="Times New Roman"/>
        </w:rPr>
        <w:t xml:space="preserve"> fokozott vérzésveszéllyel járó állapotokban. Súlyos vérzés jelentkezésekor az </w:t>
      </w:r>
      <w:r w:rsidR="00B95635" w:rsidRPr="00F7245E">
        <w:rPr>
          <w:rFonts w:cs="Times New Roman"/>
        </w:rPr>
        <w:t>a</w:t>
      </w:r>
      <w:r w:rsidR="00FA2868" w:rsidRPr="00F7245E">
        <w:rPr>
          <w:rFonts w:cs="Times New Roman"/>
        </w:rPr>
        <w:t>pixab</w:t>
      </w:r>
      <w:r w:rsidR="00B95635" w:rsidRPr="00F7245E">
        <w:rPr>
          <w:rFonts w:cs="Times New Roman"/>
        </w:rPr>
        <w:t>á</w:t>
      </w:r>
      <w:r w:rsidR="00FA2868" w:rsidRPr="00F7245E">
        <w:rPr>
          <w:rFonts w:cs="Times New Roman"/>
        </w:rPr>
        <w:t>n</w:t>
      </w:r>
      <w:r w:rsidR="00A21724" w:rsidRPr="00F7245E">
        <w:rPr>
          <w:rFonts w:cs="Times New Roman"/>
        </w:rPr>
        <w:t xml:space="preserve"> </w:t>
      </w:r>
      <w:r w:rsidRPr="00F7245E">
        <w:rPr>
          <w:rFonts w:cs="Times New Roman"/>
        </w:rPr>
        <w:t xml:space="preserve">alkalmazását </w:t>
      </w:r>
      <w:r w:rsidR="00621D02" w:rsidRPr="00F7245E">
        <w:rPr>
          <w:rFonts w:cs="Times New Roman"/>
        </w:rPr>
        <w:t>le</w:t>
      </w:r>
      <w:r w:rsidRPr="00F7245E">
        <w:rPr>
          <w:rFonts w:cs="Times New Roman"/>
        </w:rPr>
        <w:t xml:space="preserve"> kell </w:t>
      </w:r>
      <w:r w:rsidR="00621D02" w:rsidRPr="00F7245E">
        <w:rPr>
          <w:rFonts w:cs="Times New Roman"/>
        </w:rPr>
        <w:t>állítani</w:t>
      </w:r>
      <w:r w:rsidRPr="00F7245E">
        <w:rPr>
          <w:rFonts w:cs="Times New Roman"/>
        </w:rPr>
        <w:t xml:space="preserve"> (lásd 4.8 és 4.9</w:t>
      </w:r>
      <w:r w:rsidR="004C106B" w:rsidRPr="00F7245E">
        <w:rPr>
          <w:rFonts w:cs="Times New Roman"/>
        </w:rPr>
        <w:t> pont</w:t>
      </w:r>
      <w:r w:rsidRPr="00F7245E">
        <w:rPr>
          <w:rFonts w:cs="Times New Roman"/>
        </w:rPr>
        <w:t>).</w:t>
      </w:r>
    </w:p>
    <w:p w14:paraId="673486DA" w14:textId="77777777" w:rsidR="00D8613F" w:rsidRPr="00F7245E" w:rsidRDefault="00D8613F" w:rsidP="00A21724">
      <w:pPr>
        <w:pStyle w:val="Nincstrkz"/>
        <w:rPr>
          <w:rFonts w:cs="Times New Roman"/>
        </w:rPr>
      </w:pPr>
    </w:p>
    <w:p w14:paraId="139B4204" w14:textId="661E8478" w:rsidR="00B62AE4" w:rsidRPr="00F7245E" w:rsidRDefault="00B62AE4" w:rsidP="00A21724">
      <w:pPr>
        <w:pStyle w:val="Nincstrkz"/>
        <w:rPr>
          <w:rFonts w:cs="Times New Roman"/>
        </w:rPr>
      </w:pPr>
      <w:r w:rsidRPr="00F7245E">
        <w:rPr>
          <w:rFonts w:cs="Times New Roman"/>
        </w:rPr>
        <w:t>Bár az apixab</w:t>
      </w:r>
      <w:r w:rsidR="002C0B56" w:rsidRPr="00F7245E">
        <w:rPr>
          <w:rFonts w:cs="Times New Roman"/>
        </w:rPr>
        <w:t>á</w:t>
      </w:r>
      <w:r w:rsidRPr="00F7245E">
        <w:rPr>
          <w:rFonts w:cs="Times New Roman"/>
        </w:rPr>
        <w:t>n</w:t>
      </w:r>
      <w:r w:rsidR="00621D02" w:rsidRPr="00F7245E">
        <w:rPr>
          <w:rFonts w:cs="Times New Roman"/>
        </w:rPr>
        <w:noBreakHyphen/>
      </w:r>
      <w:r w:rsidRPr="00F7245E">
        <w:rPr>
          <w:rFonts w:cs="Times New Roman"/>
        </w:rPr>
        <w:t xml:space="preserve">kezelés nem teszi szükségessé az expozíció rutinszerű monitorozását, </w:t>
      </w:r>
      <w:r w:rsidR="00621D02" w:rsidRPr="00F7245E">
        <w:rPr>
          <w:rFonts w:cs="Times New Roman"/>
        </w:rPr>
        <w:t>egy kalibrált, mennyiségi meghatározásra alkalmas anti</w:t>
      </w:r>
      <w:r w:rsidR="00621D02" w:rsidRPr="00F7245E">
        <w:rPr>
          <w:rFonts w:cs="Times New Roman"/>
        </w:rPr>
        <w:noBreakHyphen/>
        <w:t xml:space="preserve">Xa faktor assay hasznos lehet </w:t>
      </w:r>
      <w:r w:rsidRPr="00F7245E">
        <w:rPr>
          <w:rFonts w:cs="Times New Roman"/>
        </w:rPr>
        <w:t>azokban a kivételes helyzetekben, amikor az apixab</w:t>
      </w:r>
      <w:r w:rsidR="002C0B56" w:rsidRPr="00F7245E">
        <w:rPr>
          <w:rFonts w:cs="Times New Roman"/>
        </w:rPr>
        <w:t>á</w:t>
      </w:r>
      <w:r w:rsidRPr="00F7245E">
        <w:rPr>
          <w:rFonts w:cs="Times New Roman"/>
        </w:rPr>
        <w:t>n</w:t>
      </w:r>
      <w:r w:rsidR="00621D02" w:rsidRPr="00F7245E">
        <w:rPr>
          <w:rFonts w:cs="Times New Roman"/>
        </w:rPr>
        <w:noBreakHyphen/>
      </w:r>
      <w:r w:rsidRPr="00F7245E">
        <w:rPr>
          <w:rFonts w:cs="Times New Roman"/>
        </w:rPr>
        <w:t xml:space="preserve">expozíció ismerete </w:t>
      </w:r>
      <w:r w:rsidR="00621D02" w:rsidRPr="00F7245E">
        <w:rPr>
          <w:rFonts w:cs="Times New Roman"/>
        </w:rPr>
        <w:t xml:space="preserve">klinikai döntéshez </w:t>
      </w:r>
      <w:r w:rsidR="0069068F" w:rsidRPr="00F7245E">
        <w:rPr>
          <w:rFonts w:cs="Times New Roman"/>
        </w:rPr>
        <w:t xml:space="preserve">szükséges </w:t>
      </w:r>
      <w:r w:rsidRPr="00F7245E">
        <w:rPr>
          <w:rFonts w:cs="Times New Roman"/>
        </w:rPr>
        <w:t>információ</w:t>
      </w:r>
      <w:r w:rsidR="00052B39" w:rsidRPr="00F7245E">
        <w:rPr>
          <w:rFonts w:cs="Times New Roman"/>
        </w:rPr>
        <w:t>kkal szolgálhat</w:t>
      </w:r>
      <w:r w:rsidR="0069068F" w:rsidRPr="00F7245E">
        <w:rPr>
          <w:rFonts w:cs="Times New Roman"/>
        </w:rPr>
        <w:t xml:space="preserve"> </w:t>
      </w:r>
      <w:r w:rsidRPr="00F7245E">
        <w:rPr>
          <w:rFonts w:cs="Times New Roman"/>
        </w:rPr>
        <w:t xml:space="preserve">például túladagolás és sürgős műtét </w:t>
      </w:r>
      <w:r w:rsidR="008D7580" w:rsidRPr="00F7245E">
        <w:rPr>
          <w:rFonts w:cs="Times New Roman"/>
        </w:rPr>
        <w:t xml:space="preserve">esetében </w:t>
      </w:r>
      <w:r w:rsidRPr="00F7245E">
        <w:rPr>
          <w:rFonts w:cs="Times New Roman"/>
        </w:rPr>
        <w:t>(lásd 5.1</w:t>
      </w:r>
      <w:r w:rsidR="00621D02" w:rsidRPr="00F7245E">
        <w:rPr>
          <w:rFonts w:cs="Times New Roman"/>
        </w:rPr>
        <w:t> pont</w:t>
      </w:r>
      <w:r w:rsidRPr="00F7245E">
        <w:rPr>
          <w:rFonts w:cs="Times New Roman"/>
        </w:rPr>
        <w:t>).</w:t>
      </w:r>
    </w:p>
    <w:p w14:paraId="19490286" w14:textId="77F820F9" w:rsidR="00621D02" w:rsidRPr="00F7245E" w:rsidRDefault="00621D02" w:rsidP="00A21724">
      <w:pPr>
        <w:pStyle w:val="Nincstrkz"/>
        <w:rPr>
          <w:rFonts w:cs="Times New Roman"/>
        </w:rPr>
      </w:pPr>
    </w:p>
    <w:p w14:paraId="075366D7" w14:textId="4DCB30D4" w:rsidR="0074305A" w:rsidRPr="00F7245E" w:rsidRDefault="0074305A" w:rsidP="0074305A">
      <w:pPr>
        <w:rPr>
          <w:lang w:eastAsia="en-US" w:bidi="ar-SA"/>
        </w:rPr>
      </w:pPr>
      <w:r w:rsidRPr="00F7245E">
        <w:rPr>
          <w:lang w:eastAsia="en-US" w:bidi="ar-SA"/>
        </w:rPr>
        <w:t>Felnőttek számára rendelkezésre áll egy specifikus antagonista szer (andexanet-alfa), ami antagonizálja az apixabán farmakodinámiás hatását. Azonban annak biztonságosságát és hatásosságát gyermekeknél és serdülőknél nem értékelték (lásd az andexanet-alfa alkalmazási előírását). Friss fagyasztott plazma transzfúziója, prothrombin-komplex koncentrátumok (PCC) alkalmazása vagy rekombináns VIIa-faktor alkalmazása is mérlegelhető. Azonban nincs klinikai tapasztalat a 4-faktoros PCC készítmények alkalmazásával a vérzés megszüntetésére vonatkozóan apixabánt szedő gyermekeknél és serdülőknél, valamint felnőtteknél.</w:t>
      </w:r>
    </w:p>
    <w:p w14:paraId="259CFA1C" w14:textId="77777777" w:rsidR="0074305A" w:rsidRPr="00F7245E" w:rsidRDefault="0074305A" w:rsidP="0074305A">
      <w:pPr>
        <w:rPr>
          <w:lang w:eastAsia="en-US" w:bidi="ar-SA"/>
        </w:rPr>
      </w:pPr>
    </w:p>
    <w:p w14:paraId="1233B9E6" w14:textId="77777777" w:rsidR="0074305A" w:rsidRPr="00F7245E" w:rsidRDefault="0074305A" w:rsidP="0074305A">
      <w:pPr>
        <w:rPr>
          <w:u w:val="single"/>
          <w:lang w:eastAsia="en-US" w:bidi="ar-SA"/>
        </w:rPr>
      </w:pPr>
      <w:r w:rsidRPr="00F7245E">
        <w:rPr>
          <w:u w:val="single"/>
          <w:lang w:eastAsia="en-US" w:bidi="ar-SA"/>
        </w:rPr>
        <w:t>Kölcsönhatás haemostasist befolyásoló más gyógyszerekkel</w:t>
      </w:r>
    </w:p>
    <w:p w14:paraId="656F6918" w14:textId="77777777" w:rsidR="0074305A" w:rsidRPr="00F7245E" w:rsidRDefault="0074305A" w:rsidP="0074305A">
      <w:pPr>
        <w:rPr>
          <w:lang w:eastAsia="en-US" w:bidi="ar-SA"/>
        </w:rPr>
      </w:pPr>
    </w:p>
    <w:p w14:paraId="357BD0D6" w14:textId="33A347CC" w:rsidR="00B62AE4" w:rsidRPr="00F7245E" w:rsidRDefault="00B62AE4" w:rsidP="00A21724">
      <w:pPr>
        <w:pStyle w:val="Nincstrkz"/>
        <w:rPr>
          <w:rFonts w:cs="Times New Roman"/>
        </w:rPr>
      </w:pPr>
      <w:r w:rsidRPr="00F7245E">
        <w:rPr>
          <w:rFonts w:cs="Times New Roman"/>
        </w:rPr>
        <w:t>A vérzés fokozott kockázata miatt bármilyen más antikoagulánssal végzett egyidejű kezelés</w:t>
      </w:r>
      <w:r w:rsidR="004400C9" w:rsidRPr="00F7245E">
        <w:rPr>
          <w:rFonts w:cs="Times New Roman"/>
        </w:rPr>
        <w:t xml:space="preserve"> </w:t>
      </w:r>
      <w:r w:rsidRPr="00F7245E">
        <w:rPr>
          <w:rFonts w:cs="Times New Roman"/>
        </w:rPr>
        <w:t>ellenjavallt (lásd 4.3</w:t>
      </w:r>
      <w:r w:rsidR="004C106B" w:rsidRPr="00F7245E">
        <w:rPr>
          <w:rFonts w:cs="Times New Roman"/>
        </w:rPr>
        <w:t> pont</w:t>
      </w:r>
      <w:r w:rsidRPr="00F7245E">
        <w:rPr>
          <w:rFonts w:cs="Times New Roman"/>
        </w:rPr>
        <w:t>).</w:t>
      </w:r>
    </w:p>
    <w:p w14:paraId="6A076C38" w14:textId="77777777" w:rsidR="00B62AE4" w:rsidRPr="00F7245E" w:rsidRDefault="00B62AE4" w:rsidP="00A21724">
      <w:pPr>
        <w:pStyle w:val="Nincstrkz"/>
        <w:rPr>
          <w:rFonts w:cs="Times New Roman"/>
        </w:rPr>
      </w:pPr>
    </w:p>
    <w:p w14:paraId="39CF8F50" w14:textId="7F33CB4D" w:rsidR="00B62AE4" w:rsidRPr="00F7245E" w:rsidRDefault="00B62AE4" w:rsidP="00A21724">
      <w:pPr>
        <w:pStyle w:val="Nincstrkz"/>
        <w:rPr>
          <w:rFonts w:cs="Times New Roman"/>
        </w:rPr>
      </w:pPr>
      <w:r w:rsidRPr="00F7245E">
        <w:rPr>
          <w:rFonts w:cs="Times New Roman"/>
        </w:rPr>
        <w:t xml:space="preserve">Az </w:t>
      </w:r>
      <w:r w:rsidR="00A21724" w:rsidRPr="00F7245E">
        <w:rPr>
          <w:rFonts w:cs="Times New Roman"/>
        </w:rPr>
        <w:t>a</w:t>
      </w:r>
      <w:r w:rsidR="00FA2868" w:rsidRPr="00F7245E">
        <w:rPr>
          <w:rFonts w:cs="Times New Roman"/>
        </w:rPr>
        <w:t>pixab</w:t>
      </w:r>
      <w:r w:rsidR="00B95635" w:rsidRPr="00F7245E">
        <w:rPr>
          <w:rFonts w:cs="Times New Roman"/>
        </w:rPr>
        <w:t>á</w:t>
      </w:r>
      <w:r w:rsidR="00FA2868" w:rsidRPr="00F7245E">
        <w:rPr>
          <w:rFonts w:cs="Times New Roman"/>
        </w:rPr>
        <w:t>n</w:t>
      </w:r>
      <w:r w:rsidR="00A21724" w:rsidRPr="00F7245E">
        <w:rPr>
          <w:rFonts w:cs="Times New Roman"/>
        </w:rPr>
        <w:t xml:space="preserve"> </w:t>
      </w:r>
      <w:r w:rsidRPr="00F7245E">
        <w:rPr>
          <w:rFonts w:cs="Times New Roman"/>
        </w:rPr>
        <w:t>és thrombocytaaggregáció</w:t>
      </w:r>
      <w:r w:rsidR="004400C9" w:rsidRPr="00F7245E">
        <w:rPr>
          <w:rFonts w:cs="Times New Roman"/>
        </w:rPr>
        <w:noBreakHyphen/>
      </w:r>
      <w:r w:rsidRPr="00F7245E">
        <w:rPr>
          <w:rFonts w:cs="Times New Roman"/>
        </w:rPr>
        <w:t>gátló szerek egyidejű alkalmazása növeli a vérzés kockázatát (lásd 4.5</w:t>
      </w:r>
      <w:r w:rsidR="004C106B" w:rsidRPr="00F7245E">
        <w:rPr>
          <w:rFonts w:cs="Times New Roman"/>
        </w:rPr>
        <w:t> pont</w:t>
      </w:r>
      <w:r w:rsidRPr="00F7245E">
        <w:rPr>
          <w:rFonts w:cs="Times New Roman"/>
        </w:rPr>
        <w:t>).</w:t>
      </w:r>
    </w:p>
    <w:p w14:paraId="6AB9CA46" w14:textId="77777777" w:rsidR="00B62AE4" w:rsidRPr="00F7245E" w:rsidRDefault="00B62AE4" w:rsidP="00A21724">
      <w:pPr>
        <w:pStyle w:val="Nincstrkz"/>
        <w:rPr>
          <w:rFonts w:cs="Times New Roman"/>
        </w:rPr>
      </w:pPr>
    </w:p>
    <w:p w14:paraId="7491D3F1" w14:textId="3CFC119C" w:rsidR="00B62AE4" w:rsidRPr="00F7245E" w:rsidRDefault="00B62AE4" w:rsidP="00A21724">
      <w:pPr>
        <w:pStyle w:val="Nincstrkz"/>
        <w:rPr>
          <w:rFonts w:cs="Times New Roman"/>
        </w:rPr>
      </w:pPr>
      <w:r w:rsidRPr="00F7245E">
        <w:rPr>
          <w:rFonts w:cs="Times New Roman"/>
        </w:rPr>
        <w:t>Elővigyázatosság szükséges, ha a</w:t>
      </w:r>
      <w:r w:rsidR="00463B31" w:rsidRPr="00F7245E">
        <w:rPr>
          <w:rFonts w:cs="Times New Roman"/>
        </w:rPr>
        <w:t xml:space="preserve"> betegeket</w:t>
      </w:r>
      <w:r w:rsidRPr="00F7245E">
        <w:rPr>
          <w:rFonts w:cs="Times New Roman"/>
        </w:rPr>
        <w:t xml:space="preserve"> egyidejűleg szelektív szerotonin</w:t>
      </w:r>
      <w:r w:rsidR="004400C9" w:rsidRPr="00F7245E">
        <w:rPr>
          <w:rFonts w:cs="Times New Roman"/>
        </w:rPr>
        <w:noBreakHyphen/>
      </w:r>
      <w:r w:rsidRPr="00F7245E">
        <w:rPr>
          <w:rFonts w:cs="Times New Roman"/>
        </w:rPr>
        <w:t>visszavételt gátló szerekkel (SSRI-k) vagy szerotonin</w:t>
      </w:r>
      <w:r w:rsidR="004400C9" w:rsidRPr="00F7245E">
        <w:rPr>
          <w:rFonts w:cs="Times New Roman"/>
        </w:rPr>
        <w:noBreakHyphen/>
      </w:r>
      <w:r w:rsidRPr="00F7245E">
        <w:rPr>
          <w:rFonts w:cs="Times New Roman"/>
        </w:rPr>
        <w:t>noradrenalin</w:t>
      </w:r>
      <w:r w:rsidR="00523F8D" w:rsidRPr="00F7245E">
        <w:rPr>
          <w:rFonts w:cs="Times New Roman"/>
        </w:rPr>
        <w:noBreakHyphen/>
      </w:r>
      <w:r w:rsidRPr="00F7245E">
        <w:rPr>
          <w:rFonts w:cs="Times New Roman"/>
        </w:rPr>
        <w:t>visszavételt gátló szerekkel (SNRI</w:t>
      </w:r>
      <w:r w:rsidR="004400C9" w:rsidRPr="00F7245E">
        <w:rPr>
          <w:rFonts w:cs="Times New Roman"/>
        </w:rPr>
        <w:noBreakHyphen/>
      </w:r>
      <w:r w:rsidRPr="00F7245E">
        <w:rPr>
          <w:rFonts w:cs="Times New Roman"/>
        </w:rPr>
        <w:t>k) vagy nem</w:t>
      </w:r>
      <w:r w:rsidR="00E500F2" w:rsidRPr="00F7245E">
        <w:rPr>
          <w:rFonts w:cs="Times New Roman"/>
        </w:rPr>
        <w:t>-</w:t>
      </w:r>
      <w:r w:rsidRPr="00F7245E">
        <w:rPr>
          <w:rFonts w:cs="Times New Roman"/>
        </w:rPr>
        <w:t xml:space="preserve">szteroid gyulladáscsökkentő szerekkel </w:t>
      </w:r>
      <w:r w:rsidR="004400C9" w:rsidRPr="00F7245E">
        <w:rPr>
          <w:rFonts w:cs="Times New Roman"/>
        </w:rPr>
        <w:t>(NSAD</w:t>
      </w:r>
      <w:r w:rsidR="004400C9" w:rsidRPr="00F7245E">
        <w:rPr>
          <w:rFonts w:cs="Times New Roman"/>
        </w:rPr>
        <w:noBreakHyphen/>
        <w:t xml:space="preserve">ok) </w:t>
      </w:r>
      <w:r w:rsidRPr="00F7245E">
        <w:rPr>
          <w:rFonts w:cs="Times New Roman"/>
        </w:rPr>
        <w:t>kezelik, beleértve az acetilszalicilsavat is.</w:t>
      </w:r>
    </w:p>
    <w:p w14:paraId="197CAFB3" w14:textId="77777777" w:rsidR="00B62AE4" w:rsidRPr="00F7245E" w:rsidRDefault="00B62AE4" w:rsidP="00A21724">
      <w:pPr>
        <w:pStyle w:val="Nincstrkz"/>
        <w:rPr>
          <w:rFonts w:cs="Times New Roman"/>
        </w:rPr>
      </w:pPr>
    </w:p>
    <w:p w14:paraId="5F6D3646" w14:textId="010B46EE" w:rsidR="00B62AE4" w:rsidRPr="00F7245E" w:rsidRDefault="00745F22" w:rsidP="00A21724">
      <w:pPr>
        <w:pStyle w:val="Nincstrkz"/>
        <w:rPr>
          <w:rFonts w:cs="Times New Roman"/>
        </w:rPr>
      </w:pPr>
      <w:r w:rsidRPr="00F7245E">
        <w:rPr>
          <w:rFonts w:cs="Times New Roman"/>
        </w:rPr>
        <w:t>M</w:t>
      </w:r>
      <w:r w:rsidR="00B62AE4" w:rsidRPr="00F7245E">
        <w:rPr>
          <w:rFonts w:cs="Times New Roman"/>
        </w:rPr>
        <w:t xml:space="preserve">űtét után </w:t>
      </w:r>
      <w:r w:rsidRPr="00F7245E">
        <w:rPr>
          <w:rFonts w:cs="Times New Roman"/>
        </w:rPr>
        <w:t xml:space="preserve">az </w:t>
      </w:r>
      <w:r w:rsidR="00A21724" w:rsidRPr="00F7245E">
        <w:rPr>
          <w:rFonts w:cs="Times New Roman"/>
        </w:rPr>
        <w:t>a</w:t>
      </w:r>
      <w:r w:rsidRPr="00F7245E">
        <w:rPr>
          <w:rFonts w:cs="Times New Roman"/>
        </w:rPr>
        <w:t>pixab</w:t>
      </w:r>
      <w:r w:rsidR="00B95635" w:rsidRPr="00F7245E">
        <w:rPr>
          <w:rFonts w:cs="Times New Roman"/>
        </w:rPr>
        <w:t>á</w:t>
      </w:r>
      <w:r w:rsidRPr="00F7245E">
        <w:rPr>
          <w:rFonts w:cs="Times New Roman"/>
        </w:rPr>
        <w:t>n</w:t>
      </w:r>
      <w:r w:rsidR="00A21724" w:rsidRPr="00F7245E">
        <w:rPr>
          <w:rFonts w:cs="Times New Roman"/>
        </w:rPr>
        <w:t xml:space="preserve"> </w:t>
      </w:r>
      <w:r w:rsidRPr="00F7245E">
        <w:rPr>
          <w:rFonts w:cs="Times New Roman"/>
        </w:rPr>
        <w:t xml:space="preserve">és </w:t>
      </w:r>
      <w:r w:rsidR="00B62AE4" w:rsidRPr="00F7245E">
        <w:rPr>
          <w:rFonts w:cs="Times New Roman"/>
        </w:rPr>
        <w:t>más thrombocytaaggregáció</w:t>
      </w:r>
      <w:r w:rsidRPr="00F7245E">
        <w:rPr>
          <w:rFonts w:cs="Times New Roman"/>
        </w:rPr>
        <w:noBreakHyphen/>
      </w:r>
      <w:r w:rsidR="00B62AE4" w:rsidRPr="00F7245E">
        <w:rPr>
          <w:rFonts w:cs="Times New Roman"/>
        </w:rPr>
        <w:t>gátlók egyidejű alkalmazása nem javasolt (lásd 4.5</w:t>
      </w:r>
      <w:r w:rsidR="004C106B" w:rsidRPr="00F7245E">
        <w:rPr>
          <w:rFonts w:cs="Times New Roman"/>
        </w:rPr>
        <w:t> pont</w:t>
      </w:r>
      <w:r w:rsidR="00B62AE4" w:rsidRPr="00F7245E">
        <w:rPr>
          <w:rFonts w:cs="Times New Roman"/>
        </w:rPr>
        <w:t>).</w:t>
      </w:r>
    </w:p>
    <w:p w14:paraId="7BC809DF" w14:textId="77777777" w:rsidR="00B62AE4" w:rsidRPr="00F7245E" w:rsidRDefault="00B62AE4" w:rsidP="00A21724">
      <w:pPr>
        <w:pStyle w:val="Nincstrkz"/>
        <w:rPr>
          <w:rFonts w:cs="Times New Roman"/>
        </w:rPr>
      </w:pPr>
    </w:p>
    <w:p w14:paraId="442FA62C" w14:textId="28ACD8FA" w:rsidR="00B62AE4" w:rsidRPr="00F7245E" w:rsidRDefault="00527894" w:rsidP="00A21724">
      <w:pPr>
        <w:pStyle w:val="Nincstrkz"/>
        <w:rPr>
          <w:rFonts w:cs="Times New Roman"/>
        </w:rPr>
      </w:pPr>
      <w:r w:rsidRPr="00F7245E">
        <w:rPr>
          <w:rFonts w:cs="Times New Roman"/>
        </w:rPr>
        <w:t>P</w:t>
      </w:r>
      <w:r w:rsidR="00B62AE4" w:rsidRPr="00F7245E">
        <w:rPr>
          <w:rFonts w:cs="Times New Roman"/>
        </w:rPr>
        <w:t>itvarfibrillációban</w:t>
      </w:r>
      <w:r w:rsidR="00463B31" w:rsidRPr="00F7245E">
        <w:rPr>
          <w:rFonts w:cs="Times New Roman"/>
        </w:rPr>
        <w:t>, valamint</w:t>
      </w:r>
      <w:r w:rsidR="00B62AE4" w:rsidRPr="00F7245E">
        <w:rPr>
          <w:rFonts w:cs="Times New Roman"/>
        </w:rPr>
        <w:t xml:space="preserve"> </w:t>
      </w:r>
      <w:r w:rsidRPr="00F7245E">
        <w:rPr>
          <w:rFonts w:cs="Times New Roman"/>
        </w:rPr>
        <w:t xml:space="preserve">olyan állapotokban szenvedő betegeknél, akiknél </w:t>
      </w:r>
      <w:r w:rsidR="00463B31" w:rsidRPr="00F7245E">
        <w:rPr>
          <w:rFonts w:cs="Times New Roman"/>
        </w:rPr>
        <w:t>egy vagy két szerből kombinált thrombocytaaggregáció</w:t>
      </w:r>
      <w:r w:rsidR="00463B31" w:rsidRPr="00F7245E">
        <w:rPr>
          <w:rFonts w:cs="Times New Roman"/>
        </w:rPr>
        <w:noBreakHyphen/>
        <w:t>gátló</w:t>
      </w:r>
      <w:r w:rsidR="00523F8D" w:rsidRPr="00F7245E">
        <w:rPr>
          <w:rFonts w:cs="Times New Roman"/>
        </w:rPr>
        <w:t xml:space="preserve">val végzett </w:t>
      </w:r>
      <w:r w:rsidR="00463B31" w:rsidRPr="00F7245E">
        <w:rPr>
          <w:rFonts w:cs="Times New Roman"/>
        </w:rPr>
        <w:t>kezelés</w:t>
      </w:r>
      <w:r w:rsidRPr="00F7245E">
        <w:rPr>
          <w:rFonts w:cs="Times New Roman"/>
        </w:rPr>
        <w:t xml:space="preserve"> válik indokolttá</w:t>
      </w:r>
      <w:r w:rsidR="00B62AE4" w:rsidRPr="00F7245E">
        <w:rPr>
          <w:rFonts w:cs="Times New Roman"/>
        </w:rPr>
        <w:t xml:space="preserve">, </w:t>
      </w:r>
      <w:r w:rsidRPr="00F7245E">
        <w:rPr>
          <w:rFonts w:cs="Times New Roman"/>
        </w:rPr>
        <w:t xml:space="preserve">az </w:t>
      </w:r>
      <w:r w:rsidR="00A21724" w:rsidRPr="00F7245E">
        <w:rPr>
          <w:rFonts w:cs="Times New Roman"/>
        </w:rPr>
        <w:t>a</w:t>
      </w:r>
      <w:r w:rsidRPr="00F7245E">
        <w:rPr>
          <w:rFonts w:cs="Times New Roman"/>
        </w:rPr>
        <w:t>pixab</w:t>
      </w:r>
      <w:r w:rsidR="00B95635" w:rsidRPr="00F7245E">
        <w:rPr>
          <w:rFonts w:cs="Times New Roman"/>
        </w:rPr>
        <w:t>á</w:t>
      </w:r>
      <w:r w:rsidRPr="00F7245E">
        <w:rPr>
          <w:rFonts w:cs="Times New Roman"/>
        </w:rPr>
        <w:t>n</w:t>
      </w:r>
      <w:r w:rsidR="00A21724" w:rsidRPr="00F7245E">
        <w:rPr>
          <w:rFonts w:cs="Times New Roman"/>
        </w:rPr>
        <w:t>n</w:t>
      </w:r>
      <w:r w:rsidRPr="00F7245E">
        <w:rPr>
          <w:rFonts w:cs="Times New Roman"/>
        </w:rPr>
        <w:t xml:space="preserve">al kombinált alkalmazás előtt az ilyen </w:t>
      </w:r>
      <w:r w:rsidR="00B62AE4" w:rsidRPr="00F7245E">
        <w:rPr>
          <w:rFonts w:cs="Times New Roman"/>
        </w:rPr>
        <w:t xml:space="preserve">kezelés </w:t>
      </w:r>
      <w:r w:rsidRPr="00F7245E">
        <w:rPr>
          <w:rFonts w:cs="Times New Roman"/>
        </w:rPr>
        <w:t>lehetséges</w:t>
      </w:r>
      <w:r w:rsidR="00B62AE4" w:rsidRPr="00F7245E">
        <w:rPr>
          <w:rFonts w:cs="Times New Roman"/>
        </w:rPr>
        <w:t xml:space="preserve"> előnyeit gondosan mérlegelni kell a potenciális kockázatokkal szemben</w:t>
      </w:r>
      <w:r w:rsidRPr="00F7245E">
        <w:rPr>
          <w:rFonts w:cs="Times New Roman"/>
        </w:rPr>
        <w:t>.</w:t>
      </w:r>
    </w:p>
    <w:p w14:paraId="7306D10E" w14:textId="77777777" w:rsidR="00B62AE4" w:rsidRPr="00F7245E" w:rsidRDefault="00B62AE4" w:rsidP="00A21724">
      <w:pPr>
        <w:pStyle w:val="Nincstrkz"/>
        <w:rPr>
          <w:rFonts w:cs="Times New Roman"/>
        </w:rPr>
      </w:pPr>
    </w:p>
    <w:p w14:paraId="678EF594" w14:textId="758D7DE4" w:rsidR="00B62AE4" w:rsidRPr="00F7245E" w:rsidRDefault="00B62AE4" w:rsidP="00A21724">
      <w:pPr>
        <w:pStyle w:val="Nincstrkz"/>
        <w:rPr>
          <w:rFonts w:cs="Times New Roman"/>
        </w:rPr>
      </w:pPr>
      <w:r w:rsidRPr="00F7245E">
        <w:rPr>
          <w:rFonts w:cs="Times New Roman"/>
        </w:rPr>
        <w:t>Egy</w:t>
      </w:r>
      <w:r w:rsidR="00403F49" w:rsidRPr="00F7245E">
        <w:rPr>
          <w:rFonts w:cs="Times New Roman"/>
        </w:rPr>
        <w:t>,</w:t>
      </w:r>
      <w:r w:rsidRPr="00F7245E">
        <w:rPr>
          <w:rFonts w:cs="Times New Roman"/>
        </w:rPr>
        <w:t xml:space="preserve"> pitvarfibrillációban szenvedő</w:t>
      </w:r>
      <w:r w:rsidR="00752FDA" w:rsidRPr="00F7245E">
        <w:rPr>
          <w:rFonts w:cs="Times New Roman"/>
        </w:rPr>
        <w:t xml:space="preserve"> </w:t>
      </w:r>
      <w:r w:rsidR="00343228">
        <w:rPr>
          <w:rFonts w:cs="Times New Roman"/>
        </w:rPr>
        <w:t xml:space="preserve">felnőtt </w:t>
      </w:r>
      <w:r w:rsidR="00A1416D" w:rsidRPr="00F7245E">
        <w:rPr>
          <w:rFonts w:cs="Times New Roman"/>
        </w:rPr>
        <w:t>beteg</w:t>
      </w:r>
      <w:r w:rsidRPr="00F7245E">
        <w:rPr>
          <w:rFonts w:cs="Times New Roman"/>
        </w:rPr>
        <w:t>ekkel végzett klinikai vizsgálatban acetilszalicilsav egyidejű alkalmazása az apixab</w:t>
      </w:r>
      <w:r w:rsidR="002C0B56" w:rsidRPr="00F7245E">
        <w:rPr>
          <w:rFonts w:cs="Times New Roman"/>
        </w:rPr>
        <w:t>á</w:t>
      </w:r>
      <w:r w:rsidRPr="00F7245E">
        <w:rPr>
          <w:rFonts w:cs="Times New Roman"/>
        </w:rPr>
        <w:t>nt kapó</w:t>
      </w:r>
      <w:r w:rsidR="00D126EC" w:rsidRPr="00F7245E">
        <w:rPr>
          <w:rFonts w:cs="Times New Roman"/>
        </w:rPr>
        <w:t xml:space="preserve"> betegeknél </w:t>
      </w:r>
      <w:r w:rsidR="00045408" w:rsidRPr="00F7245E">
        <w:rPr>
          <w:rFonts w:cs="Times New Roman"/>
        </w:rPr>
        <w:t>év</w:t>
      </w:r>
      <w:r w:rsidRPr="00F7245E">
        <w:rPr>
          <w:rFonts w:cs="Times New Roman"/>
        </w:rPr>
        <w:t>enkénti 1,8%</w:t>
      </w:r>
      <w:r w:rsidR="00403F49" w:rsidRPr="00F7245E">
        <w:rPr>
          <w:rFonts w:cs="Times New Roman"/>
        </w:rPr>
        <w:noBreakHyphen/>
      </w:r>
      <w:r w:rsidRPr="00F7245E">
        <w:rPr>
          <w:rFonts w:cs="Times New Roman"/>
        </w:rPr>
        <w:t>ról</w:t>
      </w:r>
      <w:r w:rsidR="00D126EC" w:rsidRPr="00F7245E">
        <w:rPr>
          <w:rFonts w:cs="Times New Roman"/>
        </w:rPr>
        <w:t xml:space="preserve"> </w:t>
      </w:r>
      <w:r w:rsidR="00045408" w:rsidRPr="00F7245E">
        <w:rPr>
          <w:rFonts w:cs="Times New Roman"/>
        </w:rPr>
        <w:t>év</w:t>
      </w:r>
      <w:r w:rsidRPr="00F7245E">
        <w:rPr>
          <w:rFonts w:cs="Times New Roman"/>
        </w:rPr>
        <w:t>enként 3,4%</w:t>
      </w:r>
      <w:r w:rsidR="00403F49" w:rsidRPr="00F7245E">
        <w:rPr>
          <w:rFonts w:cs="Times New Roman"/>
        </w:rPr>
        <w:noBreakHyphen/>
      </w:r>
      <w:r w:rsidRPr="00F7245E">
        <w:rPr>
          <w:rFonts w:cs="Times New Roman"/>
        </w:rPr>
        <w:t>ra növelte a nagyfokú vérzés kockázatát, a warfarint kapó</w:t>
      </w:r>
      <w:r w:rsidR="00D126EC" w:rsidRPr="00F7245E">
        <w:rPr>
          <w:rFonts w:cs="Times New Roman"/>
        </w:rPr>
        <w:t xml:space="preserve"> </w:t>
      </w:r>
      <w:r w:rsidR="00A1416D" w:rsidRPr="00F7245E">
        <w:rPr>
          <w:rFonts w:cs="Times New Roman"/>
        </w:rPr>
        <w:t>beteg</w:t>
      </w:r>
      <w:r w:rsidRPr="00F7245E">
        <w:rPr>
          <w:rFonts w:cs="Times New Roman"/>
        </w:rPr>
        <w:t>eknél</w:t>
      </w:r>
      <w:r w:rsidR="00D126EC" w:rsidRPr="00F7245E">
        <w:rPr>
          <w:rFonts w:cs="Times New Roman"/>
        </w:rPr>
        <w:t xml:space="preserve"> pedig </w:t>
      </w:r>
      <w:r w:rsidR="00045408" w:rsidRPr="00F7245E">
        <w:rPr>
          <w:rFonts w:cs="Times New Roman"/>
        </w:rPr>
        <w:t>év</w:t>
      </w:r>
      <w:r w:rsidRPr="00F7245E">
        <w:rPr>
          <w:rFonts w:cs="Times New Roman"/>
        </w:rPr>
        <w:t>enkénti 2,7%</w:t>
      </w:r>
      <w:r w:rsidR="0022418A" w:rsidRPr="00F7245E">
        <w:rPr>
          <w:rFonts w:cs="Times New Roman"/>
        </w:rPr>
        <w:noBreakHyphen/>
      </w:r>
      <w:r w:rsidRPr="00F7245E">
        <w:rPr>
          <w:rFonts w:cs="Times New Roman"/>
        </w:rPr>
        <w:t>ról</w:t>
      </w:r>
      <w:r w:rsidR="00D126EC" w:rsidRPr="00F7245E">
        <w:rPr>
          <w:rFonts w:cs="Times New Roman"/>
        </w:rPr>
        <w:t xml:space="preserve"> </w:t>
      </w:r>
      <w:r w:rsidR="00045408" w:rsidRPr="00F7245E">
        <w:rPr>
          <w:rFonts w:cs="Times New Roman"/>
        </w:rPr>
        <w:t>év</w:t>
      </w:r>
      <w:r w:rsidRPr="00F7245E">
        <w:rPr>
          <w:rFonts w:cs="Times New Roman"/>
        </w:rPr>
        <w:t>enként 4,6%</w:t>
      </w:r>
      <w:r w:rsidR="0022418A" w:rsidRPr="00F7245E">
        <w:rPr>
          <w:rFonts w:cs="Times New Roman"/>
        </w:rPr>
        <w:noBreakHyphen/>
      </w:r>
      <w:r w:rsidRPr="00F7245E">
        <w:rPr>
          <w:rFonts w:cs="Times New Roman"/>
        </w:rPr>
        <w:t xml:space="preserve">ra növelte a vérzés kockázatát. Ebben a klinikai vizsgálatban az egyidejűleg </w:t>
      </w:r>
      <w:r w:rsidR="00265C86" w:rsidRPr="00F7245E">
        <w:rPr>
          <w:rFonts w:cs="Times New Roman"/>
        </w:rPr>
        <w:t xml:space="preserve">alkalmazott </w:t>
      </w:r>
      <w:r w:rsidRPr="00F7245E">
        <w:rPr>
          <w:rFonts w:cs="Times New Roman"/>
        </w:rPr>
        <w:t>kettős thrombocytaaggregáció</w:t>
      </w:r>
      <w:r w:rsidR="00D126EC" w:rsidRPr="00F7245E">
        <w:rPr>
          <w:rFonts w:cs="Times New Roman"/>
        </w:rPr>
        <w:noBreakHyphen/>
      </w:r>
      <w:r w:rsidRPr="00F7245E">
        <w:rPr>
          <w:rFonts w:cs="Times New Roman"/>
        </w:rPr>
        <w:t>gátló</w:t>
      </w:r>
      <w:r w:rsidR="00265C86" w:rsidRPr="00F7245E">
        <w:rPr>
          <w:rFonts w:cs="Times New Roman"/>
        </w:rPr>
        <w:t xml:space="preserve"> kezelés</w:t>
      </w:r>
      <w:r w:rsidR="001D499A" w:rsidRPr="00F7245E">
        <w:rPr>
          <w:rFonts w:cs="Times New Roman"/>
        </w:rPr>
        <w:t xml:space="preserve"> </w:t>
      </w:r>
      <w:r w:rsidR="00265C86" w:rsidRPr="00F7245E">
        <w:rPr>
          <w:rFonts w:cs="Times New Roman"/>
        </w:rPr>
        <w:t xml:space="preserve">alkalmazása </w:t>
      </w:r>
      <w:r w:rsidR="001D499A" w:rsidRPr="00F7245E">
        <w:rPr>
          <w:rFonts w:cs="Times New Roman"/>
        </w:rPr>
        <w:t>korlátozott</w:t>
      </w:r>
      <w:r w:rsidR="00265C86" w:rsidRPr="00F7245E">
        <w:rPr>
          <w:rFonts w:cs="Times New Roman"/>
        </w:rPr>
        <w:t xml:space="preserve"> volt</w:t>
      </w:r>
      <w:r w:rsidR="001D499A" w:rsidRPr="00F7245E">
        <w:rPr>
          <w:rFonts w:cs="Times New Roman"/>
        </w:rPr>
        <w:t xml:space="preserve"> (2,1%) </w:t>
      </w:r>
      <w:r w:rsidRPr="00F7245E">
        <w:rPr>
          <w:rFonts w:cs="Times New Roman"/>
        </w:rPr>
        <w:t>(lásd 5.1</w:t>
      </w:r>
      <w:r w:rsidR="004C106B" w:rsidRPr="00F7245E">
        <w:rPr>
          <w:rFonts w:cs="Times New Roman"/>
        </w:rPr>
        <w:t> pont</w:t>
      </w:r>
      <w:r w:rsidRPr="00F7245E">
        <w:rPr>
          <w:rFonts w:cs="Times New Roman"/>
        </w:rPr>
        <w:t>).</w:t>
      </w:r>
    </w:p>
    <w:p w14:paraId="72701364" w14:textId="77777777" w:rsidR="00B62AE4" w:rsidRPr="00F7245E" w:rsidRDefault="00B62AE4" w:rsidP="00A21724">
      <w:pPr>
        <w:pStyle w:val="Nincstrkz"/>
        <w:rPr>
          <w:rFonts w:cs="Times New Roman"/>
        </w:rPr>
      </w:pPr>
    </w:p>
    <w:p w14:paraId="60664DFA" w14:textId="2F1A4D49" w:rsidR="00B62AE4" w:rsidRPr="00F7245E" w:rsidRDefault="00B62AE4" w:rsidP="00A21724">
      <w:pPr>
        <w:pStyle w:val="Nincstrkz"/>
        <w:rPr>
          <w:rFonts w:cs="Times New Roman"/>
        </w:rPr>
      </w:pPr>
      <w:r w:rsidRPr="00F7245E">
        <w:rPr>
          <w:rFonts w:cs="Times New Roman"/>
        </w:rPr>
        <w:t>Egy klinikai vizsgálatba olyan pitvarfibrillációban szenvedő</w:t>
      </w:r>
      <w:r w:rsidR="00522CA0" w:rsidRPr="00F7245E">
        <w:rPr>
          <w:rFonts w:cs="Times New Roman"/>
        </w:rPr>
        <w:t xml:space="preserve"> betegeket</w:t>
      </w:r>
      <w:r w:rsidRPr="00F7245E">
        <w:rPr>
          <w:rFonts w:cs="Times New Roman"/>
        </w:rPr>
        <w:t xml:space="preserve"> vontak be, akiknek akut coronaria szindrómájuk volt és/vagy</w:t>
      </w:r>
      <w:r w:rsidR="007015D3" w:rsidRPr="00F7245E">
        <w:rPr>
          <w:rFonts w:cs="Times New Roman"/>
        </w:rPr>
        <w:t xml:space="preserve"> percutan coronaria intervención (</w:t>
      </w:r>
      <w:r w:rsidRPr="00F7245E">
        <w:rPr>
          <w:rFonts w:cs="Times New Roman"/>
        </w:rPr>
        <w:t>PCI</w:t>
      </w:r>
      <w:r w:rsidR="007015D3" w:rsidRPr="00F7245E">
        <w:rPr>
          <w:rFonts w:cs="Times New Roman"/>
        </w:rPr>
        <w:t>)</w:t>
      </w:r>
      <w:r w:rsidRPr="00F7245E">
        <w:rPr>
          <w:rFonts w:cs="Times New Roman"/>
        </w:rPr>
        <w:t xml:space="preserve"> estek át, és </w:t>
      </w:r>
      <w:r w:rsidR="00E72F27" w:rsidRPr="00F7245E">
        <w:rPr>
          <w:rFonts w:cs="Times New Roman"/>
        </w:rPr>
        <w:t xml:space="preserve">6 hónapig </w:t>
      </w:r>
      <w:r w:rsidRPr="00F7245E">
        <w:rPr>
          <w:rFonts w:cs="Times New Roman"/>
        </w:rPr>
        <w:t>tervezetten P2Y12</w:t>
      </w:r>
      <w:r w:rsidR="007015D3" w:rsidRPr="00F7245E">
        <w:rPr>
          <w:rFonts w:cs="Times New Roman"/>
        </w:rPr>
        <w:noBreakHyphen/>
      </w:r>
      <w:r w:rsidRPr="00F7245E">
        <w:rPr>
          <w:rFonts w:cs="Times New Roman"/>
        </w:rPr>
        <w:t>gátló</w:t>
      </w:r>
      <w:r w:rsidR="001D499A" w:rsidRPr="00F7245E">
        <w:rPr>
          <w:rFonts w:cs="Times New Roman"/>
        </w:rPr>
        <w:noBreakHyphen/>
      </w:r>
      <w:r w:rsidRPr="00F7245E">
        <w:rPr>
          <w:rFonts w:cs="Times New Roman"/>
        </w:rPr>
        <w:t>kezelést kaptak acetilszalicilsavval együtt vagy anélkül, valamint orális antikoagulánst (apixab</w:t>
      </w:r>
      <w:r w:rsidR="002C0B56" w:rsidRPr="00F7245E">
        <w:rPr>
          <w:rFonts w:cs="Times New Roman"/>
        </w:rPr>
        <w:t>á</w:t>
      </w:r>
      <w:r w:rsidRPr="00F7245E">
        <w:rPr>
          <w:rFonts w:cs="Times New Roman"/>
        </w:rPr>
        <w:t>n</w:t>
      </w:r>
      <w:r w:rsidR="001D499A" w:rsidRPr="00F7245E">
        <w:rPr>
          <w:rFonts w:cs="Times New Roman"/>
        </w:rPr>
        <w:t>t</w:t>
      </w:r>
      <w:r w:rsidRPr="00F7245E">
        <w:rPr>
          <w:rFonts w:cs="Times New Roman"/>
        </w:rPr>
        <w:t xml:space="preserve"> vagy</w:t>
      </w:r>
      <w:r w:rsidR="007015D3" w:rsidRPr="00F7245E">
        <w:rPr>
          <w:rFonts w:cs="Times New Roman"/>
        </w:rPr>
        <w:t xml:space="preserve"> </w:t>
      </w:r>
      <w:r w:rsidRPr="00F7245E">
        <w:rPr>
          <w:rFonts w:cs="Times New Roman"/>
        </w:rPr>
        <w:t>K</w:t>
      </w:r>
      <w:r w:rsidR="007015D3" w:rsidRPr="00F7245E">
        <w:rPr>
          <w:rFonts w:cs="Times New Roman"/>
        </w:rPr>
        <w:noBreakHyphen/>
      </w:r>
      <w:r w:rsidRPr="00F7245E">
        <w:rPr>
          <w:rFonts w:cs="Times New Roman"/>
        </w:rPr>
        <w:t>vitamin</w:t>
      </w:r>
      <w:r w:rsidR="007015D3" w:rsidRPr="00F7245E">
        <w:rPr>
          <w:rFonts w:cs="Times New Roman"/>
        </w:rPr>
        <w:noBreakHyphen/>
      </w:r>
      <w:r w:rsidRPr="00F7245E">
        <w:rPr>
          <w:rFonts w:cs="Times New Roman"/>
        </w:rPr>
        <w:t>antagonist</w:t>
      </w:r>
      <w:r w:rsidR="001D499A" w:rsidRPr="00F7245E">
        <w:rPr>
          <w:rFonts w:cs="Times New Roman"/>
        </w:rPr>
        <w:t>át</w:t>
      </w:r>
      <w:r w:rsidRPr="00F7245E">
        <w:rPr>
          <w:rFonts w:cs="Times New Roman"/>
        </w:rPr>
        <w:t>). Az acetilszalicilsav együttes alkalmazása</w:t>
      </w:r>
      <w:r w:rsidR="001D499A" w:rsidRPr="00F7245E">
        <w:rPr>
          <w:rFonts w:cs="Times New Roman"/>
        </w:rPr>
        <w:t xml:space="preserve"> </w:t>
      </w:r>
      <w:r w:rsidR="00045408" w:rsidRPr="00F7245E">
        <w:rPr>
          <w:rFonts w:cs="Times New Roman"/>
        </w:rPr>
        <w:t>év</w:t>
      </w:r>
      <w:r w:rsidRPr="00F7245E">
        <w:rPr>
          <w:rFonts w:cs="Times New Roman"/>
        </w:rPr>
        <w:t>ente 16,4%-ról</w:t>
      </w:r>
      <w:r w:rsidR="001D499A" w:rsidRPr="00F7245E">
        <w:rPr>
          <w:rFonts w:cs="Times New Roman"/>
        </w:rPr>
        <w:t xml:space="preserve"> </w:t>
      </w:r>
      <w:r w:rsidR="00045408" w:rsidRPr="00F7245E">
        <w:rPr>
          <w:rFonts w:cs="Times New Roman"/>
        </w:rPr>
        <w:t>év</w:t>
      </w:r>
      <w:r w:rsidRPr="00F7245E">
        <w:rPr>
          <w:rFonts w:cs="Times New Roman"/>
        </w:rPr>
        <w:t>ente 33,1%</w:t>
      </w:r>
      <w:r w:rsidR="001222C3" w:rsidRPr="00F7245E">
        <w:rPr>
          <w:rFonts w:cs="Times New Roman"/>
        </w:rPr>
        <w:noBreakHyphen/>
      </w:r>
      <w:r w:rsidRPr="00F7245E">
        <w:rPr>
          <w:rFonts w:cs="Times New Roman"/>
        </w:rPr>
        <w:t>ra növelte a</w:t>
      </w:r>
      <w:r w:rsidR="00A6523A" w:rsidRPr="00F7245E">
        <w:rPr>
          <w:rFonts w:cs="Times New Roman"/>
        </w:rPr>
        <w:t>z</w:t>
      </w:r>
      <w:r w:rsidRPr="00F7245E">
        <w:rPr>
          <w:rFonts w:cs="Times New Roman"/>
        </w:rPr>
        <w:t xml:space="preserve"> </w:t>
      </w:r>
      <w:r w:rsidR="00A6523A" w:rsidRPr="00F7245E">
        <w:rPr>
          <w:rFonts w:cs="Times New Roman"/>
        </w:rPr>
        <w:t xml:space="preserve">ISTH </w:t>
      </w:r>
      <w:r w:rsidRPr="00F7245E">
        <w:rPr>
          <w:rFonts w:cs="Times New Roman"/>
        </w:rPr>
        <w:t>(</w:t>
      </w:r>
      <w:r w:rsidR="00A6523A" w:rsidRPr="00F7245E">
        <w:rPr>
          <w:rFonts w:cs="Times New Roman"/>
        </w:rPr>
        <w:t>International Society on Thrombosis and Hemostasis</w:t>
      </w:r>
      <w:r w:rsidR="00AB7F26" w:rsidRPr="00F7245E">
        <w:rPr>
          <w:rFonts w:cs="Times New Roman"/>
        </w:rPr>
        <w:t>,</w:t>
      </w:r>
      <w:r w:rsidR="00A6523A" w:rsidRPr="00F7245E">
        <w:rPr>
          <w:rFonts w:cs="Times New Roman"/>
        </w:rPr>
        <w:t xml:space="preserve"> Nemzetközi Thrombosis és Haemostasis Társaság</w:t>
      </w:r>
      <w:r w:rsidRPr="00F7245E">
        <w:rPr>
          <w:rFonts w:cs="Times New Roman"/>
        </w:rPr>
        <w:t xml:space="preserve">) definíciója szerinti nagyfokú vagy </w:t>
      </w:r>
      <w:r w:rsidR="00A6523A" w:rsidRPr="00F7245E">
        <w:rPr>
          <w:rFonts w:cs="Times New Roman"/>
        </w:rPr>
        <w:t xml:space="preserve">klinikailag releváns, nem nagyfokú </w:t>
      </w:r>
      <w:r w:rsidRPr="00F7245E">
        <w:rPr>
          <w:rFonts w:cs="Times New Roman"/>
        </w:rPr>
        <w:t>(</w:t>
      </w:r>
      <w:r w:rsidR="00AB7F26" w:rsidRPr="00F7245E">
        <w:rPr>
          <w:rFonts w:cs="Times New Roman"/>
        </w:rPr>
        <w:t xml:space="preserve">CRNM, </w:t>
      </w:r>
      <w:r w:rsidR="00A6523A" w:rsidRPr="00F7245E">
        <w:rPr>
          <w:rFonts w:cs="Times New Roman"/>
        </w:rPr>
        <w:t>Clinically Relevant Non-Major</w:t>
      </w:r>
      <w:r w:rsidRPr="00F7245E">
        <w:rPr>
          <w:rFonts w:cs="Times New Roman"/>
        </w:rPr>
        <w:t>) vérzés kockázatát az apixab</w:t>
      </w:r>
      <w:r w:rsidR="002C0B56" w:rsidRPr="00F7245E">
        <w:rPr>
          <w:rFonts w:cs="Times New Roman"/>
        </w:rPr>
        <w:t>á</w:t>
      </w:r>
      <w:r w:rsidRPr="00F7245E">
        <w:rPr>
          <w:rFonts w:cs="Times New Roman"/>
        </w:rPr>
        <w:t>nnal kezelt</w:t>
      </w:r>
      <w:r w:rsidR="001222C3" w:rsidRPr="00F7245E">
        <w:rPr>
          <w:rFonts w:cs="Times New Roman"/>
        </w:rPr>
        <w:t xml:space="preserve"> </w:t>
      </w:r>
      <w:r w:rsidR="00A1416D" w:rsidRPr="00F7245E">
        <w:rPr>
          <w:rFonts w:cs="Times New Roman"/>
        </w:rPr>
        <w:t>beteg</w:t>
      </w:r>
      <w:r w:rsidRPr="00F7245E">
        <w:rPr>
          <w:rFonts w:cs="Times New Roman"/>
        </w:rPr>
        <w:t>eknél (lásd 5.1</w:t>
      </w:r>
      <w:r w:rsidR="004C106B" w:rsidRPr="00F7245E">
        <w:rPr>
          <w:rFonts w:cs="Times New Roman"/>
        </w:rPr>
        <w:t> pont</w:t>
      </w:r>
      <w:r w:rsidRPr="00F7245E">
        <w:rPr>
          <w:rFonts w:cs="Times New Roman"/>
        </w:rPr>
        <w:t>).</w:t>
      </w:r>
    </w:p>
    <w:p w14:paraId="4FCA5B91" w14:textId="77777777" w:rsidR="00B62AE4" w:rsidRPr="00F7245E" w:rsidRDefault="00B62AE4" w:rsidP="00A21724">
      <w:pPr>
        <w:pStyle w:val="Nincstrkz"/>
        <w:rPr>
          <w:rFonts w:cs="Times New Roman"/>
        </w:rPr>
      </w:pPr>
    </w:p>
    <w:p w14:paraId="2127AB29" w14:textId="4FD96488" w:rsidR="00B62AE4" w:rsidRPr="00F7245E" w:rsidRDefault="00B62AE4" w:rsidP="00A21724">
      <w:pPr>
        <w:pStyle w:val="Nincstrkz"/>
        <w:rPr>
          <w:rFonts w:cs="Times New Roman"/>
        </w:rPr>
      </w:pPr>
      <w:r w:rsidRPr="00F7245E">
        <w:rPr>
          <w:rFonts w:cs="Times New Roman"/>
        </w:rPr>
        <w:t>Egy nagy kockázatú poszt</w:t>
      </w:r>
      <w:r w:rsidR="007015D3" w:rsidRPr="00F7245E">
        <w:rPr>
          <w:rFonts w:cs="Times New Roman"/>
        </w:rPr>
        <w:noBreakHyphen/>
      </w:r>
      <w:r w:rsidRPr="00F7245E">
        <w:rPr>
          <w:rFonts w:cs="Times New Roman"/>
        </w:rPr>
        <w:t>akut coronaria szindrómás, pitvarfibrillációban nem szenvedő</w:t>
      </w:r>
      <w:r w:rsidR="007015D3" w:rsidRPr="00F7245E">
        <w:rPr>
          <w:rFonts w:cs="Times New Roman"/>
        </w:rPr>
        <w:t xml:space="preserve"> betegekkel</w:t>
      </w:r>
      <w:r w:rsidRPr="00F7245E">
        <w:rPr>
          <w:rFonts w:cs="Times New Roman"/>
        </w:rPr>
        <w:t xml:space="preserve"> végzett klinikai vizsgálatban, ahol a</w:t>
      </w:r>
      <w:r w:rsidR="007015D3" w:rsidRPr="00F7245E">
        <w:rPr>
          <w:rFonts w:cs="Times New Roman"/>
        </w:rPr>
        <w:t xml:space="preserve"> betegeket</w:t>
      </w:r>
      <w:r w:rsidRPr="00F7245E">
        <w:rPr>
          <w:rFonts w:cs="Times New Roman"/>
        </w:rPr>
        <w:t xml:space="preserve"> többszörös cardialis és nem cardialis kísérőbetegségek jellemezték, és acetilszalicilsavat vagy acetilszalicilsav és klopidogr</w:t>
      </w:r>
      <w:r w:rsidR="00E500F2" w:rsidRPr="00F7245E">
        <w:rPr>
          <w:rFonts w:cs="Times New Roman"/>
        </w:rPr>
        <w:t>e</w:t>
      </w:r>
      <w:r w:rsidRPr="00F7245E">
        <w:rPr>
          <w:rFonts w:cs="Times New Roman"/>
        </w:rPr>
        <w:t xml:space="preserve">l kombinációt kaptak, az ISTH definíciója szerinti nagyfokú vérzés kockázatának jelentős emelkedéséről számoltak be az </w:t>
      </w:r>
      <w:r w:rsidR="00CA2919" w:rsidRPr="00F7245E">
        <w:rPr>
          <w:rFonts w:cs="Times New Roman"/>
        </w:rPr>
        <w:t xml:space="preserve">apixabán </w:t>
      </w:r>
      <w:r w:rsidRPr="00F7245E">
        <w:rPr>
          <w:rFonts w:cs="Times New Roman"/>
        </w:rPr>
        <w:t>eseté</w:t>
      </w:r>
      <w:r w:rsidR="00AB7F26" w:rsidRPr="00F7245E">
        <w:rPr>
          <w:rFonts w:cs="Times New Roman"/>
        </w:rPr>
        <w:t>be</w:t>
      </w:r>
      <w:r w:rsidRPr="00F7245E">
        <w:rPr>
          <w:rFonts w:cs="Times New Roman"/>
        </w:rPr>
        <w:t>n (5,13%</w:t>
      </w:r>
      <w:r w:rsidR="00045408" w:rsidRPr="00F7245E">
        <w:rPr>
          <w:rFonts w:cs="Times New Roman"/>
        </w:rPr>
        <w:t> év</w:t>
      </w:r>
      <w:r w:rsidRPr="00F7245E">
        <w:rPr>
          <w:rFonts w:cs="Times New Roman"/>
        </w:rPr>
        <w:t>ente) a placebóhoz képest (2,04%</w:t>
      </w:r>
      <w:r w:rsidR="00045408" w:rsidRPr="00F7245E">
        <w:rPr>
          <w:rFonts w:cs="Times New Roman"/>
        </w:rPr>
        <w:t> év</w:t>
      </w:r>
      <w:r w:rsidRPr="00F7245E">
        <w:rPr>
          <w:rFonts w:cs="Times New Roman"/>
        </w:rPr>
        <w:t>ente).</w:t>
      </w:r>
    </w:p>
    <w:p w14:paraId="09DE0370" w14:textId="7177EDB8" w:rsidR="00B62AE4" w:rsidRPr="00F7245E" w:rsidRDefault="00B62AE4" w:rsidP="00A21724">
      <w:pPr>
        <w:pStyle w:val="Nincstrkz"/>
        <w:rPr>
          <w:rFonts w:cs="Times New Roman"/>
        </w:rPr>
      </w:pPr>
    </w:p>
    <w:p w14:paraId="337363CE" w14:textId="069D87F1" w:rsidR="00870E03" w:rsidRPr="00F7245E" w:rsidRDefault="00870E03" w:rsidP="00870E03">
      <w:pPr>
        <w:rPr>
          <w:rFonts w:eastAsiaTheme="minorHAnsi"/>
          <w:lang w:eastAsia="en-US" w:bidi="ar-SA"/>
        </w:rPr>
      </w:pPr>
      <w:r w:rsidRPr="00F7245E">
        <w:rPr>
          <w:rFonts w:eastAsiaTheme="minorHAnsi"/>
          <w:lang w:eastAsia="en-US" w:bidi="ar-SA"/>
        </w:rPr>
        <w:t>A CV185325 vizsgálatban nem jelentettek klinikailag jelentős vérzéses eseményt a 12 gyermeknél és serdülőnél, akiket egyidejűleg kezeltek apixabánnal és ≤ 165 mg/nap dózisú acetilszalicilsavval.</w:t>
      </w:r>
    </w:p>
    <w:p w14:paraId="5489540F" w14:textId="45A1124D" w:rsidR="00870E03" w:rsidRPr="00F7245E" w:rsidRDefault="00870E03" w:rsidP="00A21724">
      <w:pPr>
        <w:pStyle w:val="Nincstrkz"/>
        <w:rPr>
          <w:rFonts w:cs="Times New Roman"/>
        </w:rPr>
      </w:pPr>
    </w:p>
    <w:p w14:paraId="2536945D" w14:textId="0D93D762" w:rsidR="00B62AE4" w:rsidRPr="00F7245E" w:rsidRDefault="00B62AE4" w:rsidP="00A21724">
      <w:pPr>
        <w:pStyle w:val="Nincstrkz"/>
        <w:rPr>
          <w:rFonts w:cs="Times New Roman"/>
          <w:u w:val="single"/>
        </w:rPr>
      </w:pPr>
      <w:r w:rsidRPr="00F7245E">
        <w:rPr>
          <w:rFonts w:cs="Times New Roman"/>
          <w:u w:val="single"/>
        </w:rPr>
        <w:t>Thrombol</w:t>
      </w:r>
      <w:r w:rsidR="00415DC7" w:rsidRPr="00F7245E">
        <w:rPr>
          <w:rFonts w:cs="Times New Roman"/>
          <w:u w:val="single"/>
        </w:rPr>
        <w:t>itikus</w:t>
      </w:r>
      <w:r w:rsidRPr="00F7245E">
        <w:rPr>
          <w:rFonts w:cs="Times New Roman"/>
          <w:u w:val="single"/>
        </w:rPr>
        <w:t xml:space="preserve"> szerek alkalmazása az akut ischaemiás stroke kezelésére</w:t>
      </w:r>
    </w:p>
    <w:p w14:paraId="7BBA8A10" w14:textId="77777777" w:rsidR="00870E03" w:rsidRPr="00F7245E" w:rsidRDefault="00870E03" w:rsidP="00A21724">
      <w:pPr>
        <w:pStyle w:val="Nincstrkz"/>
        <w:rPr>
          <w:rFonts w:cs="Times New Roman"/>
          <w:u w:val="single"/>
        </w:rPr>
      </w:pPr>
    </w:p>
    <w:p w14:paraId="39E681DC" w14:textId="4D707559" w:rsidR="00B62AE4" w:rsidRPr="00F7245E" w:rsidRDefault="00B62AE4" w:rsidP="00A21724">
      <w:pPr>
        <w:pStyle w:val="Nincstrkz"/>
        <w:rPr>
          <w:rFonts w:cs="Times New Roman"/>
        </w:rPr>
      </w:pPr>
      <w:r w:rsidRPr="00F7245E">
        <w:rPr>
          <w:rFonts w:cs="Times New Roman"/>
        </w:rPr>
        <w:t>Az apixab</w:t>
      </w:r>
      <w:r w:rsidR="002C0B56" w:rsidRPr="00F7245E">
        <w:rPr>
          <w:rFonts w:cs="Times New Roman"/>
        </w:rPr>
        <w:t>á</w:t>
      </w:r>
      <w:r w:rsidRPr="00F7245E">
        <w:rPr>
          <w:rFonts w:cs="Times New Roman"/>
        </w:rPr>
        <w:t>nt kapó</w:t>
      </w:r>
      <w:r w:rsidR="00AB7F26" w:rsidRPr="00F7245E">
        <w:rPr>
          <w:rFonts w:cs="Times New Roman"/>
        </w:rPr>
        <w:t xml:space="preserve"> betegeknél</w:t>
      </w:r>
      <w:r w:rsidRPr="00F7245E">
        <w:rPr>
          <w:rFonts w:cs="Times New Roman"/>
        </w:rPr>
        <w:t xml:space="preserve"> az akut ischaemiás stroke kezelés</w:t>
      </w:r>
      <w:r w:rsidR="00AB7F26" w:rsidRPr="00F7245E">
        <w:rPr>
          <w:rFonts w:cs="Times New Roman"/>
        </w:rPr>
        <w:t>ében</w:t>
      </w:r>
      <w:r w:rsidRPr="00F7245E">
        <w:rPr>
          <w:rFonts w:cs="Times New Roman"/>
        </w:rPr>
        <w:t xml:space="preserve"> nagyon korlátozott a </w:t>
      </w:r>
      <w:r w:rsidR="00415DC7" w:rsidRPr="00F7245E">
        <w:rPr>
          <w:rFonts w:cs="Times New Roman"/>
        </w:rPr>
        <w:t>trombolitikus</w:t>
      </w:r>
      <w:r w:rsidR="00AB7F26" w:rsidRPr="00F7245E">
        <w:rPr>
          <w:rFonts w:cs="Times New Roman"/>
        </w:rPr>
        <w:t xml:space="preserve"> szerek alkalmazására vonatkozó </w:t>
      </w:r>
      <w:r w:rsidRPr="00F7245E">
        <w:rPr>
          <w:rFonts w:cs="Times New Roman"/>
        </w:rPr>
        <w:t>tapasztalat (lásd 4.5</w:t>
      </w:r>
      <w:r w:rsidR="00B44192" w:rsidRPr="00F7245E">
        <w:rPr>
          <w:rFonts w:cs="Times New Roman"/>
        </w:rPr>
        <w:t> pont)</w:t>
      </w:r>
      <w:r w:rsidRPr="00F7245E">
        <w:rPr>
          <w:rFonts w:cs="Times New Roman"/>
        </w:rPr>
        <w:t>.</w:t>
      </w:r>
    </w:p>
    <w:p w14:paraId="5B10B91A" w14:textId="77777777" w:rsidR="00B62AE4" w:rsidRPr="00F7245E" w:rsidRDefault="00B62AE4" w:rsidP="00A21724">
      <w:pPr>
        <w:pStyle w:val="Nincstrkz"/>
        <w:rPr>
          <w:rFonts w:cs="Times New Roman"/>
        </w:rPr>
      </w:pPr>
    </w:p>
    <w:p w14:paraId="34D3541C" w14:textId="428E2200" w:rsidR="00870E03" w:rsidRPr="00F7245E" w:rsidRDefault="00870E03" w:rsidP="00F7245E">
      <w:r w:rsidRPr="00F7245E">
        <w:rPr>
          <w:u w:val="single"/>
          <w:lang w:eastAsia="en-US" w:bidi="ar-SA"/>
        </w:rPr>
        <w:t>Műbillentyűvel élő betegek</w:t>
      </w:r>
    </w:p>
    <w:p w14:paraId="5E308407" w14:textId="77777777" w:rsidR="00870E03" w:rsidRPr="00F7245E" w:rsidRDefault="00870E03" w:rsidP="00A21724">
      <w:pPr>
        <w:pStyle w:val="Nincstrkz"/>
        <w:rPr>
          <w:rFonts w:cs="Times New Roman"/>
        </w:rPr>
      </w:pPr>
    </w:p>
    <w:p w14:paraId="6BDDDFDB" w14:textId="77777777" w:rsidR="00870E03" w:rsidRPr="00F7245E" w:rsidRDefault="00870E03" w:rsidP="00A21724">
      <w:pPr>
        <w:pStyle w:val="Nincstrkz"/>
        <w:rPr>
          <w:rFonts w:eastAsia="Times New Roman" w:cs="Times New Roman"/>
        </w:rPr>
      </w:pPr>
      <w:r w:rsidRPr="00F7245E">
        <w:rPr>
          <w:rFonts w:eastAsia="Times New Roman" w:cs="Times New Roman"/>
        </w:rPr>
        <w:t>Az apixabán biztonságosságát és hatásosságát műbillentyű-beültetésen átesett, pitvarfibrilláló vagy nem pitvarfibrilláló betegeknél nem vizsgálták. Ezért az apixabán alkalmazása ezeknél a betegeknél nem javasolt.</w:t>
      </w:r>
    </w:p>
    <w:p w14:paraId="1BE53965" w14:textId="77777777" w:rsidR="00B62AE4" w:rsidRPr="00F7245E" w:rsidRDefault="00B62AE4" w:rsidP="00A21724">
      <w:pPr>
        <w:pStyle w:val="Nincstrkz"/>
        <w:rPr>
          <w:rFonts w:cs="Times New Roman"/>
        </w:rPr>
      </w:pPr>
    </w:p>
    <w:p w14:paraId="0DBF540F" w14:textId="77777777" w:rsidR="00265C86" w:rsidRPr="00F7245E" w:rsidRDefault="00265C86" w:rsidP="00265C86">
      <w:r w:rsidRPr="00F7245E">
        <w:t>Az apixabánt nem vizsgálták billentyű-protézissel rendelkező gyermekeknél és serdülőknél, ezért az apixabán alkalmazása náluk nem javasolt.</w:t>
      </w:r>
    </w:p>
    <w:p w14:paraId="718865EE" w14:textId="77777777" w:rsidR="00265C86" w:rsidRPr="00F7245E" w:rsidRDefault="00265C86" w:rsidP="00A21724">
      <w:pPr>
        <w:pStyle w:val="Nincstrkz"/>
        <w:rPr>
          <w:rFonts w:cs="Times New Roman"/>
        </w:rPr>
      </w:pPr>
    </w:p>
    <w:p w14:paraId="43D789D2" w14:textId="10F73DD2" w:rsidR="00B62AE4" w:rsidRPr="00F7245E" w:rsidRDefault="00B62AE4" w:rsidP="00A21724">
      <w:pPr>
        <w:pStyle w:val="Nincstrkz"/>
        <w:rPr>
          <w:rFonts w:cs="Times New Roman"/>
          <w:u w:val="single"/>
        </w:rPr>
      </w:pPr>
      <w:r w:rsidRPr="00F7245E">
        <w:rPr>
          <w:rFonts w:cs="Times New Roman"/>
          <w:u w:val="single"/>
        </w:rPr>
        <w:t>Antifoszfolipid szindrómában szenvedő</w:t>
      </w:r>
      <w:r w:rsidR="00677AC6" w:rsidRPr="00F7245E">
        <w:rPr>
          <w:rFonts w:cs="Times New Roman"/>
          <w:u w:val="single"/>
        </w:rPr>
        <w:t xml:space="preserve"> betegek</w:t>
      </w:r>
    </w:p>
    <w:p w14:paraId="780B6BFD" w14:textId="77777777" w:rsidR="00870E03" w:rsidRPr="00F7245E" w:rsidRDefault="00870E03" w:rsidP="00A21724">
      <w:pPr>
        <w:pStyle w:val="Nincstrkz"/>
        <w:rPr>
          <w:rFonts w:cs="Times New Roman"/>
          <w:u w:val="single"/>
        </w:rPr>
      </w:pPr>
    </w:p>
    <w:p w14:paraId="3ECF049F" w14:textId="7B2BE49B" w:rsidR="00B62AE4" w:rsidRPr="00F7245E" w:rsidRDefault="00B62AE4" w:rsidP="00A21724">
      <w:pPr>
        <w:pStyle w:val="Nincstrkz"/>
        <w:rPr>
          <w:rFonts w:cs="Times New Roman"/>
        </w:rPr>
      </w:pPr>
      <w:r w:rsidRPr="00F7245E">
        <w:rPr>
          <w:rFonts w:cs="Times New Roman"/>
        </w:rPr>
        <w:t>A direkt hatású orális antikoagulánsok (DOAC</w:t>
      </w:r>
      <w:r w:rsidR="00677AC6" w:rsidRPr="00F7245E">
        <w:rPr>
          <w:rFonts w:cs="Times New Roman"/>
        </w:rPr>
        <w:t>, Direct acting Oral Anticoagulants</w:t>
      </w:r>
      <w:r w:rsidRPr="00F7245E">
        <w:rPr>
          <w:rFonts w:cs="Times New Roman"/>
        </w:rPr>
        <w:t>), köztük az apixab</w:t>
      </w:r>
      <w:r w:rsidR="002C0B56" w:rsidRPr="00F7245E">
        <w:rPr>
          <w:rFonts w:cs="Times New Roman"/>
        </w:rPr>
        <w:t>á</w:t>
      </w:r>
      <w:r w:rsidRPr="00F7245E">
        <w:rPr>
          <w:rFonts w:cs="Times New Roman"/>
        </w:rPr>
        <w:t>n, nem javasoltak olyan, korábban thrombosison átesett</w:t>
      </w:r>
      <w:r w:rsidR="00677AC6" w:rsidRPr="00F7245E">
        <w:rPr>
          <w:rFonts w:cs="Times New Roman"/>
        </w:rPr>
        <w:t xml:space="preserve"> betegeknél</w:t>
      </w:r>
      <w:r w:rsidRPr="00F7245E">
        <w:rPr>
          <w:rFonts w:cs="Times New Roman"/>
        </w:rPr>
        <w:t>, akiknél antifoszfolipid szindrómát diagnosztizáltak. Különösen tripla pozitív</w:t>
      </w:r>
      <w:r w:rsidR="00677AC6" w:rsidRPr="00F7245E">
        <w:rPr>
          <w:rFonts w:cs="Times New Roman"/>
        </w:rPr>
        <w:t xml:space="preserve"> </w:t>
      </w:r>
      <w:r w:rsidRPr="00F7245E">
        <w:rPr>
          <w:rFonts w:cs="Times New Roman"/>
        </w:rPr>
        <w:t>(lupusz antikoaguláns, antikardiolipin antitestek és anti</w:t>
      </w:r>
      <w:r w:rsidR="001F3291" w:rsidRPr="00F7245E">
        <w:rPr>
          <w:rFonts w:cs="Times New Roman"/>
        </w:rPr>
        <w:noBreakHyphen/>
      </w:r>
      <w:r w:rsidRPr="00F7245E">
        <w:rPr>
          <w:rFonts w:cs="Times New Roman"/>
        </w:rPr>
        <w:t>béta</w:t>
      </w:r>
      <w:r w:rsidR="001F3291" w:rsidRPr="00F7245E">
        <w:rPr>
          <w:rFonts w:cs="Times New Roman"/>
        </w:rPr>
        <w:noBreakHyphen/>
      </w:r>
      <w:r w:rsidRPr="00F7245E">
        <w:rPr>
          <w:rFonts w:cs="Times New Roman"/>
        </w:rPr>
        <w:t>2</w:t>
      </w:r>
      <w:r w:rsidR="00677AC6" w:rsidRPr="00F7245E">
        <w:rPr>
          <w:rFonts w:cs="Times New Roman"/>
        </w:rPr>
        <w:t xml:space="preserve"> </w:t>
      </w:r>
      <w:r w:rsidRPr="00F7245E">
        <w:rPr>
          <w:rFonts w:cs="Times New Roman"/>
        </w:rPr>
        <w:t>glikoprotein</w:t>
      </w:r>
      <w:r w:rsidR="001F3291" w:rsidRPr="00F7245E">
        <w:rPr>
          <w:rFonts w:cs="Times New Roman"/>
        </w:rPr>
        <w:noBreakHyphen/>
      </w:r>
      <w:r w:rsidRPr="00F7245E">
        <w:rPr>
          <w:rFonts w:cs="Times New Roman"/>
        </w:rPr>
        <w:t xml:space="preserve">I antitestek) </w:t>
      </w:r>
      <w:r w:rsidR="00677AC6" w:rsidRPr="00F7245E">
        <w:rPr>
          <w:rFonts w:cs="Times New Roman"/>
        </w:rPr>
        <w:t xml:space="preserve">betegeknél </w:t>
      </w:r>
      <w:r w:rsidRPr="00F7245E">
        <w:rPr>
          <w:rFonts w:cs="Times New Roman"/>
        </w:rPr>
        <w:t>a DOAC</w:t>
      </w:r>
      <w:r w:rsidR="00677AC6" w:rsidRPr="00F7245E">
        <w:rPr>
          <w:rFonts w:cs="Times New Roman"/>
        </w:rPr>
        <w:noBreakHyphen/>
      </w:r>
      <w:r w:rsidRPr="00F7245E">
        <w:rPr>
          <w:rFonts w:cs="Times New Roman"/>
        </w:rPr>
        <w:t>kezelés visszatérő thromboti</w:t>
      </w:r>
      <w:r w:rsidR="00415DC7" w:rsidRPr="00F7245E">
        <w:rPr>
          <w:rFonts w:cs="Times New Roman"/>
        </w:rPr>
        <w:t>k</w:t>
      </w:r>
      <w:r w:rsidRPr="00F7245E">
        <w:rPr>
          <w:rFonts w:cs="Times New Roman"/>
        </w:rPr>
        <w:t>us események magasabb gyakoriságával társulhat a K-vitamin</w:t>
      </w:r>
      <w:r w:rsidR="00870E03" w:rsidRPr="00F7245E">
        <w:rPr>
          <w:rFonts w:cs="Times New Roman"/>
        </w:rPr>
        <w:t>-</w:t>
      </w:r>
      <w:r w:rsidRPr="00F7245E">
        <w:rPr>
          <w:rFonts w:cs="Times New Roman"/>
        </w:rPr>
        <w:t>antagonistákhoz képest.</w:t>
      </w:r>
    </w:p>
    <w:p w14:paraId="26F11E9B" w14:textId="77777777" w:rsidR="00B62AE4" w:rsidRPr="00F7245E" w:rsidRDefault="00B62AE4" w:rsidP="00A21724">
      <w:pPr>
        <w:pStyle w:val="Nincstrkz"/>
        <w:rPr>
          <w:rFonts w:cs="Times New Roman"/>
        </w:rPr>
      </w:pPr>
    </w:p>
    <w:p w14:paraId="0B2FE7CB" w14:textId="77777777" w:rsidR="00B62AE4" w:rsidRPr="00F7245E" w:rsidRDefault="00B62AE4" w:rsidP="00A21724">
      <w:pPr>
        <w:pStyle w:val="Nincstrkz"/>
        <w:rPr>
          <w:rFonts w:cs="Times New Roman"/>
          <w:u w:val="single"/>
        </w:rPr>
      </w:pPr>
      <w:r w:rsidRPr="00F7245E">
        <w:rPr>
          <w:rFonts w:cs="Times New Roman"/>
          <w:u w:val="single"/>
        </w:rPr>
        <w:t>Műtét és invazív beavatkozások</w:t>
      </w:r>
    </w:p>
    <w:p w14:paraId="3FF2FCAD" w14:textId="77777777" w:rsidR="00776893" w:rsidRPr="00F7245E" w:rsidRDefault="00776893" w:rsidP="00776893">
      <w:pPr>
        <w:keepNext/>
        <w:widowControl/>
        <w:rPr>
          <w:lang w:eastAsia="en-US" w:bidi="ar-SA"/>
        </w:rPr>
      </w:pPr>
      <w:r w:rsidRPr="00F7245E">
        <w:rPr>
          <w:lang w:eastAsia="en-US" w:bidi="ar-SA"/>
        </w:rPr>
        <w:t>Közepes vagy jelentős vérzési kockázattal járó elektív műtét vagy invazív beavatkozások előtt az apixabán alkalmazását legalább 48 órával korábban abba kell hagyni. Ezek közé olyan beavatkozások tartoznak, amelyeknél a klinikailag jelentős vérzés kockázata nem zárható ki, vagy amelyeknél a vérzés kockázata elfogadhatatlan lehet.</w:t>
      </w:r>
    </w:p>
    <w:p w14:paraId="6124AB7F" w14:textId="77777777" w:rsidR="00B62AE4" w:rsidRPr="00F7245E" w:rsidRDefault="00B62AE4" w:rsidP="00A21724">
      <w:pPr>
        <w:pStyle w:val="Nincstrkz"/>
        <w:rPr>
          <w:rFonts w:cs="Times New Roman"/>
        </w:rPr>
      </w:pPr>
    </w:p>
    <w:p w14:paraId="56D40CAA" w14:textId="751A0DAA" w:rsidR="00B62AE4" w:rsidRPr="00F7245E" w:rsidRDefault="00265C86" w:rsidP="00A21724">
      <w:pPr>
        <w:pStyle w:val="Nincstrkz"/>
        <w:rPr>
          <w:rFonts w:cs="Times New Roman"/>
        </w:rPr>
      </w:pPr>
      <w:r w:rsidRPr="00F7245E">
        <w:rPr>
          <w:rFonts w:cs="Times New Roman"/>
        </w:rPr>
        <w:t>A</w:t>
      </w:r>
      <w:r w:rsidR="00B62AE4" w:rsidRPr="00F7245E">
        <w:rPr>
          <w:rFonts w:cs="Times New Roman"/>
        </w:rPr>
        <w:t xml:space="preserve">lacsony vérzési kockázattal járó elektív műtét vagy invazív beavatkozások előtt </w:t>
      </w:r>
      <w:r w:rsidRPr="00F7245E">
        <w:rPr>
          <w:rFonts w:cs="Times New Roman"/>
        </w:rPr>
        <w:t xml:space="preserve">az apixabán adását legalább 24 órával </w:t>
      </w:r>
      <w:r w:rsidR="004D219C" w:rsidRPr="00F7245E">
        <w:rPr>
          <w:rFonts w:cs="Times New Roman"/>
        </w:rPr>
        <w:t>le kell állítani</w:t>
      </w:r>
      <w:r w:rsidR="00B62AE4" w:rsidRPr="00F7245E">
        <w:rPr>
          <w:rFonts w:cs="Times New Roman"/>
        </w:rPr>
        <w:t>. Ezek közé olyan beavatkozások tartoznak, amelyeknél bármilyen előforduló vérzés várhatóan minimális, nem kritikus, és könnyen kontrollálható.</w:t>
      </w:r>
    </w:p>
    <w:p w14:paraId="1FF6B452" w14:textId="77777777" w:rsidR="00B62AE4" w:rsidRPr="00F7245E" w:rsidRDefault="00B62AE4" w:rsidP="00A21724">
      <w:pPr>
        <w:pStyle w:val="Nincstrkz"/>
        <w:rPr>
          <w:rFonts w:cs="Times New Roman"/>
        </w:rPr>
      </w:pPr>
    </w:p>
    <w:p w14:paraId="56706A1B" w14:textId="77777777" w:rsidR="00B62AE4" w:rsidRPr="00F7245E" w:rsidRDefault="00B62AE4" w:rsidP="00A21724">
      <w:pPr>
        <w:pStyle w:val="Nincstrkz"/>
        <w:rPr>
          <w:rFonts w:cs="Times New Roman"/>
        </w:rPr>
      </w:pPr>
      <w:r w:rsidRPr="00F7245E">
        <w:rPr>
          <w:rFonts w:cs="Times New Roman"/>
        </w:rPr>
        <w:t>Ha a műtét vagy az invazív beavatkozások nem halaszthatók, megfelelő elővigyázatosság szükséges, és a vérzés fokozott kockázatát tekintetbe kell venni. A vérzés kockázatát mérlegelni kell a beavatkozás sürgősségével szemben.</w:t>
      </w:r>
    </w:p>
    <w:p w14:paraId="31A3701E" w14:textId="77777777" w:rsidR="00B62AE4" w:rsidRPr="00F7245E" w:rsidRDefault="00B62AE4" w:rsidP="00A21724">
      <w:pPr>
        <w:pStyle w:val="Nincstrkz"/>
        <w:rPr>
          <w:rFonts w:cs="Times New Roman"/>
        </w:rPr>
      </w:pPr>
    </w:p>
    <w:p w14:paraId="03C636C1" w14:textId="77777777" w:rsidR="00776893" w:rsidRPr="00F7245E" w:rsidRDefault="00776893" w:rsidP="00776893">
      <w:pPr>
        <w:rPr>
          <w:lang w:eastAsia="en-US" w:bidi="ar-SA"/>
        </w:rPr>
      </w:pPr>
      <w:r w:rsidRPr="00F7245E">
        <w:rPr>
          <w:lang w:eastAsia="en-US" w:bidi="ar-SA"/>
        </w:rPr>
        <w:t>Az invazív eljárás vagy sebészi beavatkozás után az apixabánt a lehető leghamarabb újra kell kezdeni, feltételezve, hogy azt a klinikai állapot lehetővé teszi, és az adekvát haemostasist elérték (kardioverzióra vonatkozóan lásd a 4.2 pontot).</w:t>
      </w:r>
    </w:p>
    <w:p w14:paraId="7F480EE8" w14:textId="77777777" w:rsidR="00776893" w:rsidRPr="00F7245E" w:rsidRDefault="00776893" w:rsidP="00A21724">
      <w:pPr>
        <w:pStyle w:val="Nincstrkz"/>
        <w:rPr>
          <w:rFonts w:cs="Times New Roman"/>
          <w:w w:val="105"/>
        </w:rPr>
      </w:pPr>
    </w:p>
    <w:p w14:paraId="21D958C2" w14:textId="3F24BBDE" w:rsidR="00B62AE4" w:rsidRPr="00F7245E" w:rsidRDefault="00B62AE4" w:rsidP="00A21724">
      <w:pPr>
        <w:pStyle w:val="Nincstrkz"/>
        <w:rPr>
          <w:rFonts w:cs="Times New Roman"/>
        </w:rPr>
      </w:pPr>
      <w:r w:rsidRPr="00F7245E">
        <w:rPr>
          <w:rFonts w:cs="Times New Roman"/>
          <w:w w:val="105"/>
        </w:rPr>
        <w:t>Pitvarfibrilláció</w:t>
      </w:r>
      <w:r w:rsidRPr="00F7245E">
        <w:rPr>
          <w:rFonts w:cs="Times New Roman"/>
          <w:spacing w:val="-17"/>
          <w:w w:val="105"/>
        </w:rPr>
        <w:t xml:space="preserve"> </w:t>
      </w:r>
      <w:r w:rsidRPr="00F7245E">
        <w:rPr>
          <w:rFonts w:cs="Times New Roman"/>
          <w:w w:val="105"/>
        </w:rPr>
        <w:t>miatt</w:t>
      </w:r>
      <w:r w:rsidRPr="00F7245E">
        <w:rPr>
          <w:rFonts w:cs="Times New Roman"/>
          <w:spacing w:val="-16"/>
          <w:w w:val="105"/>
        </w:rPr>
        <w:t xml:space="preserve"> </w:t>
      </w:r>
      <w:r w:rsidRPr="00F7245E">
        <w:rPr>
          <w:rFonts w:cs="Times New Roman"/>
          <w:w w:val="105"/>
        </w:rPr>
        <w:t>katéteres</w:t>
      </w:r>
      <w:r w:rsidRPr="00F7245E">
        <w:rPr>
          <w:rFonts w:cs="Times New Roman"/>
          <w:spacing w:val="-18"/>
          <w:w w:val="105"/>
        </w:rPr>
        <w:t xml:space="preserve"> </w:t>
      </w:r>
      <w:r w:rsidRPr="00F7245E">
        <w:rPr>
          <w:rFonts w:cs="Times New Roman"/>
          <w:w w:val="105"/>
        </w:rPr>
        <w:t>ablációban</w:t>
      </w:r>
      <w:r w:rsidRPr="00F7245E">
        <w:rPr>
          <w:rFonts w:cs="Times New Roman"/>
          <w:spacing w:val="-17"/>
          <w:w w:val="105"/>
        </w:rPr>
        <w:t xml:space="preserve"> </w:t>
      </w:r>
      <w:r w:rsidRPr="00F7245E">
        <w:rPr>
          <w:rFonts w:cs="Times New Roman"/>
          <w:w w:val="105"/>
        </w:rPr>
        <w:t>részesülő</w:t>
      </w:r>
      <w:r w:rsidR="00FE3006" w:rsidRPr="00F7245E">
        <w:rPr>
          <w:rFonts w:cs="Times New Roman"/>
          <w:w w:val="105"/>
        </w:rPr>
        <w:t xml:space="preserve"> betegeknél</w:t>
      </w:r>
      <w:r w:rsidRPr="00F7245E">
        <w:rPr>
          <w:rFonts w:cs="Times New Roman"/>
          <w:spacing w:val="-17"/>
          <w:w w:val="105"/>
        </w:rPr>
        <w:t xml:space="preserve"> </w:t>
      </w:r>
      <w:r w:rsidRPr="00F7245E">
        <w:rPr>
          <w:rFonts w:cs="Times New Roman"/>
          <w:w w:val="105"/>
        </w:rPr>
        <w:t>nincs</w:t>
      </w:r>
      <w:r w:rsidRPr="00F7245E">
        <w:rPr>
          <w:rFonts w:cs="Times New Roman"/>
          <w:spacing w:val="-15"/>
          <w:w w:val="105"/>
        </w:rPr>
        <w:t xml:space="preserve"> </w:t>
      </w:r>
      <w:r w:rsidRPr="00F7245E">
        <w:rPr>
          <w:rFonts w:cs="Times New Roman"/>
          <w:w w:val="105"/>
        </w:rPr>
        <w:t>szükség</w:t>
      </w:r>
      <w:r w:rsidRPr="00F7245E">
        <w:rPr>
          <w:rFonts w:cs="Times New Roman"/>
          <w:spacing w:val="-18"/>
          <w:w w:val="105"/>
        </w:rPr>
        <w:t xml:space="preserve"> </w:t>
      </w:r>
      <w:r w:rsidRPr="00F7245E">
        <w:rPr>
          <w:rFonts w:cs="Times New Roman"/>
          <w:w w:val="105"/>
        </w:rPr>
        <w:t>az</w:t>
      </w:r>
      <w:r w:rsidRPr="00F7245E">
        <w:rPr>
          <w:rFonts w:cs="Times New Roman"/>
          <w:spacing w:val="-17"/>
          <w:w w:val="105"/>
        </w:rPr>
        <w:t xml:space="preserve"> </w:t>
      </w:r>
      <w:r w:rsidR="00415DC7" w:rsidRPr="00F7245E">
        <w:rPr>
          <w:rFonts w:cs="Times New Roman"/>
          <w:w w:val="105"/>
        </w:rPr>
        <w:t>a</w:t>
      </w:r>
      <w:r w:rsidR="00FA2868" w:rsidRPr="00F7245E">
        <w:rPr>
          <w:rFonts w:cs="Times New Roman"/>
          <w:w w:val="105"/>
        </w:rPr>
        <w:t>pixab</w:t>
      </w:r>
      <w:r w:rsidR="00684207" w:rsidRPr="00F7245E">
        <w:rPr>
          <w:rFonts w:cs="Times New Roman"/>
          <w:w w:val="105"/>
        </w:rPr>
        <w:t>á</w:t>
      </w:r>
      <w:r w:rsidR="00FA2868" w:rsidRPr="00F7245E">
        <w:rPr>
          <w:rFonts w:cs="Times New Roman"/>
          <w:w w:val="105"/>
        </w:rPr>
        <w:t>n</w:t>
      </w:r>
      <w:r w:rsidR="00FE3006" w:rsidRPr="00F7245E">
        <w:rPr>
          <w:rFonts w:cs="Times New Roman"/>
          <w:w w:val="105"/>
        </w:rPr>
        <w:noBreakHyphen/>
      </w:r>
      <w:r w:rsidRPr="00F7245E">
        <w:rPr>
          <w:rFonts w:cs="Times New Roman"/>
          <w:w w:val="105"/>
        </w:rPr>
        <w:t>kezelés megszakítására (lásd 4.2, 4.3 és 4.5</w:t>
      </w:r>
      <w:r w:rsidR="00FE3006" w:rsidRPr="00F7245E">
        <w:rPr>
          <w:rFonts w:cs="Times New Roman"/>
          <w:w w:val="105"/>
        </w:rPr>
        <w:t> pont</w:t>
      </w:r>
      <w:r w:rsidRPr="00F7245E">
        <w:rPr>
          <w:rFonts w:cs="Times New Roman"/>
          <w:w w:val="105"/>
        </w:rPr>
        <w:t>).</w:t>
      </w:r>
    </w:p>
    <w:p w14:paraId="2A2EC7EB" w14:textId="77777777" w:rsidR="00B62AE4" w:rsidRPr="00F7245E" w:rsidRDefault="00B62AE4" w:rsidP="00A21724">
      <w:pPr>
        <w:pStyle w:val="Nincstrkz"/>
        <w:rPr>
          <w:rFonts w:cs="Times New Roman"/>
        </w:rPr>
      </w:pPr>
    </w:p>
    <w:p w14:paraId="5FB85A1C" w14:textId="4A8D49B3" w:rsidR="00B62AE4" w:rsidRPr="00F7245E" w:rsidRDefault="00B62AE4" w:rsidP="00A21724">
      <w:pPr>
        <w:pStyle w:val="Nincstrkz"/>
        <w:rPr>
          <w:rFonts w:cs="Times New Roman"/>
          <w:u w:val="single"/>
        </w:rPr>
      </w:pPr>
      <w:r w:rsidRPr="00F7245E">
        <w:rPr>
          <w:rFonts w:cs="Times New Roman"/>
          <w:u w:val="single"/>
        </w:rPr>
        <w:t>A kezelés átmeneti felfüggesztése</w:t>
      </w:r>
    </w:p>
    <w:p w14:paraId="29512F9F" w14:textId="77777777" w:rsidR="00776893" w:rsidRPr="00F7245E" w:rsidRDefault="00776893" w:rsidP="00A21724">
      <w:pPr>
        <w:pStyle w:val="Nincstrkz"/>
        <w:rPr>
          <w:rFonts w:cs="Times New Roman"/>
          <w:u w:val="single"/>
        </w:rPr>
      </w:pPr>
    </w:p>
    <w:p w14:paraId="3E65D8E9" w14:textId="00A4C45E" w:rsidR="00B62AE4" w:rsidRPr="00F7245E" w:rsidRDefault="00B62AE4" w:rsidP="00A21724">
      <w:pPr>
        <w:pStyle w:val="Nincstrkz"/>
        <w:rPr>
          <w:rFonts w:cs="Times New Roman"/>
        </w:rPr>
      </w:pPr>
      <w:r w:rsidRPr="00F7245E">
        <w:rPr>
          <w:rFonts w:cs="Times New Roman"/>
        </w:rPr>
        <w:t xml:space="preserve">Az </w:t>
      </w:r>
      <w:r w:rsidR="00FE3006" w:rsidRPr="00F7245E">
        <w:rPr>
          <w:rFonts w:cs="Times New Roman"/>
        </w:rPr>
        <w:t xml:space="preserve">aktív vérzés, elektív műtét vagy invazív beavatkozások végzésekor adott </w:t>
      </w:r>
      <w:r w:rsidRPr="00F7245E">
        <w:rPr>
          <w:rFonts w:cs="Times New Roman"/>
        </w:rPr>
        <w:t>antikoagulánsok, köztük az</w:t>
      </w:r>
      <w:r w:rsidR="00CA2919" w:rsidRPr="00F7245E">
        <w:rPr>
          <w:rFonts w:cs="Times New Roman"/>
        </w:rPr>
        <w:t xml:space="preserve">apixabán </w:t>
      </w:r>
      <w:r w:rsidR="008A41E6" w:rsidRPr="00F7245E">
        <w:rPr>
          <w:rFonts w:cs="Times New Roman"/>
        </w:rPr>
        <w:t>leállítása a beteget a thrombosis fokozott kockázatának teszi ki. El kell kerülni</w:t>
      </w:r>
      <w:r w:rsidR="006462CC" w:rsidRPr="00F7245E">
        <w:rPr>
          <w:rFonts w:cs="Times New Roman"/>
        </w:rPr>
        <w:t>, hogy ezeket a terápiákat a tervezettnél később végezzék el</w:t>
      </w:r>
      <w:r w:rsidRPr="00F7245E">
        <w:rPr>
          <w:rFonts w:cs="Times New Roman"/>
        </w:rPr>
        <w:t xml:space="preserve">, és ha az </w:t>
      </w:r>
      <w:r w:rsidR="00415DC7" w:rsidRPr="00F7245E">
        <w:rPr>
          <w:rFonts w:cs="Times New Roman"/>
        </w:rPr>
        <w:t>a</w:t>
      </w:r>
      <w:r w:rsidR="00FA2868" w:rsidRPr="00F7245E">
        <w:rPr>
          <w:rFonts w:cs="Times New Roman"/>
        </w:rPr>
        <w:t>pixab</w:t>
      </w:r>
      <w:r w:rsidR="00684207" w:rsidRPr="00F7245E">
        <w:rPr>
          <w:rFonts w:cs="Times New Roman"/>
        </w:rPr>
        <w:t>á</w:t>
      </w:r>
      <w:r w:rsidR="00FA2868" w:rsidRPr="00F7245E">
        <w:rPr>
          <w:rFonts w:cs="Times New Roman"/>
        </w:rPr>
        <w:t>n</w:t>
      </w:r>
      <w:r w:rsidR="00415DC7" w:rsidRPr="00F7245E">
        <w:rPr>
          <w:rFonts w:cs="Times New Roman"/>
        </w:rPr>
        <w:t>n</w:t>
      </w:r>
      <w:r w:rsidR="006462CC" w:rsidRPr="00F7245E">
        <w:rPr>
          <w:rFonts w:cs="Times New Roman"/>
        </w:rPr>
        <w:t>al</w:t>
      </w:r>
      <w:r w:rsidRPr="00F7245E">
        <w:rPr>
          <w:rFonts w:cs="Times New Roman"/>
        </w:rPr>
        <w:t xml:space="preserve"> végzett antikoagulálást bármilyen okból átmenetileg </w:t>
      </w:r>
      <w:r w:rsidR="006462CC" w:rsidRPr="00F7245E">
        <w:rPr>
          <w:rFonts w:cs="Times New Roman"/>
        </w:rPr>
        <w:t>le kell állítani</w:t>
      </w:r>
      <w:r w:rsidRPr="00F7245E">
        <w:rPr>
          <w:rFonts w:cs="Times New Roman"/>
        </w:rPr>
        <w:t>, a kezelést amilyen hamar csak lehet, újra el kell kezdeni.</w:t>
      </w:r>
    </w:p>
    <w:p w14:paraId="643F3C55" w14:textId="77777777" w:rsidR="00B62AE4" w:rsidRPr="00F7245E" w:rsidRDefault="00B62AE4" w:rsidP="00A21724">
      <w:pPr>
        <w:pStyle w:val="Nincstrkz"/>
        <w:rPr>
          <w:rFonts w:cs="Times New Roman"/>
        </w:rPr>
      </w:pPr>
    </w:p>
    <w:p w14:paraId="68FA72FA" w14:textId="5DC6B39A" w:rsidR="00B62AE4" w:rsidRPr="00F7245E" w:rsidRDefault="00B62AE4" w:rsidP="00A21724">
      <w:pPr>
        <w:pStyle w:val="Nincstrkz"/>
        <w:rPr>
          <w:rFonts w:cs="Times New Roman"/>
          <w:u w:val="single"/>
        </w:rPr>
      </w:pPr>
      <w:r w:rsidRPr="00F7245E">
        <w:rPr>
          <w:rFonts w:cs="Times New Roman"/>
          <w:u w:val="single"/>
        </w:rPr>
        <w:t>Spinal</w:t>
      </w:r>
      <w:r w:rsidR="006462CC" w:rsidRPr="00F7245E">
        <w:rPr>
          <w:rFonts w:cs="Times New Roman"/>
          <w:u w:val="single"/>
        </w:rPr>
        <w:t>is</w:t>
      </w:r>
      <w:r w:rsidRPr="00F7245E">
        <w:rPr>
          <w:rFonts w:cs="Times New Roman"/>
          <w:u w:val="single"/>
        </w:rPr>
        <w:t>/epiduralis anaesthesia vagy punctio</w:t>
      </w:r>
    </w:p>
    <w:p w14:paraId="2AE4F60F" w14:textId="77777777" w:rsidR="007D450E" w:rsidRPr="00F7245E" w:rsidRDefault="007D450E" w:rsidP="00A21724">
      <w:pPr>
        <w:pStyle w:val="Nincstrkz"/>
        <w:rPr>
          <w:rFonts w:cs="Times New Roman"/>
          <w:u w:val="single"/>
        </w:rPr>
      </w:pPr>
    </w:p>
    <w:p w14:paraId="23D33DBB" w14:textId="4D2B1D03" w:rsidR="00B62AE4" w:rsidRPr="00F7245E" w:rsidRDefault="00B62AE4" w:rsidP="00A21724">
      <w:pPr>
        <w:pStyle w:val="Nincstrkz"/>
        <w:rPr>
          <w:rFonts w:cs="Times New Roman"/>
        </w:rPr>
      </w:pPr>
      <w:r w:rsidRPr="00F7245E">
        <w:rPr>
          <w:rFonts w:cs="Times New Roman"/>
        </w:rPr>
        <w:t>Neuraxialis anaesthesia (spinal</w:t>
      </w:r>
      <w:r w:rsidR="00286291" w:rsidRPr="00F7245E">
        <w:rPr>
          <w:rFonts w:cs="Times New Roman"/>
        </w:rPr>
        <w:t>is</w:t>
      </w:r>
      <w:r w:rsidRPr="00F7245E">
        <w:rPr>
          <w:rFonts w:cs="Times New Roman"/>
        </w:rPr>
        <w:t>/epiduralis anaesthesia) vagy lumbal</w:t>
      </w:r>
      <w:r w:rsidR="00286291" w:rsidRPr="00F7245E">
        <w:rPr>
          <w:rFonts w:cs="Times New Roman"/>
        </w:rPr>
        <w:noBreakHyphen/>
      </w:r>
      <w:r w:rsidRPr="00F7245E">
        <w:rPr>
          <w:rFonts w:cs="Times New Roman"/>
        </w:rPr>
        <w:t>/epiduralis punctio esetén a thromboemboliás szövődmények megelőzése érdekében antithromboticus szerekkel kezelt</w:t>
      </w:r>
      <w:r w:rsidR="00286291" w:rsidRPr="00F7245E">
        <w:rPr>
          <w:rFonts w:cs="Times New Roman"/>
        </w:rPr>
        <w:t xml:space="preserve"> betegeknél</w:t>
      </w:r>
      <w:r w:rsidRPr="00F7245E">
        <w:rPr>
          <w:rFonts w:cs="Times New Roman"/>
        </w:rPr>
        <w:t xml:space="preserve"> fennáll az epiduralis vagy spinalis haematoma kialakulásának kockázata, amely hosszan tartó vagy végleges paralysist eredményezhet. Ezeknek az eseményeknek a kockázata tartós</w:t>
      </w:r>
      <w:r w:rsidR="00F00454" w:rsidRPr="00F7245E">
        <w:rPr>
          <w:rFonts w:cs="Times New Roman"/>
        </w:rPr>
        <w:t>an bennmaradó</w:t>
      </w:r>
      <w:r w:rsidRPr="00F7245E">
        <w:rPr>
          <w:rFonts w:cs="Times New Roman"/>
        </w:rPr>
        <w:t xml:space="preserve"> epiduralis kanül posztoperatív alkalmazásával vagy a haemostasist befolyásoló gyógyszerek egyidejű alkalmazásával növekedhet. A tartós</w:t>
      </w:r>
      <w:r w:rsidR="00F00454" w:rsidRPr="00F7245E">
        <w:rPr>
          <w:rFonts w:cs="Times New Roman"/>
        </w:rPr>
        <w:t>an bennmaradó</w:t>
      </w:r>
      <w:r w:rsidRPr="00F7245E">
        <w:rPr>
          <w:rFonts w:cs="Times New Roman"/>
        </w:rPr>
        <w:t xml:space="preserve"> epiduralis vagy intrathecalis kanülöket az </w:t>
      </w:r>
      <w:r w:rsidR="00A21724" w:rsidRPr="00F7245E">
        <w:rPr>
          <w:rFonts w:cs="Times New Roman"/>
        </w:rPr>
        <w:t>a</w:t>
      </w:r>
      <w:r w:rsidR="00FA2868" w:rsidRPr="00F7245E">
        <w:rPr>
          <w:rFonts w:cs="Times New Roman"/>
        </w:rPr>
        <w:t>pixab</w:t>
      </w:r>
      <w:r w:rsidR="00684207" w:rsidRPr="00F7245E">
        <w:rPr>
          <w:rFonts w:cs="Times New Roman"/>
        </w:rPr>
        <w:t>á</w:t>
      </w:r>
      <w:r w:rsidR="004D7C22" w:rsidRPr="00F7245E">
        <w:rPr>
          <w:rFonts w:cs="Times New Roman"/>
        </w:rPr>
        <w:t>n</w:t>
      </w:r>
      <w:r w:rsidRPr="00F7245E">
        <w:rPr>
          <w:rFonts w:cs="Times New Roman"/>
        </w:rPr>
        <w:t xml:space="preserve"> első adagja előtt legalább</w:t>
      </w:r>
      <w:r w:rsidR="00B44192" w:rsidRPr="00F7245E">
        <w:rPr>
          <w:rFonts w:cs="Times New Roman"/>
        </w:rPr>
        <w:t xml:space="preserve"> </w:t>
      </w:r>
      <w:r w:rsidRPr="00F7245E">
        <w:rPr>
          <w:rFonts w:cs="Times New Roman"/>
        </w:rPr>
        <w:t>5</w:t>
      </w:r>
      <w:r w:rsidR="0071046D" w:rsidRPr="00F7245E">
        <w:rPr>
          <w:rFonts w:cs="Times New Roman"/>
        </w:rPr>
        <w:t> ór</w:t>
      </w:r>
      <w:r w:rsidRPr="00F7245E">
        <w:rPr>
          <w:rFonts w:cs="Times New Roman"/>
        </w:rPr>
        <w:t>ával korábban el kell távolítani. A traumás vagy ismételt epiduralis</w:t>
      </w:r>
      <w:r w:rsidR="00F00454" w:rsidRPr="00F7245E">
        <w:rPr>
          <w:rFonts w:cs="Times New Roman"/>
        </w:rPr>
        <w:noBreakHyphen/>
      </w:r>
      <w:r w:rsidRPr="00F7245E">
        <w:rPr>
          <w:rFonts w:cs="Times New Roman"/>
        </w:rPr>
        <w:t xml:space="preserve"> vagy lumbalpunctio szintén növelheti a kockázatot. A</w:t>
      </w:r>
      <w:r w:rsidR="00F00454" w:rsidRPr="00F7245E">
        <w:rPr>
          <w:rFonts w:cs="Times New Roman"/>
        </w:rPr>
        <w:t xml:space="preserve"> </w:t>
      </w:r>
      <w:r w:rsidR="00A1416D" w:rsidRPr="00F7245E">
        <w:rPr>
          <w:rFonts w:cs="Times New Roman"/>
        </w:rPr>
        <w:t>beteg</w:t>
      </w:r>
      <w:r w:rsidRPr="00F7245E">
        <w:rPr>
          <w:rFonts w:cs="Times New Roman"/>
        </w:rPr>
        <w:t xml:space="preserve">eknél gyakran kell </w:t>
      </w:r>
      <w:r w:rsidR="007D450E" w:rsidRPr="00F7245E">
        <w:rPr>
          <w:rFonts w:cs="Times New Roman"/>
        </w:rPr>
        <w:t xml:space="preserve">monitorozni </w:t>
      </w:r>
      <w:r w:rsidRPr="00F7245E">
        <w:rPr>
          <w:rFonts w:cs="Times New Roman"/>
        </w:rPr>
        <w:t>a neurológ</w:t>
      </w:r>
      <w:r w:rsidR="005F3367">
        <w:rPr>
          <w:rFonts w:cs="Times New Roman"/>
        </w:rPr>
        <w:t>iai károsodásra utaló jeleket</w:t>
      </w:r>
      <w:r w:rsidRPr="00F7245E">
        <w:rPr>
          <w:rFonts w:cs="Times New Roman"/>
        </w:rPr>
        <w:t xml:space="preserve"> és tüneteket (pl. az alsó végtagok zsibbadása vagy gyengesége, végbél</w:t>
      </w:r>
      <w:r w:rsidR="00F00454" w:rsidRPr="00F7245E">
        <w:rPr>
          <w:rFonts w:cs="Times New Roman"/>
        </w:rPr>
        <w:noBreakHyphen/>
      </w:r>
      <w:r w:rsidRPr="00F7245E">
        <w:rPr>
          <w:rFonts w:cs="Times New Roman"/>
        </w:rPr>
        <w:t xml:space="preserve"> vagy húgyhólyag d</w:t>
      </w:r>
      <w:r w:rsidR="00F00454" w:rsidRPr="00F7245E">
        <w:rPr>
          <w:rFonts w:cs="Times New Roman"/>
        </w:rPr>
        <w:t>iszfunkció</w:t>
      </w:r>
      <w:r w:rsidRPr="00F7245E">
        <w:rPr>
          <w:rFonts w:cs="Times New Roman"/>
        </w:rPr>
        <w:t xml:space="preserve">). Neurológiai károsodás </w:t>
      </w:r>
      <w:r w:rsidR="00F00454" w:rsidRPr="00F7245E">
        <w:rPr>
          <w:rFonts w:cs="Times New Roman"/>
        </w:rPr>
        <w:t>észlelése</w:t>
      </w:r>
      <w:r w:rsidRPr="00F7245E">
        <w:rPr>
          <w:rFonts w:cs="Times New Roman"/>
        </w:rPr>
        <w:t xml:space="preserve"> esetén a diagnózis sürgős felállítása és kezelés</w:t>
      </w:r>
      <w:r w:rsidR="00B44192" w:rsidRPr="00F7245E">
        <w:rPr>
          <w:rFonts w:cs="Times New Roman"/>
        </w:rPr>
        <w:t xml:space="preserve"> </w:t>
      </w:r>
      <w:r w:rsidRPr="00F7245E">
        <w:rPr>
          <w:rFonts w:cs="Times New Roman"/>
        </w:rPr>
        <w:t>szükséges. Neuroaxialis beavatkozás előtt az antikoagulá</w:t>
      </w:r>
      <w:r w:rsidR="00F00454" w:rsidRPr="00F7245E">
        <w:rPr>
          <w:rFonts w:cs="Times New Roman"/>
        </w:rPr>
        <w:t>cióban részesített betegeknél</w:t>
      </w:r>
      <w:r w:rsidRPr="00F7245E">
        <w:rPr>
          <w:rFonts w:cs="Times New Roman"/>
        </w:rPr>
        <w:t xml:space="preserve"> vagy a thromboprophylaxis céljából antikoagulálandó</w:t>
      </w:r>
      <w:r w:rsidR="00F00454" w:rsidRPr="00F7245E">
        <w:rPr>
          <w:rFonts w:cs="Times New Roman"/>
        </w:rPr>
        <w:t xml:space="preserve"> betegeknél</w:t>
      </w:r>
      <w:r w:rsidRPr="00F7245E">
        <w:rPr>
          <w:rFonts w:cs="Times New Roman"/>
        </w:rPr>
        <w:t xml:space="preserve"> az orvosnak mérlegelnie kell a potenciális előnyöket a kockázatokkal szemben.</w:t>
      </w:r>
    </w:p>
    <w:p w14:paraId="79F403D3" w14:textId="77777777" w:rsidR="00B62AE4" w:rsidRPr="00F7245E" w:rsidRDefault="00B62AE4" w:rsidP="00A21724">
      <w:pPr>
        <w:pStyle w:val="Nincstrkz"/>
        <w:rPr>
          <w:rFonts w:cs="Times New Roman"/>
        </w:rPr>
      </w:pPr>
    </w:p>
    <w:p w14:paraId="2143AE24" w14:textId="43AD9948" w:rsidR="00B62AE4" w:rsidRPr="00F7245E" w:rsidRDefault="00F026BF" w:rsidP="00A21724">
      <w:pPr>
        <w:pStyle w:val="Nincstrkz"/>
        <w:rPr>
          <w:rFonts w:cs="Times New Roman"/>
        </w:rPr>
      </w:pPr>
      <w:r w:rsidRPr="00F7245E">
        <w:rPr>
          <w:rFonts w:cs="Times New Roman"/>
        </w:rPr>
        <w:t>Nincs klinikai tapasztalat a</w:t>
      </w:r>
      <w:r w:rsidR="00B62AE4" w:rsidRPr="00F7245E">
        <w:rPr>
          <w:rFonts w:cs="Times New Roman"/>
        </w:rPr>
        <w:t xml:space="preserve">z </w:t>
      </w:r>
      <w:r w:rsidR="00CA2919" w:rsidRPr="00F7245E">
        <w:rPr>
          <w:rFonts w:cs="Times New Roman"/>
        </w:rPr>
        <w:t xml:space="preserve">apixabán </w:t>
      </w:r>
      <w:r w:rsidRPr="00F7245E">
        <w:rPr>
          <w:rFonts w:cs="Times New Roman"/>
        </w:rPr>
        <w:t xml:space="preserve">tartósan bennmaradó intrathecalis vagy epiduralis katéterrel együttes </w:t>
      </w:r>
      <w:r w:rsidR="00B62AE4" w:rsidRPr="00F7245E">
        <w:rPr>
          <w:rFonts w:cs="Times New Roman"/>
        </w:rPr>
        <w:t>alkalmazásá</w:t>
      </w:r>
      <w:r w:rsidRPr="00F7245E">
        <w:rPr>
          <w:rFonts w:cs="Times New Roman"/>
        </w:rPr>
        <w:t xml:space="preserve">ra vonatkozóan. </w:t>
      </w:r>
      <w:r w:rsidR="00B62AE4" w:rsidRPr="00F7245E">
        <w:rPr>
          <w:rFonts w:cs="Times New Roman"/>
        </w:rPr>
        <w:t xml:space="preserve">Abban az esetben, ha ilyenre van szükség, akkor az </w:t>
      </w:r>
      <w:r w:rsidR="00CA2919" w:rsidRPr="00F7245E">
        <w:rPr>
          <w:rFonts w:cs="Times New Roman"/>
        </w:rPr>
        <w:t xml:space="preserve">apixabán </w:t>
      </w:r>
      <w:r w:rsidR="00B62AE4" w:rsidRPr="00F7245E">
        <w:rPr>
          <w:rFonts w:cs="Times New Roman"/>
        </w:rPr>
        <w:t>általános farmakokinetikai jellemzői alapján egy 20-30</w:t>
      </w:r>
      <w:r w:rsidR="0071046D" w:rsidRPr="00F7245E">
        <w:rPr>
          <w:rFonts w:cs="Times New Roman"/>
        </w:rPr>
        <w:t> ór</w:t>
      </w:r>
      <w:r w:rsidR="00B62AE4" w:rsidRPr="00F7245E">
        <w:rPr>
          <w:rFonts w:cs="Times New Roman"/>
        </w:rPr>
        <w:t xml:space="preserve">ás időtartamnak (azaz a felezési idő kétszeresének) el kell telnie az </w:t>
      </w:r>
      <w:r w:rsidR="00CA2919" w:rsidRPr="00F7245E">
        <w:rPr>
          <w:rFonts w:cs="Times New Roman"/>
        </w:rPr>
        <w:t xml:space="preserve">apixabán </w:t>
      </w:r>
      <w:r w:rsidR="00B62AE4" w:rsidRPr="00F7245E">
        <w:rPr>
          <w:rFonts w:cs="Times New Roman"/>
        </w:rPr>
        <w:t xml:space="preserve">utolsó dózisa, és a katéter </w:t>
      </w:r>
      <w:r w:rsidRPr="00F7245E">
        <w:rPr>
          <w:rFonts w:cs="Times New Roman"/>
        </w:rPr>
        <w:t>eltávolítása</w:t>
      </w:r>
      <w:r w:rsidR="00B62AE4" w:rsidRPr="00F7245E">
        <w:rPr>
          <w:rFonts w:cs="Times New Roman"/>
        </w:rPr>
        <w:t xml:space="preserve"> között, </w:t>
      </w:r>
      <w:r w:rsidR="001754BC" w:rsidRPr="00F7245E">
        <w:rPr>
          <w:rFonts w:cs="Times New Roman"/>
        </w:rPr>
        <w:t>továbbá</w:t>
      </w:r>
      <w:r w:rsidR="00B62AE4" w:rsidRPr="00F7245E">
        <w:rPr>
          <w:rFonts w:cs="Times New Roman"/>
        </w:rPr>
        <w:t xml:space="preserve"> legalább egy adagot ki kell hagyni a katéter kihúzása előtt. Az </w:t>
      </w:r>
      <w:r w:rsidR="00CA2919" w:rsidRPr="00F7245E">
        <w:rPr>
          <w:rFonts w:cs="Times New Roman"/>
        </w:rPr>
        <w:t xml:space="preserve">apixabán </w:t>
      </w:r>
      <w:r w:rsidR="00B62AE4" w:rsidRPr="00F7245E">
        <w:rPr>
          <w:rFonts w:cs="Times New Roman"/>
        </w:rPr>
        <w:t>következő adagját legkorábban 5</w:t>
      </w:r>
      <w:r w:rsidR="0071046D" w:rsidRPr="00F7245E">
        <w:rPr>
          <w:rFonts w:cs="Times New Roman"/>
        </w:rPr>
        <w:t> ór</w:t>
      </w:r>
      <w:r w:rsidR="00B62AE4" w:rsidRPr="00F7245E">
        <w:rPr>
          <w:rFonts w:cs="Times New Roman"/>
        </w:rPr>
        <w:t>ával a katéter eltávolítása után lehet adni. Mint minden új antikoaguláns gyógyszer esetén, a neuroaxiális blokáddal szerzett tapasztalat</w:t>
      </w:r>
      <w:r w:rsidR="001754BC" w:rsidRPr="00F7245E">
        <w:rPr>
          <w:rFonts w:cs="Times New Roman"/>
        </w:rPr>
        <w:t>ok</w:t>
      </w:r>
      <w:r w:rsidR="00B62AE4" w:rsidRPr="00F7245E">
        <w:rPr>
          <w:rFonts w:cs="Times New Roman"/>
        </w:rPr>
        <w:t xml:space="preserve"> korlátozott</w:t>
      </w:r>
      <w:r w:rsidR="001754BC" w:rsidRPr="00F7245E">
        <w:rPr>
          <w:rFonts w:cs="Times New Roman"/>
        </w:rPr>
        <w:t>ak</w:t>
      </w:r>
      <w:r w:rsidR="00B62AE4" w:rsidRPr="00F7245E">
        <w:rPr>
          <w:rFonts w:cs="Times New Roman"/>
        </w:rPr>
        <w:t>, ezért rendkívüli elővigyázatosság javasolt, ha az apixab</w:t>
      </w:r>
      <w:r w:rsidR="002C0B56" w:rsidRPr="00F7245E">
        <w:rPr>
          <w:rFonts w:cs="Times New Roman"/>
        </w:rPr>
        <w:t>á</w:t>
      </w:r>
      <w:r w:rsidR="00B62AE4" w:rsidRPr="00F7245E">
        <w:rPr>
          <w:rFonts w:cs="Times New Roman"/>
        </w:rPr>
        <w:t>nt neuroaxiális blokád jelenlétében alkalmazzák.</w:t>
      </w:r>
    </w:p>
    <w:p w14:paraId="3C7C518D" w14:textId="0EAB1265" w:rsidR="00B62AE4" w:rsidRPr="00F7245E" w:rsidRDefault="00B62AE4" w:rsidP="00A21724">
      <w:pPr>
        <w:pStyle w:val="Nincstrkz"/>
        <w:rPr>
          <w:rFonts w:cs="Times New Roman"/>
        </w:rPr>
      </w:pPr>
    </w:p>
    <w:p w14:paraId="53ED68EF" w14:textId="25C88661" w:rsidR="005F71B8" w:rsidRPr="00F7245E" w:rsidRDefault="005F71B8" w:rsidP="00F7245E">
      <w:r w:rsidRPr="00F7245E">
        <w:rPr>
          <w:lang w:eastAsia="en-US" w:bidi="ar-SA"/>
        </w:rPr>
        <w:t>Nincsenek rendelkezésre álló adatok a neuroaxiális katéter behelyezésének vagy eltávolításának időzítésével kapcsolatban apixabánt szedő gyermekeknél és serdülőknél. Ilyen esetben meg kell szakítani az apixabán-kezelést, és meg kell fontolni rövid hatástartamú, parenterális antikoaguláns alkalmazását.</w:t>
      </w:r>
    </w:p>
    <w:p w14:paraId="1C676093" w14:textId="77777777" w:rsidR="005F71B8" w:rsidRPr="00F7245E" w:rsidRDefault="005F71B8" w:rsidP="00A21724">
      <w:pPr>
        <w:pStyle w:val="Nincstrkz"/>
        <w:rPr>
          <w:rFonts w:cs="Times New Roman"/>
        </w:rPr>
      </w:pPr>
    </w:p>
    <w:p w14:paraId="08516A17" w14:textId="509682FC" w:rsidR="00B62AE4" w:rsidRPr="00F7245E" w:rsidRDefault="00B62AE4" w:rsidP="00A21724">
      <w:pPr>
        <w:pStyle w:val="Nincstrkz"/>
        <w:rPr>
          <w:rFonts w:cs="Times New Roman"/>
          <w:u w:val="single"/>
        </w:rPr>
      </w:pPr>
      <w:r w:rsidRPr="00F7245E">
        <w:rPr>
          <w:rFonts w:cs="Times New Roman"/>
          <w:u w:val="single"/>
        </w:rPr>
        <w:t xml:space="preserve">Hemodinamikailag instabil tüdőembóliás, </w:t>
      </w:r>
      <w:r w:rsidR="00B44192" w:rsidRPr="00F7245E">
        <w:rPr>
          <w:rFonts w:cs="Times New Roman"/>
          <w:u w:val="single"/>
        </w:rPr>
        <w:t>illetve</w:t>
      </w:r>
      <w:r w:rsidRPr="00F7245E">
        <w:rPr>
          <w:rFonts w:cs="Times New Roman"/>
          <w:u w:val="single"/>
        </w:rPr>
        <w:t xml:space="preserve"> thrombolysist vagy pulmonalis embolectomiát igénylő</w:t>
      </w:r>
      <w:r w:rsidR="001754BC" w:rsidRPr="00F7245E">
        <w:rPr>
          <w:rFonts w:cs="Times New Roman"/>
          <w:u w:val="single"/>
        </w:rPr>
        <w:t xml:space="preserve"> betegek</w:t>
      </w:r>
    </w:p>
    <w:p w14:paraId="392BD836" w14:textId="77777777" w:rsidR="005F71B8" w:rsidRPr="00F7245E" w:rsidRDefault="005F71B8" w:rsidP="00A21724">
      <w:pPr>
        <w:pStyle w:val="Nincstrkz"/>
        <w:rPr>
          <w:rFonts w:cs="Times New Roman"/>
          <w:u w:val="single"/>
        </w:rPr>
      </w:pPr>
    </w:p>
    <w:p w14:paraId="365F9BFE" w14:textId="091B70B7" w:rsidR="00B62AE4" w:rsidRPr="00F7245E" w:rsidRDefault="00B62AE4" w:rsidP="00A21724">
      <w:pPr>
        <w:pStyle w:val="Nincstrkz"/>
        <w:rPr>
          <w:rFonts w:cs="Times New Roman"/>
        </w:rPr>
      </w:pPr>
      <w:r w:rsidRPr="00F7245E">
        <w:rPr>
          <w:rFonts w:cs="Times New Roman"/>
        </w:rPr>
        <w:t>A hemodinamikailag instabil tüdőembóliás</w:t>
      </w:r>
      <w:r w:rsidR="001754BC" w:rsidRPr="00F7245E">
        <w:rPr>
          <w:rFonts w:cs="Times New Roman"/>
        </w:rPr>
        <w:t xml:space="preserve"> </w:t>
      </w:r>
      <w:r w:rsidR="00A1416D" w:rsidRPr="00F7245E">
        <w:rPr>
          <w:rFonts w:cs="Times New Roman"/>
        </w:rPr>
        <w:t>beteg</w:t>
      </w:r>
      <w:r w:rsidRPr="00F7245E">
        <w:rPr>
          <w:rFonts w:cs="Times New Roman"/>
        </w:rPr>
        <w:t>eknél, vagy a várhatóan thrombolysissel vagy pulmonalis embolectomiával kezelendő</w:t>
      </w:r>
      <w:r w:rsidR="001754BC" w:rsidRPr="00F7245E">
        <w:rPr>
          <w:rFonts w:cs="Times New Roman"/>
        </w:rPr>
        <w:t xml:space="preserve"> betegeknél</w:t>
      </w:r>
      <w:r w:rsidRPr="00F7245E">
        <w:rPr>
          <w:rFonts w:cs="Times New Roman"/>
        </w:rPr>
        <w:t xml:space="preserve"> az </w:t>
      </w:r>
      <w:r w:rsidR="00415DC7" w:rsidRPr="00F7245E">
        <w:rPr>
          <w:rFonts w:cs="Times New Roman"/>
        </w:rPr>
        <w:t>a</w:t>
      </w:r>
      <w:r w:rsidR="00FA2868" w:rsidRPr="00F7245E">
        <w:rPr>
          <w:rFonts w:cs="Times New Roman"/>
        </w:rPr>
        <w:t>pixab</w:t>
      </w:r>
      <w:r w:rsidR="00684207" w:rsidRPr="00F7245E">
        <w:rPr>
          <w:rFonts w:cs="Times New Roman"/>
        </w:rPr>
        <w:t>á</w:t>
      </w:r>
      <w:r w:rsidR="00FA2868" w:rsidRPr="00F7245E">
        <w:rPr>
          <w:rFonts w:cs="Times New Roman"/>
        </w:rPr>
        <w:t>n</w:t>
      </w:r>
      <w:r w:rsidRPr="00F7245E">
        <w:rPr>
          <w:rFonts w:cs="Times New Roman"/>
        </w:rPr>
        <w:t xml:space="preserve"> nem javasolt a nem frakcionált heparin alternatívájaként, mivel az </w:t>
      </w:r>
      <w:r w:rsidR="00CA2919" w:rsidRPr="00F7245E">
        <w:rPr>
          <w:rFonts w:cs="Times New Roman"/>
        </w:rPr>
        <w:t xml:space="preserve">apixabán </w:t>
      </w:r>
      <w:r w:rsidRPr="00F7245E">
        <w:rPr>
          <w:rFonts w:cs="Times New Roman"/>
        </w:rPr>
        <w:t>biztonságosságát és hatásosságát ezekben a klinikai helyzetekben nem igazolták.</w:t>
      </w:r>
    </w:p>
    <w:p w14:paraId="0CF03C7D" w14:textId="77777777" w:rsidR="00B62AE4" w:rsidRPr="00F7245E" w:rsidRDefault="00B62AE4" w:rsidP="00A21724">
      <w:pPr>
        <w:pStyle w:val="Nincstrkz"/>
        <w:rPr>
          <w:rFonts w:cs="Times New Roman"/>
        </w:rPr>
      </w:pPr>
    </w:p>
    <w:p w14:paraId="774D3962" w14:textId="2CC19A01" w:rsidR="00B62AE4" w:rsidRPr="00F7245E" w:rsidRDefault="00B62AE4" w:rsidP="00A21724">
      <w:pPr>
        <w:pStyle w:val="Nincstrkz"/>
        <w:rPr>
          <w:rFonts w:cs="Times New Roman"/>
          <w:u w:val="single"/>
        </w:rPr>
      </w:pPr>
      <w:r w:rsidRPr="00F7245E">
        <w:rPr>
          <w:rFonts w:cs="Times New Roman"/>
          <w:u w:val="single"/>
        </w:rPr>
        <w:t xml:space="preserve">Aktív </w:t>
      </w:r>
      <w:r w:rsidR="005F71B8" w:rsidRPr="00F7245E">
        <w:rPr>
          <w:rFonts w:cs="Times New Roman"/>
          <w:u w:val="single"/>
        </w:rPr>
        <w:t>daganatos</w:t>
      </w:r>
      <w:r w:rsidR="001754BC" w:rsidRPr="00F7245E">
        <w:rPr>
          <w:rFonts w:cs="Times New Roman"/>
          <w:u w:val="single"/>
        </w:rPr>
        <w:t xml:space="preserve"> betegek</w:t>
      </w:r>
    </w:p>
    <w:p w14:paraId="2C452AD4" w14:textId="77777777" w:rsidR="005F71B8" w:rsidRPr="00F7245E" w:rsidRDefault="005F71B8" w:rsidP="005F71B8">
      <w:pPr>
        <w:rPr>
          <w:lang w:eastAsia="en-US" w:bidi="ar-SA"/>
        </w:rPr>
      </w:pPr>
      <w:r w:rsidRPr="00F7245E">
        <w:rPr>
          <w:lang w:eastAsia="en-US" w:bidi="ar-SA"/>
        </w:rPr>
        <w:t>Az aktív daganatos betegeknél mind a vénás tromboembolia, mind a vérzéses események kockázata magas lehet. Amennyiben daganatos betegeknél fontolóra veszik az apixabán alkalmazását MVT vagy PE kezelésére, gondosan mérlegelni kell a kezelés előnyeit és kockázatait (lásd még 4.3 pont).</w:t>
      </w:r>
    </w:p>
    <w:p w14:paraId="7488D5C3" w14:textId="77777777" w:rsidR="005F71B8" w:rsidRPr="00F7245E" w:rsidRDefault="005F71B8" w:rsidP="005F71B8">
      <w:pPr>
        <w:rPr>
          <w:lang w:eastAsia="en-US" w:bidi="ar-SA"/>
        </w:rPr>
      </w:pPr>
    </w:p>
    <w:p w14:paraId="27E7BD4E" w14:textId="77777777" w:rsidR="00245D5B" w:rsidRPr="00F7245E" w:rsidRDefault="00245D5B" w:rsidP="00245D5B">
      <w:pPr>
        <w:pStyle w:val="Nincstrkz"/>
        <w:rPr>
          <w:rFonts w:cs="Times New Roman"/>
        </w:rPr>
      </w:pPr>
    </w:p>
    <w:p w14:paraId="6BD935B8" w14:textId="77777777" w:rsidR="00B62AE4" w:rsidRPr="00F7245E" w:rsidRDefault="00B62AE4" w:rsidP="00A21724">
      <w:pPr>
        <w:pStyle w:val="Nincstrkz"/>
        <w:rPr>
          <w:rFonts w:cs="Times New Roman"/>
          <w:u w:val="single"/>
        </w:rPr>
      </w:pPr>
      <w:r w:rsidRPr="00F7245E">
        <w:rPr>
          <w:rFonts w:cs="Times New Roman"/>
          <w:u w:val="single"/>
        </w:rPr>
        <w:t>Vesekárosodás</w:t>
      </w:r>
    </w:p>
    <w:p w14:paraId="70A5712C" w14:textId="77777777" w:rsidR="005F71B8" w:rsidRPr="00F7245E" w:rsidRDefault="005F71B8" w:rsidP="005F71B8">
      <w:pPr>
        <w:rPr>
          <w:i/>
          <w:iCs/>
          <w:lang w:eastAsia="en-US" w:bidi="ar-SA"/>
        </w:rPr>
      </w:pPr>
      <w:r w:rsidRPr="00F7245E">
        <w:rPr>
          <w:i/>
          <w:iCs/>
          <w:lang w:eastAsia="en-US" w:bidi="ar-SA"/>
        </w:rPr>
        <w:t>Felnőttek</w:t>
      </w:r>
    </w:p>
    <w:p w14:paraId="15F38C2A" w14:textId="77777777" w:rsidR="005F71B8" w:rsidRPr="00F7245E" w:rsidRDefault="005F71B8" w:rsidP="005F71B8">
      <w:pPr>
        <w:rPr>
          <w:lang w:eastAsia="en-US" w:bidi="ar-SA"/>
        </w:rPr>
      </w:pPr>
      <w:r w:rsidRPr="00F7245E">
        <w:rPr>
          <w:lang w:eastAsia="en-US" w:bidi="ar-SA"/>
        </w:rPr>
        <w:t>A korlátozott mennyiségű klinikai adat azt mutatja, hogy az apixabán plazmakoncentrációja súlyos fokú vesekárosodásban szenvedő betegeknél (kreatinin-clearance 15–29 ml/perc) emelkedett, ami megnövekedett vérzési kockázathoz vezethet. Súlyos fokú vesekárosodásban szenvedő betegeknél (kreatinin-clearance 15–29 ml/perc) a vénás thromboembolia megelőzésére elektív csípő- vagy térdprotézisműtét esetén (VTEp), valamint MVT-kezelésére, PE-kezelésére, az MVT és PE kiújulásának megelőzésére (VTEt) az apixabánt elővigyázatossággal kell alkalmazni (lásd 4.2 és 5.2 pont).</w:t>
      </w:r>
    </w:p>
    <w:p w14:paraId="3B54DF61" w14:textId="77777777" w:rsidR="005F71B8" w:rsidRPr="00F7245E" w:rsidRDefault="005F71B8" w:rsidP="005F71B8">
      <w:pPr>
        <w:rPr>
          <w:lang w:eastAsia="en-US" w:bidi="ar-SA"/>
        </w:rPr>
      </w:pPr>
    </w:p>
    <w:p w14:paraId="420A67F3" w14:textId="77777777" w:rsidR="005F71B8" w:rsidRPr="00F7245E" w:rsidRDefault="005F71B8" w:rsidP="005F71B8">
      <w:pPr>
        <w:rPr>
          <w:lang w:eastAsia="en-US" w:bidi="ar-SA"/>
        </w:rPr>
      </w:pPr>
      <w:r w:rsidRPr="00F7245E">
        <w:rPr>
          <w:lang w:eastAsia="en-US" w:bidi="ar-SA"/>
        </w:rPr>
        <w:t>Stroke és szisztémás embolizáció prevenciója esetén a nem valvuláris pitvarfibrillációban szenvedő betegeknek, súlyos fokú vesekárosodásban szenvedő betegeknek (kreatinin-clearance 15–29 ml/perc), és azoknak a betegeknek, akiknek a szérum kreatininszintje ≥ 1,5 mg/dl (133 mikromol/l), ami ≥ 80 éves életkorral vagy ≤ 60 kg-os testtömeggel jár, kisebb dózist, naponta kétszer 2,5 mg apixabánt kell kapniuk (lásd 4.2 pont).</w:t>
      </w:r>
    </w:p>
    <w:p w14:paraId="2442BBB5" w14:textId="77777777" w:rsidR="005F71B8" w:rsidRPr="00F7245E" w:rsidRDefault="005F71B8" w:rsidP="005F71B8">
      <w:pPr>
        <w:rPr>
          <w:lang w:eastAsia="en-US" w:bidi="ar-SA"/>
        </w:rPr>
      </w:pPr>
    </w:p>
    <w:p w14:paraId="2F27CDD8" w14:textId="77777777" w:rsidR="005F71B8" w:rsidRPr="00F7245E" w:rsidRDefault="005F71B8" w:rsidP="005F71B8">
      <w:pPr>
        <w:rPr>
          <w:lang w:eastAsia="en-US" w:bidi="ar-SA"/>
        </w:rPr>
      </w:pPr>
      <w:r w:rsidRPr="00F7245E">
        <w:rPr>
          <w:lang w:eastAsia="en-US" w:bidi="ar-SA"/>
        </w:rPr>
        <w:t>Nincs klinikai tapasztalat olyan betegekkel, akiknek a kreatinin-clearence-e &lt; 15 ml/perc, vagy dialízis-kezelés alatt állnak, ezért számukra az apixabán nem javasolt (lásd 4.2 és 5.2 pont).</w:t>
      </w:r>
    </w:p>
    <w:p w14:paraId="2510AF10" w14:textId="77777777" w:rsidR="005F71B8" w:rsidRPr="00F7245E" w:rsidRDefault="005F71B8" w:rsidP="005F71B8">
      <w:pPr>
        <w:rPr>
          <w:u w:val="single"/>
          <w:lang w:eastAsia="en-US" w:bidi="ar-SA"/>
        </w:rPr>
      </w:pPr>
    </w:p>
    <w:p w14:paraId="238D336D" w14:textId="77777777" w:rsidR="005F71B8" w:rsidRPr="00F7245E" w:rsidRDefault="005F71B8" w:rsidP="005F71B8">
      <w:pPr>
        <w:pStyle w:val="Nincstrkz"/>
        <w:rPr>
          <w:rFonts w:cs="Times New Roman"/>
        </w:rPr>
      </w:pPr>
      <w:r w:rsidRPr="00F7245E">
        <w:rPr>
          <w:rFonts w:cs="Times New Roman"/>
        </w:rPr>
        <w:t>Gyermekek és serdülők</w:t>
      </w:r>
    </w:p>
    <w:p w14:paraId="322B1C6A" w14:textId="7AFA91DE" w:rsidR="005F71B8" w:rsidRPr="00F7245E" w:rsidRDefault="005F71B8" w:rsidP="005F71B8">
      <w:pPr>
        <w:pStyle w:val="Nincstrkz"/>
        <w:rPr>
          <w:rFonts w:cs="Times New Roman"/>
        </w:rPr>
      </w:pPr>
      <w:r w:rsidRPr="00F7245E">
        <w:rPr>
          <w:rFonts w:cs="Times New Roman"/>
        </w:rPr>
        <w:t>Az apixabánt nem vizsgálták súlyos fokú vesekárosodásban szenvedő gyermekeknél és serdülőknél, ezért ezek a betegek nem kaphatnak apixabánt (lásd 4.2 és 5.2 pont).</w:t>
      </w:r>
    </w:p>
    <w:p w14:paraId="0DF44E20" w14:textId="77777777" w:rsidR="00B62AE4" w:rsidRPr="00F7245E" w:rsidRDefault="00B62AE4" w:rsidP="00A21724">
      <w:pPr>
        <w:pStyle w:val="Nincstrkz"/>
        <w:rPr>
          <w:rFonts w:cs="Times New Roman"/>
        </w:rPr>
      </w:pPr>
    </w:p>
    <w:p w14:paraId="7065DD7D" w14:textId="77777777" w:rsidR="00B62AE4" w:rsidRPr="00F7245E" w:rsidRDefault="00B62AE4" w:rsidP="00A21724">
      <w:pPr>
        <w:pStyle w:val="Nincstrkz"/>
        <w:rPr>
          <w:rFonts w:cs="Times New Roman"/>
          <w:u w:val="single"/>
        </w:rPr>
      </w:pPr>
      <w:r w:rsidRPr="00F7245E">
        <w:rPr>
          <w:rFonts w:cs="Times New Roman"/>
          <w:u w:val="single"/>
        </w:rPr>
        <w:t>Idősek</w:t>
      </w:r>
    </w:p>
    <w:p w14:paraId="0EEF09A3" w14:textId="7CBFC17E" w:rsidR="00B62AE4" w:rsidRPr="00F7245E" w:rsidRDefault="00B62AE4" w:rsidP="00A21724">
      <w:pPr>
        <w:pStyle w:val="Nincstrkz"/>
        <w:rPr>
          <w:rFonts w:cs="Times New Roman"/>
        </w:rPr>
      </w:pPr>
      <w:r w:rsidRPr="00F7245E">
        <w:rPr>
          <w:rFonts w:cs="Times New Roman"/>
        </w:rPr>
        <w:t>Az életkor előrehalad</w:t>
      </w:r>
      <w:r w:rsidR="00CD3CE1" w:rsidRPr="00F7245E">
        <w:rPr>
          <w:rFonts w:cs="Times New Roman"/>
        </w:rPr>
        <w:t>t</w:t>
      </w:r>
      <w:r w:rsidRPr="00F7245E">
        <w:rPr>
          <w:rFonts w:cs="Times New Roman"/>
        </w:rPr>
        <w:t>ával a vérzési kockázat fokozódhat (lásd 5.2</w:t>
      </w:r>
      <w:r w:rsidR="004C106B" w:rsidRPr="00F7245E">
        <w:rPr>
          <w:rFonts w:cs="Times New Roman"/>
        </w:rPr>
        <w:t> pont</w:t>
      </w:r>
      <w:r w:rsidRPr="00F7245E">
        <w:rPr>
          <w:rFonts w:cs="Times New Roman"/>
        </w:rPr>
        <w:t>).</w:t>
      </w:r>
    </w:p>
    <w:p w14:paraId="03516432" w14:textId="77777777" w:rsidR="00B62AE4" w:rsidRPr="00F7245E" w:rsidRDefault="00B62AE4" w:rsidP="00A21724">
      <w:pPr>
        <w:pStyle w:val="Nincstrkz"/>
        <w:rPr>
          <w:rFonts w:cs="Times New Roman"/>
        </w:rPr>
      </w:pPr>
    </w:p>
    <w:p w14:paraId="647D8B8F" w14:textId="636EF4A2" w:rsidR="00B62AE4" w:rsidRPr="00F7245E" w:rsidRDefault="00B62AE4" w:rsidP="00A21724">
      <w:pPr>
        <w:pStyle w:val="Nincstrkz"/>
        <w:rPr>
          <w:rFonts w:cs="Times New Roman"/>
        </w:rPr>
      </w:pPr>
      <w:r w:rsidRPr="00F7245E">
        <w:rPr>
          <w:rFonts w:cs="Times New Roman"/>
        </w:rPr>
        <w:t>Ezen kívül a potenciálisan magasabb vérzési kockázat miatt idős</w:t>
      </w:r>
      <w:r w:rsidR="00D13102" w:rsidRPr="00F7245E">
        <w:rPr>
          <w:rFonts w:cs="Times New Roman"/>
        </w:rPr>
        <w:t xml:space="preserve"> betegeknél</w:t>
      </w:r>
      <w:r w:rsidRPr="00F7245E">
        <w:rPr>
          <w:rFonts w:cs="Times New Roman"/>
        </w:rPr>
        <w:t xml:space="preserve"> az </w:t>
      </w:r>
      <w:r w:rsidR="00415DC7" w:rsidRPr="00F7245E">
        <w:rPr>
          <w:rFonts w:cs="Times New Roman"/>
        </w:rPr>
        <w:t>a</w:t>
      </w:r>
      <w:r w:rsidR="00FA2868" w:rsidRPr="00F7245E">
        <w:rPr>
          <w:rFonts w:cs="Times New Roman"/>
        </w:rPr>
        <w:t>pixab</w:t>
      </w:r>
      <w:r w:rsidR="00684207" w:rsidRPr="00F7245E">
        <w:rPr>
          <w:rFonts w:cs="Times New Roman"/>
        </w:rPr>
        <w:t>á</w:t>
      </w:r>
      <w:r w:rsidR="00FA2868" w:rsidRPr="00F7245E">
        <w:rPr>
          <w:rFonts w:cs="Times New Roman"/>
        </w:rPr>
        <w:t>n</w:t>
      </w:r>
      <w:r w:rsidRPr="00F7245E">
        <w:rPr>
          <w:rFonts w:cs="Times New Roman"/>
        </w:rPr>
        <w:t xml:space="preserve"> és acetilszalicilsav kombinációt óvatosan kell alkalmazni.</w:t>
      </w:r>
    </w:p>
    <w:p w14:paraId="3F5FCC09" w14:textId="77777777" w:rsidR="00B62AE4" w:rsidRPr="00F7245E" w:rsidRDefault="00B62AE4" w:rsidP="00A21724">
      <w:pPr>
        <w:pStyle w:val="Nincstrkz"/>
        <w:rPr>
          <w:rFonts w:cs="Times New Roman"/>
        </w:rPr>
      </w:pPr>
    </w:p>
    <w:p w14:paraId="59235301" w14:textId="77777777" w:rsidR="00B62AE4" w:rsidRPr="00F7245E" w:rsidRDefault="00B62AE4" w:rsidP="00A21724">
      <w:pPr>
        <w:pStyle w:val="Nincstrkz"/>
        <w:rPr>
          <w:rFonts w:cs="Times New Roman"/>
          <w:u w:val="single"/>
        </w:rPr>
      </w:pPr>
      <w:r w:rsidRPr="00F7245E">
        <w:rPr>
          <w:rFonts w:cs="Times New Roman"/>
          <w:u w:val="single"/>
        </w:rPr>
        <w:t>Testtömeg</w:t>
      </w:r>
    </w:p>
    <w:p w14:paraId="3B34301F" w14:textId="628DB33A" w:rsidR="00B62AE4" w:rsidRPr="00F7245E" w:rsidRDefault="005F71B8" w:rsidP="00A21724">
      <w:pPr>
        <w:pStyle w:val="Nincstrkz"/>
        <w:rPr>
          <w:rFonts w:cs="Times New Roman"/>
        </w:rPr>
      </w:pPr>
      <w:r w:rsidRPr="00F7245E">
        <w:rPr>
          <w:rFonts w:cs="Times New Roman"/>
        </w:rPr>
        <w:t>Felnőtteknél az</w:t>
      </w:r>
      <w:r w:rsidR="00D13102" w:rsidRPr="00F7245E">
        <w:rPr>
          <w:rFonts w:cs="Times New Roman"/>
        </w:rPr>
        <w:t xml:space="preserve"> alacsony</w:t>
      </w:r>
      <w:r w:rsidR="00B62AE4" w:rsidRPr="00F7245E">
        <w:rPr>
          <w:rFonts w:cs="Times New Roman"/>
        </w:rPr>
        <w:t xml:space="preserve"> testtömeg (&lt;60</w:t>
      </w:r>
      <w:r w:rsidR="00B75CD6" w:rsidRPr="00F7245E">
        <w:rPr>
          <w:rFonts w:cs="Times New Roman"/>
        </w:rPr>
        <w:t> kg</w:t>
      </w:r>
      <w:r w:rsidR="00B62AE4" w:rsidRPr="00F7245E">
        <w:rPr>
          <w:rFonts w:cs="Times New Roman"/>
        </w:rPr>
        <w:t>) növelheti a vérzés kockázat</w:t>
      </w:r>
      <w:r w:rsidR="00D13102" w:rsidRPr="00F7245E">
        <w:rPr>
          <w:rFonts w:cs="Times New Roman"/>
        </w:rPr>
        <w:t>á</w:t>
      </w:r>
      <w:r w:rsidR="00B62AE4" w:rsidRPr="00F7245E">
        <w:rPr>
          <w:rFonts w:cs="Times New Roman"/>
        </w:rPr>
        <w:t>t (lásd 5.2</w:t>
      </w:r>
      <w:r w:rsidR="004C106B" w:rsidRPr="00F7245E">
        <w:rPr>
          <w:rFonts w:cs="Times New Roman"/>
        </w:rPr>
        <w:t> pont</w:t>
      </w:r>
      <w:r w:rsidR="00B62AE4" w:rsidRPr="00F7245E">
        <w:rPr>
          <w:rFonts w:cs="Times New Roman"/>
        </w:rPr>
        <w:t>).</w:t>
      </w:r>
    </w:p>
    <w:p w14:paraId="5C26D82C" w14:textId="77777777" w:rsidR="00B62AE4" w:rsidRPr="00F7245E" w:rsidRDefault="00B62AE4" w:rsidP="00A21724">
      <w:pPr>
        <w:pStyle w:val="Nincstrkz"/>
        <w:rPr>
          <w:rFonts w:cs="Times New Roman"/>
        </w:rPr>
      </w:pPr>
    </w:p>
    <w:p w14:paraId="593FF1B1" w14:textId="77777777" w:rsidR="00B62AE4" w:rsidRPr="00F7245E" w:rsidRDefault="00B62AE4" w:rsidP="00A21724">
      <w:pPr>
        <w:pStyle w:val="Nincstrkz"/>
        <w:rPr>
          <w:rFonts w:cs="Times New Roman"/>
          <w:u w:val="single"/>
        </w:rPr>
      </w:pPr>
      <w:r w:rsidRPr="00F7245E">
        <w:rPr>
          <w:rFonts w:cs="Times New Roman"/>
          <w:u w:val="single"/>
        </w:rPr>
        <w:t>Májkárosodás</w:t>
      </w:r>
    </w:p>
    <w:p w14:paraId="0527E7C0" w14:textId="32ABE06A" w:rsidR="00B62AE4" w:rsidRPr="00F7245E" w:rsidRDefault="00B62AE4" w:rsidP="00A21724">
      <w:pPr>
        <w:pStyle w:val="Nincstrkz"/>
        <w:rPr>
          <w:rFonts w:cs="Times New Roman"/>
        </w:rPr>
      </w:pPr>
      <w:r w:rsidRPr="00F7245E">
        <w:rPr>
          <w:rFonts w:cs="Times New Roman"/>
        </w:rPr>
        <w:t xml:space="preserve">Az </w:t>
      </w:r>
      <w:r w:rsidR="00415DC7" w:rsidRPr="00F7245E">
        <w:rPr>
          <w:rFonts w:cs="Times New Roman"/>
        </w:rPr>
        <w:t>a</w:t>
      </w:r>
      <w:r w:rsidR="00FA2868" w:rsidRPr="00F7245E">
        <w:rPr>
          <w:rFonts w:cs="Times New Roman"/>
        </w:rPr>
        <w:t>pixab</w:t>
      </w:r>
      <w:r w:rsidR="00684207" w:rsidRPr="00F7245E">
        <w:rPr>
          <w:rFonts w:cs="Times New Roman"/>
        </w:rPr>
        <w:t>á</w:t>
      </w:r>
      <w:r w:rsidR="00FA2868" w:rsidRPr="00F7245E">
        <w:rPr>
          <w:rFonts w:cs="Times New Roman"/>
        </w:rPr>
        <w:t>n</w:t>
      </w:r>
      <w:r w:rsidRPr="00F7245E">
        <w:rPr>
          <w:rFonts w:cs="Times New Roman"/>
        </w:rPr>
        <w:t xml:space="preserve"> ellenjavallt véralvadási zavarral és klinikailag jelentős vérzési kockázattal járó májbetegségben szenvedő</w:t>
      </w:r>
      <w:r w:rsidR="00D13102" w:rsidRPr="00F7245E">
        <w:rPr>
          <w:rFonts w:cs="Times New Roman"/>
        </w:rPr>
        <w:t xml:space="preserve"> </w:t>
      </w:r>
      <w:r w:rsidR="00A1416D" w:rsidRPr="00F7245E">
        <w:rPr>
          <w:rFonts w:cs="Times New Roman"/>
        </w:rPr>
        <w:t>beteg</w:t>
      </w:r>
      <w:r w:rsidRPr="00F7245E">
        <w:rPr>
          <w:rFonts w:cs="Times New Roman"/>
        </w:rPr>
        <w:t>eknél (lásd 4.3</w:t>
      </w:r>
      <w:r w:rsidR="004C106B" w:rsidRPr="00F7245E">
        <w:rPr>
          <w:rFonts w:cs="Times New Roman"/>
        </w:rPr>
        <w:t> pont</w:t>
      </w:r>
      <w:r w:rsidRPr="00F7245E">
        <w:rPr>
          <w:rFonts w:cs="Times New Roman"/>
        </w:rPr>
        <w:t>).</w:t>
      </w:r>
    </w:p>
    <w:p w14:paraId="66F2590F" w14:textId="77777777" w:rsidR="00B62AE4" w:rsidRPr="00F7245E" w:rsidRDefault="00B62AE4" w:rsidP="00A21724">
      <w:pPr>
        <w:pStyle w:val="Nincstrkz"/>
        <w:rPr>
          <w:rFonts w:cs="Times New Roman"/>
        </w:rPr>
      </w:pPr>
    </w:p>
    <w:p w14:paraId="7A4F8A02" w14:textId="4824F5A0" w:rsidR="00B62AE4" w:rsidRPr="00F7245E" w:rsidRDefault="00B62AE4" w:rsidP="00A21724">
      <w:pPr>
        <w:pStyle w:val="Nincstrkz"/>
        <w:rPr>
          <w:rFonts w:cs="Times New Roman"/>
        </w:rPr>
      </w:pPr>
      <w:r w:rsidRPr="00F7245E">
        <w:rPr>
          <w:rFonts w:cs="Times New Roman"/>
        </w:rPr>
        <w:t>Súlyos májkárosodásban szenvedő</w:t>
      </w:r>
      <w:r w:rsidR="00D13102" w:rsidRPr="00F7245E">
        <w:rPr>
          <w:rFonts w:cs="Times New Roman"/>
        </w:rPr>
        <w:t xml:space="preserve"> </w:t>
      </w:r>
      <w:r w:rsidR="00A1416D" w:rsidRPr="00F7245E">
        <w:rPr>
          <w:rFonts w:cs="Times New Roman"/>
        </w:rPr>
        <w:t>beteg</w:t>
      </w:r>
      <w:r w:rsidRPr="00F7245E">
        <w:rPr>
          <w:rFonts w:cs="Times New Roman"/>
        </w:rPr>
        <w:t>eknél nem ajánlott (lásd 5.2</w:t>
      </w:r>
      <w:r w:rsidR="004C106B" w:rsidRPr="00F7245E">
        <w:rPr>
          <w:rFonts w:cs="Times New Roman"/>
        </w:rPr>
        <w:t> pont</w:t>
      </w:r>
      <w:r w:rsidRPr="00F7245E">
        <w:rPr>
          <w:rFonts w:cs="Times New Roman"/>
        </w:rPr>
        <w:t>).</w:t>
      </w:r>
    </w:p>
    <w:p w14:paraId="586E6EB4" w14:textId="77777777" w:rsidR="00B62AE4" w:rsidRPr="00F7245E" w:rsidRDefault="00B62AE4" w:rsidP="00A21724">
      <w:pPr>
        <w:pStyle w:val="Nincstrkz"/>
        <w:rPr>
          <w:rFonts w:cs="Times New Roman"/>
        </w:rPr>
      </w:pPr>
    </w:p>
    <w:p w14:paraId="1F99D286" w14:textId="7121962D" w:rsidR="00B62AE4" w:rsidRPr="00F7245E" w:rsidRDefault="00B62AE4" w:rsidP="00A21724">
      <w:pPr>
        <w:pStyle w:val="Nincstrkz"/>
        <w:rPr>
          <w:rFonts w:cs="Times New Roman"/>
        </w:rPr>
      </w:pPr>
      <w:r w:rsidRPr="00F7245E">
        <w:rPr>
          <w:rFonts w:cs="Times New Roman"/>
        </w:rPr>
        <w:t>Enyhe vagy közepesen súlyos májkárosodásban szenvedő</w:t>
      </w:r>
      <w:r w:rsidR="00D13102" w:rsidRPr="00F7245E">
        <w:rPr>
          <w:rFonts w:cs="Times New Roman"/>
        </w:rPr>
        <w:t xml:space="preserve"> betegeknél</w:t>
      </w:r>
      <w:r w:rsidRPr="00F7245E">
        <w:rPr>
          <w:rFonts w:cs="Times New Roman"/>
        </w:rPr>
        <w:t xml:space="preserve"> (Child</w:t>
      </w:r>
      <w:r w:rsidR="005F71B8" w:rsidRPr="00F7245E">
        <w:rPr>
          <w:rFonts w:cs="Times New Roman"/>
        </w:rPr>
        <w:t>‒</w:t>
      </w:r>
      <w:r w:rsidRPr="00F7245E">
        <w:rPr>
          <w:rFonts w:cs="Times New Roman"/>
        </w:rPr>
        <w:t xml:space="preserve">Pugh A vagy B stádium) </w:t>
      </w:r>
      <w:r w:rsidR="00D13102" w:rsidRPr="00F7245E">
        <w:rPr>
          <w:rFonts w:cs="Times New Roman"/>
        </w:rPr>
        <w:t>kellő elővigyázatosság mellett</w:t>
      </w:r>
      <w:r w:rsidRPr="00F7245E">
        <w:rPr>
          <w:rFonts w:cs="Times New Roman"/>
        </w:rPr>
        <w:t xml:space="preserve"> alka</w:t>
      </w:r>
      <w:r w:rsidR="00AA465D" w:rsidRPr="00F7245E">
        <w:rPr>
          <w:rFonts w:cs="Times New Roman"/>
        </w:rPr>
        <w:t>l</w:t>
      </w:r>
      <w:r w:rsidRPr="00F7245E">
        <w:rPr>
          <w:rFonts w:cs="Times New Roman"/>
        </w:rPr>
        <w:t>maz</w:t>
      </w:r>
      <w:r w:rsidR="00D13102" w:rsidRPr="00F7245E">
        <w:rPr>
          <w:rFonts w:cs="Times New Roman"/>
        </w:rPr>
        <w:t>andó</w:t>
      </w:r>
      <w:r w:rsidRPr="00F7245E">
        <w:rPr>
          <w:rFonts w:cs="Times New Roman"/>
        </w:rPr>
        <w:t xml:space="preserve"> (lásd 4.2 és 5.2</w:t>
      </w:r>
      <w:r w:rsidR="00AA465D" w:rsidRPr="00F7245E">
        <w:rPr>
          <w:rFonts w:cs="Times New Roman"/>
        </w:rPr>
        <w:t> pont</w:t>
      </w:r>
      <w:r w:rsidRPr="00F7245E">
        <w:rPr>
          <w:rFonts w:cs="Times New Roman"/>
        </w:rPr>
        <w:t>).</w:t>
      </w:r>
    </w:p>
    <w:p w14:paraId="6B2E1E11" w14:textId="77777777" w:rsidR="00B62AE4" w:rsidRPr="00F7245E" w:rsidRDefault="00B62AE4" w:rsidP="00A21724">
      <w:pPr>
        <w:pStyle w:val="Nincstrkz"/>
        <w:rPr>
          <w:rFonts w:cs="Times New Roman"/>
        </w:rPr>
      </w:pPr>
    </w:p>
    <w:p w14:paraId="2590F797" w14:textId="77777777" w:rsidR="005F71B8" w:rsidRPr="00F7245E" w:rsidRDefault="005F71B8" w:rsidP="005F71B8">
      <w:pPr>
        <w:rPr>
          <w:lang w:eastAsia="en-US" w:bidi="ar-SA"/>
        </w:rPr>
      </w:pPr>
      <w:r w:rsidRPr="00F7245E">
        <w:rPr>
          <w:lang w:eastAsia="en-US" w:bidi="ar-SA"/>
        </w:rPr>
        <w:t>Kizárták a klinikai vizsgálatokból azokat a betegeket, akiknél a GPT/GOT májenzimek szintjének emelkedése meghaladta a normálérték felső határának kétszeresét, vagy az összbilirubin szintje a normálérték felső határának ≥ 1,5-szerese volt. Ezért az apixabánt ebben a betegcsoportban körültekintően kell alkalmazni (lásd 5.2 pont). Az apixabán alkalmazásának elkezdése előtt májfunkciós vizsgálatot kell végezni.</w:t>
      </w:r>
    </w:p>
    <w:p w14:paraId="45771B8B" w14:textId="77777777" w:rsidR="005F71B8" w:rsidRPr="00F7245E" w:rsidRDefault="005F71B8" w:rsidP="005F71B8">
      <w:pPr>
        <w:rPr>
          <w:lang w:eastAsia="en-US" w:bidi="ar-SA"/>
        </w:rPr>
      </w:pPr>
    </w:p>
    <w:p w14:paraId="05688C79" w14:textId="77777777" w:rsidR="005F71B8" w:rsidRPr="00F7245E" w:rsidRDefault="005F71B8" w:rsidP="005F71B8">
      <w:pPr>
        <w:rPr>
          <w:lang w:eastAsia="en-US" w:bidi="ar-SA"/>
        </w:rPr>
      </w:pPr>
      <w:r w:rsidRPr="00F7245E">
        <w:rPr>
          <w:lang w:eastAsia="en-US" w:bidi="ar-SA"/>
        </w:rPr>
        <w:t>Az apixabánt nem vizsgálták májkárosodásban szenvedő gyermekeknél és serdülőknél.</w:t>
      </w:r>
    </w:p>
    <w:p w14:paraId="3D5293DC" w14:textId="77777777" w:rsidR="005F71B8" w:rsidRPr="00F7245E" w:rsidRDefault="005F71B8" w:rsidP="00A21724">
      <w:pPr>
        <w:pStyle w:val="Nincstrkz"/>
        <w:rPr>
          <w:rFonts w:cs="Times New Roman"/>
          <w:u w:val="single"/>
        </w:rPr>
      </w:pPr>
    </w:p>
    <w:p w14:paraId="31B8C219" w14:textId="77777777" w:rsidR="005F71B8" w:rsidRPr="00F7245E" w:rsidRDefault="005F71B8" w:rsidP="00A21724">
      <w:pPr>
        <w:pStyle w:val="Nincstrkz"/>
        <w:rPr>
          <w:rFonts w:cs="Times New Roman"/>
          <w:u w:val="single"/>
        </w:rPr>
      </w:pPr>
    </w:p>
    <w:p w14:paraId="4FA3867E" w14:textId="7B6C6E01" w:rsidR="00B62AE4" w:rsidRPr="00F7245E" w:rsidRDefault="00B62AE4" w:rsidP="00A21724">
      <w:pPr>
        <w:pStyle w:val="Nincstrkz"/>
        <w:rPr>
          <w:rFonts w:cs="Times New Roman"/>
          <w:u w:val="single"/>
        </w:rPr>
      </w:pPr>
      <w:r w:rsidRPr="00F7245E">
        <w:rPr>
          <w:rFonts w:cs="Times New Roman"/>
          <w:u w:val="single"/>
        </w:rPr>
        <w:t>Kölcsönhatás a citokróm P450 3A4</w:t>
      </w:r>
      <w:r w:rsidR="005716D0" w:rsidRPr="00F7245E">
        <w:rPr>
          <w:rFonts w:cs="Times New Roman"/>
          <w:u w:val="single"/>
        </w:rPr>
        <w:noBreakHyphen/>
      </w:r>
      <w:r w:rsidRPr="00F7245E">
        <w:rPr>
          <w:rFonts w:cs="Times New Roman"/>
          <w:u w:val="single"/>
        </w:rPr>
        <w:t>et (CYP3A4) és a P</w:t>
      </w:r>
      <w:r w:rsidR="005716D0" w:rsidRPr="00F7245E">
        <w:rPr>
          <w:rFonts w:cs="Times New Roman"/>
          <w:u w:val="single"/>
        </w:rPr>
        <w:noBreakHyphen/>
      </w:r>
      <w:r w:rsidRPr="00F7245E">
        <w:rPr>
          <w:rFonts w:cs="Times New Roman"/>
          <w:u w:val="single"/>
        </w:rPr>
        <w:t>glikoproteint (P</w:t>
      </w:r>
      <w:r w:rsidR="005716D0" w:rsidRPr="00F7245E">
        <w:rPr>
          <w:rFonts w:cs="Times New Roman"/>
          <w:u w:val="single"/>
        </w:rPr>
        <w:noBreakHyphen/>
      </w:r>
      <w:r w:rsidRPr="00F7245E">
        <w:rPr>
          <w:rFonts w:cs="Times New Roman"/>
          <w:u w:val="single"/>
        </w:rPr>
        <w:t xml:space="preserve">gp) egyaránt gátló </w:t>
      </w:r>
      <w:r w:rsidR="00265C86" w:rsidRPr="00F7245E">
        <w:rPr>
          <w:rFonts w:cs="Times New Roman"/>
          <w:u w:val="single"/>
        </w:rPr>
        <w:t>inhibitorokkal</w:t>
      </w:r>
    </w:p>
    <w:p w14:paraId="08ACFA51" w14:textId="77777777" w:rsidR="00265C86" w:rsidRPr="00F7245E" w:rsidRDefault="00265C86" w:rsidP="00A21724">
      <w:pPr>
        <w:pStyle w:val="Nincstrkz"/>
        <w:rPr>
          <w:rFonts w:cs="Times New Roman"/>
          <w:u w:val="single"/>
        </w:rPr>
      </w:pPr>
    </w:p>
    <w:p w14:paraId="7E9294AC" w14:textId="77777777" w:rsidR="00265C86" w:rsidRPr="00F7245E" w:rsidRDefault="00265C86" w:rsidP="00265C86">
      <w:pPr>
        <w:rPr>
          <w:noProof/>
        </w:rPr>
      </w:pPr>
      <w:r w:rsidRPr="00F7245E">
        <w:rPr>
          <w:noProof/>
        </w:rPr>
        <w:t>Az apixabán alkalmazása nem javasolt olyan betegeknél, akik a CYP3A4</w:t>
      </w:r>
      <w:r w:rsidRPr="00F7245E">
        <w:rPr>
          <w:noProof/>
        </w:rPr>
        <w:noBreakHyphen/>
        <w:t>et és a P</w:t>
      </w:r>
      <w:r w:rsidRPr="00F7245E">
        <w:rPr>
          <w:noProof/>
        </w:rPr>
        <w:noBreakHyphen/>
        <w:t>gp</w:t>
      </w:r>
      <w:r w:rsidRPr="00F7245E">
        <w:rPr>
          <w:noProof/>
        </w:rPr>
        <w:noBreakHyphen/>
        <w:t>t egyaránt erősen gátló szerekkel végzett szisztémás kezelést kapnak egyidejűleg, mint amilyenek az azol</w:t>
      </w:r>
      <w:r w:rsidRPr="00F7245E">
        <w:rPr>
          <w:noProof/>
        </w:rPr>
        <w:noBreakHyphen/>
        <w:t>típusú antimikotikumok (pl. ketokonazol, itrakonazol, vorikonazol, valamint a pozakonazol) és a HIV-proteáz</w:t>
      </w:r>
      <w:r w:rsidRPr="00F7245E">
        <w:rPr>
          <w:noProof/>
        </w:rPr>
        <w:noBreakHyphen/>
        <w:t>gátlók (pl. ritonavir). Ezek a gyógyszerek az apixabán expozícióját kétszeresére növelhetik (lásd 4.5 pont) vagy egyéb, olyan tényezők jelenlétében, amelyek az apixabán</w:t>
      </w:r>
      <w:r w:rsidRPr="00F7245E">
        <w:rPr>
          <w:noProof/>
        </w:rPr>
        <w:noBreakHyphen/>
        <w:t>expozíciót növelik (pl. súlyos vesekárosodás) ennél is nagyobbra.</w:t>
      </w:r>
    </w:p>
    <w:p w14:paraId="6658025C" w14:textId="77777777" w:rsidR="00B62AE4" w:rsidRPr="00F7245E" w:rsidRDefault="00B62AE4" w:rsidP="00A21724">
      <w:pPr>
        <w:pStyle w:val="Nincstrkz"/>
        <w:rPr>
          <w:rFonts w:cs="Times New Roman"/>
        </w:rPr>
      </w:pPr>
    </w:p>
    <w:p w14:paraId="3F9CEFB5" w14:textId="77777777" w:rsidR="00265C86" w:rsidRPr="00F7245E" w:rsidRDefault="00265C86" w:rsidP="00265C86">
      <w:pPr>
        <w:pStyle w:val="EMEABodyText"/>
        <w:rPr>
          <w:noProof/>
          <w:szCs w:val="22"/>
          <w:lang w:val="hu-HU"/>
        </w:rPr>
      </w:pPr>
      <w:r w:rsidRPr="00F7245E">
        <w:rPr>
          <w:noProof/>
          <w:szCs w:val="22"/>
          <w:lang w:val="hu-HU"/>
        </w:rPr>
        <w:t>Nincsenek rendelkezésre álló adatok olyan gyermekektől és serdülőktől, akik</w:t>
      </w:r>
      <w:r w:rsidRPr="00F7245E">
        <w:rPr>
          <w:lang w:val="hu-HU"/>
        </w:rPr>
        <w:t xml:space="preserve"> egyidejűleg</w:t>
      </w:r>
      <w:r w:rsidRPr="00F7245E">
        <w:rPr>
          <w:noProof/>
          <w:szCs w:val="22"/>
          <w:lang w:val="hu-HU"/>
        </w:rPr>
        <w:t xml:space="preserve"> a </w:t>
      </w:r>
      <w:r w:rsidRPr="00F7245E">
        <w:rPr>
          <w:lang w:val="hu-HU"/>
        </w:rPr>
        <w:t>CYP3A4 és a P</w:t>
      </w:r>
      <w:r w:rsidRPr="00F7245E">
        <w:rPr>
          <w:lang w:val="hu-HU"/>
        </w:rPr>
        <w:noBreakHyphen/>
        <w:t xml:space="preserve">gp egyaránt erős induktoraival végzett szisztémás kezelést kapnak </w:t>
      </w:r>
      <w:r w:rsidRPr="00F7245E">
        <w:rPr>
          <w:noProof/>
          <w:szCs w:val="22"/>
          <w:lang w:val="hu-HU"/>
        </w:rPr>
        <w:t>(lásd 4.5 pont).</w:t>
      </w:r>
    </w:p>
    <w:p w14:paraId="35F560E1" w14:textId="77777777" w:rsidR="00265C86" w:rsidRPr="00F7245E" w:rsidRDefault="00265C86" w:rsidP="00A21724">
      <w:pPr>
        <w:pStyle w:val="Nincstrkz"/>
        <w:rPr>
          <w:rFonts w:cs="Times New Roman"/>
        </w:rPr>
      </w:pPr>
    </w:p>
    <w:p w14:paraId="0331317E" w14:textId="461CD8BC" w:rsidR="00286E89" w:rsidRPr="00F7245E" w:rsidRDefault="00286E89" w:rsidP="00A21724">
      <w:pPr>
        <w:pStyle w:val="Nincstrkz"/>
        <w:rPr>
          <w:rFonts w:cs="Times New Roman"/>
          <w:u w:val="single"/>
        </w:rPr>
      </w:pPr>
      <w:r w:rsidRPr="00F7245E">
        <w:rPr>
          <w:rFonts w:cs="Times New Roman"/>
          <w:u w:val="single"/>
        </w:rPr>
        <w:t>Kölcsönhatás a CYP3A4</w:t>
      </w:r>
      <w:r w:rsidRPr="00F7245E">
        <w:rPr>
          <w:rFonts w:cs="Times New Roman"/>
          <w:u w:val="single"/>
        </w:rPr>
        <w:noBreakHyphen/>
        <w:t>et és a P</w:t>
      </w:r>
      <w:r w:rsidRPr="00F7245E">
        <w:rPr>
          <w:rFonts w:cs="Times New Roman"/>
          <w:u w:val="single"/>
        </w:rPr>
        <w:noBreakHyphen/>
        <w:t>gp</w:t>
      </w:r>
      <w:r w:rsidRPr="00F7245E">
        <w:rPr>
          <w:rFonts w:cs="Times New Roman"/>
          <w:u w:val="single"/>
        </w:rPr>
        <w:noBreakHyphen/>
        <w:t xml:space="preserve">t egyaránt </w:t>
      </w:r>
      <w:r w:rsidR="00265C86" w:rsidRPr="00F7245E">
        <w:rPr>
          <w:rFonts w:cs="Times New Roman"/>
          <w:u w:val="single"/>
        </w:rPr>
        <w:t>ható induktorokkal</w:t>
      </w:r>
    </w:p>
    <w:p w14:paraId="07C7F4CC" w14:textId="77777777" w:rsidR="00265C86" w:rsidRPr="00F7245E" w:rsidRDefault="00265C86" w:rsidP="00A21724">
      <w:pPr>
        <w:pStyle w:val="Nincstrkz"/>
        <w:rPr>
          <w:rFonts w:cs="Times New Roman"/>
          <w:u w:val="single"/>
        </w:rPr>
      </w:pPr>
    </w:p>
    <w:p w14:paraId="3F74AC5E" w14:textId="12E354E5" w:rsidR="00B62AE4" w:rsidRPr="00F7245E" w:rsidRDefault="00B62AE4" w:rsidP="00A21724">
      <w:pPr>
        <w:pStyle w:val="Nincstrkz"/>
        <w:rPr>
          <w:rFonts w:cs="Times New Roman"/>
        </w:rPr>
      </w:pPr>
      <w:r w:rsidRPr="00F7245E">
        <w:rPr>
          <w:rFonts w:cs="Times New Roman"/>
        </w:rPr>
        <w:t xml:space="preserve">Az </w:t>
      </w:r>
      <w:r w:rsidR="00415DC7" w:rsidRPr="00F7245E">
        <w:rPr>
          <w:rFonts w:cs="Times New Roman"/>
        </w:rPr>
        <w:t>a</w:t>
      </w:r>
      <w:r w:rsidR="00FA2868" w:rsidRPr="00F7245E">
        <w:rPr>
          <w:rFonts w:cs="Times New Roman"/>
        </w:rPr>
        <w:t>pixab</w:t>
      </w:r>
      <w:r w:rsidR="00684207" w:rsidRPr="00F7245E">
        <w:rPr>
          <w:rFonts w:cs="Times New Roman"/>
        </w:rPr>
        <w:t>á</w:t>
      </w:r>
      <w:r w:rsidR="00FA2868" w:rsidRPr="00F7245E">
        <w:rPr>
          <w:rFonts w:cs="Times New Roman"/>
        </w:rPr>
        <w:t>n</w:t>
      </w:r>
      <w:r w:rsidRPr="00F7245E">
        <w:rPr>
          <w:rFonts w:cs="Times New Roman"/>
        </w:rPr>
        <w:t xml:space="preserve"> egyidejű alkalmazása a CYP3A4 és P</w:t>
      </w:r>
      <w:r w:rsidR="00783915" w:rsidRPr="00F7245E">
        <w:rPr>
          <w:rFonts w:cs="Times New Roman"/>
        </w:rPr>
        <w:noBreakHyphen/>
      </w:r>
      <w:r w:rsidRPr="00F7245E">
        <w:rPr>
          <w:rFonts w:cs="Times New Roman"/>
        </w:rPr>
        <w:t xml:space="preserve">gp erős induktoraival </w:t>
      </w:r>
      <w:r w:rsidR="00783915" w:rsidRPr="00F7245E">
        <w:rPr>
          <w:rFonts w:cs="Times New Roman"/>
        </w:rPr>
        <w:t>(</w:t>
      </w:r>
      <w:r w:rsidRPr="00F7245E">
        <w:rPr>
          <w:rFonts w:cs="Times New Roman"/>
        </w:rPr>
        <w:t>pl. rifampicin, fenitoin, karbamazepin, fenobarbitál vagy</w:t>
      </w:r>
      <w:r w:rsidR="006A76F5" w:rsidRPr="00F7245E">
        <w:rPr>
          <w:rFonts w:cs="Times New Roman"/>
        </w:rPr>
        <w:t xml:space="preserve"> </w:t>
      </w:r>
      <w:r w:rsidR="00684207" w:rsidRPr="00F7245E">
        <w:rPr>
          <w:rFonts w:cs="Times New Roman"/>
        </w:rPr>
        <w:t xml:space="preserve">közönséges </w:t>
      </w:r>
      <w:r w:rsidRPr="00F7245E">
        <w:rPr>
          <w:rFonts w:cs="Times New Roman"/>
        </w:rPr>
        <w:t xml:space="preserve">orbáncfű </w:t>
      </w:r>
      <w:r w:rsidR="00783915" w:rsidRPr="00F7245E">
        <w:rPr>
          <w:rFonts w:cs="Times New Roman"/>
        </w:rPr>
        <w:t>[</w:t>
      </w:r>
      <w:r w:rsidRPr="00F7245E">
        <w:rPr>
          <w:rFonts w:cs="Times New Roman"/>
          <w:i/>
        </w:rPr>
        <w:t>Hypericum perforatum</w:t>
      </w:r>
      <w:r w:rsidR="00783915" w:rsidRPr="00F7245E">
        <w:rPr>
          <w:rFonts w:cs="Times New Roman"/>
        </w:rPr>
        <w:t>]</w:t>
      </w:r>
      <w:r w:rsidRPr="00F7245E">
        <w:rPr>
          <w:rFonts w:cs="Times New Roman"/>
        </w:rPr>
        <w:t xml:space="preserve">) az </w:t>
      </w:r>
      <w:r w:rsidR="002C0B56" w:rsidRPr="00F7245E">
        <w:rPr>
          <w:rFonts w:cs="Times New Roman"/>
        </w:rPr>
        <w:t>apixabán</w:t>
      </w:r>
      <w:r w:rsidR="00783915" w:rsidRPr="00F7245E">
        <w:rPr>
          <w:rFonts w:cs="Times New Roman"/>
        </w:rPr>
        <w:noBreakHyphen/>
      </w:r>
      <w:r w:rsidRPr="00F7245E">
        <w:rPr>
          <w:rFonts w:cs="Times New Roman"/>
        </w:rPr>
        <w:t>expozíció közel 50%</w:t>
      </w:r>
      <w:r w:rsidR="00783915" w:rsidRPr="00F7245E">
        <w:rPr>
          <w:rFonts w:cs="Times New Roman"/>
        </w:rPr>
        <w:noBreakHyphen/>
      </w:r>
      <w:r w:rsidRPr="00F7245E">
        <w:rPr>
          <w:rFonts w:cs="Times New Roman"/>
        </w:rPr>
        <w:t>os csökkenéséhez vezethet. Egy pitvarfibrillá</w:t>
      </w:r>
      <w:r w:rsidR="007622B9" w:rsidRPr="00F7245E">
        <w:rPr>
          <w:rFonts w:cs="Times New Roman"/>
        </w:rPr>
        <w:t>ci</w:t>
      </w:r>
      <w:r w:rsidRPr="00F7245E">
        <w:rPr>
          <w:rFonts w:cs="Times New Roman"/>
        </w:rPr>
        <w:t>ó</w:t>
      </w:r>
      <w:r w:rsidR="007622B9" w:rsidRPr="00F7245E">
        <w:rPr>
          <w:rFonts w:cs="Times New Roman"/>
        </w:rPr>
        <w:t>s</w:t>
      </w:r>
      <w:r w:rsidR="00783915" w:rsidRPr="00F7245E">
        <w:rPr>
          <w:rFonts w:cs="Times New Roman"/>
        </w:rPr>
        <w:t xml:space="preserve"> </w:t>
      </w:r>
      <w:r w:rsidR="00A1416D" w:rsidRPr="00F7245E">
        <w:rPr>
          <w:rFonts w:cs="Times New Roman"/>
        </w:rPr>
        <w:t>beteg</w:t>
      </w:r>
      <w:r w:rsidRPr="00F7245E">
        <w:rPr>
          <w:rFonts w:cs="Times New Roman"/>
        </w:rPr>
        <w:t>ekkel végzett klinikai vizsgálatban az önmagában adott apixab</w:t>
      </w:r>
      <w:r w:rsidR="002C0B56" w:rsidRPr="00F7245E">
        <w:rPr>
          <w:rFonts w:cs="Times New Roman"/>
        </w:rPr>
        <w:t>á</w:t>
      </w:r>
      <w:r w:rsidRPr="00F7245E">
        <w:rPr>
          <w:rFonts w:cs="Times New Roman"/>
        </w:rPr>
        <w:t>nhoz képest csökkent hatásosságot és a vérzés magasabb kockázatát figyelték meg, ha az apix</w:t>
      </w:r>
      <w:r w:rsidR="002C0B56" w:rsidRPr="00F7245E">
        <w:rPr>
          <w:rFonts w:cs="Times New Roman"/>
        </w:rPr>
        <w:t>a</w:t>
      </w:r>
      <w:r w:rsidRPr="00F7245E">
        <w:rPr>
          <w:rFonts w:cs="Times New Roman"/>
        </w:rPr>
        <w:t>b</w:t>
      </w:r>
      <w:r w:rsidR="002C0B56" w:rsidRPr="00F7245E">
        <w:rPr>
          <w:rFonts w:cs="Times New Roman"/>
        </w:rPr>
        <w:t>á</w:t>
      </w:r>
      <w:r w:rsidRPr="00F7245E">
        <w:rPr>
          <w:rFonts w:cs="Times New Roman"/>
        </w:rPr>
        <w:t xml:space="preserve">nt </w:t>
      </w:r>
      <w:r w:rsidR="006A4200" w:rsidRPr="00F7245E">
        <w:rPr>
          <w:rFonts w:cs="Times New Roman"/>
        </w:rPr>
        <w:t xml:space="preserve">mind </w:t>
      </w:r>
      <w:r w:rsidRPr="00F7245E">
        <w:rPr>
          <w:rFonts w:cs="Times New Roman"/>
        </w:rPr>
        <w:t>a CYP3A4</w:t>
      </w:r>
      <w:r w:rsidR="006A4200" w:rsidRPr="00F7245E">
        <w:rPr>
          <w:rFonts w:cs="Times New Roman"/>
        </w:rPr>
        <w:noBreakHyphen/>
        <w:t xml:space="preserve">re, és </w:t>
      </w:r>
      <w:r w:rsidRPr="00F7245E">
        <w:rPr>
          <w:rFonts w:cs="Times New Roman"/>
        </w:rPr>
        <w:t>a P</w:t>
      </w:r>
      <w:r w:rsidR="006A4200" w:rsidRPr="00F7245E">
        <w:rPr>
          <w:rFonts w:cs="Times New Roman"/>
        </w:rPr>
        <w:noBreakHyphen/>
      </w:r>
      <w:r w:rsidRPr="00F7245E">
        <w:rPr>
          <w:rFonts w:cs="Times New Roman"/>
        </w:rPr>
        <w:t>gp</w:t>
      </w:r>
      <w:r w:rsidR="006A4200" w:rsidRPr="00F7245E">
        <w:rPr>
          <w:rFonts w:cs="Times New Roman"/>
        </w:rPr>
        <w:noBreakHyphen/>
        <w:t>re egyaránt ható</w:t>
      </w:r>
      <w:r w:rsidRPr="00F7245E">
        <w:rPr>
          <w:rFonts w:cs="Times New Roman"/>
        </w:rPr>
        <w:t xml:space="preserve"> erős indukto</w:t>
      </w:r>
      <w:r w:rsidR="007A5F56" w:rsidRPr="00F7245E">
        <w:rPr>
          <w:rFonts w:cs="Times New Roman"/>
        </w:rPr>
        <w:t>r</w:t>
      </w:r>
      <w:r w:rsidR="00265C86" w:rsidRPr="00F7245E">
        <w:rPr>
          <w:rFonts w:cs="Times New Roman"/>
        </w:rPr>
        <w:t>aival</w:t>
      </w:r>
      <w:r w:rsidRPr="00F7245E">
        <w:rPr>
          <w:rFonts w:cs="Times New Roman"/>
        </w:rPr>
        <w:t xml:space="preserve"> együtt adták.</w:t>
      </w:r>
    </w:p>
    <w:p w14:paraId="7A056996" w14:textId="77777777" w:rsidR="00B62AE4" w:rsidRPr="00F7245E" w:rsidRDefault="00B62AE4" w:rsidP="00A21724">
      <w:pPr>
        <w:pStyle w:val="Nincstrkz"/>
        <w:rPr>
          <w:rFonts w:cs="Times New Roman"/>
        </w:rPr>
      </w:pPr>
    </w:p>
    <w:p w14:paraId="3171D25A" w14:textId="77777777" w:rsidR="00265C86" w:rsidRPr="00F7245E" w:rsidRDefault="00265C86" w:rsidP="00265C86">
      <w:pPr>
        <w:pStyle w:val="EMEABodyText"/>
        <w:rPr>
          <w:szCs w:val="22"/>
          <w:lang w:val="hu-HU"/>
        </w:rPr>
      </w:pPr>
      <w:r w:rsidRPr="00F7245E">
        <w:rPr>
          <w:lang w:val="hu-HU"/>
        </w:rPr>
        <w:t>Azoknál a betegeknél, akik a CYP3A4 és a P</w:t>
      </w:r>
      <w:r w:rsidRPr="00F7245E">
        <w:rPr>
          <w:lang w:val="hu-HU"/>
        </w:rPr>
        <w:noBreakHyphen/>
        <w:t>gp egyaránt erős induktoraival végzett szisztémás kezelést kapnak egyidejűleg, az alábbi ajánlásokat kell betartani (lásd 4.5 pont):</w:t>
      </w:r>
    </w:p>
    <w:p w14:paraId="6C821AA6" w14:textId="77777777" w:rsidR="00415DC7" w:rsidRPr="00F7245E" w:rsidRDefault="00415DC7" w:rsidP="00A21724">
      <w:pPr>
        <w:pStyle w:val="Nincstrkz"/>
        <w:rPr>
          <w:rFonts w:cs="Times New Roman"/>
        </w:rPr>
      </w:pPr>
    </w:p>
    <w:p w14:paraId="68A8B8CB" w14:textId="352C879F" w:rsidR="00B62AE4" w:rsidRPr="00F7245E" w:rsidRDefault="003B3FD6" w:rsidP="00A21724">
      <w:pPr>
        <w:pStyle w:val="Nincstrkz"/>
        <w:numPr>
          <w:ilvl w:val="0"/>
          <w:numId w:val="15"/>
        </w:numPr>
        <w:ind w:left="567" w:hanging="567"/>
        <w:rPr>
          <w:rFonts w:cs="Times New Roman"/>
        </w:rPr>
      </w:pPr>
      <w:r w:rsidRPr="00F7245E">
        <w:rPr>
          <w:rFonts w:cs="Times New Roman"/>
        </w:rPr>
        <w:t>az apixab</w:t>
      </w:r>
      <w:r w:rsidR="002C0B56" w:rsidRPr="00F7245E">
        <w:rPr>
          <w:rFonts w:cs="Times New Roman"/>
        </w:rPr>
        <w:t>á</w:t>
      </w:r>
      <w:r w:rsidRPr="00F7245E">
        <w:rPr>
          <w:rFonts w:cs="Times New Roman"/>
        </w:rPr>
        <w:t>nt kellő körültekintéssel kell alkalmazni VTE megelőzésére elektív csípő</w:t>
      </w:r>
      <w:r w:rsidRPr="00F7245E">
        <w:rPr>
          <w:rFonts w:cs="Times New Roman"/>
        </w:rPr>
        <w:noBreakHyphen/>
        <w:t xml:space="preserve"> vagy térdprotézis műtét esetén</w:t>
      </w:r>
      <w:r w:rsidR="00B62AE4" w:rsidRPr="00F7245E">
        <w:rPr>
          <w:rFonts w:cs="Times New Roman"/>
        </w:rPr>
        <w:t>, stroke és szisztémás embolizáció prevenciój</w:t>
      </w:r>
      <w:r w:rsidRPr="00F7245E">
        <w:rPr>
          <w:rFonts w:cs="Times New Roman"/>
        </w:rPr>
        <w:t>ára</w:t>
      </w:r>
      <w:r w:rsidR="00B62AE4" w:rsidRPr="00F7245E">
        <w:rPr>
          <w:rFonts w:cs="Times New Roman"/>
        </w:rPr>
        <w:t xml:space="preserve"> a nem </w:t>
      </w:r>
      <w:r w:rsidRPr="00F7245E">
        <w:rPr>
          <w:rFonts w:cs="Times New Roman"/>
        </w:rPr>
        <w:t>valvuláris</w:t>
      </w:r>
      <w:r w:rsidR="00B62AE4" w:rsidRPr="00F7245E">
        <w:rPr>
          <w:rFonts w:cs="Times New Roman"/>
        </w:rPr>
        <w:t xml:space="preserve"> pitvarfibrillációban szenvedő</w:t>
      </w:r>
      <w:r w:rsidRPr="00F7245E">
        <w:rPr>
          <w:rFonts w:cs="Times New Roman"/>
        </w:rPr>
        <w:t xml:space="preserve"> betegeknél</w:t>
      </w:r>
      <w:r w:rsidR="00B62AE4" w:rsidRPr="00F7245E">
        <w:rPr>
          <w:rFonts w:cs="Times New Roman"/>
        </w:rPr>
        <w:t>, és MVT</w:t>
      </w:r>
      <w:r w:rsidRPr="00F7245E">
        <w:rPr>
          <w:rFonts w:cs="Times New Roman"/>
        </w:rPr>
        <w:t>, valamint</w:t>
      </w:r>
      <w:r w:rsidR="00B62AE4" w:rsidRPr="00F7245E">
        <w:rPr>
          <w:rFonts w:cs="Times New Roman"/>
        </w:rPr>
        <w:t xml:space="preserve"> PE kiújulásának megelőzésére;</w:t>
      </w:r>
    </w:p>
    <w:p w14:paraId="2BC62B39" w14:textId="77777777" w:rsidR="00B62AE4" w:rsidRPr="00F7245E" w:rsidRDefault="00B62AE4" w:rsidP="00A21724">
      <w:pPr>
        <w:pStyle w:val="Nincstrkz"/>
        <w:ind w:left="567" w:hanging="567"/>
        <w:rPr>
          <w:rFonts w:cs="Times New Roman"/>
        </w:rPr>
      </w:pPr>
    </w:p>
    <w:p w14:paraId="6C74FDA0" w14:textId="085BB289" w:rsidR="00B62AE4" w:rsidRPr="00F7245E" w:rsidRDefault="003B3FD6" w:rsidP="00A21724">
      <w:pPr>
        <w:pStyle w:val="Nincstrkz"/>
        <w:numPr>
          <w:ilvl w:val="0"/>
          <w:numId w:val="15"/>
        </w:numPr>
        <w:ind w:left="567" w:hanging="567"/>
        <w:rPr>
          <w:rFonts w:cs="Times New Roman"/>
        </w:rPr>
      </w:pPr>
      <w:r w:rsidRPr="00F7245E">
        <w:rPr>
          <w:rFonts w:cs="Times New Roman"/>
        </w:rPr>
        <w:t xml:space="preserve">az </w:t>
      </w:r>
      <w:r w:rsidR="00CA2919" w:rsidRPr="00F7245E">
        <w:rPr>
          <w:rFonts w:cs="Times New Roman"/>
        </w:rPr>
        <w:t xml:space="preserve">apixabán </w:t>
      </w:r>
      <w:r w:rsidRPr="00F7245E">
        <w:rPr>
          <w:rFonts w:cs="Times New Roman"/>
        </w:rPr>
        <w:t xml:space="preserve">nem alkalmazható </w:t>
      </w:r>
      <w:r w:rsidR="00B62AE4" w:rsidRPr="00F7245E">
        <w:rPr>
          <w:rFonts w:cs="Times New Roman"/>
        </w:rPr>
        <w:t>MVT</w:t>
      </w:r>
      <w:r w:rsidRPr="00F7245E">
        <w:rPr>
          <w:rFonts w:cs="Times New Roman"/>
        </w:rPr>
        <w:noBreakHyphen/>
        <w:t xml:space="preserve"> </w:t>
      </w:r>
      <w:r w:rsidR="00B62AE4" w:rsidRPr="00F7245E">
        <w:rPr>
          <w:rFonts w:cs="Times New Roman"/>
        </w:rPr>
        <w:t>és a pulmonalis embolia kezelésére, mivel a hatásosság romolhat.</w:t>
      </w:r>
    </w:p>
    <w:p w14:paraId="5F32CDBF" w14:textId="77777777" w:rsidR="00B62AE4" w:rsidRPr="00F7245E" w:rsidRDefault="00B62AE4" w:rsidP="00A21724">
      <w:pPr>
        <w:pStyle w:val="Nincstrkz"/>
        <w:rPr>
          <w:rFonts w:cs="Times New Roman"/>
        </w:rPr>
      </w:pPr>
    </w:p>
    <w:p w14:paraId="7E4613EA" w14:textId="77777777" w:rsidR="00265C86" w:rsidRPr="00F7245E" w:rsidRDefault="00265C86" w:rsidP="00265C86">
      <w:pPr>
        <w:pStyle w:val="EMEABodyText"/>
        <w:rPr>
          <w:noProof/>
          <w:szCs w:val="22"/>
          <w:lang w:val="hu-HU"/>
        </w:rPr>
      </w:pPr>
      <w:r w:rsidRPr="00F7245E">
        <w:rPr>
          <w:noProof/>
          <w:szCs w:val="22"/>
          <w:lang w:val="hu-HU"/>
        </w:rPr>
        <w:t>Nincsenek rendelkezésre álló adatok olyan gyermekektől és serdülőktől, akik</w:t>
      </w:r>
      <w:r w:rsidRPr="00F7245E">
        <w:rPr>
          <w:lang w:val="hu-HU"/>
        </w:rPr>
        <w:t xml:space="preserve"> egyidejűleg</w:t>
      </w:r>
      <w:r w:rsidRPr="00F7245E">
        <w:rPr>
          <w:noProof/>
          <w:szCs w:val="22"/>
          <w:lang w:val="hu-HU"/>
        </w:rPr>
        <w:t xml:space="preserve"> a </w:t>
      </w:r>
      <w:r w:rsidRPr="00F7245E">
        <w:rPr>
          <w:lang w:val="hu-HU"/>
        </w:rPr>
        <w:t>CYP3A4 és a P</w:t>
      </w:r>
      <w:r w:rsidRPr="00F7245E">
        <w:rPr>
          <w:lang w:val="hu-HU"/>
        </w:rPr>
        <w:noBreakHyphen/>
        <w:t xml:space="preserve">gp egyaránt erős induktoraival végzett szisztémás kezelést kapnak </w:t>
      </w:r>
      <w:r w:rsidRPr="00F7245E">
        <w:rPr>
          <w:noProof/>
          <w:szCs w:val="22"/>
          <w:lang w:val="hu-HU"/>
        </w:rPr>
        <w:t>(lásd 4.5 pont).</w:t>
      </w:r>
    </w:p>
    <w:p w14:paraId="22D6823E" w14:textId="77777777" w:rsidR="00265C86" w:rsidRPr="00F7245E" w:rsidRDefault="00265C86" w:rsidP="00A21724">
      <w:pPr>
        <w:pStyle w:val="Nincstrkz"/>
        <w:rPr>
          <w:rFonts w:cs="Times New Roman"/>
        </w:rPr>
      </w:pPr>
    </w:p>
    <w:p w14:paraId="3B0C0482" w14:textId="77777777" w:rsidR="00B62AE4" w:rsidRPr="00F7245E" w:rsidRDefault="00B62AE4" w:rsidP="00A21724">
      <w:pPr>
        <w:pStyle w:val="Nincstrkz"/>
        <w:keepNext/>
        <w:rPr>
          <w:rFonts w:cs="Times New Roman"/>
          <w:u w:val="single"/>
        </w:rPr>
      </w:pPr>
      <w:r w:rsidRPr="00F7245E">
        <w:rPr>
          <w:rFonts w:cs="Times New Roman"/>
          <w:u w:val="single"/>
        </w:rPr>
        <w:t>Csípőtáji törés műtéti kezelése</w:t>
      </w:r>
    </w:p>
    <w:p w14:paraId="79AFB064" w14:textId="77777777" w:rsidR="00265C86" w:rsidRPr="00F7245E" w:rsidRDefault="00265C86" w:rsidP="00A21724">
      <w:pPr>
        <w:pStyle w:val="Nincstrkz"/>
        <w:keepNext/>
        <w:rPr>
          <w:rFonts w:cs="Times New Roman"/>
          <w:u w:val="single"/>
        </w:rPr>
      </w:pPr>
    </w:p>
    <w:p w14:paraId="5715CD30" w14:textId="6AB3B79F" w:rsidR="00B62AE4" w:rsidRPr="00F7245E" w:rsidRDefault="00265C86" w:rsidP="00A21724">
      <w:pPr>
        <w:pStyle w:val="Nincstrkz"/>
        <w:keepNext/>
        <w:rPr>
          <w:rFonts w:cs="Times New Roman"/>
        </w:rPr>
      </w:pPr>
      <w:r w:rsidRPr="00F7245E">
        <w:rPr>
          <w:rFonts w:cs="Times New Roman"/>
        </w:rPr>
        <w:t>A</w:t>
      </w:r>
      <w:r w:rsidR="00B62AE4" w:rsidRPr="00F7245E">
        <w:rPr>
          <w:rFonts w:cs="Times New Roman"/>
        </w:rPr>
        <w:t xml:space="preserve">z </w:t>
      </w:r>
      <w:r w:rsidR="00CA2919" w:rsidRPr="00F7245E">
        <w:rPr>
          <w:rFonts w:cs="Times New Roman"/>
        </w:rPr>
        <w:t xml:space="preserve">apixabán </w:t>
      </w:r>
      <w:r w:rsidR="00B62AE4" w:rsidRPr="00F7245E">
        <w:rPr>
          <w:rFonts w:cs="Times New Roman"/>
        </w:rPr>
        <w:t>hatásosságára és biztonságosságára vonatkozó klinikai vizsgálatokat</w:t>
      </w:r>
      <w:r w:rsidRPr="00F7245E">
        <w:rPr>
          <w:rFonts w:cs="Times New Roman"/>
        </w:rPr>
        <w:t xml:space="preserve"> csípőtáji törés miatt műtéten áteső betegeknél nem végeztek</w:t>
      </w:r>
      <w:r w:rsidR="00B62AE4" w:rsidRPr="00F7245E">
        <w:rPr>
          <w:rFonts w:cs="Times New Roman"/>
        </w:rPr>
        <w:t>, ezért ezeknél a</w:t>
      </w:r>
      <w:r w:rsidR="000C40E6" w:rsidRPr="00F7245E">
        <w:rPr>
          <w:rFonts w:cs="Times New Roman"/>
        </w:rPr>
        <w:t xml:space="preserve"> </w:t>
      </w:r>
      <w:r w:rsidR="00A1416D" w:rsidRPr="00F7245E">
        <w:rPr>
          <w:rFonts w:cs="Times New Roman"/>
        </w:rPr>
        <w:t>beteg</w:t>
      </w:r>
      <w:r w:rsidR="00B62AE4" w:rsidRPr="00F7245E">
        <w:rPr>
          <w:rFonts w:cs="Times New Roman"/>
        </w:rPr>
        <w:t xml:space="preserve">eknél az </w:t>
      </w:r>
      <w:r w:rsidR="00CA2919" w:rsidRPr="00F7245E">
        <w:rPr>
          <w:rFonts w:cs="Times New Roman"/>
        </w:rPr>
        <w:t xml:space="preserve">apixabán </w:t>
      </w:r>
      <w:r w:rsidR="00B62AE4" w:rsidRPr="00F7245E">
        <w:rPr>
          <w:rFonts w:cs="Times New Roman"/>
        </w:rPr>
        <w:t>nem javasolt.</w:t>
      </w:r>
    </w:p>
    <w:p w14:paraId="7A6D7BBB" w14:textId="77777777" w:rsidR="00B62AE4" w:rsidRPr="00F7245E" w:rsidRDefault="00B62AE4" w:rsidP="00A21724">
      <w:pPr>
        <w:pStyle w:val="Nincstrkz"/>
        <w:rPr>
          <w:rFonts w:cs="Times New Roman"/>
        </w:rPr>
      </w:pPr>
    </w:p>
    <w:p w14:paraId="5530B835" w14:textId="3F00E399" w:rsidR="00B62AE4" w:rsidRPr="00F7245E" w:rsidRDefault="00B62AE4" w:rsidP="00A21724">
      <w:pPr>
        <w:pStyle w:val="Nincstrkz"/>
        <w:rPr>
          <w:rFonts w:cs="Times New Roman"/>
          <w:u w:val="single"/>
        </w:rPr>
      </w:pPr>
      <w:r w:rsidRPr="00F7245E">
        <w:rPr>
          <w:rFonts w:cs="Times New Roman"/>
          <w:u w:val="single"/>
        </w:rPr>
        <w:t>Laborat</w:t>
      </w:r>
      <w:r w:rsidR="0071046D" w:rsidRPr="00F7245E">
        <w:rPr>
          <w:rFonts w:cs="Times New Roman"/>
          <w:u w:val="single"/>
        </w:rPr>
        <w:t>ór</w:t>
      </w:r>
      <w:r w:rsidRPr="00F7245E">
        <w:rPr>
          <w:rFonts w:cs="Times New Roman"/>
          <w:u w:val="single"/>
        </w:rPr>
        <w:t>iumi paraméterek</w:t>
      </w:r>
    </w:p>
    <w:p w14:paraId="639B34A4" w14:textId="77777777" w:rsidR="00265C86" w:rsidRPr="00F7245E" w:rsidRDefault="00265C86" w:rsidP="00A21724">
      <w:pPr>
        <w:pStyle w:val="Nincstrkz"/>
        <w:rPr>
          <w:rFonts w:cs="Times New Roman"/>
          <w:u w:val="single"/>
        </w:rPr>
      </w:pPr>
    </w:p>
    <w:p w14:paraId="4917AC16" w14:textId="7BF8C62E" w:rsidR="00B62AE4" w:rsidRPr="00F7245E" w:rsidRDefault="00B62AE4" w:rsidP="00A21724">
      <w:pPr>
        <w:pStyle w:val="Nincstrkz"/>
        <w:rPr>
          <w:rFonts w:cs="Times New Roman"/>
        </w:rPr>
      </w:pPr>
      <w:r w:rsidRPr="00F7245E">
        <w:rPr>
          <w:rFonts w:cs="Times New Roman"/>
        </w:rPr>
        <w:t xml:space="preserve">A véralvadási vizsgálatokat </w:t>
      </w:r>
      <w:r w:rsidR="000C40E6" w:rsidRPr="00F7245E">
        <w:rPr>
          <w:rFonts w:cs="Times New Roman"/>
        </w:rPr>
        <w:t>(</w:t>
      </w:r>
      <w:r w:rsidRPr="00F7245E">
        <w:rPr>
          <w:rFonts w:cs="Times New Roman"/>
        </w:rPr>
        <w:t xml:space="preserve">pl. protrombinidő </w:t>
      </w:r>
      <w:r w:rsidR="000C40E6" w:rsidRPr="00F7245E">
        <w:rPr>
          <w:rFonts w:cs="Times New Roman"/>
        </w:rPr>
        <w:t>[</w:t>
      </w:r>
      <w:r w:rsidRPr="00F7245E">
        <w:rPr>
          <w:rFonts w:cs="Times New Roman"/>
        </w:rPr>
        <w:t>PI</w:t>
      </w:r>
      <w:r w:rsidR="000C40E6" w:rsidRPr="00F7245E">
        <w:rPr>
          <w:rFonts w:cs="Times New Roman"/>
        </w:rPr>
        <w:t>]</w:t>
      </w:r>
      <w:r w:rsidRPr="00F7245E">
        <w:rPr>
          <w:rFonts w:cs="Times New Roman"/>
        </w:rPr>
        <w:t>, INR és aktivált parciális tromboplas</w:t>
      </w:r>
      <w:r w:rsidR="000C40E6" w:rsidRPr="00F7245E">
        <w:rPr>
          <w:rFonts w:cs="Times New Roman"/>
        </w:rPr>
        <w:t>z</w:t>
      </w:r>
      <w:r w:rsidRPr="00F7245E">
        <w:rPr>
          <w:rFonts w:cs="Times New Roman"/>
        </w:rPr>
        <w:t xml:space="preserve">tinidő </w:t>
      </w:r>
      <w:r w:rsidR="000C40E6" w:rsidRPr="00F7245E">
        <w:rPr>
          <w:rFonts w:cs="Times New Roman"/>
        </w:rPr>
        <w:t>[</w:t>
      </w:r>
      <w:r w:rsidRPr="00F7245E">
        <w:rPr>
          <w:rFonts w:cs="Times New Roman"/>
        </w:rPr>
        <w:t>aPTI</w:t>
      </w:r>
      <w:r w:rsidR="000C40E6" w:rsidRPr="00F7245E">
        <w:rPr>
          <w:rFonts w:cs="Times New Roman"/>
        </w:rPr>
        <w:t xml:space="preserve">, activated partial thromboplastin time]) </w:t>
      </w:r>
      <w:r w:rsidRPr="00F7245E">
        <w:rPr>
          <w:rFonts w:cs="Times New Roman"/>
        </w:rPr>
        <w:t xml:space="preserve">az </w:t>
      </w:r>
      <w:r w:rsidR="00CA2919" w:rsidRPr="00F7245E">
        <w:rPr>
          <w:rFonts w:cs="Times New Roman"/>
        </w:rPr>
        <w:t xml:space="preserve">apixabán </w:t>
      </w:r>
      <w:r w:rsidRPr="00F7245E">
        <w:rPr>
          <w:rFonts w:cs="Times New Roman"/>
        </w:rPr>
        <w:t xml:space="preserve">a hatásmechanizmusa alapján várható módon befolyásolja. A várható terápiás adagolás mellett végzett véralvadási vizsgálatok során </w:t>
      </w:r>
      <w:r w:rsidR="002E5D40" w:rsidRPr="00F7245E">
        <w:rPr>
          <w:rFonts w:cs="Times New Roman"/>
        </w:rPr>
        <w:t>megfigyelt</w:t>
      </w:r>
      <w:r w:rsidRPr="00F7245E">
        <w:rPr>
          <w:rFonts w:cs="Times New Roman"/>
        </w:rPr>
        <w:t xml:space="preserve"> változások csekélyek, és nagyfokú variabilitást mutatnak (lásd 5.1</w:t>
      </w:r>
      <w:r w:rsidR="004C106B" w:rsidRPr="00F7245E">
        <w:rPr>
          <w:rFonts w:cs="Times New Roman"/>
        </w:rPr>
        <w:t> pont</w:t>
      </w:r>
      <w:r w:rsidRPr="00F7245E">
        <w:rPr>
          <w:rFonts w:cs="Times New Roman"/>
        </w:rPr>
        <w:t>).</w:t>
      </w:r>
    </w:p>
    <w:p w14:paraId="2C3191DF" w14:textId="77777777" w:rsidR="00B62AE4" w:rsidRPr="00F7245E" w:rsidRDefault="00B62AE4" w:rsidP="00A21724">
      <w:pPr>
        <w:pStyle w:val="Nincstrkz"/>
        <w:rPr>
          <w:rFonts w:cs="Times New Roman"/>
        </w:rPr>
      </w:pPr>
    </w:p>
    <w:p w14:paraId="04B5F59A" w14:textId="77777777" w:rsidR="00B62AE4" w:rsidRPr="00F7245E" w:rsidRDefault="00B62AE4" w:rsidP="00A21724">
      <w:pPr>
        <w:pStyle w:val="Nincstrkz"/>
        <w:rPr>
          <w:rFonts w:cs="Times New Roman"/>
          <w:u w:val="single"/>
        </w:rPr>
      </w:pPr>
      <w:r w:rsidRPr="00F7245E">
        <w:rPr>
          <w:rFonts w:cs="Times New Roman"/>
          <w:u w:val="single"/>
        </w:rPr>
        <w:t>Segédanyagokra vonatkozó információ</w:t>
      </w:r>
    </w:p>
    <w:p w14:paraId="15C29029" w14:textId="77777777" w:rsidR="00265C86" w:rsidRPr="00F7245E" w:rsidRDefault="00265C86" w:rsidP="00A21724">
      <w:pPr>
        <w:pStyle w:val="Nincstrkz"/>
        <w:rPr>
          <w:rFonts w:cs="Times New Roman"/>
          <w:u w:val="single"/>
        </w:rPr>
      </w:pPr>
    </w:p>
    <w:p w14:paraId="539BC366" w14:textId="09C0FDA8" w:rsidR="00B62AE4" w:rsidRPr="00F7245E" w:rsidRDefault="00B62AE4" w:rsidP="00A21724">
      <w:pPr>
        <w:pStyle w:val="Nincstrkz"/>
        <w:rPr>
          <w:rFonts w:cs="Times New Roman"/>
        </w:rPr>
      </w:pPr>
      <w:r w:rsidRPr="00F7245E">
        <w:rPr>
          <w:rFonts w:cs="Times New Roman"/>
        </w:rPr>
        <w:t xml:space="preserve">A </w:t>
      </w:r>
      <w:r w:rsidR="00F665F7" w:rsidRPr="00F7245E">
        <w:rPr>
          <w:rFonts w:cs="Times New Roman"/>
          <w:lang w:val="en-US"/>
        </w:rPr>
        <w:t xml:space="preserve">Voziberin </w:t>
      </w:r>
      <w:r w:rsidRPr="00F7245E">
        <w:rPr>
          <w:rFonts w:cs="Times New Roman"/>
        </w:rPr>
        <w:t>laktózt tartalmaz. Ritkán előforduló, örökletes galaktózintoleranciában, teljes laktáz</w:t>
      </w:r>
      <w:r w:rsidR="002E5D40" w:rsidRPr="00F7245E">
        <w:rPr>
          <w:rFonts w:cs="Times New Roman"/>
        </w:rPr>
        <w:noBreakHyphen/>
      </w:r>
      <w:r w:rsidRPr="00F7245E">
        <w:rPr>
          <w:rFonts w:cs="Times New Roman"/>
        </w:rPr>
        <w:t>hiányban vagy a glükóz-galaktóz malabszorpcióban a készítmény nem szedhető.</w:t>
      </w:r>
    </w:p>
    <w:p w14:paraId="19A41193" w14:textId="66C67054" w:rsidR="00B62AE4" w:rsidRPr="00F7245E" w:rsidRDefault="00B62AE4" w:rsidP="00A21724">
      <w:pPr>
        <w:pStyle w:val="Nincstrkz"/>
        <w:rPr>
          <w:rFonts w:cs="Times New Roman"/>
        </w:rPr>
      </w:pPr>
    </w:p>
    <w:p w14:paraId="7D2B2C94" w14:textId="6AD58586" w:rsidR="00C25667" w:rsidRPr="00F7245E" w:rsidRDefault="00C25667" w:rsidP="00A21724">
      <w:pPr>
        <w:pStyle w:val="Nincstrkz"/>
        <w:rPr>
          <w:rFonts w:cs="Times New Roman"/>
        </w:rPr>
      </w:pPr>
      <w:r w:rsidRPr="00F7245E">
        <w:rPr>
          <w:rFonts w:cs="Times New Roman"/>
        </w:rPr>
        <w:t xml:space="preserve">A </w:t>
      </w:r>
      <w:r w:rsidR="00265C86" w:rsidRPr="00F7245E">
        <w:rPr>
          <w:rFonts w:cs="Times New Roman"/>
          <w:lang w:val="en-US"/>
        </w:rPr>
        <w:t>készítmény</w:t>
      </w:r>
      <w:r w:rsidRPr="00F7245E">
        <w:rPr>
          <w:rFonts w:cs="Times New Roman"/>
        </w:rPr>
        <w:t xml:space="preserve"> kevesebb mint 1 mmol </w:t>
      </w:r>
      <w:r w:rsidR="00B84E11" w:rsidRPr="00F7245E">
        <w:rPr>
          <w:rFonts w:cs="Times New Roman"/>
        </w:rPr>
        <w:t xml:space="preserve">(23 mg) </w:t>
      </w:r>
      <w:r w:rsidRPr="00F7245E">
        <w:rPr>
          <w:rFonts w:cs="Times New Roman"/>
        </w:rPr>
        <w:t>nátriumot tartalmaz, tehát gyakorlatilag „nátriummentes”.</w:t>
      </w:r>
    </w:p>
    <w:p w14:paraId="65D02513" w14:textId="77777777" w:rsidR="00C25667" w:rsidRPr="00F7245E" w:rsidRDefault="00C25667" w:rsidP="00A21724">
      <w:pPr>
        <w:pStyle w:val="Nincstrkz"/>
        <w:rPr>
          <w:rFonts w:cs="Times New Roman"/>
        </w:rPr>
      </w:pPr>
    </w:p>
    <w:p w14:paraId="4642EEFF" w14:textId="5606B104" w:rsidR="00B62AE4" w:rsidRPr="00F7245E" w:rsidRDefault="00AA465D" w:rsidP="00A21724">
      <w:pPr>
        <w:pStyle w:val="Nincstrkz"/>
        <w:tabs>
          <w:tab w:val="left" w:pos="567"/>
        </w:tabs>
        <w:rPr>
          <w:rFonts w:cs="Times New Roman"/>
          <w:b/>
          <w:bCs/>
        </w:rPr>
      </w:pPr>
      <w:r w:rsidRPr="00F7245E">
        <w:rPr>
          <w:rFonts w:cs="Times New Roman"/>
          <w:b/>
          <w:bCs/>
          <w:w w:val="105"/>
        </w:rPr>
        <w:t>4.5</w:t>
      </w:r>
      <w:r w:rsidRPr="00F7245E">
        <w:rPr>
          <w:rFonts w:cs="Times New Roman"/>
          <w:b/>
          <w:bCs/>
          <w:w w:val="105"/>
        </w:rPr>
        <w:tab/>
      </w:r>
      <w:r w:rsidR="00B62AE4" w:rsidRPr="00F7245E">
        <w:rPr>
          <w:rFonts w:cs="Times New Roman"/>
          <w:b/>
          <w:bCs/>
          <w:w w:val="105"/>
        </w:rPr>
        <w:t>Gyógyszerkölcsönhatások és egyéb</w:t>
      </w:r>
      <w:r w:rsidR="00B62AE4" w:rsidRPr="00F7245E">
        <w:rPr>
          <w:rFonts w:cs="Times New Roman"/>
          <w:b/>
          <w:bCs/>
          <w:spacing w:val="-4"/>
          <w:w w:val="105"/>
        </w:rPr>
        <w:t xml:space="preserve"> </w:t>
      </w:r>
      <w:r w:rsidR="00B62AE4" w:rsidRPr="00F7245E">
        <w:rPr>
          <w:rFonts w:cs="Times New Roman"/>
          <w:b/>
          <w:bCs/>
          <w:w w:val="105"/>
        </w:rPr>
        <w:t>interakciók</w:t>
      </w:r>
    </w:p>
    <w:p w14:paraId="10D78821" w14:textId="77777777" w:rsidR="00B62AE4" w:rsidRPr="00F7245E" w:rsidRDefault="00B62AE4" w:rsidP="00A21724">
      <w:pPr>
        <w:pStyle w:val="Nincstrkz"/>
        <w:rPr>
          <w:rFonts w:cs="Times New Roman"/>
        </w:rPr>
      </w:pPr>
    </w:p>
    <w:p w14:paraId="0693EEB1" w14:textId="77777777" w:rsidR="00CB2D30" w:rsidRDefault="00B62AE4" w:rsidP="00A21724">
      <w:pPr>
        <w:pStyle w:val="Nincstrkz"/>
        <w:rPr>
          <w:u w:val="single"/>
        </w:rPr>
      </w:pPr>
      <w:r w:rsidRPr="00F7245E">
        <w:rPr>
          <w:u w:val="single"/>
        </w:rPr>
        <w:t>CYP3A4</w:t>
      </w:r>
      <w:r w:rsidR="00AE6A47" w:rsidRPr="00F7245E">
        <w:rPr>
          <w:u w:val="single"/>
        </w:rPr>
        <w:noBreakHyphen/>
      </w:r>
      <w:r w:rsidRPr="00F7245E">
        <w:rPr>
          <w:u w:val="single"/>
        </w:rPr>
        <w:t xml:space="preserve"> és P</w:t>
      </w:r>
      <w:r w:rsidR="00AE6A47" w:rsidRPr="00F7245E">
        <w:rPr>
          <w:u w:val="single"/>
        </w:rPr>
        <w:noBreakHyphen/>
      </w:r>
      <w:r w:rsidRPr="00F7245E">
        <w:rPr>
          <w:u w:val="single"/>
        </w:rPr>
        <w:t>gp</w:t>
      </w:r>
      <w:r w:rsidR="00AE6A47" w:rsidRPr="00F7245E">
        <w:rPr>
          <w:u w:val="single"/>
        </w:rPr>
        <w:noBreakHyphen/>
      </w:r>
      <w:r w:rsidRPr="00F7245E">
        <w:rPr>
          <w:u w:val="single"/>
        </w:rPr>
        <w:t>inhibitorok</w:t>
      </w:r>
      <w:r w:rsidR="00CB2D30">
        <w:rPr>
          <w:u w:val="single"/>
        </w:rPr>
        <w:t xml:space="preserve"> </w:t>
      </w:r>
    </w:p>
    <w:p w14:paraId="628F1071" w14:textId="5FD3127A" w:rsidR="00B62AE4" w:rsidRPr="00F7245E" w:rsidRDefault="00CB2D30" w:rsidP="00A21724">
      <w:pPr>
        <w:pStyle w:val="Nincstrkz"/>
        <w:rPr>
          <w:rFonts w:cs="Times New Roman"/>
        </w:rPr>
      </w:pPr>
      <w:r>
        <w:rPr>
          <w:rFonts w:cs="Times New Roman"/>
        </w:rPr>
        <w:t>Az a</w:t>
      </w:r>
      <w:r w:rsidR="00CA2919" w:rsidRPr="00F7245E">
        <w:rPr>
          <w:rFonts w:cs="Times New Roman"/>
        </w:rPr>
        <w:t xml:space="preserve">pixabán </w:t>
      </w:r>
      <w:r w:rsidR="00AE6A47" w:rsidRPr="00F7245E">
        <w:rPr>
          <w:rFonts w:cs="Times New Roman"/>
        </w:rPr>
        <w:t xml:space="preserve">és </w:t>
      </w:r>
      <w:r w:rsidR="003B67D5" w:rsidRPr="00F7245E">
        <w:rPr>
          <w:rFonts w:cs="Times New Roman"/>
        </w:rPr>
        <w:t>nap</w:t>
      </w:r>
      <w:r w:rsidR="00B62AE4" w:rsidRPr="00F7245E">
        <w:rPr>
          <w:rFonts w:cs="Times New Roman"/>
        </w:rPr>
        <w:t>onta egyszer 400</w:t>
      </w:r>
      <w:r w:rsidR="004C106B" w:rsidRPr="00F7245E">
        <w:rPr>
          <w:rFonts w:cs="Times New Roman"/>
        </w:rPr>
        <w:t> mg</w:t>
      </w:r>
      <w:r w:rsidR="00B62AE4" w:rsidRPr="00F7245E">
        <w:rPr>
          <w:rFonts w:cs="Times New Roman"/>
        </w:rPr>
        <w:t xml:space="preserve"> ketokonazol, ami a CYP3A4-nek és a</w:t>
      </w:r>
      <w:r w:rsidR="001F3291" w:rsidRPr="00F7245E">
        <w:rPr>
          <w:rFonts w:cs="Times New Roman"/>
        </w:rPr>
        <w:t xml:space="preserve"> </w:t>
      </w:r>
      <w:r w:rsidR="00B62AE4" w:rsidRPr="00F7245E">
        <w:rPr>
          <w:rFonts w:cs="Times New Roman"/>
        </w:rPr>
        <w:t>P</w:t>
      </w:r>
      <w:r w:rsidR="001F3291" w:rsidRPr="00F7245E">
        <w:rPr>
          <w:rFonts w:cs="Times New Roman"/>
        </w:rPr>
        <w:noBreakHyphen/>
      </w:r>
      <w:r w:rsidR="00B62AE4" w:rsidRPr="00F7245E">
        <w:rPr>
          <w:rFonts w:cs="Times New Roman"/>
        </w:rPr>
        <w:t>gp</w:t>
      </w:r>
      <w:r w:rsidR="001F3291" w:rsidRPr="00F7245E">
        <w:rPr>
          <w:rFonts w:cs="Times New Roman"/>
        </w:rPr>
        <w:noBreakHyphen/>
      </w:r>
      <w:r w:rsidR="00B62AE4" w:rsidRPr="00F7245E">
        <w:rPr>
          <w:rFonts w:cs="Times New Roman"/>
        </w:rPr>
        <w:t>nek egyaránt erős inhibitora</w:t>
      </w:r>
      <w:r w:rsidR="00AE6A47" w:rsidRPr="00F7245E">
        <w:rPr>
          <w:rFonts w:cs="Times New Roman"/>
        </w:rPr>
        <w:t xml:space="preserve"> együttes adása</w:t>
      </w:r>
      <w:r w:rsidR="00B62AE4" w:rsidRPr="00F7245E">
        <w:rPr>
          <w:rFonts w:cs="Times New Roman"/>
        </w:rPr>
        <w:t xml:space="preserve">, az </w:t>
      </w:r>
      <w:r w:rsidR="00CA2919" w:rsidRPr="00F7245E">
        <w:rPr>
          <w:rFonts w:cs="Times New Roman"/>
        </w:rPr>
        <w:t xml:space="preserve">apixabán </w:t>
      </w:r>
      <w:r w:rsidR="00B62AE4" w:rsidRPr="00F7245E">
        <w:rPr>
          <w:rFonts w:cs="Times New Roman"/>
        </w:rPr>
        <w:t>átlagos AUC</w:t>
      </w:r>
      <w:r w:rsidR="00AE6A47" w:rsidRPr="00F7245E">
        <w:rPr>
          <w:rFonts w:cs="Times New Roman"/>
        </w:rPr>
        <w:noBreakHyphen/>
      </w:r>
      <w:r w:rsidR="00B62AE4" w:rsidRPr="00F7245E">
        <w:rPr>
          <w:rFonts w:cs="Times New Roman"/>
        </w:rPr>
        <w:t xml:space="preserve">értékének kétszeres és az </w:t>
      </w:r>
      <w:r w:rsidR="00CA2919" w:rsidRPr="00F7245E">
        <w:rPr>
          <w:rFonts w:cs="Times New Roman"/>
        </w:rPr>
        <w:t xml:space="preserve">apixabán </w:t>
      </w:r>
      <w:r w:rsidR="00B62AE4" w:rsidRPr="00F7245E">
        <w:rPr>
          <w:rFonts w:cs="Times New Roman"/>
        </w:rPr>
        <w:t>átlagos C</w:t>
      </w:r>
      <w:r w:rsidR="00AA465D" w:rsidRPr="00F7245E">
        <w:rPr>
          <w:rFonts w:cs="Times New Roman"/>
          <w:vertAlign w:val="subscript"/>
        </w:rPr>
        <w:t>max</w:t>
      </w:r>
      <w:r w:rsidR="00B62AE4" w:rsidRPr="00F7245E">
        <w:rPr>
          <w:rFonts w:cs="Times New Roman"/>
        </w:rPr>
        <w:t>-értékének 1,6</w:t>
      </w:r>
      <w:r w:rsidR="00AE6A47" w:rsidRPr="00F7245E">
        <w:rPr>
          <w:rFonts w:cs="Times New Roman"/>
        </w:rPr>
        <w:noBreakHyphen/>
      </w:r>
      <w:r w:rsidR="00B62AE4" w:rsidRPr="00F7245E">
        <w:rPr>
          <w:rFonts w:cs="Times New Roman"/>
        </w:rPr>
        <w:t>szeres növekedéséhez vezetett.</w:t>
      </w:r>
    </w:p>
    <w:p w14:paraId="2576B06B" w14:textId="77777777" w:rsidR="00B62AE4" w:rsidRPr="00F7245E" w:rsidRDefault="00B62AE4" w:rsidP="00A21724">
      <w:pPr>
        <w:pStyle w:val="Nincstrkz"/>
        <w:rPr>
          <w:rFonts w:cs="Times New Roman"/>
        </w:rPr>
      </w:pPr>
    </w:p>
    <w:p w14:paraId="555ACBE4" w14:textId="40D3F0F0" w:rsidR="00B62AE4" w:rsidRPr="00F7245E" w:rsidRDefault="00B62AE4" w:rsidP="00A21724">
      <w:pPr>
        <w:pStyle w:val="Nincstrkz"/>
        <w:rPr>
          <w:rFonts w:cs="Times New Roman"/>
        </w:rPr>
      </w:pPr>
      <w:r w:rsidRPr="00F7245E">
        <w:rPr>
          <w:rFonts w:cs="Times New Roman"/>
        </w:rPr>
        <w:t xml:space="preserve">Az </w:t>
      </w:r>
      <w:r w:rsidR="00B84E11" w:rsidRPr="00F7245E">
        <w:rPr>
          <w:rFonts w:cs="Times New Roman"/>
        </w:rPr>
        <w:t>a</w:t>
      </w:r>
      <w:r w:rsidR="00FA2868" w:rsidRPr="00F7245E">
        <w:rPr>
          <w:rFonts w:cs="Times New Roman"/>
        </w:rPr>
        <w:t>pixab</w:t>
      </w:r>
      <w:r w:rsidR="00684207" w:rsidRPr="00F7245E">
        <w:rPr>
          <w:rFonts w:cs="Times New Roman"/>
        </w:rPr>
        <w:t>á</w:t>
      </w:r>
      <w:r w:rsidR="00FA2868" w:rsidRPr="00F7245E">
        <w:rPr>
          <w:rFonts w:cs="Times New Roman"/>
        </w:rPr>
        <w:t>n</w:t>
      </w:r>
      <w:r w:rsidRPr="00F7245E">
        <w:rPr>
          <w:rFonts w:cs="Times New Roman"/>
        </w:rPr>
        <w:t xml:space="preserve"> alkalmazása nem javasolt olyan</w:t>
      </w:r>
      <w:r w:rsidR="00AE6A47" w:rsidRPr="00F7245E">
        <w:rPr>
          <w:rFonts w:cs="Times New Roman"/>
        </w:rPr>
        <w:t xml:space="preserve"> betegeknél</w:t>
      </w:r>
      <w:r w:rsidRPr="00F7245E">
        <w:rPr>
          <w:rFonts w:cs="Times New Roman"/>
        </w:rPr>
        <w:t>, akik a CYP3A4</w:t>
      </w:r>
      <w:r w:rsidR="00AE6A47" w:rsidRPr="00F7245E">
        <w:rPr>
          <w:rFonts w:cs="Times New Roman"/>
        </w:rPr>
        <w:noBreakHyphen/>
      </w:r>
      <w:r w:rsidRPr="00F7245E">
        <w:rPr>
          <w:rFonts w:cs="Times New Roman"/>
        </w:rPr>
        <w:t>et és a P</w:t>
      </w:r>
      <w:r w:rsidR="00AE6A47" w:rsidRPr="00F7245E">
        <w:rPr>
          <w:rFonts w:cs="Times New Roman"/>
        </w:rPr>
        <w:noBreakHyphen/>
      </w:r>
      <w:r w:rsidRPr="00F7245E">
        <w:rPr>
          <w:rFonts w:cs="Times New Roman"/>
        </w:rPr>
        <w:t>gp</w:t>
      </w:r>
      <w:r w:rsidR="00AE6A47" w:rsidRPr="00F7245E">
        <w:rPr>
          <w:rFonts w:cs="Times New Roman"/>
        </w:rPr>
        <w:noBreakHyphen/>
      </w:r>
      <w:r w:rsidRPr="00F7245E">
        <w:rPr>
          <w:rFonts w:cs="Times New Roman"/>
        </w:rPr>
        <w:t>t egyaránt erősen gátló szerekkel</w:t>
      </w:r>
      <w:r w:rsidR="000A4396" w:rsidRPr="00F7245E">
        <w:rPr>
          <w:rFonts w:cs="Times New Roman"/>
        </w:rPr>
        <w:t>,</w:t>
      </w:r>
      <w:r w:rsidRPr="00F7245E">
        <w:rPr>
          <w:rFonts w:cs="Times New Roman"/>
        </w:rPr>
        <w:t xml:space="preserve"> </w:t>
      </w:r>
      <w:r w:rsidR="00AE6A47" w:rsidRPr="00F7245E">
        <w:rPr>
          <w:rFonts w:cs="Times New Roman"/>
        </w:rPr>
        <w:t>mint péld</w:t>
      </w:r>
      <w:r w:rsidR="000A4396" w:rsidRPr="00F7245E">
        <w:rPr>
          <w:rFonts w:cs="Times New Roman"/>
        </w:rPr>
        <w:t>á</w:t>
      </w:r>
      <w:r w:rsidR="00AE6A47" w:rsidRPr="00F7245E">
        <w:rPr>
          <w:rFonts w:cs="Times New Roman"/>
        </w:rPr>
        <w:t>ul azol</w:t>
      </w:r>
      <w:r w:rsidR="00AE6A47" w:rsidRPr="00F7245E">
        <w:rPr>
          <w:rFonts w:cs="Times New Roman"/>
        </w:rPr>
        <w:noBreakHyphen/>
        <w:t>típusú antimikotikumok</w:t>
      </w:r>
      <w:r w:rsidR="000A4396" w:rsidRPr="00F7245E">
        <w:rPr>
          <w:rFonts w:cs="Times New Roman"/>
        </w:rPr>
        <w:t>kal</w:t>
      </w:r>
      <w:r w:rsidR="00AE6A47" w:rsidRPr="00F7245E">
        <w:rPr>
          <w:rFonts w:cs="Times New Roman"/>
        </w:rPr>
        <w:t xml:space="preserve"> (pl. ketokonazol, itrakonazol, vorikonazol, valamint a pozakonazol) és HIV proteáz</w:t>
      </w:r>
      <w:r w:rsidR="00AE6A47" w:rsidRPr="00F7245E">
        <w:rPr>
          <w:rFonts w:cs="Times New Roman"/>
        </w:rPr>
        <w:noBreakHyphen/>
        <w:t>gátlók</w:t>
      </w:r>
      <w:r w:rsidR="000A4396" w:rsidRPr="00F7245E">
        <w:rPr>
          <w:rFonts w:cs="Times New Roman"/>
        </w:rPr>
        <w:t>kal</w:t>
      </w:r>
      <w:r w:rsidR="00AE6A47" w:rsidRPr="00F7245E">
        <w:rPr>
          <w:rFonts w:cs="Times New Roman"/>
        </w:rPr>
        <w:t xml:space="preserve"> (pl. ritonavir)</w:t>
      </w:r>
      <w:r w:rsidR="000A4396" w:rsidRPr="00F7245E">
        <w:rPr>
          <w:rFonts w:cs="Times New Roman"/>
        </w:rPr>
        <w:t xml:space="preserve"> </w:t>
      </w:r>
      <w:r w:rsidRPr="00F7245E">
        <w:rPr>
          <w:rFonts w:cs="Times New Roman"/>
        </w:rPr>
        <w:t xml:space="preserve">végzett </w:t>
      </w:r>
      <w:r w:rsidR="008326BE" w:rsidRPr="00F7245E">
        <w:rPr>
          <w:rFonts w:cs="Times New Roman"/>
        </w:rPr>
        <w:t xml:space="preserve">egyidejű </w:t>
      </w:r>
      <w:r w:rsidRPr="00F7245E">
        <w:rPr>
          <w:rFonts w:cs="Times New Roman"/>
        </w:rPr>
        <w:t>szisztémás kezelést kapnak (lásd 4.4</w:t>
      </w:r>
      <w:r w:rsidR="004C106B" w:rsidRPr="00F7245E">
        <w:rPr>
          <w:rFonts w:cs="Times New Roman"/>
        </w:rPr>
        <w:t> pont</w:t>
      </w:r>
      <w:r w:rsidRPr="00F7245E">
        <w:rPr>
          <w:rFonts w:cs="Times New Roman"/>
        </w:rPr>
        <w:t>).</w:t>
      </w:r>
    </w:p>
    <w:p w14:paraId="174CCD8F" w14:textId="6CDA2056" w:rsidR="00B62AE4" w:rsidRPr="00F7245E" w:rsidRDefault="00B62AE4" w:rsidP="00A21724">
      <w:pPr>
        <w:pStyle w:val="Nincstrkz"/>
        <w:rPr>
          <w:rFonts w:cs="Times New Roman"/>
        </w:rPr>
      </w:pPr>
    </w:p>
    <w:p w14:paraId="07177224" w14:textId="1D35758B" w:rsidR="00D42AFE" w:rsidRPr="00F7245E" w:rsidRDefault="00D42AFE" w:rsidP="00A21724">
      <w:pPr>
        <w:pStyle w:val="Nincstrkz"/>
        <w:rPr>
          <w:rFonts w:cs="Times New Roman"/>
        </w:rPr>
      </w:pPr>
      <w:r w:rsidRPr="00F7245E">
        <w:rPr>
          <w:rFonts w:cs="Times New Roman"/>
        </w:rPr>
        <w:t>Azok a hatóanyagok, amelyeket nem tekintenek a CYP3A4 és a P</w:t>
      </w:r>
      <w:r w:rsidR="00C43B7E" w:rsidRPr="00F7245E">
        <w:rPr>
          <w:rFonts w:cs="Times New Roman"/>
        </w:rPr>
        <w:noBreakHyphen/>
      </w:r>
      <w:r w:rsidRPr="00F7245E">
        <w:rPr>
          <w:rFonts w:cs="Times New Roman"/>
        </w:rPr>
        <w:t xml:space="preserve">gp egyaránt erős inhibitorainak (pl. amiodaron, klaritromicin, diltiazem, flukonazol, naproxén, kinidin, verapamil), várhatóan kisebb mértékben emelik az </w:t>
      </w:r>
      <w:r w:rsidR="00CA2919" w:rsidRPr="00F7245E">
        <w:rPr>
          <w:rFonts w:cs="Times New Roman"/>
        </w:rPr>
        <w:t xml:space="preserve">apixabán </w:t>
      </w:r>
      <w:r w:rsidRPr="00F7245E">
        <w:rPr>
          <w:rFonts w:cs="Times New Roman"/>
        </w:rPr>
        <w:t xml:space="preserve">plazmakoncentrációját. Nincs szükség az </w:t>
      </w:r>
      <w:r w:rsidR="00CA2919" w:rsidRPr="00F7245E">
        <w:rPr>
          <w:rFonts w:cs="Times New Roman"/>
        </w:rPr>
        <w:t xml:space="preserve">apixabán </w:t>
      </w:r>
      <w:r w:rsidRPr="00F7245E">
        <w:rPr>
          <w:rFonts w:cs="Times New Roman"/>
        </w:rPr>
        <w:t>dózismódosítására a CYP3A4 és a P</w:t>
      </w:r>
      <w:r w:rsidR="00C43B7E" w:rsidRPr="00F7245E">
        <w:rPr>
          <w:rFonts w:cs="Times New Roman"/>
        </w:rPr>
        <w:noBreakHyphen/>
      </w:r>
      <w:r w:rsidRPr="00F7245E">
        <w:rPr>
          <w:rFonts w:cs="Times New Roman"/>
        </w:rPr>
        <w:t>gp nem erős induktoraival végzett egyidejű kezelés esetén. Így például a diltiazem (naponta egyszer 360</w:t>
      </w:r>
      <w:r w:rsidR="00C43B7E" w:rsidRPr="00F7245E">
        <w:rPr>
          <w:rFonts w:cs="Times New Roman"/>
        </w:rPr>
        <w:t> </w:t>
      </w:r>
      <w:r w:rsidRPr="00F7245E">
        <w:rPr>
          <w:rFonts w:cs="Times New Roman"/>
        </w:rPr>
        <w:t>mg), mely a CYP3A4 közepesen erős és a P</w:t>
      </w:r>
      <w:r w:rsidR="00C43B7E" w:rsidRPr="00F7245E">
        <w:rPr>
          <w:rFonts w:cs="Times New Roman"/>
        </w:rPr>
        <w:noBreakHyphen/>
      </w:r>
      <w:r w:rsidRPr="00F7245E">
        <w:rPr>
          <w:rFonts w:cs="Times New Roman"/>
        </w:rPr>
        <w:t xml:space="preserve">gp gyenge inhibitora, az </w:t>
      </w:r>
      <w:r w:rsidR="00CA2919" w:rsidRPr="00F7245E">
        <w:rPr>
          <w:rFonts w:cs="Times New Roman"/>
        </w:rPr>
        <w:t xml:space="preserve">apixabán </w:t>
      </w:r>
      <w:r w:rsidRPr="00F7245E">
        <w:rPr>
          <w:rFonts w:cs="Times New Roman"/>
        </w:rPr>
        <w:t>átlagos AUC</w:t>
      </w:r>
      <w:r w:rsidR="00C43B7E" w:rsidRPr="00F7245E">
        <w:rPr>
          <w:rFonts w:cs="Times New Roman"/>
        </w:rPr>
        <w:noBreakHyphen/>
      </w:r>
      <w:r w:rsidRPr="00F7245E">
        <w:rPr>
          <w:rFonts w:cs="Times New Roman"/>
        </w:rPr>
        <w:t>értékének 1,4</w:t>
      </w:r>
      <w:r w:rsidR="00C43B7E" w:rsidRPr="00F7245E">
        <w:rPr>
          <w:rFonts w:cs="Times New Roman"/>
        </w:rPr>
        <w:noBreakHyphen/>
      </w:r>
      <w:r w:rsidRPr="00F7245E">
        <w:rPr>
          <w:rFonts w:cs="Times New Roman"/>
        </w:rPr>
        <w:t>szeres és a C</w:t>
      </w:r>
      <w:r w:rsidRPr="00F7245E">
        <w:rPr>
          <w:rFonts w:cs="Times New Roman"/>
          <w:vertAlign w:val="subscript"/>
        </w:rPr>
        <w:t>max</w:t>
      </w:r>
      <w:r w:rsidRPr="00F7245E">
        <w:rPr>
          <w:rFonts w:cs="Times New Roman"/>
        </w:rPr>
        <w:t>-értékének 1,3</w:t>
      </w:r>
      <w:r w:rsidR="00C43B7E" w:rsidRPr="00F7245E">
        <w:rPr>
          <w:rFonts w:cs="Times New Roman"/>
        </w:rPr>
        <w:noBreakHyphen/>
      </w:r>
      <w:r w:rsidRPr="00F7245E">
        <w:rPr>
          <w:rFonts w:cs="Times New Roman"/>
        </w:rPr>
        <w:t>szeres növekedését okozta. A naproxén, ami csak a P</w:t>
      </w:r>
      <w:r w:rsidR="00C43B7E" w:rsidRPr="00F7245E">
        <w:rPr>
          <w:rFonts w:cs="Times New Roman"/>
        </w:rPr>
        <w:noBreakHyphen/>
      </w:r>
      <w:r w:rsidRPr="00F7245E">
        <w:rPr>
          <w:rFonts w:cs="Times New Roman"/>
        </w:rPr>
        <w:t>gp</w:t>
      </w:r>
      <w:r w:rsidR="006D1B28" w:rsidRPr="00F7245E">
        <w:rPr>
          <w:rFonts w:cs="Times New Roman"/>
        </w:rPr>
        <w:t>-</w:t>
      </w:r>
      <w:r w:rsidRPr="00F7245E">
        <w:rPr>
          <w:rFonts w:cs="Times New Roman"/>
        </w:rPr>
        <w:t xml:space="preserve">inhibitor, de </w:t>
      </w:r>
      <w:r w:rsidR="00C43B7E" w:rsidRPr="00F7245E">
        <w:rPr>
          <w:rFonts w:cs="Times New Roman"/>
        </w:rPr>
        <w:t xml:space="preserve">nem </w:t>
      </w:r>
      <w:r w:rsidRPr="00F7245E">
        <w:rPr>
          <w:rFonts w:cs="Times New Roman"/>
        </w:rPr>
        <w:t>CYP3A4</w:t>
      </w:r>
      <w:r w:rsidR="00C43B7E" w:rsidRPr="00F7245E">
        <w:rPr>
          <w:rFonts w:cs="Times New Roman"/>
        </w:rPr>
        <w:noBreakHyphen/>
        <w:t>gátló</w:t>
      </w:r>
      <w:r w:rsidRPr="00F7245E">
        <w:rPr>
          <w:rFonts w:cs="Times New Roman"/>
        </w:rPr>
        <w:t>, egyszeri 500 mg</w:t>
      </w:r>
      <w:r w:rsidR="00C43B7E" w:rsidRPr="00F7245E">
        <w:rPr>
          <w:rFonts w:cs="Times New Roman"/>
        </w:rPr>
        <w:noBreakHyphen/>
      </w:r>
      <w:r w:rsidRPr="00F7245E">
        <w:rPr>
          <w:rFonts w:cs="Times New Roman"/>
        </w:rPr>
        <w:t xml:space="preserve">os dózisban az </w:t>
      </w:r>
      <w:r w:rsidR="00CA2919" w:rsidRPr="00F7245E">
        <w:rPr>
          <w:rFonts w:cs="Times New Roman"/>
        </w:rPr>
        <w:t xml:space="preserve">apixabán </w:t>
      </w:r>
      <w:r w:rsidRPr="00F7245E">
        <w:rPr>
          <w:rFonts w:cs="Times New Roman"/>
        </w:rPr>
        <w:t>átlagos AUC</w:t>
      </w:r>
      <w:r w:rsidR="00C43B7E" w:rsidRPr="00F7245E">
        <w:rPr>
          <w:rFonts w:cs="Times New Roman"/>
        </w:rPr>
        <w:noBreakHyphen/>
      </w:r>
      <w:r w:rsidRPr="00F7245E">
        <w:rPr>
          <w:rFonts w:cs="Times New Roman"/>
        </w:rPr>
        <w:t>értékének 1,5</w:t>
      </w:r>
      <w:r w:rsidR="00C43B7E" w:rsidRPr="00F7245E">
        <w:rPr>
          <w:rFonts w:cs="Times New Roman"/>
        </w:rPr>
        <w:noBreakHyphen/>
      </w:r>
      <w:r w:rsidRPr="00F7245E">
        <w:rPr>
          <w:rFonts w:cs="Times New Roman"/>
        </w:rPr>
        <w:t>szeres, a C</w:t>
      </w:r>
      <w:r w:rsidRPr="00F7245E">
        <w:rPr>
          <w:rFonts w:cs="Times New Roman"/>
          <w:vertAlign w:val="subscript"/>
        </w:rPr>
        <w:t>max</w:t>
      </w:r>
      <w:r w:rsidRPr="00F7245E">
        <w:rPr>
          <w:rFonts w:cs="Times New Roman"/>
        </w:rPr>
        <w:t>-értékének 1,6</w:t>
      </w:r>
      <w:r w:rsidR="00C43B7E" w:rsidRPr="00F7245E">
        <w:rPr>
          <w:rFonts w:cs="Times New Roman"/>
        </w:rPr>
        <w:noBreakHyphen/>
      </w:r>
      <w:r w:rsidRPr="00F7245E">
        <w:rPr>
          <w:rFonts w:cs="Times New Roman"/>
        </w:rPr>
        <w:t>szeres növekedését idézte elő. A klaritromicin (naponta kétszer 500</w:t>
      </w:r>
      <w:r w:rsidR="00C43B7E" w:rsidRPr="00F7245E">
        <w:rPr>
          <w:rFonts w:cs="Times New Roman"/>
        </w:rPr>
        <w:t> </w:t>
      </w:r>
      <w:r w:rsidRPr="00F7245E">
        <w:rPr>
          <w:rFonts w:cs="Times New Roman"/>
        </w:rPr>
        <w:t>mg), ami a P</w:t>
      </w:r>
      <w:r w:rsidR="00C43B7E" w:rsidRPr="00F7245E">
        <w:rPr>
          <w:rFonts w:cs="Times New Roman"/>
        </w:rPr>
        <w:noBreakHyphen/>
      </w:r>
      <w:r w:rsidRPr="00F7245E">
        <w:rPr>
          <w:rFonts w:cs="Times New Roman"/>
        </w:rPr>
        <w:t xml:space="preserve">gp inhibitora és a CYP3A4 erős inhibitora, az </w:t>
      </w:r>
      <w:r w:rsidR="00CA2919" w:rsidRPr="00F7245E">
        <w:rPr>
          <w:rFonts w:cs="Times New Roman"/>
        </w:rPr>
        <w:t xml:space="preserve">apixabán </w:t>
      </w:r>
      <w:r w:rsidRPr="00F7245E">
        <w:rPr>
          <w:rFonts w:cs="Times New Roman"/>
        </w:rPr>
        <w:t>átlagos AUC</w:t>
      </w:r>
      <w:r w:rsidR="00C43B7E" w:rsidRPr="00F7245E">
        <w:rPr>
          <w:rFonts w:cs="Times New Roman"/>
        </w:rPr>
        <w:noBreakHyphen/>
      </w:r>
      <w:r w:rsidRPr="00F7245E">
        <w:rPr>
          <w:rFonts w:cs="Times New Roman"/>
        </w:rPr>
        <w:t>értékének 1,6</w:t>
      </w:r>
      <w:r w:rsidR="00C43B7E" w:rsidRPr="00F7245E">
        <w:rPr>
          <w:rFonts w:cs="Times New Roman"/>
        </w:rPr>
        <w:noBreakHyphen/>
      </w:r>
      <w:r w:rsidRPr="00F7245E">
        <w:rPr>
          <w:rFonts w:cs="Times New Roman"/>
        </w:rPr>
        <w:t>szeres, a C</w:t>
      </w:r>
      <w:r w:rsidRPr="00F7245E">
        <w:rPr>
          <w:rFonts w:cs="Times New Roman"/>
          <w:vertAlign w:val="subscript"/>
        </w:rPr>
        <w:t>max</w:t>
      </w:r>
      <w:r w:rsidRPr="00F7245E">
        <w:rPr>
          <w:rFonts w:cs="Times New Roman"/>
        </w:rPr>
        <w:t>-értékének 1,3</w:t>
      </w:r>
      <w:r w:rsidR="00C43B7E" w:rsidRPr="00F7245E">
        <w:rPr>
          <w:rFonts w:cs="Times New Roman"/>
        </w:rPr>
        <w:noBreakHyphen/>
      </w:r>
      <w:r w:rsidRPr="00F7245E">
        <w:rPr>
          <w:rFonts w:cs="Times New Roman"/>
        </w:rPr>
        <w:t xml:space="preserve">szeres növekedését </w:t>
      </w:r>
      <w:r w:rsidR="00C43B7E" w:rsidRPr="00F7245E">
        <w:rPr>
          <w:rFonts w:cs="Times New Roman"/>
        </w:rPr>
        <w:t>okozta</w:t>
      </w:r>
      <w:r w:rsidRPr="00F7245E">
        <w:rPr>
          <w:rFonts w:cs="Times New Roman"/>
        </w:rPr>
        <w:t>.</w:t>
      </w:r>
    </w:p>
    <w:p w14:paraId="4CB11B32" w14:textId="416D2AC0" w:rsidR="00C43B7E" w:rsidRPr="00F7245E" w:rsidRDefault="00C43B7E" w:rsidP="00A21724">
      <w:pPr>
        <w:pStyle w:val="Nincstrkz"/>
        <w:rPr>
          <w:rFonts w:cs="Times New Roman"/>
        </w:rPr>
      </w:pPr>
    </w:p>
    <w:p w14:paraId="40D500C8" w14:textId="1065030C" w:rsidR="00B62AE4" w:rsidRPr="00F7245E" w:rsidRDefault="00B62AE4" w:rsidP="00A21724">
      <w:pPr>
        <w:pStyle w:val="Nincstrkz"/>
        <w:rPr>
          <w:rFonts w:cs="Times New Roman"/>
          <w:u w:val="single"/>
        </w:rPr>
      </w:pPr>
      <w:r w:rsidRPr="00F7245E">
        <w:rPr>
          <w:rFonts w:cs="Times New Roman"/>
          <w:u w:val="single"/>
        </w:rPr>
        <w:t>CYP3A4 és Pg</w:t>
      </w:r>
      <w:r w:rsidR="006D1B28" w:rsidRPr="00F7245E">
        <w:rPr>
          <w:rFonts w:cs="Times New Roman"/>
          <w:u w:val="single"/>
        </w:rPr>
        <w:t>-</w:t>
      </w:r>
      <w:r w:rsidRPr="00F7245E">
        <w:rPr>
          <w:rFonts w:cs="Times New Roman"/>
          <w:u w:val="single"/>
        </w:rPr>
        <w:t>induktorok</w:t>
      </w:r>
    </w:p>
    <w:p w14:paraId="04AF1951" w14:textId="77777777" w:rsidR="00265C86" w:rsidRPr="00F7245E" w:rsidRDefault="00265C86" w:rsidP="00A21724">
      <w:pPr>
        <w:pStyle w:val="Nincstrkz"/>
        <w:rPr>
          <w:rFonts w:cs="Times New Roman"/>
          <w:u w:val="single"/>
        </w:rPr>
      </w:pPr>
    </w:p>
    <w:p w14:paraId="24520F6B" w14:textId="1DCEFF02" w:rsidR="00684F45" w:rsidRPr="00F7245E" w:rsidRDefault="00B62AE4" w:rsidP="00A21724">
      <w:pPr>
        <w:pStyle w:val="Nincstrkz"/>
        <w:rPr>
          <w:rFonts w:cs="Times New Roman"/>
        </w:rPr>
      </w:pPr>
      <w:r w:rsidRPr="00F7245E">
        <w:rPr>
          <w:rFonts w:cs="Times New Roman"/>
        </w:rPr>
        <w:t xml:space="preserve">Az </w:t>
      </w:r>
      <w:r w:rsidR="00CA2919" w:rsidRPr="00F7245E">
        <w:rPr>
          <w:rFonts w:cs="Times New Roman"/>
        </w:rPr>
        <w:t xml:space="preserve">apixabán </w:t>
      </w:r>
      <w:r w:rsidRPr="00F7245E">
        <w:rPr>
          <w:rFonts w:cs="Times New Roman"/>
        </w:rPr>
        <w:t xml:space="preserve">egyidejű alkalmazása </w:t>
      </w:r>
      <w:r w:rsidR="00684F45" w:rsidRPr="00F7245E">
        <w:rPr>
          <w:rFonts w:cs="Times New Roman"/>
        </w:rPr>
        <w:t>a mind CYP3A4, mind P</w:t>
      </w:r>
      <w:r w:rsidR="00684F45" w:rsidRPr="00F7245E">
        <w:rPr>
          <w:rFonts w:cs="Times New Roman"/>
        </w:rPr>
        <w:noBreakHyphen/>
        <w:t xml:space="preserve">gp erős induktorának számító </w:t>
      </w:r>
      <w:r w:rsidRPr="00F7245E">
        <w:rPr>
          <w:rFonts w:cs="Times New Roman"/>
        </w:rPr>
        <w:t>rifampicinnel</w:t>
      </w:r>
      <w:r w:rsidR="00684F45" w:rsidRPr="00F7245E">
        <w:rPr>
          <w:rFonts w:cs="Times New Roman"/>
        </w:rPr>
        <w:t xml:space="preserve"> az </w:t>
      </w:r>
      <w:r w:rsidR="00CA2919" w:rsidRPr="00F7245E">
        <w:rPr>
          <w:rFonts w:cs="Times New Roman"/>
        </w:rPr>
        <w:t xml:space="preserve">apixabán </w:t>
      </w:r>
      <w:r w:rsidR="00684F45" w:rsidRPr="00F7245E">
        <w:rPr>
          <w:rFonts w:cs="Times New Roman"/>
        </w:rPr>
        <w:t>átlagos AUC-értékének 54%</w:t>
      </w:r>
      <w:r w:rsidR="00684F45" w:rsidRPr="00F7245E">
        <w:rPr>
          <w:rFonts w:cs="Times New Roman"/>
        </w:rPr>
        <w:noBreakHyphen/>
        <w:t>os és a C</w:t>
      </w:r>
      <w:r w:rsidR="00684F45" w:rsidRPr="00F7245E">
        <w:rPr>
          <w:rFonts w:cs="Times New Roman"/>
          <w:vertAlign w:val="subscript"/>
        </w:rPr>
        <w:t>max</w:t>
      </w:r>
      <w:r w:rsidR="00684F45" w:rsidRPr="00F7245E">
        <w:rPr>
          <w:rFonts w:cs="Times New Roman"/>
        </w:rPr>
        <w:t>-értékének 42%</w:t>
      </w:r>
      <w:r w:rsidR="00684F45" w:rsidRPr="00F7245E">
        <w:rPr>
          <w:rFonts w:cs="Times New Roman"/>
        </w:rPr>
        <w:noBreakHyphen/>
        <w:t xml:space="preserve">os csökkenését okozta. Az </w:t>
      </w:r>
      <w:r w:rsidR="00CA2919" w:rsidRPr="00F7245E">
        <w:rPr>
          <w:rFonts w:cs="Times New Roman"/>
        </w:rPr>
        <w:t xml:space="preserve">apixabán </w:t>
      </w:r>
      <w:r w:rsidR="00684F45" w:rsidRPr="00F7245E">
        <w:rPr>
          <w:rFonts w:cs="Times New Roman"/>
        </w:rPr>
        <w:t>együttes alkalmazása más erős CYP3A4 és P</w:t>
      </w:r>
      <w:r w:rsidR="00684F45" w:rsidRPr="00F7245E">
        <w:rPr>
          <w:rFonts w:cs="Times New Roman"/>
        </w:rPr>
        <w:noBreakHyphen/>
        <w:t xml:space="preserve">gp induktorokkal (pl. fenitoin, karbamazepin, fenobarbitál vagy </w:t>
      </w:r>
      <w:r w:rsidR="006D7294" w:rsidRPr="00F7245E">
        <w:rPr>
          <w:rFonts w:cs="Times New Roman"/>
        </w:rPr>
        <w:t>közönséges</w:t>
      </w:r>
      <w:r w:rsidR="00684F45" w:rsidRPr="00F7245E">
        <w:rPr>
          <w:rFonts w:cs="Times New Roman"/>
        </w:rPr>
        <w:t xml:space="preserve"> orbáncfű [</w:t>
      </w:r>
      <w:r w:rsidR="00684F45" w:rsidRPr="00F7245E">
        <w:rPr>
          <w:rFonts w:cs="Times New Roman"/>
          <w:i/>
        </w:rPr>
        <w:t>Hypericum perforatum</w:t>
      </w:r>
      <w:r w:rsidR="00684F45" w:rsidRPr="00F7245E">
        <w:rPr>
          <w:rFonts w:cs="Times New Roman"/>
        </w:rPr>
        <w:t xml:space="preserve">]) ugyancsak az </w:t>
      </w:r>
      <w:r w:rsidR="00CA2919" w:rsidRPr="00F7245E">
        <w:rPr>
          <w:rFonts w:cs="Times New Roman"/>
        </w:rPr>
        <w:t xml:space="preserve">apixabán </w:t>
      </w:r>
      <w:r w:rsidR="00684F45" w:rsidRPr="00F7245E">
        <w:rPr>
          <w:rFonts w:cs="Times New Roman"/>
        </w:rPr>
        <w:t xml:space="preserve">plazmakoncentrációjának csökkenéséhez vezethet. Az ilyen gyógyszerekkel való együttes kezelés esetén az </w:t>
      </w:r>
      <w:r w:rsidR="00CA2919" w:rsidRPr="00F7245E">
        <w:rPr>
          <w:rFonts w:cs="Times New Roman"/>
        </w:rPr>
        <w:t xml:space="preserve">apixabán </w:t>
      </w:r>
      <w:r w:rsidR="00684F45" w:rsidRPr="00F7245E">
        <w:rPr>
          <w:rFonts w:cs="Times New Roman"/>
        </w:rPr>
        <w:t xml:space="preserve">dózismódosítása nem szükséges, ugyanakkor </w:t>
      </w:r>
      <w:r w:rsidR="005A6B5B" w:rsidRPr="00F7245E">
        <w:rPr>
          <w:rFonts w:cs="Times New Roman"/>
        </w:rPr>
        <w:t>azoknál a betegeknél, akik a CYP3A4 és a P</w:t>
      </w:r>
      <w:r w:rsidR="005A6B5B" w:rsidRPr="00F7245E">
        <w:rPr>
          <w:rFonts w:cs="Times New Roman"/>
        </w:rPr>
        <w:noBreakHyphen/>
        <w:t>gp egyaránt erős induktoraival végzett szisztémás kezelést kapnak egyidejűleg az apixab</w:t>
      </w:r>
      <w:r w:rsidR="002C0B56" w:rsidRPr="00F7245E">
        <w:rPr>
          <w:rFonts w:cs="Times New Roman"/>
        </w:rPr>
        <w:t>á</w:t>
      </w:r>
      <w:r w:rsidR="005A6B5B" w:rsidRPr="00F7245E">
        <w:rPr>
          <w:rFonts w:cs="Times New Roman"/>
        </w:rPr>
        <w:t>nt óvatosan kell alkalmazni elektív csípő</w:t>
      </w:r>
      <w:r w:rsidR="005A6B5B" w:rsidRPr="00F7245E">
        <w:rPr>
          <w:rFonts w:cs="Times New Roman"/>
        </w:rPr>
        <w:noBreakHyphen/>
        <w:t xml:space="preserve"> vagy térdprotézis műtét esetén</w:t>
      </w:r>
      <w:r w:rsidR="00684F45" w:rsidRPr="00F7245E">
        <w:rPr>
          <w:rFonts w:cs="Times New Roman"/>
        </w:rPr>
        <w:t xml:space="preserve"> a vénás thromboembolia megelőzésére, a stroke és a szisztémás embolizáció prevenciójára a nem </w:t>
      </w:r>
      <w:r w:rsidR="005A6B5B" w:rsidRPr="00F7245E">
        <w:rPr>
          <w:rFonts w:cs="Times New Roman"/>
        </w:rPr>
        <w:t>valvuláris</w:t>
      </w:r>
      <w:r w:rsidR="00684F45" w:rsidRPr="00F7245E">
        <w:rPr>
          <w:rFonts w:cs="Times New Roman"/>
        </w:rPr>
        <w:t xml:space="preserve"> pitvarfibrillációban szenvedő betegeknél, valamint az MVT és a PE kiújulásának megelőzésére.</w:t>
      </w:r>
    </w:p>
    <w:p w14:paraId="33D97EBC" w14:textId="77777777" w:rsidR="00684F45" w:rsidRPr="00F7245E" w:rsidRDefault="00684F45" w:rsidP="00A21724">
      <w:pPr>
        <w:pStyle w:val="Nincstrkz"/>
        <w:rPr>
          <w:rFonts w:cs="Times New Roman"/>
        </w:rPr>
      </w:pPr>
    </w:p>
    <w:p w14:paraId="2569E26E" w14:textId="12BA63F9" w:rsidR="00B62AE4" w:rsidRPr="00F7245E" w:rsidRDefault="00B62AE4" w:rsidP="00A21724">
      <w:pPr>
        <w:pStyle w:val="Nincstrkz"/>
        <w:rPr>
          <w:rFonts w:cs="Times New Roman"/>
        </w:rPr>
      </w:pPr>
      <w:r w:rsidRPr="00F7245E">
        <w:rPr>
          <w:rFonts w:cs="Times New Roman"/>
        </w:rPr>
        <w:t xml:space="preserve">Az </w:t>
      </w:r>
      <w:r w:rsidR="00CA2919" w:rsidRPr="00F7245E">
        <w:rPr>
          <w:rFonts w:cs="Times New Roman"/>
        </w:rPr>
        <w:t xml:space="preserve">apixabán </w:t>
      </w:r>
      <w:r w:rsidRPr="00F7245E">
        <w:rPr>
          <w:rFonts w:cs="Times New Roman"/>
        </w:rPr>
        <w:t>nem javasolt az MVT és a PE kezelésére azoknál a</w:t>
      </w:r>
      <w:r w:rsidR="005A6B5B" w:rsidRPr="00F7245E">
        <w:rPr>
          <w:rFonts w:cs="Times New Roman"/>
        </w:rPr>
        <w:t xml:space="preserve"> betegeknél</w:t>
      </w:r>
      <w:r w:rsidRPr="00F7245E">
        <w:rPr>
          <w:rFonts w:cs="Times New Roman"/>
        </w:rPr>
        <w:t>, akik a CYP3A4 és a P</w:t>
      </w:r>
      <w:r w:rsidR="005A6B5B" w:rsidRPr="00F7245E">
        <w:rPr>
          <w:rFonts w:cs="Times New Roman"/>
        </w:rPr>
        <w:noBreakHyphen/>
      </w:r>
      <w:r w:rsidRPr="00F7245E">
        <w:rPr>
          <w:rFonts w:cs="Times New Roman"/>
        </w:rPr>
        <w:t>gp egyaránt erős induktoraival végzett szisztémás kezelést kapnak egyidejűleg, mivel a hatásosság csökkenhet (lásd 4.4</w:t>
      </w:r>
      <w:r w:rsidR="004C106B" w:rsidRPr="00F7245E">
        <w:rPr>
          <w:rFonts w:cs="Times New Roman"/>
        </w:rPr>
        <w:t> pont</w:t>
      </w:r>
      <w:r w:rsidRPr="00F7245E">
        <w:rPr>
          <w:rFonts w:cs="Times New Roman"/>
        </w:rPr>
        <w:t>).</w:t>
      </w:r>
    </w:p>
    <w:p w14:paraId="6A2050ED" w14:textId="77777777" w:rsidR="00B62AE4" w:rsidRPr="00F7245E" w:rsidRDefault="00B62AE4" w:rsidP="00A21724">
      <w:pPr>
        <w:pStyle w:val="Nincstrkz"/>
        <w:rPr>
          <w:rFonts w:cs="Times New Roman"/>
        </w:rPr>
      </w:pPr>
    </w:p>
    <w:p w14:paraId="74CD926D" w14:textId="70265D5E" w:rsidR="00B62AE4" w:rsidRPr="00F7245E" w:rsidRDefault="00B62AE4" w:rsidP="00A21724">
      <w:pPr>
        <w:pStyle w:val="Nincstrkz"/>
        <w:rPr>
          <w:rFonts w:cs="Times New Roman"/>
          <w:u w:val="single"/>
        </w:rPr>
      </w:pPr>
      <w:r w:rsidRPr="00F7245E">
        <w:rPr>
          <w:rFonts w:cs="Times New Roman"/>
          <w:u w:val="single"/>
        </w:rPr>
        <w:t>Antikoagulánsok, thrombocytaaggregáció</w:t>
      </w:r>
      <w:r w:rsidR="006E6839" w:rsidRPr="00F7245E">
        <w:rPr>
          <w:rFonts w:cs="Times New Roman"/>
          <w:u w:val="single"/>
        </w:rPr>
        <w:t>-</w:t>
      </w:r>
      <w:r w:rsidRPr="00F7245E">
        <w:rPr>
          <w:rFonts w:cs="Times New Roman"/>
          <w:u w:val="single"/>
        </w:rPr>
        <w:t>gátlók, SSRI</w:t>
      </w:r>
      <w:r w:rsidR="00757152" w:rsidRPr="00F7245E">
        <w:rPr>
          <w:rFonts w:cs="Times New Roman"/>
          <w:u w:val="single"/>
        </w:rPr>
        <w:noBreakHyphen/>
      </w:r>
      <w:r w:rsidRPr="00F7245E">
        <w:rPr>
          <w:rFonts w:cs="Times New Roman"/>
          <w:u w:val="single"/>
        </w:rPr>
        <w:t>k/SNRI</w:t>
      </w:r>
      <w:r w:rsidR="00757152" w:rsidRPr="00F7245E">
        <w:rPr>
          <w:rFonts w:cs="Times New Roman"/>
          <w:u w:val="single"/>
        </w:rPr>
        <w:noBreakHyphen/>
      </w:r>
      <w:r w:rsidRPr="00F7245E">
        <w:rPr>
          <w:rFonts w:cs="Times New Roman"/>
          <w:u w:val="single"/>
        </w:rPr>
        <w:t>k és nem</w:t>
      </w:r>
      <w:r w:rsidR="00693603" w:rsidRPr="00F7245E">
        <w:rPr>
          <w:rFonts w:cs="Times New Roman"/>
          <w:u w:val="single"/>
        </w:rPr>
        <w:t>-</w:t>
      </w:r>
      <w:r w:rsidRPr="00F7245E">
        <w:rPr>
          <w:rFonts w:cs="Times New Roman"/>
          <w:u w:val="single"/>
        </w:rPr>
        <w:t>szteroid gyulladás</w:t>
      </w:r>
      <w:r w:rsidR="00757152" w:rsidRPr="00F7245E">
        <w:rPr>
          <w:rFonts w:cs="Times New Roman"/>
          <w:u w:val="single"/>
        </w:rPr>
        <w:t>gátlók</w:t>
      </w:r>
    </w:p>
    <w:p w14:paraId="415DB2DB" w14:textId="77777777" w:rsidR="00265C86" w:rsidRPr="00F7245E" w:rsidRDefault="00265C86" w:rsidP="00A21724">
      <w:pPr>
        <w:pStyle w:val="Nincstrkz"/>
        <w:rPr>
          <w:rFonts w:cs="Times New Roman"/>
          <w:u w:val="single"/>
        </w:rPr>
      </w:pPr>
    </w:p>
    <w:p w14:paraId="0D7742E2" w14:textId="41741F73" w:rsidR="00B62AE4" w:rsidRPr="00F7245E" w:rsidRDefault="00B62AE4" w:rsidP="00A21724">
      <w:pPr>
        <w:pStyle w:val="Nincstrkz"/>
        <w:rPr>
          <w:rFonts w:cs="Times New Roman"/>
        </w:rPr>
      </w:pPr>
      <w:r w:rsidRPr="00F7245E">
        <w:rPr>
          <w:rFonts w:cs="Times New Roman"/>
        </w:rPr>
        <w:t>A vérzés fokozott kockázata miatt bármilyen más antikoagulánssal végezett egyidejű kezelés ellenjavallt, kivéve azokat a specifikus körülményeket, amikor a</w:t>
      </w:r>
      <w:r w:rsidR="00757152" w:rsidRPr="00F7245E">
        <w:rPr>
          <w:rFonts w:cs="Times New Roman"/>
        </w:rPr>
        <w:t xml:space="preserve"> </w:t>
      </w:r>
      <w:r w:rsidR="00A1416D" w:rsidRPr="00F7245E">
        <w:rPr>
          <w:rFonts w:cs="Times New Roman"/>
        </w:rPr>
        <w:t>beteg</w:t>
      </w:r>
      <w:r w:rsidRPr="00F7245E">
        <w:rPr>
          <w:rFonts w:cs="Times New Roman"/>
        </w:rPr>
        <w:t>et az egyik antikoaguláns kezelésről állítják át egy másikra, amikor a nem frakcionált heparint a centrális vénás vagy artériás kanül átjárhatóságának fenntartásához szükséges dózisokban adják vagy amikor nem frakcionált heparint adnak pitvarfibrilláció miatti katéteres abláció alatt (lásd 4.3</w:t>
      </w:r>
      <w:r w:rsidR="00EA5134" w:rsidRPr="00F7245E">
        <w:rPr>
          <w:rFonts w:cs="Times New Roman"/>
        </w:rPr>
        <w:t> pont)</w:t>
      </w:r>
      <w:r w:rsidRPr="00F7245E">
        <w:rPr>
          <w:rFonts w:cs="Times New Roman"/>
        </w:rPr>
        <w:t>.</w:t>
      </w:r>
    </w:p>
    <w:p w14:paraId="334D7F24" w14:textId="77777777" w:rsidR="00B62AE4" w:rsidRPr="00F7245E" w:rsidRDefault="00B62AE4" w:rsidP="00A21724">
      <w:pPr>
        <w:pStyle w:val="Nincstrkz"/>
        <w:rPr>
          <w:rFonts w:cs="Times New Roman"/>
        </w:rPr>
      </w:pPr>
    </w:p>
    <w:p w14:paraId="3F1353E8" w14:textId="13DDC447" w:rsidR="00B62AE4" w:rsidRPr="00F7245E" w:rsidRDefault="00B62AE4" w:rsidP="00A21724">
      <w:pPr>
        <w:pStyle w:val="Nincstrkz"/>
        <w:rPr>
          <w:rFonts w:cs="Times New Roman"/>
        </w:rPr>
      </w:pPr>
      <w:r w:rsidRPr="00F7245E">
        <w:rPr>
          <w:rFonts w:cs="Times New Roman"/>
        </w:rPr>
        <w:t>Az enoxaparin (40</w:t>
      </w:r>
      <w:r w:rsidR="004C106B" w:rsidRPr="00F7245E">
        <w:rPr>
          <w:rFonts w:cs="Times New Roman"/>
        </w:rPr>
        <w:t> mg</w:t>
      </w:r>
      <w:r w:rsidRPr="00F7245E">
        <w:rPr>
          <w:rFonts w:cs="Times New Roman"/>
        </w:rPr>
        <w:t xml:space="preserve"> egyszeri adag) apixab</w:t>
      </w:r>
      <w:r w:rsidR="002C0B56" w:rsidRPr="00F7245E">
        <w:rPr>
          <w:rFonts w:cs="Times New Roman"/>
        </w:rPr>
        <w:t>á</w:t>
      </w:r>
      <w:r w:rsidRPr="00F7245E">
        <w:rPr>
          <w:rFonts w:cs="Times New Roman"/>
        </w:rPr>
        <w:t>nnal (5</w:t>
      </w:r>
      <w:r w:rsidR="004C106B" w:rsidRPr="00F7245E">
        <w:rPr>
          <w:rFonts w:cs="Times New Roman"/>
        </w:rPr>
        <w:t> mg</w:t>
      </w:r>
      <w:r w:rsidRPr="00F7245E">
        <w:rPr>
          <w:rFonts w:cs="Times New Roman"/>
        </w:rPr>
        <w:t xml:space="preserve"> egyszeri adag) történő kombinált alkalmazása után az anti-Xa-faktor aktivitásra gyakorolt additív hatást figyeltek meg.</w:t>
      </w:r>
    </w:p>
    <w:p w14:paraId="6386BE3A" w14:textId="77777777" w:rsidR="00B62AE4" w:rsidRPr="00F7245E" w:rsidRDefault="00B62AE4" w:rsidP="00A21724">
      <w:pPr>
        <w:pStyle w:val="Nincstrkz"/>
        <w:rPr>
          <w:rFonts w:cs="Times New Roman"/>
        </w:rPr>
      </w:pPr>
    </w:p>
    <w:p w14:paraId="433C93D5" w14:textId="10C8B793" w:rsidR="00B62AE4" w:rsidRPr="00F7245E" w:rsidRDefault="00B62AE4" w:rsidP="00A21724">
      <w:pPr>
        <w:pStyle w:val="Nincstrkz"/>
        <w:rPr>
          <w:rFonts w:cs="Times New Roman"/>
        </w:rPr>
      </w:pPr>
      <w:r w:rsidRPr="00F7245E">
        <w:rPr>
          <w:rFonts w:cs="Times New Roman"/>
        </w:rPr>
        <w:t>Naponta egyszeri 325</w:t>
      </w:r>
      <w:r w:rsidR="004C106B" w:rsidRPr="00F7245E">
        <w:rPr>
          <w:rFonts w:cs="Times New Roman"/>
        </w:rPr>
        <w:t> mg</w:t>
      </w:r>
      <w:r w:rsidRPr="00F7245E">
        <w:rPr>
          <w:rFonts w:cs="Times New Roman"/>
        </w:rPr>
        <w:t xml:space="preserve"> acetilszalicilsavval együttes kezelés során nem voltak nyilvánvaló farmakokinetikai vagy farmakodinámiás kölcsönhatások.</w:t>
      </w:r>
    </w:p>
    <w:p w14:paraId="06002747" w14:textId="77777777" w:rsidR="00B62AE4" w:rsidRPr="00F7245E" w:rsidRDefault="00B62AE4" w:rsidP="00A21724">
      <w:pPr>
        <w:pStyle w:val="Nincstrkz"/>
        <w:rPr>
          <w:rFonts w:cs="Times New Roman"/>
        </w:rPr>
      </w:pPr>
    </w:p>
    <w:p w14:paraId="543D500F" w14:textId="35DFDD57" w:rsidR="00B62AE4" w:rsidRPr="00F7245E" w:rsidRDefault="00B62AE4" w:rsidP="00A21724">
      <w:pPr>
        <w:pStyle w:val="Nincstrkz"/>
        <w:rPr>
          <w:rFonts w:cs="Times New Roman"/>
        </w:rPr>
      </w:pPr>
      <w:r w:rsidRPr="00F7245E">
        <w:rPr>
          <w:rFonts w:cs="Times New Roman"/>
        </w:rPr>
        <w:t>Az apixab</w:t>
      </w:r>
      <w:r w:rsidR="002C0B56" w:rsidRPr="00F7245E">
        <w:rPr>
          <w:rFonts w:cs="Times New Roman"/>
        </w:rPr>
        <w:t>á</w:t>
      </w:r>
      <w:r w:rsidRPr="00F7245E">
        <w:rPr>
          <w:rFonts w:cs="Times New Roman"/>
        </w:rPr>
        <w:t>nnal együtt adott klopidogr</w:t>
      </w:r>
      <w:r w:rsidR="00693603" w:rsidRPr="00F7245E">
        <w:rPr>
          <w:rFonts w:cs="Times New Roman"/>
        </w:rPr>
        <w:t>e</w:t>
      </w:r>
      <w:r w:rsidRPr="00F7245E">
        <w:rPr>
          <w:rFonts w:cs="Times New Roman"/>
        </w:rPr>
        <w:t>l (naponta egyszer 75</w:t>
      </w:r>
      <w:r w:rsidR="004C106B" w:rsidRPr="00F7245E">
        <w:rPr>
          <w:rFonts w:cs="Times New Roman"/>
        </w:rPr>
        <w:t> mg</w:t>
      </w:r>
      <w:r w:rsidRPr="00F7245E">
        <w:rPr>
          <w:rFonts w:cs="Times New Roman"/>
        </w:rPr>
        <w:t>) vagy 75</w:t>
      </w:r>
      <w:r w:rsidR="004C106B" w:rsidRPr="00F7245E">
        <w:rPr>
          <w:rFonts w:cs="Times New Roman"/>
        </w:rPr>
        <w:t> mg</w:t>
      </w:r>
      <w:r w:rsidRPr="00F7245E">
        <w:rPr>
          <w:rFonts w:cs="Times New Roman"/>
        </w:rPr>
        <w:t xml:space="preserve"> klopidogr</w:t>
      </w:r>
      <w:r w:rsidR="00693603" w:rsidRPr="00F7245E">
        <w:rPr>
          <w:rFonts w:cs="Times New Roman"/>
        </w:rPr>
        <w:t>e</w:t>
      </w:r>
      <w:r w:rsidRPr="00F7245E">
        <w:rPr>
          <w:rFonts w:cs="Times New Roman"/>
        </w:rPr>
        <w:t xml:space="preserve">l és </w:t>
      </w:r>
      <w:r w:rsidR="003B67D5" w:rsidRPr="00F7245E">
        <w:rPr>
          <w:rFonts w:cs="Times New Roman"/>
        </w:rPr>
        <w:t>nap</w:t>
      </w:r>
      <w:r w:rsidRPr="00F7245E">
        <w:rPr>
          <w:rFonts w:cs="Times New Roman"/>
        </w:rPr>
        <w:t>onta egyszer adott 162</w:t>
      </w:r>
      <w:r w:rsidR="004C106B" w:rsidRPr="00F7245E">
        <w:rPr>
          <w:rFonts w:cs="Times New Roman"/>
        </w:rPr>
        <w:t> mg</w:t>
      </w:r>
      <w:r w:rsidRPr="00F7245E">
        <w:rPr>
          <w:rFonts w:cs="Times New Roman"/>
        </w:rPr>
        <w:t xml:space="preserve"> acetilszalicilsav vagy a prazugr</w:t>
      </w:r>
      <w:r w:rsidR="00693603" w:rsidRPr="00F7245E">
        <w:rPr>
          <w:rFonts w:cs="Times New Roman"/>
        </w:rPr>
        <w:t>e</w:t>
      </w:r>
      <w:r w:rsidRPr="00F7245E">
        <w:rPr>
          <w:rFonts w:cs="Times New Roman"/>
        </w:rPr>
        <w:t>l (60</w:t>
      </w:r>
      <w:r w:rsidR="004C106B" w:rsidRPr="00F7245E">
        <w:rPr>
          <w:rFonts w:cs="Times New Roman"/>
        </w:rPr>
        <w:t> mg</w:t>
      </w:r>
      <w:r w:rsidRPr="00F7245E">
        <w:rPr>
          <w:rFonts w:cs="Times New Roman"/>
        </w:rPr>
        <w:t>, majd</w:t>
      </w:r>
      <w:r w:rsidR="00BA5797" w:rsidRPr="00F7245E">
        <w:rPr>
          <w:rFonts w:cs="Times New Roman"/>
        </w:rPr>
        <w:t xml:space="preserve"> naponta</w:t>
      </w:r>
      <w:r w:rsidRPr="00F7245E">
        <w:rPr>
          <w:rFonts w:cs="Times New Roman"/>
        </w:rPr>
        <w:t xml:space="preserve"> egyszer 10</w:t>
      </w:r>
      <w:r w:rsidR="004C106B" w:rsidRPr="00F7245E">
        <w:rPr>
          <w:rFonts w:cs="Times New Roman"/>
        </w:rPr>
        <w:t> mg</w:t>
      </w:r>
      <w:r w:rsidRPr="00F7245E">
        <w:rPr>
          <w:rFonts w:cs="Times New Roman"/>
        </w:rPr>
        <w:t>) kombinációja a</w:t>
      </w:r>
      <w:r w:rsidR="00BA5797" w:rsidRPr="00F7245E">
        <w:rPr>
          <w:rFonts w:cs="Times New Roman"/>
        </w:rPr>
        <w:t>z I.</w:t>
      </w:r>
      <w:r w:rsidRPr="00F7245E">
        <w:rPr>
          <w:rFonts w:cs="Times New Roman"/>
        </w:rPr>
        <w:t xml:space="preserve"> fázis</w:t>
      </w:r>
      <w:r w:rsidR="00BA5797" w:rsidRPr="00F7245E">
        <w:rPr>
          <w:rFonts w:cs="Times New Roman"/>
        </w:rPr>
        <w:t xml:space="preserve">ú </w:t>
      </w:r>
      <w:r w:rsidRPr="00F7245E">
        <w:rPr>
          <w:rFonts w:cs="Times New Roman"/>
        </w:rPr>
        <w:t>vizsgálatokban nem járt a mintaként szolgáló vérzési idő, a thrombocytaaggregáció további gátlásának jelentős növekedésével, ha azokat a</w:t>
      </w:r>
      <w:r w:rsidR="00EA5134" w:rsidRPr="00F7245E">
        <w:rPr>
          <w:rFonts w:cs="Times New Roman"/>
        </w:rPr>
        <w:t xml:space="preserve"> </w:t>
      </w:r>
      <w:r w:rsidRPr="00F7245E">
        <w:rPr>
          <w:rFonts w:cs="Times New Roman"/>
        </w:rPr>
        <w:t>thrombocytaaggregáció</w:t>
      </w:r>
      <w:r w:rsidR="00D7098D" w:rsidRPr="00F7245E">
        <w:rPr>
          <w:rFonts w:cs="Times New Roman"/>
        </w:rPr>
        <w:t>-</w:t>
      </w:r>
      <w:r w:rsidRPr="00F7245E">
        <w:rPr>
          <w:rFonts w:cs="Times New Roman"/>
        </w:rPr>
        <w:t xml:space="preserve">gátló szerek </w:t>
      </w:r>
      <w:r w:rsidR="00CA2919" w:rsidRPr="00F7245E">
        <w:rPr>
          <w:rFonts w:cs="Times New Roman"/>
        </w:rPr>
        <w:t xml:space="preserve">apixabán </w:t>
      </w:r>
      <w:r w:rsidRPr="00F7245E">
        <w:rPr>
          <w:rFonts w:cs="Times New Roman"/>
        </w:rPr>
        <w:t xml:space="preserve">nélküli alkalmazásával hasonlították össze. A véralvadási vizsgálatok (PT, INR és aPTT) csak az </w:t>
      </w:r>
      <w:r w:rsidR="00CA2919" w:rsidRPr="00F7245E">
        <w:rPr>
          <w:rFonts w:cs="Times New Roman"/>
        </w:rPr>
        <w:t xml:space="preserve">apixabán </w:t>
      </w:r>
      <w:r w:rsidRPr="00F7245E">
        <w:rPr>
          <w:rFonts w:cs="Times New Roman"/>
        </w:rPr>
        <w:t>hatásaival voltak összhangban.</w:t>
      </w:r>
    </w:p>
    <w:p w14:paraId="4F352B50" w14:textId="77777777" w:rsidR="00B62AE4" w:rsidRPr="00F7245E" w:rsidRDefault="00B62AE4" w:rsidP="00A21724">
      <w:pPr>
        <w:pStyle w:val="Nincstrkz"/>
        <w:rPr>
          <w:rFonts w:cs="Times New Roman"/>
        </w:rPr>
      </w:pPr>
    </w:p>
    <w:p w14:paraId="45CB6A10" w14:textId="683B13B7" w:rsidR="00B62AE4" w:rsidRPr="00F7245E" w:rsidRDefault="00B62AE4" w:rsidP="00A21724">
      <w:pPr>
        <w:pStyle w:val="Nincstrkz"/>
        <w:rPr>
          <w:rFonts w:cs="Times New Roman"/>
        </w:rPr>
      </w:pPr>
      <w:r w:rsidRPr="00F7245E">
        <w:rPr>
          <w:rFonts w:cs="Times New Roman"/>
        </w:rPr>
        <w:t>A P</w:t>
      </w:r>
      <w:r w:rsidR="00D60609" w:rsidRPr="00F7245E">
        <w:rPr>
          <w:rFonts w:cs="Times New Roman"/>
        </w:rPr>
        <w:noBreakHyphen/>
      </w:r>
      <w:r w:rsidRPr="00F7245E">
        <w:rPr>
          <w:rFonts w:cs="Times New Roman"/>
        </w:rPr>
        <w:t>gp</w:t>
      </w:r>
      <w:r w:rsidR="00D60609" w:rsidRPr="00F7245E">
        <w:rPr>
          <w:rFonts w:cs="Times New Roman"/>
        </w:rPr>
        <w:noBreakHyphen/>
      </w:r>
      <w:r w:rsidRPr="00F7245E">
        <w:rPr>
          <w:rFonts w:cs="Times New Roman"/>
        </w:rPr>
        <w:t>gátló</w:t>
      </w:r>
      <w:r w:rsidR="00D60609" w:rsidRPr="00F7245E">
        <w:rPr>
          <w:rFonts w:cs="Times New Roman"/>
        </w:rPr>
        <w:t xml:space="preserve"> </w:t>
      </w:r>
      <w:r w:rsidR="003B67D5" w:rsidRPr="00F7245E">
        <w:rPr>
          <w:rFonts w:cs="Times New Roman"/>
        </w:rPr>
        <w:t>nap</w:t>
      </w:r>
      <w:r w:rsidRPr="00F7245E">
        <w:rPr>
          <w:rFonts w:cs="Times New Roman"/>
        </w:rPr>
        <w:t>roxén (500</w:t>
      </w:r>
      <w:r w:rsidR="004C106B" w:rsidRPr="00F7245E">
        <w:rPr>
          <w:rFonts w:cs="Times New Roman"/>
        </w:rPr>
        <w:t> mg</w:t>
      </w:r>
      <w:r w:rsidRPr="00F7245E">
        <w:rPr>
          <w:rFonts w:cs="Times New Roman"/>
        </w:rPr>
        <w:t xml:space="preserve">) alkalmazása az </w:t>
      </w:r>
      <w:r w:rsidR="00CA2919" w:rsidRPr="00F7245E">
        <w:rPr>
          <w:rFonts w:cs="Times New Roman"/>
        </w:rPr>
        <w:t xml:space="preserve">apixabán </w:t>
      </w:r>
      <w:r w:rsidRPr="00F7245E">
        <w:rPr>
          <w:rFonts w:cs="Times New Roman"/>
        </w:rPr>
        <w:t>átlagos AUC</w:t>
      </w:r>
      <w:r w:rsidR="00D60609" w:rsidRPr="00F7245E">
        <w:rPr>
          <w:rFonts w:cs="Times New Roman"/>
        </w:rPr>
        <w:noBreakHyphen/>
      </w:r>
      <w:r w:rsidRPr="00F7245E">
        <w:rPr>
          <w:rFonts w:cs="Times New Roman"/>
        </w:rPr>
        <w:t xml:space="preserve"> és </w:t>
      </w:r>
      <w:r w:rsidR="00EA5134" w:rsidRPr="00F7245E">
        <w:rPr>
          <w:rFonts w:cs="Times New Roman"/>
        </w:rPr>
        <w:t>C</w:t>
      </w:r>
      <w:r w:rsidR="00EA5134" w:rsidRPr="00F7245E">
        <w:rPr>
          <w:rFonts w:cs="Times New Roman"/>
          <w:vertAlign w:val="subscript"/>
        </w:rPr>
        <w:t>max</w:t>
      </w:r>
      <w:r w:rsidRPr="00F7245E">
        <w:rPr>
          <w:rFonts w:cs="Times New Roman"/>
        </w:rPr>
        <w:t>-értékének sorrendben 1,5</w:t>
      </w:r>
      <w:r w:rsidR="00D60609" w:rsidRPr="00F7245E">
        <w:rPr>
          <w:rFonts w:cs="Times New Roman"/>
        </w:rPr>
        <w:noBreakHyphen/>
      </w:r>
      <w:r w:rsidRPr="00F7245E">
        <w:rPr>
          <w:rFonts w:cs="Times New Roman"/>
        </w:rPr>
        <w:t>szeres, illetve 1,6</w:t>
      </w:r>
      <w:r w:rsidR="00D60609" w:rsidRPr="00F7245E">
        <w:rPr>
          <w:rFonts w:cs="Times New Roman"/>
        </w:rPr>
        <w:noBreakHyphen/>
      </w:r>
      <w:r w:rsidRPr="00F7245E">
        <w:rPr>
          <w:rFonts w:cs="Times New Roman"/>
        </w:rPr>
        <w:t xml:space="preserve">szeres növekedéséhez vezetett. </w:t>
      </w:r>
      <w:r w:rsidR="00B1313A" w:rsidRPr="00F7245E">
        <w:rPr>
          <w:rFonts w:cs="Times New Roman"/>
        </w:rPr>
        <w:t xml:space="preserve">Ennek megfelelő növekedés volt megfigyelhető </w:t>
      </w:r>
      <w:r w:rsidR="00B35F4F" w:rsidRPr="00F7245E">
        <w:rPr>
          <w:rFonts w:cs="Times New Roman"/>
        </w:rPr>
        <w:t>az apixab</w:t>
      </w:r>
      <w:r w:rsidR="002C0B56" w:rsidRPr="00F7245E">
        <w:rPr>
          <w:rFonts w:cs="Times New Roman"/>
        </w:rPr>
        <w:t>á</w:t>
      </w:r>
      <w:r w:rsidR="00B35F4F" w:rsidRPr="00F7245E">
        <w:rPr>
          <w:rFonts w:cs="Times New Roman"/>
        </w:rPr>
        <w:t>n</w:t>
      </w:r>
      <w:r w:rsidR="00B1313A" w:rsidRPr="00F7245E">
        <w:rPr>
          <w:rFonts w:cs="Times New Roman"/>
        </w:rPr>
        <w:t>nal v</w:t>
      </w:r>
      <w:r w:rsidR="00217E02" w:rsidRPr="00F7245E">
        <w:rPr>
          <w:rFonts w:cs="Times New Roman"/>
        </w:rPr>
        <w:t>é</w:t>
      </w:r>
      <w:r w:rsidR="00B1313A" w:rsidRPr="00F7245E">
        <w:rPr>
          <w:rFonts w:cs="Times New Roman"/>
        </w:rPr>
        <w:t>gzett</w:t>
      </w:r>
      <w:r w:rsidRPr="00F7245E">
        <w:rPr>
          <w:rFonts w:cs="Times New Roman"/>
        </w:rPr>
        <w:t xml:space="preserve"> véralvadási vizsgálatok</w:t>
      </w:r>
      <w:r w:rsidR="00B1313A" w:rsidRPr="00F7245E">
        <w:rPr>
          <w:rFonts w:cs="Times New Roman"/>
        </w:rPr>
        <w:t xml:space="preserve">ban is. </w:t>
      </w:r>
      <w:r w:rsidR="00CA2919" w:rsidRPr="00F7245E">
        <w:rPr>
          <w:rFonts w:cs="Times New Roman"/>
        </w:rPr>
        <w:t xml:space="preserve">Apixabán </w:t>
      </w:r>
      <w:r w:rsidRPr="00F7245E">
        <w:rPr>
          <w:rFonts w:cs="Times New Roman"/>
        </w:rPr>
        <w:t>és</w:t>
      </w:r>
      <w:r w:rsidR="00B1313A" w:rsidRPr="00F7245E">
        <w:rPr>
          <w:rFonts w:cs="Times New Roman"/>
        </w:rPr>
        <w:t xml:space="preserve"> </w:t>
      </w:r>
      <w:r w:rsidR="003B67D5" w:rsidRPr="00F7245E">
        <w:rPr>
          <w:rFonts w:cs="Times New Roman"/>
        </w:rPr>
        <w:t>nap</w:t>
      </w:r>
      <w:r w:rsidRPr="00F7245E">
        <w:rPr>
          <w:rFonts w:cs="Times New Roman"/>
        </w:rPr>
        <w:t>roxén együttes alkalmazása</w:t>
      </w:r>
      <w:r w:rsidR="00B1313A" w:rsidRPr="00F7245E">
        <w:rPr>
          <w:rFonts w:cs="Times New Roman"/>
        </w:rPr>
        <w:t>kor</w:t>
      </w:r>
      <w:r w:rsidRPr="00F7245E">
        <w:rPr>
          <w:rFonts w:cs="Times New Roman"/>
        </w:rPr>
        <w:t xml:space="preserve"> nem figyeltek meg változást a</w:t>
      </w:r>
      <w:r w:rsidR="00B1313A" w:rsidRPr="00F7245E">
        <w:rPr>
          <w:rFonts w:cs="Times New Roman"/>
        </w:rPr>
        <w:t xml:space="preserve"> </w:t>
      </w:r>
      <w:r w:rsidR="003B67D5" w:rsidRPr="00F7245E">
        <w:rPr>
          <w:rFonts w:cs="Times New Roman"/>
        </w:rPr>
        <w:t>nap</w:t>
      </w:r>
      <w:r w:rsidRPr="00F7245E">
        <w:rPr>
          <w:rFonts w:cs="Times New Roman"/>
        </w:rPr>
        <w:t>roxén arachidonsav indukálta thrombocytaaggregáci</w:t>
      </w:r>
      <w:r w:rsidR="0071046D" w:rsidRPr="00F7245E">
        <w:rPr>
          <w:rFonts w:cs="Times New Roman"/>
        </w:rPr>
        <w:t>ór</w:t>
      </w:r>
      <w:r w:rsidRPr="00F7245E">
        <w:rPr>
          <w:rFonts w:cs="Times New Roman"/>
        </w:rPr>
        <w:t>a kifejtett hatásában, és a vérzési idő klinikailag releváns meghosszabbodása sem volt kimutatható.</w:t>
      </w:r>
    </w:p>
    <w:p w14:paraId="27B0C506" w14:textId="77777777" w:rsidR="00B62AE4" w:rsidRPr="00F7245E" w:rsidRDefault="00B62AE4" w:rsidP="00A21724">
      <w:pPr>
        <w:pStyle w:val="Nincstrkz"/>
        <w:rPr>
          <w:rFonts w:cs="Times New Roman"/>
        </w:rPr>
      </w:pPr>
    </w:p>
    <w:p w14:paraId="38FA94FD" w14:textId="23D21277" w:rsidR="00B62AE4" w:rsidRPr="00F7245E" w:rsidRDefault="00B62AE4" w:rsidP="00A21724">
      <w:pPr>
        <w:pStyle w:val="Nincstrkz"/>
        <w:rPr>
          <w:rFonts w:cs="Times New Roman"/>
        </w:rPr>
      </w:pPr>
      <w:r w:rsidRPr="00F7245E">
        <w:rPr>
          <w:rFonts w:cs="Times New Roman"/>
        </w:rPr>
        <w:t>A fenti eredmények ellenére lehetnek olyan egyének, akik kifejezettebb farmakodinámiás válasszal reagálnak thrombocytaaggregáció</w:t>
      </w:r>
      <w:r w:rsidR="006E6839" w:rsidRPr="00F7245E">
        <w:rPr>
          <w:rFonts w:cs="Times New Roman"/>
        </w:rPr>
        <w:t>-</w:t>
      </w:r>
      <w:r w:rsidRPr="00F7245E">
        <w:rPr>
          <w:rFonts w:cs="Times New Roman"/>
        </w:rPr>
        <w:t xml:space="preserve">gátló gyógyszer és </w:t>
      </w:r>
      <w:r w:rsidR="00CA2919" w:rsidRPr="00F7245E">
        <w:rPr>
          <w:rFonts w:cs="Times New Roman"/>
        </w:rPr>
        <w:t xml:space="preserve">apixabán </w:t>
      </w:r>
      <w:r w:rsidRPr="00F7245E">
        <w:rPr>
          <w:rFonts w:cs="Times New Roman"/>
        </w:rPr>
        <w:t xml:space="preserve">együttes adása esetén. Az </w:t>
      </w:r>
      <w:r w:rsidR="00A21724" w:rsidRPr="00F7245E">
        <w:rPr>
          <w:rFonts w:cs="Times New Roman"/>
        </w:rPr>
        <w:t>a</w:t>
      </w:r>
      <w:r w:rsidR="00FA2868" w:rsidRPr="00F7245E">
        <w:rPr>
          <w:rFonts w:cs="Times New Roman"/>
        </w:rPr>
        <w:t>pixab</w:t>
      </w:r>
      <w:r w:rsidR="00684207" w:rsidRPr="00F7245E">
        <w:rPr>
          <w:rFonts w:cs="Times New Roman"/>
        </w:rPr>
        <w:t>á</w:t>
      </w:r>
      <w:r w:rsidR="00FA2868" w:rsidRPr="00F7245E">
        <w:rPr>
          <w:rFonts w:cs="Times New Roman"/>
        </w:rPr>
        <w:t>n</w:t>
      </w:r>
      <w:r w:rsidRPr="00F7245E">
        <w:rPr>
          <w:rFonts w:cs="Times New Roman"/>
        </w:rPr>
        <w:t xml:space="preserve">t </w:t>
      </w:r>
      <w:r w:rsidR="00265C86" w:rsidRPr="00F7245E">
        <w:rPr>
          <w:rFonts w:cs="Times New Roman"/>
        </w:rPr>
        <w:t xml:space="preserve">elővigyázatosan </w:t>
      </w:r>
      <w:r w:rsidRPr="00F7245E">
        <w:rPr>
          <w:rFonts w:cs="Times New Roman"/>
        </w:rPr>
        <w:t>kell alkalmazni, ha SSRI</w:t>
      </w:r>
      <w:r w:rsidR="00217E02" w:rsidRPr="00F7245E">
        <w:rPr>
          <w:rFonts w:cs="Times New Roman"/>
        </w:rPr>
        <w:noBreakHyphen/>
      </w:r>
      <w:r w:rsidRPr="00F7245E">
        <w:rPr>
          <w:rFonts w:cs="Times New Roman"/>
        </w:rPr>
        <w:t>kel/SNRI</w:t>
      </w:r>
      <w:r w:rsidR="00217E02" w:rsidRPr="00F7245E">
        <w:rPr>
          <w:rFonts w:cs="Times New Roman"/>
        </w:rPr>
        <w:noBreakHyphen/>
      </w:r>
      <w:r w:rsidRPr="00F7245E">
        <w:rPr>
          <w:rFonts w:cs="Times New Roman"/>
        </w:rPr>
        <w:t>kel, nem</w:t>
      </w:r>
      <w:r w:rsidR="00693603" w:rsidRPr="00F7245E">
        <w:rPr>
          <w:rFonts w:cs="Times New Roman"/>
        </w:rPr>
        <w:t>-</w:t>
      </w:r>
      <w:r w:rsidRPr="00F7245E">
        <w:rPr>
          <w:rFonts w:cs="Times New Roman"/>
        </w:rPr>
        <w:t>szteroid gyulladás</w:t>
      </w:r>
      <w:r w:rsidR="00217E02" w:rsidRPr="00F7245E">
        <w:rPr>
          <w:rFonts w:cs="Times New Roman"/>
        </w:rPr>
        <w:t>gátlókkal</w:t>
      </w:r>
      <w:r w:rsidRPr="00F7245E">
        <w:rPr>
          <w:rFonts w:cs="Times New Roman"/>
        </w:rPr>
        <w:t>,</w:t>
      </w:r>
      <w:r w:rsidR="00EA5134" w:rsidRPr="00F7245E">
        <w:rPr>
          <w:rFonts w:cs="Times New Roman"/>
        </w:rPr>
        <w:t xml:space="preserve"> </w:t>
      </w:r>
      <w:r w:rsidRPr="00F7245E">
        <w:rPr>
          <w:rFonts w:cs="Times New Roman"/>
        </w:rPr>
        <w:t>acetilszalicilsavval és/vagy P2Y12</w:t>
      </w:r>
      <w:r w:rsidR="00217E02" w:rsidRPr="00F7245E">
        <w:rPr>
          <w:rFonts w:cs="Times New Roman"/>
        </w:rPr>
        <w:noBreakHyphen/>
      </w:r>
      <w:r w:rsidRPr="00F7245E">
        <w:rPr>
          <w:rFonts w:cs="Times New Roman"/>
        </w:rPr>
        <w:t>gátlókkal adják egyidejűleg, mert ezek a gyógyszerek jellemző módon növelik a vérzés kockázatát (lásd 4.4</w:t>
      </w:r>
      <w:r w:rsidR="00EA5134" w:rsidRPr="00F7245E">
        <w:rPr>
          <w:rFonts w:cs="Times New Roman"/>
        </w:rPr>
        <w:t> pont)</w:t>
      </w:r>
      <w:r w:rsidRPr="00F7245E">
        <w:rPr>
          <w:rFonts w:cs="Times New Roman"/>
        </w:rPr>
        <w:t>.</w:t>
      </w:r>
    </w:p>
    <w:p w14:paraId="003274A6" w14:textId="77777777" w:rsidR="00B62AE4" w:rsidRPr="00F7245E" w:rsidRDefault="00B62AE4" w:rsidP="00A21724">
      <w:pPr>
        <w:pStyle w:val="Nincstrkz"/>
        <w:rPr>
          <w:rFonts w:cs="Times New Roman"/>
        </w:rPr>
      </w:pPr>
    </w:p>
    <w:p w14:paraId="2AB1A367" w14:textId="276CC583" w:rsidR="00B62AE4" w:rsidRPr="00F7245E" w:rsidRDefault="00265C86" w:rsidP="00A21724">
      <w:pPr>
        <w:pStyle w:val="Nincstrkz"/>
        <w:rPr>
          <w:rFonts w:cs="Times New Roman"/>
        </w:rPr>
      </w:pPr>
      <w:r w:rsidRPr="00F7245E">
        <w:rPr>
          <w:rFonts w:cs="Times New Roman"/>
        </w:rPr>
        <w:t>Korlátozottan állnak rendelkezésre tapasztalatok m</w:t>
      </w:r>
      <w:r w:rsidR="00B62AE4" w:rsidRPr="00F7245E">
        <w:rPr>
          <w:rFonts w:cs="Times New Roman"/>
        </w:rPr>
        <w:t>ás thrombocytaaggregáció</w:t>
      </w:r>
      <w:r w:rsidR="00217E02" w:rsidRPr="00F7245E">
        <w:rPr>
          <w:rFonts w:cs="Times New Roman"/>
        </w:rPr>
        <w:noBreakHyphen/>
      </w:r>
      <w:r w:rsidR="00B62AE4" w:rsidRPr="00F7245E">
        <w:rPr>
          <w:rFonts w:cs="Times New Roman"/>
        </w:rPr>
        <w:t>gátlókkal (pl. GPIIb/IIIa</w:t>
      </w:r>
      <w:r w:rsidR="00217E02" w:rsidRPr="00F7245E">
        <w:rPr>
          <w:rFonts w:cs="Times New Roman"/>
        </w:rPr>
        <w:noBreakHyphen/>
      </w:r>
      <w:r w:rsidR="00B62AE4" w:rsidRPr="00F7245E">
        <w:rPr>
          <w:rFonts w:cs="Times New Roman"/>
        </w:rPr>
        <w:t>receptor</w:t>
      </w:r>
      <w:r w:rsidR="00217E02" w:rsidRPr="00F7245E">
        <w:rPr>
          <w:rFonts w:cs="Times New Roman"/>
        </w:rPr>
        <w:noBreakHyphen/>
      </w:r>
      <w:r w:rsidR="00B62AE4" w:rsidRPr="00F7245E">
        <w:rPr>
          <w:rFonts w:cs="Times New Roman"/>
        </w:rPr>
        <w:t>antagonisták, dipiridamol, dextrán és szulfinpirazon) vagy thrombolyticus szerekkel</w:t>
      </w:r>
      <w:r w:rsidRPr="00F7245E">
        <w:rPr>
          <w:rFonts w:cs="Times New Roman"/>
        </w:rPr>
        <w:t>.</w:t>
      </w:r>
      <w:r w:rsidR="00B62AE4" w:rsidRPr="00F7245E">
        <w:rPr>
          <w:rFonts w:cs="Times New Roman"/>
        </w:rPr>
        <w:t>. Mivel az ilyen gyógyszerek megnövelik a vérzés kockázatát, eze</w:t>
      </w:r>
      <w:r w:rsidR="006B24F6" w:rsidRPr="00F7245E">
        <w:rPr>
          <w:rFonts w:cs="Times New Roman"/>
        </w:rPr>
        <w:t>n</w:t>
      </w:r>
      <w:r w:rsidR="00B62AE4" w:rsidRPr="00F7245E">
        <w:rPr>
          <w:rFonts w:cs="Times New Roman"/>
        </w:rPr>
        <w:t xml:space="preserve"> gyógyszerek </w:t>
      </w:r>
      <w:r w:rsidR="00A21724" w:rsidRPr="00F7245E">
        <w:rPr>
          <w:rFonts w:cs="Times New Roman"/>
        </w:rPr>
        <w:t>a</w:t>
      </w:r>
      <w:r w:rsidR="00FA2868" w:rsidRPr="00F7245E">
        <w:rPr>
          <w:rFonts w:cs="Times New Roman"/>
        </w:rPr>
        <w:t>pixab</w:t>
      </w:r>
      <w:r w:rsidR="00684207" w:rsidRPr="00F7245E">
        <w:rPr>
          <w:rFonts w:cs="Times New Roman"/>
        </w:rPr>
        <w:t>á</w:t>
      </w:r>
      <w:r w:rsidR="00A21724" w:rsidRPr="00F7245E">
        <w:rPr>
          <w:rFonts w:cs="Times New Roman"/>
        </w:rPr>
        <w:t>nn</w:t>
      </w:r>
      <w:r w:rsidR="001605B1" w:rsidRPr="00F7245E">
        <w:rPr>
          <w:rFonts w:cs="Times New Roman"/>
        </w:rPr>
        <w:t>al</w:t>
      </w:r>
      <w:r w:rsidR="00B62AE4" w:rsidRPr="00F7245E">
        <w:rPr>
          <w:rFonts w:cs="Times New Roman"/>
        </w:rPr>
        <w:t xml:space="preserve"> egyidejű alkalmazása nem javasolt (lásd 4.4</w:t>
      </w:r>
      <w:r w:rsidR="00EA5134" w:rsidRPr="00F7245E">
        <w:rPr>
          <w:rFonts w:cs="Times New Roman"/>
        </w:rPr>
        <w:t> pont)</w:t>
      </w:r>
      <w:r w:rsidR="00B62AE4" w:rsidRPr="00F7245E">
        <w:rPr>
          <w:rFonts w:cs="Times New Roman"/>
        </w:rPr>
        <w:t>.</w:t>
      </w:r>
    </w:p>
    <w:p w14:paraId="44644429" w14:textId="77777777" w:rsidR="00265C86" w:rsidRPr="00F7245E" w:rsidRDefault="00265C86" w:rsidP="00A21724">
      <w:pPr>
        <w:pStyle w:val="Nincstrkz"/>
        <w:rPr>
          <w:rFonts w:cs="Times New Roman"/>
        </w:rPr>
      </w:pPr>
    </w:p>
    <w:p w14:paraId="7BD66881" w14:textId="12E1F368" w:rsidR="00B62AE4" w:rsidRPr="00F7245E" w:rsidRDefault="00265C86" w:rsidP="00A21724">
      <w:pPr>
        <w:pStyle w:val="Nincstrkz"/>
        <w:rPr>
          <w:rFonts w:cs="Times New Roman"/>
        </w:rPr>
      </w:pPr>
      <w:r w:rsidRPr="00F7245E">
        <w:t>A CV185325 vizsgálatban nem jelentettek klinikailag jelentős vérzéses eseményt a 12 gyermeknél és serdülőnél, akiket egyidejűleg kezeltek apixabánnal és ≤ 165 mg/nap dózisú acetilszalicilsavval.</w:t>
      </w:r>
    </w:p>
    <w:p w14:paraId="41F080F4" w14:textId="77777777" w:rsidR="006D1B28" w:rsidRPr="00F7245E" w:rsidRDefault="006D1B28" w:rsidP="00A21724">
      <w:pPr>
        <w:pStyle w:val="Nincstrkz"/>
        <w:rPr>
          <w:rFonts w:cs="Times New Roman"/>
          <w:u w:val="single"/>
        </w:rPr>
      </w:pPr>
    </w:p>
    <w:p w14:paraId="6B740D07" w14:textId="026042D4" w:rsidR="00B62AE4" w:rsidRPr="00F7245E" w:rsidRDefault="00B62AE4" w:rsidP="00A21724">
      <w:pPr>
        <w:pStyle w:val="Nincstrkz"/>
        <w:rPr>
          <w:rFonts w:cs="Times New Roman"/>
          <w:u w:val="single"/>
        </w:rPr>
      </w:pPr>
      <w:r w:rsidRPr="00F7245E">
        <w:rPr>
          <w:rFonts w:cs="Times New Roman"/>
          <w:u w:val="single"/>
        </w:rPr>
        <w:t>Egyéb egyidejűleg alkalmazott kezelések</w:t>
      </w:r>
    </w:p>
    <w:p w14:paraId="6950A73D" w14:textId="77777777" w:rsidR="00265C86" w:rsidRPr="00F7245E" w:rsidRDefault="00265C86" w:rsidP="00A21724">
      <w:pPr>
        <w:pStyle w:val="Nincstrkz"/>
        <w:rPr>
          <w:rFonts w:cs="Times New Roman"/>
          <w:u w:val="single"/>
        </w:rPr>
      </w:pPr>
    </w:p>
    <w:p w14:paraId="434A4791" w14:textId="79E00C2D" w:rsidR="00B62AE4" w:rsidRPr="00F7245E" w:rsidRDefault="00B62AE4" w:rsidP="00A21724">
      <w:pPr>
        <w:pStyle w:val="Nincstrkz"/>
        <w:rPr>
          <w:rFonts w:cs="Times New Roman"/>
        </w:rPr>
      </w:pPr>
      <w:r w:rsidRPr="00F7245E">
        <w:rPr>
          <w:rFonts w:cs="Times New Roman"/>
        </w:rPr>
        <w:t xml:space="preserve">Az </w:t>
      </w:r>
      <w:r w:rsidR="00CA2919" w:rsidRPr="00F7245E">
        <w:rPr>
          <w:rFonts w:cs="Times New Roman"/>
        </w:rPr>
        <w:t xml:space="preserve">apixabán </w:t>
      </w:r>
      <w:r w:rsidRPr="00F7245E">
        <w:rPr>
          <w:rFonts w:cs="Times New Roman"/>
        </w:rPr>
        <w:t xml:space="preserve">atenolollal vagy famotidinnel együttes alkalmazásakor nem észleltek klinikailag jelentős farmakokinetikai vagy farmakodinámiás kölcsönhatásokat. Tíz milligramm </w:t>
      </w:r>
      <w:r w:rsidR="00CA2919" w:rsidRPr="00F7245E">
        <w:rPr>
          <w:rFonts w:cs="Times New Roman"/>
        </w:rPr>
        <w:t xml:space="preserve">apixabán </w:t>
      </w:r>
      <w:r w:rsidRPr="00F7245E">
        <w:rPr>
          <w:rFonts w:cs="Times New Roman"/>
        </w:rPr>
        <w:t>100</w:t>
      </w:r>
      <w:r w:rsidR="004C106B" w:rsidRPr="00F7245E">
        <w:rPr>
          <w:rFonts w:cs="Times New Roman"/>
        </w:rPr>
        <w:t> mg</w:t>
      </w:r>
      <w:r w:rsidRPr="00F7245E">
        <w:rPr>
          <w:rFonts w:cs="Times New Roman"/>
        </w:rPr>
        <w:t xml:space="preserve"> atenolollal való együttes adásának nem volt klinikailag jelentős hatása az </w:t>
      </w:r>
      <w:r w:rsidR="00CA2919" w:rsidRPr="00F7245E">
        <w:rPr>
          <w:rFonts w:cs="Times New Roman"/>
        </w:rPr>
        <w:t xml:space="preserve">apixabán </w:t>
      </w:r>
      <w:r w:rsidRPr="00F7245E">
        <w:rPr>
          <w:rFonts w:cs="Times New Roman"/>
        </w:rPr>
        <w:t>farmakokinetikai jellemzőire. A két gyógyszer egy</w:t>
      </w:r>
      <w:r w:rsidR="006B24F6" w:rsidRPr="00F7245E">
        <w:rPr>
          <w:rFonts w:cs="Times New Roman"/>
        </w:rPr>
        <w:t>idejű alkalmazása</w:t>
      </w:r>
      <w:r w:rsidRPr="00F7245E">
        <w:rPr>
          <w:rFonts w:cs="Times New Roman"/>
        </w:rPr>
        <w:t xml:space="preserve"> után az </w:t>
      </w:r>
      <w:r w:rsidR="00CA2919" w:rsidRPr="00F7245E">
        <w:rPr>
          <w:rFonts w:cs="Times New Roman"/>
        </w:rPr>
        <w:t xml:space="preserve">apixabán </w:t>
      </w:r>
      <w:r w:rsidRPr="00F7245E">
        <w:rPr>
          <w:rFonts w:cs="Times New Roman"/>
        </w:rPr>
        <w:t>átlagos AUC</w:t>
      </w:r>
      <w:r w:rsidR="006B24F6" w:rsidRPr="00F7245E">
        <w:rPr>
          <w:rFonts w:cs="Times New Roman"/>
        </w:rPr>
        <w:noBreakHyphen/>
      </w:r>
      <w:r w:rsidRPr="00F7245E">
        <w:rPr>
          <w:rFonts w:cs="Times New Roman"/>
        </w:rPr>
        <w:t>értéke 15%</w:t>
      </w:r>
      <w:r w:rsidR="006B24F6" w:rsidRPr="00F7245E">
        <w:rPr>
          <w:rFonts w:cs="Times New Roman"/>
        </w:rPr>
        <w:noBreakHyphen/>
      </w:r>
      <w:r w:rsidRPr="00F7245E">
        <w:rPr>
          <w:rFonts w:cs="Times New Roman"/>
        </w:rPr>
        <w:t>kal, a</w:t>
      </w:r>
      <w:r w:rsidR="00EA5134" w:rsidRPr="00F7245E">
        <w:rPr>
          <w:rFonts w:cs="Times New Roman"/>
        </w:rPr>
        <w:t xml:space="preserve"> C</w:t>
      </w:r>
      <w:r w:rsidR="00EA5134" w:rsidRPr="00F7245E">
        <w:rPr>
          <w:rFonts w:cs="Times New Roman"/>
          <w:vertAlign w:val="subscript"/>
        </w:rPr>
        <w:t>max</w:t>
      </w:r>
      <w:r w:rsidRPr="00F7245E">
        <w:rPr>
          <w:rFonts w:cs="Times New Roman"/>
        </w:rPr>
        <w:t>-értéke 18%</w:t>
      </w:r>
      <w:r w:rsidR="006B24F6" w:rsidRPr="00F7245E">
        <w:rPr>
          <w:rFonts w:cs="Times New Roman"/>
        </w:rPr>
        <w:noBreakHyphen/>
      </w:r>
      <w:r w:rsidRPr="00F7245E">
        <w:rPr>
          <w:rFonts w:cs="Times New Roman"/>
        </w:rPr>
        <w:t>kal csökkent a külön</w:t>
      </w:r>
      <w:r w:rsidR="006B24F6" w:rsidRPr="00F7245E">
        <w:rPr>
          <w:rFonts w:cs="Times New Roman"/>
        </w:rPr>
        <w:noBreakHyphen/>
      </w:r>
      <w:r w:rsidRPr="00F7245E">
        <w:rPr>
          <w:rFonts w:cs="Times New Roman"/>
        </w:rPr>
        <w:t xml:space="preserve">külön történő alkalmazáshoz képest. Tíz milligramm </w:t>
      </w:r>
      <w:r w:rsidR="00CA2919" w:rsidRPr="00F7245E">
        <w:rPr>
          <w:rFonts w:cs="Times New Roman"/>
        </w:rPr>
        <w:t xml:space="preserve">apixabán </w:t>
      </w:r>
      <w:r w:rsidRPr="00F7245E">
        <w:rPr>
          <w:rFonts w:cs="Times New Roman"/>
        </w:rPr>
        <w:t>40</w:t>
      </w:r>
      <w:r w:rsidR="004C106B" w:rsidRPr="00F7245E">
        <w:rPr>
          <w:rFonts w:cs="Times New Roman"/>
        </w:rPr>
        <w:t> mg</w:t>
      </w:r>
      <w:r w:rsidRPr="00F7245E">
        <w:rPr>
          <w:rFonts w:cs="Times New Roman"/>
        </w:rPr>
        <w:t xml:space="preserve"> famotidinnel együttes alkalmazása nem volt hatással az </w:t>
      </w:r>
      <w:r w:rsidR="00CA2919" w:rsidRPr="00F7245E">
        <w:rPr>
          <w:rFonts w:cs="Times New Roman"/>
        </w:rPr>
        <w:t xml:space="preserve">apixabán </w:t>
      </w:r>
      <w:r w:rsidRPr="00F7245E">
        <w:rPr>
          <w:rFonts w:cs="Times New Roman"/>
        </w:rPr>
        <w:t xml:space="preserve">AUC- és </w:t>
      </w:r>
      <w:r w:rsidR="00EA5134" w:rsidRPr="00F7245E">
        <w:rPr>
          <w:rFonts w:cs="Times New Roman"/>
        </w:rPr>
        <w:t>C</w:t>
      </w:r>
      <w:r w:rsidR="00EA5134" w:rsidRPr="00F7245E">
        <w:rPr>
          <w:rFonts w:cs="Times New Roman"/>
          <w:vertAlign w:val="subscript"/>
        </w:rPr>
        <w:t>max</w:t>
      </w:r>
      <w:r w:rsidRPr="00F7245E">
        <w:rPr>
          <w:rFonts w:cs="Times New Roman"/>
        </w:rPr>
        <w:t>-értékeire.</w:t>
      </w:r>
    </w:p>
    <w:p w14:paraId="13A8534E" w14:textId="77777777" w:rsidR="00B62AE4" w:rsidRPr="00F7245E" w:rsidRDefault="00B62AE4" w:rsidP="00A21724">
      <w:pPr>
        <w:pStyle w:val="Nincstrkz"/>
        <w:rPr>
          <w:rFonts w:cs="Times New Roman"/>
        </w:rPr>
      </w:pPr>
    </w:p>
    <w:p w14:paraId="3B9091B5" w14:textId="234017EE" w:rsidR="00B62AE4" w:rsidRPr="00F7245E" w:rsidRDefault="00B62AE4" w:rsidP="00A21724">
      <w:pPr>
        <w:pStyle w:val="Nincstrkz"/>
        <w:rPr>
          <w:rFonts w:cs="Times New Roman"/>
          <w:u w:val="single"/>
        </w:rPr>
      </w:pPr>
      <w:r w:rsidRPr="00F7245E">
        <w:rPr>
          <w:rFonts w:cs="Times New Roman"/>
          <w:u w:val="single"/>
        </w:rPr>
        <w:t xml:space="preserve">Az </w:t>
      </w:r>
      <w:r w:rsidR="00CA2919" w:rsidRPr="00F7245E">
        <w:rPr>
          <w:rFonts w:cs="Times New Roman"/>
          <w:u w:val="single"/>
        </w:rPr>
        <w:t xml:space="preserve">apixabán </w:t>
      </w:r>
      <w:r w:rsidRPr="00F7245E">
        <w:rPr>
          <w:rFonts w:cs="Times New Roman"/>
          <w:u w:val="single"/>
        </w:rPr>
        <w:t>hatása más gyógyszerekre</w:t>
      </w:r>
    </w:p>
    <w:p w14:paraId="03CD4148" w14:textId="77777777" w:rsidR="00265C86" w:rsidRPr="00F7245E" w:rsidRDefault="00265C86" w:rsidP="00A21724">
      <w:pPr>
        <w:pStyle w:val="Nincstrkz"/>
        <w:rPr>
          <w:rFonts w:cs="Times New Roman"/>
          <w:u w:val="single"/>
        </w:rPr>
      </w:pPr>
    </w:p>
    <w:p w14:paraId="3B2D6F15" w14:textId="4F8A5809" w:rsidR="00AD5B8D" w:rsidRPr="00F7245E" w:rsidRDefault="00B62AE4" w:rsidP="00A21724">
      <w:pPr>
        <w:pStyle w:val="Nincstrkz"/>
        <w:rPr>
          <w:rFonts w:cs="Times New Roman"/>
        </w:rPr>
      </w:pPr>
      <w:r w:rsidRPr="00F7245E">
        <w:rPr>
          <w:rFonts w:cs="Times New Roman"/>
          <w:i/>
        </w:rPr>
        <w:t>In vitro</w:t>
      </w:r>
      <w:r w:rsidRPr="00F7245E">
        <w:rPr>
          <w:rFonts w:cs="Times New Roman"/>
        </w:rPr>
        <w:t xml:space="preserve"> vizsgálatokban az </w:t>
      </w:r>
      <w:r w:rsidR="00CA2919" w:rsidRPr="00F7245E">
        <w:rPr>
          <w:rFonts w:cs="Times New Roman"/>
        </w:rPr>
        <w:t xml:space="preserve">apixabán </w:t>
      </w:r>
      <w:r w:rsidRPr="00F7245E">
        <w:rPr>
          <w:rFonts w:cs="Times New Roman"/>
        </w:rPr>
        <w:t>a</w:t>
      </w:r>
      <w:r w:rsidR="006B24F6" w:rsidRPr="00F7245E">
        <w:rPr>
          <w:rFonts w:cs="Times New Roman"/>
        </w:rPr>
        <w:t xml:space="preserve"> </w:t>
      </w:r>
      <w:r w:rsidR="00A1416D" w:rsidRPr="00F7245E">
        <w:rPr>
          <w:rFonts w:cs="Times New Roman"/>
        </w:rPr>
        <w:t>beteg</w:t>
      </w:r>
      <w:r w:rsidRPr="00F7245E">
        <w:rPr>
          <w:rFonts w:cs="Times New Roman"/>
        </w:rPr>
        <w:t xml:space="preserve">eknél </w:t>
      </w:r>
      <w:r w:rsidR="006B24F6" w:rsidRPr="00F7245E">
        <w:rPr>
          <w:rFonts w:cs="Times New Roman"/>
        </w:rPr>
        <w:t>megfigyelt</w:t>
      </w:r>
      <w:r w:rsidRPr="00F7245E">
        <w:rPr>
          <w:rFonts w:cs="Times New Roman"/>
        </w:rPr>
        <w:t xml:space="preserve"> plazma csúcskoncentrációnál lényegesen magasabb koncentrációkban nem mutatott gátló hatást a CYP1A2, CYP2A6, CYP2B6, CYP2C8, CYP2C9, CYP2D6 vagy a CYP3A4 (IC</w:t>
      </w:r>
      <w:r w:rsidR="006B24F6" w:rsidRPr="00F7245E">
        <w:rPr>
          <w:rFonts w:cs="Times New Roman"/>
          <w:vertAlign w:val="subscript"/>
        </w:rPr>
        <w:t>50</w:t>
      </w:r>
      <w:r w:rsidRPr="00F7245E">
        <w:rPr>
          <w:rFonts w:cs="Times New Roman"/>
        </w:rPr>
        <w:t xml:space="preserve"> &gt;</w:t>
      </w:r>
      <w:r w:rsidR="006B24F6" w:rsidRPr="00F7245E">
        <w:rPr>
          <w:rFonts w:cs="Times New Roman"/>
        </w:rPr>
        <w:t> </w:t>
      </w:r>
      <w:r w:rsidRPr="00F7245E">
        <w:rPr>
          <w:rFonts w:cs="Times New Roman"/>
        </w:rPr>
        <w:t>45</w:t>
      </w:r>
      <w:r w:rsidR="006B24F6" w:rsidRPr="00F7245E">
        <w:rPr>
          <w:rFonts w:cs="Times New Roman"/>
        </w:rPr>
        <w:t> </w:t>
      </w:r>
      <w:r w:rsidR="00B84E11" w:rsidRPr="00F7245E">
        <w:rPr>
          <w:rFonts w:cs="Times New Roman"/>
        </w:rPr>
        <w:t>mcM</w:t>
      </w:r>
      <w:r w:rsidRPr="00F7245E">
        <w:rPr>
          <w:rFonts w:cs="Times New Roman"/>
        </w:rPr>
        <w:t>) enzimek aktivitására, és gyenge gátló hatást mutatott a CYP2C19 (IC</w:t>
      </w:r>
      <w:r w:rsidR="006B24F6" w:rsidRPr="00F7245E">
        <w:rPr>
          <w:rFonts w:cs="Times New Roman"/>
          <w:vertAlign w:val="subscript"/>
        </w:rPr>
        <w:t>50</w:t>
      </w:r>
      <w:r w:rsidRPr="00F7245E">
        <w:rPr>
          <w:rFonts w:cs="Times New Roman"/>
        </w:rPr>
        <w:t xml:space="preserve"> &gt;</w:t>
      </w:r>
      <w:r w:rsidR="006B24F6" w:rsidRPr="00F7245E">
        <w:rPr>
          <w:rFonts w:cs="Times New Roman"/>
        </w:rPr>
        <w:t> </w:t>
      </w:r>
      <w:r w:rsidRPr="00F7245E">
        <w:rPr>
          <w:rFonts w:cs="Times New Roman"/>
        </w:rPr>
        <w:t>20</w:t>
      </w:r>
      <w:r w:rsidR="006B24F6" w:rsidRPr="00F7245E">
        <w:rPr>
          <w:rFonts w:cs="Times New Roman"/>
        </w:rPr>
        <w:t> </w:t>
      </w:r>
      <w:r w:rsidR="00B84E11" w:rsidRPr="00F7245E">
        <w:rPr>
          <w:rFonts w:cs="Times New Roman"/>
        </w:rPr>
        <w:t>mcM</w:t>
      </w:r>
      <w:r w:rsidRPr="00F7245E">
        <w:rPr>
          <w:rFonts w:cs="Times New Roman"/>
        </w:rPr>
        <w:t xml:space="preserve">) enzim aktivitására. Az </w:t>
      </w:r>
      <w:r w:rsidR="00CA2919" w:rsidRPr="00F7245E">
        <w:rPr>
          <w:rFonts w:cs="Times New Roman"/>
        </w:rPr>
        <w:t xml:space="preserve">apixabán </w:t>
      </w:r>
      <w:r w:rsidR="005379F6" w:rsidRPr="00F7245E">
        <w:rPr>
          <w:rFonts w:cs="Times New Roman"/>
        </w:rPr>
        <w:t xml:space="preserve">legfeljebb </w:t>
      </w:r>
      <w:r w:rsidRPr="00F7245E">
        <w:rPr>
          <w:rFonts w:cs="Times New Roman"/>
        </w:rPr>
        <w:t>20</w:t>
      </w:r>
      <w:r w:rsidR="00EA5134" w:rsidRPr="00F7245E">
        <w:rPr>
          <w:rFonts w:cs="Times New Roman"/>
        </w:rPr>
        <w:t> mikro</w:t>
      </w:r>
      <w:r w:rsidR="00AD5B8D" w:rsidRPr="00F7245E">
        <w:rPr>
          <w:rFonts w:cs="Times New Roman"/>
        </w:rPr>
        <w:t>mol</w:t>
      </w:r>
      <w:r w:rsidR="00754341" w:rsidRPr="00F7245E">
        <w:rPr>
          <w:rFonts w:cs="Times New Roman"/>
        </w:rPr>
        <w:t>áris</w:t>
      </w:r>
      <w:r w:rsidRPr="00F7245E">
        <w:rPr>
          <w:rFonts w:cs="Times New Roman"/>
        </w:rPr>
        <w:t xml:space="preserve"> koncentrációig nem </w:t>
      </w:r>
      <w:r w:rsidR="00AD5B8D" w:rsidRPr="00F7245E">
        <w:rPr>
          <w:rFonts w:cs="Times New Roman"/>
        </w:rPr>
        <w:t xml:space="preserve">indukálta a CYP1A2, CYP2B6, illetve a CYP3A4/5 enzimeket. Következésképpen nem várható, hogy az </w:t>
      </w:r>
      <w:r w:rsidR="00CA2919" w:rsidRPr="00F7245E">
        <w:rPr>
          <w:rFonts w:cs="Times New Roman"/>
        </w:rPr>
        <w:t xml:space="preserve">apixabán </w:t>
      </w:r>
      <w:r w:rsidR="00AD5B8D" w:rsidRPr="00F7245E">
        <w:rPr>
          <w:rFonts w:cs="Times New Roman"/>
        </w:rPr>
        <w:t>megváltoztatja azoknak az együttesen alkalmazott gyógyszereknek a metabolikus clearance</w:t>
      </w:r>
      <w:r w:rsidR="00AD5B8D" w:rsidRPr="00F7245E">
        <w:rPr>
          <w:rFonts w:cs="Times New Roman"/>
        </w:rPr>
        <w:noBreakHyphen/>
        <w:t xml:space="preserve">ét, melyeket a fenti enzimek metabolizálnak. Az </w:t>
      </w:r>
      <w:r w:rsidR="00CA2919" w:rsidRPr="00F7245E">
        <w:rPr>
          <w:rFonts w:cs="Times New Roman"/>
        </w:rPr>
        <w:t xml:space="preserve">apixabán </w:t>
      </w:r>
      <w:r w:rsidR="00AD5B8D" w:rsidRPr="00F7245E">
        <w:rPr>
          <w:rFonts w:cs="Times New Roman"/>
        </w:rPr>
        <w:t>nem gátolja jelentős mértékben a P</w:t>
      </w:r>
      <w:r w:rsidR="00AD5B8D" w:rsidRPr="00F7245E">
        <w:rPr>
          <w:rFonts w:cs="Times New Roman"/>
        </w:rPr>
        <w:noBreakHyphen/>
        <w:t>gp</w:t>
      </w:r>
      <w:r w:rsidR="00AD5B8D" w:rsidRPr="00F7245E">
        <w:rPr>
          <w:rFonts w:cs="Times New Roman"/>
        </w:rPr>
        <w:noBreakHyphen/>
        <w:t>t.</w:t>
      </w:r>
    </w:p>
    <w:p w14:paraId="22BDD363" w14:textId="77777777" w:rsidR="00AD5B8D" w:rsidRPr="00F7245E" w:rsidRDefault="00AD5B8D" w:rsidP="00A21724">
      <w:pPr>
        <w:pStyle w:val="Nincstrkz"/>
        <w:rPr>
          <w:rFonts w:cs="Times New Roman"/>
        </w:rPr>
      </w:pPr>
    </w:p>
    <w:p w14:paraId="454F4451" w14:textId="0CAB8B05" w:rsidR="00B62AE4" w:rsidRPr="00F7245E" w:rsidRDefault="00B62AE4" w:rsidP="00A21724">
      <w:pPr>
        <w:pStyle w:val="Nincstrkz"/>
        <w:rPr>
          <w:rFonts w:cs="Times New Roman"/>
        </w:rPr>
      </w:pPr>
      <w:r w:rsidRPr="00F7245E">
        <w:rPr>
          <w:rFonts w:cs="Times New Roman"/>
        </w:rPr>
        <w:t xml:space="preserve">Az alábbiakban részletezett, egészséges egyéneken végzett vizsgálatok szerint az </w:t>
      </w:r>
      <w:r w:rsidR="00CA2919" w:rsidRPr="00F7245E">
        <w:rPr>
          <w:rFonts w:cs="Times New Roman"/>
        </w:rPr>
        <w:t xml:space="preserve">apixabán </w:t>
      </w:r>
      <w:r w:rsidRPr="00F7245E">
        <w:rPr>
          <w:rFonts w:cs="Times New Roman"/>
        </w:rPr>
        <w:t>nem változtatta meg számottevően a digoxin, a</w:t>
      </w:r>
      <w:r w:rsidR="00AD5B8D" w:rsidRPr="00F7245E">
        <w:rPr>
          <w:rFonts w:cs="Times New Roman"/>
        </w:rPr>
        <w:t xml:space="preserve"> </w:t>
      </w:r>
      <w:r w:rsidR="003B67D5" w:rsidRPr="00F7245E">
        <w:rPr>
          <w:rFonts w:cs="Times New Roman"/>
        </w:rPr>
        <w:t>nap</w:t>
      </w:r>
      <w:r w:rsidRPr="00F7245E">
        <w:rPr>
          <w:rFonts w:cs="Times New Roman"/>
        </w:rPr>
        <w:t>roxén vagy az atenolol farmakokinetikáját.</w:t>
      </w:r>
    </w:p>
    <w:p w14:paraId="0CFCB876" w14:textId="77777777" w:rsidR="00B62AE4" w:rsidRPr="00F7245E" w:rsidRDefault="00B62AE4" w:rsidP="00A21724">
      <w:pPr>
        <w:pStyle w:val="Nincstrkz"/>
        <w:rPr>
          <w:rFonts w:cs="Times New Roman"/>
        </w:rPr>
      </w:pPr>
    </w:p>
    <w:p w14:paraId="563D42F5" w14:textId="77777777" w:rsidR="00B62AE4" w:rsidRPr="00F7245E" w:rsidRDefault="00B62AE4" w:rsidP="00A21724">
      <w:pPr>
        <w:pStyle w:val="Nincstrkz"/>
        <w:keepNext/>
        <w:rPr>
          <w:rFonts w:cs="Times New Roman"/>
          <w:i/>
          <w:iCs/>
        </w:rPr>
      </w:pPr>
      <w:r w:rsidRPr="00F7245E">
        <w:rPr>
          <w:rFonts w:cs="Times New Roman"/>
          <w:i/>
          <w:iCs/>
        </w:rPr>
        <w:t>Digoxin</w:t>
      </w:r>
    </w:p>
    <w:p w14:paraId="073EA4C6" w14:textId="39E089FD" w:rsidR="00B62AE4" w:rsidRPr="00F7245E" w:rsidRDefault="00B62AE4" w:rsidP="00A21724">
      <w:pPr>
        <w:pStyle w:val="Nincstrkz"/>
        <w:keepNext/>
        <w:rPr>
          <w:rFonts w:cs="Times New Roman"/>
        </w:rPr>
      </w:pPr>
      <w:r w:rsidRPr="00F7245E">
        <w:rPr>
          <w:rFonts w:cs="Times New Roman"/>
        </w:rPr>
        <w:t>Naponta egyszer 20</w:t>
      </w:r>
      <w:r w:rsidR="004C106B" w:rsidRPr="00F7245E">
        <w:rPr>
          <w:rFonts w:cs="Times New Roman"/>
        </w:rPr>
        <w:t> mg</w:t>
      </w:r>
      <w:r w:rsidRPr="00F7245E">
        <w:rPr>
          <w:rFonts w:cs="Times New Roman"/>
        </w:rPr>
        <w:t xml:space="preserve"> </w:t>
      </w:r>
      <w:r w:rsidR="00CA2919" w:rsidRPr="00F7245E">
        <w:rPr>
          <w:rFonts w:cs="Times New Roman"/>
        </w:rPr>
        <w:t xml:space="preserve">apixabán </w:t>
      </w:r>
      <w:r w:rsidRPr="00F7245E">
        <w:rPr>
          <w:rFonts w:cs="Times New Roman"/>
        </w:rPr>
        <w:t>és</w:t>
      </w:r>
      <w:r w:rsidR="00AD5B8D" w:rsidRPr="00F7245E">
        <w:rPr>
          <w:rFonts w:cs="Times New Roman"/>
        </w:rPr>
        <w:t xml:space="preserve"> </w:t>
      </w:r>
      <w:r w:rsidR="003B67D5" w:rsidRPr="00F7245E">
        <w:rPr>
          <w:rFonts w:cs="Times New Roman"/>
        </w:rPr>
        <w:t>nap</w:t>
      </w:r>
      <w:r w:rsidRPr="00F7245E">
        <w:rPr>
          <w:rFonts w:cs="Times New Roman"/>
        </w:rPr>
        <w:t>onta egyszer 0,25</w:t>
      </w:r>
      <w:r w:rsidR="004C106B" w:rsidRPr="00F7245E">
        <w:rPr>
          <w:rFonts w:cs="Times New Roman"/>
        </w:rPr>
        <w:t> mg</w:t>
      </w:r>
      <w:r w:rsidRPr="00F7245E">
        <w:rPr>
          <w:rFonts w:cs="Times New Roman"/>
        </w:rPr>
        <w:t xml:space="preserve"> digoxin (P</w:t>
      </w:r>
      <w:r w:rsidR="00AD5B8D" w:rsidRPr="00F7245E">
        <w:rPr>
          <w:rFonts w:cs="Times New Roman"/>
        </w:rPr>
        <w:noBreakHyphen/>
      </w:r>
      <w:r w:rsidRPr="00F7245E">
        <w:rPr>
          <w:rFonts w:cs="Times New Roman"/>
        </w:rPr>
        <w:t>gp szubsztrát) együttes alkalmazása nem befolyásolta a digoxin AUC</w:t>
      </w:r>
      <w:r w:rsidR="00AD5B8D" w:rsidRPr="00F7245E">
        <w:rPr>
          <w:rFonts w:cs="Times New Roman"/>
        </w:rPr>
        <w:noBreakHyphen/>
      </w:r>
      <w:r w:rsidRPr="00F7245E">
        <w:rPr>
          <w:rFonts w:cs="Times New Roman"/>
        </w:rPr>
        <w:t xml:space="preserve">, illetve </w:t>
      </w:r>
      <w:r w:rsidR="00EA5134" w:rsidRPr="00F7245E">
        <w:rPr>
          <w:rFonts w:cs="Times New Roman"/>
        </w:rPr>
        <w:t>C</w:t>
      </w:r>
      <w:r w:rsidR="00EA5134" w:rsidRPr="00F7245E">
        <w:rPr>
          <w:rFonts w:cs="Times New Roman"/>
          <w:vertAlign w:val="subscript"/>
        </w:rPr>
        <w:t>max</w:t>
      </w:r>
      <w:r w:rsidRPr="00F7245E">
        <w:rPr>
          <w:rFonts w:cs="Times New Roman"/>
        </w:rPr>
        <w:t xml:space="preserve">-értékét, következésképpen az </w:t>
      </w:r>
      <w:r w:rsidR="00CA2919" w:rsidRPr="00F7245E">
        <w:rPr>
          <w:rFonts w:cs="Times New Roman"/>
        </w:rPr>
        <w:t xml:space="preserve">apixabán </w:t>
      </w:r>
      <w:r w:rsidRPr="00F7245E">
        <w:rPr>
          <w:rFonts w:cs="Times New Roman"/>
        </w:rPr>
        <w:t>nem gátolja a P</w:t>
      </w:r>
      <w:r w:rsidR="00AD5B8D" w:rsidRPr="00F7245E">
        <w:rPr>
          <w:rFonts w:cs="Times New Roman"/>
        </w:rPr>
        <w:noBreakHyphen/>
      </w:r>
      <w:r w:rsidRPr="00F7245E">
        <w:rPr>
          <w:rFonts w:cs="Times New Roman"/>
        </w:rPr>
        <w:t>gp mediálta szubsztrát transzportot.</w:t>
      </w:r>
    </w:p>
    <w:p w14:paraId="0943E566" w14:textId="77777777" w:rsidR="00B62AE4" w:rsidRPr="00F7245E" w:rsidRDefault="00B62AE4" w:rsidP="00A21724">
      <w:pPr>
        <w:pStyle w:val="Nincstrkz"/>
        <w:rPr>
          <w:rFonts w:cs="Times New Roman"/>
        </w:rPr>
      </w:pPr>
    </w:p>
    <w:p w14:paraId="0CC426A4" w14:textId="77777777" w:rsidR="00B62AE4" w:rsidRPr="00F7245E" w:rsidRDefault="00B62AE4" w:rsidP="00A21724">
      <w:pPr>
        <w:pStyle w:val="Nincstrkz"/>
        <w:rPr>
          <w:rFonts w:cs="Times New Roman"/>
          <w:i/>
          <w:iCs/>
        </w:rPr>
      </w:pPr>
      <w:r w:rsidRPr="00F7245E">
        <w:rPr>
          <w:rFonts w:cs="Times New Roman"/>
          <w:i/>
          <w:iCs/>
        </w:rPr>
        <w:t>Naproxén</w:t>
      </w:r>
    </w:p>
    <w:p w14:paraId="5C0B17FA" w14:textId="761A8F31" w:rsidR="00B62AE4" w:rsidRPr="00F7245E" w:rsidRDefault="00B62AE4" w:rsidP="00A21724">
      <w:pPr>
        <w:pStyle w:val="Nincstrkz"/>
        <w:rPr>
          <w:rFonts w:cs="Times New Roman"/>
        </w:rPr>
      </w:pPr>
      <w:r w:rsidRPr="00F7245E">
        <w:rPr>
          <w:rFonts w:cs="Times New Roman"/>
        </w:rPr>
        <w:t xml:space="preserve">Az </w:t>
      </w:r>
      <w:r w:rsidR="00CA2919" w:rsidRPr="00F7245E">
        <w:rPr>
          <w:rFonts w:cs="Times New Roman"/>
        </w:rPr>
        <w:t xml:space="preserve">apixabán </w:t>
      </w:r>
      <w:r w:rsidRPr="00F7245E">
        <w:rPr>
          <w:rFonts w:cs="Times New Roman"/>
        </w:rPr>
        <w:t>(10</w:t>
      </w:r>
      <w:r w:rsidR="004C106B" w:rsidRPr="00F7245E">
        <w:rPr>
          <w:rFonts w:cs="Times New Roman"/>
        </w:rPr>
        <w:t> mg</w:t>
      </w:r>
      <w:r w:rsidRPr="00F7245E">
        <w:rPr>
          <w:rFonts w:cs="Times New Roman"/>
        </w:rPr>
        <w:t>) és egy gyakran használt NSAID, a</w:t>
      </w:r>
      <w:r w:rsidR="00EA5134" w:rsidRPr="00F7245E">
        <w:rPr>
          <w:rFonts w:cs="Times New Roman"/>
        </w:rPr>
        <w:t xml:space="preserve"> </w:t>
      </w:r>
      <w:r w:rsidR="003B67D5" w:rsidRPr="00F7245E">
        <w:rPr>
          <w:rFonts w:cs="Times New Roman"/>
        </w:rPr>
        <w:t>nap</w:t>
      </w:r>
      <w:r w:rsidRPr="00F7245E">
        <w:rPr>
          <w:rFonts w:cs="Times New Roman"/>
        </w:rPr>
        <w:t>roxén (500</w:t>
      </w:r>
      <w:r w:rsidR="004C106B" w:rsidRPr="00F7245E">
        <w:rPr>
          <w:rFonts w:cs="Times New Roman"/>
        </w:rPr>
        <w:t> mg</w:t>
      </w:r>
      <w:r w:rsidRPr="00F7245E">
        <w:rPr>
          <w:rFonts w:cs="Times New Roman"/>
        </w:rPr>
        <w:t>) egyszeri dózisai</w:t>
      </w:r>
      <w:r w:rsidR="00AD5B8D" w:rsidRPr="00F7245E">
        <w:rPr>
          <w:rFonts w:cs="Times New Roman"/>
        </w:rPr>
        <w:t>nak</w:t>
      </w:r>
      <w:r w:rsidRPr="00F7245E">
        <w:rPr>
          <w:rFonts w:cs="Times New Roman"/>
        </w:rPr>
        <w:t xml:space="preserve"> együttes alkalmazásának nem volt semmilyen hatása a</w:t>
      </w:r>
      <w:r w:rsidR="00EA5134" w:rsidRPr="00F7245E">
        <w:rPr>
          <w:rFonts w:cs="Times New Roman"/>
        </w:rPr>
        <w:t xml:space="preserve"> </w:t>
      </w:r>
      <w:r w:rsidR="003B67D5" w:rsidRPr="00F7245E">
        <w:rPr>
          <w:rFonts w:cs="Times New Roman"/>
        </w:rPr>
        <w:t>nap</w:t>
      </w:r>
      <w:r w:rsidRPr="00F7245E">
        <w:rPr>
          <w:rFonts w:cs="Times New Roman"/>
        </w:rPr>
        <w:t>roxén AUC</w:t>
      </w:r>
      <w:r w:rsidR="00AD5B8D" w:rsidRPr="00F7245E">
        <w:rPr>
          <w:rFonts w:cs="Times New Roman"/>
        </w:rPr>
        <w:noBreakHyphen/>
      </w:r>
      <w:r w:rsidRPr="00F7245E">
        <w:rPr>
          <w:rFonts w:cs="Times New Roman"/>
        </w:rPr>
        <w:t>, illetve C</w:t>
      </w:r>
      <w:r w:rsidR="00C77F20" w:rsidRPr="00F7245E">
        <w:rPr>
          <w:rFonts w:cs="Times New Roman"/>
          <w:vertAlign w:val="subscript"/>
        </w:rPr>
        <w:t>max</w:t>
      </w:r>
      <w:r w:rsidR="00C77F20" w:rsidRPr="00F7245E">
        <w:rPr>
          <w:rFonts w:cs="Times New Roman"/>
        </w:rPr>
        <w:noBreakHyphen/>
      </w:r>
      <w:r w:rsidRPr="00F7245E">
        <w:rPr>
          <w:rFonts w:cs="Times New Roman"/>
        </w:rPr>
        <w:t>értékére.</w:t>
      </w:r>
    </w:p>
    <w:p w14:paraId="30A3A6B7" w14:textId="77777777" w:rsidR="00B62AE4" w:rsidRPr="00F7245E" w:rsidRDefault="00B62AE4" w:rsidP="00A21724">
      <w:pPr>
        <w:pStyle w:val="Nincstrkz"/>
        <w:rPr>
          <w:rFonts w:cs="Times New Roman"/>
        </w:rPr>
      </w:pPr>
    </w:p>
    <w:p w14:paraId="113F8C9B" w14:textId="77777777" w:rsidR="00B62AE4" w:rsidRPr="00F7245E" w:rsidRDefault="00B62AE4" w:rsidP="00A21724">
      <w:pPr>
        <w:pStyle w:val="Nincstrkz"/>
        <w:rPr>
          <w:rFonts w:cs="Times New Roman"/>
          <w:i/>
          <w:iCs/>
        </w:rPr>
      </w:pPr>
      <w:r w:rsidRPr="00F7245E">
        <w:rPr>
          <w:rFonts w:cs="Times New Roman"/>
          <w:i/>
          <w:iCs/>
        </w:rPr>
        <w:t>Atenolol</w:t>
      </w:r>
    </w:p>
    <w:p w14:paraId="4E01CCC8" w14:textId="73F4344C" w:rsidR="00B62AE4" w:rsidRPr="00F7245E" w:rsidRDefault="00B62AE4" w:rsidP="00A21724">
      <w:pPr>
        <w:pStyle w:val="Nincstrkz"/>
        <w:rPr>
          <w:rFonts w:cs="Times New Roman"/>
        </w:rPr>
      </w:pPr>
      <w:r w:rsidRPr="00F7245E">
        <w:rPr>
          <w:rFonts w:cs="Times New Roman"/>
        </w:rPr>
        <w:t xml:space="preserve">Az </w:t>
      </w:r>
      <w:r w:rsidR="00CA2919" w:rsidRPr="00F7245E">
        <w:rPr>
          <w:rFonts w:cs="Times New Roman"/>
        </w:rPr>
        <w:t xml:space="preserve">apixabán </w:t>
      </w:r>
      <w:r w:rsidRPr="00F7245E">
        <w:rPr>
          <w:rFonts w:cs="Times New Roman"/>
        </w:rPr>
        <w:t>(10</w:t>
      </w:r>
      <w:r w:rsidR="004C106B" w:rsidRPr="00F7245E">
        <w:rPr>
          <w:rFonts w:cs="Times New Roman"/>
        </w:rPr>
        <w:t> mg</w:t>
      </w:r>
      <w:r w:rsidRPr="00F7245E">
        <w:rPr>
          <w:rFonts w:cs="Times New Roman"/>
        </w:rPr>
        <w:t>) és egy gyakran használt béta</w:t>
      </w:r>
      <w:r w:rsidR="00AD5B8D" w:rsidRPr="00F7245E">
        <w:rPr>
          <w:rFonts w:cs="Times New Roman"/>
        </w:rPr>
        <w:noBreakHyphen/>
      </w:r>
      <w:r w:rsidRPr="00F7245E">
        <w:rPr>
          <w:rFonts w:cs="Times New Roman"/>
        </w:rPr>
        <w:t>blokkoló, az atenolol (100</w:t>
      </w:r>
      <w:r w:rsidR="004C106B" w:rsidRPr="00F7245E">
        <w:rPr>
          <w:rFonts w:cs="Times New Roman"/>
        </w:rPr>
        <w:t> mg</w:t>
      </w:r>
      <w:r w:rsidRPr="00F7245E">
        <w:rPr>
          <w:rFonts w:cs="Times New Roman"/>
        </w:rPr>
        <w:t>) egyszeri dózisainak együttes alkalmazása nem változtatta meg az atenolol farmakokinetikáját.</w:t>
      </w:r>
    </w:p>
    <w:p w14:paraId="3619F085" w14:textId="77777777" w:rsidR="00B62AE4" w:rsidRPr="00F7245E" w:rsidRDefault="00B62AE4" w:rsidP="00A21724">
      <w:pPr>
        <w:pStyle w:val="Nincstrkz"/>
        <w:rPr>
          <w:rFonts w:cs="Times New Roman"/>
        </w:rPr>
      </w:pPr>
    </w:p>
    <w:p w14:paraId="1C2CEC52" w14:textId="77777777" w:rsidR="00B62AE4" w:rsidRPr="00F7245E" w:rsidRDefault="00B62AE4" w:rsidP="00A21724">
      <w:pPr>
        <w:pStyle w:val="Nincstrkz"/>
        <w:rPr>
          <w:rFonts w:cs="Times New Roman"/>
          <w:u w:val="single"/>
        </w:rPr>
      </w:pPr>
      <w:r w:rsidRPr="00F7245E">
        <w:rPr>
          <w:rFonts w:cs="Times New Roman"/>
          <w:u w:val="single"/>
        </w:rPr>
        <w:t>Orvosi szén</w:t>
      </w:r>
    </w:p>
    <w:p w14:paraId="294CDD93" w14:textId="77777777" w:rsidR="00265C86" w:rsidRPr="00F7245E" w:rsidRDefault="00265C86" w:rsidP="00A21724">
      <w:pPr>
        <w:pStyle w:val="Nincstrkz"/>
        <w:rPr>
          <w:rFonts w:cs="Times New Roman"/>
          <w:u w:val="single"/>
        </w:rPr>
      </w:pPr>
    </w:p>
    <w:p w14:paraId="0272BCA4" w14:textId="316AD8DD" w:rsidR="00B62AE4" w:rsidRPr="00F7245E" w:rsidRDefault="00B62AE4" w:rsidP="00A21724">
      <w:pPr>
        <w:pStyle w:val="Nincstrkz"/>
        <w:rPr>
          <w:rFonts w:cs="Times New Roman"/>
        </w:rPr>
      </w:pPr>
      <w:r w:rsidRPr="00F7245E">
        <w:rPr>
          <w:rFonts w:cs="Times New Roman"/>
        </w:rPr>
        <w:t xml:space="preserve">Az orvosi szén adása csökkenti az </w:t>
      </w:r>
      <w:r w:rsidR="00CA2919" w:rsidRPr="00F7245E">
        <w:rPr>
          <w:rFonts w:cs="Times New Roman"/>
        </w:rPr>
        <w:t xml:space="preserve">apixabán </w:t>
      </w:r>
      <w:r w:rsidRPr="00F7245E">
        <w:rPr>
          <w:rFonts w:cs="Times New Roman"/>
        </w:rPr>
        <w:t>expozíciót (lásd 4.9</w:t>
      </w:r>
      <w:r w:rsidR="004C106B" w:rsidRPr="00F7245E">
        <w:rPr>
          <w:rFonts w:cs="Times New Roman"/>
        </w:rPr>
        <w:t> pont</w:t>
      </w:r>
      <w:r w:rsidRPr="00F7245E">
        <w:rPr>
          <w:rFonts w:cs="Times New Roman"/>
        </w:rPr>
        <w:t>).</w:t>
      </w:r>
    </w:p>
    <w:p w14:paraId="06BB918F" w14:textId="77777777" w:rsidR="00B62AE4" w:rsidRPr="00F7245E" w:rsidRDefault="00B62AE4" w:rsidP="00A21724">
      <w:pPr>
        <w:pStyle w:val="Nincstrkz"/>
        <w:rPr>
          <w:rFonts w:cs="Times New Roman"/>
        </w:rPr>
      </w:pPr>
    </w:p>
    <w:p w14:paraId="58A2B1AC" w14:textId="77777777" w:rsidR="00265C86" w:rsidRPr="00F7245E" w:rsidRDefault="00265C86" w:rsidP="00265C86">
      <w:pPr>
        <w:rPr>
          <w:u w:val="single"/>
        </w:rPr>
      </w:pPr>
      <w:r w:rsidRPr="00F7245E">
        <w:rPr>
          <w:u w:val="single"/>
        </w:rPr>
        <w:t>Gyermekek és serdülők</w:t>
      </w:r>
    </w:p>
    <w:p w14:paraId="7486E8D3" w14:textId="77777777" w:rsidR="00265C86" w:rsidRPr="00F7245E" w:rsidRDefault="00265C86" w:rsidP="00265C86">
      <w:pPr>
        <w:rPr>
          <w:u w:val="single"/>
        </w:rPr>
      </w:pPr>
    </w:p>
    <w:p w14:paraId="769EE295" w14:textId="77777777" w:rsidR="00265C86" w:rsidRPr="00F7245E" w:rsidRDefault="00265C86" w:rsidP="00265C86">
      <w:r w:rsidRPr="00F7245E">
        <w:t>Interakciós vizsgálatokat nem végeztek gyermekeknél és serdülőknél.</w:t>
      </w:r>
    </w:p>
    <w:p w14:paraId="486758C0" w14:textId="77777777" w:rsidR="00265C86" w:rsidRPr="00F7245E" w:rsidRDefault="00265C86" w:rsidP="00265C86"/>
    <w:p w14:paraId="3FC4A9DF" w14:textId="77777777" w:rsidR="00265C86" w:rsidRPr="00F7245E" w:rsidRDefault="00265C86" w:rsidP="00265C86">
      <w:r w:rsidRPr="00F7245E">
        <w:t>A fent említett interakciós adatok felnőttektől származnak, és a 4.4 pontban szereplő figyelmeztetéseket figyelembe kell venni gyermekeknél és serdülőknél is.</w:t>
      </w:r>
    </w:p>
    <w:p w14:paraId="2D525B08" w14:textId="77777777" w:rsidR="00265C86" w:rsidRPr="00F7245E" w:rsidRDefault="00265C86" w:rsidP="00A21724">
      <w:pPr>
        <w:pStyle w:val="Nincstrkz"/>
        <w:rPr>
          <w:rFonts w:cs="Times New Roman"/>
        </w:rPr>
      </w:pPr>
    </w:p>
    <w:p w14:paraId="64CBD458" w14:textId="2F699979" w:rsidR="00B62AE4" w:rsidRPr="00F7245E" w:rsidRDefault="00EA5134" w:rsidP="00A21724">
      <w:pPr>
        <w:pStyle w:val="Nincstrkz"/>
        <w:tabs>
          <w:tab w:val="left" w:pos="567"/>
        </w:tabs>
        <w:rPr>
          <w:rFonts w:cs="Times New Roman"/>
          <w:b/>
          <w:bCs/>
        </w:rPr>
      </w:pPr>
      <w:r w:rsidRPr="00F7245E">
        <w:rPr>
          <w:rFonts w:cs="Times New Roman"/>
          <w:b/>
          <w:bCs/>
          <w:w w:val="105"/>
        </w:rPr>
        <w:t>4.6</w:t>
      </w:r>
      <w:r w:rsidRPr="00F7245E">
        <w:rPr>
          <w:rFonts w:cs="Times New Roman"/>
          <w:b/>
          <w:bCs/>
          <w:w w:val="105"/>
        </w:rPr>
        <w:tab/>
      </w:r>
      <w:r w:rsidR="00B62AE4" w:rsidRPr="00F7245E">
        <w:rPr>
          <w:rFonts w:cs="Times New Roman"/>
          <w:b/>
          <w:bCs/>
          <w:w w:val="105"/>
        </w:rPr>
        <w:t>Termékenység, terhesség és</w:t>
      </w:r>
      <w:r w:rsidR="00B62AE4" w:rsidRPr="00F7245E">
        <w:rPr>
          <w:rFonts w:cs="Times New Roman"/>
          <w:b/>
          <w:bCs/>
          <w:spacing w:val="-6"/>
          <w:w w:val="105"/>
        </w:rPr>
        <w:t xml:space="preserve"> </w:t>
      </w:r>
      <w:r w:rsidR="00B62AE4" w:rsidRPr="00F7245E">
        <w:rPr>
          <w:rFonts w:cs="Times New Roman"/>
          <w:b/>
          <w:bCs/>
          <w:w w:val="105"/>
        </w:rPr>
        <w:t>szoptatás</w:t>
      </w:r>
    </w:p>
    <w:p w14:paraId="7A9E2A0B" w14:textId="77777777" w:rsidR="00B62AE4" w:rsidRPr="00F7245E" w:rsidRDefault="00B62AE4" w:rsidP="00A21724">
      <w:pPr>
        <w:pStyle w:val="Nincstrkz"/>
        <w:rPr>
          <w:rFonts w:cs="Times New Roman"/>
        </w:rPr>
      </w:pPr>
    </w:p>
    <w:p w14:paraId="20BFE31B" w14:textId="77777777" w:rsidR="00B62AE4" w:rsidRPr="00F7245E" w:rsidRDefault="00B62AE4" w:rsidP="00A21724">
      <w:pPr>
        <w:pStyle w:val="Nincstrkz"/>
        <w:rPr>
          <w:rFonts w:cs="Times New Roman"/>
          <w:u w:val="single"/>
        </w:rPr>
      </w:pPr>
      <w:r w:rsidRPr="00F7245E">
        <w:rPr>
          <w:rFonts w:cs="Times New Roman"/>
          <w:u w:val="single"/>
        </w:rPr>
        <w:t>Terhesség</w:t>
      </w:r>
    </w:p>
    <w:p w14:paraId="1D7FC057" w14:textId="77777777" w:rsidR="00265C86" w:rsidRPr="00F7245E" w:rsidRDefault="00265C86" w:rsidP="00A21724">
      <w:pPr>
        <w:pStyle w:val="Nincstrkz"/>
        <w:rPr>
          <w:rFonts w:cs="Times New Roman"/>
          <w:u w:val="single"/>
        </w:rPr>
      </w:pPr>
    </w:p>
    <w:p w14:paraId="7C784711" w14:textId="6766C606" w:rsidR="00B62AE4" w:rsidRPr="00F7245E" w:rsidRDefault="00B62AE4" w:rsidP="00A21724">
      <w:pPr>
        <w:pStyle w:val="Nincstrkz"/>
        <w:rPr>
          <w:rFonts w:cs="Times New Roman"/>
        </w:rPr>
      </w:pPr>
      <w:r w:rsidRPr="00F7245E">
        <w:rPr>
          <w:rFonts w:cs="Times New Roman"/>
        </w:rPr>
        <w:t xml:space="preserve">Az </w:t>
      </w:r>
      <w:r w:rsidR="00CA2919" w:rsidRPr="00F7245E">
        <w:rPr>
          <w:rFonts w:cs="Times New Roman"/>
        </w:rPr>
        <w:t xml:space="preserve">apixabán </w:t>
      </w:r>
      <w:r w:rsidRPr="00F7245E">
        <w:rPr>
          <w:rFonts w:cs="Times New Roman"/>
        </w:rPr>
        <w:t>terhes nőknél történő alkalmazásáról nincs</w:t>
      </w:r>
      <w:r w:rsidR="00AD5B8D" w:rsidRPr="00F7245E">
        <w:rPr>
          <w:rFonts w:cs="Times New Roman"/>
        </w:rPr>
        <w:t>enek</w:t>
      </w:r>
      <w:r w:rsidRPr="00F7245E">
        <w:rPr>
          <w:rFonts w:cs="Times New Roman"/>
        </w:rPr>
        <w:t xml:space="preserve"> adat</w:t>
      </w:r>
      <w:r w:rsidR="00AD5B8D" w:rsidRPr="00F7245E">
        <w:rPr>
          <w:rFonts w:cs="Times New Roman"/>
        </w:rPr>
        <w:t>ok</w:t>
      </w:r>
      <w:r w:rsidRPr="00F7245E">
        <w:rPr>
          <w:rFonts w:cs="Times New Roman"/>
        </w:rPr>
        <w:t>. Állatkísérletek nem igazoltak direkt vagy indirekt káros hatásokat a reproduktív toxicitás tekintetében</w:t>
      </w:r>
      <w:r w:rsidR="00265C86" w:rsidRPr="00F7245E">
        <w:rPr>
          <w:rFonts w:cs="Times New Roman"/>
        </w:rPr>
        <w:t xml:space="preserve"> </w:t>
      </w:r>
      <w:r w:rsidR="00265C86" w:rsidRPr="00F7245E">
        <w:rPr>
          <w:noProof/>
        </w:rPr>
        <w:t>(lásd 5.3 pont)</w:t>
      </w:r>
      <w:r w:rsidRPr="00F7245E">
        <w:rPr>
          <w:rFonts w:cs="Times New Roman"/>
        </w:rPr>
        <w:t xml:space="preserve">. Az </w:t>
      </w:r>
      <w:r w:rsidR="00CA2919" w:rsidRPr="00F7245E">
        <w:rPr>
          <w:rFonts w:cs="Times New Roman"/>
        </w:rPr>
        <w:t xml:space="preserve">apixabán </w:t>
      </w:r>
      <w:r w:rsidRPr="00F7245E">
        <w:rPr>
          <w:rFonts w:cs="Times New Roman"/>
        </w:rPr>
        <w:t xml:space="preserve">alkalmazása </w:t>
      </w:r>
      <w:r w:rsidR="00265C86" w:rsidRPr="00F7245E">
        <w:rPr>
          <w:noProof/>
        </w:rPr>
        <w:t xml:space="preserve">elővigyázatosságból kerülendő </w:t>
      </w:r>
      <w:r w:rsidR="00AE0D16" w:rsidRPr="00F7245E">
        <w:rPr>
          <w:rFonts w:cs="Times New Roman"/>
        </w:rPr>
        <w:t>terhesség alatt</w:t>
      </w:r>
      <w:r w:rsidRPr="00F7245E">
        <w:rPr>
          <w:rFonts w:cs="Times New Roman"/>
        </w:rPr>
        <w:t>.</w:t>
      </w:r>
    </w:p>
    <w:p w14:paraId="2D4B4339" w14:textId="77777777" w:rsidR="00B62AE4" w:rsidRPr="00F7245E" w:rsidRDefault="00B62AE4" w:rsidP="00A21724">
      <w:pPr>
        <w:pStyle w:val="Nincstrkz"/>
        <w:rPr>
          <w:rFonts w:cs="Times New Roman"/>
        </w:rPr>
      </w:pPr>
    </w:p>
    <w:p w14:paraId="3B5EB8D9" w14:textId="77777777" w:rsidR="00B62AE4" w:rsidRPr="00F7245E" w:rsidRDefault="00B62AE4" w:rsidP="00A21724">
      <w:pPr>
        <w:pStyle w:val="Nincstrkz"/>
        <w:rPr>
          <w:rFonts w:cs="Times New Roman"/>
          <w:u w:val="single"/>
        </w:rPr>
      </w:pPr>
      <w:r w:rsidRPr="00F7245E">
        <w:rPr>
          <w:rFonts w:cs="Times New Roman"/>
          <w:u w:val="single"/>
        </w:rPr>
        <w:t>Szoptatás</w:t>
      </w:r>
    </w:p>
    <w:p w14:paraId="0E2C8A96" w14:textId="77777777" w:rsidR="00265C86" w:rsidRPr="00F7245E" w:rsidRDefault="00265C86" w:rsidP="00A21724">
      <w:pPr>
        <w:pStyle w:val="Nincstrkz"/>
        <w:rPr>
          <w:rFonts w:cs="Times New Roman"/>
          <w:u w:val="single"/>
        </w:rPr>
      </w:pPr>
    </w:p>
    <w:p w14:paraId="3BE64030" w14:textId="022018E9" w:rsidR="00B62AE4" w:rsidRPr="00F7245E" w:rsidRDefault="00B62AE4" w:rsidP="00A21724">
      <w:pPr>
        <w:pStyle w:val="Nincstrkz"/>
        <w:rPr>
          <w:rFonts w:cs="Times New Roman"/>
        </w:rPr>
      </w:pPr>
      <w:r w:rsidRPr="00F7245E">
        <w:rPr>
          <w:rFonts w:cs="Times New Roman"/>
        </w:rPr>
        <w:t xml:space="preserve">Nem ismert, hogy az </w:t>
      </w:r>
      <w:r w:rsidR="00CA2919" w:rsidRPr="00F7245E">
        <w:rPr>
          <w:rFonts w:cs="Times New Roman"/>
        </w:rPr>
        <w:t xml:space="preserve">apixabán </w:t>
      </w:r>
      <w:r w:rsidRPr="00F7245E">
        <w:rPr>
          <w:rFonts w:cs="Times New Roman"/>
        </w:rPr>
        <w:t>vagy annak metabolitjai kiválasztódnak</w:t>
      </w:r>
      <w:r w:rsidR="00AE0D16" w:rsidRPr="00F7245E">
        <w:rPr>
          <w:rFonts w:cs="Times New Roman"/>
        </w:rPr>
        <w:noBreakHyphen/>
      </w:r>
      <w:r w:rsidRPr="00F7245E">
        <w:rPr>
          <w:rFonts w:cs="Times New Roman"/>
        </w:rPr>
        <w:t xml:space="preserve">e a humán anyatejbe. A rendelkezésre álló, állatkísérletekből származó adatok az </w:t>
      </w:r>
      <w:r w:rsidR="00CA2919" w:rsidRPr="00F7245E">
        <w:rPr>
          <w:rFonts w:cs="Times New Roman"/>
        </w:rPr>
        <w:t xml:space="preserve">apixabán </w:t>
      </w:r>
      <w:r w:rsidRPr="00F7245E">
        <w:rPr>
          <w:rFonts w:cs="Times New Roman"/>
        </w:rPr>
        <w:t>anyatejbe való kiválasztódását igazolták</w:t>
      </w:r>
      <w:r w:rsidR="00663538" w:rsidRPr="00F7245E">
        <w:rPr>
          <w:rFonts w:cs="Times New Roman"/>
        </w:rPr>
        <w:t xml:space="preserve"> (lásd 5.3 pont).</w:t>
      </w:r>
      <w:r w:rsidRPr="00F7245E">
        <w:rPr>
          <w:rFonts w:cs="Times New Roman"/>
        </w:rPr>
        <w:t xml:space="preserve"> Az anyatejjel táplált csecsemőre nézve a kockázatot nem lehet kizárni.</w:t>
      </w:r>
    </w:p>
    <w:p w14:paraId="0B3945BC" w14:textId="77777777" w:rsidR="00B62AE4" w:rsidRPr="00F7245E" w:rsidRDefault="00B62AE4" w:rsidP="00A21724">
      <w:pPr>
        <w:pStyle w:val="Nincstrkz"/>
        <w:rPr>
          <w:rFonts w:cs="Times New Roman"/>
        </w:rPr>
      </w:pPr>
    </w:p>
    <w:p w14:paraId="1ED6BEB0" w14:textId="77777777" w:rsidR="00265C86" w:rsidRPr="00F7245E" w:rsidRDefault="00B62AE4" w:rsidP="00265C86">
      <w:pPr>
        <w:rPr>
          <w:noProof/>
        </w:rPr>
      </w:pPr>
      <w:r w:rsidRPr="00F7245E">
        <w:t xml:space="preserve">Az </w:t>
      </w:r>
      <w:r w:rsidR="00CA2919" w:rsidRPr="00F7245E">
        <w:t xml:space="preserve">apixabán </w:t>
      </w:r>
      <w:r w:rsidRPr="00F7245E">
        <w:t xml:space="preserve">alkalmazása előtt el kell dönteni, hogy a szoptatást függesztik fel vagy </w:t>
      </w:r>
    </w:p>
    <w:p w14:paraId="004F943E" w14:textId="77777777" w:rsidR="00265C86" w:rsidRPr="00F7245E" w:rsidRDefault="00265C86" w:rsidP="00265C86">
      <w:pPr>
        <w:rPr>
          <w:noProof/>
        </w:rPr>
      </w:pPr>
      <w:r w:rsidRPr="00F7245E">
        <w:rPr>
          <w:noProof/>
        </w:rPr>
        <w:t>a kezelést szakítják meg/halasztják el – figyelembe véve a szoptatás előnyét a gyermek, illetve a kezelés előnyét az anya szempontjából.</w:t>
      </w:r>
    </w:p>
    <w:p w14:paraId="20D07C3C" w14:textId="77777777" w:rsidR="006D1B28" w:rsidRPr="00F7245E" w:rsidRDefault="006D1B28" w:rsidP="00A21724">
      <w:pPr>
        <w:pStyle w:val="Nincstrkz"/>
      </w:pPr>
    </w:p>
    <w:p w14:paraId="3C90FCFC" w14:textId="77777777" w:rsidR="00B62AE4" w:rsidRPr="00F7245E" w:rsidRDefault="00B62AE4" w:rsidP="00A21724">
      <w:pPr>
        <w:pStyle w:val="Nincstrkz"/>
        <w:rPr>
          <w:rFonts w:cs="Times New Roman"/>
          <w:u w:val="single"/>
        </w:rPr>
      </w:pPr>
      <w:r w:rsidRPr="00F7245E">
        <w:rPr>
          <w:rFonts w:cs="Times New Roman"/>
          <w:u w:val="single"/>
        </w:rPr>
        <w:t>Termékenység</w:t>
      </w:r>
    </w:p>
    <w:p w14:paraId="3FDC023F" w14:textId="77777777" w:rsidR="00265C86" w:rsidRPr="00F7245E" w:rsidRDefault="00265C86" w:rsidP="00A21724">
      <w:pPr>
        <w:pStyle w:val="Nincstrkz"/>
        <w:rPr>
          <w:rFonts w:cs="Times New Roman"/>
          <w:u w:val="single"/>
        </w:rPr>
      </w:pPr>
    </w:p>
    <w:p w14:paraId="2146135C" w14:textId="0042D430" w:rsidR="00B62AE4" w:rsidRPr="00F7245E" w:rsidRDefault="00B62AE4" w:rsidP="00A21724">
      <w:pPr>
        <w:pStyle w:val="Nincstrkz"/>
        <w:rPr>
          <w:rFonts w:cs="Times New Roman"/>
        </w:rPr>
      </w:pPr>
      <w:r w:rsidRPr="00F7245E">
        <w:rPr>
          <w:rFonts w:cs="Times New Roman"/>
        </w:rPr>
        <w:t>Apixab</w:t>
      </w:r>
      <w:r w:rsidR="000D5AC5" w:rsidRPr="00F7245E">
        <w:rPr>
          <w:rFonts w:cs="Times New Roman"/>
        </w:rPr>
        <w:t>á</w:t>
      </w:r>
      <w:r w:rsidRPr="00F7245E">
        <w:rPr>
          <w:rFonts w:cs="Times New Roman"/>
        </w:rPr>
        <w:t>nnal kezelt állatok</w:t>
      </w:r>
      <w:r w:rsidR="006D1B28" w:rsidRPr="00F7245E">
        <w:rPr>
          <w:rFonts w:cs="Times New Roman"/>
        </w:rPr>
        <w:t>kal</w:t>
      </w:r>
      <w:r w:rsidRPr="00F7245E">
        <w:rPr>
          <w:rFonts w:cs="Times New Roman"/>
        </w:rPr>
        <w:t xml:space="preserve"> végzett kísérletek során </w:t>
      </w:r>
      <w:r w:rsidR="00AE0D16" w:rsidRPr="00F7245E">
        <w:rPr>
          <w:rFonts w:cs="Times New Roman"/>
        </w:rPr>
        <w:t xml:space="preserve">nem igazoltak </w:t>
      </w:r>
      <w:r w:rsidRPr="00F7245E">
        <w:rPr>
          <w:rFonts w:cs="Times New Roman"/>
        </w:rPr>
        <w:t>termékenységre gyakorolt hatást (lásd 5.3</w:t>
      </w:r>
      <w:r w:rsidR="004C106B" w:rsidRPr="00F7245E">
        <w:rPr>
          <w:rFonts w:cs="Times New Roman"/>
        </w:rPr>
        <w:t> pont</w:t>
      </w:r>
      <w:r w:rsidRPr="00F7245E">
        <w:rPr>
          <w:rFonts w:cs="Times New Roman"/>
        </w:rPr>
        <w:t>).</w:t>
      </w:r>
    </w:p>
    <w:p w14:paraId="186172A9" w14:textId="77777777" w:rsidR="00B62AE4" w:rsidRPr="00F7245E" w:rsidRDefault="00B62AE4" w:rsidP="00A21724">
      <w:pPr>
        <w:pStyle w:val="Nincstrkz"/>
        <w:rPr>
          <w:rFonts w:cs="Times New Roman"/>
        </w:rPr>
      </w:pPr>
    </w:p>
    <w:p w14:paraId="6D7886BF" w14:textId="1DFABFFF" w:rsidR="00B62AE4" w:rsidRPr="00F7245E" w:rsidRDefault="00045408" w:rsidP="00A21724">
      <w:pPr>
        <w:pStyle w:val="Nincstrkz"/>
        <w:tabs>
          <w:tab w:val="left" w:pos="567"/>
        </w:tabs>
        <w:ind w:left="567" w:hanging="567"/>
        <w:rPr>
          <w:rFonts w:cs="Times New Roman"/>
          <w:b/>
          <w:bCs/>
        </w:rPr>
      </w:pPr>
      <w:r w:rsidRPr="00F7245E">
        <w:rPr>
          <w:rFonts w:cs="Times New Roman"/>
          <w:b/>
          <w:bCs/>
          <w:w w:val="105"/>
        </w:rPr>
        <w:t>4.7</w:t>
      </w:r>
      <w:r w:rsidRPr="00F7245E">
        <w:rPr>
          <w:rFonts w:cs="Times New Roman"/>
          <w:b/>
          <w:bCs/>
          <w:w w:val="105"/>
        </w:rPr>
        <w:tab/>
      </w:r>
      <w:r w:rsidR="00B62AE4" w:rsidRPr="00F7245E">
        <w:rPr>
          <w:rFonts w:cs="Times New Roman"/>
          <w:b/>
          <w:bCs/>
          <w:w w:val="105"/>
        </w:rPr>
        <w:t>A</w:t>
      </w:r>
      <w:r w:rsidR="00B62AE4" w:rsidRPr="00F7245E">
        <w:rPr>
          <w:rFonts w:cs="Times New Roman"/>
          <w:b/>
          <w:bCs/>
          <w:spacing w:val="-8"/>
          <w:w w:val="105"/>
        </w:rPr>
        <w:t xml:space="preserve"> </w:t>
      </w:r>
      <w:r w:rsidR="00B62AE4" w:rsidRPr="00F7245E">
        <w:rPr>
          <w:rFonts w:cs="Times New Roman"/>
          <w:b/>
          <w:bCs/>
          <w:w w:val="105"/>
        </w:rPr>
        <w:t>készítmény</w:t>
      </w:r>
      <w:r w:rsidR="00B62AE4" w:rsidRPr="00F7245E">
        <w:rPr>
          <w:rFonts w:cs="Times New Roman"/>
          <w:b/>
          <w:bCs/>
          <w:spacing w:val="-9"/>
          <w:w w:val="105"/>
        </w:rPr>
        <w:t xml:space="preserve"> </w:t>
      </w:r>
      <w:r w:rsidR="00B62AE4" w:rsidRPr="00F7245E">
        <w:rPr>
          <w:rFonts w:cs="Times New Roman"/>
          <w:b/>
          <w:bCs/>
          <w:w w:val="105"/>
        </w:rPr>
        <w:t>hatásai</w:t>
      </w:r>
      <w:r w:rsidR="00B62AE4" w:rsidRPr="00F7245E">
        <w:rPr>
          <w:rFonts w:cs="Times New Roman"/>
          <w:b/>
          <w:bCs/>
          <w:spacing w:val="-9"/>
          <w:w w:val="105"/>
        </w:rPr>
        <w:t xml:space="preserve"> </w:t>
      </w:r>
      <w:r w:rsidR="00B62AE4" w:rsidRPr="00F7245E">
        <w:rPr>
          <w:rFonts w:cs="Times New Roman"/>
          <w:b/>
          <w:bCs/>
          <w:w w:val="105"/>
        </w:rPr>
        <w:t>a</w:t>
      </w:r>
      <w:r w:rsidR="00B62AE4" w:rsidRPr="00F7245E">
        <w:rPr>
          <w:rFonts w:cs="Times New Roman"/>
          <w:b/>
          <w:bCs/>
          <w:spacing w:val="-7"/>
          <w:w w:val="105"/>
        </w:rPr>
        <w:t xml:space="preserve"> </w:t>
      </w:r>
      <w:r w:rsidR="00B62AE4" w:rsidRPr="00F7245E">
        <w:rPr>
          <w:rFonts w:cs="Times New Roman"/>
          <w:b/>
          <w:bCs/>
          <w:w w:val="105"/>
        </w:rPr>
        <w:t>gépjárművezetéshez</w:t>
      </w:r>
      <w:r w:rsidR="00B62AE4" w:rsidRPr="00F7245E">
        <w:rPr>
          <w:rFonts w:cs="Times New Roman"/>
          <w:b/>
          <w:bCs/>
          <w:spacing w:val="-9"/>
          <w:w w:val="105"/>
        </w:rPr>
        <w:t xml:space="preserve"> </w:t>
      </w:r>
      <w:r w:rsidR="00B62AE4" w:rsidRPr="00F7245E">
        <w:rPr>
          <w:rFonts w:cs="Times New Roman"/>
          <w:b/>
          <w:bCs/>
          <w:w w:val="105"/>
        </w:rPr>
        <w:t>és</w:t>
      </w:r>
      <w:r w:rsidR="00B62AE4" w:rsidRPr="00F7245E">
        <w:rPr>
          <w:rFonts w:cs="Times New Roman"/>
          <w:b/>
          <w:bCs/>
          <w:spacing w:val="-9"/>
          <w:w w:val="105"/>
        </w:rPr>
        <w:t xml:space="preserve"> </w:t>
      </w:r>
      <w:r w:rsidR="00B62AE4" w:rsidRPr="00F7245E">
        <w:rPr>
          <w:rFonts w:cs="Times New Roman"/>
          <w:b/>
          <w:bCs/>
          <w:w w:val="105"/>
        </w:rPr>
        <w:t>a</w:t>
      </w:r>
      <w:r w:rsidR="00B62AE4" w:rsidRPr="00F7245E">
        <w:rPr>
          <w:rFonts w:cs="Times New Roman"/>
          <w:b/>
          <w:bCs/>
          <w:spacing w:val="-8"/>
          <w:w w:val="105"/>
        </w:rPr>
        <w:t xml:space="preserve"> </w:t>
      </w:r>
      <w:r w:rsidR="00B62AE4" w:rsidRPr="00F7245E">
        <w:rPr>
          <w:rFonts w:cs="Times New Roman"/>
          <w:b/>
          <w:bCs/>
          <w:w w:val="105"/>
        </w:rPr>
        <w:t>gépek</w:t>
      </w:r>
      <w:r w:rsidR="00B62AE4" w:rsidRPr="00F7245E">
        <w:rPr>
          <w:rFonts w:cs="Times New Roman"/>
          <w:b/>
          <w:bCs/>
          <w:spacing w:val="-8"/>
          <w:w w:val="105"/>
        </w:rPr>
        <w:t xml:space="preserve"> </w:t>
      </w:r>
      <w:r w:rsidR="00B62AE4" w:rsidRPr="00F7245E">
        <w:rPr>
          <w:rFonts w:cs="Times New Roman"/>
          <w:b/>
          <w:bCs/>
          <w:w w:val="105"/>
        </w:rPr>
        <w:t>kezeléséhez</w:t>
      </w:r>
      <w:r w:rsidR="00B62AE4" w:rsidRPr="00F7245E">
        <w:rPr>
          <w:rFonts w:cs="Times New Roman"/>
          <w:b/>
          <w:bCs/>
          <w:spacing w:val="-9"/>
          <w:w w:val="105"/>
        </w:rPr>
        <w:t xml:space="preserve"> </w:t>
      </w:r>
      <w:r w:rsidR="00B62AE4" w:rsidRPr="00F7245E">
        <w:rPr>
          <w:rFonts w:cs="Times New Roman"/>
          <w:b/>
          <w:bCs/>
          <w:w w:val="105"/>
        </w:rPr>
        <w:t>szükséges</w:t>
      </w:r>
      <w:r w:rsidR="00B62AE4" w:rsidRPr="00F7245E">
        <w:rPr>
          <w:rFonts w:cs="Times New Roman"/>
          <w:b/>
          <w:bCs/>
          <w:spacing w:val="-9"/>
          <w:w w:val="105"/>
        </w:rPr>
        <w:t xml:space="preserve"> </w:t>
      </w:r>
      <w:r w:rsidR="00B62AE4" w:rsidRPr="00F7245E">
        <w:rPr>
          <w:rFonts w:cs="Times New Roman"/>
          <w:b/>
          <w:bCs/>
        </w:rPr>
        <w:t>képességekre</w:t>
      </w:r>
    </w:p>
    <w:p w14:paraId="43D646EC" w14:textId="77777777" w:rsidR="00B62AE4" w:rsidRPr="00F7245E" w:rsidRDefault="00B62AE4" w:rsidP="00A21724">
      <w:pPr>
        <w:pStyle w:val="Nincstrkz"/>
        <w:rPr>
          <w:rFonts w:cs="Times New Roman"/>
        </w:rPr>
      </w:pPr>
    </w:p>
    <w:p w14:paraId="0E6B9731" w14:textId="13C697E5" w:rsidR="00B62AE4" w:rsidRPr="00F7245E" w:rsidRDefault="00B62AE4" w:rsidP="00A21724">
      <w:pPr>
        <w:pStyle w:val="Nincstrkz"/>
        <w:rPr>
          <w:rFonts w:cs="Times New Roman"/>
        </w:rPr>
      </w:pPr>
      <w:r w:rsidRPr="00F7245E">
        <w:rPr>
          <w:rFonts w:cs="Times New Roman"/>
        </w:rPr>
        <w:t xml:space="preserve">A </w:t>
      </w:r>
      <w:r w:rsidR="00F665F7" w:rsidRPr="00F7245E">
        <w:rPr>
          <w:rFonts w:cs="Times New Roman"/>
          <w:lang w:val="en-US"/>
        </w:rPr>
        <w:t xml:space="preserve">Voziberin </w:t>
      </w:r>
      <w:r w:rsidRPr="00F7245E">
        <w:rPr>
          <w:rFonts w:cs="Times New Roman"/>
        </w:rPr>
        <w:t>nem, vagy csak elhanyagolható mértékben befolyásolja a gépjárművezetéshez és a gépek kezeléséhez szükséges képességeket.</w:t>
      </w:r>
    </w:p>
    <w:p w14:paraId="5093E2E7" w14:textId="77777777" w:rsidR="00B62AE4" w:rsidRPr="00F7245E" w:rsidRDefault="00B62AE4" w:rsidP="00A21724">
      <w:pPr>
        <w:pStyle w:val="Nincstrkz"/>
        <w:rPr>
          <w:rFonts w:cs="Times New Roman"/>
        </w:rPr>
      </w:pPr>
    </w:p>
    <w:p w14:paraId="5474A949" w14:textId="72D290ED" w:rsidR="00B62AE4" w:rsidRPr="00F7245E" w:rsidRDefault="00045408" w:rsidP="00A21724">
      <w:pPr>
        <w:pStyle w:val="Nincstrkz"/>
        <w:tabs>
          <w:tab w:val="left" w:pos="567"/>
        </w:tabs>
        <w:rPr>
          <w:rFonts w:cs="Times New Roman"/>
          <w:b/>
          <w:bCs/>
        </w:rPr>
      </w:pPr>
      <w:r w:rsidRPr="00F7245E">
        <w:rPr>
          <w:rFonts w:cs="Times New Roman"/>
          <w:b/>
          <w:bCs/>
          <w:w w:val="105"/>
        </w:rPr>
        <w:t>4.8</w:t>
      </w:r>
      <w:r w:rsidRPr="00F7245E">
        <w:rPr>
          <w:rFonts w:cs="Times New Roman"/>
          <w:b/>
          <w:bCs/>
          <w:w w:val="105"/>
        </w:rPr>
        <w:tab/>
      </w:r>
      <w:r w:rsidR="00B62AE4" w:rsidRPr="00F7245E">
        <w:rPr>
          <w:rFonts w:cs="Times New Roman"/>
          <w:b/>
          <w:bCs/>
          <w:w w:val="105"/>
        </w:rPr>
        <w:t>Nemkívánatos hatások,</w:t>
      </w:r>
      <w:r w:rsidR="00B62AE4" w:rsidRPr="00F7245E">
        <w:rPr>
          <w:rFonts w:cs="Times New Roman"/>
          <w:b/>
          <w:bCs/>
          <w:spacing w:val="-4"/>
          <w:w w:val="105"/>
        </w:rPr>
        <w:t xml:space="preserve"> </w:t>
      </w:r>
      <w:r w:rsidR="00B62AE4" w:rsidRPr="00F7245E">
        <w:rPr>
          <w:rFonts w:cs="Times New Roman"/>
          <w:b/>
          <w:bCs/>
          <w:w w:val="105"/>
        </w:rPr>
        <w:t>mellékhatások</w:t>
      </w:r>
    </w:p>
    <w:p w14:paraId="1A8F288B" w14:textId="77777777" w:rsidR="00B62AE4" w:rsidRPr="00F7245E" w:rsidRDefault="00B62AE4" w:rsidP="00A21724">
      <w:pPr>
        <w:pStyle w:val="Nincstrkz"/>
        <w:rPr>
          <w:rFonts w:cs="Times New Roman"/>
        </w:rPr>
      </w:pPr>
    </w:p>
    <w:p w14:paraId="011319DE" w14:textId="77777777" w:rsidR="00B62AE4" w:rsidRPr="00F7245E" w:rsidRDefault="00B62AE4" w:rsidP="00A21724">
      <w:pPr>
        <w:pStyle w:val="Nincstrkz"/>
        <w:rPr>
          <w:rFonts w:cs="Times New Roman"/>
          <w:u w:val="single"/>
        </w:rPr>
      </w:pPr>
      <w:r w:rsidRPr="00F7245E">
        <w:rPr>
          <w:rFonts w:cs="Times New Roman"/>
          <w:u w:val="single"/>
        </w:rPr>
        <w:t>A biztonságossági profil összefoglalása</w:t>
      </w:r>
    </w:p>
    <w:p w14:paraId="38B758A6" w14:textId="77777777" w:rsidR="00265C86" w:rsidRPr="00F7245E" w:rsidRDefault="00265C86" w:rsidP="00A21724">
      <w:pPr>
        <w:pStyle w:val="Nincstrkz"/>
        <w:rPr>
          <w:rFonts w:cs="Times New Roman"/>
          <w:u w:val="single"/>
        </w:rPr>
      </w:pPr>
    </w:p>
    <w:p w14:paraId="54D4040F" w14:textId="18A18FFB" w:rsidR="00B62AE4" w:rsidRPr="00F7245E" w:rsidRDefault="00B62AE4" w:rsidP="00A21724">
      <w:pPr>
        <w:pStyle w:val="Nincstrkz"/>
        <w:rPr>
          <w:rFonts w:cs="Times New Roman"/>
        </w:rPr>
      </w:pPr>
      <w:proofErr w:type="gramStart"/>
      <w:r w:rsidRPr="00F7245E">
        <w:rPr>
          <w:rFonts w:cs="Times New Roman"/>
        </w:rPr>
        <w:t xml:space="preserve">Az </w:t>
      </w:r>
      <w:r w:rsidR="00CA2919" w:rsidRPr="00F7245E">
        <w:rPr>
          <w:rFonts w:cs="Times New Roman"/>
        </w:rPr>
        <w:t xml:space="preserve">apixabán </w:t>
      </w:r>
      <w:r w:rsidRPr="00F7245E">
        <w:rPr>
          <w:rFonts w:cs="Times New Roman"/>
        </w:rPr>
        <w:t xml:space="preserve">biztonságosságát </w:t>
      </w:r>
      <w:r w:rsidR="00343228">
        <w:rPr>
          <w:rFonts w:cs="Times New Roman"/>
        </w:rPr>
        <w:t xml:space="preserve">felnőtteknél </w:t>
      </w:r>
      <w:r w:rsidRPr="00F7245E">
        <w:rPr>
          <w:rFonts w:cs="Times New Roman"/>
        </w:rPr>
        <w:t>7</w:t>
      </w:r>
      <w:r w:rsidR="00045408" w:rsidRPr="00F7245E">
        <w:rPr>
          <w:rFonts w:cs="Times New Roman"/>
        </w:rPr>
        <w:t>,</w:t>
      </w:r>
      <w:r w:rsidRPr="00F7245E">
        <w:rPr>
          <w:rFonts w:cs="Times New Roman"/>
        </w:rPr>
        <w:t xml:space="preserve"> </w:t>
      </w:r>
      <w:r w:rsidR="00045408" w:rsidRPr="00F7245E">
        <w:rPr>
          <w:rFonts w:cs="Times New Roman"/>
        </w:rPr>
        <w:t xml:space="preserve">III. </w:t>
      </w:r>
      <w:r w:rsidRPr="00F7245E">
        <w:rPr>
          <w:rFonts w:cs="Times New Roman"/>
        </w:rPr>
        <w:t>fázis</w:t>
      </w:r>
      <w:r w:rsidR="00045408" w:rsidRPr="00F7245E">
        <w:rPr>
          <w:rFonts w:cs="Times New Roman"/>
        </w:rPr>
        <w:t>ú</w:t>
      </w:r>
      <w:r w:rsidRPr="00F7245E">
        <w:rPr>
          <w:rFonts w:cs="Times New Roman"/>
        </w:rPr>
        <w:t xml:space="preserve"> klinikai vizsgálatban értékelték, melyekben több mint 21</w:t>
      </w:r>
      <w:r w:rsidR="00045408" w:rsidRPr="00F7245E">
        <w:rPr>
          <w:rFonts w:cs="Times New Roman"/>
        </w:rPr>
        <w:t> </w:t>
      </w:r>
      <w:r w:rsidRPr="00F7245E">
        <w:rPr>
          <w:rFonts w:cs="Times New Roman"/>
        </w:rPr>
        <w:t>000</w:t>
      </w:r>
      <w:r w:rsidR="00A1416D" w:rsidRPr="00F7245E">
        <w:rPr>
          <w:rFonts w:cs="Times New Roman"/>
        </w:rPr>
        <w:t> beteg</w:t>
      </w:r>
      <w:r w:rsidRPr="00F7245E">
        <w:rPr>
          <w:rFonts w:cs="Times New Roman"/>
        </w:rPr>
        <w:t xml:space="preserve"> vett részt: több mint 5000</w:t>
      </w:r>
      <w:r w:rsidR="00A1416D" w:rsidRPr="00F7245E">
        <w:rPr>
          <w:rFonts w:cs="Times New Roman"/>
        </w:rPr>
        <w:t> beteg</w:t>
      </w:r>
      <w:r w:rsidRPr="00F7245E">
        <w:rPr>
          <w:rFonts w:cs="Times New Roman"/>
        </w:rPr>
        <w:t xml:space="preserve"> a VTEp vizsgálatokban, több mint 11</w:t>
      </w:r>
      <w:r w:rsidR="00045408" w:rsidRPr="00F7245E">
        <w:rPr>
          <w:rFonts w:cs="Times New Roman"/>
        </w:rPr>
        <w:t> </w:t>
      </w:r>
      <w:r w:rsidRPr="00F7245E">
        <w:rPr>
          <w:rFonts w:cs="Times New Roman"/>
        </w:rPr>
        <w:t>000</w:t>
      </w:r>
      <w:r w:rsidR="00A1416D" w:rsidRPr="00F7245E">
        <w:rPr>
          <w:rFonts w:cs="Times New Roman"/>
        </w:rPr>
        <w:t> beteg</w:t>
      </w:r>
      <w:r w:rsidRPr="00F7245E">
        <w:rPr>
          <w:rFonts w:cs="Times New Roman"/>
        </w:rPr>
        <w:t xml:space="preserve"> az NVPF vizsgálatokban, és több mint 4000</w:t>
      </w:r>
      <w:r w:rsidR="00570997" w:rsidRPr="00F7245E">
        <w:rPr>
          <w:rFonts w:cs="Times New Roman"/>
        </w:rPr>
        <w:t> beteg</w:t>
      </w:r>
      <w:r w:rsidRPr="00F7245E">
        <w:rPr>
          <w:rFonts w:cs="Times New Roman"/>
        </w:rPr>
        <w:t xml:space="preserve"> a VTE</w:t>
      </w:r>
      <w:r w:rsidR="00570997" w:rsidRPr="00F7245E">
        <w:rPr>
          <w:rFonts w:cs="Times New Roman"/>
        </w:rPr>
        <w:noBreakHyphen/>
      </w:r>
      <w:r w:rsidRPr="00F7245E">
        <w:rPr>
          <w:rFonts w:cs="Times New Roman"/>
        </w:rPr>
        <w:t>terápiás (VTEt) vizsgálatokban, sorrendben átlagosan 20</w:t>
      </w:r>
      <w:r w:rsidR="003B67D5" w:rsidRPr="00F7245E">
        <w:rPr>
          <w:rFonts w:cs="Times New Roman"/>
        </w:rPr>
        <w:t> nap</w:t>
      </w:r>
      <w:r w:rsidRPr="00F7245E">
        <w:rPr>
          <w:rFonts w:cs="Times New Roman"/>
        </w:rPr>
        <w:t>os, 1,7</w:t>
      </w:r>
      <w:r w:rsidR="00045408" w:rsidRPr="00F7245E">
        <w:rPr>
          <w:rFonts w:cs="Times New Roman"/>
        </w:rPr>
        <w:t> év</w:t>
      </w:r>
      <w:r w:rsidRPr="00F7245E">
        <w:rPr>
          <w:rFonts w:cs="Times New Roman"/>
        </w:rPr>
        <w:t>es és 221</w:t>
      </w:r>
      <w:r w:rsidR="003B67D5" w:rsidRPr="00F7245E">
        <w:rPr>
          <w:rFonts w:cs="Times New Roman"/>
        </w:rPr>
        <w:t> nap</w:t>
      </w:r>
      <w:r w:rsidRPr="00F7245E">
        <w:rPr>
          <w:rFonts w:cs="Times New Roman"/>
        </w:rPr>
        <w:t>os összexpozícióval (lásd 5.1</w:t>
      </w:r>
      <w:r w:rsidR="004C106B" w:rsidRPr="00F7245E">
        <w:rPr>
          <w:rFonts w:cs="Times New Roman"/>
        </w:rPr>
        <w:t> pont</w:t>
      </w:r>
      <w:r w:rsidRPr="00F7245E">
        <w:rPr>
          <w:rFonts w:cs="Times New Roman"/>
        </w:rPr>
        <w:t>).</w:t>
      </w:r>
      <w:proofErr w:type="gramEnd"/>
    </w:p>
    <w:p w14:paraId="64AC85F2" w14:textId="77777777" w:rsidR="00B62AE4" w:rsidRPr="00F7245E" w:rsidRDefault="00B62AE4" w:rsidP="00A21724">
      <w:pPr>
        <w:pStyle w:val="Nincstrkz"/>
        <w:rPr>
          <w:rFonts w:cs="Times New Roman"/>
        </w:rPr>
      </w:pPr>
    </w:p>
    <w:p w14:paraId="499B79B1" w14:textId="1ED2E060" w:rsidR="00B62AE4" w:rsidRPr="00F7245E" w:rsidRDefault="00B62AE4" w:rsidP="00A21724">
      <w:pPr>
        <w:pStyle w:val="Nincstrkz"/>
        <w:rPr>
          <w:rFonts w:cs="Times New Roman"/>
        </w:rPr>
      </w:pPr>
      <w:r w:rsidRPr="00F7245E">
        <w:rPr>
          <w:rFonts w:cs="Times New Roman"/>
        </w:rPr>
        <w:t xml:space="preserve">Gyakori mellékhatás volt a vérzés, contusio, epistaxis és haematoma (a nemkívánatos eseményprofilt és az indikációk szerinti gyakoriságokat lásd a </w:t>
      </w:r>
      <w:r w:rsidR="00141DDB" w:rsidRPr="00F7245E">
        <w:rPr>
          <w:rFonts w:cs="Times New Roman"/>
        </w:rPr>
        <w:t>3</w:t>
      </w:r>
      <w:r w:rsidRPr="00F7245E">
        <w:rPr>
          <w:rFonts w:cs="Times New Roman"/>
        </w:rPr>
        <w:t>. táblázatban).</w:t>
      </w:r>
    </w:p>
    <w:p w14:paraId="6C9860E7" w14:textId="77777777" w:rsidR="00B62AE4" w:rsidRPr="00F7245E" w:rsidRDefault="00B62AE4" w:rsidP="00A21724">
      <w:pPr>
        <w:pStyle w:val="Nincstrkz"/>
        <w:rPr>
          <w:rFonts w:cs="Times New Roman"/>
        </w:rPr>
      </w:pPr>
    </w:p>
    <w:p w14:paraId="2CCA6373" w14:textId="5A3E5F3E" w:rsidR="00B62AE4" w:rsidRPr="00F7245E" w:rsidRDefault="00B62AE4" w:rsidP="00A21724">
      <w:pPr>
        <w:pStyle w:val="Nincstrkz"/>
        <w:rPr>
          <w:rFonts w:cs="Times New Roman"/>
        </w:rPr>
      </w:pPr>
      <w:r w:rsidRPr="00F7245E">
        <w:rPr>
          <w:rFonts w:cs="Times New Roman"/>
        </w:rPr>
        <w:t>A VTEp vizsgálatokban a</w:t>
      </w:r>
      <w:r w:rsidR="00D72B51" w:rsidRPr="00F7245E">
        <w:rPr>
          <w:rFonts w:cs="Times New Roman"/>
        </w:rPr>
        <w:t xml:space="preserve"> </w:t>
      </w:r>
      <w:r w:rsidR="003B67D5" w:rsidRPr="00F7245E">
        <w:rPr>
          <w:rFonts w:cs="Times New Roman"/>
        </w:rPr>
        <w:t>nap</w:t>
      </w:r>
      <w:r w:rsidRPr="00F7245E">
        <w:rPr>
          <w:rFonts w:cs="Times New Roman"/>
        </w:rPr>
        <w:t>onta kétszer 2,5</w:t>
      </w:r>
      <w:r w:rsidR="004C106B" w:rsidRPr="00F7245E">
        <w:rPr>
          <w:rFonts w:cs="Times New Roman"/>
        </w:rPr>
        <w:t> mg</w:t>
      </w:r>
      <w:r w:rsidRPr="00F7245E">
        <w:rPr>
          <w:rFonts w:cs="Times New Roman"/>
        </w:rPr>
        <w:t xml:space="preserve"> apixab</w:t>
      </w:r>
      <w:r w:rsidR="002C0B56" w:rsidRPr="00F7245E">
        <w:rPr>
          <w:rFonts w:cs="Times New Roman"/>
        </w:rPr>
        <w:t>á</w:t>
      </w:r>
      <w:r w:rsidRPr="00F7245E">
        <w:rPr>
          <w:rFonts w:cs="Times New Roman"/>
        </w:rPr>
        <w:t>nnal kezelt</w:t>
      </w:r>
      <w:r w:rsidR="00D72B51" w:rsidRPr="00F7245E">
        <w:rPr>
          <w:rFonts w:cs="Times New Roman"/>
        </w:rPr>
        <w:t xml:space="preserve"> </w:t>
      </w:r>
      <w:r w:rsidR="00A1416D" w:rsidRPr="00F7245E">
        <w:rPr>
          <w:rFonts w:cs="Times New Roman"/>
        </w:rPr>
        <w:t>beteg</w:t>
      </w:r>
      <w:r w:rsidRPr="00F7245E">
        <w:rPr>
          <w:rFonts w:cs="Times New Roman"/>
        </w:rPr>
        <w:t>ek összesen 11%</w:t>
      </w:r>
      <w:r w:rsidR="00D72B51" w:rsidRPr="00F7245E">
        <w:rPr>
          <w:rFonts w:cs="Times New Roman"/>
        </w:rPr>
        <w:noBreakHyphen/>
      </w:r>
      <w:r w:rsidRPr="00F7245E">
        <w:rPr>
          <w:rFonts w:cs="Times New Roman"/>
        </w:rPr>
        <w:t xml:space="preserve">a tapasztalt mellékhatásokat. A vérzéssel összefüggő mellékhatások teljes előfordulási gyakorisága az </w:t>
      </w:r>
      <w:r w:rsidR="00CA2919" w:rsidRPr="00F7245E">
        <w:rPr>
          <w:rFonts w:cs="Times New Roman"/>
        </w:rPr>
        <w:t xml:space="preserve">apixabán </w:t>
      </w:r>
      <w:r w:rsidRPr="00F7245E">
        <w:rPr>
          <w:rFonts w:cs="Times New Roman"/>
        </w:rPr>
        <w:t>esetén 10% volt az apixab</w:t>
      </w:r>
      <w:r w:rsidR="002C0B56" w:rsidRPr="00F7245E">
        <w:rPr>
          <w:rFonts w:cs="Times New Roman"/>
        </w:rPr>
        <w:t>á</w:t>
      </w:r>
      <w:r w:rsidRPr="00F7245E">
        <w:rPr>
          <w:rFonts w:cs="Times New Roman"/>
        </w:rPr>
        <w:t>nt enoxaparinnal összehasonlító vizsgálatokban.</w:t>
      </w:r>
    </w:p>
    <w:p w14:paraId="6B55EB0C" w14:textId="77777777" w:rsidR="00B62AE4" w:rsidRPr="00F7245E" w:rsidRDefault="00B62AE4" w:rsidP="00A21724">
      <w:pPr>
        <w:pStyle w:val="Nincstrkz"/>
        <w:rPr>
          <w:rFonts w:cs="Times New Roman"/>
        </w:rPr>
      </w:pPr>
    </w:p>
    <w:p w14:paraId="5A271502" w14:textId="2BB64624" w:rsidR="00B62AE4" w:rsidRPr="00F7245E" w:rsidRDefault="00B62AE4" w:rsidP="00A21724">
      <w:pPr>
        <w:pStyle w:val="Nincstrkz"/>
        <w:rPr>
          <w:rFonts w:cs="Times New Roman"/>
        </w:rPr>
      </w:pPr>
      <w:r w:rsidRPr="00F7245E">
        <w:rPr>
          <w:rFonts w:cs="Times New Roman"/>
        </w:rPr>
        <w:t xml:space="preserve">Az NVPF vizsgálatokban </w:t>
      </w:r>
      <w:r w:rsidR="00D72B51" w:rsidRPr="00F7245E">
        <w:rPr>
          <w:rFonts w:cs="Times New Roman"/>
        </w:rPr>
        <w:t xml:space="preserve">az </w:t>
      </w:r>
      <w:r w:rsidR="00CA2919" w:rsidRPr="00F7245E">
        <w:rPr>
          <w:rFonts w:cs="Times New Roman"/>
        </w:rPr>
        <w:t xml:space="preserve">apixabán </w:t>
      </w:r>
      <w:r w:rsidR="00D72B51" w:rsidRPr="00F7245E">
        <w:rPr>
          <w:rFonts w:cs="Times New Roman"/>
        </w:rPr>
        <w:t>esetében</w:t>
      </w:r>
      <w:r w:rsidRPr="00F7245E">
        <w:rPr>
          <w:rFonts w:cs="Times New Roman"/>
        </w:rPr>
        <w:t xml:space="preserve"> a vérzéssel összefüggő mellékhatások teljes előfordulási gyakorisága 24,3% volt az apixab</w:t>
      </w:r>
      <w:r w:rsidR="002C0B56" w:rsidRPr="00F7245E">
        <w:rPr>
          <w:rFonts w:cs="Times New Roman"/>
        </w:rPr>
        <w:t>á</w:t>
      </w:r>
      <w:r w:rsidRPr="00F7245E">
        <w:rPr>
          <w:rFonts w:cs="Times New Roman"/>
        </w:rPr>
        <w:t>nt warfarinnal összehasonlító vizsgálatban, és 9,6% az apixab</w:t>
      </w:r>
      <w:r w:rsidR="002C0B56" w:rsidRPr="00F7245E">
        <w:rPr>
          <w:rFonts w:cs="Times New Roman"/>
        </w:rPr>
        <w:t>á</w:t>
      </w:r>
      <w:r w:rsidRPr="00F7245E">
        <w:rPr>
          <w:rFonts w:cs="Times New Roman"/>
        </w:rPr>
        <w:t xml:space="preserve">nt acetilszalicilsavval összehasonlító vizsgálatban. Az </w:t>
      </w:r>
      <w:r w:rsidR="00CA2919" w:rsidRPr="00F7245E">
        <w:rPr>
          <w:rFonts w:cs="Times New Roman"/>
        </w:rPr>
        <w:t xml:space="preserve">apixabán </w:t>
      </w:r>
      <w:r w:rsidRPr="00F7245E">
        <w:rPr>
          <w:rFonts w:cs="Times New Roman"/>
        </w:rPr>
        <w:t>vs. warfarin vizsgálatban az ISTH</w:t>
      </w:r>
      <w:r w:rsidR="00D72B51" w:rsidRPr="00F7245E">
        <w:rPr>
          <w:rFonts w:cs="Times New Roman"/>
        </w:rPr>
        <w:t xml:space="preserve"> </w:t>
      </w:r>
      <w:r w:rsidRPr="00F7245E">
        <w:rPr>
          <w:rFonts w:cs="Times New Roman"/>
        </w:rPr>
        <w:t xml:space="preserve">szerinti jelentős gastrointestinalis vérzések (beleértve a tápcsatorna felső, a </w:t>
      </w:r>
      <w:r w:rsidR="00D72B51" w:rsidRPr="00F7245E">
        <w:rPr>
          <w:rFonts w:cs="Times New Roman"/>
        </w:rPr>
        <w:t>t</w:t>
      </w:r>
      <w:r w:rsidRPr="00F7245E">
        <w:rPr>
          <w:rFonts w:cs="Times New Roman"/>
        </w:rPr>
        <w:t xml:space="preserve">ápcsatorna alsó részéről kiinduló, valamint a rectalis vérzést is) előfordulási gyakorisága az </w:t>
      </w:r>
      <w:r w:rsidR="00CA2919" w:rsidRPr="00F7245E">
        <w:rPr>
          <w:rFonts w:cs="Times New Roman"/>
        </w:rPr>
        <w:t xml:space="preserve">apixabán </w:t>
      </w:r>
      <w:r w:rsidR="00D72B51" w:rsidRPr="00F7245E">
        <w:rPr>
          <w:rFonts w:cs="Times New Roman"/>
        </w:rPr>
        <w:t>esetében</w:t>
      </w:r>
      <w:r w:rsidRPr="00F7245E">
        <w:rPr>
          <w:rFonts w:cs="Times New Roman"/>
        </w:rPr>
        <w:t xml:space="preserve"> 0,76%/év volt. Az ISTH</w:t>
      </w:r>
      <w:r w:rsidR="00D72B51" w:rsidRPr="00F7245E">
        <w:rPr>
          <w:rFonts w:cs="Times New Roman"/>
        </w:rPr>
        <w:t xml:space="preserve"> </w:t>
      </w:r>
      <w:r w:rsidRPr="00F7245E">
        <w:rPr>
          <w:rFonts w:cs="Times New Roman"/>
        </w:rPr>
        <w:t xml:space="preserve">szerinti jelentős intraocularis vérzés előfordulási gyakorisága az </w:t>
      </w:r>
      <w:r w:rsidR="00CA2919" w:rsidRPr="00F7245E">
        <w:rPr>
          <w:rFonts w:cs="Times New Roman"/>
        </w:rPr>
        <w:t xml:space="preserve">apixabán </w:t>
      </w:r>
      <w:r w:rsidRPr="00F7245E">
        <w:rPr>
          <w:rFonts w:cs="Times New Roman"/>
        </w:rPr>
        <w:t>mellett 0,18%/év volt.</w:t>
      </w:r>
    </w:p>
    <w:p w14:paraId="285DCC10" w14:textId="77777777" w:rsidR="00B62AE4" w:rsidRPr="00F7245E" w:rsidRDefault="00B62AE4" w:rsidP="00A21724">
      <w:pPr>
        <w:pStyle w:val="Nincstrkz"/>
        <w:rPr>
          <w:rFonts w:cs="Times New Roman"/>
        </w:rPr>
      </w:pPr>
    </w:p>
    <w:p w14:paraId="316A4F97" w14:textId="1328B7F7" w:rsidR="00B62AE4" w:rsidRPr="00F7245E" w:rsidRDefault="00B62AE4" w:rsidP="00A21724">
      <w:pPr>
        <w:pStyle w:val="Nincstrkz"/>
        <w:rPr>
          <w:rFonts w:cs="Times New Roman"/>
        </w:rPr>
      </w:pPr>
      <w:r w:rsidRPr="00F7245E">
        <w:rPr>
          <w:rFonts w:cs="Times New Roman"/>
        </w:rPr>
        <w:t>A VTEt vizsgálatokban az apixab</w:t>
      </w:r>
      <w:r w:rsidR="002C0B56" w:rsidRPr="00F7245E">
        <w:rPr>
          <w:rFonts w:cs="Times New Roman"/>
        </w:rPr>
        <w:t>á</w:t>
      </w:r>
      <w:r w:rsidRPr="00F7245E">
        <w:rPr>
          <w:rFonts w:cs="Times New Roman"/>
        </w:rPr>
        <w:t>n</w:t>
      </w:r>
      <w:r w:rsidR="00D72B51" w:rsidRPr="00F7245E">
        <w:rPr>
          <w:rFonts w:cs="Times New Roman"/>
        </w:rPr>
        <w:t>ra vonatkozóan</w:t>
      </w:r>
      <w:r w:rsidRPr="00F7245E">
        <w:rPr>
          <w:rFonts w:cs="Times New Roman"/>
        </w:rPr>
        <w:t xml:space="preserve"> a vérzéssel összefüggő mellékhatások teljes előfordulási gyakorisága 15,6% volt az apixab</w:t>
      </w:r>
      <w:r w:rsidR="002C0B56" w:rsidRPr="00F7245E">
        <w:rPr>
          <w:rFonts w:cs="Times New Roman"/>
        </w:rPr>
        <w:t>á</w:t>
      </w:r>
      <w:r w:rsidRPr="00F7245E">
        <w:rPr>
          <w:rFonts w:cs="Times New Roman"/>
        </w:rPr>
        <w:t>nt enoxaparinnal/warfarinnal összehasonlító vizsgálatban, és 13,3% volt az apixab</w:t>
      </w:r>
      <w:r w:rsidR="002C0B56" w:rsidRPr="00F7245E">
        <w:rPr>
          <w:rFonts w:cs="Times New Roman"/>
        </w:rPr>
        <w:t>á</w:t>
      </w:r>
      <w:r w:rsidRPr="00F7245E">
        <w:rPr>
          <w:rFonts w:cs="Times New Roman"/>
        </w:rPr>
        <w:t>nt placebóval összehasonlító vizsgálatban (lásd 5.1</w:t>
      </w:r>
      <w:r w:rsidR="00045408" w:rsidRPr="00F7245E">
        <w:rPr>
          <w:rFonts w:cs="Times New Roman"/>
        </w:rPr>
        <w:t> pont)</w:t>
      </w:r>
      <w:r w:rsidRPr="00F7245E">
        <w:rPr>
          <w:rFonts w:cs="Times New Roman"/>
        </w:rPr>
        <w:t>.</w:t>
      </w:r>
    </w:p>
    <w:p w14:paraId="567C1C29" w14:textId="77777777" w:rsidR="00B62AE4" w:rsidRPr="00F7245E" w:rsidRDefault="00B62AE4" w:rsidP="00A21724">
      <w:pPr>
        <w:pStyle w:val="Nincstrkz"/>
        <w:rPr>
          <w:rFonts w:cs="Times New Roman"/>
        </w:rPr>
      </w:pPr>
    </w:p>
    <w:p w14:paraId="72513598" w14:textId="77777777" w:rsidR="00B62AE4" w:rsidRPr="00F7245E" w:rsidRDefault="00B62AE4" w:rsidP="00A21724">
      <w:pPr>
        <w:pStyle w:val="Nincstrkz"/>
        <w:rPr>
          <w:rFonts w:cs="Times New Roman"/>
          <w:u w:val="single"/>
        </w:rPr>
      </w:pPr>
      <w:r w:rsidRPr="00F7245E">
        <w:rPr>
          <w:rFonts w:cs="Times New Roman"/>
          <w:u w:val="single"/>
        </w:rPr>
        <w:t>A mellékhatások táblázatos felsorolása</w:t>
      </w:r>
    </w:p>
    <w:p w14:paraId="30820D38" w14:textId="1AF6796D" w:rsidR="00B62AE4" w:rsidRPr="00F7245E" w:rsidRDefault="00B62AE4" w:rsidP="00A21724">
      <w:pPr>
        <w:pStyle w:val="Nincstrkz"/>
        <w:rPr>
          <w:rFonts w:cs="Times New Roman"/>
        </w:rPr>
      </w:pPr>
      <w:bookmarkStart w:id="6" w:name="_Hlk55151132"/>
      <w:r w:rsidRPr="00F7245E">
        <w:rPr>
          <w:rFonts w:cs="Times New Roman"/>
        </w:rPr>
        <w:t xml:space="preserve">A </w:t>
      </w:r>
      <w:r w:rsidR="00141DDB" w:rsidRPr="00F7245E">
        <w:rPr>
          <w:rFonts w:cs="Times New Roman"/>
        </w:rPr>
        <w:t>3</w:t>
      </w:r>
      <w:r w:rsidRPr="00F7245E">
        <w:rPr>
          <w:rFonts w:cs="Times New Roman"/>
        </w:rPr>
        <w:t>. táblázat szervrendszeri kateg</w:t>
      </w:r>
      <w:r w:rsidR="0071046D" w:rsidRPr="00F7245E">
        <w:rPr>
          <w:rFonts w:cs="Times New Roman"/>
        </w:rPr>
        <w:t>ór</w:t>
      </w:r>
      <w:r w:rsidRPr="00F7245E">
        <w:rPr>
          <w:rFonts w:cs="Times New Roman"/>
        </w:rPr>
        <w:t>iánként és gyakoriság szerint osztályozva, az alábbi megegyezés szerint mutatja a mellékhatásokat: nagyon gyakori (≥</w:t>
      </w:r>
      <w:r w:rsidR="00D86A27" w:rsidRPr="00F7245E">
        <w:rPr>
          <w:rFonts w:cs="Times New Roman"/>
        </w:rPr>
        <w:t> </w:t>
      </w:r>
      <w:r w:rsidRPr="00F7245E">
        <w:rPr>
          <w:rFonts w:cs="Times New Roman"/>
        </w:rPr>
        <w:t>1/10), gyakori (≥</w:t>
      </w:r>
      <w:r w:rsidR="00D86A27" w:rsidRPr="00F7245E">
        <w:rPr>
          <w:rFonts w:cs="Times New Roman"/>
        </w:rPr>
        <w:t> </w:t>
      </w:r>
      <w:r w:rsidRPr="00F7245E">
        <w:rPr>
          <w:rFonts w:cs="Times New Roman"/>
        </w:rPr>
        <w:t>1/100</w:t>
      </w:r>
      <w:r w:rsidR="00D86A27" w:rsidRPr="00F7245E">
        <w:rPr>
          <w:rFonts w:cs="Times New Roman"/>
        </w:rPr>
        <w:noBreakHyphen/>
      </w:r>
      <w:r w:rsidRPr="00F7245E">
        <w:rPr>
          <w:rFonts w:cs="Times New Roman"/>
        </w:rPr>
        <w:t>&lt;</w:t>
      </w:r>
      <w:r w:rsidR="00D86A27" w:rsidRPr="00F7245E">
        <w:rPr>
          <w:rFonts w:cs="Times New Roman"/>
        </w:rPr>
        <w:t> </w:t>
      </w:r>
      <w:r w:rsidRPr="00F7245E">
        <w:rPr>
          <w:rFonts w:cs="Times New Roman"/>
        </w:rPr>
        <w:t>1/10), nem gyakori (≥</w:t>
      </w:r>
      <w:r w:rsidR="00D86A27" w:rsidRPr="00F7245E">
        <w:rPr>
          <w:rFonts w:cs="Times New Roman"/>
        </w:rPr>
        <w:t> </w:t>
      </w:r>
      <w:r w:rsidRPr="00F7245E">
        <w:rPr>
          <w:rFonts w:cs="Times New Roman"/>
        </w:rPr>
        <w:t>1/1000</w:t>
      </w:r>
      <w:r w:rsidR="00D86A27" w:rsidRPr="00F7245E">
        <w:rPr>
          <w:rFonts w:cs="Times New Roman"/>
        </w:rPr>
        <w:noBreakHyphen/>
      </w:r>
      <w:r w:rsidRPr="00F7245E">
        <w:rPr>
          <w:rFonts w:cs="Times New Roman"/>
        </w:rPr>
        <w:t>&lt;</w:t>
      </w:r>
      <w:r w:rsidR="00D86A27" w:rsidRPr="00F7245E">
        <w:rPr>
          <w:rFonts w:cs="Times New Roman"/>
        </w:rPr>
        <w:t> </w:t>
      </w:r>
      <w:r w:rsidRPr="00F7245E">
        <w:rPr>
          <w:rFonts w:cs="Times New Roman"/>
        </w:rPr>
        <w:t>1/100), ritka (≥</w:t>
      </w:r>
      <w:r w:rsidR="00D86A27" w:rsidRPr="00F7245E">
        <w:rPr>
          <w:rFonts w:cs="Times New Roman"/>
        </w:rPr>
        <w:t> </w:t>
      </w:r>
      <w:r w:rsidRPr="00F7245E">
        <w:rPr>
          <w:rFonts w:cs="Times New Roman"/>
        </w:rPr>
        <w:t>1/10</w:t>
      </w:r>
      <w:r w:rsidR="00D86A27" w:rsidRPr="00F7245E">
        <w:rPr>
          <w:rFonts w:cs="Times New Roman"/>
        </w:rPr>
        <w:t> </w:t>
      </w:r>
      <w:r w:rsidRPr="00F7245E">
        <w:rPr>
          <w:rFonts w:cs="Times New Roman"/>
        </w:rPr>
        <w:t>000</w:t>
      </w:r>
      <w:r w:rsidR="00D86A27" w:rsidRPr="00F7245E">
        <w:rPr>
          <w:rFonts w:cs="Times New Roman"/>
        </w:rPr>
        <w:noBreakHyphen/>
      </w:r>
      <w:r w:rsidRPr="00F7245E">
        <w:rPr>
          <w:rFonts w:cs="Times New Roman"/>
        </w:rPr>
        <w:t>&lt;</w:t>
      </w:r>
      <w:r w:rsidR="00D86A27" w:rsidRPr="00F7245E">
        <w:rPr>
          <w:rFonts w:cs="Times New Roman"/>
        </w:rPr>
        <w:t> </w:t>
      </w:r>
      <w:r w:rsidRPr="00F7245E">
        <w:rPr>
          <w:rFonts w:cs="Times New Roman"/>
        </w:rPr>
        <w:t>1/1000) és nagyon ritka (&lt;</w:t>
      </w:r>
      <w:r w:rsidR="00D86A27" w:rsidRPr="00F7245E">
        <w:rPr>
          <w:rFonts w:cs="Times New Roman"/>
        </w:rPr>
        <w:t> </w:t>
      </w:r>
      <w:r w:rsidRPr="00F7245E">
        <w:rPr>
          <w:rFonts w:cs="Times New Roman"/>
        </w:rPr>
        <w:t>1/10</w:t>
      </w:r>
      <w:r w:rsidR="00D86A27" w:rsidRPr="00F7245E">
        <w:rPr>
          <w:rFonts w:cs="Times New Roman"/>
        </w:rPr>
        <w:t> </w:t>
      </w:r>
      <w:r w:rsidRPr="00F7245E">
        <w:rPr>
          <w:rFonts w:cs="Times New Roman"/>
        </w:rPr>
        <w:t xml:space="preserve">000), nem ismert (a </w:t>
      </w:r>
      <w:r w:rsidR="00AE17AA" w:rsidRPr="00F7245E">
        <w:rPr>
          <w:rFonts w:cs="Times New Roman"/>
        </w:rPr>
        <w:t xml:space="preserve">gyakoriság a </w:t>
      </w:r>
      <w:r w:rsidRPr="00F7245E">
        <w:rPr>
          <w:rFonts w:cs="Times New Roman"/>
        </w:rPr>
        <w:t>rendelkezésre álló adatokból nem állapítható meg), sorrendben a VTEp, az NVPF és a VTEt esetén</w:t>
      </w:r>
      <w:r w:rsidR="00141DDB" w:rsidRPr="00F7245E">
        <w:rPr>
          <w:rFonts w:cs="Times New Roman"/>
        </w:rPr>
        <w:t xml:space="preserve"> </w:t>
      </w:r>
      <w:r w:rsidR="00141DDB" w:rsidRPr="00F7245E">
        <w:t>felnőtteknél, illetve VTEt és VTE kiújulásának megelőzése esetén gyermekeknél és serdülőknél (28 napos kortól betöltött 18 éves életkorig)</w:t>
      </w:r>
      <w:r w:rsidRPr="00F7245E">
        <w:rPr>
          <w:rFonts w:cs="Times New Roman"/>
        </w:rPr>
        <w:t>.</w:t>
      </w:r>
    </w:p>
    <w:bookmarkEnd w:id="6"/>
    <w:p w14:paraId="6B56B4B1" w14:textId="2BEA2D27" w:rsidR="00C77F20" w:rsidRPr="00F7245E" w:rsidRDefault="00C77F20" w:rsidP="00A21724">
      <w:pPr>
        <w:pStyle w:val="Nincstrkz"/>
        <w:rPr>
          <w:rFonts w:cs="Times New Roman"/>
        </w:rPr>
      </w:pPr>
    </w:p>
    <w:p w14:paraId="1C23F9DF" w14:textId="77777777" w:rsidR="00141DDB" w:rsidRPr="00F7245E" w:rsidRDefault="00141DDB" w:rsidP="00141DDB">
      <w:pPr>
        <w:pStyle w:val="EMEABodyText"/>
        <w:rPr>
          <w:rFonts w:eastAsia="MS Mincho"/>
          <w:szCs w:val="22"/>
          <w:lang w:val="hu-HU"/>
        </w:rPr>
      </w:pPr>
      <w:r w:rsidRPr="00F7245E">
        <w:rPr>
          <w:lang w:val="hu-HU"/>
        </w:rPr>
        <w:t>A 3. táblázatban a gyermekekre és serdülőkre vonatkozóan a mellékhatások gyakorisága a CV185325 vizsgálatból származik, amelyben az apixabánt a VTE kezelésére és a VTE kiújulásának megelőzésére alkalmazták</w:t>
      </w:r>
      <w:r w:rsidRPr="00F7245E">
        <w:rPr>
          <w:rFonts w:eastAsia="MS Mincho"/>
          <w:szCs w:val="22"/>
          <w:lang w:val="hu-HU"/>
        </w:rPr>
        <w:t>.</w:t>
      </w:r>
    </w:p>
    <w:p w14:paraId="59A315F6" w14:textId="77777777" w:rsidR="00141DDB" w:rsidRPr="00F7245E" w:rsidRDefault="00141DDB" w:rsidP="00A21724">
      <w:pPr>
        <w:pStyle w:val="Nincstrkz"/>
        <w:rPr>
          <w:rFonts w:cs="Times New Roman"/>
        </w:rPr>
      </w:pPr>
    </w:p>
    <w:p w14:paraId="49B12AA6" w14:textId="768758FD" w:rsidR="00942FD4" w:rsidRPr="00F7245E" w:rsidRDefault="00D72679" w:rsidP="00A21724">
      <w:pPr>
        <w:tabs>
          <w:tab w:val="left" w:pos="284"/>
        </w:tabs>
        <w:rPr>
          <w:b/>
          <w:bCs/>
        </w:rPr>
      </w:pPr>
      <w:r w:rsidRPr="00F7245E">
        <w:rPr>
          <w:b/>
          <w:bCs/>
        </w:rPr>
        <w:t>3</w:t>
      </w:r>
      <w:r w:rsidR="00DA7304" w:rsidRPr="00F7245E">
        <w:rPr>
          <w:b/>
          <w:bCs/>
        </w:rPr>
        <w:t xml:space="preserve">. </w:t>
      </w:r>
      <w:r w:rsidR="00DA7304" w:rsidRPr="00F7245E">
        <w:rPr>
          <w:b/>
          <w:bCs/>
        </w:rPr>
        <w:tab/>
      </w:r>
      <w:r w:rsidR="002C53F6" w:rsidRPr="00F7245E">
        <w:rPr>
          <w:b/>
          <w:bCs/>
        </w:rPr>
        <w:t>T</w:t>
      </w:r>
      <w:r w:rsidR="00DA7304" w:rsidRPr="00F7245E">
        <w:rPr>
          <w:b/>
          <w:bCs/>
        </w:rPr>
        <w:t>áblázat</w:t>
      </w:r>
      <w:r w:rsidR="002C53F6" w:rsidRPr="00F7245E">
        <w:rPr>
          <w:b/>
          <w:bCs/>
        </w:rPr>
        <w:t>. A mellékhatások táblázatos felsorolása</w:t>
      </w:r>
    </w:p>
    <w:tbl>
      <w:tblPr>
        <w:tblStyle w:val="TableNormal1"/>
        <w:tblW w:w="1034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1"/>
        <w:gridCol w:w="1984"/>
        <w:gridCol w:w="1985"/>
        <w:gridCol w:w="1842"/>
        <w:gridCol w:w="1276"/>
      </w:tblGrid>
      <w:tr w:rsidR="00141DDB" w:rsidRPr="00F7245E" w14:paraId="5B9095A2" w14:textId="40744E86" w:rsidTr="00141DDB">
        <w:trPr>
          <w:trHeight w:val="2445"/>
          <w:tblHeader/>
        </w:trPr>
        <w:tc>
          <w:tcPr>
            <w:tcW w:w="3261" w:type="dxa"/>
          </w:tcPr>
          <w:p w14:paraId="21AA3C94" w14:textId="0B2CB01F" w:rsidR="00141DDB" w:rsidRPr="00F7245E" w:rsidRDefault="00141DDB" w:rsidP="00A21724">
            <w:pPr>
              <w:pStyle w:val="TableParagraph"/>
              <w:ind w:left="100"/>
              <w:rPr>
                <w:b/>
                <w:lang w:val="hu-HU"/>
              </w:rPr>
            </w:pPr>
            <w:r w:rsidRPr="00F7245E">
              <w:rPr>
                <w:b/>
                <w:w w:val="105"/>
              </w:rPr>
              <w:t>Szervrendszer</w:t>
            </w:r>
            <w:r w:rsidR="009A6370" w:rsidRPr="00F7245E">
              <w:rPr>
                <w:b/>
                <w:w w:val="105"/>
              </w:rPr>
              <w:t xml:space="preserve">i </w:t>
            </w:r>
            <w:r w:rsidRPr="00F7245E">
              <w:rPr>
                <w:b/>
                <w:w w:val="105"/>
              </w:rPr>
              <w:t>kategóriák</w:t>
            </w:r>
          </w:p>
        </w:tc>
        <w:tc>
          <w:tcPr>
            <w:tcW w:w="1984" w:type="dxa"/>
          </w:tcPr>
          <w:p w14:paraId="1AE2CAB1" w14:textId="28CEA552" w:rsidR="00141DDB" w:rsidRPr="00F7245E" w:rsidRDefault="00141DDB" w:rsidP="00A21724">
            <w:pPr>
              <w:pStyle w:val="Nincstrkz"/>
              <w:jc w:val="center"/>
              <w:rPr>
                <w:rFonts w:cs="Times New Roman"/>
                <w:b/>
                <w:bCs/>
                <w:lang w:val="hu-HU"/>
              </w:rPr>
            </w:pPr>
            <w:r w:rsidRPr="00F7245E">
              <w:rPr>
                <w:rFonts w:cs="Times New Roman"/>
                <w:b/>
                <w:bCs/>
                <w:w w:val="105"/>
              </w:rPr>
              <w:t>VTE prevenciója elektív csípő-</w:t>
            </w:r>
            <w:r w:rsidRPr="00F7245E">
              <w:rPr>
                <w:rFonts w:cs="Times New Roman"/>
                <w:b/>
                <w:bCs/>
                <w:spacing w:val="-23"/>
                <w:w w:val="105"/>
              </w:rPr>
              <w:t xml:space="preserve"> </w:t>
            </w:r>
            <w:r w:rsidRPr="00F7245E">
              <w:rPr>
                <w:rFonts w:cs="Times New Roman"/>
                <w:b/>
                <w:bCs/>
                <w:spacing w:val="-4"/>
                <w:w w:val="105"/>
              </w:rPr>
              <w:t xml:space="preserve">vagy </w:t>
            </w:r>
            <w:r w:rsidRPr="00F7245E">
              <w:rPr>
                <w:rFonts w:cs="Times New Roman"/>
                <w:b/>
                <w:bCs/>
                <w:w w:val="105"/>
              </w:rPr>
              <w:t>térdprotézis műtéten átesett felnőtt betegeknél (VTEp)</w:t>
            </w:r>
          </w:p>
        </w:tc>
        <w:tc>
          <w:tcPr>
            <w:tcW w:w="1985" w:type="dxa"/>
          </w:tcPr>
          <w:p w14:paraId="0D0FE796" w14:textId="741B8638" w:rsidR="00141DDB" w:rsidRPr="00F7245E" w:rsidRDefault="00141DDB" w:rsidP="00A21724">
            <w:pPr>
              <w:pStyle w:val="Nincstrkz"/>
              <w:jc w:val="center"/>
              <w:rPr>
                <w:rFonts w:cs="Times New Roman"/>
                <w:b/>
                <w:bCs/>
                <w:lang w:val="hu-HU"/>
              </w:rPr>
            </w:pPr>
            <w:r w:rsidRPr="00F7245E">
              <w:rPr>
                <w:rFonts w:cs="Times New Roman"/>
                <w:b/>
                <w:bCs/>
                <w:w w:val="105"/>
              </w:rPr>
              <w:t>A stroke és a szisztémás embolizáció megelőzése NVPF-ben szenvedő, egy vagy több kockázati tényezővel rendelkező felnőtt</w:t>
            </w:r>
          </w:p>
          <w:p w14:paraId="36342D80" w14:textId="77777777" w:rsidR="00141DDB" w:rsidRPr="00F7245E" w:rsidRDefault="00141DDB" w:rsidP="00A21724">
            <w:pPr>
              <w:pStyle w:val="Nincstrkz"/>
              <w:jc w:val="center"/>
              <w:rPr>
                <w:rFonts w:cs="Times New Roman"/>
                <w:lang w:val="hu-HU"/>
              </w:rPr>
            </w:pPr>
            <w:r w:rsidRPr="00F7245E">
              <w:rPr>
                <w:rFonts w:cs="Times New Roman"/>
                <w:b/>
                <w:bCs/>
                <w:w w:val="105"/>
              </w:rPr>
              <w:t>betegeknél (NVPF)</w:t>
            </w:r>
          </w:p>
        </w:tc>
        <w:tc>
          <w:tcPr>
            <w:tcW w:w="1842" w:type="dxa"/>
          </w:tcPr>
          <w:p w14:paraId="0AC25055" w14:textId="72717D65" w:rsidR="00141DDB" w:rsidRPr="00F7245E" w:rsidRDefault="00141DDB" w:rsidP="00A21724">
            <w:pPr>
              <w:pStyle w:val="Nincstrkz"/>
              <w:jc w:val="center"/>
              <w:rPr>
                <w:rFonts w:cs="Times New Roman"/>
                <w:b/>
                <w:bCs/>
                <w:lang w:val="hu-HU"/>
              </w:rPr>
            </w:pPr>
            <w:r w:rsidRPr="00F7245E">
              <w:rPr>
                <w:rFonts w:cs="Times New Roman"/>
                <w:b/>
                <w:bCs/>
                <w:w w:val="105"/>
              </w:rPr>
              <w:t xml:space="preserve">Az MVT és a PE kezelése, valamint az MVT és a </w:t>
            </w:r>
            <w:r w:rsidRPr="00F7245E">
              <w:rPr>
                <w:rFonts w:cs="Times New Roman"/>
                <w:b/>
                <w:bCs/>
                <w:spacing w:val="-8"/>
                <w:w w:val="105"/>
              </w:rPr>
              <w:t xml:space="preserve">PE </w:t>
            </w:r>
            <w:r w:rsidRPr="00F7245E">
              <w:rPr>
                <w:rFonts w:cs="Times New Roman"/>
                <w:b/>
                <w:bCs/>
              </w:rPr>
              <w:t xml:space="preserve">kiújulásának </w:t>
            </w:r>
            <w:r w:rsidRPr="00F7245E">
              <w:rPr>
                <w:rFonts w:cs="Times New Roman"/>
                <w:b/>
                <w:bCs/>
                <w:w w:val="105"/>
              </w:rPr>
              <w:t>megelőzése (VTEt) felnőtt betegeknél</w:t>
            </w:r>
          </w:p>
        </w:tc>
        <w:tc>
          <w:tcPr>
            <w:tcW w:w="1276" w:type="dxa"/>
          </w:tcPr>
          <w:p w14:paraId="48F54C50" w14:textId="60061DD3" w:rsidR="00141DDB" w:rsidRPr="00F7245E" w:rsidRDefault="00141DDB" w:rsidP="00A21724">
            <w:pPr>
              <w:pStyle w:val="Nincstrkz"/>
              <w:jc w:val="center"/>
              <w:rPr>
                <w:rFonts w:cs="Times New Roman"/>
                <w:b/>
                <w:bCs/>
                <w:w w:val="105"/>
              </w:rPr>
            </w:pPr>
            <w:r w:rsidRPr="00F7245E">
              <w:rPr>
                <w:b/>
              </w:rPr>
              <w:t>VTE kezelése és a VTE kiújulásának megelőzése gyermekeknél és serdülőknél (28 napos kortól betöltött 18 éves életkorig)</w:t>
            </w:r>
          </w:p>
        </w:tc>
      </w:tr>
      <w:tr w:rsidR="00141DDB" w:rsidRPr="00F7245E" w14:paraId="3BF0CEF7" w14:textId="057D668B" w:rsidTr="00141DDB">
        <w:trPr>
          <w:trHeight w:val="439"/>
        </w:trPr>
        <w:tc>
          <w:tcPr>
            <w:tcW w:w="7230" w:type="dxa"/>
            <w:gridSpan w:val="3"/>
          </w:tcPr>
          <w:p w14:paraId="54C95000" w14:textId="5F1F88FC" w:rsidR="00141DDB" w:rsidRPr="00F7245E" w:rsidRDefault="00141DDB" w:rsidP="00A21724">
            <w:pPr>
              <w:pStyle w:val="TableParagraph"/>
              <w:ind w:left="100"/>
              <w:rPr>
                <w:i/>
                <w:lang w:val="hu-HU"/>
              </w:rPr>
            </w:pPr>
            <w:r w:rsidRPr="00F7245E">
              <w:rPr>
                <w:i/>
                <w:w w:val="105"/>
              </w:rPr>
              <w:t>Vérképzőszervi és nyirokrendszeri betegségek és tünetek</w:t>
            </w:r>
          </w:p>
        </w:tc>
        <w:tc>
          <w:tcPr>
            <w:tcW w:w="1842" w:type="dxa"/>
          </w:tcPr>
          <w:p w14:paraId="4A0EFC45" w14:textId="77777777" w:rsidR="00141DDB" w:rsidRPr="00F7245E" w:rsidRDefault="00141DDB" w:rsidP="00A21724">
            <w:pPr>
              <w:pStyle w:val="TableParagraph"/>
              <w:rPr>
                <w:lang w:val="hu-HU"/>
              </w:rPr>
            </w:pPr>
          </w:p>
        </w:tc>
        <w:tc>
          <w:tcPr>
            <w:tcW w:w="1276" w:type="dxa"/>
          </w:tcPr>
          <w:p w14:paraId="36D38EEE" w14:textId="77777777" w:rsidR="00141DDB" w:rsidRPr="00F7245E" w:rsidRDefault="00141DDB" w:rsidP="00A21724">
            <w:pPr>
              <w:pStyle w:val="TableParagraph"/>
            </w:pPr>
          </w:p>
        </w:tc>
      </w:tr>
      <w:tr w:rsidR="00141DDB" w:rsidRPr="00F7245E" w14:paraId="1BEA343E" w14:textId="6D1F0F48" w:rsidTr="00141DDB">
        <w:trPr>
          <w:trHeight w:val="431"/>
        </w:trPr>
        <w:tc>
          <w:tcPr>
            <w:tcW w:w="3261" w:type="dxa"/>
          </w:tcPr>
          <w:p w14:paraId="2040A2CA" w14:textId="77777777" w:rsidR="00141DDB" w:rsidRPr="00F7245E" w:rsidRDefault="00141DDB" w:rsidP="00141DDB">
            <w:pPr>
              <w:pStyle w:val="TableParagraph"/>
              <w:ind w:left="100"/>
              <w:rPr>
                <w:lang w:val="hu-HU"/>
              </w:rPr>
            </w:pPr>
            <w:r w:rsidRPr="00F7245E">
              <w:rPr>
                <w:w w:val="105"/>
              </w:rPr>
              <w:t>Anaemia</w:t>
            </w:r>
          </w:p>
        </w:tc>
        <w:tc>
          <w:tcPr>
            <w:tcW w:w="1984" w:type="dxa"/>
          </w:tcPr>
          <w:p w14:paraId="6AB1D6AD" w14:textId="77777777" w:rsidR="00141DDB" w:rsidRPr="00F7245E" w:rsidRDefault="00141DDB" w:rsidP="00141DDB">
            <w:pPr>
              <w:pStyle w:val="TableParagraph"/>
              <w:ind w:left="325" w:right="317"/>
              <w:jc w:val="center"/>
              <w:rPr>
                <w:lang w:val="hu-HU"/>
              </w:rPr>
            </w:pPr>
            <w:r w:rsidRPr="00F7245E">
              <w:rPr>
                <w:w w:val="105"/>
              </w:rPr>
              <w:t>Gyakori</w:t>
            </w:r>
          </w:p>
        </w:tc>
        <w:tc>
          <w:tcPr>
            <w:tcW w:w="1985" w:type="dxa"/>
          </w:tcPr>
          <w:p w14:paraId="4385AD00" w14:textId="77777777" w:rsidR="00141DDB" w:rsidRPr="00F7245E" w:rsidRDefault="00141DDB" w:rsidP="00141DDB">
            <w:pPr>
              <w:pStyle w:val="TableParagraph"/>
              <w:ind w:left="373" w:right="371"/>
              <w:jc w:val="center"/>
              <w:rPr>
                <w:lang w:val="hu-HU"/>
              </w:rPr>
            </w:pPr>
            <w:r w:rsidRPr="00F7245E">
              <w:rPr>
                <w:w w:val="105"/>
              </w:rPr>
              <w:t>Gyakori</w:t>
            </w:r>
          </w:p>
        </w:tc>
        <w:tc>
          <w:tcPr>
            <w:tcW w:w="1842" w:type="dxa"/>
          </w:tcPr>
          <w:p w14:paraId="7A4AA007" w14:textId="77777777" w:rsidR="00141DDB" w:rsidRPr="00F7245E" w:rsidRDefault="00141DDB" w:rsidP="00141DDB">
            <w:pPr>
              <w:pStyle w:val="TableParagraph"/>
              <w:ind w:left="143" w:right="138"/>
              <w:jc w:val="center"/>
              <w:rPr>
                <w:lang w:val="hu-HU"/>
              </w:rPr>
            </w:pPr>
            <w:r w:rsidRPr="00F7245E">
              <w:rPr>
                <w:w w:val="105"/>
              </w:rPr>
              <w:t>Gyakori</w:t>
            </w:r>
          </w:p>
        </w:tc>
        <w:tc>
          <w:tcPr>
            <w:tcW w:w="1276" w:type="dxa"/>
          </w:tcPr>
          <w:p w14:paraId="5B9A40A7" w14:textId="66B98E10" w:rsidR="00141DDB" w:rsidRPr="00F7245E" w:rsidRDefault="00141DDB" w:rsidP="00141DDB">
            <w:pPr>
              <w:pStyle w:val="TableParagraph"/>
              <w:ind w:left="143" w:right="138"/>
              <w:jc w:val="center"/>
              <w:rPr>
                <w:w w:val="105"/>
              </w:rPr>
            </w:pPr>
            <w:r w:rsidRPr="00F7245E">
              <w:t>Gyakori</w:t>
            </w:r>
          </w:p>
        </w:tc>
      </w:tr>
      <w:tr w:rsidR="00141DDB" w:rsidRPr="00F7245E" w14:paraId="68DB1823" w14:textId="47AF3E7A" w:rsidTr="00141DDB">
        <w:trPr>
          <w:trHeight w:val="429"/>
        </w:trPr>
        <w:tc>
          <w:tcPr>
            <w:tcW w:w="3261" w:type="dxa"/>
          </w:tcPr>
          <w:p w14:paraId="02E2E034" w14:textId="77777777" w:rsidR="00141DDB" w:rsidRPr="00F7245E" w:rsidRDefault="00141DDB" w:rsidP="00141DDB">
            <w:pPr>
              <w:pStyle w:val="TableParagraph"/>
              <w:ind w:left="100"/>
              <w:rPr>
                <w:lang w:val="hu-HU"/>
              </w:rPr>
            </w:pPr>
            <w:r w:rsidRPr="00F7245E">
              <w:rPr>
                <w:w w:val="105"/>
              </w:rPr>
              <w:t>Thrombocytopenia</w:t>
            </w:r>
          </w:p>
        </w:tc>
        <w:tc>
          <w:tcPr>
            <w:tcW w:w="1984" w:type="dxa"/>
          </w:tcPr>
          <w:p w14:paraId="54BFEEC6" w14:textId="77777777" w:rsidR="00141DDB" w:rsidRPr="00F7245E" w:rsidRDefault="00141DDB" w:rsidP="00141DDB">
            <w:pPr>
              <w:pStyle w:val="TableParagraph"/>
              <w:ind w:left="322" w:right="317"/>
              <w:jc w:val="center"/>
              <w:rPr>
                <w:lang w:val="hu-HU"/>
              </w:rPr>
            </w:pPr>
            <w:r w:rsidRPr="00F7245E">
              <w:rPr>
                <w:w w:val="105"/>
              </w:rPr>
              <w:t>Nem gyakori</w:t>
            </w:r>
          </w:p>
        </w:tc>
        <w:tc>
          <w:tcPr>
            <w:tcW w:w="1985" w:type="dxa"/>
          </w:tcPr>
          <w:p w14:paraId="62381180" w14:textId="77777777" w:rsidR="00141DDB" w:rsidRPr="00F7245E" w:rsidRDefault="00141DDB" w:rsidP="00141DDB">
            <w:pPr>
              <w:pStyle w:val="TableParagraph"/>
              <w:ind w:left="376" w:right="370"/>
              <w:jc w:val="center"/>
              <w:rPr>
                <w:lang w:val="hu-HU"/>
              </w:rPr>
            </w:pPr>
            <w:r w:rsidRPr="00F7245E">
              <w:rPr>
                <w:w w:val="105"/>
              </w:rPr>
              <w:t>Nem gyakori</w:t>
            </w:r>
          </w:p>
        </w:tc>
        <w:tc>
          <w:tcPr>
            <w:tcW w:w="1842" w:type="dxa"/>
          </w:tcPr>
          <w:p w14:paraId="1C0437BD" w14:textId="77777777" w:rsidR="00141DDB" w:rsidRPr="00F7245E" w:rsidRDefault="00141DDB" w:rsidP="00141DDB">
            <w:pPr>
              <w:pStyle w:val="TableParagraph"/>
              <w:ind w:left="142" w:right="138"/>
              <w:jc w:val="center"/>
              <w:rPr>
                <w:lang w:val="hu-HU"/>
              </w:rPr>
            </w:pPr>
            <w:r w:rsidRPr="00F7245E">
              <w:rPr>
                <w:w w:val="105"/>
              </w:rPr>
              <w:t>Gyakori</w:t>
            </w:r>
          </w:p>
        </w:tc>
        <w:tc>
          <w:tcPr>
            <w:tcW w:w="1276" w:type="dxa"/>
          </w:tcPr>
          <w:p w14:paraId="28FCB92B" w14:textId="778BFA70" w:rsidR="00141DDB" w:rsidRPr="00F7245E" w:rsidRDefault="00141DDB" w:rsidP="00141DDB">
            <w:pPr>
              <w:pStyle w:val="TableParagraph"/>
              <w:ind w:left="142" w:right="138"/>
              <w:jc w:val="center"/>
              <w:rPr>
                <w:w w:val="105"/>
              </w:rPr>
            </w:pPr>
            <w:r w:rsidRPr="00F7245E">
              <w:t>Gyakori</w:t>
            </w:r>
          </w:p>
        </w:tc>
      </w:tr>
      <w:tr w:rsidR="00141DDB" w:rsidRPr="00F7245E" w14:paraId="03B4C789" w14:textId="02588137" w:rsidTr="00141DDB">
        <w:trPr>
          <w:trHeight w:val="530"/>
        </w:trPr>
        <w:tc>
          <w:tcPr>
            <w:tcW w:w="7230" w:type="dxa"/>
            <w:gridSpan w:val="3"/>
          </w:tcPr>
          <w:p w14:paraId="3839E5AF" w14:textId="37E89F02" w:rsidR="00141DDB" w:rsidRPr="00F7245E" w:rsidRDefault="00141DDB" w:rsidP="00A21724">
            <w:pPr>
              <w:pStyle w:val="TableParagraph"/>
              <w:keepNext/>
              <w:widowControl/>
              <w:ind w:left="100"/>
              <w:rPr>
                <w:i/>
                <w:lang w:val="hu-HU"/>
              </w:rPr>
            </w:pPr>
            <w:r w:rsidRPr="00F7245E">
              <w:rPr>
                <w:i/>
                <w:w w:val="105"/>
              </w:rPr>
              <w:t>Immunrendszeri betegségek és tünetek</w:t>
            </w:r>
          </w:p>
        </w:tc>
        <w:tc>
          <w:tcPr>
            <w:tcW w:w="1842" w:type="dxa"/>
          </w:tcPr>
          <w:p w14:paraId="202D44CA" w14:textId="77777777" w:rsidR="00141DDB" w:rsidRPr="00F7245E" w:rsidRDefault="00141DDB" w:rsidP="00A21724">
            <w:pPr>
              <w:pStyle w:val="TableParagraph"/>
              <w:keepNext/>
              <w:widowControl/>
              <w:jc w:val="center"/>
              <w:rPr>
                <w:lang w:val="hu-HU"/>
              </w:rPr>
            </w:pPr>
          </w:p>
        </w:tc>
        <w:tc>
          <w:tcPr>
            <w:tcW w:w="1276" w:type="dxa"/>
          </w:tcPr>
          <w:p w14:paraId="1861BF40" w14:textId="77777777" w:rsidR="00141DDB" w:rsidRPr="00F7245E" w:rsidRDefault="00141DDB" w:rsidP="00A21724">
            <w:pPr>
              <w:pStyle w:val="TableParagraph"/>
              <w:keepNext/>
              <w:widowControl/>
              <w:jc w:val="center"/>
            </w:pPr>
          </w:p>
        </w:tc>
      </w:tr>
      <w:tr w:rsidR="00141DDB" w:rsidRPr="00F7245E" w14:paraId="024E9773" w14:textId="78F2AA6E" w:rsidTr="00141DDB">
        <w:trPr>
          <w:trHeight w:val="706"/>
        </w:trPr>
        <w:tc>
          <w:tcPr>
            <w:tcW w:w="3261" w:type="dxa"/>
          </w:tcPr>
          <w:p w14:paraId="4957978E" w14:textId="77777777" w:rsidR="00141DDB" w:rsidRPr="00F7245E" w:rsidRDefault="00141DDB" w:rsidP="00141DDB">
            <w:pPr>
              <w:pStyle w:val="TableParagraph"/>
              <w:keepNext/>
              <w:widowControl/>
              <w:ind w:left="100" w:right="281"/>
              <w:rPr>
                <w:lang w:val="hu-HU"/>
              </w:rPr>
            </w:pPr>
            <w:r w:rsidRPr="00F7245E">
              <w:rPr>
                <w:w w:val="105"/>
              </w:rPr>
              <w:t>Túlérzékenység, allergiás oedema és anaphylaxia</w:t>
            </w:r>
          </w:p>
        </w:tc>
        <w:tc>
          <w:tcPr>
            <w:tcW w:w="1984" w:type="dxa"/>
          </w:tcPr>
          <w:p w14:paraId="405DF2AF" w14:textId="77777777" w:rsidR="00141DDB" w:rsidRPr="00F7245E" w:rsidRDefault="00141DDB" w:rsidP="00141DDB">
            <w:pPr>
              <w:pStyle w:val="TableParagraph"/>
              <w:keepNext/>
              <w:widowControl/>
              <w:ind w:left="324" w:right="317"/>
              <w:jc w:val="center"/>
              <w:rPr>
                <w:lang w:val="hu-HU"/>
              </w:rPr>
            </w:pPr>
            <w:r w:rsidRPr="00F7245E">
              <w:rPr>
                <w:w w:val="105"/>
              </w:rPr>
              <w:t>Ritka</w:t>
            </w:r>
          </w:p>
        </w:tc>
        <w:tc>
          <w:tcPr>
            <w:tcW w:w="1985" w:type="dxa"/>
          </w:tcPr>
          <w:p w14:paraId="6F340414" w14:textId="77777777" w:rsidR="00141DDB" w:rsidRPr="00F7245E" w:rsidRDefault="00141DDB" w:rsidP="00141DDB">
            <w:pPr>
              <w:pStyle w:val="TableParagraph"/>
              <w:keepNext/>
              <w:widowControl/>
              <w:ind w:left="375" w:right="371"/>
              <w:jc w:val="center"/>
              <w:rPr>
                <w:lang w:val="hu-HU"/>
              </w:rPr>
            </w:pPr>
            <w:r w:rsidRPr="00F7245E">
              <w:rPr>
                <w:w w:val="105"/>
              </w:rPr>
              <w:t>Nem gyakori</w:t>
            </w:r>
          </w:p>
        </w:tc>
        <w:tc>
          <w:tcPr>
            <w:tcW w:w="1842" w:type="dxa"/>
          </w:tcPr>
          <w:p w14:paraId="398D71AC" w14:textId="77777777" w:rsidR="00141DDB" w:rsidRPr="00F7245E" w:rsidRDefault="00141DDB" w:rsidP="00141DDB">
            <w:pPr>
              <w:pStyle w:val="TableParagraph"/>
              <w:keepNext/>
              <w:widowControl/>
              <w:ind w:left="142" w:right="138"/>
              <w:jc w:val="center"/>
              <w:rPr>
                <w:lang w:val="hu-HU"/>
              </w:rPr>
            </w:pPr>
            <w:r w:rsidRPr="00F7245E">
              <w:rPr>
                <w:w w:val="105"/>
              </w:rPr>
              <w:t>Nem gyakori</w:t>
            </w:r>
          </w:p>
        </w:tc>
        <w:tc>
          <w:tcPr>
            <w:tcW w:w="1276" w:type="dxa"/>
          </w:tcPr>
          <w:p w14:paraId="108126F0" w14:textId="1AF77968" w:rsidR="00141DDB" w:rsidRPr="00F7245E" w:rsidRDefault="00141DDB" w:rsidP="00141DDB">
            <w:pPr>
              <w:pStyle w:val="TableParagraph"/>
              <w:keepNext/>
              <w:widowControl/>
              <w:ind w:left="142" w:right="138"/>
              <w:jc w:val="center"/>
              <w:rPr>
                <w:w w:val="105"/>
              </w:rPr>
            </w:pPr>
            <w:r w:rsidRPr="00F7245E">
              <w:t>Gyakori</w:t>
            </w:r>
            <w:r w:rsidRPr="00F7245E">
              <w:rPr>
                <w:rFonts w:eastAsia="MS Mincho"/>
                <w:vertAlign w:val="superscript"/>
                <w:lang w:val="sv-SE" w:eastAsia="en-GB"/>
              </w:rPr>
              <w:t>‡</w:t>
            </w:r>
          </w:p>
        </w:tc>
      </w:tr>
      <w:tr w:rsidR="00141DDB" w:rsidRPr="00F7245E" w14:paraId="52B20A99" w14:textId="45BF8B18" w:rsidTr="00141DDB">
        <w:trPr>
          <w:trHeight w:val="440"/>
        </w:trPr>
        <w:tc>
          <w:tcPr>
            <w:tcW w:w="3261" w:type="dxa"/>
          </w:tcPr>
          <w:p w14:paraId="1C14C097" w14:textId="77777777" w:rsidR="00141DDB" w:rsidRPr="00F7245E" w:rsidRDefault="00141DDB" w:rsidP="00141DDB">
            <w:pPr>
              <w:pStyle w:val="TableParagraph"/>
              <w:keepNext/>
              <w:widowControl/>
              <w:ind w:left="100"/>
              <w:rPr>
                <w:lang w:val="hu-HU"/>
              </w:rPr>
            </w:pPr>
            <w:r w:rsidRPr="00F7245E">
              <w:rPr>
                <w:w w:val="105"/>
              </w:rPr>
              <w:t>Pruritus</w:t>
            </w:r>
          </w:p>
        </w:tc>
        <w:tc>
          <w:tcPr>
            <w:tcW w:w="1984" w:type="dxa"/>
          </w:tcPr>
          <w:p w14:paraId="632D21F8" w14:textId="77777777" w:rsidR="00141DDB" w:rsidRPr="00F7245E" w:rsidRDefault="00141DDB" w:rsidP="00141DDB">
            <w:pPr>
              <w:pStyle w:val="TableParagraph"/>
              <w:keepNext/>
              <w:widowControl/>
              <w:ind w:left="323" w:right="317"/>
              <w:jc w:val="center"/>
              <w:rPr>
                <w:lang w:val="hu-HU"/>
              </w:rPr>
            </w:pPr>
            <w:r w:rsidRPr="00F7245E">
              <w:rPr>
                <w:w w:val="105"/>
              </w:rPr>
              <w:t>Nem gyakori</w:t>
            </w:r>
          </w:p>
        </w:tc>
        <w:tc>
          <w:tcPr>
            <w:tcW w:w="1985" w:type="dxa"/>
          </w:tcPr>
          <w:p w14:paraId="557D1204" w14:textId="77777777" w:rsidR="00141DDB" w:rsidRPr="00F7245E" w:rsidRDefault="00141DDB" w:rsidP="00141DDB">
            <w:pPr>
              <w:pStyle w:val="TableParagraph"/>
              <w:keepNext/>
              <w:widowControl/>
              <w:ind w:left="376" w:right="371"/>
              <w:jc w:val="center"/>
              <w:rPr>
                <w:lang w:val="hu-HU"/>
              </w:rPr>
            </w:pPr>
            <w:r w:rsidRPr="00F7245E">
              <w:rPr>
                <w:w w:val="105"/>
              </w:rPr>
              <w:t>Nem gyakori</w:t>
            </w:r>
          </w:p>
        </w:tc>
        <w:tc>
          <w:tcPr>
            <w:tcW w:w="1842" w:type="dxa"/>
          </w:tcPr>
          <w:p w14:paraId="3A290503" w14:textId="77777777" w:rsidR="00141DDB" w:rsidRPr="00F7245E" w:rsidRDefault="00141DDB" w:rsidP="00141DDB">
            <w:pPr>
              <w:pStyle w:val="TableParagraph"/>
              <w:keepNext/>
              <w:widowControl/>
              <w:ind w:left="143" w:right="138"/>
              <w:jc w:val="center"/>
              <w:rPr>
                <w:lang w:val="hu-HU"/>
              </w:rPr>
            </w:pPr>
            <w:r w:rsidRPr="00F7245E">
              <w:rPr>
                <w:w w:val="105"/>
              </w:rPr>
              <w:t>Nem gyakori*</w:t>
            </w:r>
          </w:p>
        </w:tc>
        <w:tc>
          <w:tcPr>
            <w:tcW w:w="1276" w:type="dxa"/>
          </w:tcPr>
          <w:p w14:paraId="6048039D" w14:textId="22F94095" w:rsidR="00141DDB" w:rsidRPr="00F7245E" w:rsidRDefault="00141DDB" w:rsidP="00141DDB">
            <w:pPr>
              <w:pStyle w:val="TableParagraph"/>
              <w:keepNext/>
              <w:widowControl/>
              <w:ind w:left="143" w:right="138"/>
              <w:jc w:val="center"/>
              <w:rPr>
                <w:w w:val="105"/>
              </w:rPr>
            </w:pPr>
            <w:r w:rsidRPr="00F7245E">
              <w:t>Gyakori</w:t>
            </w:r>
          </w:p>
        </w:tc>
      </w:tr>
      <w:tr w:rsidR="00141DDB" w:rsidRPr="00F7245E" w14:paraId="6DAAB9D8" w14:textId="77777777" w:rsidTr="00141DDB">
        <w:trPr>
          <w:trHeight w:val="440"/>
        </w:trPr>
        <w:tc>
          <w:tcPr>
            <w:tcW w:w="3261" w:type="dxa"/>
          </w:tcPr>
          <w:p w14:paraId="00DE23C8" w14:textId="42EC6AC2" w:rsidR="00141DDB" w:rsidRPr="00F7245E" w:rsidRDefault="00141DDB" w:rsidP="00141DDB">
            <w:pPr>
              <w:pStyle w:val="TableParagraph"/>
              <w:keepNext/>
              <w:widowControl/>
              <w:ind w:left="100"/>
              <w:rPr>
                <w:w w:val="105"/>
              </w:rPr>
            </w:pPr>
            <w:r w:rsidRPr="00F7245E">
              <w:t>Angioedema</w:t>
            </w:r>
          </w:p>
        </w:tc>
        <w:tc>
          <w:tcPr>
            <w:tcW w:w="1984" w:type="dxa"/>
          </w:tcPr>
          <w:p w14:paraId="650F5079" w14:textId="02C87510" w:rsidR="00141DDB" w:rsidRPr="00F7245E" w:rsidRDefault="00141DDB" w:rsidP="00141DDB">
            <w:pPr>
              <w:pStyle w:val="TableParagraph"/>
              <w:keepNext/>
              <w:widowControl/>
              <w:ind w:left="323" w:right="317"/>
              <w:jc w:val="center"/>
              <w:rPr>
                <w:w w:val="105"/>
              </w:rPr>
            </w:pPr>
            <w:r w:rsidRPr="00F7245E">
              <w:t>Nem ismert</w:t>
            </w:r>
          </w:p>
        </w:tc>
        <w:tc>
          <w:tcPr>
            <w:tcW w:w="1985" w:type="dxa"/>
          </w:tcPr>
          <w:p w14:paraId="178F213B" w14:textId="5F3F9F75" w:rsidR="00141DDB" w:rsidRPr="00F7245E" w:rsidRDefault="00141DDB" w:rsidP="00141DDB">
            <w:pPr>
              <w:pStyle w:val="TableParagraph"/>
              <w:keepNext/>
              <w:widowControl/>
              <w:ind w:left="376" w:right="371"/>
              <w:jc w:val="center"/>
              <w:rPr>
                <w:w w:val="105"/>
              </w:rPr>
            </w:pPr>
            <w:r w:rsidRPr="00F7245E">
              <w:t>Nem ismert</w:t>
            </w:r>
          </w:p>
        </w:tc>
        <w:tc>
          <w:tcPr>
            <w:tcW w:w="1842" w:type="dxa"/>
          </w:tcPr>
          <w:p w14:paraId="68FA8942" w14:textId="26D531A3" w:rsidR="00141DDB" w:rsidRPr="00F7245E" w:rsidRDefault="00141DDB" w:rsidP="00141DDB">
            <w:pPr>
              <w:pStyle w:val="TableParagraph"/>
              <w:keepNext/>
              <w:widowControl/>
              <w:ind w:left="143" w:right="138"/>
              <w:jc w:val="center"/>
              <w:rPr>
                <w:w w:val="105"/>
              </w:rPr>
            </w:pPr>
            <w:r w:rsidRPr="00F7245E">
              <w:t>Nem ismert</w:t>
            </w:r>
          </w:p>
        </w:tc>
        <w:tc>
          <w:tcPr>
            <w:tcW w:w="1276" w:type="dxa"/>
          </w:tcPr>
          <w:p w14:paraId="6E7084FC" w14:textId="5BDDF46F" w:rsidR="00141DDB" w:rsidRPr="00F7245E" w:rsidRDefault="00141DDB" w:rsidP="00141DDB">
            <w:pPr>
              <w:pStyle w:val="TableParagraph"/>
              <w:keepNext/>
              <w:widowControl/>
              <w:ind w:left="143" w:right="138"/>
              <w:jc w:val="center"/>
              <w:rPr>
                <w:w w:val="105"/>
              </w:rPr>
            </w:pPr>
            <w:r w:rsidRPr="00F7245E">
              <w:t>Nem ismert</w:t>
            </w:r>
          </w:p>
        </w:tc>
      </w:tr>
      <w:tr w:rsidR="00141DDB" w:rsidRPr="00F7245E" w14:paraId="656ECF43" w14:textId="45BF8D74" w:rsidTr="00141DDB">
        <w:trPr>
          <w:trHeight w:val="512"/>
        </w:trPr>
        <w:tc>
          <w:tcPr>
            <w:tcW w:w="7230" w:type="dxa"/>
            <w:gridSpan w:val="3"/>
          </w:tcPr>
          <w:p w14:paraId="2145ACA4" w14:textId="3ACCD468" w:rsidR="00141DDB" w:rsidRPr="00F7245E" w:rsidRDefault="00141DDB" w:rsidP="00141DDB">
            <w:pPr>
              <w:pStyle w:val="TableParagraph"/>
              <w:ind w:left="100"/>
              <w:rPr>
                <w:i/>
                <w:lang w:val="hu-HU"/>
              </w:rPr>
            </w:pPr>
            <w:r w:rsidRPr="00F7245E">
              <w:rPr>
                <w:i/>
                <w:w w:val="105"/>
              </w:rPr>
              <w:t>Idegrendszeri betegségek és tünetek</w:t>
            </w:r>
          </w:p>
        </w:tc>
        <w:tc>
          <w:tcPr>
            <w:tcW w:w="1842" w:type="dxa"/>
          </w:tcPr>
          <w:p w14:paraId="08FCCDC6" w14:textId="77777777" w:rsidR="00141DDB" w:rsidRPr="00F7245E" w:rsidRDefault="00141DDB" w:rsidP="00141DDB">
            <w:pPr>
              <w:pStyle w:val="TableParagraph"/>
              <w:rPr>
                <w:lang w:val="hu-HU"/>
              </w:rPr>
            </w:pPr>
          </w:p>
        </w:tc>
        <w:tc>
          <w:tcPr>
            <w:tcW w:w="1276" w:type="dxa"/>
          </w:tcPr>
          <w:p w14:paraId="60A278CD" w14:textId="77777777" w:rsidR="00141DDB" w:rsidRPr="00F7245E" w:rsidRDefault="00141DDB" w:rsidP="00141DDB">
            <w:pPr>
              <w:pStyle w:val="TableParagraph"/>
            </w:pPr>
          </w:p>
        </w:tc>
      </w:tr>
      <w:tr w:rsidR="00141DDB" w:rsidRPr="00F7245E" w14:paraId="29DACAB4" w14:textId="54012C42" w:rsidTr="00141DDB">
        <w:trPr>
          <w:trHeight w:val="337"/>
        </w:trPr>
        <w:tc>
          <w:tcPr>
            <w:tcW w:w="3261" w:type="dxa"/>
          </w:tcPr>
          <w:p w14:paraId="67122F3B" w14:textId="7D38DDB0" w:rsidR="00141DDB" w:rsidRPr="00F7245E" w:rsidRDefault="00141DDB" w:rsidP="00141DDB">
            <w:pPr>
              <w:pStyle w:val="TableParagraph"/>
              <w:ind w:left="100"/>
              <w:rPr>
                <w:lang w:val="hu-HU"/>
              </w:rPr>
            </w:pPr>
            <w:r w:rsidRPr="00F7245E">
              <w:rPr>
                <w:w w:val="105"/>
              </w:rPr>
              <w:t>Agyvérzés</w:t>
            </w:r>
            <w:r w:rsidRPr="00F7245E">
              <w:t>†</w:t>
            </w:r>
          </w:p>
        </w:tc>
        <w:tc>
          <w:tcPr>
            <w:tcW w:w="1984" w:type="dxa"/>
          </w:tcPr>
          <w:p w14:paraId="3FAAC7DF" w14:textId="77777777" w:rsidR="00141DDB" w:rsidRPr="00F7245E" w:rsidRDefault="00141DDB" w:rsidP="00141DDB">
            <w:pPr>
              <w:pStyle w:val="TableParagraph"/>
              <w:ind w:left="322" w:right="317"/>
              <w:jc w:val="center"/>
              <w:rPr>
                <w:lang w:val="hu-HU"/>
              </w:rPr>
            </w:pPr>
            <w:r w:rsidRPr="00F7245E">
              <w:rPr>
                <w:w w:val="105"/>
              </w:rPr>
              <w:t>Nem ismert</w:t>
            </w:r>
          </w:p>
        </w:tc>
        <w:tc>
          <w:tcPr>
            <w:tcW w:w="1985" w:type="dxa"/>
          </w:tcPr>
          <w:p w14:paraId="15C27CE6" w14:textId="77777777" w:rsidR="00141DDB" w:rsidRPr="00F7245E" w:rsidRDefault="00141DDB" w:rsidP="00141DDB">
            <w:pPr>
              <w:pStyle w:val="TableParagraph"/>
              <w:ind w:left="376" w:right="369"/>
              <w:jc w:val="center"/>
              <w:rPr>
                <w:lang w:val="hu-HU"/>
              </w:rPr>
            </w:pPr>
            <w:r w:rsidRPr="00F7245E">
              <w:rPr>
                <w:w w:val="105"/>
              </w:rPr>
              <w:t>Nem gyakori</w:t>
            </w:r>
          </w:p>
        </w:tc>
        <w:tc>
          <w:tcPr>
            <w:tcW w:w="1842" w:type="dxa"/>
          </w:tcPr>
          <w:p w14:paraId="613E3096" w14:textId="77777777" w:rsidR="00141DDB" w:rsidRPr="00F7245E" w:rsidRDefault="00141DDB" w:rsidP="00141DDB">
            <w:pPr>
              <w:pStyle w:val="TableParagraph"/>
              <w:ind w:left="143" w:right="136"/>
              <w:jc w:val="center"/>
              <w:rPr>
                <w:lang w:val="hu-HU"/>
              </w:rPr>
            </w:pPr>
            <w:r w:rsidRPr="00F7245E">
              <w:rPr>
                <w:w w:val="105"/>
              </w:rPr>
              <w:t>Ritka</w:t>
            </w:r>
          </w:p>
        </w:tc>
        <w:tc>
          <w:tcPr>
            <w:tcW w:w="1276" w:type="dxa"/>
          </w:tcPr>
          <w:p w14:paraId="4C0BCD5F" w14:textId="671793F0" w:rsidR="00141DDB" w:rsidRPr="00F7245E" w:rsidRDefault="00141DDB" w:rsidP="00141DDB">
            <w:pPr>
              <w:pStyle w:val="TableParagraph"/>
              <w:ind w:left="143" w:right="136"/>
              <w:jc w:val="center"/>
              <w:rPr>
                <w:w w:val="105"/>
              </w:rPr>
            </w:pPr>
            <w:r w:rsidRPr="00F7245E">
              <w:t>Nem ismert</w:t>
            </w:r>
          </w:p>
        </w:tc>
      </w:tr>
      <w:tr w:rsidR="00141DDB" w:rsidRPr="00F7245E" w14:paraId="773B1A7E" w14:textId="7BD296D7" w:rsidTr="00141DDB">
        <w:trPr>
          <w:trHeight w:val="469"/>
        </w:trPr>
        <w:tc>
          <w:tcPr>
            <w:tcW w:w="7230" w:type="dxa"/>
            <w:gridSpan w:val="3"/>
          </w:tcPr>
          <w:p w14:paraId="499F178F" w14:textId="77777777" w:rsidR="00141DDB" w:rsidRPr="00F7245E" w:rsidRDefault="00141DDB" w:rsidP="00141DDB">
            <w:pPr>
              <w:pStyle w:val="TableParagraph"/>
              <w:ind w:left="100"/>
              <w:rPr>
                <w:i/>
                <w:lang w:val="hu-HU"/>
              </w:rPr>
            </w:pPr>
            <w:r w:rsidRPr="00F7245E">
              <w:rPr>
                <w:i/>
                <w:w w:val="105"/>
              </w:rPr>
              <w:t>Szembetegségek és szemészeti tünetek</w:t>
            </w:r>
          </w:p>
        </w:tc>
        <w:tc>
          <w:tcPr>
            <w:tcW w:w="1842" w:type="dxa"/>
          </w:tcPr>
          <w:p w14:paraId="77579D51" w14:textId="77777777" w:rsidR="00141DDB" w:rsidRPr="00F7245E" w:rsidRDefault="00141DDB" w:rsidP="00141DDB">
            <w:pPr>
              <w:pStyle w:val="TableParagraph"/>
              <w:rPr>
                <w:lang w:val="hu-HU"/>
              </w:rPr>
            </w:pPr>
          </w:p>
        </w:tc>
        <w:tc>
          <w:tcPr>
            <w:tcW w:w="1276" w:type="dxa"/>
          </w:tcPr>
          <w:p w14:paraId="58F1B46F" w14:textId="77777777" w:rsidR="00141DDB" w:rsidRPr="00F7245E" w:rsidRDefault="00141DDB" w:rsidP="00141DDB">
            <w:pPr>
              <w:pStyle w:val="TableParagraph"/>
            </w:pPr>
          </w:p>
        </w:tc>
      </w:tr>
      <w:tr w:rsidR="00141DDB" w:rsidRPr="00F7245E" w14:paraId="039A6A46" w14:textId="4BA3E9C1" w:rsidTr="00141DDB">
        <w:trPr>
          <w:trHeight w:val="689"/>
        </w:trPr>
        <w:tc>
          <w:tcPr>
            <w:tcW w:w="3261" w:type="dxa"/>
          </w:tcPr>
          <w:p w14:paraId="31744D88" w14:textId="77777777" w:rsidR="00141DDB" w:rsidRPr="00F7245E" w:rsidRDefault="00141DDB" w:rsidP="00141DDB">
            <w:pPr>
              <w:pStyle w:val="TableParagraph"/>
              <w:ind w:left="100" w:right="89"/>
              <w:rPr>
                <w:lang w:val="hu-HU"/>
              </w:rPr>
            </w:pPr>
            <w:r w:rsidRPr="00F7245E">
              <w:rPr>
                <w:w w:val="105"/>
              </w:rPr>
              <w:t>Szemvérzés (beleértve a conjunctivális vérzést is)</w:t>
            </w:r>
          </w:p>
        </w:tc>
        <w:tc>
          <w:tcPr>
            <w:tcW w:w="1984" w:type="dxa"/>
          </w:tcPr>
          <w:p w14:paraId="55CF3AB0" w14:textId="77777777" w:rsidR="00141DDB" w:rsidRPr="00F7245E" w:rsidRDefault="00141DDB" w:rsidP="00141DDB">
            <w:pPr>
              <w:pStyle w:val="TableParagraph"/>
              <w:ind w:left="324" w:right="317"/>
              <w:jc w:val="center"/>
              <w:rPr>
                <w:lang w:val="hu-HU"/>
              </w:rPr>
            </w:pPr>
            <w:r w:rsidRPr="00F7245E">
              <w:rPr>
                <w:w w:val="105"/>
              </w:rPr>
              <w:t>Ritka</w:t>
            </w:r>
          </w:p>
        </w:tc>
        <w:tc>
          <w:tcPr>
            <w:tcW w:w="1985" w:type="dxa"/>
          </w:tcPr>
          <w:p w14:paraId="0A0B5B71" w14:textId="77777777" w:rsidR="00141DDB" w:rsidRPr="00F7245E" w:rsidRDefault="00141DDB" w:rsidP="00141DDB">
            <w:pPr>
              <w:pStyle w:val="TableParagraph"/>
              <w:ind w:left="373" w:right="371"/>
              <w:jc w:val="center"/>
              <w:rPr>
                <w:lang w:val="hu-HU"/>
              </w:rPr>
            </w:pPr>
            <w:r w:rsidRPr="00F7245E">
              <w:rPr>
                <w:w w:val="105"/>
              </w:rPr>
              <w:t>Gyakori</w:t>
            </w:r>
          </w:p>
        </w:tc>
        <w:tc>
          <w:tcPr>
            <w:tcW w:w="1842" w:type="dxa"/>
          </w:tcPr>
          <w:p w14:paraId="70BFA7EF" w14:textId="77777777" w:rsidR="00141DDB" w:rsidRPr="00F7245E" w:rsidRDefault="00141DDB" w:rsidP="00141DDB">
            <w:pPr>
              <w:pStyle w:val="TableParagraph"/>
              <w:ind w:left="143" w:right="137"/>
              <w:jc w:val="center"/>
              <w:rPr>
                <w:lang w:val="hu-HU"/>
              </w:rPr>
            </w:pPr>
            <w:r w:rsidRPr="00F7245E">
              <w:rPr>
                <w:w w:val="105"/>
              </w:rPr>
              <w:t>Nem gyakori</w:t>
            </w:r>
          </w:p>
        </w:tc>
        <w:tc>
          <w:tcPr>
            <w:tcW w:w="1276" w:type="dxa"/>
          </w:tcPr>
          <w:p w14:paraId="6A4B6C60" w14:textId="1DBAFF4B" w:rsidR="00141DDB" w:rsidRPr="00F7245E" w:rsidRDefault="00141DDB" w:rsidP="00141DDB">
            <w:pPr>
              <w:pStyle w:val="TableParagraph"/>
              <w:ind w:left="143" w:right="137"/>
              <w:jc w:val="center"/>
              <w:rPr>
                <w:w w:val="105"/>
              </w:rPr>
            </w:pPr>
            <w:r w:rsidRPr="00F7245E">
              <w:t>Nem ismert</w:t>
            </w:r>
          </w:p>
        </w:tc>
      </w:tr>
      <w:tr w:rsidR="00141DDB" w:rsidRPr="00F7245E" w14:paraId="4CBFD106" w14:textId="6A8981DA" w:rsidTr="00141DDB">
        <w:trPr>
          <w:trHeight w:val="557"/>
        </w:trPr>
        <w:tc>
          <w:tcPr>
            <w:tcW w:w="9072" w:type="dxa"/>
            <w:gridSpan w:val="4"/>
          </w:tcPr>
          <w:p w14:paraId="55EBA904" w14:textId="77777777" w:rsidR="00141DDB" w:rsidRPr="00F7245E" w:rsidRDefault="00141DDB" w:rsidP="00141DDB">
            <w:pPr>
              <w:pStyle w:val="TableParagraph"/>
              <w:ind w:left="100"/>
              <w:rPr>
                <w:i/>
                <w:lang w:val="hu-HU"/>
              </w:rPr>
            </w:pPr>
            <w:r w:rsidRPr="00F7245E">
              <w:rPr>
                <w:i/>
                <w:w w:val="105"/>
              </w:rPr>
              <w:t>Érbetegségek és tünetek</w:t>
            </w:r>
          </w:p>
        </w:tc>
        <w:tc>
          <w:tcPr>
            <w:tcW w:w="1276" w:type="dxa"/>
          </w:tcPr>
          <w:p w14:paraId="38478660" w14:textId="77777777" w:rsidR="00141DDB" w:rsidRPr="00F7245E" w:rsidRDefault="00141DDB" w:rsidP="00141DDB">
            <w:pPr>
              <w:pStyle w:val="TableParagraph"/>
              <w:ind w:left="100"/>
              <w:rPr>
                <w:i/>
                <w:w w:val="105"/>
              </w:rPr>
            </w:pPr>
          </w:p>
        </w:tc>
      </w:tr>
      <w:tr w:rsidR="00141DDB" w:rsidRPr="00F7245E" w14:paraId="6D08EC83" w14:textId="2AFAE638" w:rsidTr="00141DDB">
        <w:trPr>
          <w:trHeight w:val="409"/>
        </w:trPr>
        <w:tc>
          <w:tcPr>
            <w:tcW w:w="3261" w:type="dxa"/>
          </w:tcPr>
          <w:p w14:paraId="75C2B376" w14:textId="77777777" w:rsidR="00141DDB" w:rsidRPr="00F7245E" w:rsidRDefault="00141DDB" w:rsidP="00141DDB">
            <w:pPr>
              <w:pStyle w:val="TableParagraph"/>
              <w:ind w:left="100"/>
              <w:rPr>
                <w:lang w:val="hu-HU"/>
              </w:rPr>
            </w:pPr>
            <w:r w:rsidRPr="00F7245E">
              <w:rPr>
                <w:w w:val="105"/>
              </w:rPr>
              <w:t>Vérzés, haematoma</w:t>
            </w:r>
          </w:p>
        </w:tc>
        <w:tc>
          <w:tcPr>
            <w:tcW w:w="1984" w:type="dxa"/>
          </w:tcPr>
          <w:p w14:paraId="496B9F5E" w14:textId="77777777" w:rsidR="00141DDB" w:rsidRPr="00F7245E" w:rsidRDefault="00141DDB" w:rsidP="00141DDB">
            <w:pPr>
              <w:pStyle w:val="TableParagraph"/>
              <w:ind w:left="323" w:right="317"/>
              <w:jc w:val="center"/>
              <w:rPr>
                <w:lang w:val="hu-HU"/>
              </w:rPr>
            </w:pPr>
            <w:r w:rsidRPr="00F7245E">
              <w:rPr>
                <w:w w:val="105"/>
              </w:rPr>
              <w:t>Gyakori</w:t>
            </w:r>
          </w:p>
        </w:tc>
        <w:tc>
          <w:tcPr>
            <w:tcW w:w="1985" w:type="dxa"/>
          </w:tcPr>
          <w:p w14:paraId="40CDA966" w14:textId="77777777" w:rsidR="00141DDB" w:rsidRPr="00F7245E" w:rsidRDefault="00141DDB" w:rsidP="00141DDB">
            <w:pPr>
              <w:pStyle w:val="TableParagraph"/>
              <w:ind w:left="373" w:right="371"/>
              <w:jc w:val="center"/>
              <w:rPr>
                <w:lang w:val="hu-HU"/>
              </w:rPr>
            </w:pPr>
            <w:r w:rsidRPr="00F7245E">
              <w:rPr>
                <w:w w:val="105"/>
              </w:rPr>
              <w:t>Gyakori</w:t>
            </w:r>
          </w:p>
        </w:tc>
        <w:tc>
          <w:tcPr>
            <w:tcW w:w="1842" w:type="dxa"/>
          </w:tcPr>
          <w:p w14:paraId="2CE87623" w14:textId="77777777" w:rsidR="00141DDB" w:rsidRPr="00F7245E" w:rsidRDefault="00141DDB" w:rsidP="00141DDB">
            <w:pPr>
              <w:pStyle w:val="TableParagraph"/>
              <w:ind w:left="143" w:right="137"/>
              <w:jc w:val="center"/>
              <w:rPr>
                <w:lang w:val="hu-HU"/>
              </w:rPr>
            </w:pPr>
            <w:r w:rsidRPr="00F7245E">
              <w:rPr>
                <w:w w:val="105"/>
              </w:rPr>
              <w:t>Gyakori</w:t>
            </w:r>
          </w:p>
        </w:tc>
        <w:tc>
          <w:tcPr>
            <w:tcW w:w="1276" w:type="dxa"/>
          </w:tcPr>
          <w:p w14:paraId="765EC7E9" w14:textId="0ADFA5D6" w:rsidR="00141DDB" w:rsidRPr="00F7245E" w:rsidRDefault="00141DDB" w:rsidP="00141DDB">
            <w:pPr>
              <w:pStyle w:val="TableParagraph"/>
              <w:ind w:left="143" w:right="137"/>
              <w:jc w:val="center"/>
              <w:rPr>
                <w:w w:val="105"/>
              </w:rPr>
            </w:pPr>
            <w:r w:rsidRPr="00F7245E">
              <w:t>Gyakori</w:t>
            </w:r>
          </w:p>
        </w:tc>
      </w:tr>
      <w:tr w:rsidR="00141DDB" w:rsidRPr="00F7245E" w14:paraId="20B57901" w14:textId="2D28201E" w:rsidTr="00141DDB">
        <w:trPr>
          <w:trHeight w:val="841"/>
        </w:trPr>
        <w:tc>
          <w:tcPr>
            <w:tcW w:w="3261" w:type="dxa"/>
          </w:tcPr>
          <w:p w14:paraId="0A664897" w14:textId="354E3EB3" w:rsidR="00141DDB" w:rsidRPr="00F7245E" w:rsidRDefault="00141DDB" w:rsidP="00141DDB">
            <w:pPr>
              <w:pStyle w:val="TableParagraph"/>
              <w:ind w:left="100" w:right="357"/>
              <w:rPr>
                <w:lang w:val="hu-HU"/>
              </w:rPr>
            </w:pPr>
            <w:r w:rsidRPr="00F7245E">
              <w:rPr>
                <w:w w:val="105"/>
              </w:rPr>
              <w:t>Hypotonia (beleértve a beavatkozás okozta hypotoniát is)</w:t>
            </w:r>
          </w:p>
        </w:tc>
        <w:tc>
          <w:tcPr>
            <w:tcW w:w="1984" w:type="dxa"/>
          </w:tcPr>
          <w:p w14:paraId="10FB8B05" w14:textId="77777777" w:rsidR="00141DDB" w:rsidRPr="00F7245E" w:rsidRDefault="00141DDB" w:rsidP="00141DDB">
            <w:pPr>
              <w:pStyle w:val="TableParagraph"/>
              <w:ind w:left="322" w:right="317"/>
              <w:jc w:val="center"/>
              <w:rPr>
                <w:lang w:val="hu-HU"/>
              </w:rPr>
            </w:pPr>
            <w:r w:rsidRPr="00F7245E">
              <w:rPr>
                <w:w w:val="105"/>
              </w:rPr>
              <w:t>Nem gyakori</w:t>
            </w:r>
          </w:p>
        </w:tc>
        <w:tc>
          <w:tcPr>
            <w:tcW w:w="1985" w:type="dxa"/>
          </w:tcPr>
          <w:p w14:paraId="1D110135" w14:textId="77777777" w:rsidR="00141DDB" w:rsidRPr="00F7245E" w:rsidRDefault="00141DDB" w:rsidP="00141DDB">
            <w:pPr>
              <w:pStyle w:val="TableParagraph"/>
              <w:ind w:left="373" w:right="371"/>
              <w:jc w:val="center"/>
              <w:rPr>
                <w:lang w:val="hu-HU"/>
              </w:rPr>
            </w:pPr>
            <w:r w:rsidRPr="00F7245E">
              <w:rPr>
                <w:w w:val="105"/>
              </w:rPr>
              <w:t>Gyakori</w:t>
            </w:r>
          </w:p>
        </w:tc>
        <w:tc>
          <w:tcPr>
            <w:tcW w:w="1842" w:type="dxa"/>
          </w:tcPr>
          <w:p w14:paraId="3067FF2F" w14:textId="77777777" w:rsidR="00141DDB" w:rsidRPr="00F7245E" w:rsidRDefault="00141DDB" w:rsidP="00141DDB">
            <w:pPr>
              <w:pStyle w:val="TableParagraph"/>
              <w:ind w:left="143" w:right="137"/>
              <w:jc w:val="center"/>
              <w:rPr>
                <w:lang w:val="hu-HU"/>
              </w:rPr>
            </w:pPr>
            <w:r w:rsidRPr="00F7245E">
              <w:rPr>
                <w:w w:val="105"/>
              </w:rPr>
              <w:t>Nem gyakori</w:t>
            </w:r>
          </w:p>
        </w:tc>
        <w:tc>
          <w:tcPr>
            <w:tcW w:w="1276" w:type="dxa"/>
          </w:tcPr>
          <w:p w14:paraId="7764FD15" w14:textId="5B8490FC" w:rsidR="00141DDB" w:rsidRPr="00F7245E" w:rsidRDefault="00141DDB" w:rsidP="00141DDB">
            <w:pPr>
              <w:pStyle w:val="TableParagraph"/>
              <w:ind w:left="143" w:right="137"/>
              <w:jc w:val="center"/>
              <w:rPr>
                <w:w w:val="105"/>
              </w:rPr>
            </w:pPr>
            <w:r w:rsidRPr="00F7245E">
              <w:t>Gyakori</w:t>
            </w:r>
          </w:p>
        </w:tc>
      </w:tr>
      <w:tr w:rsidR="00141DDB" w:rsidRPr="00F7245E" w14:paraId="55557209" w14:textId="784DF4D4" w:rsidTr="00141DDB">
        <w:trPr>
          <w:trHeight w:val="385"/>
        </w:trPr>
        <w:tc>
          <w:tcPr>
            <w:tcW w:w="3261" w:type="dxa"/>
          </w:tcPr>
          <w:p w14:paraId="6CEFE76A" w14:textId="77777777" w:rsidR="00141DDB" w:rsidRPr="00F7245E" w:rsidRDefault="00141DDB" w:rsidP="00141DDB">
            <w:pPr>
              <w:pStyle w:val="TableParagraph"/>
              <w:ind w:left="100"/>
              <w:rPr>
                <w:lang w:val="hu-HU"/>
              </w:rPr>
            </w:pPr>
            <w:r w:rsidRPr="00F7245E">
              <w:rPr>
                <w:w w:val="105"/>
              </w:rPr>
              <w:t>Intraabdominalis vérzés</w:t>
            </w:r>
          </w:p>
        </w:tc>
        <w:tc>
          <w:tcPr>
            <w:tcW w:w="1984" w:type="dxa"/>
          </w:tcPr>
          <w:p w14:paraId="4A8DB55C" w14:textId="77777777" w:rsidR="00141DDB" w:rsidRPr="00F7245E" w:rsidRDefault="00141DDB" w:rsidP="00141DDB">
            <w:pPr>
              <w:pStyle w:val="TableParagraph"/>
              <w:ind w:left="319" w:right="317"/>
              <w:jc w:val="center"/>
              <w:rPr>
                <w:lang w:val="hu-HU"/>
              </w:rPr>
            </w:pPr>
            <w:r w:rsidRPr="00F7245E">
              <w:rPr>
                <w:w w:val="105"/>
              </w:rPr>
              <w:t>Nem ismert</w:t>
            </w:r>
          </w:p>
        </w:tc>
        <w:tc>
          <w:tcPr>
            <w:tcW w:w="1985" w:type="dxa"/>
          </w:tcPr>
          <w:p w14:paraId="39735AF8" w14:textId="77777777" w:rsidR="00141DDB" w:rsidRPr="00F7245E" w:rsidRDefault="00141DDB" w:rsidP="00141DDB">
            <w:pPr>
              <w:pStyle w:val="TableParagraph"/>
              <w:ind w:left="376" w:right="371"/>
              <w:jc w:val="center"/>
              <w:rPr>
                <w:lang w:val="hu-HU"/>
              </w:rPr>
            </w:pPr>
            <w:r w:rsidRPr="00F7245E">
              <w:rPr>
                <w:w w:val="105"/>
              </w:rPr>
              <w:t>Nem gyakori</w:t>
            </w:r>
          </w:p>
        </w:tc>
        <w:tc>
          <w:tcPr>
            <w:tcW w:w="1842" w:type="dxa"/>
          </w:tcPr>
          <w:p w14:paraId="1975C00D" w14:textId="77777777" w:rsidR="00141DDB" w:rsidRPr="00F7245E" w:rsidRDefault="00141DDB" w:rsidP="00141DDB">
            <w:pPr>
              <w:pStyle w:val="TableParagraph"/>
              <w:ind w:left="143" w:right="138"/>
              <w:jc w:val="center"/>
              <w:rPr>
                <w:lang w:val="hu-HU"/>
              </w:rPr>
            </w:pPr>
            <w:r w:rsidRPr="00F7245E">
              <w:rPr>
                <w:w w:val="105"/>
              </w:rPr>
              <w:t>Nem ismert</w:t>
            </w:r>
          </w:p>
        </w:tc>
        <w:tc>
          <w:tcPr>
            <w:tcW w:w="1276" w:type="dxa"/>
          </w:tcPr>
          <w:p w14:paraId="61B65FED" w14:textId="0667F73C" w:rsidR="00141DDB" w:rsidRPr="00F7245E" w:rsidRDefault="00141DDB" w:rsidP="00141DDB">
            <w:pPr>
              <w:pStyle w:val="TableParagraph"/>
              <w:ind w:left="143" w:right="138"/>
              <w:jc w:val="center"/>
              <w:rPr>
                <w:w w:val="105"/>
              </w:rPr>
            </w:pPr>
            <w:r w:rsidRPr="00F7245E">
              <w:t>Nem ismert</w:t>
            </w:r>
          </w:p>
        </w:tc>
      </w:tr>
      <w:tr w:rsidR="00141DDB" w:rsidRPr="00F7245E" w14:paraId="61D292A2" w14:textId="2C8AEB21" w:rsidTr="00141DDB">
        <w:trPr>
          <w:trHeight w:val="391"/>
        </w:trPr>
        <w:tc>
          <w:tcPr>
            <w:tcW w:w="9072" w:type="dxa"/>
            <w:gridSpan w:val="4"/>
          </w:tcPr>
          <w:p w14:paraId="30D7CCA5" w14:textId="7B719BDF" w:rsidR="00141DDB" w:rsidRPr="00F7245E" w:rsidRDefault="00141DDB" w:rsidP="00141DDB">
            <w:pPr>
              <w:pStyle w:val="TableParagraph"/>
              <w:ind w:firstLine="142"/>
              <w:rPr>
                <w:lang w:val="hu-HU"/>
              </w:rPr>
            </w:pPr>
            <w:r w:rsidRPr="00F7245E">
              <w:rPr>
                <w:i/>
                <w:w w:val="105"/>
              </w:rPr>
              <w:t>Légzőrendszeri, mellkasi és mediastinalis betegségek és tünetek</w:t>
            </w:r>
          </w:p>
        </w:tc>
        <w:tc>
          <w:tcPr>
            <w:tcW w:w="1276" w:type="dxa"/>
          </w:tcPr>
          <w:p w14:paraId="686B1745" w14:textId="77777777" w:rsidR="00141DDB" w:rsidRPr="00F7245E" w:rsidRDefault="00141DDB" w:rsidP="00141DDB">
            <w:pPr>
              <w:pStyle w:val="TableParagraph"/>
              <w:ind w:firstLine="142"/>
              <w:rPr>
                <w:i/>
                <w:w w:val="105"/>
              </w:rPr>
            </w:pPr>
          </w:p>
        </w:tc>
      </w:tr>
      <w:tr w:rsidR="00141DDB" w:rsidRPr="00F7245E" w14:paraId="650BE68E" w14:textId="6F689A70" w:rsidTr="00141DDB">
        <w:trPr>
          <w:trHeight w:val="426"/>
        </w:trPr>
        <w:tc>
          <w:tcPr>
            <w:tcW w:w="3261" w:type="dxa"/>
          </w:tcPr>
          <w:p w14:paraId="66502FA2" w14:textId="77777777" w:rsidR="00141DDB" w:rsidRPr="00F7245E" w:rsidRDefault="00141DDB" w:rsidP="00141DDB">
            <w:pPr>
              <w:pStyle w:val="TableParagraph"/>
              <w:ind w:left="100"/>
              <w:rPr>
                <w:lang w:val="hu-HU"/>
              </w:rPr>
            </w:pPr>
            <w:r w:rsidRPr="00F7245E">
              <w:rPr>
                <w:w w:val="105"/>
              </w:rPr>
              <w:t>Epistaxis</w:t>
            </w:r>
          </w:p>
        </w:tc>
        <w:tc>
          <w:tcPr>
            <w:tcW w:w="1984" w:type="dxa"/>
          </w:tcPr>
          <w:p w14:paraId="2D405170" w14:textId="77777777" w:rsidR="00141DDB" w:rsidRPr="00F7245E" w:rsidRDefault="00141DDB" w:rsidP="00141DDB">
            <w:pPr>
              <w:pStyle w:val="TableParagraph"/>
              <w:ind w:left="320" w:right="317"/>
              <w:jc w:val="center"/>
              <w:rPr>
                <w:lang w:val="hu-HU"/>
              </w:rPr>
            </w:pPr>
            <w:r w:rsidRPr="00F7245E">
              <w:rPr>
                <w:w w:val="105"/>
              </w:rPr>
              <w:t>Nem gyakori</w:t>
            </w:r>
          </w:p>
        </w:tc>
        <w:tc>
          <w:tcPr>
            <w:tcW w:w="1985" w:type="dxa"/>
          </w:tcPr>
          <w:p w14:paraId="17810BA2" w14:textId="77777777" w:rsidR="00141DDB" w:rsidRPr="00F7245E" w:rsidRDefault="00141DDB" w:rsidP="00141DDB">
            <w:pPr>
              <w:pStyle w:val="TableParagraph"/>
              <w:ind w:left="376" w:right="344"/>
              <w:jc w:val="center"/>
              <w:rPr>
                <w:lang w:val="hu-HU"/>
              </w:rPr>
            </w:pPr>
            <w:r w:rsidRPr="00F7245E">
              <w:rPr>
                <w:w w:val="105"/>
              </w:rPr>
              <w:t>Gyakori</w:t>
            </w:r>
          </w:p>
        </w:tc>
        <w:tc>
          <w:tcPr>
            <w:tcW w:w="1842" w:type="dxa"/>
          </w:tcPr>
          <w:p w14:paraId="4CA80670" w14:textId="77777777" w:rsidR="00141DDB" w:rsidRPr="00F7245E" w:rsidRDefault="00141DDB" w:rsidP="00141DDB">
            <w:pPr>
              <w:pStyle w:val="TableParagraph"/>
              <w:ind w:left="143" w:right="107"/>
              <w:jc w:val="center"/>
              <w:rPr>
                <w:lang w:val="hu-HU"/>
              </w:rPr>
            </w:pPr>
            <w:r w:rsidRPr="00F7245E">
              <w:rPr>
                <w:w w:val="105"/>
              </w:rPr>
              <w:t>Gyakori</w:t>
            </w:r>
          </w:p>
        </w:tc>
        <w:tc>
          <w:tcPr>
            <w:tcW w:w="1276" w:type="dxa"/>
          </w:tcPr>
          <w:p w14:paraId="1AF9BBDE" w14:textId="4140C7B6" w:rsidR="00141DDB" w:rsidRPr="00F7245E" w:rsidRDefault="00141DDB" w:rsidP="00141DDB">
            <w:pPr>
              <w:pStyle w:val="TableParagraph"/>
              <w:ind w:left="143" w:right="107"/>
              <w:jc w:val="center"/>
              <w:rPr>
                <w:w w:val="105"/>
              </w:rPr>
            </w:pPr>
            <w:r w:rsidRPr="00F7245E">
              <w:t>Nagyon gyakori</w:t>
            </w:r>
          </w:p>
        </w:tc>
      </w:tr>
      <w:tr w:rsidR="00141DDB" w:rsidRPr="00F7245E" w14:paraId="3EA1FC7B" w14:textId="79A8ECD1" w:rsidTr="00141DDB">
        <w:trPr>
          <w:trHeight w:val="475"/>
        </w:trPr>
        <w:tc>
          <w:tcPr>
            <w:tcW w:w="3261" w:type="dxa"/>
          </w:tcPr>
          <w:p w14:paraId="1498B6B2" w14:textId="77777777" w:rsidR="00141DDB" w:rsidRPr="00F7245E" w:rsidRDefault="00141DDB" w:rsidP="00141DDB">
            <w:pPr>
              <w:pStyle w:val="TableParagraph"/>
              <w:ind w:left="100"/>
              <w:rPr>
                <w:lang w:val="hu-HU"/>
              </w:rPr>
            </w:pPr>
            <w:r w:rsidRPr="00F7245E">
              <w:rPr>
                <w:w w:val="105"/>
              </w:rPr>
              <w:t>Haemoptoe</w:t>
            </w:r>
          </w:p>
        </w:tc>
        <w:tc>
          <w:tcPr>
            <w:tcW w:w="1984" w:type="dxa"/>
          </w:tcPr>
          <w:p w14:paraId="41A58DBA" w14:textId="77777777" w:rsidR="00141DDB" w:rsidRPr="00F7245E" w:rsidRDefault="00141DDB" w:rsidP="00141DDB">
            <w:pPr>
              <w:pStyle w:val="TableParagraph"/>
              <w:ind w:left="323" w:right="317"/>
              <w:jc w:val="center"/>
              <w:rPr>
                <w:lang w:val="hu-HU"/>
              </w:rPr>
            </w:pPr>
            <w:r w:rsidRPr="00F7245E">
              <w:rPr>
                <w:w w:val="105"/>
              </w:rPr>
              <w:t>Ritka</w:t>
            </w:r>
          </w:p>
        </w:tc>
        <w:tc>
          <w:tcPr>
            <w:tcW w:w="1985" w:type="dxa"/>
          </w:tcPr>
          <w:p w14:paraId="073AE1DB" w14:textId="77777777" w:rsidR="00141DDB" w:rsidRPr="00F7245E" w:rsidRDefault="00141DDB" w:rsidP="00141DDB">
            <w:pPr>
              <w:pStyle w:val="TableParagraph"/>
              <w:ind w:left="374" w:right="371"/>
              <w:jc w:val="center"/>
              <w:rPr>
                <w:lang w:val="hu-HU"/>
              </w:rPr>
            </w:pPr>
            <w:r w:rsidRPr="00F7245E">
              <w:rPr>
                <w:w w:val="105"/>
              </w:rPr>
              <w:t>Nem gyakori</w:t>
            </w:r>
          </w:p>
        </w:tc>
        <w:tc>
          <w:tcPr>
            <w:tcW w:w="1842" w:type="dxa"/>
          </w:tcPr>
          <w:p w14:paraId="78F73465" w14:textId="77777777" w:rsidR="00141DDB" w:rsidRPr="00F7245E" w:rsidRDefault="00141DDB" w:rsidP="00141DDB">
            <w:pPr>
              <w:pStyle w:val="TableParagraph"/>
              <w:ind w:left="142" w:right="138"/>
              <w:jc w:val="center"/>
              <w:rPr>
                <w:lang w:val="hu-HU"/>
              </w:rPr>
            </w:pPr>
            <w:r w:rsidRPr="00F7245E">
              <w:rPr>
                <w:w w:val="105"/>
              </w:rPr>
              <w:t>Nem gyakori</w:t>
            </w:r>
          </w:p>
        </w:tc>
        <w:tc>
          <w:tcPr>
            <w:tcW w:w="1276" w:type="dxa"/>
          </w:tcPr>
          <w:p w14:paraId="6091FE77" w14:textId="6D3A7B70" w:rsidR="00141DDB" w:rsidRPr="00F7245E" w:rsidRDefault="00141DDB" w:rsidP="00141DDB">
            <w:pPr>
              <w:pStyle w:val="TableParagraph"/>
              <w:ind w:left="142" w:right="138"/>
              <w:jc w:val="center"/>
              <w:rPr>
                <w:w w:val="105"/>
              </w:rPr>
            </w:pPr>
            <w:r w:rsidRPr="00F7245E">
              <w:t>Nem ismert</w:t>
            </w:r>
          </w:p>
        </w:tc>
      </w:tr>
      <w:tr w:rsidR="00141DDB" w:rsidRPr="00F7245E" w14:paraId="5B8C2F03" w14:textId="5BDC14D6" w:rsidTr="00141DDB">
        <w:trPr>
          <w:trHeight w:val="412"/>
        </w:trPr>
        <w:tc>
          <w:tcPr>
            <w:tcW w:w="3261" w:type="dxa"/>
          </w:tcPr>
          <w:p w14:paraId="675FC2D6" w14:textId="77777777" w:rsidR="00141DDB" w:rsidRPr="00F7245E" w:rsidRDefault="00141DDB" w:rsidP="00141DDB">
            <w:pPr>
              <w:pStyle w:val="TableParagraph"/>
              <w:ind w:left="100"/>
              <w:rPr>
                <w:lang w:val="hu-HU"/>
              </w:rPr>
            </w:pPr>
            <w:r w:rsidRPr="00F7245E">
              <w:rPr>
                <w:w w:val="105"/>
              </w:rPr>
              <w:t>Légúti vérzés</w:t>
            </w:r>
          </w:p>
        </w:tc>
        <w:tc>
          <w:tcPr>
            <w:tcW w:w="1984" w:type="dxa"/>
          </w:tcPr>
          <w:p w14:paraId="5FC288DF" w14:textId="77777777" w:rsidR="00141DDB" w:rsidRPr="00F7245E" w:rsidRDefault="00141DDB" w:rsidP="00141DDB">
            <w:pPr>
              <w:pStyle w:val="TableParagraph"/>
              <w:ind w:left="323" w:right="317"/>
              <w:jc w:val="center"/>
              <w:rPr>
                <w:lang w:val="hu-HU"/>
              </w:rPr>
            </w:pPr>
            <w:r w:rsidRPr="00F7245E">
              <w:rPr>
                <w:w w:val="105"/>
              </w:rPr>
              <w:t>Nem ismert</w:t>
            </w:r>
          </w:p>
        </w:tc>
        <w:tc>
          <w:tcPr>
            <w:tcW w:w="1985" w:type="dxa"/>
          </w:tcPr>
          <w:p w14:paraId="4509B9E3" w14:textId="77777777" w:rsidR="00141DDB" w:rsidRPr="00F7245E" w:rsidRDefault="00141DDB" w:rsidP="00141DDB">
            <w:pPr>
              <w:pStyle w:val="TableParagraph"/>
              <w:ind w:left="376" w:right="371"/>
              <w:jc w:val="center"/>
              <w:rPr>
                <w:lang w:val="hu-HU"/>
              </w:rPr>
            </w:pPr>
            <w:r w:rsidRPr="00F7245E">
              <w:rPr>
                <w:w w:val="105"/>
              </w:rPr>
              <w:t>Ritka</w:t>
            </w:r>
          </w:p>
        </w:tc>
        <w:tc>
          <w:tcPr>
            <w:tcW w:w="1842" w:type="dxa"/>
          </w:tcPr>
          <w:p w14:paraId="212D225E" w14:textId="77777777" w:rsidR="00141DDB" w:rsidRPr="00F7245E" w:rsidRDefault="00141DDB" w:rsidP="00141DDB">
            <w:pPr>
              <w:pStyle w:val="TableParagraph"/>
              <w:ind w:left="143" w:right="134"/>
              <w:jc w:val="center"/>
              <w:rPr>
                <w:lang w:val="hu-HU"/>
              </w:rPr>
            </w:pPr>
            <w:r w:rsidRPr="00F7245E">
              <w:rPr>
                <w:w w:val="105"/>
              </w:rPr>
              <w:t>Ritka</w:t>
            </w:r>
          </w:p>
        </w:tc>
        <w:tc>
          <w:tcPr>
            <w:tcW w:w="1276" w:type="dxa"/>
          </w:tcPr>
          <w:p w14:paraId="25184E61" w14:textId="779E6E39" w:rsidR="00141DDB" w:rsidRPr="00F7245E" w:rsidRDefault="00141DDB" w:rsidP="00141DDB">
            <w:pPr>
              <w:pStyle w:val="TableParagraph"/>
              <w:ind w:left="143" w:right="134"/>
              <w:jc w:val="center"/>
              <w:rPr>
                <w:w w:val="105"/>
              </w:rPr>
            </w:pPr>
            <w:r w:rsidRPr="00F7245E">
              <w:t>Nem ismert</w:t>
            </w:r>
          </w:p>
        </w:tc>
      </w:tr>
      <w:tr w:rsidR="00141DDB" w:rsidRPr="00F7245E" w14:paraId="6DEE8C8B" w14:textId="3083A3A6" w:rsidTr="00141DDB">
        <w:trPr>
          <w:trHeight w:val="417"/>
        </w:trPr>
        <w:tc>
          <w:tcPr>
            <w:tcW w:w="9072" w:type="dxa"/>
            <w:gridSpan w:val="4"/>
          </w:tcPr>
          <w:p w14:paraId="5B5884E1" w14:textId="301A7A45" w:rsidR="00141DDB" w:rsidRPr="00F7245E" w:rsidRDefault="00141DDB" w:rsidP="00141DDB">
            <w:pPr>
              <w:pStyle w:val="TableParagraph"/>
              <w:ind w:firstLine="142"/>
              <w:rPr>
                <w:lang w:val="hu-HU"/>
              </w:rPr>
            </w:pPr>
            <w:r w:rsidRPr="00F7245E">
              <w:rPr>
                <w:i/>
                <w:w w:val="105"/>
              </w:rPr>
              <w:t>Emésztőrendszeri betegségek és tünetek</w:t>
            </w:r>
          </w:p>
        </w:tc>
        <w:tc>
          <w:tcPr>
            <w:tcW w:w="1276" w:type="dxa"/>
          </w:tcPr>
          <w:p w14:paraId="4529EAED" w14:textId="77777777" w:rsidR="00141DDB" w:rsidRPr="00F7245E" w:rsidRDefault="00141DDB" w:rsidP="00141DDB">
            <w:pPr>
              <w:pStyle w:val="TableParagraph"/>
              <w:ind w:firstLine="142"/>
              <w:rPr>
                <w:i/>
                <w:w w:val="105"/>
              </w:rPr>
            </w:pPr>
          </w:p>
        </w:tc>
      </w:tr>
      <w:tr w:rsidR="00141DDB" w:rsidRPr="00F7245E" w14:paraId="6A975769" w14:textId="742654D8" w:rsidTr="00141DDB">
        <w:trPr>
          <w:trHeight w:val="409"/>
        </w:trPr>
        <w:tc>
          <w:tcPr>
            <w:tcW w:w="3261" w:type="dxa"/>
          </w:tcPr>
          <w:p w14:paraId="7392A468" w14:textId="77777777" w:rsidR="00141DDB" w:rsidRPr="00F7245E" w:rsidRDefault="00141DDB" w:rsidP="00141DDB">
            <w:pPr>
              <w:pStyle w:val="TableParagraph"/>
              <w:ind w:left="100"/>
              <w:rPr>
                <w:lang w:val="hu-HU"/>
              </w:rPr>
            </w:pPr>
            <w:r w:rsidRPr="00F7245E">
              <w:rPr>
                <w:w w:val="105"/>
              </w:rPr>
              <w:t>Hányinger</w:t>
            </w:r>
          </w:p>
        </w:tc>
        <w:tc>
          <w:tcPr>
            <w:tcW w:w="1984" w:type="dxa"/>
          </w:tcPr>
          <w:p w14:paraId="5BBA29FB" w14:textId="77777777" w:rsidR="00141DDB" w:rsidRPr="00F7245E" w:rsidRDefault="00141DDB" w:rsidP="00141DDB">
            <w:pPr>
              <w:pStyle w:val="TableParagraph"/>
              <w:ind w:left="323" w:right="317"/>
              <w:jc w:val="center"/>
              <w:rPr>
                <w:lang w:val="hu-HU"/>
              </w:rPr>
            </w:pPr>
            <w:r w:rsidRPr="00F7245E">
              <w:rPr>
                <w:w w:val="105"/>
              </w:rPr>
              <w:t>Gyakori</w:t>
            </w:r>
          </w:p>
        </w:tc>
        <w:tc>
          <w:tcPr>
            <w:tcW w:w="1985" w:type="dxa"/>
          </w:tcPr>
          <w:p w14:paraId="0FE97A4C" w14:textId="77777777" w:rsidR="00141DDB" w:rsidRPr="00F7245E" w:rsidRDefault="00141DDB" w:rsidP="00141DDB">
            <w:pPr>
              <w:pStyle w:val="TableParagraph"/>
              <w:ind w:left="374" w:right="371"/>
              <w:jc w:val="center"/>
              <w:rPr>
                <w:lang w:val="hu-HU"/>
              </w:rPr>
            </w:pPr>
            <w:r w:rsidRPr="00F7245E">
              <w:rPr>
                <w:w w:val="105"/>
              </w:rPr>
              <w:t>Gyakori</w:t>
            </w:r>
          </w:p>
        </w:tc>
        <w:tc>
          <w:tcPr>
            <w:tcW w:w="1842" w:type="dxa"/>
          </w:tcPr>
          <w:p w14:paraId="0B056F9C" w14:textId="77777777" w:rsidR="00141DDB" w:rsidRPr="00F7245E" w:rsidRDefault="00141DDB" w:rsidP="00141DDB">
            <w:pPr>
              <w:pStyle w:val="TableParagraph"/>
              <w:ind w:left="143" w:right="136"/>
              <w:jc w:val="center"/>
              <w:rPr>
                <w:lang w:val="hu-HU"/>
              </w:rPr>
            </w:pPr>
            <w:r w:rsidRPr="00F7245E">
              <w:rPr>
                <w:w w:val="105"/>
              </w:rPr>
              <w:t>Gyakori</w:t>
            </w:r>
          </w:p>
        </w:tc>
        <w:tc>
          <w:tcPr>
            <w:tcW w:w="1276" w:type="dxa"/>
          </w:tcPr>
          <w:p w14:paraId="7D91DEFF" w14:textId="5BED125B" w:rsidR="00141DDB" w:rsidRPr="00F7245E" w:rsidRDefault="00141DDB" w:rsidP="00141DDB">
            <w:pPr>
              <w:pStyle w:val="TableParagraph"/>
              <w:ind w:left="143" w:right="136"/>
              <w:jc w:val="center"/>
              <w:rPr>
                <w:w w:val="105"/>
              </w:rPr>
            </w:pPr>
            <w:r w:rsidRPr="00F7245E">
              <w:t>Gyakori</w:t>
            </w:r>
          </w:p>
        </w:tc>
      </w:tr>
      <w:tr w:rsidR="00141DDB" w:rsidRPr="00F7245E" w14:paraId="193778D6" w14:textId="6024D8A4" w:rsidTr="00141DDB">
        <w:trPr>
          <w:trHeight w:val="429"/>
        </w:trPr>
        <w:tc>
          <w:tcPr>
            <w:tcW w:w="3261" w:type="dxa"/>
          </w:tcPr>
          <w:p w14:paraId="4B0149A2" w14:textId="77777777" w:rsidR="00141DDB" w:rsidRPr="00F7245E" w:rsidRDefault="00141DDB" w:rsidP="00141DDB">
            <w:pPr>
              <w:pStyle w:val="TableParagraph"/>
              <w:ind w:left="100"/>
              <w:rPr>
                <w:lang w:val="hu-HU"/>
              </w:rPr>
            </w:pPr>
            <w:r w:rsidRPr="00F7245E">
              <w:rPr>
                <w:w w:val="105"/>
              </w:rPr>
              <w:t>Gastrointestinalis vérzés</w:t>
            </w:r>
          </w:p>
        </w:tc>
        <w:tc>
          <w:tcPr>
            <w:tcW w:w="1984" w:type="dxa"/>
          </w:tcPr>
          <w:p w14:paraId="0B72BAAD" w14:textId="77777777" w:rsidR="00141DDB" w:rsidRPr="00F7245E" w:rsidRDefault="00141DDB" w:rsidP="00141DDB">
            <w:pPr>
              <w:pStyle w:val="TableParagraph"/>
              <w:ind w:left="321" w:right="317"/>
              <w:jc w:val="center"/>
              <w:rPr>
                <w:lang w:val="hu-HU"/>
              </w:rPr>
            </w:pPr>
            <w:r w:rsidRPr="00F7245E">
              <w:rPr>
                <w:w w:val="105"/>
              </w:rPr>
              <w:t>Nem gyakori</w:t>
            </w:r>
          </w:p>
        </w:tc>
        <w:tc>
          <w:tcPr>
            <w:tcW w:w="1985" w:type="dxa"/>
          </w:tcPr>
          <w:p w14:paraId="4B7024C3" w14:textId="77777777" w:rsidR="00141DDB" w:rsidRPr="00F7245E" w:rsidRDefault="00141DDB" w:rsidP="00141DDB">
            <w:pPr>
              <w:pStyle w:val="TableParagraph"/>
              <w:ind w:left="371" w:right="371"/>
              <w:jc w:val="center"/>
              <w:rPr>
                <w:lang w:val="hu-HU"/>
              </w:rPr>
            </w:pPr>
            <w:r w:rsidRPr="00F7245E">
              <w:rPr>
                <w:w w:val="105"/>
              </w:rPr>
              <w:t>Gyakori</w:t>
            </w:r>
          </w:p>
        </w:tc>
        <w:tc>
          <w:tcPr>
            <w:tcW w:w="1842" w:type="dxa"/>
          </w:tcPr>
          <w:p w14:paraId="283F233C" w14:textId="77777777" w:rsidR="00141DDB" w:rsidRPr="00F7245E" w:rsidRDefault="00141DDB" w:rsidP="00141DDB">
            <w:pPr>
              <w:pStyle w:val="TableParagraph"/>
              <w:ind w:left="142" w:right="138"/>
              <w:jc w:val="center"/>
              <w:rPr>
                <w:lang w:val="hu-HU"/>
              </w:rPr>
            </w:pPr>
            <w:r w:rsidRPr="00F7245E">
              <w:rPr>
                <w:w w:val="105"/>
              </w:rPr>
              <w:t>Gyakori</w:t>
            </w:r>
          </w:p>
        </w:tc>
        <w:tc>
          <w:tcPr>
            <w:tcW w:w="1276" w:type="dxa"/>
          </w:tcPr>
          <w:p w14:paraId="0097FD19" w14:textId="30E62253" w:rsidR="00141DDB" w:rsidRPr="00F7245E" w:rsidRDefault="00141DDB" w:rsidP="00141DDB">
            <w:pPr>
              <w:pStyle w:val="TableParagraph"/>
              <w:ind w:left="142" w:right="138"/>
              <w:jc w:val="center"/>
              <w:rPr>
                <w:w w:val="105"/>
              </w:rPr>
            </w:pPr>
            <w:r w:rsidRPr="00F7245E">
              <w:t>Nem ismert</w:t>
            </w:r>
          </w:p>
        </w:tc>
      </w:tr>
      <w:tr w:rsidR="00141DDB" w:rsidRPr="00F7245E" w14:paraId="0E3E8F4E" w14:textId="61D562AD" w:rsidTr="00141DDB">
        <w:trPr>
          <w:trHeight w:val="408"/>
        </w:trPr>
        <w:tc>
          <w:tcPr>
            <w:tcW w:w="3261" w:type="dxa"/>
          </w:tcPr>
          <w:p w14:paraId="00235A86" w14:textId="77777777" w:rsidR="00141DDB" w:rsidRPr="00F7245E" w:rsidRDefault="00141DDB" w:rsidP="00141DDB">
            <w:pPr>
              <w:pStyle w:val="TableParagraph"/>
              <w:ind w:left="100"/>
              <w:rPr>
                <w:lang w:val="hu-HU"/>
              </w:rPr>
            </w:pPr>
            <w:r w:rsidRPr="00F7245E">
              <w:rPr>
                <w:w w:val="105"/>
              </w:rPr>
              <w:t>Aranyeres vérzés</w:t>
            </w:r>
          </w:p>
        </w:tc>
        <w:tc>
          <w:tcPr>
            <w:tcW w:w="1984" w:type="dxa"/>
          </w:tcPr>
          <w:p w14:paraId="675483AB" w14:textId="77777777" w:rsidR="00141DDB" w:rsidRPr="00F7245E" w:rsidRDefault="00141DDB" w:rsidP="00141DDB">
            <w:pPr>
              <w:pStyle w:val="TableParagraph"/>
              <w:ind w:left="317" w:right="317"/>
              <w:jc w:val="center"/>
              <w:rPr>
                <w:lang w:val="hu-HU"/>
              </w:rPr>
            </w:pPr>
            <w:r w:rsidRPr="00F7245E">
              <w:rPr>
                <w:w w:val="105"/>
              </w:rPr>
              <w:t>Nem ismert</w:t>
            </w:r>
          </w:p>
        </w:tc>
        <w:tc>
          <w:tcPr>
            <w:tcW w:w="1985" w:type="dxa"/>
          </w:tcPr>
          <w:p w14:paraId="304C31C8" w14:textId="77777777" w:rsidR="00141DDB" w:rsidRPr="00F7245E" w:rsidRDefault="00141DDB" w:rsidP="00141DDB">
            <w:pPr>
              <w:pStyle w:val="TableParagraph"/>
              <w:ind w:left="371" w:right="371"/>
              <w:jc w:val="center"/>
              <w:rPr>
                <w:lang w:val="hu-HU"/>
              </w:rPr>
            </w:pPr>
            <w:r w:rsidRPr="00F7245E">
              <w:rPr>
                <w:w w:val="105"/>
              </w:rPr>
              <w:t>Nem gyakori</w:t>
            </w:r>
          </w:p>
        </w:tc>
        <w:tc>
          <w:tcPr>
            <w:tcW w:w="1842" w:type="dxa"/>
          </w:tcPr>
          <w:p w14:paraId="761E94C7" w14:textId="77777777" w:rsidR="00141DDB" w:rsidRPr="00F7245E" w:rsidRDefault="00141DDB" w:rsidP="00141DDB">
            <w:pPr>
              <w:pStyle w:val="TableParagraph"/>
              <w:ind w:left="139" w:right="138"/>
              <w:jc w:val="center"/>
              <w:rPr>
                <w:lang w:val="hu-HU"/>
              </w:rPr>
            </w:pPr>
            <w:r w:rsidRPr="00F7245E">
              <w:rPr>
                <w:w w:val="105"/>
              </w:rPr>
              <w:t>Nem gyakori</w:t>
            </w:r>
          </w:p>
        </w:tc>
        <w:tc>
          <w:tcPr>
            <w:tcW w:w="1276" w:type="dxa"/>
          </w:tcPr>
          <w:p w14:paraId="52376256" w14:textId="07BF87E6" w:rsidR="00141DDB" w:rsidRPr="00F7245E" w:rsidRDefault="00141DDB" w:rsidP="00141DDB">
            <w:pPr>
              <w:pStyle w:val="TableParagraph"/>
              <w:ind w:left="139" w:right="138"/>
              <w:jc w:val="center"/>
              <w:rPr>
                <w:w w:val="105"/>
              </w:rPr>
            </w:pPr>
            <w:r w:rsidRPr="00F7245E">
              <w:rPr>
                <w:rFonts w:eastAsia="MS Mincho"/>
              </w:rPr>
              <w:t>Nem ismert</w:t>
            </w:r>
          </w:p>
        </w:tc>
      </w:tr>
      <w:tr w:rsidR="00141DDB" w:rsidRPr="00F7245E" w14:paraId="6D6C4CED" w14:textId="31C45A3B" w:rsidTr="00141DDB">
        <w:trPr>
          <w:trHeight w:val="413"/>
        </w:trPr>
        <w:tc>
          <w:tcPr>
            <w:tcW w:w="3261" w:type="dxa"/>
          </w:tcPr>
          <w:p w14:paraId="110C644D" w14:textId="77777777" w:rsidR="00141DDB" w:rsidRPr="00F7245E" w:rsidRDefault="00141DDB" w:rsidP="00141DDB">
            <w:pPr>
              <w:pStyle w:val="TableParagraph"/>
              <w:ind w:left="100"/>
              <w:rPr>
                <w:lang w:val="hu-HU"/>
              </w:rPr>
            </w:pPr>
            <w:r w:rsidRPr="00F7245E">
              <w:rPr>
                <w:w w:val="105"/>
              </w:rPr>
              <w:t>Szájüregi vérzés</w:t>
            </w:r>
          </w:p>
        </w:tc>
        <w:tc>
          <w:tcPr>
            <w:tcW w:w="1984" w:type="dxa"/>
          </w:tcPr>
          <w:p w14:paraId="2370A3F5" w14:textId="77777777" w:rsidR="00141DDB" w:rsidRPr="00F7245E" w:rsidRDefault="00141DDB" w:rsidP="00141DDB">
            <w:pPr>
              <w:pStyle w:val="TableParagraph"/>
              <w:ind w:left="317" w:right="317"/>
              <w:jc w:val="center"/>
              <w:rPr>
                <w:lang w:val="hu-HU"/>
              </w:rPr>
            </w:pPr>
            <w:r w:rsidRPr="00F7245E">
              <w:rPr>
                <w:w w:val="105"/>
              </w:rPr>
              <w:t>Nem ismert</w:t>
            </w:r>
          </w:p>
        </w:tc>
        <w:tc>
          <w:tcPr>
            <w:tcW w:w="1985" w:type="dxa"/>
          </w:tcPr>
          <w:p w14:paraId="334EBA82" w14:textId="77777777" w:rsidR="00141DDB" w:rsidRPr="00F7245E" w:rsidRDefault="00141DDB" w:rsidP="00141DDB">
            <w:pPr>
              <w:pStyle w:val="TableParagraph"/>
              <w:ind w:left="374" w:right="371"/>
              <w:jc w:val="center"/>
              <w:rPr>
                <w:lang w:val="hu-HU"/>
              </w:rPr>
            </w:pPr>
            <w:r w:rsidRPr="00F7245E">
              <w:rPr>
                <w:w w:val="105"/>
              </w:rPr>
              <w:t>Nem gyakori</w:t>
            </w:r>
          </w:p>
        </w:tc>
        <w:tc>
          <w:tcPr>
            <w:tcW w:w="1842" w:type="dxa"/>
          </w:tcPr>
          <w:p w14:paraId="6E55D228" w14:textId="77777777" w:rsidR="00141DDB" w:rsidRPr="00F7245E" w:rsidRDefault="00141DDB" w:rsidP="00141DDB">
            <w:pPr>
              <w:pStyle w:val="TableParagraph"/>
              <w:ind w:left="140" w:right="138"/>
              <w:jc w:val="center"/>
              <w:rPr>
                <w:lang w:val="hu-HU"/>
              </w:rPr>
            </w:pPr>
            <w:r w:rsidRPr="00F7245E">
              <w:rPr>
                <w:w w:val="105"/>
              </w:rPr>
              <w:t>Gyakori</w:t>
            </w:r>
          </w:p>
        </w:tc>
        <w:tc>
          <w:tcPr>
            <w:tcW w:w="1276" w:type="dxa"/>
          </w:tcPr>
          <w:p w14:paraId="54C64CDE" w14:textId="59CD2971" w:rsidR="00141DDB" w:rsidRPr="00F7245E" w:rsidRDefault="00141DDB" w:rsidP="00141DDB">
            <w:pPr>
              <w:pStyle w:val="TableParagraph"/>
              <w:ind w:left="140" w:right="138"/>
              <w:jc w:val="center"/>
              <w:rPr>
                <w:w w:val="105"/>
              </w:rPr>
            </w:pPr>
            <w:r w:rsidRPr="00F7245E">
              <w:rPr>
                <w:rFonts w:eastAsia="MS Mincho"/>
              </w:rPr>
              <w:t>Nem ismert</w:t>
            </w:r>
          </w:p>
        </w:tc>
      </w:tr>
      <w:tr w:rsidR="00141DDB" w:rsidRPr="00F7245E" w14:paraId="2A5F8F6D" w14:textId="567FCCC5" w:rsidTr="00141DDB">
        <w:trPr>
          <w:trHeight w:val="419"/>
        </w:trPr>
        <w:tc>
          <w:tcPr>
            <w:tcW w:w="3261" w:type="dxa"/>
          </w:tcPr>
          <w:p w14:paraId="6ED01ECD" w14:textId="77777777" w:rsidR="00141DDB" w:rsidRPr="00F7245E" w:rsidRDefault="00141DDB" w:rsidP="00141DDB">
            <w:pPr>
              <w:pStyle w:val="TableParagraph"/>
              <w:ind w:left="100"/>
              <w:rPr>
                <w:lang w:val="hu-HU"/>
              </w:rPr>
            </w:pPr>
            <w:r w:rsidRPr="00F7245E">
              <w:rPr>
                <w:w w:val="105"/>
              </w:rPr>
              <w:t>Haematochezia</w:t>
            </w:r>
          </w:p>
        </w:tc>
        <w:tc>
          <w:tcPr>
            <w:tcW w:w="1984" w:type="dxa"/>
          </w:tcPr>
          <w:p w14:paraId="413A7E4E" w14:textId="77777777" w:rsidR="00141DDB" w:rsidRPr="00F7245E" w:rsidRDefault="00141DDB" w:rsidP="00141DDB">
            <w:pPr>
              <w:pStyle w:val="TableParagraph"/>
              <w:ind w:left="321" w:right="317"/>
              <w:jc w:val="center"/>
              <w:rPr>
                <w:lang w:val="hu-HU"/>
              </w:rPr>
            </w:pPr>
            <w:r w:rsidRPr="00F7245E">
              <w:rPr>
                <w:w w:val="105"/>
              </w:rPr>
              <w:t>Nem gyakori</w:t>
            </w:r>
          </w:p>
        </w:tc>
        <w:tc>
          <w:tcPr>
            <w:tcW w:w="1985" w:type="dxa"/>
          </w:tcPr>
          <w:p w14:paraId="7C0C5C76" w14:textId="77777777" w:rsidR="00141DDB" w:rsidRPr="00F7245E" w:rsidRDefault="00141DDB" w:rsidP="00141DDB">
            <w:pPr>
              <w:pStyle w:val="TableParagraph"/>
              <w:ind w:left="376" w:right="371"/>
              <w:jc w:val="center"/>
              <w:rPr>
                <w:lang w:val="hu-HU"/>
              </w:rPr>
            </w:pPr>
            <w:r w:rsidRPr="00F7245E">
              <w:rPr>
                <w:w w:val="105"/>
              </w:rPr>
              <w:t>Nem gyakori</w:t>
            </w:r>
          </w:p>
        </w:tc>
        <w:tc>
          <w:tcPr>
            <w:tcW w:w="1842" w:type="dxa"/>
          </w:tcPr>
          <w:p w14:paraId="01440AD0" w14:textId="77777777" w:rsidR="00141DDB" w:rsidRPr="00F7245E" w:rsidRDefault="00141DDB" w:rsidP="00141DDB">
            <w:pPr>
              <w:pStyle w:val="TableParagraph"/>
              <w:ind w:left="143" w:right="138"/>
              <w:jc w:val="center"/>
              <w:rPr>
                <w:lang w:val="hu-HU"/>
              </w:rPr>
            </w:pPr>
            <w:r w:rsidRPr="00F7245E">
              <w:rPr>
                <w:w w:val="105"/>
              </w:rPr>
              <w:t>Nem gyakori</w:t>
            </w:r>
          </w:p>
        </w:tc>
        <w:tc>
          <w:tcPr>
            <w:tcW w:w="1276" w:type="dxa"/>
          </w:tcPr>
          <w:p w14:paraId="7FDF7F86" w14:textId="2EBBB84E" w:rsidR="00141DDB" w:rsidRPr="00F7245E" w:rsidRDefault="00141DDB" w:rsidP="00141DDB">
            <w:pPr>
              <w:pStyle w:val="TableParagraph"/>
              <w:ind w:left="143" w:right="138"/>
              <w:jc w:val="center"/>
              <w:rPr>
                <w:w w:val="105"/>
              </w:rPr>
            </w:pPr>
            <w:r w:rsidRPr="00F7245E">
              <w:t>Gyakori</w:t>
            </w:r>
          </w:p>
        </w:tc>
      </w:tr>
      <w:tr w:rsidR="00141DDB" w:rsidRPr="00F7245E" w14:paraId="0048987E" w14:textId="3C2C2F57" w:rsidTr="00141DDB">
        <w:trPr>
          <w:trHeight w:val="411"/>
        </w:trPr>
        <w:tc>
          <w:tcPr>
            <w:tcW w:w="3261" w:type="dxa"/>
          </w:tcPr>
          <w:p w14:paraId="2F0E157A" w14:textId="77777777" w:rsidR="00141DDB" w:rsidRPr="00F7245E" w:rsidRDefault="00141DDB" w:rsidP="00141DDB">
            <w:pPr>
              <w:pStyle w:val="TableParagraph"/>
              <w:ind w:left="100"/>
              <w:rPr>
                <w:lang w:val="hu-HU"/>
              </w:rPr>
            </w:pPr>
            <w:r w:rsidRPr="00F7245E">
              <w:rPr>
                <w:w w:val="105"/>
              </w:rPr>
              <w:t>Rectalis vérzés, ínyvérzés</w:t>
            </w:r>
          </w:p>
        </w:tc>
        <w:tc>
          <w:tcPr>
            <w:tcW w:w="1984" w:type="dxa"/>
          </w:tcPr>
          <w:p w14:paraId="4A5AB63C" w14:textId="77777777" w:rsidR="00141DDB" w:rsidRPr="00F7245E" w:rsidRDefault="00141DDB" w:rsidP="00141DDB">
            <w:pPr>
              <w:pStyle w:val="TableParagraph"/>
              <w:ind w:left="321" w:right="317"/>
              <w:jc w:val="center"/>
              <w:rPr>
                <w:lang w:val="hu-HU"/>
              </w:rPr>
            </w:pPr>
            <w:r w:rsidRPr="00F7245E">
              <w:rPr>
                <w:w w:val="105"/>
              </w:rPr>
              <w:t>Ritka</w:t>
            </w:r>
          </w:p>
        </w:tc>
        <w:tc>
          <w:tcPr>
            <w:tcW w:w="1985" w:type="dxa"/>
          </w:tcPr>
          <w:p w14:paraId="150DF3E1" w14:textId="77777777" w:rsidR="00141DDB" w:rsidRPr="00F7245E" w:rsidRDefault="00141DDB" w:rsidP="00141DDB">
            <w:pPr>
              <w:pStyle w:val="TableParagraph"/>
              <w:ind w:left="371" w:right="371"/>
              <w:jc w:val="center"/>
              <w:rPr>
                <w:lang w:val="hu-HU"/>
              </w:rPr>
            </w:pPr>
            <w:r w:rsidRPr="00F7245E">
              <w:rPr>
                <w:w w:val="105"/>
              </w:rPr>
              <w:t>Gyakori</w:t>
            </w:r>
          </w:p>
        </w:tc>
        <w:tc>
          <w:tcPr>
            <w:tcW w:w="1842" w:type="dxa"/>
          </w:tcPr>
          <w:p w14:paraId="5351B2E3" w14:textId="77777777" w:rsidR="00141DDB" w:rsidRPr="00F7245E" w:rsidRDefault="00141DDB" w:rsidP="00141DDB">
            <w:pPr>
              <w:pStyle w:val="TableParagraph"/>
              <w:ind w:left="142" w:right="138"/>
              <w:jc w:val="center"/>
              <w:rPr>
                <w:lang w:val="hu-HU"/>
              </w:rPr>
            </w:pPr>
            <w:r w:rsidRPr="00F7245E">
              <w:rPr>
                <w:w w:val="105"/>
              </w:rPr>
              <w:t>Gyakori</w:t>
            </w:r>
          </w:p>
        </w:tc>
        <w:tc>
          <w:tcPr>
            <w:tcW w:w="1276" w:type="dxa"/>
          </w:tcPr>
          <w:p w14:paraId="0620F998" w14:textId="729A6385" w:rsidR="00141DDB" w:rsidRPr="00F7245E" w:rsidRDefault="00141DDB" w:rsidP="00141DDB">
            <w:pPr>
              <w:pStyle w:val="TableParagraph"/>
              <w:ind w:left="142" w:right="138"/>
              <w:jc w:val="center"/>
              <w:rPr>
                <w:w w:val="105"/>
              </w:rPr>
            </w:pPr>
            <w:r w:rsidRPr="00F7245E">
              <w:t>Gyakori</w:t>
            </w:r>
          </w:p>
        </w:tc>
      </w:tr>
      <w:tr w:rsidR="00141DDB" w:rsidRPr="00F7245E" w14:paraId="10FDB5E8" w14:textId="3A13FFA8" w:rsidTr="00141DDB">
        <w:trPr>
          <w:trHeight w:val="418"/>
        </w:trPr>
        <w:tc>
          <w:tcPr>
            <w:tcW w:w="3261" w:type="dxa"/>
          </w:tcPr>
          <w:p w14:paraId="7C0ECE12" w14:textId="77777777" w:rsidR="00141DDB" w:rsidRPr="00F7245E" w:rsidRDefault="00141DDB" w:rsidP="00141DDB">
            <w:pPr>
              <w:pStyle w:val="TableParagraph"/>
              <w:ind w:left="100"/>
              <w:rPr>
                <w:lang w:val="hu-HU"/>
              </w:rPr>
            </w:pPr>
            <w:r w:rsidRPr="00F7245E">
              <w:rPr>
                <w:w w:val="105"/>
              </w:rPr>
              <w:t>Retroperitonealis vérzés</w:t>
            </w:r>
          </w:p>
        </w:tc>
        <w:tc>
          <w:tcPr>
            <w:tcW w:w="1984" w:type="dxa"/>
          </w:tcPr>
          <w:p w14:paraId="5F048080" w14:textId="77777777" w:rsidR="00141DDB" w:rsidRPr="00F7245E" w:rsidRDefault="00141DDB" w:rsidP="00141DDB">
            <w:pPr>
              <w:pStyle w:val="TableParagraph"/>
              <w:ind w:left="327" w:right="317"/>
              <w:jc w:val="center"/>
              <w:rPr>
                <w:lang w:val="hu-HU"/>
              </w:rPr>
            </w:pPr>
            <w:r w:rsidRPr="00F7245E">
              <w:rPr>
                <w:w w:val="105"/>
              </w:rPr>
              <w:t>Nem ismert</w:t>
            </w:r>
          </w:p>
        </w:tc>
        <w:tc>
          <w:tcPr>
            <w:tcW w:w="1985" w:type="dxa"/>
          </w:tcPr>
          <w:p w14:paraId="4AC28F62" w14:textId="77777777" w:rsidR="00141DDB" w:rsidRPr="00F7245E" w:rsidRDefault="00141DDB" w:rsidP="00141DDB">
            <w:pPr>
              <w:pStyle w:val="TableParagraph"/>
              <w:ind w:left="376" w:right="366"/>
              <w:jc w:val="center"/>
              <w:rPr>
                <w:lang w:val="hu-HU"/>
              </w:rPr>
            </w:pPr>
            <w:r w:rsidRPr="00F7245E">
              <w:rPr>
                <w:w w:val="105"/>
              </w:rPr>
              <w:t>Ritka</w:t>
            </w:r>
          </w:p>
        </w:tc>
        <w:tc>
          <w:tcPr>
            <w:tcW w:w="1842" w:type="dxa"/>
          </w:tcPr>
          <w:p w14:paraId="2503771F" w14:textId="77777777" w:rsidR="00141DDB" w:rsidRPr="00F7245E" w:rsidRDefault="00141DDB" w:rsidP="00141DDB">
            <w:pPr>
              <w:pStyle w:val="TableParagraph"/>
              <w:ind w:left="143" w:right="134"/>
              <w:jc w:val="center"/>
              <w:rPr>
                <w:lang w:val="hu-HU"/>
              </w:rPr>
            </w:pPr>
            <w:r w:rsidRPr="00F7245E">
              <w:rPr>
                <w:w w:val="105"/>
              </w:rPr>
              <w:t>Nem ismert</w:t>
            </w:r>
          </w:p>
        </w:tc>
        <w:tc>
          <w:tcPr>
            <w:tcW w:w="1276" w:type="dxa"/>
          </w:tcPr>
          <w:p w14:paraId="2C4395CB" w14:textId="27E8E7B2" w:rsidR="00141DDB" w:rsidRPr="00F7245E" w:rsidRDefault="00141DDB" w:rsidP="00141DDB">
            <w:pPr>
              <w:pStyle w:val="TableParagraph"/>
              <w:ind w:left="143" w:right="134"/>
              <w:jc w:val="center"/>
              <w:rPr>
                <w:w w:val="105"/>
              </w:rPr>
            </w:pPr>
            <w:r w:rsidRPr="00F7245E">
              <w:t>Nem ismert</w:t>
            </w:r>
          </w:p>
        </w:tc>
      </w:tr>
      <w:tr w:rsidR="00141DDB" w:rsidRPr="00F7245E" w14:paraId="4742A2D4" w14:textId="37D64458" w:rsidTr="00141DDB">
        <w:trPr>
          <w:trHeight w:val="423"/>
        </w:trPr>
        <w:tc>
          <w:tcPr>
            <w:tcW w:w="9072" w:type="dxa"/>
            <w:gridSpan w:val="4"/>
          </w:tcPr>
          <w:p w14:paraId="3B6FB369" w14:textId="7A44A965" w:rsidR="00141DDB" w:rsidRPr="00F7245E" w:rsidRDefault="00141DDB" w:rsidP="00141DDB">
            <w:pPr>
              <w:pStyle w:val="TableParagraph"/>
              <w:ind w:firstLine="142"/>
              <w:rPr>
                <w:lang w:val="hu-HU"/>
              </w:rPr>
            </w:pPr>
            <w:r w:rsidRPr="00F7245E">
              <w:rPr>
                <w:i/>
                <w:w w:val="105"/>
              </w:rPr>
              <w:t>Máj</w:t>
            </w:r>
            <w:r w:rsidRPr="00F7245E">
              <w:rPr>
                <w:i/>
                <w:w w:val="105"/>
              </w:rPr>
              <w:noBreakHyphen/>
              <w:t xml:space="preserve"> és epebetegségek, illetve tünetek</w:t>
            </w:r>
          </w:p>
        </w:tc>
        <w:tc>
          <w:tcPr>
            <w:tcW w:w="1276" w:type="dxa"/>
          </w:tcPr>
          <w:p w14:paraId="3208B544" w14:textId="77777777" w:rsidR="00141DDB" w:rsidRPr="00F7245E" w:rsidRDefault="00141DDB" w:rsidP="00141DDB">
            <w:pPr>
              <w:pStyle w:val="TableParagraph"/>
              <w:ind w:firstLine="142"/>
              <w:rPr>
                <w:i/>
                <w:w w:val="105"/>
              </w:rPr>
            </w:pPr>
          </w:p>
        </w:tc>
      </w:tr>
      <w:tr w:rsidR="00141DDB" w:rsidRPr="00F7245E" w14:paraId="67E5EBF8" w14:textId="131ECE9E" w:rsidTr="00141DDB">
        <w:trPr>
          <w:trHeight w:val="1679"/>
        </w:trPr>
        <w:tc>
          <w:tcPr>
            <w:tcW w:w="3261" w:type="dxa"/>
          </w:tcPr>
          <w:p w14:paraId="7A139C56" w14:textId="691AD0B4" w:rsidR="00141DDB" w:rsidRPr="00F7245E" w:rsidRDefault="00343228" w:rsidP="00141DDB">
            <w:pPr>
              <w:pStyle w:val="TableParagraph"/>
              <w:ind w:left="100" w:right="-1"/>
              <w:rPr>
                <w:lang w:val="hu-HU"/>
              </w:rPr>
            </w:pPr>
            <w:r w:rsidRPr="00343228">
              <w:rPr>
                <w:szCs w:val="20"/>
                <w:lang w:val="hu-HU" w:eastAsia="zh-CN" w:bidi="ar-SA"/>
              </w:rPr>
              <w:t>Kóros májfunkciós vizsgálati eredmények, emelkedett glutamát-oxálacetát-transzaminázszint, emelkedett szérum-alkalikusfoszfatázszint, emelkedett szérum-bilirubinszint</w:t>
            </w:r>
          </w:p>
        </w:tc>
        <w:tc>
          <w:tcPr>
            <w:tcW w:w="1984" w:type="dxa"/>
          </w:tcPr>
          <w:p w14:paraId="5D617B36" w14:textId="77777777" w:rsidR="00141DDB" w:rsidRPr="00F7245E" w:rsidRDefault="00141DDB" w:rsidP="00141DDB">
            <w:pPr>
              <w:pStyle w:val="TableParagraph"/>
              <w:ind w:left="338" w:right="300"/>
              <w:jc w:val="center"/>
              <w:rPr>
                <w:lang w:val="hu-HU"/>
              </w:rPr>
            </w:pPr>
            <w:r w:rsidRPr="00F7245E">
              <w:rPr>
                <w:w w:val="105"/>
              </w:rPr>
              <w:t>Nem gyakori</w:t>
            </w:r>
          </w:p>
        </w:tc>
        <w:tc>
          <w:tcPr>
            <w:tcW w:w="1985" w:type="dxa"/>
          </w:tcPr>
          <w:p w14:paraId="7FC0BD13" w14:textId="77777777" w:rsidR="00141DDB" w:rsidRPr="00F7245E" w:rsidRDefault="00141DDB" w:rsidP="00141DDB">
            <w:pPr>
              <w:pStyle w:val="TableParagraph"/>
              <w:ind w:left="376" w:right="371"/>
              <w:jc w:val="center"/>
              <w:rPr>
                <w:lang w:val="hu-HU"/>
              </w:rPr>
            </w:pPr>
            <w:r w:rsidRPr="00F7245E">
              <w:rPr>
                <w:w w:val="105"/>
              </w:rPr>
              <w:t>Nem gyakori</w:t>
            </w:r>
          </w:p>
        </w:tc>
        <w:tc>
          <w:tcPr>
            <w:tcW w:w="1842" w:type="dxa"/>
          </w:tcPr>
          <w:p w14:paraId="202288C7" w14:textId="77777777" w:rsidR="00141DDB" w:rsidRPr="00F7245E" w:rsidRDefault="00141DDB" w:rsidP="00141DDB">
            <w:pPr>
              <w:pStyle w:val="TableParagraph"/>
              <w:ind w:left="142" w:right="138"/>
              <w:jc w:val="center"/>
              <w:rPr>
                <w:lang w:val="hu-HU"/>
              </w:rPr>
            </w:pPr>
            <w:r w:rsidRPr="00F7245E">
              <w:rPr>
                <w:w w:val="105"/>
              </w:rPr>
              <w:t>Nem gyakori</w:t>
            </w:r>
          </w:p>
        </w:tc>
        <w:tc>
          <w:tcPr>
            <w:tcW w:w="1276" w:type="dxa"/>
          </w:tcPr>
          <w:p w14:paraId="1FE93FDE" w14:textId="652249F4" w:rsidR="00141DDB" w:rsidRPr="00F7245E" w:rsidRDefault="00141DDB" w:rsidP="00141DDB">
            <w:pPr>
              <w:pStyle w:val="TableParagraph"/>
              <w:ind w:left="142" w:right="138"/>
              <w:jc w:val="center"/>
              <w:rPr>
                <w:w w:val="105"/>
              </w:rPr>
            </w:pPr>
            <w:r w:rsidRPr="00F7245E">
              <w:t>Gyakori</w:t>
            </w:r>
          </w:p>
        </w:tc>
      </w:tr>
      <w:tr w:rsidR="00141DDB" w:rsidRPr="00F7245E" w14:paraId="1F2A9CFB" w14:textId="5243F187" w:rsidTr="00141DDB">
        <w:trPr>
          <w:trHeight w:val="697"/>
        </w:trPr>
        <w:tc>
          <w:tcPr>
            <w:tcW w:w="3261" w:type="dxa"/>
          </w:tcPr>
          <w:p w14:paraId="1247C02D" w14:textId="5FCEB03C" w:rsidR="00141DDB" w:rsidRPr="00F7245E" w:rsidRDefault="00141DDB" w:rsidP="00141DDB">
            <w:pPr>
              <w:pStyle w:val="TableParagraph"/>
              <w:ind w:left="100"/>
              <w:rPr>
                <w:lang w:val="hu-HU"/>
              </w:rPr>
            </w:pPr>
            <w:r w:rsidRPr="00F7245E">
              <w:rPr>
                <w:w w:val="105"/>
              </w:rPr>
              <w:t>Emelkedett gamma</w:t>
            </w:r>
            <w:r w:rsidRPr="00F7245E">
              <w:rPr>
                <w:w w:val="105"/>
              </w:rPr>
              <w:noBreakHyphen/>
              <w:t>glutamiltranszferáz-szint</w:t>
            </w:r>
          </w:p>
        </w:tc>
        <w:tc>
          <w:tcPr>
            <w:tcW w:w="1984" w:type="dxa"/>
          </w:tcPr>
          <w:p w14:paraId="65A443A8" w14:textId="77777777" w:rsidR="00141DDB" w:rsidRPr="00F7245E" w:rsidRDefault="00141DDB" w:rsidP="00141DDB">
            <w:pPr>
              <w:pStyle w:val="TableParagraph"/>
              <w:ind w:left="338" w:right="302"/>
              <w:jc w:val="center"/>
              <w:rPr>
                <w:lang w:val="hu-HU"/>
              </w:rPr>
            </w:pPr>
            <w:r w:rsidRPr="00F7245E">
              <w:rPr>
                <w:w w:val="105"/>
              </w:rPr>
              <w:t>Nem gyakori</w:t>
            </w:r>
          </w:p>
        </w:tc>
        <w:tc>
          <w:tcPr>
            <w:tcW w:w="1985" w:type="dxa"/>
          </w:tcPr>
          <w:p w14:paraId="69C45E8B" w14:textId="77777777" w:rsidR="00141DDB" w:rsidRPr="00F7245E" w:rsidRDefault="00141DDB" w:rsidP="00141DDB">
            <w:pPr>
              <w:pStyle w:val="TableParagraph"/>
              <w:ind w:left="371" w:right="371"/>
              <w:jc w:val="center"/>
              <w:rPr>
                <w:lang w:val="hu-HU"/>
              </w:rPr>
            </w:pPr>
            <w:r w:rsidRPr="00F7245E">
              <w:rPr>
                <w:w w:val="105"/>
              </w:rPr>
              <w:t>Gyakori</w:t>
            </w:r>
          </w:p>
        </w:tc>
        <w:tc>
          <w:tcPr>
            <w:tcW w:w="1842" w:type="dxa"/>
          </w:tcPr>
          <w:p w14:paraId="2D6BE485" w14:textId="77777777" w:rsidR="00141DDB" w:rsidRPr="00F7245E" w:rsidRDefault="00141DDB" w:rsidP="00141DDB">
            <w:pPr>
              <w:pStyle w:val="TableParagraph"/>
              <w:ind w:left="142" w:right="138"/>
              <w:jc w:val="center"/>
              <w:rPr>
                <w:lang w:val="hu-HU"/>
              </w:rPr>
            </w:pPr>
            <w:r w:rsidRPr="00F7245E">
              <w:rPr>
                <w:w w:val="105"/>
              </w:rPr>
              <w:t>Gyakori</w:t>
            </w:r>
          </w:p>
        </w:tc>
        <w:tc>
          <w:tcPr>
            <w:tcW w:w="1276" w:type="dxa"/>
          </w:tcPr>
          <w:p w14:paraId="1395A5A2" w14:textId="18269837" w:rsidR="00141DDB" w:rsidRPr="00F7245E" w:rsidRDefault="00141DDB" w:rsidP="00141DDB">
            <w:pPr>
              <w:pStyle w:val="TableParagraph"/>
              <w:ind w:left="142" w:right="138"/>
              <w:jc w:val="center"/>
              <w:rPr>
                <w:w w:val="105"/>
              </w:rPr>
            </w:pPr>
            <w:r w:rsidRPr="00F7245E">
              <w:t>Nem ismert</w:t>
            </w:r>
          </w:p>
        </w:tc>
      </w:tr>
      <w:tr w:rsidR="00141DDB" w:rsidRPr="00F7245E" w14:paraId="4FCD8A0B" w14:textId="6EFFE64E" w:rsidTr="00141DDB">
        <w:trPr>
          <w:trHeight w:val="708"/>
        </w:trPr>
        <w:tc>
          <w:tcPr>
            <w:tcW w:w="3261" w:type="dxa"/>
          </w:tcPr>
          <w:p w14:paraId="3DA87777" w14:textId="174BE3A9" w:rsidR="00141DDB" w:rsidRPr="00F7245E" w:rsidRDefault="00141DDB" w:rsidP="00141DDB">
            <w:pPr>
              <w:pStyle w:val="TableParagraph"/>
              <w:ind w:left="100" w:right="281"/>
              <w:rPr>
                <w:lang w:val="hu-HU"/>
              </w:rPr>
            </w:pPr>
            <w:r w:rsidRPr="00F7245E">
              <w:rPr>
                <w:w w:val="105"/>
              </w:rPr>
              <w:t>Emelkedett alanin</w:t>
            </w:r>
            <w:r w:rsidRPr="00F7245E">
              <w:rPr>
                <w:w w:val="105"/>
              </w:rPr>
              <w:noBreakHyphen/>
            </w:r>
            <w:r w:rsidRPr="00F7245E">
              <w:t>aminotranszferáz-szint</w:t>
            </w:r>
          </w:p>
        </w:tc>
        <w:tc>
          <w:tcPr>
            <w:tcW w:w="1984" w:type="dxa"/>
          </w:tcPr>
          <w:p w14:paraId="02FBF1DE" w14:textId="77777777" w:rsidR="00141DDB" w:rsidRPr="00F7245E" w:rsidRDefault="00141DDB" w:rsidP="00141DDB">
            <w:pPr>
              <w:pStyle w:val="TableParagraph"/>
              <w:ind w:right="342"/>
              <w:jc w:val="center"/>
              <w:rPr>
                <w:lang w:val="hu-HU"/>
              </w:rPr>
            </w:pPr>
            <w:r w:rsidRPr="00F7245E">
              <w:rPr>
                <w:w w:val="105"/>
              </w:rPr>
              <w:t>Nem gyakori</w:t>
            </w:r>
          </w:p>
        </w:tc>
        <w:tc>
          <w:tcPr>
            <w:tcW w:w="1985" w:type="dxa"/>
          </w:tcPr>
          <w:p w14:paraId="167A78C4" w14:textId="77777777" w:rsidR="00141DDB" w:rsidRPr="00F7245E" w:rsidRDefault="00141DDB" w:rsidP="00141DDB">
            <w:pPr>
              <w:pStyle w:val="TableParagraph"/>
              <w:ind w:left="376" w:right="371"/>
              <w:jc w:val="center"/>
              <w:rPr>
                <w:lang w:val="hu-HU"/>
              </w:rPr>
            </w:pPr>
            <w:r w:rsidRPr="00F7245E">
              <w:rPr>
                <w:w w:val="105"/>
              </w:rPr>
              <w:t>Nem gyakori</w:t>
            </w:r>
          </w:p>
        </w:tc>
        <w:tc>
          <w:tcPr>
            <w:tcW w:w="1842" w:type="dxa"/>
          </w:tcPr>
          <w:p w14:paraId="7377A3A3" w14:textId="77777777" w:rsidR="00141DDB" w:rsidRPr="00F7245E" w:rsidRDefault="00141DDB" w:rsidP="00141DDB">
            <w:pPr>
              <w:pStyle w:val="TableParagraph"/>
              <w:ind w:left="142" w:right="138"/>
              <w:jc w:val="center"/>
              <w:rPr>
                <w:lang w:val="hu-HU"/>
              </w:rPr>
            </w:pPr>
            <w:r w:rsidRPr="00F7245E">
              <w:rPr>
                <w:w w:val="105"/>
              </w:rPr>
              <w:t>Gyakori</w:t>
            </w:r>
          </w:p>
        </w:tc>
        <w:tc>
          <w:tcPr>
            <w:tcW w:w="1276" w:type="dxa"/>
          </w:tcPr>
          <w:p w14:paraId="6A332FDA" w14:textId="1BAA40B0" w:rsidR="00141DDB" w:rsidRPr="00F7245E" w:rsidRDefault="00141DDB" w:rsidP="00141DDB">
            <w:pPr>
              <w:pStyle w:val="TableParagraph"/>
              <w:ind w:left="142" w:right="138"/>
              <w:jc w:val="center"/>
              <w:rPr>
                <w:w w:val="105"/>
              </w:rPr>
            </w:pPr>
            <w:r w:rsidRPr="00F7245E">
              <w:t>Gyakori</w:t>
            </w:r>
          </w:p>
        </w:tc>
      </w:tr>
      <w:tr w:rsidR="00141DDB" w:rsidRPr="00F7245E" w14:paraId="7B2E2C34" w14:textId="48BF9F3A" w:rsidTr="00141DDB">
        <w:trPr>
          <w:trHeight w:val="421"/>
        </w:trPr>
        <w:tc>
          <w:tcPr>
            <w:tcW w:w="9072" w:type="dxa"/>
            <w:gridSpan w:val="4"/>
          </w:tcPr>
          <w:p w14:paraId="72B3EA3D" w14:textId="58AC8640" w:rsidR="00141DDB" w:rsidRPr="00F7245E" w:rsidRDefault="00141DDB" w:rsidP="00141DDB">
            <w:pPr>
              <w:pStyle w:val="TableParagraph"/>
              <w:ind w:firstLine="142"/>
              <w:rPr>
                <w:lang w:val="hu-HU"/>
              </w:rPr>
            </w:pPr>
            <w:r w:rsidRPr="00F7245E">
              <w:rPr>
                <w:i/>
                <w:w w:val="105"/>
              </w:rPr>
              <w:t>A bőr és a bőr alatti szövet betegségei és tünetei</w:t>
            </w:r>
          </w:p>
        </w:tc>
        <w:tc>
          <w:tcPr>
            <w:tcW w:w="1276" w:type="dxa"/>
          </w:tcPr>
          <w:p w14:paraId="7A4C5686" w14:textId="77777777" w:rsidR="00141DDB" w:rsidRPr="00F7245E" w:rsidRDefault="00141DDB" w:rsidP="00141DDB">
            <w:pPr>
              <w:pStyle w:val="TableParagraph"/>
              <w:ind w:firstLine="142"/>
              <w:rPr>
                <w:i/>
                <w:w w:val="105"/>
              </w:rPr>
            </w:pPr>
          </w:p>
        </w:tc>
      </w:tr>
      <w:tr w:rsidR="00141DDB" w:rsidRPr="00F7245E" w14:paraId="148D4F61" w14:textId="5DA04671" w:rsidTr="00141DDB">
        <w:trPr>
          <w:trHeight w:val="413"/>
        </w:trPr>
        <w:tc>
          <w:tcPr>
            <w:tcW w:w="3261" w:type="dxa"/>
          </w:tcPr>
          <w:p w14:paraId="3562C572" w14:textId="77777777" w:rsidR="00141DDB" w:rsidRPr="00F7245E" w:rsidRDefault="00141DDB" w:rsidP="00141DDB">
            <w:pPr>
              <w:pStyle w:val="TableParagraph"/>
              <w:ind w:left="100"/>
              <w:rPr>
                <w:lang w:val="hu-HU"/>
              </w:rPr>
            </w:pPr>
            <w:r w:rsidRPr="00F7245E">
              <w:rPr>
                <w:w w:val="105"/>
              </w:rPr>
              <w:t>Bőrkiütés</w:t>
            </w:r>
          </w:p>
        </w:tc>
        <w:tc>
          <w:tcPr>
            <w:tcW w:w="1984" w:type="dxa"/>
          </w:tcPr>
          <w:p w14:paraId="293D7850" w14:textId="77777777" w:rsidR="00141DDB" w:rsidRPr="00F7245E" w:rsidRDefault="00141DDB" w:rsidP="00141DDB">
            <w:pPr>
              <w:pStyle w:val="TableParagraph"/>
              <w:ind w:right="401"/>
              <w:jc w:val="center"/>
              <w:rPr>
                <w:lang w:val="hu-HU"/>
              </w:rPr>
            </w:pPr>
            <w:r w:rsidRPr="00F7245E">
              <w:rPr>
                <w:w w:val="105"/>
              </w:rPr>
              <w:t>Nem ismert</w:t>
            </w:r>
          </w:p>
        </w:tc>
        <w:tc>
          <w:tcPr>
            <w:tcW w:w="1985" w:type="dxa"/>
          </w:tcPr>
          <w:p w14:paraId="363D5CFF" w14:textId="77777777" w:rsidR="00141DDB" w:rsidRPr="00F7245E" w:rsidRDefault="00141DDB" w:rsidP="00141DDB">
            <w:pPr>
              <w:pStyle w:val="TableParagraph"/>
              <w:ind w:left="375" w:right="371"/>
              <w:jc w:val="center"/>
              <w:rPr>
                <w:lang w:val="hu-HU"/>
              </w:rPr>
            </w:pPr>
            <w:r w:rsidRPr="00F7245E">
              <w:rPr>
                <w:w w:val="105"/>
              </w:rPr>
              <w:t>Nem gyakori</w:t>
            </w:r>
          </w:p>
        </w:tc>
        <w:tc>
          <w:tcPr>
            <w:tcW w:w="1842" w:type="dxa"/>
          </w:tcPr>
          <w:p w14:paraId="6B25647F" w14:textId="77777777" w:rsidR="00141DDB" w:rsidRPr="00F7245E" w:rsidRDefault="00141DDB" w:rsidP="00141DDB">
            <w:pPr>
              <w:pStyle w:val="TableParagraph"/>
              <w:ind w:left="142" w:right="138"/>
              <w:jc w:val="center"/>
              <w:rPr>
                <w:lang w:val="hu-HU"/>
              </w:rPr>
            </w:pPr>
            <w:r w:rsidRPr="00F7245E">
              <w:rPr>
                <w:w w:val="105"/>
              </w:rPr>
              <w:t>Gyakori</w:t>
            </w:r>
          </w:p>
        </w:tc>
        <w:tc>
          <w:tcPr>
            <w:tcW w:w="1276" w:type="dxa"/>
          </w:tcPr>
          <w:p w14:paraId="68BB4F50" w14:textId="3264A7AA" w:rsidR="00141DDB" w:rsidRPr="00F7245E" w:rsidRDefault="00141DDB" w:rsidP="00141DDB">
            <w:pPr>
              <w:pStyle w:val="TableParagraph"/>
              <w:ind w:left="142" w:right="138"/>
              <w:jc w:val="center"/>
              <w:rPr>
                <w:w w:val="105"/>
              </w:rPr>
            </w:pPr>
            <w:r w:rsidRPr="00F7245E">
              <w:t>Gyakori</w:t>
            </w:r>
          </w:p>
        </w:tc>
      </w:tr>
      <w:tr w:rsidR="00141DDB" w:rsidRPr="00F7245E" w14:paraId="2E52CD79" w14:textId="74DEB056" w:rsidTr="00141DDB">
        <w:trPr>
          <w:trHeight w:val="414"/>
        </w:trPr>
        <w:tc>
          <w:tcPr>
            <w:tcW w:w="3261" w:type="dxa"/>
          </w:tcPr>
          <w:p w14:paraId="0C2AFDCE" w14:textId="77777777" w:rsidR="00141DDB" w:rsidRPr="00F7245E" w:rsidRDefault="00141DDB" w:rsidP="00141DDB">
            <w:pPr>
              <w:pStyle w:val="TableParagraph"/>
              <w:ind w:left="100"/>
              <w:rPr>
                <w:lang w:val="hu-HU"/>
              </w:rPr>
            </w:pPr>
            <w:r w:rsidRPr="00F7245E">
              <w:rPr>
                <w:w w:val="105"/>
              </w:rPr>
              <w:t>Alopecia</w:t>
            </w:r>
          </w:p>
        </w:tc>
        <w:tc>
          <w:tcPr>
            <w:tcW w:w="1984" w:type="dxa"/>
          </w:tcPr>
          <w:p w14:paraId="685778D6" w14:textId="77777777" w:rsidR="00141DDB" w:rsidRPr="00F7245E" w:rsidRDefault="00141DDB" w:rsidP="00141DDB">
            <w:pPr>
              <w:pStyle w:val="TableParagraph"/>
              <w:ind w:left="338" w:right="305"/>
              <w:jc w:val="center"/>
              <w:rPr>
                <w:lang w:val="hu-HU"/>
              </w:rPr>
            </w:pPr>
            <w:r w:rsidRPr="00F7245E">
              <w:rPr>
                <w:w w:val="105"/>
              </w:rPr>
              <w:t>Ritka</w:t>
            </w:r>
          </w:p>
        </w:tc>
        <w:tc>
          <w:tcPr>
            <w:tcW w:w="1985" w:type="dxa"/>
          </w:tcPr>
          <w:p w14:paraId="7EC3A200" w14:textId="77777777" w:rsidR="00141DDB" w:rsidRPr="00F7245E" w:rsidRDefault="00141DDB" w:rsidP="00141DDB">
            <w:pPr>
              <w:pStyle w:val="TableParagraph"/>
              <w:ind w:left="373" w:right="371"/>
              <w:jc w:val="center"/>
              <w:rPr>
                <w:lang w:val="hu-HU"/>
              </w:rPr>
            </w:pPr>
            <w:r w:rsidRPr="00F7245E">
              <w:rPr>
                <w:w w:val="105"/>
              </w:rPr>
              <w:t>Nem gyakori</w:t>
            </w:r>
          </w:p>
        </w:tc>
        <w:tc>
          <w:tcPr>
            <w:tcW w:w="1842" w:type="dxa"/>
          </w:tcPr>
          <w:p w14:paraId="322AC84C" w14:textId="77777777" w:rsidR="00141DDB" w:rsidRPr="00F7245E" w:rsidRDefault="00141DDB" w:rsidP="00141DDB">
            <w:pPr>
              <w:pStyle w:val="TableParagraph"/>
              <w:ind w:left="141" w:right="138"/>
              <w:jc w:val="center"/>
              <w:rPr>
                <w:lang w:val="hu-HU"/>
              </w:rPr>
            </w:pPr>
            <w:r w:rsidRPr="00F7245E">
              <w:rPr>
                <w:w w:val="105"/>
              </w:rPr>
              <w:t>Nem gyakori</w:t>
            </w:r>
          </w:p>
        </w:tc>
        <w:tc>
          <w:tcPr>
            <w:tcW w:w="1276" w:type="dxa"/>
          </w:tcPr>
          <w:p w14:paraId="1E1FD23F" w14:textId="5A80F9E0" w:rsidR="00141DDB" w:rsidRPr="00F7245E" w:rsidRDefault="00141DDB" w:rsidP="00141DDB">
            <w:pPr>
              <w:pStyle w:val="TableParagraph"/>
              <w:ind w:left="141" w:right="138"/>
              <w:jc w:val="center"/>
              <w:rPr>
                <w:w w:val="105"/>
              </w:rPr>
            </w:pPr>
            <w:r w:rsidRPr="00F7245E">
              <w:t>Gyakori</w:t>
            </w:r>
          </w:p>
        </w:tc>
      </w:tr>
      <w:tr w:rsidR="00141DDB" w:rsidRPr="00F7245E" w14:paraId="647BFFF7" w14:textId="45D1903B" w:rsidTr="00141DDB">
        <w:trPr>
          <w:trHeight w:val="414"/>
        </w:trPr>
        <w:tc>
          <w:tcPr>
            <w:tcW w:w="3261" w:type="dxa"/>
          </w:tcPr>
          <w:p w14:paraId="6CA030AB" w14:textId="5DB4CB61" w:rsidR="00141DDB" w:rsidRPr="00F7245E" w:rsidRDefault="00141DDB" w:rsidP="00141DDB">
            <w:pPr>
              <w:pStyle w:val="TableParagraph"/>
              <w:ind w:left="100"/>
              <w:rPr>
                <w:w w:val="105"/>
              </w:rPr>
            </w:pPr>
            <w:r w:rsidRPr="00F7245E">
              <w:rPr>
                <w:w w:val="105"/>
              </w:rPr>
              <w:t>Erythema multiforme</w:t>
            </w:r>
          </w:p>
        </w:tc>
        <w:tc>
          <w:tcPr>
            <w:tcW w:w="1984" w:type="dxa"/>
          </w:tcPr>
          <w:p w14:paraId="5878144B" w14:textId="56B15EC5" w:rsidR="00141DDB" w:rsidRPr="00F7245E" w:rsidRDefault="00141DDB" w:rsidP="00141DDB">
            <w:pPr>
              <w:pStyle w:val="TableParagraph"/>
              <w:ind w:left="338" w:right="305"/>
              <w:jc w:val="center"/>
              <w:rPr>
                <w:w w:val="105"/>
                <w:lang w:val="hu-HU"/>
              </w:rPr>
            </w:pPr>
            <w:r w:rsidRPr="00F7245E">
              <w:rPr>
                <w:w w:val="105"/>
              </w:rPr>
              <w:t>Nem ismert</w:t>
            </w:r>
          </w:p>
        </w:tc>
        <w:tc>
          <w:tcPr>
            <w:tcW w:w="1985" w:type="dxa"/>
          </w:tcPr>
          <w:p w14:paraId="11AF6AF9" w14:textId="1EA6E96F" w:rsidR="00141DDB" w:rsidRPr="00F7245E" w:rsidRDefault="00141DDB" w:rsidP="00141DDB">
            <w:pPr>
              <w:pStyle w:val="TableParagraph"/>
              <w:ind w:left="373" w:right="371"/>
              <w:jc w:val="center"/>
              <w:rPr>
                <w:w w:val="105"/>
                <w:lang w:val="hu-HU"/>
              </w:rPr>
            </w:pPr>
            <w:r w:rsidRPr="00F7245E">
              <w:rPr>
                <w:w w:val="105"/>
              </w:rPr>
              <w:t>Nagyon ritka</w:t>
            </w:r>
          </w:p>
        </w:tc>
        <w:tc>
          <w:tcPr>
            <w:tcW w:w="1842" w:type="dxa"/>
          </w:tcPr>
          <w:p w14:paraId="11A79140" w14:textId="24965109" w:rsidR="00141DDB" w:rsidRPr="00F7245E" w:rsidRDefault="00141DDB" w:rsidP="00141DDB">
            <w:pPr>
              <w:pStyle w:val="TableParagraph"/>
              <w:ind w:left="141" w:right="138"/>
              <w:jc w:val="center"/>
              <w:rPr>
                <w:w w:val="105"/>
                <w:lang w:val="hu-HU"/>
              </w:rPr>
            </w:pPr>
            <w:r w:rsidRPr="00F7245E">
              <w:rPr>
                <w:w w:val="105"/>
              </w:rPr>
              <w:t>Nem ismert</w:t>
            </w:r>
          </w:p>
        </w:tc>
        <w:tc>
          <w:tcPr>
            <w:tcW w:w="1276" w:type="dxa"/>
          </w:tcPr>
          <w:p w14:paraId="1396FD01" w14:textId="20FEED67" w:rsidR="00141DDB" w:rsidRPr="00F7245E" w:rsidRDefault="00141DDB" w:rsidP="00141DDB">
            <w:pPr>
              <w:pStyle w:val="TableParagraph"/>
              <w:ind w:left="141" w:right="138"/>
              <w:jc w:val="center"/>
              <w:rPr>
                <w:w w:val="105"/>
              </w:rPr>
            </w:pPr>
            <w:r w:rsidRPr="00F7245E">
              <w:t>Nem ismert</w:t>
            </w:r>
          </w:p>
        </w:tc>
      </w:tr>
      <w:tr w:rsidR="00141DDB" w:rsidRPr="00F7245E" w14:paraId="234D6E2A" w14:textId="2274D37A" w:rsidTr="00141DDB">
        <w:trPr>
          <w:trHeight w:val="414"/>
        </w:trPr>
        <w:tc>
          <w:tcPr>
            <w:tcW w:w="3261" w:type="dxa"/>
          </w:tcPr>
          <w:p w14:paraId="2469A3FC" w14:textId="488E348F" w:rsidR="00141DDB" w:rsidRPr="00F7245E" w:rsidRDefault="00141DDB" w:rsidP="00141DDB">
            <w:pPr>
              <w:pStyle w:val="TableParagraph"/>
              <w:ind w:left="100"/>
              <w:rPr>
                <w:w w:val="105"/>
              </w:rPr>
            </w:pPr>
            <w:r w:rsidRPr="00F7245E">
              <w:rPr>
                <w:w w:val="105"/>
              </w:rPr>
              <w:t>Cutan vasculitis</w:t>
            </w:r>
          </w:p>
        </w:tc>
        <w:tc>
          <w:tcPr>
            <w:tcW w:w="1984" w:type="dxa"/>
          </w:tcPr>
          <w:p w14:paraId="03C4CA46" w14:textId="40318ED2" w:rsidR="00141DDB" w:rsidRPr="00F7245E" w:rsidRDefault="00141DDB" w:rsidP="00141DDB">
            <w:pPr>
              <w:pStyle w:val="TableParagraph"/>
              <w:ind w:left="338" w:right="305"/>
              <w:jc w:val="center"/>
              <w:rPr>
                <w:w w:val="105"/>
                <w:lang w:val="hu-HU"/>
              </w:rPr>
            </w:pPr>
            <w:r w:rsidRPr="00F7245E">
              <w:rPr>
                <w:w w:val="105"/>
              </w:rPr>
              <w:t>Nem ismert</w:t>
            </w:r>
          </w:p>
        </w:tc>
        <w:tc>
          <w:tcPr>
            <w:tcW w:w="1985" w:type="dxa"/>
          </w:tcPr>
          <w:p w14:paraId="2F909D19" w14:textId="4840E488" w:rsidR="00141DDB" w:rsidRPr="00F7245E" w:rsidRDefault="00141DDB" w:rsidP="00141DDB">
            <w:pPr>
              <w:pStyle w:val="TableParagraph"/>
              <w:ind w:left="373" w:right="371"/>
              <w:jc w:val="center"/>
              <w:rPr>
                <w:w w:val="105"/>
                <w:lang w:val="hu-HU"/>
              </w:rPr>
            </w:pPr>
            <w:r w:rsidRPr="00F7245E">
              <w:rPr>
                <w:w w:val="105"/>
              </w:rPr>
              <w:t>Nem ismert</w:t>
            </w:r>
          </w:p>
        </w:tc>
        <w:tc>
          <w:tcPr>
            <w:tcW w:w="1842" w:type="dxa"/>
          </w:tcPr>
          <w:p w14:paraId="59E78E5D" w14:textId="7C8C11DD" w:rsidR="00141DDB" w:rsidRPr="00F7245E" w:rsidRDefault="00141DDB" w:rsidP="00141DDB">
            <w:pPr>
              <w:pStyle w:val="TableParagraph"/>
              <w:ind w:left="141" w:right="138"/>
              <w:jc w:val="center"/>
              <w:rPr>
                <w:w w:val="105"/>
                <w:lang w:val="hu-HU"/>
              </w:rPr>
            </w:pPr>
            <w:r w:rsidRPr="00F7245E">
              <w:rPr>
                <w:w w:val="105"/>
              </w:rPr>
              <w:t>Nem ismert</w:t>
            </w:r>
          </w:p>
        </w:tc>
        <w:tc>
          <w:tcPr>
            <w:tcW w:w="1276" w:type="dxa"/>
          </w:tcPr>
          <w:p w14:paraId="76E1A710" w14:textId="6EE658E3" w:rsidR="00141DDB" w:rsidRPr="00F7245E" w:rsidRDefault="00141DDB" w:rsidP="00141DDB">
            <w:pPr>
              <w:pStyle w:val="TableParagraph"/>
              <w:ind w:left="141" w:right="138"/>
              <w:jc w:val="center"/>
              <w:rPr>
                <w:w w:val="105"/>
              </w:rPr>
            </w:pPr>
            <w:r w:rsidRPr="00F7245E">
              <w:t>Nem ismert</w:t>
            </w:r>
          </w:p>
        </w:tc>
      </w:tr>
      <w:tr w:rsidR="00141DDB" w:rsidRPr="00F7245E" w14:paraId="63724DF6" w14:textId="49D31669" w:rsidTr="00141DDB">
        <w:trPr>
          <w:trHeight w:val="420"/>
        </w:trPr>
        <w:tc>
          <w:tcPr>
            <w:tcW w:w="9072" w:type="dxa"/>
            <w:gridSpan w:val="4"/>
          </w:tcPr>
          <w:p w14:paraId="00193E29" w14:textId="687712ED" w:rsidR="00141DDB" w:rsidRPr="00F7245E" w:rsidRDefault="00141DDB" w:rsidP="00141DDB">
            <w:pPr>
              <w:pStyle w:val="TableParagraph"/>
              <w:ind w:firstLine="142"/>
              <w:rPr>
                <w:lang w:val="hu-HU"/>
              </w:rPr>
            </w:pPr>
            <w:r w:rsidRPr="00F7245E">
              <w:rPr>
                <w:i/>
                <w:w w:val="105"/>
              </w:rPr>
              <w:t>A csont- és izomrendszer, valamint a kötőszövet betegségei és tünetei</w:t>
            </w:r>
          </w:p>
        </w:tc>
        <w:tc>
          <w:tcPr>
            <w:tcW w:w="1276" w:type="dxa"/>
          </w:tcPr>
          <w:p w14:paraId="420F8EE3" w14:textId="77777777" w:rsidR="00141DDB" w:rsidRPr="00F7245E" w:rsidRDefault="00141DDB" w:rsidP="00141DDB">
            <w:pPr>
              <w:pStyle w:val="TableParagraph"/>
              <w:ind w:firstLine="142"/>
              <w:rPr>
                <w:i/>
                <w:w w:val="105"/>
              </w:rPr>
            </w:pPr>
          </w:p>
        </w:tc>
      </w:tr>
      <w:tr w:rsidR="00141DDB" w:rsidRPr="00F7245E" w14:paraId="17E2DF59" w14:textId="69E98503" w:rsidTr="00141DDB">
        <w:trPr>
          <w:trHeight w:val="426"/>
        </w:trPr>
        <w:tc>
          <w:tcPr>
            <w:tcW w:w="3261" w:type="dxa"/>
          </w:tcPr>
          <w:p w14:paraId="3325B082" w14:textId="77777777" w:rsidR="00141DDB" w:rsidRPr="00F7245E" w:rsidRDefault="00141DDB" w:rsidP="00141DDB">
            <w:pPr>
              <w:pStyle w:val="TableParagraph"/>
              <w:ind w:left="100"/>
              <w:rPr>
                <w:lang w:val="hu-HU"/>
              </w:rPr>
            </w:pPr>
            <w:r w:rsidRPr="00F7245E">
              <w:rPr>
                <w:w w:val="105"/>
              </w:rPr>
              <w:t>Izomvérzés</w:t>
            </w:r>
          </w:p>
        </w:tc>
        <w:tc>
          <w:tcPr>
            <w:tcW w:w="1984" w:type="dxa"/>
          </w:tcPr>
          <w:p w14:paraId="47F1400C" w14:textId="77777777" w:rsidR="00141DDB" w:rsidRPr="00F7245E" w:rsidRDefault="00141DDB" w:rsidP="00141DDB">
            <w:pPr>
              <w:pStyle w:val="TableParagraph"/>
              <w:ind w:left="338" w:right="301"/>
              <w:jc w:val="center"/>
              <w:rPr>
                <w:lang w:val="hu-HU"/>
              </w:rPr>
            </w:pPr>
            <w:r w:rsidRPr="00F7245E">
              <w:rPr>
                <w:w w:val="105"/>
              </w:rPr>
              <w:t>Ritka</w:t>
            </w:r>
          </w:p>
        </w:tc>
        <w:tc>
          <w:tcPr>
            <w:tcW w:w="1985" w:type="dxa"/>
          </w:tcPr>
          <w:p w14:paraId="0D32D784" w14:textId="77777777" w:rsidR="00141DDB" w:rsidRPr="00F7245E" w:rsidRDefault="00141DDB" w:rsidP="00141DDB">
            <w:pPr>
              <w:pStyle w:val="TableParagraph"/>
              <w:ind w:left="374" w:right="371"/>
              <w:jc w:val="center"/>
              <w:rPr>
                <w:lang w:val="hu-HU"/>
              </w:rPr>
            </w:pPr>
            <w:r w:rsidRPr="00F7245E">
              <w:rPr>
                <w:w w:val="105"/>
              </w:rPr>
              <w:t>Ritka</w:t>
            </w:r>
          </w:p>
        </w:tc>
        <w:tc>
          <w:tcPr>
            <w:tcW w:w="1842" w:type="dxa"/>
          </w:tcPr>
          <w:p w14:paraId="72829D8B" w14:textId="77777777" w:rsidR="00141DDB" w:rsidRPr="00F7245E" w:rsidRDefault="00141DDB" w:rsidP="00141DDB">
            <w:pPr>
              <w:pStyle w:val="TableParagraph"/>
              <w:ind w:left="143" w:right="137"/>
              <w:jc w:val="center"/>
              <w:rPr>
                <w:lang w:val="hu-HU"/>
              </w:rPr>
            </w:pPr>
            <w:r w:rsidRPr="00F7245E">
              <w:rPr>
                <w:w w:val="105"/>
              </w:rPr>
              <w:t>Nem gyakori</w:t>
            </w:r>
          </w:p>
        </w:tc>
        <w:tc>
          <w:tcPr>
            <w:tcW w:w="1276" w:type="dxa"/>
          </w:tcPr>
          <w:p w14:paraId="3EA0A92B" w14:textId="5B069163" w:rsidR="00141DDB" w:rsidRPr="00F7245E" w:rsidRDefault="00141DDB" w:rsidP="00141DDB">
            <w:pPr>
              <w:pStyle w:val="TableParagraph"/>
              <w:ind w:left="143" w:right="137"/>
              <w:jc w:val="center"/>
              <w:rPr>
                <w:w w:val="105"/>
              </w:rPr>
            </w:pPr>
            <w:r w:rsidRPr="00F7245E">
              <w:t>Nem ismert</w:t>
            </w:r>
          </w:p>
        </w:tc>
      </w:tr>
      <w:tr w:rsidR="00141DDB" w:rsidRPr="00F7245E" w14:paraId="602DB672" w14:textId="3486B1BC" w:rsidTr="00141DDB">
        <w:trPr>
          <w:trHeight w:val="403"/>
        </w:trPr>
        <w:tc>
          <w:tcPr>
            <w:tcW w:w="9072" w:type="dxa"/>
            <w:gridSpan w:val="4"/>
          </w:tcPr>
          <w:p w14:paraId="763EBEE1" w14:textId="1506F09A" w:rsidR="00141DDB" w:rsidRPr="00F7245E" w:rsidRDefault="00141DDB" w:rsidP="00141DDB">
            <w:pPr>
              <w:pStyle w:val="TableParagraph"/>
              <w:ind w:firstLine="142"/>
              <w:rPr>
                <w:lang w:val="hu-HU"/>
              </w:rPr>
            </w:pPr>
            <w:r w:rsidRPr="00F7245E">
              <w:rPr>
                <w:i/>
                <w:w w:val="105"/>
              </w:rPr>
              <w:t>Vese- és húgyúti betegségek és tünetek</w:t>
            </w:r>
          </w:p>
        </w:tc>
        <w:tc>
          <w:tcPr>
            <w:tcW w:w="1276" w:type="dxa"/>
          </w:tcPr>
          <w:p w14:paraId="2E5D4E58" w14:textId="77777777" w:rsidR="00141DDB" w:rsidRPr="00F7245E" w:rsidRDefault="00141DDB" w:rsidP="00141DDB">
            <w:pPr>
              <w:pStyle w:val="TableParagraph"/>
              <w:ind w:firstLine="142"/>
              <w:rPr>
                <w:i/>
                <w:w w:val="105"/>
              </w:rPr>
            </w:pPr>
          </w:p>
        </w:tc>
      </w:tr>
      <w:tr w:rsidR="00141DDB" w:rsidRPr="00F7245E" w14:paraId="08B15DCB" w14:textId="4C933FAA" w:rsidTr="00141DDB">
        <w:trPr>
          <w:trHeight w:val="423"/>
        </w:trPr>
        <w:tc>
          <w:tcPr>
            <w:tcW w:w="3261" w:type="dxa"/>
          </w:tcPr>
          <w:p w14:paraId="54BD253B" w14:textId="77777777" w:rsidR="00141DDB" w:rsidRPr="00F7245E" w:rsidRDefault="00141DDB" w:rsidP="00141DDB">
            <w:pPr>
              <w:pStyle w:val="TableParagraph"/>
              <w:ind w:left="100"/>
              <w:rPr>
                <w:lang w:val="hu-HU"/>
              </w:rPr>
            </w:pPr>
            <w:r w:rsidRPr="00F7245E">
              <w:rPr>
                <w:w w:val="105"/>
              </w:rPr>
              <w:t>Haematuria</w:t>
            </w:r>
          </w:p>
        </w:tc>
        <w:tc>
          <w:tcPr>
            <w:tcW w:w="1984" w:type="dxa"/>
          </w:tcPr>
          <w:p w14:paraId="774A1EE6" w14:textId="77777777" w:rsidR="00141DDB" w:rsidRPr="00F7245E" w:rsidRDefault="00141DDB" w:rsidP="00141DDB">
            <w:pPr>
              <w:pStyle w:val="TableParagraph"/>
              <w:ind w:right="343"/>
              <w:jc w:val="center"/>
              <w:rPr>
                <w:lang w:val="hu-HU"/>
              </w:rPr>
            </w:pPr>
            <w:r w:rsidRPr="00F7245E">
              <w:rPr>
                <w:w w:val="105"/>
              </w:rPr>
              <w:t>Nem gyakori</w:t>
            </w:r>
          </w:p>
        </w:tc>
        <w:tc>
          <w:tcPr>
            <w:tcW w:w="1985" w:type="dxa"/>
          </w:tcPr>
          <w:p w14:paraId="71904EEB" w14:textId="77777777" w:rsidR="00141DDB" w:rsidRPr="00F7245E" w:rsidRDefault="00141DDB" w:rsidP="00141DDB">
            <w:pPr>
              <w:pStyle w:val="TableParagraph"/>
              <w:ind w:left="372" w:right="371"/>
              <w:jc w:val="center"/>
              <w:rPr>
                <w:lang w:val="hu-HU"/>
              </w:rPr>
            </w:pPr>
            <w:r w:rsidRPr="00F7245E">
              <w:rPr>
                <w:w w:val="105"/>
              </w:rPr>
              <w:t>Gyakori</w:t>
            </w:r>
          </w:p>
        </w:tc>
        <w:tc>
          <w:tcPr>
            <w:tcW w:w="1842" w:type="dxa"/>
          </w:tcPr>
          <w:p w14:paraId="483086D4" w14:textId="77777777" w:rsidR="00141DDB" w:rsidRPr="00F7245E" w:rsidRDefault="00141DDB" w:rsidP="00141DDB">
            <w:pPr>
              <w:pStyle w:val="TableParagraph"/>
              <w:ind w:left="142" w:right="138"/>
              <w:jc w:val="center"/>
              <w:rPr>
                <w:lang w:val="hu-HU"/>
              </w:rPr>
            </w:pPr>
            <w:r w:rsidRPr="00F7245E">
              <w:rPr>
                <w:w w:val="105"/>
              </w:rPr>
              <w:t>Gyakori</w:t>
            </w:r>
          </w:p>
        </w:tc>
        <w:tc>
          <w:tcPr>
            <w:tcW w:w="1276" w:type="dxa"/>
          </w:tcPr>
          <w:p w14:paraId="47FE315A" w14:textId="26E7D24C" w:rsidR="00141DDB" w:rsidRPr="00F7245E" w:rsidRDefault="001F3456" w:rsidP="00141DDB">
            <w:pPr>
              <w:pStyle w:val="TableParagraph"/>
              <w:ind w:left="142" w:right="138"/>
              <w:jc w:val="center"/>
              <w:rPr>
                <w:w w:val="105"/>
              </w:rPr>
            </w:pPr>
            <w:r w:rsidRPr="00F7245E">
              <w:t>Gyakori</w:t>
            </w:r>
          </w:p>
        </w:tc>
      </w:tr>
      <w:tr w:rsidR="00141DDB" w:rsidRPr="00F7245E" w14:paraId="07AFC6A5" w14:textId="7DB8264E" w:rsidTr="00141DDB">
        <w:trPr>
          <w:trHeight w:val="423"/>
        </w:trPr>
        <w:tc>
          <w:tcPr>
            <w:tcW w:w="3261" w:type="dxa"/>
          </w:tcPr>
          <w:p w14:paraId="7121E988" w14:textId="57662981" w:rsidR="00141DDB" w:rsidRPr="00F7245E" w:rsidRDefault="00141DDB" w:rsidP="00141DDB">
            <w:pPr>
              <w:pStyle w:val="TableParagraph"/>
              <w:ind w:left="100"/>
              <w:rPr>
                <w:w w:val="105"/>
              </w:rPr>
            </w:pPr>
            <w:r w:rsidRPr="00F7245E">
              <w:rPr>
                <w:w w:val="105"/>
              </w:rPr>
              <w:t>Antikoagulánssal kapcsolatos nephropathia</w:t>
            </w:r>
          </w:p>
        </w:tc>
        <w:tc>
          <w:tcPr>
            <w:tcW w:w="1984" w:type="dxa"/>
          </w:tcPr>
          <w:p w14:paraId="3D08F141" w14:textId="6805C6BD" w:rsidR="00141DDB" w:rsidRPr="00F7245E" w:rsidRDefault="00141DDB" w:rsidP="00141DDB">
            <w:pPr>
              <w:pStyle w:val="TableParagraph"/>
              <w:ind w:right="343"/>
              <w:jc w:val="center"/>
              <w:rPr>
                <w:w w:val="105"/>
              </w:rPr>
            </w:pPr>
            <w:r w:rsidRPr="00F7245E">
              <w:rPr>
                <w:w w:val="105"/>
              </w:rPr>
              <w:t>Nem ismert</w:t>
            </w:r>
          </w:p>
        </w:tc>
        <w:tc>
          <w:tcPr>
            <w:tcW w:w="1985" w:type="dxa"/>
          </w:tcPr>
          <w:p w14:paraId="1B1C255B" w14:textId="6F5197A7" w:rsidR="00141DDB" w:rsidRPr="00F7245E" w:rsidRDefault="00141DDB" w:rsidP="00141DDB">
            <w:pPr>
              <w:pStyle w:val="TableParagraph"/>
              <w:ind w:left="372" w:right="371"/>
              <w:jc w:val="center"/>
              <w:rPr>
                <w:w w:val="105"/>
              </w:rPr>
            </w:pPr>
            <w:r w:rsidRPr="00F7245E">
              <w:rPr>
                <w:w w:val="105"/>
              </w:rPr>
              <w:t>Nem ismert</w:t>
            </w:r>
          </w:p>
        </w:tc>
        <w:tc>
          <w:tcPr>
            <w:tcW w:w="1842" w:type="dxa"/>
          </w:tcPr>
          <w:p w14:paraId="21D1C643" w14:textId="05EF9036" w:rsidR="00141DDB" w:rsidRPr="00F7245E" w:rsidRDefault="00141DDB" w:rsidP="00141DDB">
            <w:pPr>
              <w:pStyle w:val="TableParagraph"/>
              <w:ind w:left="142" w:right="138"/>
              <w:jc w:val="center"/>
              <w:rPr>
                <w:w w:val="105"/>
              </w:rPr>
            </w:pPr>
            <w:r w:rsidRPr="00F7245E">
              <w:rPr>
                <w:w w:val="105"/>
              </w:rPr>
              <w:t>Nem ismert</w:t>
            </w:r>
          </w:p>
        </w:tc>
        <w:tc>
          <w:tcPr>
            <w:tcW w:w="1276" w:type="dxa"/>
          </w:tcPr>
          <w:p w14:paraId="1CA26BA9" w14:textId="4D0E2519" w:rsidR="00141DDB" w:rsidRPr="00F7245E" w:rsidRDefault="001F3456" w:rsidP="00141DDB">
            <w:pPr>
              <w:pStyle w:val="TableParagraph"/>
              <w:ind w:left="142" w:right="138"/>
              <w:jc w:val="center"/>
              <w:rPr>
                <w:w w:val="105"/>
              </w:rPr>
            </w:pPr>
            <w:r w:rsidRPr="00F7245E">
              <w:t>Nem ismert</w:t>
            </w:r>
          </w:p>
        </w:tc>
      </w:tr>
      <w:tr w:rsidR="00141DDB" w:rsidRPr="00F7245E" w14:paraId="0B8EA1B5" w14:textId="1E08E679" w:rsidTr="00141DDB">
        <w:trPr>
          <w:trHeight w:val="401"/>
        </w:trPr>
        <w:tc>
          <w:tcPr>
            <w:tcW w:w="7230" w:type="dxa"/>
            <w:gridSpan w:val="3"/>
          </w:tcPr>
          <w:p w14:paraId="1767E201" w14:textId="6811851E" w:rsidR="00141DDB" w:rsidRPr="00F7245E" w:rsidRDefault="00141DDB" w:rsidP="00141DDB">
            <w:pPr>
              <w:pStyle w:val="TableParagraph"/>
              <w:ind w:left="100"/>
              <w:rPr>
                <w:i/>
                <w:lang w:val="hu-HU"/>
              </w:rPr>
            </w:pPr>
            <w:r w:rsidRPr="00F7245E">
              <w:rPr>
                <w:i/>
                <w:w w:val="105"/>
              </w:rPr>
              <w:t>A nemi szervekkel és az emlőkkel kapcsolatos betegségek és tünetek</w:t>
            </w:r>
          </w:p>
        </w:tc>
        <w:tc>
          <w:tcPr>
            <w:tcW w:w="1842" w:type="dxa"/>
          </w:tcPr>
          <w:p w14:paraId="07560F1E" w14:textId="77777777" w:rsidR="00141DDB" w:rsidRPr="00F7245E" w:rsidRDefault="00141DDB" w:rsidP="00141DDB">
            <w:pPr>
              <w:pStyle w:val="TableParagraph"/>
              <w:rPr>
                <w:lang w:val="hu-HU"/>
              </w:rPr>
            </w:pPr>
          </w:p>
        </w:tc>
        <w:tc>
          <w:tcPr>
            <w:tcW w:w="1276" w:type="dxa"/>
          </w:tcPr>
          <w:p w14:paraId="567E6CA6" w14:textId="77777777" w:rsidR="00141DDB" w:rsidRPr="00F7245E" w:rsidRDefault="00141DDB" w:rsidP="00141DDB">
            <w:pPr>
              <w:pStyle w:val="TableParagraph"/>
            </w:pPr>
          </w:p>
        </w:tc>
      </w:tr>
      <w:tr w:rsidR="00141DDB" w:rsidRPr="00F7245E" w14:paraId="3D8AC077" w14:textId="4B1AFB17" w:rsidTr="00141DDB">
        <w:trPr>
          <w:trHeight w:val="563"/>
        </w:trPr>
        <w:tc>
          <w:tcPr>
            <w:tcW w:w="3261" w:type="dxa"/>
          </w:tcPr>
          <w:p w14:paraId="79DE4BE1" w14:textId="032CC05F" w:rsidR="00141DDB" w:rsidRPr="00F7245E" w:rsidRDefault="00141DDB" w:rsidP="00141DDB">
            <w:pPr>
              <w:pStyle w:val="TableParagraph"/>
              <w:ind w:left="100"/>
              <w:rPr>
                <w:lang w:val="hu-HU"/>
              </w:rPr>
            </w:pPr>
            <w:r w:rsidRPr="00F7245E">
              <w:rPr>
                <w:w w:val="105"/>
              </w:rPr>
              <w:t>Kóros hüvelyi vérzés, urogenitalis vérzés</w:t>
            </w:r>
          </w:p>
        </w:tc>
        <w:tc>
          <w:tcPr>
            <w:tcW w:w="1984" w:type="dxa"/>
          </w:tcPr>
          <w:p w14:paraId="6012009B" w14:textId="77777777" w:rsidR="00141DDB" w:rsidRPr="00F7245E" w:rsidRDefault="00141DDB" w:rsidP="00141DDB">
            <w:pPr>
              <w:pStyle w:val="TableParagraph"/>
              <w:ind w:right="342"/>
              <w:jc w:val="center"/>
              <w:rPr>
                <w:lang w:val="hu-HU"/>
              </w:rPr>
            </w:pPr>
            <w:r w:rsidRPr="00F7245E">
              <w:rPr>
                <w:w w:val="105"/>
              </w:rPr>
              <w:t>Nem gyakori</w:t>
            </w:r>
          </w:p>
        </w:tc>
        <w:tc>
          <w:tcPr>
            <w:tcW w:w="1985" w:type="dxa"/>
          </w:tcPr>
          <w:p w14:paraId="2DAE1C8B" w14:textId="77777777" w:rsidR="00141DDB" w:rsidRPr="00F7245E" w:rsidRDefault="00141DDB" w:rsidP="00141DDB">
            <w:pPr>
              <w:pStyle w:val="TableParagraph"/>
              <w:ind w:left="376" w:right="371"/>
              <w:jc w:val="center"/>
              <w:rPr>
                <w:lang w:val="hu-HU"/>
              </w:rPr>
            </w:pPr>
            <w:r w:rsidRPr="00F7245E">
              <w:rPr>
                <w:w w:val="105"/>
              </w:rPr>
              <w:t>Nem gyakori</w:t>
            </w:r>
          </w:p>
        </w:tc>
        <w:tc>
          <w:tcPr>
            <w:tcW w:w="1842" w:type="dxa"/>
          </w:tcPr>
          <w:p w14:paraId="0B89B8FF" w14:textId="77777777" w:rsidR="00141DDB" w:rsidRPr="00F7245E" w:rsidRDefault="00141DDB" w:rsidP="00141DDB">
            <w:pPr>
              <w:pStyle w:val="TableParagraph"/>
              <w:ind w:left="142" w:right="138"/>
              <w:jc w:val="center"/>
              <w:rPr>
                <w:lang w:val="hu-HU"/>
              </w:rPr>
            </w:pPr>
            <w:r w:rsidRPr="00F7245E">
              <w:rPr>
                <w:w w:val="105"/>
              </w:rPr>
              <w:t>Gyakori</w:t>
            </w:r>
          </w:p>
        </w:tc>
        <w:tc>
          <w:tcPr>
            <w:tcW w:w="1276" w:type="dxa"/>
          </w:tcPr>
          <w:p w14:paraId="651F7293" w14:textId="5F1C2FDC" w:rsidR="00141DDB" w:rsidRPr="00F7245E" w:rsidRDefault="001F3456" w:rsidP="00141DDB">
            <w:pPr>
              <w:pStyle w:val="TableParagraph"/>
              <w:ind w:left="142" w:right="138"/>
              <w:jc w:val="center"/>
              <w:rPr>
                <w:w w:val="105"/>
              </w:rPr>
            </w:pPr>
            <w:r w:rsidRPr="00F7245E">
              <w:t>Nagyon gyakori</w:t>
            </w:r>
            <w:r w:rsidRPr="00F7245E">
              <w:rPr>
                <w:vertAlign w:val="superscript"/>
                <w:lang w:val="sv-SE" w:eastAsia="en-GB"/>
              </w:rPr>
              <w:t>§</w:t>
            </w:r>
          </w:p>
        </w:tc>
      </w:tr>
      <w:tr w:rsidR="00141DDB" w:rsidRPr="00F7245E" w14:paraId="02E1C9B6" w14:textId="027B6DB6" w:rsidTr="00141DDB">
        <w:trPr>
          <w:trHeight w:val="415"/>
        </w:trPr>
        <w:tc>
          <w:tcPr>
            <w:tcW w:w="9072" w:type="dxa"/>
            <w:gridSpan w:val="4"/>
          </w:tcPr>
          <w:p w14:paraId="03AC450E" w14:textId="70F08591" w:rsidR="00141DDB" w:rsidRPr="00F7245E" w:rsidRDefault="00141DDB" w:rsidP="00141DDB">
            <w:pPr>
              <w:pStyle w:val="TableParagraph"/>
              <w:ind w:firstLine="142"/>
              <w:rPr>
                <w:lang w:val="hu-HU"/>
              </w:rPr>
            </w:pPr>
            <w:r w:rsidRPr="00F7245E">
              <w:rPr>
                <w:i/>
                <w:w w:val="105"/>
              </w:rPr>
              <w:t>Általános tünetek, az alkalmazás helyén fellépő reakciók</w:t>
            </w:r>
          </w:p>
        </w:tc>
        <w:tc>
          <w:tcPr>
            <w:tcW w:w="1276" w:type="dxa"/>
          </w:tcPr>
          <w:p w14:paraId="542C9FB4" w14:textId="77777777" w:rsidR="00141DDB" w:rsidRPr="00F7245E" w:rsidRDefault="00141DDB" w:rsidP="00141DDB">
            <w:pPr>
              <w:pStyle w:val="TableParagraph"/>
              <w:ind w:firstLine="142"/>
              <w:rPr>
                <w:i/>
                <w:w w:val="105"/>
              </w:rPr>
            </w:pPr>
          </w:p>
        </w:tc>
      </w:tr>
      <w:tr w:rsidR="00141DDB" w:rsidRPr="00F7245E" w14:paraId="5BA18D8B" w14:textId="4EF7AC43" w:rsidTr="00141DDB">
        <w:trPr>
          <w:trHeight w:val="457"/>
        </w:trPr>
        <w:tc>
          <w:tcPr>
            <w:tcW w:w="3261" w:type="dxa"/>
          </w:tcPr>
          <w:p w14:paraId="2B03F142" w14:textId="77777777" w:rsidR="00141DDB" w:rsidRPr="00F7245E" w:rsidRDefault="00141DDB" w:rsidP="00141DDB">
            <w:pPr>
              <w:pStyle w:val="TableParagraph"/>
              <w:ind w:left="100" w:right="281"/>
              <w:rPr>
                <w:lang w:val="hu-HU"/>
              </w:rPr>
            </w:pPr>
            <w:r w:rsidRPr="00F7245E">
              <w:rPr>
                <w:w w:val="105"/>
              </w:rPr>
              <w:t>Az alkalmazás helyén jelentkező vérzés</w:t>
            </w:r>
          </w:p>
        </w:tc>
        <w:tc>
          <w:tcPr>
            <w:tcW w:w="1984" w:type="dxa"/>
          </w:tcPr>
          <w:p w14:paraId="514B35EA" w14:textId="77777777" w:rsidR="00141DDB" w:rsidRPr="00F7245E" w:rsidRDefault="00141DDB" w:rsidP="00141DDB">
            <w:pPr>
              <w:pStyle w:val="TableParagraph"/>
              <w:ind w:right="402"/>
              <w:jc w:val="center"/>
              <w:rPr>
                <w:lang w:val="hu-HU"/>
              </w:rPr>
            </w:pPr>
            <w:r w:rsidRPr="00F7245E">
              <w:rPr>
                <w:w w:val="105"/>
              </w:rPr>
              <w:t>Nem ismert</w:t>
            </w:r>
          </w:p>
        </w:tc>
        <w:tc>
          <w:tcPr>
            <w:tcW w:w="1985" w:type="dxa"/>
          </w:tcPr>
          <w:p w14:paraId="4D6020AF" w14:textId="77777777" w:rsidR="00141DDB" w:rsidRPr="00F7245E" w:rsidRDefault="00141DDB" w:rsidP="00141DDB">
            <w:pPr>
              <w:pStyle w:val="TableParagraph"/>
              <w:ind w:left="373" w:right="371"/>
              <w:jc w:val="center"/>
              <w:rPr>
                <w:lang w:val="hu-HU"/>
              </w:rPr>
            </w:pPr>
            <w:r w:rsidRPr="00F7245E">
              <w:rPr>
                <w:w w:val="105"/>
              </w:rPr>
              <w:t>Nem gyakori</w:t>
            </w:r>
          </w:p>
        </w:tc>
        <w:tc>
          <w:tcPr>
            <w:tcW w:w="1842" w:type="dxa"/>
          </w:tcPr>
          <w:p w14:paraId="7BD2A8C5" w14:textId="77777777" w:rsidR="00141DDB" w:rsidRPr="00F7245E" w:rsidRDefault="00141DDB" w:rsidP="00141DDB">
            <w:pPr>
              <w:pStyle w:val="TableParagraph"/>
              <w:ind w:left="141" w:right="138"/>
              <w:jc w:val="center"/>
              <w:rPr>
                <w:lang w:val="hu-HU"/>
              </w:rPr>
            </w:pPr>
            <w:r w:rsidRPr="00F7245E">
              <w:rPr>
                <w:w w:val="105"/>
              </w:rPr>
              <w:t>Nem gyakori</w:t>
            </w:r>
          </w:p>
        </w:tc>
        <w:tc>
          <w:tcPr>
            <w:tcW w:w="1276" w:type="dxa"/>
          </w:tcPr>
          <w:p w14:paraId="0E985817" w14:textId="1F45581D" w:rsidR="00141DDB" w:rsidRPr="00F7245E" w:rsidRDefault="001F3456" w:rsidP="00141DDB">
            <w:pPr>
              <w:pStyle w:val="TableParagraph"/>
              <w:ind w:left="141" w:right="138"/>
              <w:jc w:val="center"/>
              <w:rPr>
                <w:w w:val="105"/>
              </w:rPr>
            </w:pPr>
            <w:r w:rsidRPr="00F7245E">
              <w:t>Nem ismert</w:t>
            </w:r>
          </w:p>
        </w:tc>
      </w:tr>
      <w:tr w:rsidR="00141DDB" w:rsidRPr="00F7245E" w14:paraId="6290F7D6" w14:textId="0578245B" w:rsidTr="00141DDB">
        <w:trPr>
          <w:trHeight w:val="372"/>
        </w:trPr>
        <w:tc>
          <w:tcPr>
            <w:tcW w:w="9072" w:type="dxa"/>
            <w:gridSpan w:val="4"/>
          </w:tcPr>
          <w:p w14:paraId="617F0FE0" w14:textId="5DC63E0B" w:rsidR="00141DDB" w:rsidRPr="00F7245E" w:rsidRDefault="00141DDB" w:rsidP="00141DDB">
            <w:pPr>
              <w:pStyle w:val="TableParagraph"/>
              <w:ind w:firstLine="142"/>
              <w:rPr>
                <w:lang w:val="hu-HU"/>
              </w:rPr>
            </w:pPr>
            <w:r w:rsidRPr="00F7245E">
              <w:rPr>
                <w:i/>
                <w:w w:val="105"/>
              </w:rPr>
              <w:t>Laboratóriumi és egyéb vizsgálatok eredményei</w:t>
            </w:r>
          </w:p>
        </w:tc>
        <w:tc>
          <w:tcPr>
            <w:tcW w:w="1276" w:type="dxa"/>
          </w:tcPr>
          <w:p w14:paraId="6D175ACC" w14:textId="77777777" w:rsidR="00141DDB" w:rsidRPr="00F7245E" w:rsidRDefault="00141DDB" w:rsidP="00141DDB">
            <w:pPr>
              <w:pStyle w:val="TableParagraph"/>
              <w:ind w:firstLine="142"/>
              <w:rPr>
                <w:i/>
                <w:w w:val="105"/>
              </w:rPr>
            </w:pPr>
          </w:p>
        </w:tc>
      </w:tr>
      <w:tr w:rsidR="00141DDB" w:rsidRPr="00F7245E" w14:paraId="27EFDDD1" w14:textId="3403369A" w:rsidTr="00141DDB">
        <w:trPr>
          <w:trHeight w:val="419"/>
        </w:trPr>
        <w:tc>
          <w:tcPr>
            <w:tcW w:w="3261" w:type="dxa"/>
          </w:tcPr>
          <w:p w14:paraId="6E80C96C" w14:textId="77777777" w:rsidR="00141DDB" w:rsidRPr="00F7245E" w:rsidRDefault="00141DDB" w:rsidP="00141DDB">
            <w:pPr>
              <w:pStyle w:val="TableParagraph"/>
              <w:ind w:left="100"/>
              <w:rPr>
                <w:lang w:val="hu-HU"/>
              </w:rPr>
            </w:pPr>
            <w:r w:rsidRPr="00F7245E">
              <w:rPr>
                <w:w w:val="105"/>
              </w:rPr>
              <w:t>Occult vér pozitivitás</w:t>
            </w:r>
          </w:p>
        </w:tc>
        <w:tc>
          <w:tcPr>
            <w:tcW w:w="1984" w:type="dxa"/>
          </w:tcPr>
          <w:p w14:paraId="5DBC17AA" w14:textId="77777777" w:rsidR="00141DDB" w:rsidRPr="00F7245E" w:rsidRDefault="00141DDB" w:rsidP="00141DDB">
            <w:pPr>
              <w:pStyle w:val="TableParagraph"/>
              <w:ind w:right="402"/>
              <w:jc w:val="center"/>
              <w:rPr>
                <w:lang w:val="hu-HU"/>
              </w:rPr>
            </w:pPr>
            <w:r w:rsidRPr="00F7245E">
              <w:rPr>
                <w:w w:val="105"/>
              </w:rPr>
              <w:t>Nem ismert</w:t>
            </w:r>
          </w:p>
        </w:tc>
        <w:tc>
          <w:tcPr>
            <w:tcW w:w="1985" w:type="dxa"/>
          </w:tcPr>
          <w:p w14:paraId="13E4B019" w14:textId="77777777" w:rsidR="00141DDB" w:rsidRPr="00F7245E" w:rsidRDefault="00141DDB" w:rsidP="00141DDB">
            <w:pPr>
              <w:pStyle w:val="TableParagraph"/>
              <w:ind w:left="373" w:right="371"/>
              <w:jc w:val="center"/>
              <w:rPr>
                <w:lang w:val="hu-HU"/>
              </w:rPr>
            </w:pPr>
            <w:r w:rsidRPr="00F7245E">
              <w:rPr>
                <w:w w:val="105"/>
              </w:rPr>
              <w:t>Nem gyakori</w:t>
            </w:r>
          </w:p>
        </w:tc>
        <w:tc>
          <w:tcPr>
            <w:tcW w:w="1842" w:type="dxa"/>
          </w:tcPr>
          <w:p w14:paraId="474472AB" w14:textId="77777777" w:rsidR="00141DDB" w:rsidRPr="00F7245E" w:rsidRDefault="00141DDB" w:rsidP="00141DDB">
            <w:pPr>
              <w:pStyle w:val="TableParagraph"/>
              <w:ind w:left="141" w:right="138"/>
              <w:jc w:val="center"/>
              <w:rPr>
                <w:lang w:val="hu-HU"/>
              </w:rPr>
            </w:pPr>
            <w:r w:rsidRPr="00F7245E">
              <w:rPr>
                <w:w w:val="105"/>
              </w:rPr>
              <w:t>Nem gyakori</w:t>
            </w:r>
          </w:p>
        </w:tc>
        <w:tc>
          <w:tcPr>
            <w:tcW w:w="1276" w:type="dxa"/>
          </w:tcPr>
          <w:p w14:paraId="7A527A66" w14:textId="5A012771" w:rsidR="00141DDB" w:rsidRPr="00F7245E" w:rsidRDefault="001F3456" w:rsidP="00141DDB">
            <w:pPr>
              <w:pStyle w:val="TableParagraph"/>
              <w:ind w:left="141" w:right="138"/>
              <w:jc w:val="center"/>
              <w:rPr>
                <w:w w:val="105"/>
              </w:rPr>
            </w:pPr>
            <w:r w:rsidRPr="00F7245E">
              <w:t>Nem ismert</w:t>
            </w:r>
          </w:p>
        </w:tc>
      </w:tr>
      <w:tr w:rsidR="00141DDB" w:rsidRPr="00F7245E" w14:paraId="65452EC7" w14:textId="492E8DB2" w:rsidTr="00141DDB">
        <w:trPr>
          <w:trHeight w:val="411"/>
        </w:trPr>
        <w:tc>
          <w:tcPr>
            <w:tcW w:w="9072" w:type="dxa"/>
            <w:gridSpan w:val="4"/>
          </w:tcPr>
          <w:p w14:paraId="5C773BFD" w14:textId="44857753" w:rsidR="00141DDB" w:rsidRPr="00F7245E" w:rsidRDefault="00141DDB" w:rsidP="00141DDB">
            <w:pPr>
              <w:pStyle w:val="TableParagraph"/>
              <w:ind w:firstLine="142"/>
              <w:rPr>
                <w:lang w:val="hu-HU"/>
              </w:rPr>
            </w:pPr>
            <w:r w:rsidRPr="00F7245E">
              <w:rPr>
                <w:i/>
                <w:w w:val="105"/>
              </w:rPr>
              <w:t>Sérülés, mérgezés és a beavatkozással kapcsolatos szövődmények</w:t>
            </w:r>
          </w:p>
        </w:tc>
        <w:tc>
          <w:tcPr>
            <w:tcW w:w="1276" w:type="dxa"/>
          </w:tcPr>
          <w:p w14:paraId="19FEBC35" w14:textId="77777777" w:rsidR="00141DDB" w:rsidRPr="00F7245E" w:rsidRDefault="00141DDB" w:rsidP="00141DDB">
            <w:pPr>
              <w:pStyle w:val="TableParagraph"/>
              <w:ind w:firstLine="142"/>
              <w:rPr>
                <w:i/>
                <w:w w:val="105"/>
              </w:rPr>
            </w:pPr>
          </w:p>
        </w:tc>
      </w:tr>
      <w:tr w:rsidR="00141DDB" w:rsidRPr="00F7245E" w14:paraId="310516B7" w14:textId="5C870F39" w:rsidTr="00141DDB">
        <w:trPr>
          <w:trHeight w:val="409"/>
        </w:trPr>
        <w:tc>
          <w:tcPr>
            <w:tcW w:w="3261" w:type="dxa"/>
          </w:tcPr>
          <w:p w14:paraId="2A206847" w14:textId="77777777" w:rsidR="00141DDB" w:rsidRPr="00F7245E" w:rsidRDefault="00141DDB" w:rsidP="00141DDB">
            <w:pPr>
              <w:pStyle w:val="TableParagraph"/>
              <w:ind w:left="100"/>
              <w:rPr>
                <w:lang w:val="hu-HU"/>
              </w:rPr>
            </w:pPr>
            <w:r w:rsidRPr="00F7245E">
              <w:rPr>
                <w:w w:val="105"/>
              </w:rPr>
              <w:t>Suffusio</w:t>
            </w:r>
          </w:p>
        </w:tc>
        <w:tc>
          <w:tcPr>
            <w:tcW w:w="1984" w:type="dxa"/>
          </w:tcPr>
          <w:p w14:paraId="384D396B" w14:textId="77777777" w:rsidR="00141DDB" w:rsidRPr="00F7245E" w:rsidRDefault="00141DDB" w:rsidP="00141DDB">
            <w:pPr>
              <w:pStyle w:val="TableParagraph"/>
              <w:ind w:left="587"/>
              <w:jc w:val="center"/>
              <w:rPr>
                <w:lang w:val="hu-HU"/>
              </w:rPr>
            </w:pPr>
            <w:r w:rsidRPr="00F7245E">
              <w:rPr>
                <w:w w:val="105"/>
              </w:rPr>
              <w:t>Gyakori</w:t>
            </w:r>
          </w:p>
        </w:tc>
        <w:tc>
          <w:tcPr>
            <w:tcW w:w="1985" w:type="dxa"/>
          </w:tcPr>
          <w:p w14:paraId="05A09E9B" w14:textId="77777777" w:rsidR="00141DDB" w:rsidRPr="00F7245E" w:rsidRDefault="00141DDB" w:rsidP="00141DDB">
            <w:pPr>
              <w:pStyle w:val="TableParagraph"/>
              <w:ind w:left="372" w:right="371"/>
              <w:jc w:val="center"/>
              <w:rPr>
                <w:lang w:val="hu-HU"/>
              </w:rPr>
            </w:pPr>
            <w:r w:rsidRPr="00F7245E">
              <w:rPr>
                <w:w w:val="105"/>
              </w:rPr>
              <w:t>Gyakori</w:t>
            </w:r>
          </w:p>
        </w:tc>
        <w:tc>
          <w:tcPr>
            <w:tcW w:w="1842" w:type="dxa"/>
          </w:tcPr>
          <w:p w14:paraId="7DF166E3" w14:textId="77777777" w:rsidR="00141DDB" w:rsidRPr="00F7245E" w:rsidRDefault="00141DDB" w:rsidP="00141DDB">
            <w:pPr>
              <w:pStyle w:val="TableParagraph"/>
              <w:ind w:left="142" w:right="138"/>
              <w:jc w:val="center"/>
              <w:rPr>
                <w:lang w:val="hu-HU"/>
              </w:rPr>
            </w:pPr>
            <w:r w:rsidRPr="00F7245E">
              <w:rPr>
                <w:w w:val="105"/>
              </w:rPr>
              <w:t>Gyakori</w:t>
            </w:r>
          </w:p>
        </w:tc>
        <w:tc>
          <w:tcPr>
            <w:tcW w:w="1276" w:type="dxa"/>
          </w:tcPr>
          <w:p w14:paraId="445FF2F8" w14:textId="3F51ED23" w:rsidR="00141DDB" w:rsidRPr="00F7245E" w:rsidRDefault="001F3456" w:rsidP="00141DDB">
            <w:pPr>
              <w:pStyle w:val="TableParagraph"/>
              <w:ind w:left="142" w:right="138"/>
              <w:jc w:val="center"/>
              <w:rPr>
                <w:w w:val="105"/>
              </w:rPr>
            </w:pPr>
            <w:r w:rsidRPr="00F7245E">
              <w:t>Gyakori</w:t>
            </w:r>
          </w:p>
        </w:tc>
      </w:tr>
      <w:tr w:rsidR="00141DDB" w:rsidRPr="00F7245E" w14:paraId="6030C5A1" w14:textId="2FF8F833" w:rsidTr="00141DDB">
        <w:trPr>
          <w:trHeight w:val="2396"/>
        </w:trPr>
        <w:tc>
          <w:tcPr>
            <w:tcW w:w="3261" w:type="dxa"/>
          </w:tcPr>
          <w:p w14:paraId="2B4534E3" w14:textId="77777777" w:rsidR="00141DDB" w:rsidRPr="00F7245E" w:rsidRDefault="00141DDB" w:rsidP="00141DDB">
            <w:pPr>
              <w:pStyle w:val="TableParagraph"/>
              <w:ind w:left="100" w:right="77"/>
              <w:rPr>
                <w:lang w:val="hu-HU"/>
              </w:rPr>
            </w:pPr>
            <w:r w:rsidRPr="00F7245E">
              <w:rPr>
                <w:w w:val="105"/>
              </w:rPr>
              <w:t>Beavatkozás utáni vérzés (beleértve a beavatkozás utáni haematomát, a sebvérzést, a haematomát az érpunkció helyén és a vérzést a katéter bevezetésének a helyén is), sebváladékozás, vérzés az incisio helyén (beleértve a haematomát az incisio helyén), intraoperatív vérzés</w:t>
            </w:r>
          </w:p>
        </w:tc>
        <w:tc>
          <w:tcPr>
            <w:tcW w:w="1984" w:type="dxa"/>
          </w:tcPr>
          <w:p w14:paraId="190AAA1B" w14:textId="77777777" w:rsidR="00141DDB" w:rsidRPr="00F7245E" w:rsidRDefault="00141DDB" w:rsidP="00141DDB">
            <w:pPr>
              <w:pStyle w:val="TableParagraph"/>
              <w:ind w:right="342"/>
              <w:jc w:val="center"/>
              <w:rPr>
                <w:lang w:val="hu-HU"/>
              </w:rPr>
            </w:pPr>
            <w:r w:rsidRPr="00F7245E">
              <w:rPr>
                <w:w w:val="105"/>
              </w:rPr>
              <w:t>Nem gyakori</w:t>
            </w:r>
          </w:p>
        </w:tc>
        <w:tc>
          <w:tcPr>
            <w:tcW w:w="1985" w:type="dxa"/>
          </w:tcPr>
          <w:p w14:paraId="492C85C8" w14:textId="77777777" w:rsidR="00141DDB" w:rsidRPr="00F7245E" w:rsidRDefault="00141DDB" w:rsidP="00141DDB">
            <w:pPr>
              <w:pStyle w:val="TableParagraph"/>
              <w:ind w:left="376" w:right="371"/>
              <w:jc w:val="center"/>
              <w:rPr>
                <w:lang w:val="hu-HU"/>
              </w:rPr>
            </w:pPr>
            <w:r w:rsidRPr="00F7245E">
              <w:rPr>
                <w:w w:val="105"/>
              </w:rPr>
              <w:t>Nem gyakori</w:t>
            </w:r>
          </w:p>
        </w:tc>
        <w:tc>
          <w:tcPr>
            <w:tcW w:w="1842" w:type="dxa"/>
          </w:tcPr>
          <w:p w14:paraId="4C15176E" w14:textId="77777777" w:rsidR="00141DDB" w:rsidRPr="00F7245E" w:rsidRDefault="00141DDB" w:rsidP="00141DDB">
            <w:pPr>
              <w:pStyle w:val="TableParagraph"/>
              <w:ind w:left="142" w:right="138"/>
              <w:jc w:val="center"/>
              <w:rPr>
                <w:lang w:val="hu-HU"/>
              </w:rPr>
            </w:pPr>
            <w:r w:rsidRPr="00F7245E">
              <w:rPr>
                <w:w w:val="105"/>
              </w:rPr>
              <w:t>Nem gyakori</w:t>
            </w:r>
          </w:p>
        </w:tc>
        <w:tc>
          <w:tcPr>
            <w:tcW w:w="1276" w:type="dxa"/>
          </w:tcPr>
          <w:p w14:paraId="7D5689C6" w14:textId="30BB756B" w:rsidR="00141DDB" w:rsidRPr="00F7245E" w:rsidRDefault="001F3456" w:rsidP="00141DDB">
            <w:pPr>
              <w:pStyle w:val="TableParagraph"/>
              <w:ind w:left="142" w:right="138"/>
              <w:jc w:val="center"/>
              <w:rPr>
                <w:w w:val="105"/>
              </w:rPr>
            </w:pPr>
            <w:r w:rsidRPr="00F7245E">
              <w:t>Gyakori</w:t>
            </w:r>
          </w:p>
        </w:tc>
      </w:tr>
      <w:tr w:rsidR="00141DDB" w:rsidRPr="00F7245E" w14:paraId="03AE9687" w14:textId="7BF07B8B" w:rsidTr="00141DDB">
        <w:trPr>
          <w:trHeight w:val="417"/>
        </w:trPr>
        <w:tc>
          <w:tcPr>
            <w:tcW w:w="3261" w:type="dxa"/>
          </w:tcPr>
          <w:p w14:paraId="4A1A9631" w14:textId="77777777" w:rsidR="00141DDB" w:rsidRPr="00F7245E" w:rsidRDefault="00141DDB" w:rsidP="00141DDB">
            <w:pPr>
              <w:pStyle w:val="TableParagraph"/>
              <w:ind w:left="100"/>
              <w:rPr>
                <w:lang w:val="hu-HU"/>
              </w:rPr>
            </w:pPr>
            <w:r w:rsidRPr="00F7245E">
              <w:rPr>
                <w:w w:val="105"/>
              </w:rPr>
              <w:t>Traumás vérzés</w:t>
            </w:r>
          </w:p>
        </w:tc>
        <w:tc>
          <w:tcPr>
            <w:tcW w:w="1984" w:type="dxa"/>
          </w:tcPr>
          <w:p w14:paraId="7900B46F" w14:textId="77777777" w:rsidR="00141DDB" w:rsidRPr="00F7245E" w:rsidRDefault="00141DDB" w:rsidP="00141DDB">
            <w:pPr>
              <w:pStyle w:val="TableParagraph"/>
              <w:ind w:right="402"/>
              <w:jc w:val="center"/>
              <w:rPr>
                <w:lang w:val="hu-HU"/>
              </w:rPr>
            </w:pPr>
            <w:r w:rsidRPr="00F7245E">
              <w:rPr>
                <w:w w:val="105"/>
              </w:rPr>
              <w:t>Nem ismert</w:t>
            </w:r>
          </w:p>
        </w:tc>
        <w:tc>
          <w:tcPr>
            <w:tcW w:w="1985" w:type="dxa"/>
          </w:tcPr>
          <w:p w14:paraId="2B16EFFA" w14:textId="77777777" w:rsidR="00141DDB" w:rsidRPr="00F7245E" w:rsidRDefault="00141DDB" w:rsidP="00141DDB">
            <w:pPr>
              <w:pStyle w:val="TableParagraph"/>
              <w:ind w:left="373" w:right="371"/>
              <w:jc w:val="center"/>
              <w:rPr>
                <w:lang w:val="hu-HU"/>
              </w:rPr>
            </w:pPr>
            <w:r w:rsidRPr="00F7245E">
              <w:rPr>
                <w:w w:val="105"/>
              </w:rPr>
              <w:t>Nem gyakori</w:t>
            </w:r>
          </w:p>
        </w:tc>
        <w:tc>
          <w:tcPr>
            <w:tcW w:w="1842" w:type="dxa"/>
          </w:tcPr>
          <w:p w14:paraId="2A0101CB" w14:textId="77777777" w:rsidR="00141DDB" w:rsidRPr="00F7245E" w:rsidRDefault="00141DDB" w:rsidP="00141DDB">
            <w:pPr>
              <w:pStyle w:val="TableParagraph"/>
              <w:ind w:left="141" w:right="138"/>
              <w:jc w:val="center"/>
              <w:rPr>
                <w:lang w:val="hu-HU"/>
              </w:rPr>
            </w:pPr>
            <w:r w:rsidRPr="00F7245E">
              <w:rPr>
                <w:w w:val="105"/>
              </w:rPr>
              <w:t>Nem gyakori</w:t>
            </w:r>
          </w:p>
        </w:tc>
        <w:tc>
          <w:tcPr>
            <w:tcW w:w="1276" w:type="dxa"/>
          </w:tcPr>
          <w:p w14:paraId="53C08532" w14:textId="11CF088E" w:rsidR="00141DDB" w:rsidRPr="00F7245E" w:rsidRDefault="001F3456" w:rsidP="00141DDB">
            <w:pPr>
              <w:pStyle w:val="TableParagraph"/>
              <w:ind w:left="141" w:right="138"/>
              <w:jc w:val="center"/>
              <w:rPr>
                <w:w w:val="105"/>
              </w:rPr>
            </w:pPr>
            <w:r w:rsidRPr="00F7245E">
              <w:t>Nem ismert</w:t>
            </w:r>
          </w:p>
        </w:tc>
      </w:tr>
    </w:tbl>
    <w:p w14:paraId="5BD15AFC" w14:textId="7AA17B7A" w:rsidR="00CA21AA" w:rsidRPr="00F7245E" w:rsidRDefault="00EB26D3" w:rsidP="00A21724">
      <w:pPr>
        <w:pStyle w:val="Nincstrkz"/>
        <w:rPr>
          <w:rFonts w:cs="Times New Roman"/>
          <w:sz w:val="20"/>
        </w:rPr>
      </w:pPr>
      <w:r w:rsidRPr="00F7245E">
        <w:rPr>
          <w:rFonts w:cs="Times New Roman"/>
          <w:sz w:val="20"/>
        </w:rPr>
        <w:t>*</w:t>
      </w:r>
      <w:r w:rsidR="00CA21AA" w:rsidRPr="00F7245E">
        <w:rPr>
          <w:rFonts w:cs="Times New Roman"/>
          <w:sz w:val="20"/>
        </w:rPr>
        <w:t>A CV185057 vizsgálatban (VTE hosszú távú megelőzése) nem fordult elő egész testre kiterjedő</w:t>
      </w:r>
      <w:r w:rsidR="00CA21AA" w:rsidRPr="00F7245E">
        <w:rPr>
          <w:rFonts w:cs="Times New Roman"/>
          <w:spacing w:val="-22"/>
          <w:sz w:val="20"/>
        </w:rPr>
        <w:t xml:space="preserve"> </w:t>
      </w:r>
      <w:r w:rsidR="00CA21AA" w:rsidRPr="00F7245E">
        <w:rPr>
          <w:rFonts w:cs="Times New Roman"/>
          <w:sz w:val="20"/>
        </w:rPr>
        <w:t>pruritus.</w:t>
      </w:r>
    </w:p>
    <w:p w14:paraId="099C5A41" w14:textId="7175E887" w:rsidR="00CA21AA" w:rsidRPr="00F7245E" w:rsidRDefault="00134AB9" w:rsidP="00A21724">
      <w:pPr>
        <w:pStyle w:val="Nincstrkz"/>
        <w:rPr>
          <w:rFonts w:cs="Times New Roman"/>
          <w:sz w:val="20"/>
        </w:rPr>
      </w:pPr>
      <w:r w:rsidRPr="00F7245E">
        <w:rPr>
          <w:rFonts w:cs="Times New Roman"/>
          <w:sz w:val="20"/>
        </w:rPr>
        <w:t>†</w:t>
      </w:r>
      <w:r w:rsidR="00CA21AA" w:rsidRPr="00F7245E">
        <w:rPr>
          <w:rFonts w:cs="Times New Roman"/>
          <w:sz w:val="20"/>
        </w:rPr>
        <w:t>Az „</w:t>
      </w:r>
      <w:r w:rsidR="00D73F6B" w:rsidRPr="00F7245E">
        <w:rPr>
          <w:rFonts w:cs="Times New Roman"/>
          <w:sz w:val="20"/>
        </w:rPr>
        <w:t>a</w:t>
      </w:r>
      <w:r w:rsidR="00CA21AA" w:rsidRPr="00F7245E">
        <w:rPr>
          <w:rFonts w:cs="Times New Roman"/>
          <w:sz w:val="20"/>
        </w:rPr>
        <w:t>gyvérzés” kifejezés minden intracranialis és intraspinalis vérzést magába foglal (azaz a haemorrhagiás stroke-ot, illetve a putamen, cerebellum vérzéseit és az intraventricularis és subduralis vérzéseket).</w:t>
      </w:r>
    </w:p>
    <w:p w14:paraId="532D5922" w14:textId="77777777" w:rsidR="001F3456" w:rsidRPr="00F7245E" w:rsidRDefault="001F3456" w:rsidP="001F3456">
      <w:pPr>
        <w:rPr>
          <w:sz w:val="28"/>
          <w:szCs w:val="24"/>
          <w:lang w:eastAsia="en-GB"/>
        </w:rPr>
      </w:pPr>
      <w:r w:rsidRPr="00F7245E">
        <w:rPr>
          <w:rFonts w:eastAsia="MS Mincho"/>
          <w:sz w:val="18"/>
          <w:szCs w:val="18"/>
          <w:lang w:eastAsia="en-GB"/>
        </w:rPr>
        <w:t>‡ Magában foglalja az anaphylaxiás reakciót, a gyógyszer-túlérzékenységet és a túlérzékenységet.</w:t>
      </w:r>
    </w:p>
    <w:p w14:paraId="0DC13D87" w14:textId="77777777" w:rsidR="001F3456" w:rsidRPr="00F7245E" w:rsidRDefault="001F3456" w:rsidP="001F3456">
      <w:pPr>
        <w:rPr>
          <w:rFonts w:eastAsia="MS Mincho"/>
          <w:sz w:val="18"/>
          <w:szCs w:val="18"/>
          <w:lang w:eastAsia="en-GB"/>
        </w:rPr>
      </w:pPr>
      <w:r w:rsidRPr="00F7245E">
        <w:rPr>
          <w:rFonts w:eastAsia="MS Mincho"/>
          <w:sz w:val="18"/>
          <w:szCs w:val="18"/>
          <w:lang w:eastAsia="en-GB"/>
        </w:rPr>
        <w:t>§ Magában foglalja az erős menstruációs vérzést, a menstruációs vérzések közötti vérzést és a hüvelyi vérzést.</w:t>
      </w:r>
    </w:p>
    <w:p w14:paraId="47C99A53" w14:textId="77777777" w:rsidR="001F3456" w:rsidRPr="00F7245E" w:rsidRDefault="001F3456" w:rsidP="00A21724">
      <w:pPr>
        <w:pStyle w:val="Nincstrkz"/>
        <w:rPr>
          <w:rFonts w:cs="Times New Roman"/>
          <w:sz w:val="20"/>
        </w:rPr>
      </w:pPr>
    </w:p>
    <w:p w14:paraId="4E3F27E2" w14:textId="77777777" w:rsidR="00CA21AA" w:rsidRPr="00F7245E" w:rsidRDefault="00CA21AA" w:rsidP="00A21724">
      <w:pPr>
        <w:pStyle w:val="Nincstrkz"/>
        <w:rPr>
          <w:rFonts w:cs="Times New Roman"/>
        </w:rPr>
      </w:pPr>
    </w:p>
    <w:p w14:paraId="6927BBD7" w14:textId="77777777" w:rsidR="009A6370" w:rsidRPr="00F7245E" w:rsidRDefault="009A6370" w:rsidP="009A6370">
      <w:pPr>
        <w:rPr>
          <w:rFonts w:eastAsiaTheme="minorHAnsi"/>
          <w:lang w:eastAsia="en-US" w:bidi="ar-SA"/>
        </w:rPr>
      </w:pPr>
      <w:r w:rsidRPr="00F7245E">
        <w:rPr>
          <w:rFonts w:eastAsiaTheme="minorHAnsi"/>
          <w:lang w:eastAsia="en-US" w:bidi="ar-SA"/>
        </w:rPr>
        <w:t>Az apixabán alkalmazása összefüggésben állhat bármely szövetből vagy szervből származó occult vagy nyilvánvaló vérzés fokozott kockázatával, ami posthaemorrhagiás anaemia kialakulását eredményezheti. A jelek és a tünetek, valamint azok súlyossága a vérzés helyétől, mértékétől és kiterjedtségétől függően változhatnak (lásd 4.4 és 5.1 pont).</w:t>
      </w:r>
    </w:p>
    <w:p w14:paraId="589A9400" w14:textId="2F3E5FB6" w:rsidR="00B62AE4" w:rsidRPr="00F7245E" w:rsidRDefault="00B62AE4" w:rsidP="00A21724">
      <w:pPr>
        <w:pStyle w:val="Nincstrkz"/>
        <w:rPr>
          <w:rFonts w:cs="Times New Roman"/>
        </w:rPr>
      </w:pPr>
    </w:p>
    <w:p w14:paraId="11F4DDD2" w14:textId="77777777" w:rsidR="001F3456" w:rsidRPr="00F7245E" w:rsidRDefault="001F3456" w:rsidP="001F3456">
      <w:pPr>
        <w:keepNext/>
        <w:adjustRightInd w:val="0"/>
        <w:rPr>
          <w:szCs w:val="24"/>
          <w:u w:val="single"/>
          <w:lang w:eastAsia="en-GB"/>
        </w:rPr>
      </w:pPr>
      <w:r w:rsidRPr="00F7245E">
        <w:rPr>
          <w:szCs w:val="24"/>
          <w:u w:val="single"/>
          <w:lang w:eastAsia="en-GB"/>
        </w:rPr>
        <w:t>Gyermekek és serdülők</w:t>
      </w:r>
    </w:p>
    <w:p w14:paraId="79EE6D6B" w14:textId="77777777" w:rsidR="001F3456" w:rsidRPr="00F7245E" w:rsidRDefault="001F3456" w:rsidP="001F3456">
      <w:pPr>
        <w:keepNext/>
        <w:adjustRightInd w:val="0"/>
        <w:rPr>
          <w:iCs/>
          <w:noProof/>
          <w:u w:val="single"/>
          <w:lang w:eastAsia="en-GB"/>
        </w:rPr>
      </w:pPr>
    </w:p>
    <w:p w14:paraId="4AE8A18C" w14:textId="77777777" w:rsidR="001F3456" w:rsidRPr="00F7245E" w:rsidRDefault="001F3456" w:rsidP="001F3456">
      <w:pPr>
        <w:keepNext/>
        <w:rPr>
          <w:sz w:val="24"/>
          <w:szCs w:val="24"/>
          <w:lang w:eastAsia="en-GB"/>
        </w:rPr>
      </w:pPr>
      <w:r w:rsidRPr="00F7245E">
        <w:rPr>
          <w:szCs w:val="24"/>
          <w:lang w:eastAsia="en-GB"/>
        </w:rPr>
        <w:t>Az apixabán biztonságosságát 1, I. fázisú és 3, II/III. fázisú klinikai vizsgálatban, 970 beteg bevonásával vizsgálták. Közülük 568 beteg kapott egy vagy több dózis apixabánt összesen átlagosan 1, 24, 331 és 80 nap expozícióval (lásd 5.1 pont). A betegek testtömeg alapján korrigált dózisban és életkornak megfelelő gyógyszerformában kapták az apixabánt.</w:t>
      </w:r>
    </w:p>
    <w:p w14:paraId="598A657A" w14:textId="77777777" w:rsidR="001F3456" w:rsidRPr="00F7245E" w:rsidRDefault="001F3456" w:rsidP="001F3456">
      <w:pPr>
        <w:adjustRightInd w:val="0"/>
        <w:rPr>
          <w:rFonts w:eastAsia="MS Mincho"/>
          <w:lang w:eastAsia="en-GB"/>
        </w:rPr>
      </w:pPr>
    </w:p>
    <w:p w14:paraId="2D63EF8F" w14:textId="77777777" w:rsidR="001F3456" w:rsidRPr="00F7245E" w:rsidRDefault="001F3456" w:rsidP="001F3456">
      <w:pPr>
        <w:rPr>
          <w:sz w:val="24"/>
          <w:szCs w:val="24"/>
          <w:lang w:eastAsia="en-GB"/>
        </w:rPr>
      </w:pPr>
      <w:r w:rsidRPr="00F7245E">
        <w:rPr>
          <w:szCs w:val="24"/>
          <w:lang w:eastAsia="en-GB"/>
        </w:rPr>
        <w:t>Összességében az apixabán biztonságossági profilja a gyermekeknél és serdülőknél (28 napos kortól betöltött 18 éves életkorig) hasonló volt a felnőttekéhez, és általánosan konzisztens volt a különböző gyermekgyógyászati korcsoportokban.</w:t>
      </w:r>
    </w:p>
    <w:p w14:paraId="6DEA0C8D" w14:textId="77777777" w:rsidR="001F3456" w:rsidRPr="00F7245E" w:rsidRDefault="001F3456" w:rsidP="001F3456">
      <w:pPr>
        <w:adjustRightInd w:val="0"/>
        <w:rPr>
          <w:rFonts w:eastAsia="MS Mincho"/>
          <w:lang w:eastAsia="en-GB"/>
        </w:rPr>
      </w:pPr>
    </w:p>
    <w:p w14:paraId="46F061A0" w14:textId="77777777" w:rsidR="001F3456" w:rsidRPr="00F7245E" w:rsidRDefault="001F3456" w:rsidP="001F3456">
      <w:pPr>
        <w:adjustRightInd w:val="0"/>
        <w:rPr>
          <w:rFonts w:eastAsia="MS Mincho"/>
          <w:lang w:eastAsia="en-GB"/>
        </w:rPr>
      </w:pPr>
      <w:r w:rsidRPr="00F7245E">
        <w:rPr>
          <w:szCs w:val="24"/>
          <w:lang w:eastAsia="en-GB"/>
        </w:rPr>
        <w:t>Gyermekeknél és serdülőknél a leggyakrabban jelentett mellékhatás az epistaxis és a kóros hüvelyi vérzés volt (a mellékhatásprofilt és az indikációk szerinti gyakoriságokat lásd a 3. táblázatban).</w:t>
      </w:r>
    </w:p>
    <w:p w14:paraId="0EDE2041" w14:textId="77777777" w:rsidR="001F3456" w:rsidRPr="00F7245E" w:rsidRDefault="001F3456" w:rsidP="001F3456">
      <w:pPr>
        <w:pStyle w:val="BMSBodyText"/>
        <w:spacing w:before="0" w:after="0" w:line="240" w:lineRule="auto"/>
        <w:jc w:val="left"/>
        <w:rPr>
          <w:sz w:val="22"/>
          <w:szCs w:val="22"/>
        </w:rPr>
      </w:pPr>
    </w:p>
    <w:p w14:paraId="7A880B04" w14:textId="77777777" w:rsidR="001F3456" w:rsidRPr="00F7245E" w:rsidRDefault="001F3456" w:rsidP="001F3456">
      <w:pPr>
        <w:rPr>
          <w:szCs w:val="24"/>
          <w:lang w:eastAsia="en-GB"/>
        </w:rPr>
      </w:pPr>
      <w:r w:rsidRPr="00F7245E">
        <w:rPr>
          <w:szCs w:val="24"/>
          <w:lang w:eastAsia="en-GB"/>
        </w:rPr>
        <w:t xml:space="preserve">Gyermekeknél és serdülőknél az epistaxist (nagyon gyakori), kóros hüvelyi vérzést (nagyon gyakori), túlérzékenységet és anaphylaxiát (gyakori), pruritust (gyakori), hypotoniát (gyakori), haematocheziát (gyakori), emelkedett </w:t>
      </w:r>
      <w:r w:rsidRPr="00F7245E">
        <w:t>glutamát-oxálacetát-transzamináz</w:t>
      </w:r>
      <w:r w:rsidRPr="00F7245E">
        <w:rPr>
          <w:szCs w:val="24"/>
          <w:lang w:eastAsia="en-GB"/>
        </w:rPr>
        <w:t>szintet (gyakori), alopeciát (gyakori)</w:t>
      </w:r>
      <w:bookmarkStart w:id="7" w:name="OLE_LINK200"/>
      <w:r w:rsidRPr="00F7245E">
        <w:rPr>
          <w:szCs w:val="24"/>
          <w:lang w:eastAsia="en-GB"/>
        </w:rPr>
        <w:t xml:space="preserve"> </w:t>
      </w:r>
      <w:bookmarkEnd w:id="7"/>
      <w:r w:rsidRPr="00F7245E">
        <w:rPr>
          <w:szCs w:val="24"/>
          <w:lang w:eastAsia="en-GB"/>
        </w:rPr>
        <w:t>és beavatkozás utáni vérzést (gyakori) gyakrabban jelentették, mint az apixabánnal kezelt felnőtteknél, de azonos gyakorisági kategóriával, mint a szokásos ellátás szerinti kezelést kapó karra beosztott gyermekeknél és serdülőknél; az egyetlen kivételt a kóros hüvelyi vérzés jelentette, amelyet gyakoriként jelentettek a szokásos ellátás szerinti kezelést alkalmazó karon. Emelkedett máj transzamináz szinteket – egy eset kivételével – olyan gyermekeknél és serdülőknél jelentettek, akik egyidejűleg</w:t>
      </w:r>
      <w:r w:rsidRPr="00F7245E" w:rsidDel="00AD2675">
        <w:rPr>
          <w:szCs w:val="24"/>
          <w:lang w:eastAsia="en-GB"/>
        </w:rPr>
        <w:t xml:space="preserve"> </w:t>
      </w:r>
      <w:r w:rsidRPr="00F7245E">
        <w:rPr>
          <w:szCs w:val="24"/>
          <w:lang w:eastAsia="en-GB"/>
        </w:rPr>
        <w:t>kemoterápiát kaptak</w:t>
      </w:r>
      <w:r w:rsidRPr="00F7245E" w:rsidDel="00AD2675">
        <w:rPr>
          <w:szCs w:val="24"/>
          <w:lang w:eastAsia="en-GB"/>
        </w:rPr>
        <w:t xml:space="preserve"> </w:t>
      </w:r>
      <w:r w:rsidRPr="00F7245E">
        <w:rPr>
          <w:szCs w:val="24"/>
          <w:lang w:eastAsia="en-GB"/>
        </w:rPr>
        <w:t>malignus alapbetegség miatt.</w:t>
      </w:r>
    </w:p>
    <w:p w14:paraId="236086A2" w14:textId="77777777" w:rsidR="001F3456" w:rsidRPr="00F7245E" w:rsidRDefault="001F3456" w:rsidP="00A21724">
      <w:pPr>
        <w:pStyle w:val="Nincstrkz"/>
        <w:rPr>
          <w:rFonts w:cs="Times New Roman"/>
        </w:rPr>
      </w:pPr>
    </w:p>
    <w:p w14:paraId="6D3514DF" w14:textId="77777777" w:rsidR="00134AB9" w:rsidRPr="00F7245E" w:rsidRDefault="00134AB9" w:rsidP="00A21724">
      <w:pPr>
        <w:pStyle w:val="Nincstrkz"/>
        <w:widowControl w:val="0"/>
        <w:rPr>
          <w:rFonts w:cs="Times New Roman"/>
        </w:rPr>
      </w:pPr>
      <w:r w:rsidRPr="00F7245E">
        <w:rPr>
          <w:rFonts w:cs="Times New Roman"/>
          <w:u w:val="single"/>
        </w:rPr>
        <w:t>Feltételezett mellékhatások bejelentése</w:t>
      </w:r>
    </w:p>
    <w:p w14:paraId="286E9058" w14:textId="77777777" w:rsidR="00134AB9" w:rsidRPr="00F7245E" w:rsidRDefault="00134AB9" w:rsidP="00A21724">
      <w:pPr>
        <w:pStyle w:val="Nincstrkz"/>
        <w:widowControl w:val="0"/>
        <w:rPr>
          <w:rFonts w:cs="Times New Roman"/>
        </w:rPr>
      </w:pPr>
      <w:r w:rsidRPr="00F7245E">
        <w:rPr>
          <w:rFonts w:cs="Times New Roman"/>
        </w:rPr>
        <w:t>A gyógyszer engedélyezését követően lényeges a feltételezett mellékhatások bejelentése, mert ez fontos eszköze annak, hogy a gyógyszer előny/kockázat profilját folyamatosan figyelemmel lehessen kísérni.</w:t>
      </w:r>
    </w:p>
    <w:p w14:paraId="34A45803" w14:textId="16BBA763" w:rsidR="00134AB9" w:rsidRPr="00F7245E" w:rsidRDefault="00134AB9" w:rsidP="00A21724">
      <w:pPr>
        <w:pStyle w:val="Nincstrkz"/>
        <w:rPr>
          <w:rFonts w:cs="Times New Roman"/>
        </w:rPr>
      </w:pPr>
      <w:r w:rsidRPr="00F7245E">
        <w:rPr>
          <w:rFonts w:cs="Times New Roman"/>
        </w:rPr>
        <w:t xml:space="preserve">Az egészségügyi szakembereket kérjük, hogy jelentsék be a feltételezett mellékhatásokat a hatóság részére az </w:t>
      </w:r>
      <w:hyperlink r:id="rId9">
        <w:r w:rsidRPr="00F7245E">
          <w:rPr>
            <w:rFonts w:cs="Times New Roman"/>
            <w:color w:val="0000FF"/>
            <w:u w:val="single" w:color="0000FF"/>
            <w:shd w:val="clear" w:color="auto" w:fill="C0C0C0"/>
          </w:rPr>
          <w:t>V. függelékbe</w:t>
        </w:r>
      </w:hyperlink>
      <w:r w:rsidRPr="00F7245E">
        <w:rPr>
          <w:rFonts w:cs="Times New Roman"/>
          <w:color w:val="0000FF"/>
          <w:u w:val="single" w:color="0000FF"/>
          <w:shd w:val="clear" w:color="auto" w:fill="C0C0C0"/>
        </w:rPr>
        <w:t xml:space="preserve">n </w:t>
      </w:r>
      <w:r w:rsidRPr="00F7245E">
        <w:rPr>
          <w:rFonts w:cs="Times New Roman"/>
          <w:shd w:val="clear" w:color="auto" w:fill="C0C0C0"/>
        </w:rPr>
        <w:t>található elérhetőségek valamelyikén keresztül</w:t>
      </w:r>
      <w:r w:rsidRPr="00F7245E">
        <w:rPr>
          <w:rFonts w:cs="Times New Roman"/>
        </w:rPr>
        <w:t>.</w:t>
      </w:r>
    </w:p>
    <w:p w14:paraId="1FD12EFA" w14:textId="77777777" w:rsidR="00134AB9" w:rsidRPr="00F7245E" w:rsidRDefault="00134AB9" w:rsidP="00A21724">
      <w:pPr>
        <w:pStyle w:val="Nincstrkz"/>
        <w:rPr>
          <w:rFonts w:cs="Times New Roman"/>
        </w:rPr>
      </w:pPr>
    </w:p>
    <w:p w14:paraId="76FADA13" w14:textId="366F5C76" w:rsidR="00B62AE4" w:rsidRPr="00F7245E" w:rsidRDefault="00134AB9" w:rsidP="00A21724">
      <w:pPr>
        <w:pStyle w:val="Nincstrkz"/>
        <w:tabs>
          <w:tab w:val="left" w:pos="567"/>
        </w:tabs>
        <w:rPr>
          <w:rFonts w:cs="Times New Roman"/>
          <w:b/>
          <w:bCs/>
        </w:rPr>
      </w:pPr>
      <w:r w:rsidRPr="00F7245E">
        <w:rPr>
          <w:rFonts w:cs="Times New Roman"/>
          <w:b/>
          <w:bCs/>
          <w:w w:val="105"/>
        </w:rPr>
        <w:t xml:space="preserve">4.9 </w:t>
      </w:r>
      <w:r w:rsidRPr="00F7245E">
        <w:rPr>
          <w:rFonts w:cs="Times New Roman"/>
          <w:b/>
          <w:bCs/>
          <w:w w:val="105"/>
        </w:rPr>
        <w:tab/>
      </w:r>
      <w:r w:rsidR="00B62AE4" w:rsidRPr="00F7245E">
        <w:rPr>
          <w:rFonts w:cs="Times New Roman"/>
          <w:b/>
          <w:bCs/>
          <w:w w:val="105"/>
        </w:rPr>
        <w:t>Túladagolás</w:t>
      </w:r>
    </w:p>
    <w:p w14:paraId="108D1273" w14:textId="77777777" w:rsidR="00B62AE4" w:rsidRPr="00F7245E" w:rsidRDefault="00B62AE4" w:rsidP="00A21724">
      <w:pPr>
        <w:pStyle w:val="Nincstrkz"/>
        <w:rPr>
          <w:rFonts w:cs="Times New Roman"/>
        </w:rPr>
      </w:pPr>
    </w:p>
    <w:p w14:paraId="20165E0E" w14:textId="77777777" w:rsidR="007A5E8C" w:rsidRPr="007A5E8C" w:rsidRDefault="007A5E8C" w:rsidP="007A5E8C">
      <w:pPr>
        <w:keepNext/>
        <w:widowControl/>
        <w:suppressAutoHyphens/>
        <w:adjustRightInd w:val="0"/>
        <w:rPr>
          <w:lang w:eastAsia="zh-CN" w:bidi="ar-SA"/>
        </w:rPr>
      </w:pPr>
      <w:r w:rsidRPr="007A5E8C">
        <w:rPr>
          <w:lang w:eastAsia="zh-CN" w:bidi="ar-SA"/>
        </w:rPr>
        <w:t>Az apixabán túladagolása a vérzés kockázatának növekedését eredményezheti. Vérzéses szövődmények esetén a kezelést le kell állítani, és ki kell deríteni a vérzés forrását. Mérlegelni kell a megfelelő kezelés elkezdését, pl. sebészi vérzéscsillapítást, friss fagyasztott plazma transzfúzióját vagy a Xa faktor-gátló hatás reverzióját biztosító szer adását (lásd 4.4 pont).</w:t>
      </w:r>
    </w:p>
    <w:p w14:paraId="1522F590" w14:textId="77777777" w:rsidR="007A5E8C" w:rsidRPr="007A5E8C" w:rsidRDefault="007A5E8C" w:rsidP="007A5E8C">
      <w:pPr>
        <w:widowControl/>
        <w:suppressAutoHyphens/>
        <w:adjustRightInd w:val="0"/>
        <w:rPr>
          <w:lang w:eastAsia="zh-CN" w:bidi="ar-SA"/>
        </w:rPr>
      </w:pPr>
    </w:p>
    <w:p w14:paraId="79334ACF" w14:textId="77777777" w:rsidR="007A5E8C" w:rsidRPr="007A5E8C" w:rsidRDefault="007A5E8C" w:rsidP="007A5E8C">
      <w:pPr>
        <w:widowControl/>
        <w:suppressAutoHyphens/>
        <w:adjustRightInd w:val="0"/>
        <w:rPr>
          <w:lang w:eastAsia="zh-CN" w:bidi="ar-SA"/>
        </w:rPr>
      </w:pPr>
      <w:r w:rsidRPr="007A5E8C">
        <w:rPr>
          <w:lang w:eastAsia="zh-CN" w:bidi="ar-SA"/>
        </w:rPr>
        <w:t>Egészséges felnőtt egyénekkel végzett kontrollos klinikai vizsgálatokban, amelyekben naponta maximum 50 mg apixabánt adtak szájon át 3</w:t>
      </w:r>
      <w:r w:rsidRPr="007A5E8C">
        <w:rPr>
          <w:lang w:eastAsia="zh-CN" w:bidi="ar-SA"/>
        </w:rPr>
        <w:noBreakHyphen/>
        <w:t xml:space="preserve">7 napig (25 mg naponta kétszer 7 napon át vagy naponta egyszer 50 mg 3 napon át), klinikailag jelentős mellékhatás nem fordult elő. </w:t>
      </w:r>
    </w:p>
    <w:p w14:paraId="3FC9DB90" w14:textId="77777777" w:rsidR="007A5E8C" w:rsidRPr="007A5E8C" w:rsidRDefault="007A5E8C" w:rsidP="007A5E8C">
      <w:pPr>
        <w:widowControl/>
        <w:suppressAutoHyphens/>
        <w:adjustRightInd w:val="0"/>
        <w:rPr>
          <w:lang w:eastAsia="zh-CN" w:bidi="ar-SA"/>
        </w:rPr>
      </w:pPr>
    </w:p>
    <w:p w14:paraId="3DF90099" w14:textId="77777777" w:rsidR="007A5E8C" w:rsidRPr="007A5E8C" w:rsidRDefault="007A5E8C" w:rsidP="007A5E8C">
      <w:pPr>
        <w:widowControl/>
        <w:suppressAutoHyphens/>
        <w:autoSpaceDE/>
        <w:autoSpaceDN/>
        <w:rPr>
          <w:szCs w:val="20"/>
          <w:lang w:eastAsia="zh-CN" w:bidi="ar-SA"/>
        </w:rPr>
      </w:pPr>
      <w:r w:rsidRPr="007A5E8C">
        <w:rPr>
          <w:szCs w:val="20"/>
          <w:lang w:eastAsia="zh-CN" w:bidi="ar-SA"/>
        </w:rPr>
        <w:t>Egészséges felnőtt alanyoknál 2 és 6 órával egy 20 mg</w:t>
      </w:r>
      <w:r w:rsidRPr="007A5E8C">
        <w:rPr>
          <w:szCs w:val="20"/>
          <w:lang w:eastAsia="zh-CN" w:bidi="ar-SA"/>
        </w:rPr>
        <w:noBreakHyphen/>
        <w:t>os apixabán dózis bevétele után az orvosi szén adása az átlagos apixabán AUC</w:t>
      </w:r>
      <w:r w:rsidRPr="007A5E8C">
        <w:rPr>
          <w:szCs w:val="20"/>
          <w:lang w:eastAsia="zh-CN" w:bidi="ar-SA"/>
        </w:rPr>
        <w:noBreakHyphen/>
        <w:t>t sorrendben 50%</w:t>
      </w:r>
      <w:r w:rsidRPr="007A5E8C">
        <w:rPr>
          <w:szCs w:val="20"/>
          <w:lang w:eastAsia="zh-CN" w:bidi="ar-SA"/>
        </w:rPr>
        <w:noBreakHyphen/>
        <w:t>kal és 27%</w:t>
      </w:r>
      <w:r w:rsidRPr="007A5E8C">
        <w:rPr>
          <w:szCs w:val="20"/>
          <w:lang w:eastAsia="zh-CN" w:bidi="ar-SA"/>
        </w:rPr>
        <w:noBreakHyphen/>
        <w:t>kal csökkentette, és nem volt hatással a C</w:t>
      </w:r>
      <w:r w:rsidRPr="007A5E8C">
        <w:rPr>
          <w:szCs w:val="20"/>
          <w:vertAlign w:val="subscript"/>
          <w:lang w:eastAsia="zh-CN" w:bidi="ar-SA"/>
        </w:rPr>
        <w:t>max</w:t>
      </w:r>
      <w:r w:rsidRPr="007A5E8C">
        <w:rPr>
          <w:szCs w:val="20"/>
          <w:lang w:eastAsia="zh-CN" w:bidi="ar-SA"/>
        </w:rPr>
        <w:noBreakHyphen/>
        <w:t>ra. Az apixabán átlagos felezési ideje az önmagában adott apixabán esetén észlelt 13,4 óráról sorrendben 5,3 órára, illetve 4,9 órára csökkent, ha az orvosi szenet 2 és 6 órával az apixabán után adták. Így az orvosi szén alkalmazása az apixabán túladagolásának vagy véletlen lenyelésének kezelése esetén hasznos lehet.</w:t>
      </w:r>
    </w:p>
    <w:p w14:paraId="1498CCE5" w14:textId="77777777" w:rsidR="007A5E8C" w:rsidRPr="007A5E8C" w:rsidRDefault="007A5E8C" w:rsidP="007A5E8C">
      <w:pPr>
        <w:widowControl/>
        <w:adjustRightInd w:val="0"/>
        <w:rPr>
          <w:noProof/>
          <w:lang w:eastAsia="zh-CN" w:bidi="ar-SA"/>
        </w:rPr>
      </w:pPr>
    </w:p>
    <w:p w14:paraId="44F92277" w14:textId="77777777" w:rsidR="007A5E8C" w:rsidRPr="007A5E8C" w:rsidRDefault="007A5E8C" w:rsidP="007A5E8C">
      <w:pPr>
        <w:widowControl/>
        <w:adjustRightInd w:val="0"/>
        <w:rPr>
          <w:noProof/>
          <w:lang w:eastAsia="zh-CN" w:bidi="ar-SA"/>
        </w:rPr>
      </w:pPr>
      <w:r w:rsidRPr="007A5E8C">
        <w:rPr>
          <w:noProof/>
          <w:lang w:eastAsia="zh-CN" w:bidi="ar-SA"/>
        </w:rPr>
        <w:t>Az apixabán egyszeri, 5 mg-os adagjának szájon át történő alkalmazása esetén a haemodialysis 14%</w:t>
      </w:r>
      <w:r w:rsidRPr="007A5E8C">
        <w:rPr>
          <w:noProof/>
          <w:lang w:eastAsia="zh-CN" w:bidi="ar-SA"/>
        </w:rPr>
        <w:noBreakHyphen/>
        <w:t>kal csökkentette az apixabán AUC értékét végstádiumú vesebetegségben (ESRD) szenvedőknél. Ezért a haemodialysis valószínűleg nem hatékony módszer az apixabán-túladagolás kezelésére.</w:t>
      </w:r>
    </w:p>
    <w:p w14:paraId="24AC0EB1" w14:textId="77777777" w:rsidR="007A5E8C" w:rsidRPr="007A5E8C" w:rsidRDefault="007A5E8C" w:rsidP="007A5E8C">
      <w:pPr>
        <w:widowControl/>
        <w:suppressAutoHyphens/>
        <w:autoSpaceDE/>
        <w:autoSpaceDN/>
        <w:rPr>
          <w:lang w:eastAsia="zh-CN" w:bidi="ar-SA"/>
        </w:rPr>
      </w:pPr>
    </w:p>
    <w:p w14:paraId="77BC5F82" w14:textId="77777777" w:rsidR="007A5E8C" w:rsidRPr="007A5E8C" w:rsidRDefault="007A5E8C" w:rsidP="007A5E8C">
      <w:pPr>
        <w:keepNext/>
        <w:keepLines/>
        <w:adjustRightInd w:val="0"/>
        <w:rPr>
          <w:noProof/>
          <w:lang w:eastAsia="zh-CN" w:bidi="ar-SA"/>
        </w:rPr>
      </w:pPr>
      <w:r w:rsidRPr="007A5E8C">
        <w:rPr>
          <w:noProof/>
          <w:lang w:eastAsia="zh-CN" w:bidi="ar-SA"/>
        </w:rPr>
        <w:t>Ha életveszélyes vagy kontrollálatlan vérzés miatt szükség van az antikoagulálás felfüggesztésére, felnőttek számára rendelkezésre áll egy szer (andexanet</w:t>
      </w:r>
      <w:r w:rsidRPr="007A5E8C">
        <w:rPr>
          <w:noProof/>
          <w:lang w:eastAsia="zh-CN" w:bidi="ar-SA"/>
        </w:rPr>
        <w:noBreakHyphen/>
        <w:t xml:space="preserve">alfa) </w:t>
      </w:r>
      <w:r w:rsidRPr="007A5E8C">
        <w:rPr>
          <w:szCs w:val="20"/>
          <w:lang w:bidi="ar-SA"/>
        </w:rPr>
        <w:t>a Xa faktor</w:t>
      </w:r>
      <w:r w:rsidRPr="007A5E8C">
        <w:rPr>
          <w:szCs w:val="20"/>
          <w:lang w:bidi="ar-SA"/>
        </w:rPr>
        <w:noBreakHyphen/>
        <w:t xml:space="preserve">inhibitorok aktivitásának </w:t>
      </w:r>
      <w:r w:rsidRPr="007A5E8C">
        <w:rPr>
          <w:noProof/>
          <w:lang w:eastAsia="zh-CN" w:bidi="ar-SA"/>
        </w:rPr>
        <w:t>felfüggesztésére</w:t>
      </w:r>
      <w:r w:rsidRPr="007A5E8C" w:rsidDel="00BD0EC1">
        <w:rPr>
          <w:szCs w:val="20"/>
          <w:lang w:bidi="ar-SA"/>
        </w:rPr>
        <w:t xml:space="preserve"> </w:t>
      </w:r>
      <w:r w:rsidRPr="007A5E8C">
        <w:rPr>
          <w:noProof/>
          <w:lang w:eastAsia="zh-CN" w:bidi="ar-SA"/>
        </w:rPr>
        <w:t xml:space="preserve">(lásd 4.4 pont). Prothrombin komplex koncentrátumok (PCC-k) vagy rekombináns VIIa faktor alkalmazása is mérlegelhető. Az </w:t>
      </w:r>
      <w:r w:rsidRPr="007A5E8C">
        <w:rPr>
          <w:lang w:eastAsia="zh-CN" w:bidi="ar-SA"/>
        </w:rPr>
        <w:t>apixabán farmakodinámiás hatásainak megszűnése, amit a thrombinképződési tesztben beálló változások mutattak, az infúzió beadásának végén nyilvánvaló volt és a 30 perces 4 faktoros PCC infúzió kezdetétől számított 4 órán belül állt vissza a kiindulási értékekre egészséges alanyoknál. Mindamellett nincs klinikai tapasztalat az apixabánnal kezelt betegek vérzésének leállítására adott 4 faktoros PCC készítmények alkalmazására vonatkozóan.</w:t>
      </w:r>
      <w:r w:rsidRPr="007A5E8C">
        <w:rPr>
          <w:noProof/>
          <w:lang w:eastAsia="zh-CN" w:bidi="ar-SA"/>
        </w:rPr>
        <w:t xml:space="preserve"> Jelenleg még nincs tapasztalat a rekombináns VIIa faktor apixabánt szedő betegeknél történő alkalmazásával kapcsolatban.</w:t>
      </w:r>
      <w:r w:rsidRPr="007A5E8C">
        <w:rPr>
          <w:lang w:bidi="ar-SA"/>
        </w:rPr>
        <w:t xml:space="preserve"> </w:t>
      </w:r>
      <w:r w:rsidRPr="007A5E8C">
        <w:rPr>
          <w:noProof/>
          <w:lang w:eastAsia="zh-CN" w:bidi="ar-SA"/>
        </w:rPr>
        <w:t>A vérzés csökkenésétől függően megfontolandó a rekombináns VIIa faktor ismételt adása és az adag módosítása.</w:t>
      </w:r>
    </w:p>
    <w:p w14:paraId="10A8FBCF" w14:textId="77777777" w:rsidR="007A5E8C" w:rsidRPr="007A5E8C" w:rsidRDefault="007A5E8C" w:rsidP="007A5E8C">
      <w:pPr>
        <w:widowControl/>
        <w:adjustRightInd w:val="0"/>
        <w:rPr>
          <w:noProof/>
          <w:lang w:eastAsia="zh-CN" w:bidi="ar-SA"/>
        </w:rPr>
      </w:pPr>
    </w:p>
    <w:p w14:paraId="3DD0F829" w14:textId="77777777" w:rsidR="007A5E8C" w:rsidRPr="007A5E8C" w:rsidRDefault="007A5E8C" w:rsidP="007A5E8C">
      <w:pPr>
        <w:widowControl/>
        <w:adjustRightInd w:val="0"/>
        <w:rPr>
          <w:noProof/>
          <w:lang w:eastAsia="zh-CN" w:bidi="ar-SA"/>
        </w:rPr>
      </w:pPr>
      <w:r w:rsidRPr="007A5E8C">
        <w:rPr>
          <w:noProof/>
          <w:lang w:eastAsia="zh-CN" w:bidi="ar-SA"/>
        </w:rPr>
        <w:t>Az apixabán farmakodinámiás hatását antagonizáló specifikus antidótumot (andexanet</w:t>
      </w:r>
      <w:r w:rsidRPr="007A5E8C">
        <w:rPr>
          <w:noProof/>
          <w:lang w:eastAsia="zh-CN" w:bidi="ar-SA"/>
        </w:rPr>
        <w:noBreakHyphen/>
        <w:t>alfa) nem vizsgálták gyermekek és serdülők körében (lásd az andexanet</w:t>
      </w:r>
      <w:r w:rsidRPr="007A5E8C">
        <w:rPr>
          <w:noProof/>
          <w:lang w:eastAsia="zh-CN" w:bidi="ar-SA"/>
        </w:rPr>
        <w:noBreakHyphen/>
        <w:t>alfa alkalmazási előírását).</w:t>
      </w:r>
      <w:r w:rsidRPr="007A5E8C">
        <w:rPr>
          <w:szCs w:val="20"/>
          <w:lang w:bidi="ar-SA"/>
        </w:rPr>
        <w:t xml:space="preserve"> Friss fagyasztott plazma transzfúziója, PCC</w:t>
      </w:r>
      <w:r w:rsidRPr="007A5E8C">
        <w:rPr>
          <w:szCs w:val="20"/>
          <w:lang w:bidi="ar-SA"/>
        </w:rPr>
        <w:noBreakHyphen/>
        <w:t>k alkalmazása vagy rekombináns VIIa faktor alkalmazása is mérlegelhető.</w:t>
      </w:r>
    </w:p>
    <w:p w14:paraId="14CD0D12" w14:textId="77777777" w:rsidR="007A5E8C" w:rsidRPr="007A5E8C" w:rsidRDefault="007A5E8C" w:rsidP="007A5E8C">
      <w:pPr>
        <w:widowControl/>
        <w:adjustRightInd w:val="0"/>
        <w:rPr>
          <w:noProof/>
          <w:lang w:eastAsia="zh-CN" w:bidi="ar-SA"/>
        </w:rPr>
      </w:pPr>
    </w:p>
    <w:p w14:paraId="197B2CA8" w14:textId="77777777" w:rsidR="007A5E8C" w:rsidRPr="007A5E8C" w:rsidRDefault="007A5E8C" w:rsidP="007A5E8C">
      <w:pPr>
        <w:widowControl/>
        <w:adjustRightInd w:val="0"/>
        <w:rPr>
          <w:noProof/>
          <w:lang w:eastAsia="zh-CN" w:bidi="ar-SA"/>
        </w:rPr>
      </w:pPr>
      <w:r w:rsidRPr="007A5E8C">
        <w:rPr>
          <w:noProof/>
          <w:lang w:eastAsia="zh-CN" w:bidi="ar-SA"/>
        </w:rPr>
        <w:t>Súlyos vérzés esetén, helyi elérhetőségtől függően, ajánlatos egy véralvadási szakértővel történő konzultáció.</w:t>
      </w:r>
    </w:p>
    <w:p w14:paraId="05DBD3CA" w14:textId="7D34554C" w:rsidR="00B62AE4" w:rsidRPr="00F7245E" w:rsidRDefault="00B62AE4" w:rsidP="00A21724">
      <w:pPr>
        <w:pStyle w:val="Nincstrkz"/>
        <w:rPr>
          <w:rFonts w:cs="Times New Roman"/>
        </w:rPr>
      </w:pPr>
    </w:p>
    <w:p w14:paraId="5D58A15B" w14:textId="77777777" w:rsidR="00B62AE4" w:rsidRPr="00F7245E" w:rsidRDefault="00B62AE4" w:rsidP="00A21724">
      <w:pPr>
        <w:pStyle w:val="Nincstrkz"/>
        <w:rPr>
          <w:rFonts w:cs="Times New Roman"/>
        </w:rPr>
      </w:pPr>
    </w:p>
    <w:p w14:paraId="2C330A02" w14:textId="201260C2" w:rsidR="00B62AE4" w:rsidRPr="00F7245E" w:rsidRDefault="00AF1601" w:rsidP="00A21724">
      <w:pPr>
        <w:pStyle w:val="Nincstrkz"/>
        <w:tabs>
          <w:tab w:val="left" w:pos="567"/>
        </w:tabs>
        <w:rPr>
          <w:rFonts w:cs="Times New Roman"/>
          <w:b/>
          <w:bCs/>
        </w:rPr>
      </w:pPr>
      <w:r w:rsidRPr="00F7245E">
        <w:rPr>
          <w:rFonts w:cs="Times New Roman"/>
          <w:b/>
          <w:bCs/>
          <w:w w:val="105"/>
        </w:rPr>
        <w:t>5.</w:t>
      </w:r>
      <w:r w:rsidRPr="00F7245E">
        <w:rPr>
          <w:rFonts w:cs="Times New Roman"/>
          <w:b/>
          <w:bCs/>
          <w:w w:val="105"/>
        </w:rPr>
        <w:tab/>
      </w:r>
      <w:r w:rsidR="00B62AE4" w:rsidRPr="00F7245E">
        <w:rPr>
          <w:rFonts w:cs="Times New Roman"/>
          <w:b/>
          <w:bCs/>
          <w:w w:val="105"/>
        </w:rPr>
        <w:t>FARMAKOLÓGIAI</w:t>
      </w:r>
      <w:r w:rsidR="00B62AE4" w:rsidRPr="00F7245E">
        <w:rPr>
          <w:rFonts w:cs="Times New Roman"/>
          <w:b/>
          <w:bCs/>
          <w:spacing w:val="-3"/>
          <w:w w:val="105"/>
        </w:rPr>
        <w:t xml:space="preserve"> </w:t>
      </w:r>
      <w:r w:rsidR="00B62AE4" w:rsidRPr="00F7245E">
        <w:rPr>
          <w:rFonts w:cs="Times New Roman"/>
          <w:b/>
          <w:bCs/>
          <w:w w:val="105"/>
        </w:rPr>
        <w:t>TULAJDONSÁGOK</w:t>
      </w:r>
    </w:p>
    <w:p w14:paraId="3D13C26C" w14:textId="77777777" w:rsidR="00B62AE4" w:rsidRPr="00F7245E" w:rsidRDefault="00B62AE4" w:rsidP="00A21724">
      <w:pPr>
        <w:pStyle w:val="Nincstrkz"/>
        <w:rPr>
          <w:rFonts w:cs="Times New Roman"/>
          <w:bCs/>
        </w:rPr>
      </w:pPr>
    </w:p>
    <w:p w14:paraId="3A167EF4" w14:textId="4C850602" w:rsidR="00B62AE4" w:rsidRPr="00F7245E" w:rsidRDefault="00AF1601" w:rsidP="00A21724">
      <w:pPr>
        <w:pStyle w:val="Nincstrkz"/>
        <w:tabs>
          <w:tab w:val="left" w:pos="567"/>
        </w:tabs>
        <w:rPr>
          <w:rFonts w:cs="Times New Roman"/>
          <w:b/>
        </w:rPr>
      </w:pPr>
      <w:r w:rsidRPr="00F7245E">
        <w:rPr>
          <w:rFonts w:cs="Times New Roman"/>
          <w:b/>
          <w:w w:val="105"/>
        </w:rPr>
        <w:t>5.1</w:t>
      </w:r>
      <w:r w:rsidRPr="00F7245E">
        <w:rPr>
          <w:rFonts w:cs="Times New Roman"/>
          <w:b/>
          <w:w w:val="105"/>
        </w:rPr>
        <w:tab/>
      </w:r>
      <w:r w:rsidR="00B62AE4" w:rsidRPr="00F7245E">
        <w:rPr>
          <w:rFonts w:cs="Times New Roman"/>
          <w:b/>
          <w:w w:val="105"/>
        </w:rPr>
        <w:t>Farmakodinámiás</w:t>
      </w:r>
      <w:r w:rsidR="00B62AE4" w:rsidRPr="00F7245E">
        <w:rPr>
          <w:rFonts w:cs="Times New Roman"/>
          <w:b/>
          <w:spacing w:val="-1"/>
          <w:w w:val="105"/>
        </w:rPr>
        <w:t xml:space="preserve"> </w:t>
      </w:r>
      <w:r w:rsidR="00B62AE4" w:rsidRPr="00F7245E">
        <w:rPr>
          <w:rFonts w:cs="Times New Roman"/>
          <w:b/>
          <w:w w:val="105"/>
        </w:rPr>
        <w:t>tulajdonságok</w:t>
      </w:r>
    </w:p>
    <w:p w14:paraId="2547DD8A" w14:textId="77777777" w:rsidR="00AF1601" w:rsidRPr="00F7245E" w:rsidRDefault="00AF1601" w:rsidP="00A21724">
      <w:pPr>
        <w:pStyle w:val="Nincstrkz"/>
        <w:rPr>
          <w:rFonts w:cs="Times New Roman"/>
        </w:rPr>
      </w:pPr>
    </w:p>
    <w:p w14:paraId="26AF35C0" w14:textId="77777777" w:rsidR="00AF1601" w:rsidRPr="00F7245E" w:rsidRDefault="00B62AE4" w:rsidP="00A21724">
      <w:pPr>
        <w:pStyle w:val="Nincstrkz"/>
        <w:rPr>
          <w:rFonts w:cs="Times New Roman"/>
        </w:rPr>
      </w:pPr>
      <w:r w:rsidRPr="00F7245E">
        <w:rPr>
          <w:rFonts w:cs="Times New Roman"/>
        </w:rPr>
        <w:t xml:space="preserve">Farmakoterápiás csoport: antithrombotikus szerek, direkt Xa faktor inhibitorok, ATC kód: B01AF02 </w:t>
      </w:r>
    </w:p>
    <w:p w14:paraId="6B8812C9" w14:textId="77777777" w:rsidR="00AF1601" w:rsidRPr="00F7245E" w:rsidRDefault="00AF1601" w:rsidP="00A21724">
      <w:pPr>
        <w:pStyle w:val="Nincstrkz"/>
        <w:rPr>
          <w:rFonts w:cs="Times New Roman"/>
        </w:rPr>
      </w:pPr>
    </w:p>
    <w:p w14:paraId="0C1128B1" w14:textId="2AADE071" w:rsidR="00B62AE4" w:rsidRPr="00F7245E" w:rsidRDefault="00B62AE4" w:rsidP="00A21724">
      <w:pPr>
        <w:pStyle w:val="Nincstrkz"/>
        <w:rPr>
          <w:rFonts w:cs="Times New Roman"/>
          <w:u w:val="single"/>
        </w:rPr>
      </w:pPr>
      <w:r w:rsidRPr="00F7245E">
        <w:rPr>
          <w:rFonts w:cs="Times New Roman"/>
          <w:u w:val="single"/>
        </w:rPr>
        <w:t>Hatásmechanizmus</w:t>
      </w:r>
    </w:p>
    <w:p w14:paraId="0A4CCB9B" w14:textId="77777777" w:rsidR="001F3456" w:rsidRPr="00F7245E" w:rsidRDefault="001F3456" w:rsidP="00A21724">
      <w:pPr>
        <w:pStyle w:val="Nincstrkz"/>
        <w:rPr>
          <w:rFonts w:cs="Times New Roman"/>
          <w:u w:val="single"/>
        </w:rPr>
      </w:pPr>
    </w:p>
    <w:p w14:paraId="464867D2" w14:textId="34314C69" w:rsidR="00B62AE4" w:rsidRPr="00F7245E" w:rsidRDefault="00B62AE4" w:rsidP="00A21724">
      <w:pPr>
        <w:pStyle w:val="Nincstrkz"/>
        <w:rPr>
          <w:rFonts w:cs="Times New Roman"/>
        </w:rPr>
      </w:pPr>
      <w:r w:rsidRPr="00F7245E">
        <w:rPr>
          <w:rFonts w:cs="Times New Roman"/>
        </w:rPr>
        <w:t xml:space="preserve">Az </w:t>
      </w:r>
      <w:r w:rsidR="00CA2919" w:rsidRPr="00F7245E">
        <w:rPr>
          <w:rFonts w:cs="Times New Roman"/>
        </w:rPr>
        <w:t xml:space="preserve">apixabán </w:t>
      </w:r>
      <w:r w:rsidRPr="00F7245E">
        <w:rPr>
          <w:rFonts w:cs="Times New Roman"/>
        </w:rPr>
        <w:t>a Xa</w:t>
      </w:r>
      <w:r w:rsidR="000B2230" w:rsidRPr="00F7245E">
        <w:rPr>
          <w:rFonts w:cs="Times New Roman"/>
        </w:rPr>
        <w:t xml:space="preserve"> </w:t>
      </w:r>
      <w:r w:rsidRPr="00F7245E">
        <w:rPr>
          <w:rFonts w:cs="Times New Roman"/>
        </w:rPr>
        <w:t>faktor aktív centrumának egy erős, orális, reverzíbilis, direkt és nagy szelektivitású</w:t>
      </w:r>
      <w:r w:rsidR="00AF1601" w:rsidRPr="00F7245E">
        <w:rPr>
          <w:rFonts w:cs="Times New Roman"/>
        </w:rPr>
        <w:t xml:space="preserve"> </w:t>
      </w:r>
      <w:r w:rsidRPr="00F7245E">
        <w:rPr>
          <w:rFonts w:cs="Times New Roman"/>
        </w:rPr>
        <w:t>inhibitora. Az antitromboti</w:t>
      </w:r>
      <w:r w:rsidR="001B11AF" w:rsidRPr="00F7245E">
        <w:rPr>
          <w:rFonts w:cs="Times New Roman"/>
        </w:rPr>
        <w:t>k</w:t>
      </w:r>
      <w:r w:rsidRPr="00F7245E">
        <w:rPr>
          <w:rFonts w:cs="Times New Roman"/>
        </w:rPr>
        <w:t>us hatás kifejtéséhez nem igényel antithrombin III</w:t>
      </w:r>
      <w:r w:rsidR="001B11AF" w:rsidRPr="00F7245E">
        <w:rPr>
          <w:rFonts w:cs="Times New Roman"/>
        </w:rPr>
        <w:noBreakHyphen/>
      </w:r>
      <w:r w:rsidRPr="00F7245E">
        <w:rPr>
          <w:rFonts w:cs="Times New Roman"/>
        </w:rPr>
        <w:t xml:space="preserve">at. Az </w:t>
      </w:r>
      <w:r w:rsidR="00CA2919" w:rsidRPr="00F7245E">
        <w:rPr>
          <w:rFonts w:cs="Times New Roman"/>
        </w:rPr>
        <w:t xml:space="preserve">apixabán </w:t>
      </w:r>
      <w:r w:rsidRPr="00F7245E">
        <w:rPr>
          <w:rFonts w:cs="Times New Roman"/>
        </w:rPr>
        <w:t>gátolja a szabad és a véralvadékhoz kötött Xa</w:t>
      </w:r>
      <w:r w:rsidR="000B2230" w:rsidRPr="00F7245E">
        <w:rPr>
          <w:rFonts w:cs="Times New Roman"/>
        </w:rPr>
        <w:t xml:space="preserve"> </w:t>
      </w:r>
      <w:r w:rsidRPr="00F7245E">
        <w:rPr>
          <w:rFonts w:cs="Times New Roman"/>
        </w:rPr>
        <w:t xml:space="preserve">faktort és a prothrombináz aktivitást. Az </w:t>
      </w:r>
      <w:r w:rsidR="00CA2919" w:rsidRPr="00F7245E">
        <w:rPr>
          <w:rFonts w:cs="Times New Roman"/>
        </w:rPr>
        <w:t xml:space="preserve">apixabán </w:t>
      </w:r>
      <w:r w:rsidRPr="00F7245E">
        <w:rPr>
          <w:rFonts w:cs="Times New Roman"/>
        </w:rPr>
        <w:t>nincs közvetlen hatással a thrombocytaaggregáci</w:t>
      </w:r>
      <w:r w:rsidR="0071046D" w:rsidRPr="00F7245E">
        <w:rPr>
          <w:rFonts w:cs="Times New Roman"/>
        </w:rPr>
        <w:t>ór</w:t>
      </w:r>
      <w:r w:rsidRPr="00F7245E">
        <w:rPr>
          <w:rFonts w:cs="Times New Roman"/>
        </w:rPr>
        <w:t xml:space="preserve">a, de közvetetten gátolja a thrombin indukálta thrombocytaaggregációt. A Xa faktor gátlásával az </w:t>
      </w:r>
      <w:r w:rsidR="00CA2919" w:rsidRPr="00F7245E">
        <w:rPr>
          <w:rFonts w:cs="Times New Roman"/>
        </w:rPr>
        <w:t xml:space="preserve">apixabán </w:t>
      </w:r>
      <w:r w:rsidRPr="00F7245E">
        <w:rPr>
          <w:rFonts w:cs="Times New Roman"/>
        </w:rPr>
        <w:t xml:space="preserve">megakadályozza a thrombin képződését és a thrombusok kialakulását. Az állatmodelleken </w:t>
      </w:r>
      <w:r w:rsidR="002C0B56" w:rsidRPr="00F7245E">
        <w:rPr>
          <w:rFonts w:cs="Times New Roman"/>
        </w:rPr>
        <w:t>apixabán</w:t>
      </w:r>
      <w:r w:rsidRPr="00F7245E">
        <w:rPr>
          <w:rFonts w:cs="Times New Roman"/>
        </w:rPr>
        <w:t>nal végzett preklinikai vizsgálatok a haemostasist fenntartó dózisok mellett kimutatták az artériás és vénás thrombosis megelőzésére alkalmas antithromboti</w:t>
      </w:r>
      <w:r w:rsidR="000B2230" w:rsidRPr="00F7245E">
        <w:rPr>
          <w:rFonts w:cs="Times New Roman"/>
        </w:rPr>
        <w:t>k</w:t>
      </w:r>
      <w:r w:rsidRPr="00F7245E">
        <w:rPr>
          <w:rFonts w:cs="Times New Roman"/>
        </w:rPr>
        <w:t>us hatásosságot.</w:t>
      </w:r>
    </w:p>
    <w:p w14:paraId="62C3B0EA" w14:textId="77777777" w:rsidR="00B62AE4" w:rsidRPr="00F7245E" w:rsidRDefault="00B62AE4" w:rsidP="00A21724">
      <w:pPr>
        <w:pStyle w:val="Nincstrkz"/>
        <w:rPr>
          <w:rFonts w:cs="Times New Roman"/>
        </w:rPr>
      </w:pPr>
    </w:p>
    <w:p w14:paraId="0866E1BE" w14:textId="77777777" w:rsidR="00B62AE4" w:rsidRPr="00F7245E" w:rsidRDefault="00B62AE4" w:rsidP="0027640E">
      <w:pPr>
        <w:pStyle w:val="Nincstrkz"/>
        <w:keepNext/>
        <w:rPr>
          <w:rFonts w:cs="Times New Roman"/>
          <w:u w:val="single"/>
        </w:rPr>
      </w:pPr>
      <w:r w:rsidRPr="00F7245E">
        <w:rPr>
          <w:rFonts w:cs="Times New Roman"/>
          <w:u w:val="single"/>
        </w:rPr>
        <w:t>Farmakodinámiás hatások</w:t>
      </w:r>
    </w:p>
    <w:p w14:paraId="74D55AC1" w14:textId="77777777" w:rsidR="001F3456" w:rsidRPr="00F7245E" w:rsidRDefault="001F3456" w:rsidP="0027640E">
      <w:pPr>
        <w:pStyle w:val="Nincstrkz"/>
        <w:keepNext/>
        <w:rPr>
          <w:rFonts w:cs="Times New Roman"/>
          <w:u w:val="single"/>
        </w:rPr>
      </w:pPr>
    </w:p>
    <w:p w14:paraId="1770DC92" w14:textId="318B33F2" w:rsidR="00B62AE4" w:rsidRPr="00F7245E" w:rsidRDefault="00B62AE4" w:rsidP="00A21724">
      <w:pPr>
        <w:pStyle w:val="Nincstrkz"/>
        <w:rPr>
          <w:rFonts w:cs="Times New Roman"/>
        </w:rPr>
      </w:pPr>
      <w:r w:rsidRPr="00F7245E">
        <w:rPr>
          <w:rFonts w:cs="Times New Roman"/>
        </w:rPr>
        <w:t xml:space="preserve">Az </w:t>
      </w:r>
      <w:r w:rsidR="00CA2919" w:rsidRPr="00F7245E">
        <w:rPr>
          <w:rFonts w:cs="Times New Roman"/>
        </w:rPr>
        <w:t xml:space="preserve">apixabán </w:t>
      </w:r>
      <w:r w:rsidRPr="00F7245E">
        <w:rPr>
          <w:rFonts w:cs="Times New Roman"/>
        </w:rPr>
        <w:t xml:space="preserve">farmakodinámiás hatásai a hatásmechanizmusával (Xa faktor gátlása) vannak összhangban. A Xa faktor gátlás eredményeképpen az </w:t>
      </w:r>
      <w:r w:rsidR="00CA2919" w:rsidRPr="00F7245E">
        <w:rPr>
          <w:rFonts w:cs="Times New Roman"/>
        </w:rPr>
        <w:t xml:space="preserve">apixabán </w:t>
      </w:r>
      <w:r w:rsidRPr="00F7245E">
        <w:rPr>
          <w:rFonts w:cs="Times New Roman"/>
        </w:rPr>
        <w:t>megnyújtja a véralvadási tesztek eredményeit, így a protrombinidőt (PI), az INR</w:t>
      </w:r>
      <w:r w:rsidR="000B2230" w:rsidRPr="00F7245E">
        <w:rPr>
          <w:rFonts w:cs="Times New Roman"/>
        </w:rPr>
        <w:noBreakHyphen/>
      </w:r>
      <w:r w:rsidRPr="00F7245E">
        <w:rPr>
          <w:rFonts w:cs="Times New Roman"/>
        </w:rPr>
        <w:t>t és az ak</w:t>
      </w:r>
      <w:r w:rsidR="0018600E">
        <w:rPr>
          <w:rFonts w:cs="Times New Roman"/>
        </w:rPr>
        <w:t>tivált parciális thromboplastin</w:t>
      </w:r>
      <w:r w:rsidRPr="00F7245E">
        <w:rPr>
          <w:rFonts w:cs="Times New Roman"/>
        </w:rPr>
        <w:t>időt</w:t>
      </w:r>
      <w:r w:rsidR="00C77F20" w:rsidRPr="00F7245E">
        <w:rPr>
          <w:rFonts w:cs="Times New Roman"/>
        </w:rPr>
        <w:t xml:space="preserve"> </w:t>
      </w:r>
      <w:r w:rsidRPr="00F7245E">
        <w:rPr>
          <w:rFonts w:cs="Times New Roman"/>
        </w:rPr>
        <w:t xml:space="preserve">(aPTI). A véralvadási vizsgálatok eredményeiben megfigyelt változások az elvárt terápiás adagolás mellett </w:t>
      </w:r>
      <w:r w:rsidR="008537EF" w:rsidRPr="00F7245E">
        <w:rPr>
          <w:rFonts w:cs="Times New Roman"/>
        </w:rPr>
        <w:t>kismértékűek</w:t>
      </w:r>
      <w:r w:rsidRPr="00F7245E">
        <w:rPr>
          <w:rFonts w:cs="Times New Roman"/>
        </w:rPr>
        <w:t xml:space="preserve"> és nagy variabilitást mutatnak. Ezek a vizsgálatok nem javasoltak az </w:t>
      </w:r>
      <w:r w:rsidR="00CA2919" w:rsidRPr="00F7245E">
        <w:rPr>
          <w:rFonts w:cs="Times New Roman"/>
        </w:rPr>
        <w:t xml:space="preserve">apixabán </w:t>
      </w:r>
      <w:r w:rsidRPr="00F7245E">
        <w:rPr>
          <w:rFonts w:cs="Times New Roman"/>
        </w:rPr>
        <w:t xml:space="preserve">farmakodinámiás hatásának értékelésére. A thrombinképződési tesztben az </w:t>
      </w:r>
      <w:r w:rsidR="00CA2919" w:rsidRPr="00F7245E">
        <w:rPr>
          <w:rFonts w:cs="Times New Roman"/>
        </w:rPr>
        <w:t xml:space="preserve">apixabán </w:t>
      </w:r>
      <w:r w:rsidRPr="00F7245E">
        <w:rPr>
          <w:rFonts w:cs="Times New Roman"/>
        </w:rPr>
        <w:t>csökkentette az endogén thrombin potenciált, amely humán plazmában a thrombinképződés mutatója.</w:t>
      </w:r>
    </w:p>
    <w:p w14:paraId="5FCA8EAD" w14:textId="77777777" w:rsidR="00B62AE4" w:rsidRPr="00F7245E" w:rsidRDefault="00B62AE4" w:rsidP="00A21724">
      <w:pPr>
        <w:pStyle w:val="Nincstrkz"/>
        <w:rPr>
          <w:rFonts w:cs="Times New Roman"/>
        </w:rPr>
      </w:pPr>
    </w:p>
    <w:p w14:paraId="3DF1088C" w14:textId="589027CC" w:rsidR="001F3456" w:rsidRPr="00F7245E" w:rsidRDefault="001F3456" w:rsidP="001F3456">
      <w:pPr>
        <w:adjustRightInd w:val="0"/>
        <w:ind w:right="266"/>
      </w:pPr>
      <w:r w:rsidRPr="00F7245E">
        <w:t>Az apixabán Xa faktor</w:t>
      </w:r>
      <w:r w:rsidRPr="00F7245E">
        <w:noBreakHyphen/>
        <w:t>ellenes aktivitást is mutat, ami a Xa faktor enzim aktivitásának csökkenéséből is nyilvánvaló, ami többféle, kereskedelmi forgalomban kapható Xa faktor</w:t>
      </w:r>
      <w:r w:rsidRPr="00F7245E">
        <w:noBreakHyphen/>
        <w:t>ellenes szett esetén is jelentkezhet, bár az eredmények szettenként változnak. A felnőtteknél végzett klinikai vizsgálatból származó adatok kizárólag a Rotachrom</w:t>
      </w:r>
      <w:r w:rsidR="00A233CB">
        <w:rPr>
          <w:vertAlign w:val="superscript"/>
        </w:rPr>
        <w:t xml:space="preserve"> </w:t>
      </w:r>
      <w:r w:rsidRPr="00F7245E">
        <w:t>Heparin kromogén teszt esetén állnak rendelkezésre. A Xa faktor</w:t>
      </w:r>
      <w:r w:rsidRPr="00F7245E">
        <w:noBreakHyphen/>
        <w:t>ellenes aktivitás szoros és közvetlen lineáris összefüggést mutat az apixabán plazmakoncentrációjával, maximális értékét az apixabán plazma csúcskoncentrációjának időpontjában éri el. Az apixabán plazmakoncentrációja és Xa faktor</w:t>
      </w:r>
      <w:r w:rsidRPr="00F7245E">
        <w:noBreakHyphen/>
        <w:t>ellenes aktivitása közti összefüggés az apixabán széles dózistartományában megközelítőleg lineáris. A gyermekeknél és serdülőknél végzett vizsgálatok azt mutatják, hogy az apixabán koncentrációja és a Xa faktor-ellenes aktivitás közötti lineáris összefüggés konzisztens a felnőtteknél már korábban dokumentált összefüggéssel. Ez alátámasztja az apixabán szelektív Xa faktor</w:t>
      </w:r>
      <w:r w:rsidRPr="00F7245E">
        <w:noBreakHyphen/>
        <w:t>gátlóként dokumentált hatásmechanizmusát.</w:t>
      </w:r>
    </w:p>
    <w:p w14:paraId="72744858" w14:textId="77777777" w:rsidR="001F3456" w:rsidRPr="00F7245E" w:rsidRDefault="001F3456" w:rsidP="001F3456">
      <w:pPr>
        <w:adjustRightInd w:val="0"/>
        <w:ind w:right="266"/>
      </w:pPr>
    </w:p>
    <w:p w14:paraId="6D2D15D9" w14:textId="77777777" w:rsidR="00B62AE4" w:rsidRPr="00F7245E" w:rsidRDefault="00B62AE4" w:rsidP="00A21724">
      <w:pPr>
        <w:pStyle w:val="Nincstrkz"/>
        <w:rPr>
          <w:rFonts w:cs="Times New Roman"/>
        </w:rPr>
      </w:pPr>
    </w:p>
    <w:p w14:paraId="65A11705" w14:textId="541A42EE" w:rsidR="00B62AE4" w:rsidRPr="00F7245E" w:rsidRDefault="00B62AE4" w:rsidP="00A21724">
      <w:pPr>
        <w:pStyle w:val="Nincstrkz"/>
        <w:rPr>
          <w:rFonts w:cs="Times New Roman"/>
        </w:rPr>
      </w:pPr>
      <w:r w:rsidRPr="00F7245E">
        <w:rPr>
          <w:rFonts w:cs="Times New Roman"/>
        </w:rPr>
        <w:t xml:space="preserve">Az alábbi </w:t>
      </w:r>
      <w:r w:rsidR="001F3456" w:rsidRPr="00F7245E">
        <w:rPr>
          <w:rFonts w:cs="Times New Roman"/>
        </w:rPr>
        <w:t>4</w:t>
      </w:r>
      <w:r w:rsidRPr="00F7245E">
        <w:rPr>
          <w:rFonts w:cs="Times New Roman"/>
        </w:rPr>
        <w:t xml:space="preserve"> táblázat a dinamikus egyensúlyi állapotban várható </w:t>
      </w:r>
      <w:r w:rsidR="00CA2919" w:rsidRPr="00F7245E">
        <w:rPr>
          <w:rFonts w:cs="Times New Roman"/>
        </w:rPr>
        <w:t xml:space="preserve">apixabán </w:t>
      </w:r>
      <w:r w:rsidRPr="00F7245E">
        <w:rPr>
          <w:rFonts w:cs="Times New Roman"/>
        </w:rPr>
        <w:t xml:space="preserve">koncentrációt és </w:t>
      </w:r>
      <w:r w:rsidR="00B8657F" w:rsidRPr="00F7245E">
        <w:rPr>
          <w:rFonts w:cs="Times New Roman"/>
        </w:rPr>
        <w:t xml:space="preserve">a </w:t>
      </w:r>
      <w:r w:rsidRPr="00F7245E">
        <w:rPr>
          <w:rFonts w:cs="Times New Roman"/>
        </w:rPr>
        <w:t>Xa faktor</w:t>
      </w:r>
      <w:r w:rsidR="008537EF" w:rsidRPr="00F7245E">
        <w:rPr>
          <w:rFonts w:cs="Times New Roman"/>
        </w:rPr>
        <w:t xml:space="preserve"> </w:t>
      </w:r>
      <w:r w:rsidRPr="00F7245E">
        <w:rPr>
          <w:rFonts w:cs="Times New Roman"/>
        </w:rPr>
        <w:t>ellen</w:t>
      </w:r>
      <w:r w:rsidR="00B8657F" w:rsidRPr="00F7245E">
        <w:rPr>
          <w:rFonts w:cs="Times New Roman"/>
        </w:rPr>
        <w:t>i</w:t>
      </w:r>
      <w:r w:rsidRPr="00F7245E">
        <w:rPr>
          <w:rFonts w:cs="Times New Roman"/>
        </w:rPr>
        <w:t xml:space="preserve"> aktivitást mutatja</w:t>
      </w:r>
      <w:r w:rsidR="0018600E">
        <w:rPr>
          <w:rFonts w:cs="Times New Roman"/>
        </w:rPr>
        <w:t xml:space="preserve"> felnőtteknél</w:t>
      </w:r>
      <w:r w:rsidRPr="00F7245E">
        <w:rPr>
          <w:rFonts w:cs="Times New Roman"/>
        </w:rPr>
        <w:t xml:space="preserve"> az egyes indikációkban. Azoknál a</w:t>
      </w:r>
      <w:r w:rsidR="00B8657F" w:rsidRPr="00F7245E">
        <w:rPr>
          <w:rFonts w:cs="Times New Roman"/>
        </w:rPr>
        <w:t xml:space="preserve"> betegeknél</w:t>
      </w:r>
      <w:r w:rsidRPr="00F7245E">
        <w:rPr>
          <w:rFonts w:cs="Times New Roman"/>
        </w:rPr>
        <w:t xml:space="preserve">, akik az </w:t>
      </w:r>
      <w:r w:rsidR="002C0B56" w:rsidRPr="00F7245E">
        <w:rPr>
          <w:rFonts w:cs="Times New Roman"/>
        </w:rPr>
        <w:t>apixabán</w:t>
      </w:r>
      <w:r w:rsidRPr="00F7245E">
        <w:rPr>
          <w:rFonts w:cs="Times New Roman"/>
        </w:rPr>
        <w:t>t elektív csípő- vagy térdprotézis műtét utáni VTE megelőzésére szedik, az eredmények kevesebb, mint</w:t>
      </w:r>
      <w:r w:rsidR="00AF1601" w:rsidRPr="00F7245E">
        <w:rPr>
          <w:rFonts w:cs="Times New Roman"/>
        </w:rPr>
        <w:t xml:space="preserve"> </w:t>
      </w:r>
      <w:r w:rsidRPr="00F7245E">
        <w:rPr>
          <w:rFonts w:cs="Times New Roman"/>
        </w:rPr>
        <w:t>1,6</w:t>
      </w:r>
      <w:r w:rsidR="00B8657F" w:rsidRPr="00F7245E">
        <w:rPr>
          <w:rFonts w:cs="Times New Roman"/>
        </w:rPr>
        <w:noBreakHyphen/>
      </w:r>
      <w:r w:rsidRPr="00F7245E">
        <w:rPr>
          <w:rFonts w:cs="Times New Roman"/>
        </w:rPr>
        <w:t xml:space="preserve">szoros fluktuációt mutatnak a legmagasabb és a legalacsonyabb szintek között. Azoknál a nem </w:t>
      </w:r>
      <w:r w:rsidR="00B8657F" w:rsidRPr="00F7245E">
        <w:rPr>
          <w:rFonts w:cs="Times New Roman"/>
        </w:rPr>
        <w:t>valvuláris</w:t>
      </w:r>
      <w:r w:rsidRPr="00F7245E">
        <w:rPr>
          <w:rFonts w:cs="Times New Roman"/>
        </w:rPr>
        <w:t xml:space="preserve"> pitvarfibrillációban szenvedő</w:t>
      </w:r>
      <w:r w:rsidR="00A1416D" w:rsidRPr="00F7245E">
        <w:rPr>
          <w:rFonts w:cs="Times New Roman"/>
        </w:rPr>
        <w:t> beteg</w:t>
      </w:r>
      <w:r w:rsidRPr="00F7245E">
        <w:rPr>
          <w:rFonts w:cs="Times New Roman"/>
        </w:rPr>
        <w:t xml:space="preserve">eknél, akik az </w:t>
      </w:r>
      <w:r w:rsidR="002C0B56" w:rsidRPr="00F7245E">
        <w:rPr>
          <w:rFonts w:cs="Times New Roman"/>
        </w:rPr>
        <w:t>apixabán</w:t>
      </w:r>
      <w:r w:rsidRPr="00F7245E">
        <w:rPr>
          <w:rFonts w:cs="Times New Roman"/>
        </w:rPr>
        <w:t>t a stroke és a szisztémás embolizáció megelőzésére szedik, az eredmények kevesebb, mint 1,7-szeres fluktuációt mutatnak a legmagasabb és a legalacsonyabb szintek között. Azoknál a</w:t>
      </w:r>
      <w:r w:rsidR="00A1416D" w:rsidRPr="00F7245E">
        <w:rPr>
          <w:rFonts w:cs="Times New Roman"/>
        </w:rPr>
        <w:t> beteg</w:t>
      </w:r>
      <w:r w:rsidRPr="00F7245E">
        <w:rPr>
          <w:rFonts w:cs="Times New Roman"/>
        </w:rPr>
        <w:t xml:space="preserve">eknél, akik az </w:t>
      </w:r>
      <w:r w:rsidR="002C0B56" w:rsidRPr="00F7245E">
        <w:rPr>
          <w:rFonts w:cs="Times New Roman"/>
        </w:rPr>
        <w:t>apixabán</w:t>
      </w:r>
      <w:r w:rsidRPr="00F7245E">
        <w:rPr>
          <w:rFonts w:cs="Times New Roman"/>
        </w:rPr>
        <w:t>t az MVT és a PE kezelésére, illetve az MVT és a PE kiújulásának a megelőzésére szedik, az eredmények kevesebb, mint 2,2</w:t>
      </w:r>
      <w:r w:rsidR="00C968C6" w:rsidRPr="00F7245E">
        <w:rPr>
          <w:rFonts w:cs="Times New Roman"/>
        </w:rPr>
        <w:noBreakHyphen/>
      </w:r>
      <w:r w:rsidRPr="00F7245E">
        <w:rPr>
          <w:rFonts w:cs="Times New Roman"/>
        </w:rPr>
        <w:t>szeres fluktuációt mutatnak a legmagasabb és a legalacsonyabb szintek között.</w:t>
      </w:r>
    </w:p>
    <w:p w14:paraId="6FFCF840" w14:textId="1943311F" w:rsidR="00B62AE4" w:rsidRPr="00F7245E" w:rsidRDefault="00B62AE4" w:rsidP="00A21724">
      <w:pPr>
        <w:pStyle w:val="Nincstrkz"/>
        <w:rPr>
          <w:rFonts w:cs="Times New Roman"/>
        </w:rPr>
      </w:pPr>
    </w:p>
    <w:p w14:paraId="41C02703" w14:textId="299A50BE" w:rsidR="0072037C" w:rsidRPr="00F7245E" w:rsidRDefault="00D72679" w:rsidP="00A21724">
      <w:pPr>
        <w:pStyle w:val="Nincstrkz"/>
        <w:rPr>
          <w:rFonts w:cs="Times New Roman"/>
        </w:rPr>
      </w:pPr>
      <w:r w:rsidRPr="00F7245E">
        <w:rPr>
          <w:rFonts w:cs="Times New Roman"/>
          <w:b/>
          <w:bCs/>
          <w:w w:val="105"/>
        </w:rPr>
        <w:t>4</w:t>
      </w:r>
      <w:r w:rsidR="0072037C" w:rsidRPr="00F7245E">
        <w:rPr>
          <w:rFonts w:cs="Times New Roman"/>
          <w:b/>
          <w:bCs/>
          <w:w w:val="105"/>
        </w:rPr>
        <w:t>. Táblázat:</w:t>
      </w:r>
      <w:r w:rsidR="0072037C" w:rsidRPr="00F7245E">
        <w:rPr>
          <w:rFonts w:cs="Times New Roman"/>
          <w:b/>
          <w:bCs/>
          <w:spacing w:val="-16"/>
          <w:w w:val="105"/>
        </w:rPr>
        <w:t xml:space="preserve"> </w:t>
      </w:r>
      <w:r w:rsidR="0072037C" w:rsidRPr="00F7245E">
        <w:rPr>
          <w:rFonts w:cs="Times New Roman"/>
          <w:b/>
          <w:bCs/>
          <w:w w:val="105"/>
        </w:rPr>
        <w:t>Dinamikus</w:t>
      </w:r>
      <w:r w:rsidR="0072037C" w:rsidRPr="00F7245E">
        <w:rPr>
          <w:rFonts w:cs="Times New Roman"/>
          <w:b/>
          <w:bCs/>
          <w:spacing w:val="-18"/>
          <w:w w:val="105"/>
        </w:rPr>
        <w:t xml:space="preserve"> </w:t>
      </w:r>
      <w:r w:rsidR="0072037C" w:rsidRPr="00F7245E">
        <w:rPr>
          <w:rFonts w:cs="Times New Roman"/>
          <w:b/>
          <w:bCs/>
          <w:w w:val="105"/>
        </w:rPr>
        <w:t>egyensúlyi</w:t>
      </w:r>
      <w:r w:rsidR="0072037C" w:rsidRPr="00F7245E">
        <w:rPr>
          <w:rFonts w:cs="Times New Roman"/>
          <w:b/>
          <w:bCs/>
          <w:spacing w:val="-18"/>
          <w:w w:val="105"/>
        </w:rPr>
        <w:t xml:space="preserve"> </w:t>
      </w:r>
      <w:r w:rsidR="0072037C" w:rsidRPr="00F7245E">
        <w:rPr>
          <w:rFonts w:cs="Times New Roman"/>
          <w:b/>
          <w:bCs/>
          <w:w w:val="105"/>
        </w:rPr>
        <w:t>állapotban</w:t>
      </w:r>
      <w:r w:rsidR="0072037C" w:rsidRPr="00F7245E">
        <w:rPr>
          <w:rFonts w:cs="Times New Roman"/>
          <w:b/>
          <w:bCs/>
          <w:spacing w:val="-18"/>
          <w:w w:val="105"/>
        </w:rPr>
        <w:t xml:space="preserve"> </w:t>
      </w:r>
      <w:r w:rsidR="0072037C" w:rsidRPr="00F7245E">
        <w:rPr>
          <w:rFonts w:cs="Times New Roman"/>
          <w:b/>
          <w:bCs/>
          <w:w w:val="105"/>
        </w:rPr>
        <w:t>várható</w:t>
      </w:r>
      <w:r w:rsidR="0072037C" w:rsidRPr="00F7245E">
        <w:rPr>
          <w:rFonts w:cs="Times New Roman"/>
          <w:b/>
          <w:bCs/>
          <w:spacing w:val="-18"/>
          <w:w w:val="105"/>
        </w:rPr>
        <w:t xml:space="preserve"> </w:t>
      </w:r>
      <w:r w:rsidR="0072037C" w:rsidRPr="00F7245E">
        <w:rPr>
          <w:rFonts w:cs="Times New Roman"/>
          <w:b/>
          <w:bCs/>
          <w:w w:val="105"/>
        </w:rPr>
        <w:t>apixabán koncentráció</w:t>
      </w:r>
      <w:r w:rsidR="0072037C" w:rsidRPr="00F7245E">
        <w:rPr>
          <w:rFonts w:cs="Times New Roman"/>
          <w:b/>
          <w:bCs/>
          <w:spacing w:val="-18"/>
          <w:w w:val="105"/>
        </w:rPr>
        <w:t xml:space="preserve"> </w:t>
      </w:r>
      <w:r w:rsidR="0072037C" w:rsidRPr="00F7245E">
        <w:rPr>
          <w:rFonts w:cs="Times New Roman"/>
          <w:b/>
          <w:bCs/>
          <w:w w:val="105"/>
        </w:rPr>
        <w:t>és</w:t>
      </w:r>
      <w:r w:rsidR="0072037C" w:rsidRPr="00F7245E">
        <w:rPr>
          <w:rFonts w:cs="Times New Roman"/>
          <w:b/>
          <w:bCs/>
          <w:spacing w:val="-18"/>
          <w:w w:val="105"/>
        </w:rPr>
        <w:t xml:space="preserve"> </w:t>
      </w:r>
      <w:r w:rsidR="0072037C" w:rsidRPr="00F7245E">
        <w:rPr>
          <w:rFonts w:cs="Times New Roman"/>
          <w:b/>
          <w:bCs/>
          <w:w w:val="105"/>
        </w:rPr>
        <w:t>Xa</w:t>
      </w:r>
      <w:r w:rsidR="0072037C" w:rsidRPr="00F7245E">
        <w:rPr>
          <w:rFonts w:cs="Times New Roman"/>
          <w:b/>
          <w:bCs/>
          <w:spacing w:val="-18"/>
          <w:w w:val="105"/>
        </w:rPr>
        <w:t xml:space="preserve"> </w:t>
      </w:r>
      <w:r w:rsidR="0072037C" w:rsidRPr="00F7245E">
        <w:rPr>
          <w:rFonts w:cs="Times New Roman"/>
          <w:b/>
          <w:bCs/>
          <w:w w:val="105"/>
        </w:rPr>
        <w:t>faktor-elleni aktivitás</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1"/>
        <w:gridCol w:w="1843"/>
        <w:gridCol w:w="1843"/>
        <w:gridCol w:w="1942"/>
        <w:gridCol w:w="1743"/>
      </w:tblGrid>
      <w:tr w:rsidR="00B62AE4" w:rsidRPr="00F7245E" w14:paraId="375E05BE" w14:textId="77777777" w:rsidTr="0072037C">
        <w:trPr>
          <w:trHeight w:val="1257"/>
        </w:trPr>
        <w:tc>
          <w:tcPr>
            <w:tcW w:w="1701" w:type="dxa"/>
          </w:tcPr>
          <w:p w14:paraId="029C87B0" w14:textId="77777777" w:rsidR="00B62AE4" w:rsidRPr="00F7245E" w:rsidRDefault="00B62AE4" w:rsidP="00A21724">
            <w:pPr>
              <w:pStyle w:val="TableParagraph"/>
              <w:rPr>
                <w:lang w:val="hu-HU"/>
              </w:rPr>
            </w:pPr>
          </w:p>
        </w:tc>
        <w:tc>
          <w:tcPr>
            <w:tcW w:w="1843" w:type="dxa"/>
          </w:tcPr>
          <w:p w14:paraId="0C448317" w14:textId="11D7A852" w:rsidR="00AF1601" w:rsidRPr="00F7245E" w:rsidRDefault="0072037C" w:rsidP="00A21724">
            <w:pPr>
              <w:pStyle w:val="Nincstrkz"/>
              <w:jc w:val="center"/>
              <w:rPr>
                <w:rFonts w:cs="Times New Roman"/>
                <w:b/>
                <w:bCs/>
                <w:w w:val="105"/>
                <w:lang w:val="hu-HU"/>
              </w:rPr>
            </w:pPr>
            <w:r w:rsidRPr="00F7245E">
              <w:rPr>
                <w:rFonts w:cs="Times New Roman"/>
                <w:b/>
                <w:bCs/>
                <w:w w:val="105"/>
              </w:rPr>
              <w:t>A</w:t>
            </w:r>
            <w:r w:rsidR="002C0B56" w:rsidRPr="00F7245E">
              <w:rPr>
                <w:rFonts w:cs="Times New Roman"/>
                <w:b/>
                <w:bCs/>
                <w:w w:val="105"/>
              </w:rPr>
              <w:t>pixabán</w:t>
            </w:r>
          </w:p>
          <w:p w14:paraId="4CD5EDAA" w14:textId="10494011" w:rsidR="00425521" w:rsidRPr="00F7245E" w:rsidRDefault="00AF1601" w:rsidP="00A21724">
            <w:pPr>
              <w:pStyle w:val="Nincstrkz"/>
              <w:jc w:val="center"/>
              <w:rPr>
                <w:rFonts w:cs="Times New Roman"/>
                <w:b/>
                <w:bCs/>
                <w:w w:val="105"/>
                <w:lang w:val="hu-HU"/>
              </w:rPr>
            </w:pPr>
            <w:r w:rsidRPr="00F7245E">
              <w:rPr>
                <w:rFonts w:cs="Times New Roman"/>
                <w:b/>
              </w:rPr>
              <w:t>C</w:t>
            </w:r>
            <w:r w:rsidRPr="00F7245E">
              <w:rPr>
                <w:rFonts w:cs="Times New Roman"/>
                <w:b/>
                <w:vertAlign w:val="subscript"/>
              </w:rPr>
              <w:t>max</w:t>
            </w:r>
          </w:p>
          <w:p w14:paraId="4A0E0C5B" w14:textId="315CB69A" w:rsidR="00B62AE4" w:rsidRPr="00F7245E" w:rsidRDefault="00B62AE4" w:rsidP="00A21724">
            <w:pPr>
              <w:pStyle w:val="Nincstrkz"/>
              <w:jc w:val="center"/>
              <w:rPr>
                <w:rFonts w:cs="Times New Roman"/>
                <w:b/>
                <w:bCs/>
                <w:lang w:val="hu-HU"/>
              </w:rPr>
            </w:pPr>
            <w:r w:rsidRPr="00F7245E">
              <w:rPr>
                <w:rFonts w:cs="Times New Roman"/>
                <w:b/>
                <w:bCs/>
                <w:w w:val="105"/>
                <w:position w:val="2"/>
              </w:rPr>
              <w:t>(ng/ml)</w:t>
            </w:r>
          </w:p>
        </w:tc>
        <w:tc>
          <w:tcPr>
            <w:tcW w:w="1843" w:type="dxa"/>
          </w:tcPr>
          <w:p w14:paraId="17F06D11" w14:textId="3CF69224" w:rsidR="007E5354" w:rsidRPr="00F7245E" w:rsidRDefault="0072037C" w:rsidP="00A21724">
            <w:pPr>
              <w:pStyle w:val="Nincstrkz"/>
              <w:jc w:val="center"/>
              <w:rPr>
                <w:rFonts w:cs="Times New Roman"/>
                <w:b/>
                <w:bCs/>
                <w:w w:val="105"/>
                <w:lang w:val="hu-HU"/>
              </w:rPr>
            </w:pPr>
            <w:r w:rsidRPr="00F7245E">
              <w:rPr>
                <w:rFonts w:cs="Times New Roman"/>
                <w:b/>
                <w:bCs/>
                <w:w w:val="105"/>
              </w:rPr>
              <w:t>A</w:t>
            </w:r>
            <w:r w:rsidR="002C0B56" w:rsidRPr="00F7245E">
              <w:rPr>
                <w:rFonts w:cs="Times New Roman"/>
                <w:b/>
                <w:bCs/>
                <w:w w:val="105"/>
              </w:rPr>
              <w:t>pixabán</w:t>
            </w:r>
          </w:p>
          <w:p w14:paraId="3DFBEAA5" w14:textId="53CC78CF" w:rsidR="00425521" w:rsidRPr="00F7245E" w:rsidRDefault="007E5354" w:rsidP="00A21724">
            <w:pPr>
              <w:pStyle w:val="Nincstrkz"/>
              <w:jc w:val="center"/>
              <w:rPr>
                <w:rFonts w:cs="Times New Roman"/>
                <w:b/>
                <w:bCs/>
                <w:w w:val="105"/>
                <w:lang w:val="hu-HU"/>
              </w:rPr>
            </w:pPr>
            <w:r w:rsidRPr="00F7245E">
              <w:rPr>
                <w:rFonts w:cs="Times New Roman"/>
                <w:b/>
              </w:rPr>
              <w:t>C</w:t>
            </w:r>
            <w:r w:rsidRPr="00F7245E">
              <w:rPr>
                <w:rFonts w:cs="Times New Roman"/>
                <w:b/>
                <w:vertAlign w:val="subscript"/>
              </w:rPr>
              <w:t>min</w:t>
            </w:r>
          </w:p>
          <w:p w14:paraId="17FCD95A" w14:textId="460B63AE" w:rsidR="00B62AE4" w:rsidRPr="00F7245E" w:rsidRDefault="00B62AE4" w:rsidP="00A21724">
            <w:pPr>
              <w:pStyle w:val="Nincstrkz"/>
              <w:jc w:val="center"/>
              <w:rPr>
                <w:rFonts w:cs="Times New Roman"/>
                <w:b/>
                <w:bCs/>
                <w:lang w:val="hu-HU"/>
              </w:rPr>
            </w:pPr>
            <w:r w:rsidRPr="00F7245E">
              <w:rPr>
                <w:rFonts w:cs="Times New Roman"/>
                <w:b/>
                <w:bCs/>
                <w:w w:val="105"/>
                <w:position w:val="2"/>
              </w:rPr>
              <w:t>(ng/ml)</w:t>
            </w:r>
          </w:p>
        </w:tc>
        <w:tc>
          <w:tcPr>
            <w:tcW w:w="1942" w:type="dxa"/>
            <w:vAlign w:val="center"/>
          </w:tcPr>
          <w:p w14:paraId="46DF9A76" w14:textId="77D7FA09" w:rsidR="00425521" w:rsidRPr="00F7245E" w:rsidRDefault="0072037C" w:rsidP="00A21724">
            <w:pPr>
              <w:pStyle w:val="Nincstrkz"/>
              <w:jc w:val="center"/>
              <w:rPr>
                <w:rFonts w:cs="Times New Roman"/>
                <w:b/>
                <w:bCs/>
                <w:w w:val="105"/>
                <w:lang w:val="hu-HU"/>
              </w:rPr>
            </w:pPr>
            <w:r w:rsidRPr="00F7245E">
              <w:rPr>
                <w:rFonts w:cs="Times New Roman"/>
                <w:b/>
                <w:bCs/>
                <w:w w:val="105"/>
              </w:rPr>
              <w:t>A</w:t>
            </w:r>
            <w:r w:rsidR="00CA2919" w:rsidRPr="00F7245E">
              <w:rPr>
                <w:rFonts w:cs="Times New Roman"/>
                <w:b/>
                <w:bCs/>
                <w:w w:val="105"/>
              </w:rPr>
              <w:t xml:space="preserve">pixabán </w:t>
            </w:r>
            <w:r w:rsidR="00B62AE4" w:rsidRPr="00F7245E">
              <w:rPr>
                <w:rFonts w:cs="Times New Roman"/>
                <w:b/>
                <w:bCs/>
                <w:w w:val="105"/>
              </w:rPr>
              <w:t xml:space="preserve">Xa </w:t>
            </w:r>
            <w:r w:rsidR="00B62AE4" w:rsidRPr="00F7245E">
              <w:rPr>
                <w:rFonts w:cs="Times New Roman"/>
                <w:b/>
                <w:bCs/>
              </w:rPr>
              <w:t>faktor-ellen</w:t>
            </w:r>
            <w:r w:rsidR="004A1F84" w:rsidRPr="00F7245E">
              <w:rPr>
                <w:rFonts w:cs="Times New Roman"/>
                <w:b/>
                <w:bCs/>
              </w:rPr>
              <w:t>i</w:t>
            </w:r>
            <w:r w:rsidR="00B62AE4" w:rsidRPr="00F7245E">
              <w:rPr>
                <w:rFonts w:cs="Times New Roman"/>
                <w:b/>
                <w:bCs/>
              </w:rPr>
              <w:t xml:space="preserve"> </w:t>
            </w:r>
            <w:r w:rsidR="00B62AE4" w:rsidRPr="00F7245E">
              <w:rPr>
                <w:rFonts w:cs="Times New Roman"/>
                <w:b/>
                <w:bCs/>
                <w:w w:val="105"/>
              </w:rPr>
              <w:t>aktivitás</w:t>
            </w:r>
          </w:p>
          <w:p w14:paraId="1B24C0C9" w14:textId="46FDD800" w:rsidR="00425521" w:rsidRPr="00F7245E" w:rsidRDefault="00B62AE4" w:rsidP="00A21724">
            <w:pPr>
              <w:pStyle w:val="Nincstrkz"/>
              <w:jc w:val="center"/>
              <w:rPr>
                <w:rFonts w:cs="Times New Roman"/>
                <w:b/>
                <w:bCs/>
                <w:w w:val="105"/>
                <w:lang w:val="hu-HU"/>
              </w:rPr>
            </w:pPr>
            <w:r w:rsidRPr="00F7245E">
              <w:rPr>
                <w:rFonts w:cs="Times New Roman"/>
                <w:b/>
                <w:bCs/>
                <w:w w:val="105"/>
              </w:rPr>
              <w:t>maximális</w:t>
            </w:r>
          </w:p>
          <w:p w14:paraId="5A2B1774" w14:textId="0B3569B3" w:rsidR="00B62AE4" w:rsidRPr="00F7245E" w:rsidRDefault="00B62AE4" w:rsidP="00A21724">
            <w:pPr>
              <w:pStyle w:val="Nincstrkz"/>
              <w:jc w:val="center"/>
              <w:rPr>
                <w:rFonts w:cs="Times New Roman"/>
                <w:b/>
                <w:bCs/>
                <w:lang w:val="hu-HU"/>
              </w:rPr>
            </w:pPr>
            <w:r w:rsidRPr="00F7245E">
              <w:rPr>
                <w:rFonts w:cs="Times New Roman"/>
                <w:b/>
                <w:bCs/>
                <w:w w:val="105"/>
              </w:rPr>
              <w:t>(NE/ml)</w:t>
            </w:r>
          </w:p>
        </w:tc>
        <w:tc>
          <w:tcPr>
            <w:tcW w:w="1743" w:type="dxa"/>
            <w:vAlign w:val="center"/>
          </w:tcPr>
          <w:p w14:paraId="422F9B1A" w14:textId="22ECEFEA" w:rsidR="00B62AE4" w:rsidRPr="00F7245E" w:rsidRDefault="0072037C" w:rsidP="00A21724">
            <w:pPr>
              <w:pStyle w:val="Nincstrkz"/>
              <w:jc w:val="center"/>
              <w:rPr>
                <w:rFonts w:cs="Times New Roman"/>
                <w:b/>
                <w:bCs/>
                <w:lang w:val="hu-HU"/>
              </w:rPr>
            </w:pPr>
            <w:r w:rsidRPr="00F7245E">
              <w:rPr>
                <w:rFonts w:cs="Times New Roman"/>
                <w:b/>
                <w:bCs/>
                <w:w w:val="105"/>
              </w:rPr>
              <w:t>A</w:t>
            </w:r>
            <w:r w:rsidR="00CA2919" w:rsidRPr="00F7245E">
              <w:rPr>
                <w:rFonts w:cs="Times New Roman"/>
                <w:b/>
                <w:bCs/>
                <w:w w:val="105"/>
              </w:rPr>
              <w:t xml:space="preserve">pixabán </w:t>
            </w:r>
            <w:r w:rsidR="00B62AE4" w:rsidRPr="00F7245E">
              <w:rPr>
                <w:rFonts w:cs="Times New Roman"/>
                <w:b/>
                <w:bCs/>
                <w:w w:val="105"/>
              </w:rPr>
              <w:t xml:space="preserve">Xa </w:t>
            </w:r>
            <w:r w:rsidR="00B62AE4" w:rsidRPr="00F7245E">
              <w:rPr>
                <w:rFonts w:cs="Times New Roman"/>
                <w:b/>
                <w:bCs/>
              </w:rPr>
              <w:t>faktor-ellen</w:t>
            </w:r>
            <w:r w:rsidR="004A1F84" w:rsidRPr="00F7245E">
              <w:rPr>
                <w:rFonts w:cs="Times New Roman"/>
                <w:b/>
                <w:bCs/>
              </w:rPr>
              <w:t>i</w:t>
            </w:r>
            <w:r w:rsidR="00B62AE4" w:rsidRPr="00F7245E">
              <w:rPr>
                <w:rFonts w:cs="Times New Roman"/>
                <w:b/>
                <w:bCs/>
              </w:rPr>
              <w:t xml:space="preserve"> </w:t>
            </w:r>
            <w:r w:rsidR="00B62AE4" w:rsidRPr="00F7245E">
              <w:rPr>
                <w:rFonts w:cs="Times New Roman"/>
                <w:b/>
                <w:bCs/>
                <w:w w:val="105"/>
              </w:rPr>
              <w:t>aktivitás minimális (NE/ml)</w:t>
            </w:r>
          </w:p>
        </w:tc>
      </w:tr>
      <w:tr w:rsidR="00B62AE4" w:rsidRPr="00F7245E" w14:paraId="205BD3EA" w14:textId="77777777" w:rsidTr="00425521">
        <w:trPr>
          <w:trHeight w:val="342"/>
        </w:trPr>
        <w:tc>
          <w:tcPr>
            <w:tcW w:w="1701" w:type="dxa"/>
          </w:tcPr>
          <w:p w14:paraId="2D0F26F0" w14:textId="77777777" w:rsidR="00B62AE4" w:rsidRPr="00F7245E" w:rsidRDefault="00B62AE4" w:rsidP="00A21724">
            <w:pPr>
              <w:pStyle w:val="TableParagraph"/>
              <w:rPr>
                <w:lang w:val="hu-HU"/>
              </w:rPr>
            </w:pPr>
          </w:p>
        </w:tc>
        <w:tc>
          <w:tcPr>
            <w:tcW w:w="7371" w:type="dxa"/>
            <w:gridSpan w:val="4"/>
            <w:vAlign w:val="center"/>
          </w:tcPr>
          <w:p w14:paraId="395581A8" w14:textId="40423139" w:rsidR="00B62AE4" w:rsidRPr="00F7245E" w:rsidRDefault="0072037C" w:rsidP="00A21724">
            <w:pPr>
              <w:pStyle w:val="TableParagraph"/>
              <w:ind w:left="2501" w:right="-2"/>
              <w:rPr>
                <w:lang w:val="hu-HU"/>
              </w:rPr>
            </w:pPr>
            <w:r w:rsidRPr="00F7245E">
              <w:rPr>
                <w:w w:val="105"/>
              </w:rPr>
              <w:t>M</w:t>
            </w:r>
            <w:r w:rsidR="00B62AE4" w:rsidRPr="00F7245E">
              <w:rPr>
                <w:w w:val="105"/>
              </w:rPr>
              <w:t>edián [5; 95</w:t>
            </w:r>
            <w:r w:rsidR="00AF1601" w:rsidRPr="00F7245E">
              <w:rPr>
                <w:w w:val="105"/>
              </w:rPr>
              <w:t> perc</w:t>
            </w:r>
            <w:r w:rsidR="00B62AE4" w:rsidRPr="00F7245E">
              <w:rPr>
                <w:w w:val="105"/>
              </w:rPr>
              <w:t>entilis]</w:t>
            </w:r>
          </w:p>
        </w:tc>
      </w:tr>
      <w:tr w:rsidR="00B62AE4" w:rsidRPr="00F7245E" w14:paraId="3300FF41" w14:textId="77777777" w:rsidTr="00387C2D">
        <w:trPr>
          <w:trHeight w:val="445"/>
        </w:trPr>
        <w:tc>
          <w:tcPr>
            <w:tcW w:w="9072" w:type="dxa"/>
            <w:gridSpan w:val="5"/>
            <w:vAlign w:val="center"/>
          </w:tcPr>
          <w:p w14:paraId="7DDD6F3A" w14:textId="77777777" w:rsidR="00B62AE4" w:rsidRPr="00F7245E" w:rsidRDefault="00B62AE4" w:rsidP="00A21724">
            <w:pPr>
              <w:pStyle w:val="TableParagraph"/>
              <w:ind w:left="100"/>
              <w:rPr>
                <w:i/>
                <w:lang w:val="hu-HU"/>
              </w:rPr>
            </w:pPr>
            <w:r w:rsidRPr="00F7245E">
              <w:rPr>
                <w:i/>
                <w:w w:val="105"/>
              </w:rPr>
              <w:t>VTE prevenciója: elektív csípő- vagy térdprotézis műtét</w:t>
            </w:r>
          </w:p>
        </w:tc>
      </w:tr>
      <w:tr w:rsidR="00B62AE4" w:rsidRPr="00F7245E" w14:paraId="445508BC" w14:textId="77777777" w:rsidTr="00590472">
        <w:trPr>
          <w:trHeight w:val="707"/>
        </w:trPr>
        <w:tc>
          <w:tcPr>
            <w:tcW w:w="1701" w:type="dxa"/>
            <w:vAlign w:val="center"/>
          </w:tcPr>
          <w:p w14:paraId="484D2BC4" w14:textId="121713EA" w:rsidR="00B62AE4" w:rsidRPr="00F7245E" w:rsidRDefault="00B62AE4" w:rsidP="00A21724">
            <w:pPr>
              <w:pStyle w:val="TableParagraph"/>
              <w:ind w:left="100" w:right="91"/>
              <w:rPr>
                <w:lang w:val="hu-HU"/>
              </w:rPr>
            </w:pPr>
            <w:r w:rsidRPr="00F7245E">
              <w:rPr>
                <w:w w:val="105"/>
              </w:rPr>
              <w:t>2,5</w:t>
            </w:r>
            <w:r w:rsidR="004C106B" w:rsidRPr="00F7245E">
              <w:rPr>
                <w:w w:val="105"/>
              </w:rPr>
              <w:t> mg</w:t>
            </w:r>
            <w:r w:rsidR="00425521" w:rsidRPr="00F7245E">
              <w:rPr>
                <w:w w:val="105"/>
              </w:rPr>
              <w:t xml:space="preserve"> </w:t>
            </w:r>
            <w:r w:rsidR="003B67D5" w:rsidRPr="00F7245E">
              <w:rPr>
                <w:w w:val="105"/>
              </w:rPr>
              <w:t>nap</w:t>
            </w:r>
            <w:r w:rsidRPr="00F7245E">
              <w:rPr>
                <w:w w:val="105"/>
              </w:rPr>
              <w:t>onta kétszer</w:t>
            </w:r>
          </w:p>
        </w:tc>
        <w:tc>
          <w:tcPr>
            <w:tcW w:w="1843" w:type="dxa"/>
            <w:vAlign w:val="center"/>
          </w:tcPr>
          <w:p w14:paraId="5394DF29" w14:textId="77777777" w:rsidR="00B62AE4" w:rsidRPr="00F7245E" w:rsidRDefault="00B62AE4" w:rsidP="00A21724">
            <w:pPr>
              <w:pStyle w:val="TableParagraph"/>
              <w:ind w:left="254" w:right="247"/>
              <w:rPr>
                <w:lang w:val="hu-HU"/>
              </w:rPr>
            </w:pPr>
            <w:r w:rsidRPr="00F7245E">
              <w:rPr>
                <w:w w:val="105"/>
              </w:rPr>
              <w:t>77 [41; 146]</w:t>
            </w:r>
          </w:p>
        </w:tc>
        <w:tc>
          <w:tcPr>
            <w:tcW w:w="1843" w:type="dxa"/>
            <w:vAlign w:val="center"/>
          </w:tcPr>
          <w:p w14:paraId="11420363" w14:textId="77777777" w:rsidR="00B62AE4" w:rsidRPr="00F7245E" w:rsidRDefault="00B62AE4" w:rsidP="00A21724">
            <w:pPr>
              <w:pStyle w:val="TableParagraph"/>
              <w:ind w:left="252" w:right="248"/>
              <w:rPr>
                <w:lang w:val="hu-HU"/>
              </w:rPr>
            </w:pPr>
            <w:r w:rsidRPr="00F7245E">
              <w:rPr>
                <w:w w:val="105"/>
              </w:rPr>
              <w:t>51 [23; 109]</w:t>
            </w:r>
          </w:p>
        </w:tc>
        <w:tc>
          <w:tcPr>
            <w:tcW w:w="1942" w:type="dxa"/>
            <w:vAlign w:val="center"/>
          </w:tcPr>
          <w:p w14:paraId="2C889820" w14:textId="77777777" w:rsidR="00B62AE4" w:rsidRPr="00F7245E" w:rsidRDefault="00B62AE4" w:rsidP="00A21724">
            <w:pPr>
              <w:pStyle w:val="TableParagraph"/>
              <w:ind w:left="279" w:right="274"/>
              <w:rPr>
                <w:lang w:val="hu-HU"/>
              </w:rPr>
            </w:pPr>
            <w:r w:rsidRPr="00F7245E">
              <w:rPr>
                <w:w w:val="105"/>
              </w:rPr>
              <w:t>1,3 [0,67; 2,4]</w:t>
            </w:r>
          </w:p>
        </w:tc>
        <w:tc>
          <w:tcPr>
            <w:tcW w:w="1743" w:type="dxa"/>
            <w:vAlign w:val="center"/>
          </w:tcPr>
          <w:p w14:paraId="0F40CF15" w14:textId="77777777" w:rsidR="00B62AE4" w:rsidRPr="00F7245E" w:rsidRDefault="00B62AE4" w:rsidP="00A21724">
            <w:pPr>
              <w:pStyle w:val="TableParagraph"/>
              <w:ind w:left="257"/>
              <w:rPr>
                <w:lang w:val="hu-HU"/>
              </w:rPr>
            </w:pPr>
            <w:r w:rsidRPr="00F7245E">
              <w:rPr>
                <w:w w:val="105"/>
              </w:rPr>
              <w:t>0,84 [0,37; 1,8]</w:t>
            </w:r>
          </w:p>
        </w:tc>
      </w:tr>
      <w:tr w:rsidR="00B62AE4" w:rsidRPr="00F7245E" w14:paraId="734F5FFE" w14:textId="77777777" w:rsidTr="00387C2D">
        <w:trPr>
          <w:trHeight w:val="419"/>
        </w:trPr>
        <w:tc>
          <w:tcPr>
            <w:tcW w:w="9072" w:type="dxa"/>
            <w:gridSpan w:val="5"/>
          </w:tcPr>
          <w:p w14:paraId="0D3CDF4E" w14:textId="36D2144E" w:rsidR="00B62AE4" w:rsidRPr="00F7245E" w:rsidRDefault="004A1F84" w:rsidP="00A21724">
            <w:pPr>
              <w:pStyle w:val="TableParagraph"/>
              <w:ind w:left="100"/>
              <w:rPr>
                <w:i/>
                <w:lang w:val="hu-HU"/>
              </w:rPr>
            </w:pPr>
            <w:r w:rsidRPr="00F7245E">
              <w:rPr>
                <w:i/>
                <w:w w:val="105"/>
              </w:rPr>
              <w:t>S</w:t>
            </w:r>
            <w:r w:rsidR="00B62AE4" w:rsidRPr="00F7245E">
              <w:rPr>
                <w:i/>
                <w:w w:val="105"/>
              </w:rPr>
              <w:t>troke és szisztémás embolizáció megelőzése: NVPF</w:t>
            </w:r>
          </w:p>
        </w:tc>
      </w:tr>
      <w:tr w:rsidR="00B62AE4" w:rsidRPr="00F7245E" w14:paraId="62707BBE" w14:textId="77777777" w:rsidTr="00590472">
        <w:trPr>
          <w:trHeight w:val="695"/>
        </w:trPr>
        <w:tc>
          <w:tcPr>
            <w:tcW w:w="1701" w:type="dxa"/>
            <w:vAlign w:val="center"/>
          </w:tcPr>
          <w:p w14:paraId="47227701" w14:textId="7F2369C8" w:rsidR="00B62AE4" w:rsidRPr="00F7245E" w:rsidRDefault="00B62AE4" w:rsidP="00A21724">
            <w:pPr>
              <w:pStyle w:val="TableParagraph"/>
              <w:ind w:left="100" w:right="91"/>
              <w:rPr>
                <w:lang w:val="hu-HU"/>
              </w:rPr>
            </w:pPr>
            <w:r w:rsidRPr="00F7245E">
              <w:rPr>
                <w:w w:val="105"/>
              </w:rPr>
              <w:t>2,5</w:t>
            </w:r>
            <w:r w:rsidR="004C106B" w:rsidRPr="00F7245E">
              <w:rPr>
                <w:w w:val="105"/>
              </w:rPr>
              <w:t> mg</w:t>
            </w:r>
            <w:r w:rsidR="00425521" w:rsidRPr="00F7245E">
              <w:rPr>
                <w:w w:val="105"/>
              </w:rPr>
              <w:t xml:space="preserve"> </w:t>
            </w:r>
            <w:r w:rsidR="003B67D5" w:rsidRPr="00F7245E">
              <w:rPr>
                <w:w w:val="105"/>
              </w:rPr>
              <w:t>nap</w:t>
            </w:r>
            <w:r w:rsidRPr="00F7245E">
              <w:rPr>
                <w:w w:val="105"/>
              </w:rPr>
              <w:t>onta kétszer*</w:t>
            </w:r>
          </w:p>
        </w:tc>
        <w:tc>
          <w:tcPr>
            <w:tcW w:w="1843" w:type="dxa"/>
          </w:tcPr>
          <w:p w14:paraId="103C3237" w14:textId="77777777" w:rsidR="00B62AE4" w:rsidRPr="00F7245E" w:rsidRDefault="00B62AE4" w:rsidP="00A21724">
            <w:pPr>
              <w:pStyle w:val="TableParagraph"/>
              <w:ind w:left="254" w:right="247"/>
              <w:jc w:val="center"/>
              <w:rPr>
                <w:lang w:val="hu-HU"/>
              </w:rPr>
            </w:pPr>
            <w:r w:rsidRPr="00F7245E">
              <w:rPr>
                <w:w w:val="105"/>
              </w:rPr>
              <w:t>123 [69; 221]</w:t>
            </w:r>
          </w:p>
        </w:tc>
        <w:tc>
          <w:tcPr>
            <w:tcW w:w="1843" w:type="dxa"/>
          </w:tcPr>
          <w:p w14:paraId="705F1B14" w14:textId="77777777" w:rsidR="00B62AE4" w:rsidRPr="00F7245E" w:rsidRDefault="00B62AE4" w:rsidP="00A21724">
            <w:pPr>
              <w:pStyle w:val="TableParagraph"/>
              <w:ind w:left="253" w:right="248"/>
              <w:jc w:val="center"/>
              <w:rPr>
                <w:lang w:val="hu-HU"/>
              </w:rPr>
            </w:pPr>
            <w:r w:rsidRPr="00F7245E">
              <w:rPr>
                <w:w w:val="105"/>
              </w:rPr>
              <w:t>79 [34; 162]</w:t>
            </w:r>
          </w:p>
        </w:tc>
        <w:tc>
          <w:tcPr>
            <w:tcW w:w="1942" w:type="dxa"/>
          </w:tcPr>
          <w:p w14:paraId="0B9EC9D3" w14:textId="77777777" w:rsidR="00B62AE4" w:rsidRPr="00F7245E" w:rsidRDefault="00B62AE4" w:rsidP="00A21724">
            <w:pPr>
              <w:pStyle w:val="TableParagraph"/>
              <w:ind w:left="279" w:right="274"/>
              <w:jc w:val="center"/>
              <w:rPr>
                <w:lang w:val="hu-HU"/>
              </w:rPr>
            </w:pPr>
            <w:r w:rsidRPr="00F7245E">
              <w:rPr>
                <w:w w:val="105"/>
              </w:rPr>
              <w:t>1,8 [1,0; 3,3]</w:t>
            </w:r>
          </w:p>
        </w:tc>
        <w:tc>
          <w:tcPr>
            <w:tcW w:w="1743" w:type="dxa"/>
          </w:tcPr>
          <w:p w14:paraId="65B16B5B" w14:textId="77777777" w:rsidR="00B62AE4" w:rsidRPr="00F7245E" w:rsidRDefault="00B62AE4" w:rsidP="00A21724">
            <w:pPr>
              <w:pStyle w:val="TableParagraph"/>
              <w:ind w:left="309"/>
              <w:rPr>
                <w:lang w:val="hu-HU"/>
              </w:rPr>
            </w:pPr>
            <w:r w:rsidRPr="00F7245E">
              <w:rPr>
                <w:w w:val="105"/>
              </w:rPr>
              <w:t>1,2 [0,51; 2,4]</w:t>
            </w:r>
          </w:p>
        </w:tc>
      </w:tr>
      <w:tr w:rsidR="00B62AE4" w:rsidRPr="00F7245E" w14:paraId="6F67E359" w14:textId="77777777" w:rsidTr="00590472">
        <w:trPr>
          <w:trHeight w:val="705"/>
        </w:trPr>
        <w:tc>
          <w:tcPr>
            <w:tcW w:w="1701" w:type="dxa"/>
          </w:tcPr>
          <w:p w14:paraId="10480144" w14:textId="27B020E5" w:rsidR="00B62AE4" w:rsidRPr="00F7245E" w:rsidRDefault="00B62AE4" w:rsidP="00A21724">
            <w:pPr>
              <w:pStyle w:val="TableParagraph"/>
              <w:ind w:left="100" w:right="91"/>
              <w:rPr>
                <w:lang w:val="hu-HU"/>
              </w:rPr>
            </w:pPr>
            <w:r w:rsidRPr="00F7245E">
              <w:rPr>
                <w:w w:val="105"/>
              </w:rPr>
              <w:t>5</w:t>
            </w:r>
            <w:r w:rsidR="004C106B" w:rsidRPr="00F7245E">
              <w:rPr>
                <w:w w:val="105"/>
              </w:rPr>
              <w:t> mg</w:t>
            </w:r>
            <w:r w:rsidR="00425521" w:rsidRPr="00F7245E">
              <w:rPr>
                <w:w w:val="105"/>
              </w:rPr>
              <w:t xml:space="preserve"> </w:t>
            </w:r>
            <w:r w:rsidR="003B67D5" w:rsidRPr="00F7245E">
              <w:rPr>
                <w:w w:val="105"/>
              </w:rPr>
              <w:t>nap</w:t>
            </w:r>
            <w:r w:rsidRPr="00F7245E">
              <w:rPr>
                <w:w w:val="105"/>
              </w:rPr>
              <w:t>onta kétszer</w:t>
            </w:r>
          </w:p>
        </w:tc>
        <w:tc>
          <w:tcPr>
            <w:tcW w:w="1843" w:type="dxa"/>
          </w:tcPr>
          <w:p w14:paraId="35654DFE" w14:textId="77777777" w:rsidR="00B62AE4" w:rsidRPr="00F7245E" w:rsidRDefault="00B62AE4" w:rsidP="00A21724">
            <w:pPr>
              <w:pStyle w:val="TableParagraph"/>
              <w:ind w:left="254" w:right="247"/>
              <w:jc w:val="center"/>
              <w:rPr>
                <w:lang w:val="hu-HU"/>
              </w:rPr>
            </w:pPr>
            <w:r w:rsidRPr="00F7245E">
              <w:rPr>
                <w:w w:val="105"/>
              </w:rPr>
              <w:t>171 [91; 321]</w:t>
            </w:r>
          </w:p>
        </w:tc>
        <w:tc>
          <w:tcPr>
            <w:tcW w:w="1843" w:type="dxa"/>
          </w:tcPr>
          <w:p w14:paraId="0A6DDD46" w14:textId="77777777" w:rsidR="00B62AE4" w:rsidRPr="00F7245E" w:rsidRDefault="00B62AE4" w:rsidP="00A21724">
            <w:pPr>
              <w:pStyle w:val="TableParagraph"/>
              <w:ind w:left="254" w:right="246"/>
              <w:jc w:val="center"/>
              <w:rPr>
                <w:lang w:val="hu-HU"/>
              </w:rPr>
            </w:pPr>
            <w:r w:rsidRPr="00F7245E">
              <w:rPr>
                <w:w w:val="105"/>
              </w:rPr>
              <w:t>103 [41; 230]</w:t>
            </w:r>
          </w:p>
        </w:tc>
        <w:tc>
          <w:tcPr>
            <w:tcW w:w="1942" w:type="dxa"/>
          </w:tcPr>
          <w:p w14:paraId="33CE6B4C" w14:textId="77777777" w:rsidR="00B62AE4" w:rsidRPr="00F7245E" w:rsidRDefault="00B62AE4" w:rsidP="00A21724">
            <w:pPr>
              <w:pStyle w:val="TableParagraph"/>
              <w:ind w:left="280" w:right="274"/>
              <w:jc w:val="center"/>
              <w:rPr>
                <w:lang w:val="hu-HU"/>
              </w:rPr>
            </w:pPr>
            <w:r w:rsidRPr="00F7245E">
              <w:rPr>
                <w:w w:val="105"/>
              </w:rPr>
              <w:t>2,6 [1,4; 4,8]</w:t>
            </w:r>
          </w:p>
        </w:tc>
        <w:tc>
          <w:tcPr>
            <w:tcW w:w="1743" w:type="dxa"/>
          </w:tcPr>
          <w:p w14:paraId="10F7042D" w14:textId="77777777" w:rsidR="00B62AE4" w:rsidRPr="00F7245E" w:rsidRDefault="00B62AE4" w:rsidP="00A21724">
            <w:pPr>
              <w:pStyle w:val="TableParagraph"/>
              <w:ind w:left="309"/>
              <w:rPr>
                <w:lang w:val="hu-HU"/>
              </w:rPr>
            </w:pPr>
            <w:r w:rsidRPr="00F7245E">
              <w:rPr>
                <w:w w:val="105"/>
              </w:rPr>
              <w:t>1,5 [0,61; 3,4]</w:t>
            </w:r>
          </w:p>
        </w:tc>
      </w:tr>
      <w:tr w:rsidR="00B62AE4" w:rsidRPr="00F7245E" w14:paraId="636E2039" w14:textId="77777777" w:rsidTr="00387C2D">
        <w:trPr>
          <w:trHeight w:val="404"/>
        </w:trPr>
        <w:tc>
          <w:tcPr>
            <w:tcW w:w="9072" w:type="dxa"/>
            <w:gridSpan w:val="5"/>
          </w:tcPr>
          <w:p w14:paraId="7F89C597" w14:textId="4E4770C4" w:rsidR="00B62AE4" w:rsidRPr="00F7245E" w:rsidRDefault="00B62AE4" w:rsidP="00A21724">
            <w:pPr>
              <w:pStyle w:val="TableParagraph"/>
              <w:keepNext/>
              <w:widowControl/>
              <w:ind w:left="100"/>
              <w:rPr>
                <w:i/>
                <w:lang w:val="hu-HU"/>
              </w:rPr>
            </w:pPr>
            <w:r w:rsidRPr="00F7245E">
              <w:rPr>
                <w:i/>
                <w:w w:val="105"/>
              </w:rPr>
              <w:t>MVT kezelése, PE kezelése, valamint MVT és PE kiújulásának megelőzése (VTEt)</w:t>
            </w:r>
          </w:p>
        </w:tc>
      </w:tr>
      <w:tr w:rsidR="00B62AE4" w:rsidRPr="00F7245E" w14:paraId="3B28B9DB" w14:textId="77777777" w:rsidTr="00590472">
        <w:trPr>
          <w:trHeight w:val="707"/>
        </w:trPr>
        <w:tc>
          <w:tcPr>
            <w:tcW w:w="1701" w:type="dxa"/>
            <w:vAlign w:val="center"/>
          </w:tcPr>
          <w:p w14:paraId="12D719FB" w14:textId="0C67A47D" w:rsidR="00B62AE4" w:rsidRPr="00F7245E" w:rsidRDefault="00B62AE4" w:rsidP="00A21724">
            <w:pPr>
              <w:pStyle w:val="TableParagraph"/>
              <w:ind w:left="100" w:right="91"/>
              <w:rPr>
                <w:lang w:val="hu-HU"/>
              </w:rPr>
            </w:pPr>
            <w:r w:rsidRPr="00F7245E">
              <w:rPr>
                <w:w w:val="105"/>
              </w:rPr>
              <w:t>2,5</w:t>
            </w:r>
            <w:r w:rsidR="004C106B" w:rsidRPr="00F7245E">
              <w:rPr>
                <w:w w:val="105"/>
              </w:rPr>
              <w:t> mg</w:t>
            </w:r>
            <w:r w:rsidR="00425521" w:rsidRPr="00F7245E">
              <w:rPr>
                <w:w w:val="105"/>
              </w:rPr>
              <w:t xml:space="preserve"> </w:t>
            </w:r>
            <w:r w:rsidR="003B67D5" w:rsidRPr="00F7245E">
              <w:rPr>
                <w:w w:val="105"/>
              </w:rPr>
              <w:t>nap</w:t>
            </w:r>
            <w:r w:rsidRPr="00F7245E">
              <w:rPr>
                <w:w w:val="105"/>
              </w:rPr>
              <w:t>onta kétszer</w:t>
            </w:r>
          </w:p>
        </w:tc>
        <w:tc>
          <w:tcPr>
            <w:tcW w:w="1843" w:type="dxa"/>
          </w:tcPr>
          <w:p w14:paraId="610C5B8B" w14:textId="77777777" w:rsidR="00B62AE4" w:rsidRPr="00F7245E" w:rsidRDefault="00B62AE4" w:rsidP="00A21724">
            <w:pPr>
              <w:pStyle w:val="TableParagraph"/>
              <w:keepNext/>
              <w:widowControl/>
              <w:ind w:left="254" w:right="247"/>
              <w:jc w:val="center"/>
              <w:rPr>
                <w:lang w:val="hu-HU"/>
              </w:rPr>
            </w:pPr>
            <w:r w:rsidRPr="00F7245E">
              <w:rPr>
                <w:w w:val="105"/>
              </w:rPr>
              <w:t>67 [30; 153]</w:t>
            </w:r>
          </w:p>
        </w:tc>
        <w:tc>
          <w:tcPr>
            <w:tcW w:w="1843" w:type="dxa"/>
          </w:tcPr>
          <w:p w14:paraId="3220C787" w14:textId="77777777" w:rsidR="00B62AE4" w:rsidRPr="00F7245E" w:rsidRDefault="00B62AE4" w:rsidP="00A21724">
            <w:pPr>
              <w:pStyle w:val="TableParagraph"/>
              <w:keepNext/>
              <w:widowControl/>
              <w:ind w:left="252" w:right="248"/>
              <w:jc w:val="center"/>
              <w:rPr>
                <w:lang w:val="hu-HU"/>
              </w:rPr>
            </w:pPr>
            <w:r w:rsidRPr="00F7245E">
              <w:rPr>
                <w:w w:val="105"/>
              </w:rPr>
              <w:t>32 [11; 90]</w:t>
            </w:r>
          </w:p>
        </w:tc>
        <w:tc>
          <w:tcPr>
            <w:tcW w:w="1942" w:type="dxa"/>
          </w:tcPr>
          <w:p w14:paraId="2E934C54" w14:textId="77777777" w:rsidR="00B62AE4" w:rsidRPr="00F7245E" w:rsidRDefault="00B62AE4" w:rsidP="00A21724">
            <w:pPr>
              <w:pStyle w:val="TableParagraph"/>
              <w:keepNext/>
              <w:widowControl/>
              <w:ind w:left="279" w:right="274"/>
              <w:jc w:val="center"/>
              <w:rPr>
                <w:lang w:val="hu-HU"/>
              </w:rPr>
            </w:pPr>
            <w:r w:rsidRPr="00F7245E">
              <w:rPr>
                <w:w w:val="105"/>
              </w:rPr>
              <w:t>1,0 [0,46; 2,5]</w:t>
            </w:r>
          </w:p>
        </w:tc>
        <w:tc>
          <w:tcPr>
            <w:tcW w:w="1743" w:type="dxa"/>
          </w:tcPr>
          <w:p w14:paraId="63E3F487" w14:textId="77777777" w:rsidR="00B62AE4" w:rsidRPr="00F7245E" w:rsidRDefault="00B62AE4" w:rsidP="00A21724">
            <w:pPr>
              <w:pStyle w:val="TableParagraph"/>
              <w:keepNext/>
              <w:widowControl/>
              <w:ind w:left="258"/>
              <w:rPr>
                <w:lang w:val="hu-HU"/>
              </w:rPr>
            </w:pPr>
            <w:r w:rsidRPr="00F7245E">
              <w:rPr>
                <w:w w:val="105"/>
              </w:rPr>
              <w:t>0,49 [0,17; 1,4]</w:t>
            </w:r>
          </w:p>
        </w:tc>
      </w:tr>
      <w:tr w:rsidR="00B62AE4" w:rsidRPr="00F7245E" w14:paraId="6E7C7852" w14:textId="77777777" w:rsidTr="00590472">
        <w:trPr>
          <w:trHeight w:val="689"/>
        </w:trPr>
        <w:tc>
          <w:tcPr>
            <w:tcW w:w="1701" w:type="dxa"/>
            <w:vAlign w:val="center"/>
          </w:tcPr>
          <w:p w14:paraId="246EE618" w14:textId="3BE34156" w:rsidR="00B62AE4" w:rsidRPr="00F7245E" w:rsidRDefault="00B62AE4" w:rsidP="00A21724">
            <w:pPr>
              <w:pStyle w:val="TableParagraph"/>
              <w:ind w:left="100" w:right="91"/>
              <w:rPr>
                <w:lang w:val="hu-HU"/>
              </w:rPr>
            </w:pPr>
            <w:r w:rsidRPr="00F7245E">
              <w:rPr>
                <w:w w:val="105"/>
              </w:rPr>
              <w:t>5</w:t>
            </w:r>
            <w:r w:rsidR="004C106B" w:rsidRPr="00F7245E">
              <w:rPr>
                <w:w w:val="105"/>
              </w:rPr>
              <w:t> mg</w:t>
            </w:r>
            <w:r w:rsidR="00425521" w:rsidRPr="00F7245E">
              <w:rPr>
                <w:w w:val="105"/>
              </w:rPr>
              <w:t xml:space="preserve"> </w:t>
            </w:r>
            <w:r w:rsidR="003B67D5" w:rsidRPr="00F7245E">
              <w:rPr>
                <w:w w:val="105"/>
              </w:rPr>
              <w:t>nap</w:t>
            </w:r>
            <w:r w:rsidRPr="00F7245E">
              <w:rPr>
                <w:w w:val="105"/>
              </w:rPr>
              <w:t>onta kétszer</w:t>
            </w:r>
          </w:p>
        </w:tc>
        <w:tc>
          <w:tcPr>
            <w:tcW w:w="1843" w:type="dxa"/>
            <w:vAlign w:val="center"/>
          </w:tcPr>
          <w:p w14:paraId="4D7DF0E6" w14:textId="77777777" w:rsidR="00B62AE4" w:rsidRPr="00F7245E" w:rsidRDefault="00B62AE4" w:rsidP="00A21724">
            <w:pPr>
              <w:pStyle w:val="TableParagraph"/>
              <w:ind w:left="254" w:right="247"/>
              <w:jc w:val="center"/>
              <w:rPr>
                <w:lang w:val="hu-HU"/>
              </w:rPr>
            </w:pPr>
            <w:r w:rsidRPr="00F7245E">
              <w:rPr>
                <w:w w:val="105"/>
              </w:rPr>
              <w:t>132 [59; 302]</w:t>
            </w:r>
          </w:p>
        </w:tc>
        <w:tc>
          <w:tcPr>
            <w:tcW w:w="1843" w:type="dxa"/>
            <w:vAlign w:val="center"/>
          </w:tcPr>
          <w:p w14:paraId="738F7AA6" w14:textId="77777777" w:rsidR="00B62AE4" w:rsidRPr="00F7245E" w:rsidRDefault="00B62AE4" w:rsidP="00A21724">
            <w:pPr>
              <w:pStyle w:val="TableParagraph"/>
              <w:ind w:left="253" w:right="248"/>
              <w:jc w:val="center"/>
              <w:rPr>
                <w:lang w:val="hu-HU"/>
              </w:rPr>
            </w:pPr>
            <w:r w:rsidRPr="00F7245E">
              <w:rPr>
                <w:w w:val="105"/>
              </w:rPr>
              <w:t>63 [22; 177]</w:t>
            </w:r>
          </w:p>
        </w:tc>
        <w:tc>
          <w:tcPr>
            <w:tcW w:w="1942" w:type="dxa"/>
            <w:vAlign w:val="center"/>
          </w:tcPr>
          <w:p w14:paraId="62611D00" w14:textId="77777777" w:rsidR="00B62AE4" w:rsidRPr="00F7245E" w:rsidRDefault="00B62AE4" w:rsidP="00A21724">
            <w:pPr>
              <w:pStyle w:val="TableParagraph"/>
              <w:ind w:left="280" w:right="274"/>
              <w:jc w:val="center"/>
              <w:rPr>
                <w:lang w:val="hu-HU"/>
              </w:rPr>
            </w:pPr>
            <w:r w:rsidRPr="00F7245E">
              <w:rPr>
                <w:w w:val="105"/>
              </w:rPr>
              <w:t>2,1 [0,91; 5,2]</w:t>
            </w:r>
          </w:p>
        </w:tc>
        <w:tc>
          <w:tcPr>
            <w:tcW w:w="1743" w:type="dxa"/>
            <w:vAlign w:val="center"/>
          </w:tcPr>
          <w:p w14:paraId="42A27C04" w14:textId="77777777" w:rsidR="00B62AE4" w:rsidRPr="00F7245E" w:rsidRDefault="00B62AE4" w:rsidP="00A21724">
            <w:pPr>
              <w:pStyle w:val="TableParagraph"/>
              <w:ind w:left="309"/>
              <w:jc w:val="center"/>
              <w:rPr>
                <w:lang w:val="hu-HU"/>
              </w:rPr>
            </w:pPr>
            <w:r w:rsidRPr="00F7245E">
              <w:rPr>
                <w:w w:val="105"/>
              </w:rPr>
              <w:t>1,0 [0,33; 2,9]</w:t>
            </w:r>
          </w:p>
        </w:tc>
      </w:tr>
      <w:tr w:rsidR="00B62AE4" w:rsidRPr="00F7245E" w14:paraId="53794F72" w14:textId="77777777" w:rsidTr="00590472">
        <w:trPr>
          <w:trHeight w:val="699"/>
        </w:trPr>
        <w:tc>
          <w:tcPr>
            <w:tcW w:w="1701" w:type="dxa"/>
            <w:vAlign w:val="center"/>
          </w:tcPr>
          <w:p w14:paraId="3820DDF2" w14:textId="127AD6F1" w:rsidR="00B62AE4" w:rsidRPr="00F7245E" w:rsidRDefault="00B62AE4" w:rsidP="00A21724">
            <w:pPr>
              <w:pStyle w:val="TableParagraph"/>
              <w:ind w:left="100" w:right="91"/>
              <w:rPr>
                <w:lang w:val="hu-HU"/>
              </w:rPr>
            </w:pPr>
            <w:r w:rsidRPr="00F7245E">
              <w:rPr>
                <w:w w:val="105"/>
              </w:rPr>
              <w:t>10</w:t>
            </w:r>
            <w:r w:rsidR="004C106B" w:rsidRPr="00F7245E">
              <w:rPr>
                <w:w w:val="105"/>
              </w:rPr>
              <w:t> mg</w:t>
            </w:r>
            <w:r w:rsidR="00425521" w:rsidRPr="00F7245E">
              <w:rPr>
                <w:w w:val="105"/>
              </w:rPr>
              <w:t xml:space="preserve"> </w:t>
            </w:r>
            <w:r w:rsidR="003B67D5" w:rsidRPr="00F7245E">
              <w:rPr>
                <w:w w:val="105"/>
              </w:rPr>
              <w:t>nap</w:t>
            </w:r>
            <w:r w:rsidRPr="00F7245E">
              <w:rPr>
                <w:w w:val="105"/>
              </w:rPr>
              <w:t>onta kétszer</w:t>
            </w:r>
          </w:p>
        </w:tc>
        <w:tc>
          <w:tcPr>
            <w:tcW w:w="1843" w:type="dxa"/>
            <w:vAlign w:val="center"/>
          </w:tcPr>
          <w:p w14:paraId="5FEF6601" w14:textId="77777777" w:rsidR="00B62AE4" w:rsidRPr="00F7245E" w:rsidRDefault="00B62AE4" w:rsidP="00A21724">
            <w:pPr>
              <w:pStyle w:val="TableParagraph"/>
              <w:ind w:left="254" w:hanging="111"/>
              <w:jc w:val="center"/>
              <w:rPr>
                <w:lang w:val="hu-HU"/>
              </w:rPr>
            </w:pPr>
            <w:r w:rsidRPr="00F7245E">
              <w:rPr>
                <w:w w:val="105"/>
              </w:rPr>
              <w:t>251 [111; 572]</w:t>
            </w:r>
          </w:p>
        </w:tc>
        <w:tc>
          <w:tcPr>
            <w:tcW w:w="1843" w:type="dxa"/>
            <w:vAlign w:val="center"/>
          </w:tcPr>
          <w:p w14:paraId="7E290D13" w14:textId="77777777" w:rsidR="00B62AE4" w:rsidRPr="00F7245E" w:rsidRDefault="00B62AE4" w:rsidP="00A21724">
            <w:pPr>
              <w:pStyle w:val="TableParagraph"/>
              <w:ind w:left="254" w:right="246"/>
              <w:jc w:val="center"/>
              <w:rPr>
                <w:lang w:val="hu-HU"/>
              </w:rPr>
            </w:pPr>
            <w:r w:rsidRPr="00F7245E">
              <w:rPr>
                <w:w w:val="105"/>
              </w:rPr>
              <w:t>120 [41; 335]</w:t>
            </w:r>
          </w:p>
        </w:tc>
        <w:tc>
          <w:tcPr>
            <w:tcW w:w="1942" w:type="dxa"/>
            <w:vAlign w:val="center"/>
          </w:tcPr>
          <w:p w14:paraId="07E79482" w14:textId="77777777" w:rsidR="00B62AE4" w:rsidRPr="00F7245E" w:rsidRDefault="00B62AE4" w:rsidP="00A21724">
            <w:pPr>
              <w:pStyle w:val="TableParagraph"/>
              <w:ind w:left="280" w:right="274"/>
              <w:jc w:val="center"/>
              <w:rPr>
                <w:lang w:val="hu-HU"/>
              </w:rPr>
            </w:pPr>
            <w:r w:rsidRPr="00F7245E">
              <w:rPr>
                <w:w w:val="105"/>
              </w:rPr>
              <w:t>4,2 [1,8; 10,8]</w:t>
            </w:r>
          </w:p>
        </w:tc>
        <w:tc>
          <w:tcPr>
            <w:tcW w:w="1743" w:type="dxa"/>
            <w:vAlign w:val="center"/>
          </w:tcPr>
          <w:p w14:paraId="5A38E36A" w14:textId="77777777" w:rsidR="00B62AE4" w:rsidRPr="00F7245E" w:rsidRDefault="00B62AE4" w:rsidP="00A21724">
            <w:pPr>
              <w:pStyle w:val="TableParagraph"/>
              <w:ind w:left="309"/>
              <w:jc w:val="center"/>
              <w:rPr>
                <w:lang w:val="hu-HU"/>
              </w:rPr>
            </w:pPr>
            <w:r w:rsidRPr="00F7245E">
              <w:rPr>
                <w:w w:val="105"/>
              </w:rPr>
              <w:t>1,9 [0,64; 5,8]</w:t>
            </w:r>
          </w:p>
        </w:tc>
      </w:tr>
    </w:tbl>
    <w:p w14:paraId="6FE99E81" w14:textId="690845A4" w:rsidR="00B62AE4" w:rsidRPr="00F7245E" w:rsidRDefault="00B62AE4" w:rsidP="00A21724">
      <w:pPr>
        <w:pStyle w:val="Listaszerbekezds"/>
        <w:numPr>
          <w:ilvl w:val="0"/>
          <w:numId w:val="4"/>
        </w:numPr>
        <w:tabs>
          <w:tab w:val="left" w:pos="284"/>
        </w:tabs>
        <w:ind w:left="0" w:right="1025" w:firstLine="0"/>
        <w:rPr>
          <w:sz w:val="20"/>
        </w:rPr>
      </w:pPr>
      <w:r w:rsidRPr="00F7245E">
        <w:rPr>
          <w:sz w:val="20"/>
        </w:rPr>
        <w:t>Az</w:t>
      </w:r>
      <w:r w:rsidRPr="00F7245E">
        <w:rPr>
          <w:spacing w:val="-9"/>
          <w:sz w:val="20"/>
        </w:rPr>
        <w:t xml:space="preserve"> </w:t>
      </w:r>
      <w:r w:rsidRPr="00F7245E">
        <w:rPr>
          <w:sz w:val="20"/>
        </w:rPr>
        <w:t>ARISTOTLE</w:t>
      </w:r>
      <w:r w:rsidRPr="00F7245E">
        <w:rPr>
          <w:spacing w:val="-9"/>
          <w:sz w:val="20"/>
        </w:rPr>
        <w:t xml:space="preserve"> </w:t>
      </w:r>
      <w:r w:rsidRPr="00F7245E">
        <w:rPr>
          <w:sz w:val="20"/>
        </w:rPr>
        <w:t>vizsgálatban</w:t>
      </w:r>
      <w:r w:rsidRPr="00F7245E">
        <w:rPr>
          <w:spacing w:val="-9"/>
          <w:sz w:val="20"/>
        </w:rPr>
        <w:t xml:space="preserve"> </w:t>
      </w:r>
      <w:r w:rsidRPr="00F7245E">
        <w:rPr>
          <w:sz w:val="20"/>
        </w:rPr>
        <w:t>részt</w:t>
      </w:r>
      <w:r w:rsidRPr="00F7245E">
        <w:rPr>
          <w:spacing w:val="-8"/>
          <w:sz w:val="20"/>
        </w:rPr>
        <w:t xml:space="preserve"> </w:t>
      </w:r>
      <w:r w:rsidRPr="00F7245E">
        <w:rPr>
          <w:sz w:val="20"/>
        </w:rPr>
        <w:t>vett,</w:t>
      </w:r>
      <w:r w:rsidRPr="00F7245E">
        <w:rPr>
          <w:spacing w:val="-10"/>
          <w:sz w:val="20"/>
        </w:rPr>
        <w:t xml:space="preserve"> </w:t>
      </w:r>
      <w:r w:rsidRPr="00F7245E">
        <w:rPr>
          <w:sz w:val="20"/>
        </w:rPr>
        <w:t>2</w:t>
      </w:r>
      <w:r w:rsidRPr="00F7245E">
        <w:rPr>
          <w:spacing w:val="-8"/>
          <w:sz w:val="20"/>
        </w:rPr>
        <w:t xml:space="preserve"> </w:t>
      </w:r>
      <w:r w:rsidRPr="00F7245E">
        <w:rPr>
          <w:sz w:val="20"/>
        </w:rPr>
        <w:t>vagy</w:t>
      </w:r>
      <w:r w:rsidRPr="00F7245E">
        <w:rPr>
          <w:spacing w:val="-9"/>
          <w:sz w:val="20"/>
        </w:rPr>
        <w:t xml:space="preserve"> </w:t>
      </w:r>
      <w:r w:rsidRPr="00F7245E">
        <w:rPr>
          <w:sz w:val="20"/>
        </w:rPr>
        <w:t>3</w:t>
      </w:r>
      <w:r w:rsidRPr="00F7245E">
        <w:rPr>
          <w:spacing w:val="-8"/>
          <w:sz w:val="20"/>
        </w:rPr>
        <w:t xml:space="preserve"> </w:t>
      </w:r>
      <w:r w:rsidRPr="00F7245E">
        <w:rPr>
          <w:sz w:val="20"/>
        </w:rPr>
        <w:t>dóziscsökkentési</w:t>
      </w:r>
      <w:r w:rsidRPr="00F7245E">
        <w:rPr>
          <w:spacing w:val="-10"/>
          <w:sz w:val="20"/>
        </w:rPr>
        <w:t xml:space="preserve"> </w:t>
      </w:r>
      <w:r w:rsidRPr="00F7245E">
        <w:rPr>
          <w:sz w:val="20"/>
        </w:rPr>
        <w:t>kritériumnak</w:t>
      </w:r>
      <w:r w:rsidRPr="00F7245E">
        <w:rPr>
          <w:spacing w:val="-8"/>
          <w:sz w:val="20"/>
        </w:rPr>
        <w:t xml:space="preserve"> </w:t>
      </w:r>
      <w:r w:rsidRPr="00F7245E">
        <w:rPr>
          <w:sz w:val="20"/>
        </w:rPr>
        <w:t>megfelelt</w:t>
      </w:r>
      <w:r w:rsidRPr="00F7245E">
        <w:rPr>
          <w:spacing w:val="-9"/>
          <w:sz w:val="20"/>
        </w:rPr>
        <w:t xml:space="preserve"> </w:t>
      </w:r>
      <w:r w:rsidRPr="00F7245E">
        <w:rPr>
          <w:sz w:val="20"/>
        </w:rPr>
        <w:t>és</w:t>
      </w:r>
      <w:r w:rsidRPr="00F7245E">
        <w:rPr>
          <w:spacing w:val="-8"/>
          <w:sz w:val="20"/>
        </w:rPr>
        <w:t xml:space="preserve"> </w:t>
      </w:r>
      <w:r w:rsidRPr="00F7245E">
        <w:rPr>
          <w:sz w:val="20"/>
        </w:rPr>
        <w:t>ez</w:t>
      </w:r>
      <w:r w:rsidRPr="00F7245E">
        <w:rPr>
          <w:spacing w:val="-10"/>
          <w:sz w:val="20"/>
        </w:rPr>
        <w:t xml:space="preserve"> </w:t>
      </w:r>
      <w:r w:rsidRPr="00F7245E">
        <w:rPr>
          <w:sz w:val="20"/>
        </w:rPr>
        <w:t>alapján dózismódosításban részesült</w:t>
      </w:r>
      <w:r w:rsidR="00C968C6" w:rsidRPr="00F7245E">
        <w:rPr>
          <w:sz w:val="20"/>
        </w:rPr>
        <w:t xml:space="preserve"> </w:t>
      </w:r>
      <w:r w:rsidR="00A1416D" w:rsidRPr="00F7245E">
        <w:rPr>
          <w:spacing w:val="-3"/>
          <w:sz w:val="20"/>
        </w:rPr>
        <w:t>beteg</w:t>
      </w:r>
      <w:r w:rsidRPr="00F7245E">
        <w:rPr>
          <w:sz w:val="20"/>
        </w:rPr>
        <w:t>ek.</w:t>
      </w:r>
    </w:p>
    <w:p w14:paraId="7072AFC0" w14:textId="77777777" w:rsidR="00B62AE4" w:rsidRPr="00F7245E" w:rsidRDefault="00B62AE4" w:rsidP="00A21724">
      <w:pPr>
        <w:pStyle w:val="Nincstrkz"/>
        <w:rPr>
          <w:rFonts w:cs="Times New Roman"/>
        </w:rPr>
      </w:pPr>
    </w:p>
    <w:p w14:paraId="6EAB977B" w14:textId="5C1A691D" w:rsidR="00A1416D" w:rsidRPr="00F7245E" w:rsidRDefault="00B62AE4" w:rsidP="00A21724">
      <w:pPr>
        <w:pStyle w:val="Nincstrkz"/>
        <w:rPr>
          <w:rFonts w:cs="Times New Roman"/>
        </w:rPr>
      </w:pPr>
      <w:r w:rsidRPr="00F7245E">
        <w:rPr>
          <w:rFonts w:cs="Times New Roman"/>
        </w:rPr>
        <w:t xml:space="preserve">Bár az </w:t>
      </w:r>
      <w:r w:rsidR="002C0B56" w:rsidRPr="00F7245E">
        <w:rPr>
          <w:rFonts w:cs="Times New Roman"/>
        </w:rPr>
        <w:t>apixabán</w:t>
      </w:r>
      <w:r w:rsidR="0078582D" w:rsidRPr="00F7245E">
        <w:rPr>
          <w:rFonts w:cs="Times New Roman"/>
        </w:rPr>
        <w:noBreakHyphen/>
      </w:r>
      <w:r w:rsidRPr="00F7245E">
        <w:rPr>
          <w:rFonts w:cs="Times New Roman"/>
        </w:rPr>
        <w:t>kezelés során nem szükséges az expozíció</w:t>
      </w:r>
      <w:r w:rsidR="0078582D" w:rsidRPr="00F7245E">
        <w:rPr>
          <w:rFonts w:cs="Times New Roman"/>
        </w:rPr>
        <w:t xml:space="preserve"> rutinszerű</w:t>
      </w:r>
      <w:r w:rsidRPr="00F7245E">
        <w:rPr>
          <w:rFonts w:cs="Times New Roman"/>
        </w:rPr>
        <w:t xml:space="preserve"> monitorozása, egy kalibrált, mennyiségi meghatározásra alkalmas anti</w:t>
      </w:r>
      <w:r w:rsidR="0078582D" w:rsidRPr="00F7245E">
        <w:rPr>
          <w:rFonts w:cs="Times New Roman"/>
        </w:rPr>
        <w:noBreakHyphen/>
      </w:r>
      <w:r w:rsidRPr="00F7245E">
        <w:rPr>
          <w:rFonts w:cs="Times New Roman"/>
        </w:rPr>
        <w:t xml:space="preserve">Xa faktor teszt hasznos lehet olyan kivételes helyzetekben, amikor az </w:t>
      </w:r>
      <w:r w:rsidR="002C0B56" w:rsidRPr="00F7245E">
        <w:rPr>
          <w:rFonts w:cs="Times New Roman"/>
        </w:rPr>
        <w:t>apixabán</w:t>
      </w:r>
      <w:r w:rsidR="0078582D" w:rsidRPr="00F7245E">
        <w:rPr>
          <w:rFonts w:cs="Times New Roman"/>
        </w:rPr>
        <w:noBreakHyphen/>
      </w:r>
      <w:r w:rsidRPr="00F7245E">
        <w:rPr>
          <w:rFonts w:cs="Times New Roman"/>
        </w:rPr>
        <w:t>expozíció ismerete segítségül szolgálhat a klinikai</w:t>
      </w:r>
      <w:r w:rsidR="0078582D" w:rsidRPr="00F7245E">
        <w:rPr>
          <w:rFonts w:cs="Times New Roman"/>
        </w:rPr>
        <w:t xml:space="preserve"> döntéshozatalban, például túladagoláskor </w:t>
      </w:r>
      <w:r w:rsidRPr="00F7245E">
        <w:rPr>
          <w:rFonts w:cs="Times New Roman"/>
        </w:rPr>
        <w:t xml:space="preserve">és sürgős műtét esetén. </w:t>
      </w:r>
    </w:p>
    <w:p w14:paraId="5B08A7E2" w14:textId="77777777" w:rsidR="00A1416D" w:rsidRPr="00F7245E" w:rsidRDefault="00A1416D" w:rsidP="00A21724">
      <w:pPr>
        <w:pStyle w:val="Nincstrkz"/>
        <w:rPr>
          <w:rFonts w:cs="Times New Roman"/>
        </w:rPr>
      </w:pPr>
    </w:p>
    <w:p w14:paraId="528645CD" w14:textId="77777777" w:rsidR="001F3456" w:rsidRPr="00F7245E" w:rsidRDefault="001F3456" w:rsidP="001F3456">
      <w:pPr>
        <w:keepNext/>
        <w:adjustRightInd w:val="0"/>
        <w:rPr>
          <w:szCs w:val="24"/>
          <w:u w:val="single"/>
          <w:lang w:eastAsia="en-GB"/>
        </w:rPr>
      </w:pPr>
      <w:r w:rsidRPr="00F7245E">
        <w:rPr>
          <w:szCs w:val="24"/>
          <w:u w:val="single"/>
          <w:lang w:eastAsia="en-GB"/>
        </w:rPr>
        <w:t>Gyermekek és serdülők</w:t>
      </w:r>
    </w:p>
    <w:p w14:paraId="0430AB8F" w14:textId="77777777" w:rsidR="001F3456" w:rsidRPr="00F7245E" w:rsidRDefault="001F3456" w:rsidP="001F3456">
      <w:pPr>
        <w:keepNext/>
        <w:adjustRightInd w:val="0"/>
        <w:rPr>
          <w:iCs/>
          <w:noProof/>
          <w:u w:val="single"/>
          <w:lang w:eastAsia="en-GB"/>
        </w:rPr>
      </w:pPr>
    </w:p>
    <w:p w14:paraId="5A323782" w14:textId="0DFAAEAE" w:rsidR="001F3456" w:rsidRPr="00F7245E" w:rsidRDefault="001F3456" w:rsidP="001F3456">
      <w:pPr>
        <w:rPr>
          <w:szCs w:val="24"/>
          <w:lang w:eastAsia="en-GB"/>
        </w:rPr>
      </w:pPr>
      <w:r w:rsidRPr="00F7245E">
        <w:rPr>
          <w:szCs w:val="24"/>
          <w:lang w:eastAsia="en-GB"/>
        </w:rPr>
        <w:t>Az apixabán gyermekeknél és serdülőknél végzett vizsgálataiban az STA Liquid Anti-Xa apixabán tesztet alkalmazták. Az ezen vizsgálatok eredményei szerint az apixabán koncentrációja és a Xa faktor</w:t>
      </w:r>
      <w:r w:rsidRPr="00F7245E">
        <w:rPr>
          <w:szCs w:val="24"/>
          <w:lang w:eastAsia="en-GB"/>
        </w:rPr>
        <w:noBreakHyphen/>
        <w:t>ellenes aktivitás (AXA) közötti lineáris összefüggés konzisztens volt a felnőttek esetében korábban dokumentált összefüggéssel. Ez alátámasztja az apixabán szelektív Xa faktor</w:t>
      </w:r>
      <w:r w:rsidRPr="00F7245E">
        <w:rPr>
          <w:szCs w:val="24"/>
          <w:lang w:eastAsia="en-GB"/>
        </w:rPr>
        <w:noBreakHyphen/>
        <w:t>gátlóként dokumentált hatásmechanizmusát.</w:t>
      </w:r>
    </w:p>
    <w:p w14:paraId="538856A9" w14:textId="77777777" w:rsidR="001F3456" w:rsidRPr="00F7245E" w:rsidRDefault="001F3456" w:rsidP="001F3456">
      <w:pPr>
        <w:rPr>
          <w:szCs w:val="24"/>
          <w:lang w:eastAsia="en-GB"/>
        </w:rPr>
      </w:pPr>
    </w:p>
    <w:p w14:paraId="30716278" w14:textId="77777777" w:rsidR="001F3456" w:rsidRPr="00F7245E" w:rsidRDefault="001F3456" w:rsidP="001F3456">
      <w:pPr>
        <w:rPr>
          <w:szCs w:val="24"/>
          <w:lang w:eastAsia="en-GB"/>
        </w:rPr>
      </w:pPr>
      <w:r w:rsidRPr="00F7245E">
        <w:rPr>
          <w:szCs w:val="24"/>
          <w:lang w:eastAsia="en-GB"/>
        </w:rPr>
        <w:t>A CV185155 vizsgálatban a 9 – ≥ 35 kg testtömegcsoportokban az AXA</w:t>
      </w:r>
      <w:r w:rsidRPr="00F7245E">
        <w:rPr>
          <w:szCs w:val="24"/>
          <w:vertAlign w:val="subscript"/>
          <w:lang w:eastAsia="en-GB"/>
        </w:rPr>
        <w:t>min</w:t>
      </w:r>
      <w:r w:rsidRPr="00F7245E">
        <w:rPr>
          <w:szCs w:val="24"/>
          <w:lang w:eastAsia="en-GB"/>
        </w:rPr>
        <w:t xml:space="preserve"> és AXA</w:t>
      </w:r>
      <w:r w:rsidRPr="00F7245E">
        <w:rPr>
          <w:szCs w:val="24"/>
          <w:vertAlign w:val="subscript"/>
          <w:lang w:eastAsia="en-GB"/>
        </w:rPr>
        <w:t>max</w:t>
      </w:r>
      <w:r w:rsidRPr="00F7245E">
        <w:rPr>
          <w:szCs w:val="24"/>
          <w:lang w:eastAsia="en-GB"/>
        </w:rPr>
        <w:t xml:space="preserve"> mértani átlagértékeinek (%CV) tartománya 27,1 (22,2) ng/ml és 71,9 (17,3) ng/ml között volt, ami megfelel a C</w:t>
      </w:r>
      <w:r w:rsidRPr="00F7245E">
        <w:rPr>
          <w:szCs w:val="24"/>
          <w:vertAlign w:val="subscript"/>
          <w:lang w:eastAsia="en-GB"/>
        </w:rPr>
        <w:t>min,ss</w:t>
      </w:r>
      <w:r w:rsidRPr="00F7245E">
        <w:rPr>
          <w:szCs w:val="24"/>
          <w:lang w:eastAsia="en-GB"/>
        </w:rPr>
        <w:t xml:space="preserve"> 30,3 (22) ng/ml és C</w:t>
      </w:r>
      <w:r w:rsidRPr="00F7245E">
        <w:rPr>
          <w:szCs w:val="24"/>
          <w:vertAlign w:val="subscript"/>
          <w:lang w:eastAsia="en-GB"/>
        </w:rPr>
        <w:t xml:space="preserve">max,ss </w:t>
      </w:r>
      <w:r w:rsidRPr="00F7245E">
        <w:rPr>
          <w:szCs w:val="24"/>
          <w:lang w:eastAsia="en-GB"/>
        </w:rPr>
        <w:t>80,8 (16,8) ng/ml mértani átlagértékeknek (%CV). A gyermekgyógyászati adagolási rend szerinti kezelést alkalmazva, ezen AXA-tartományokban elért expozíció hasonló azon felnőtteknél tapasztalt expozícióval, amit napi kétszer 2,5 mg dózisú apixabánnal értek el.</w:t>
      </w:r>
    </w:p>
    <w:p w14:paraId="08DB5D9B" w14:textId="77777777" w:rsidR="001F3456" w:rsidRPr="00F7245E" w:rsidRDefault="001F3456" w:rsidP="001F3456">
      <w:pPr>
        <w:rPr>
          <w:szCs w:val="24"/>
          <w:lang w:eastAsia="en-GB"/>
        </w:rPr>
      </w:pPr>
    </w:p>
    <w:p w14:paraId="62A2A5C6" w14:textId="77777777" w:rsidR="001F3456" w:rsidRPr="00F7245E" w:rsidRDefault="001F3456" w:rsidP="001F3456">
      <w:pPr>
        <w:rPr>
          <w:szCs w:val="24"/>
          <w:lang w:eastAsia="en-GB"/>
        </w:rPr>
      </w:pPr>
      <w:r w:rsidRPr="00F7245E">
        <w:rPr>
          <w:szCs w:val="24"/>
          <w:lang w:eastAsia="en-GB"/>
        </w:rPr>
        <w:t>A CV185362 vizsgálatban a 6 – ≥ 35 kg testtömegcsoportokban az AXA</w:t>
      </w:r>
      <w:r w:rsidRPr="00F7245E">
        <w:rPr>
          <w:szCs w:val="24"/>
          <w:vertAlign w:val="subscript"/>
          <w:lang w:eastAsia="en-GB"/>
        </w:rPr>
        <w:t>min</w:t>
      </w:r>
      <w:r w:rsidRPr="00F7245E">
        <w:rPr>
          <w:szCs w:val="24"/>
          <w:lang w:eastAsia="en-GB"/>
        </w:rPr>
        <w:t xml:space="preserve"> és AXA</w:t>
      </w:r>
      <w:r w:rsidRPr="00F7245E">
        <w:rPr>
          <w:szCs w:val="24"/>
          <w:vertAlign w:val="subscript"/>
          <w:lang w:eastAsia="en-GB"/>
        </w:rPr>
        <w:t>max</w:t>
      </w:r>
      <w:r w:rsidRPr="00F7245E">
        <w:rPr>
          <w:szCs w:val="24"/>
          <w:lang w:eastAsia="en-GB"/>
        </w:rPr>
        <w:t xml:space="preserve"> mértani átlagértékeinek (%CV) tartománya 67,1 (30,2) ng/ml és 213 (41,7) ng/ml között volt, ami megfelel a C</w:t>
      </w:r>
      <w:r w:rsidRPr="00F7245E">
        <w:rPr>
          <w:szCs w:val="24"/>
          <w:vertAlign w:val="subscript"/>
          <w:lang w:eastAsia="en-GB"/>
        </w:rPr>
        <w:t>min,ss</w:t>
      </w:r>
      <w:r w:rsidRPr="00F7245E">
        <w:rPr>
          <w:szCs w:val="24"/>
          <w:lang w:eastAsia="en-GB"/>
        </w:rPr>
        <w:t xml:space="preserve"> 71,3 (61,3) ng/ml és C</w:t>
      </w:r>
      <w:r w:rsidRPr="00F7245E">
        <w:rPr>
          <w:szCs w:val="24"/>
          <w:vertAlign w:val="subscript"/>
          <w:lang w:eastAsia="en-GB"/>
        </w:rPr>
        <w:t xml:space="preserve">max,ss </w:t>
      </w:r>
      <w:r w:rsidRPr="00F7245E">
        <w:rPr>
          <w:szCs w:val="24"/>
          <w:lang w:eastAsia="en-GB"/>
        </w:rPr>
        <w:t>230 (39,5) ng/ml mértani átlagértékeknek (%CV). A gyermekgyógyászati adagolási rend szerinti kezelést alkalmazva, ezen AXA-tartományokban elért expozíció hasonló azon felnőtteknél tapasztalt expozícióval, amit napi kétszer 5 mg dózisú apixabánnal értek el.</w:t>
      </w:r>
    </w:p>
    <w:p w14:paraId="14BE8C0D" w14:textId="77777777" w:rsidR="001F3456" w:rsidRPr="00F7245E" w:rsidRDefault="001F3456" w:rsidP="001F3456">
      <w:pPr>
        <w:rPr>
          <w:szCs w:val="24"/>
          <w:lang w:eastAsia="en-GB"/>
        </w:rPr>
      </w:pPr>
    </w:p>
    <w:p w14:paraId="6D0F9082" w14:textId="77777777" w:rsidR="001F3456" w:rsidRPr="00F7245E" w:rsidRDefault="001F3456" w:rsidP="001F3456">
      <w:pPr>
        <w:rPr>
          <w:szCs w:val="24"/>
          <w:lang w:eastAsia="en-GB"/>
        </w:rPr>
      </w:pPr>
      <w:r w:rsidRPr="00F7245E">
        <w:rPr>
          <w:szCs w:val="24"/>
          <w:lang w:eastAsia="en-GB"/>
        </w:rPr>
        <w:t>A CV185325 vizsgálatban a 6 – ≥ 35 kg testtömegcsoportokban az AXA</w:t>
      </w:r>
      <w:r w:rsidRPr="00F7245E">
        <w:rPr>
          <w:szCs w:val="24"/>
          <w:vertAlign w:val="subscript"/>
          <w:lang w:eastAsia="en-GB"/>
        </w:rPr>
        <w:t>min</w:t>
      </w:r>
      <w:r w:rsidRPr="00F7245E">
        <w:rPr>
          <w:szCs w:val="24"/>
          <w:lang w:eastAsia="en-GB"/>
        </w:rPr>
        <w:t xml:space="preserve"> és AXA</w:t>
      </w:r>
      <w:r w:rsidRPr="00F7245E">
        <w:rPr>
          <w:szCs w:val="24"/>
          <w:vertAlign w:val="subscript"/>
          <w:lang w:eastAsia="en-GB"/>
        </w:rPr>
        <w:t>max</w:t>
      </w:r>
      <w:r w:rsidRPr="00F7245E">
        <w:rPr>
          <w:szCs w:val="24"/>
          <w:lang w:eastAsia="en-GB"/>
        </w:rPr>
        <w:t xml:space="preserve"> mértani átlagértékeinek (%CV) tartománya 47,1 (57,2) ng/ml és 146 (40,2) ng/ml között volt, ami megfelel a C</w:t>
      </w:r>
      <w:r w:rsidRPr="00F7245E">
        <w:rPr>
          <w:szCs w:val="24"/>
          <w:vertAlign w:val="subscript"/>
          <w:lang w:eastAsia="en-GB"/>
        </w:rPr>
        <w:t>min,ss</w:t>
      </w:r>
      <w:r w:rsidRPr="00F7245E">
        <w:rPr>
          <w:szCs w:val="24"/>
          <w:lang w:eastAsia="en-GB"/>
        </w:rPr>
        <w:t xml:space="preserve"> 50 (54,5) ng/ml és C</w:t>
      </w:r>
      <w:r w:rsidRPr="00F7245E">
        <w:rPr>
          <w:szCs w:val="24"/>
          <w:vertAlign w:val="subscript"/>
          <w:lang w:eastAsia="en-GB"/>
        </w:rPr>
        <w:t xml:space="preserve">max,ss </w:t>
      </w:r>
      <w:r w:rsidRPr="00F7245E">
        <w:rPr>
          <w:szCs w:val="24"/>
          <w:lang w:eastAsia="en-GB"/>
        </w:rPr>
        <w:t>144 (36,9) ng/ml mértani átlagértékeknek (%CV). A gyermekgyógyászati adagolási rend szerinti kezelést alkalmazva, ezen AXA-tartományokban elért expozíció hasonló azon felnőtteknél tapasztalt expozícióval, amit napi kétszer 5 mg dózisú apixabánnal értek el.</w:t>
      </w:r>
    </w:p>
    <w:p w14:paraId="0927B780" w14:textId="77777777" w:rsidR="001F3456" w:rsidRPr="00F7245E" w:rsidRDefault="001F3456" w:rsidP="001F3456">
      <w:pPr>
        <w:rPr>
          <w:szCs w:val="24"/>
          <w:lang w:eastAsia="en-GB"/>
        </w:rPr>
      </w:pPr>
    </w:p>
    <w:p w14:paraId="53B76F1C" w14:textId="77777777" w:rsidR="001F3456" w:rsidRPr="00F7245E" w:rsidRDefault="001F3456" w:rsidP="001F3456">
      <w:pPr>
        <w:rPr>
          <w:szCs w:val="24"/>
          <w:lang w:eastAsia="en-GB"/>
        </w:rPr>
      </w:pPr>
      <w:r w:rsidRPr="00F7245E">
        <w:rPr>
          <w:szCs w:val="24"/>
          <w:lang w:eastAsia="en-GB"/>
        </w:rPr>
        <w:t>A gyermekek és serdülők körében végzett vizsgálatok dinamikus egyensúlyi állapotban várható expozíció és Xa faktor-ellenes aktivitás értéke alapján az apixabán koncentrációjának és az AXA</w:t>
      </w:r>
      <w:r w:rsidRPr="00F7245E">
        <w:rPr>
          <w:szCs w:val="24"/>
          <w:lang w:eastAsia="en-GB"/>
        </w:rPr>
        <w:noBreakHyphen/>
        <w:t>szinteknek a legmagasabb és a legalacsonyabb szintek közötti fluktuációja körülbelül 3</w:t>
      </w:r>
      <w:r w:rsidRPr="00F7245E">
        <w:rPr>
          <w:szCs w:val="24"/>
          <w:lang w:eastAsia="en-GB"/>
        </w:rPr>
        <w:noBreakHyphen/>
        <w:t>szoros volt (minimum, maximum: 2,65–3,22) a teljes populációban.</w:t>
      </w:r>
    </w:p>
    <w:p w14:paraId="586100F6" w14:textId="77777777" w:rsidR="001F3456" w:rsidRPr="00F7245E" w:rsidRDefault="001F3456" w:rsidP="00A21724">
      <w:pPr>
        <w:pStyle w:val="Nincstrkz"/>
        <w:rPr>
          <w:rFonts w:cs="Times New Roman"/>
        </w:rPr>
      </w:pPr>
    </w:p>
    <w:p w14:paraId="6CC2E2F6" w14:textId="35EF27EC" w:rsidR="00B62AE4" w:rsidRPr="00F7245E" w:rsidRDefault="00B62AE4" w:rsidP="00A21724">
      <w:pPr>
        <w:pStyle w:val="Nincstrkz"/>
        <w:rPr>
          <w:rFonts w:cs="Times New Roman"/>
          <w:u w:val="single"/>
        </w:rPr>
      </w:pPr>
      <w:r w:rsidRPr="00F7245E">
        <w:rPr>
          <w:rFonts w:cs="Times New Roman"/>
          <w:u w:val="single"/>
        </w:rPr>
        <w:t>Klinikai hatásosság és biztonságosság</w:t>
      </w:r>
    </w:p>
    <w:p w14:paraId="32DB504B" w14:textId="77777777" w:rsidR="00A1416D" w:rsidRPr="00F7245E" w:rsidRDefault="00A1416D" w:rsidP="00A21724">
      <w:pPr>
        <w:pStyle w:val="Nincstrkz"/>
        <w:rPr>
          <w:rFonts w:cs="Times New Roman"/>
        </w:rPr>
      </w:pPr>
    </w:p>
    <w:p w14:paraId="0B89ED28" w14:textId="046BED67" w:rsidR="00B62AE4" w:rsidRPr="00F7245E" w:rsidRDefault="00B62AE4" w:rsidP="00A21724">
      <w:pPr>
        <w:pStyle w:val="Nincstrkz"/>
        <w:rPr>
          <w:rFonts w:cs="Times New Roman"/>
          <w:i/>
          <w:iCs/>
          <w:u w:val="single"/>
        </w:rPr>
      </w:pPr>
      <w:r w:rsidRPr="00F7245E">
        <w:rPr>
          <w:rFonts w:cs="Times New Roman"/>
          <w:i/>
          <w:iCs/>
          <w:u w:val="single"/>
        </w:rPr>
        <w:t xml:space="preserve">A vénás thromboembolia </w:t>
      </w:r>
      <w:r w:rsidR="0078582D" w:rsidRPr="00F7245E">
        <w:rPr>
          <w:rFonts w:cs="Times New Roman"/>
          <w:i/>
          <w:iCs/>
          <w:u w:val="single"/>
        </w:rPr>
        <w:t>prevenciója</w:t>
      </w:r>
      <w:r w:rsidRPr="00F7245E">
        <w:rPr>
          <w:rFonts w:cs="Times New Roman"/>
          <w:i/>
          <w:iCs/>
          <w:u w:val="single"/>
        </w:rPr>
        <w:t xml:space="preserve"> (VTEp): elektív csípő</w:t>
      </w:r>
      <w:r w:rsidR="0078582D" w:rsidRPr="00F7245E">
        <w:rPr>
          <w:rFonts w:cs="Times New Roman"/>
          <w:i/>
          <w:iCs/>
          <w:u w:val="single"/>
        </w:rPr>
        <w:noBreakHyphen/>
      </w:r>
      <w:r w:rsidRPr="00F7245E">
        <w:rPr>
          <w:rFonts w:cs="Times New Roman"/>
          <w:i/>
          <w:iCs/>
          <w:u w:val="single"/>
        </w:rPr>
        <w:t xml:space="preserve"> vagy térdprotézis műtét </w:t>
      </w:r>
    </w:p>
    <w:p w14:paraId="70A139B4" w14:textId="60E7885E" w:rsidR="00B62AE4" w:rsidRPr="00F7245E" w:rsidRDefault="00B62AE4" w:rsidP="00A21724">
      <w:pPr>
        <w:pStyle w:val="Nincstrkz"/>
        <w:rPr>
          <w:rFonts w:cs="Times New Roman"/>
        </w:rPr>
      </w:pPr>
      <w:r w:rsidRPr="00F7245E">
        <w:rPr>
          <w:rFonts w:cs="Times New Roman"/>
        </w:rPr>
        <w:t xml:space="preserve">Az </w:t>
      </w:r>
      <w:r w:rsidR="00CA2919" w:rsidRPr="00F7245E">
        <w:rPr>
          <w:rFonts w:cs="Times New Roman"/>
        </w:rPr>
        <w:t xml:space="preserve">apixabán </w:t>
      </w:r>
      <w:r w:rsidRPr="00F7245E">
        <w:rPr>
          <w:rFonts w:cs="Times New Roman"/>
        </w:rPr>
        <w:t>klinikai programot úgy tervezték meg, hogy a csípő</w:t>
      </w:r>
      <w:r w:rsidR="0078582D" w:rsidRPr="00F7245E">
        <w:rPr>
          <w:rFonts w:cs="Times New Roman"/>
        </w:rPr>
        <w:noBreakHyphen/>
      </w:r>
      <w:r w:rsidRPr="00F7245E">
        <w:rPr>
          <w:rFonts w:cs="Times New Roman"/>
        </w:rPr>
        <w:t>, illetve térdprotézis műtéten áteső</w:t>
      </w:r>
      <w:r w:rsidR="0018600E">
        <w:rPr>
          <w:rFonts w:cs="Times New Roman"/>
        </w:rPr>
        <w:t xml:space="preserve"> </w:t>
      </w:r>
      <w:r w:rsidR="0078582D" w:rsidRPr="00F7245E">
        <w:rPr>
          <w:rFonts w:cs="Times New Roman"/>
        </w:rPr>
        <w:t>betegek</w:t>
      </w:r>
      <w:r w:rsidRPr="00F7245E">
        <w:rPr>
          <w:rFonts w:cs="Times New Roman"/>
        </w:rPr>
        <w:t xml:space="preserve"> széles körében kimutassa az </w:t>
      </w:r>
      <w:r w:rsidR="00CA2919" w:rsidRPr="00F7245E">
        <w:rPr>
          <w:rFonts w:cs="Times New Roman"/>
        </w:rPr>
        <w:t xml:space="preserve">apixabán </w:t>
      </w:r>
      <w:r w:rsidRPr="00F7245E">
        <w:rPr>
          <w:rFonts w:cs="Times New Roman"/>
        </w:rPr>
        <w:t>vénás thromboembolia megelőzése során mutatott hatásosságát és biztonságosságát. Két pivotális, kettős</w:t>
      </w:r>
      <w:r w:rsidR="0018600E">
        <w:rPr>
          <w:rFonts w:cs="Times New Roman"/>
        </w:rPr>
        <w:t xml:space="preserve"> </w:t>
      </w:r>
      <w:r w:rsidRPr="00F7245E">
        <w:rPr>
          <w:rFonts w:cs="Times New Roman"/>
        </w:rPr>
        <w:t>vak, több országra kiterjedő klinikai vizsgálatba összesen 8464</w:t>
      </w:r>
      <w:r w:rsidR="00A1416D" w:rsidRPr="00F7245E">
        <w:rPr>
          <w:rFonts w:cs="Times New Roman"/>
        </w:rPr>
        <w:t> beteg</w:t>
      </w:r>
      <w:r w:rsidRPr="00F7245E">
        <w:rPr>
          <w:rFonts w:cs="Times New Roman"/>
        </w:rPr>
        <w:t>et randomizáltak, hogy összehasonlítsák a</w:t>
      </w:r>
      <w:r w:rsidR="00D67737" w:rsidRPr="00F7245E">
        <w:rPr>
          <w:rFonts w:cs="Times New Roman"/>
        </w:rPr>
        <w:t xml:space="preserve"> </w:t>
      </w:r>
      <w:r w:rsidR="003B67D5" w:rsidRPr="00F7245E">
        <w:rPr>
          <w:rFonts w:cs="Times New Roman"/>
        </w:rPr>
        <w:t>nap</w:t>
      </w:r>
      <w:r w:rsidRPr="00F7245E">
        <w:rPr>
          <w:rFonts w:cs="Times New Roman"/>
        </w:rPr>
        <w:t>onta kétszer, szájon át adott 2,5</w:t>
      </w:r>
      <w:r w:rsidR="004C106B" w:rsidRPr="00F7245E">
        <w:rPr>
          <w:rFonts w:cs="Times New Roman"/>
        </w:rPr>
        <w:t> mg</w:t>
      </w:r>
      <w:r w:rsidRPr="00F7245E">
        <w:rPr>
          <w:rFonts w:cs="Times New Roman"/>
        </w:rPr>
        <w:t xml:space="preserve"> </w:t>
      </w:r>
      <w:r w:rsidR="002C0B56" w:rsidRPr="00F7245E">
        <w:rPr>
          <w:rFonts w:cs="Times New Roman"/>
        </w:rPr>
        <w:t>apixabán</w:t>
      </w:r>
      <w:r w:rsidRPr="00F7245E">
        <w:rPr>
          <w:rFonts w:cs="Times New Roman"/>
        </w:rPr>
        <w:t>t (4236</w:t>
      </w:r>
      <w:r w:rsidR="00A1416D" w:rsidRPr="00F7245E">
        <w:rPr>
          <w:rFonts w:cs="Times New Roman"/>
        </w:rPr>
        <w:t> beteg</w:t>
      </w:r>
      <w:r w:rsidRPr="00F7245E">
        <w:rPr>
          <w:rFonts w:cs="Times New Roman"/>
        </w:rPr>
        <w:t>) és</w:t>
      </w:r>
      <w:r w:rsidR="00D67737" w:rsidRPr="00F7245E">
        <w:rPr>
          <w:rFonts w:cs="Times New Roman"/>
        </w:rPr>
        <w:t xml:space="preserve"> a naponta </w:t>
      </w:r>
      <w:r w:rsidRPr="00F7245E">
        <w:rPr>
          <w:rFonts w:cs="Times New Roman"/>
        </w:rPr>
        <w:t>egyszer adott</w:t>
      </w:r>
      <w:r w:rsidR="00A1416D" w:rsidRPr="00F7245E">
        <w:rPr>
          <w:rFonts w:cs="Times New Roman"/>
        </w:rPr>
        <w:t xml:space="preserve"> </w:t>
      </w:r>
      <w:r w:rsidRPr="00F7245E">
        <w:rPr>
          <w:rFonts w:cs="Times New Roman"/>
        </w:rPr>
        <w:t>40</w:t>
      </w:r>
      <w:r w:rsidR="004C106B" w:rsidRPr="00F7245E">
        <w:rPr>
          <w:rFonts w:cs="Times New Roman"/>
        </w:rPr>
        <w:t> mg</w:t>
      </w:r>
      <w:r w:rsidRPr="00F7245E">
        <w:rPr>
          <w:rFonts w:cs="Times New Roman"/>
        </w:rPr>
        <w:t xml:space="preserve"> enoxaparint (4228</w:t>
      </w:r>
      <w:r w:rsidR="00A1416D" w:rsidRPr="00F7245E">
        <w:rPr>
          <w:rFonts w:cs="Times New Roman"/>
        </w:rPr>
        <w:t> beteg</w:t>
      </w:r>
      <w:r w:rsidRPr="00F7245E">
        <w:rPr>
          <w:rFonts w:cs="Times New Roman"/>
        </w:rPr>
        <w:t>). A vizsgálatban részt vevők köz</w:t>
      </w:r>
      <w:r w:rsidR="00D67737" w:rsidRPr="00F7245E">
        <w:rPr>
          <w:rFonts w:cs="Times New Roman"/>
        </w:rPr>
        <w:t>ül</w:t>
      </w:r>
      <w:r w:rsidRPr="00F7245E">
        <w:rPr>
          <w:rFonts w:cs="Times New Roman"/>
        </w:rPr>
        <w:t xml:space="preserve"> 1262</w:t>
      </w:r>
      <w:r w:rsidR="00D67737" w:rsidRPr="00F7245E">
        <w:rPr>
          <w:rFonts w:cs="Times New Roman"/>
        </w:rPr>
        <w:t> beteg</w:t>
      </w:r>
      <w:r w:rsidRPr="00F7245E">
        <w:rPr>
          <w:rFonts w:cs="Times New Roman"/>
        </w:rPr>
        <w:t xml:space="preserve"> (közülük 618 az </w:t>
      </w:r>
      <w:r w:rsidR="002C0B56" w:rsidRPr="00F7245E">
        <w:rPr>
          <w:rFonts w:cs="Times New Roman"/>
        </w:rPr>
        <w:t>apixabán</w:t>
      </w:r>
      <w:r w:rsidR="00D67737" w:rsidRPr="00F7245E">
        <w:rPr>
          <w:rFonts w:cs="Times New Roman"/>
        </w:rPr>
        <w:noBreakHyphen/>
      </w:r>
      <w:r w:rsidRPr="00F7245E">
        <w:rPr>
          <w:rFonts w:cs="Times New Roman"/>
        </w:rPr>
        <w:t>csoportban) volt 75</w:t>
      </w:r>
      <w:r w:rsidR="00045408" w:rsidRPr="00F7245E">
        <w:rPr>
          <w:rFonts w:cs="Times New Roman"/>
        </w:rPr>
        <w:t> év</w:t>
      </w:r>
      <w:r w:rsidRPr="00F7245E">
        <w:rPr>
          <w:rFonts w:cs="Times New Roman"/>
        </w:rPr>
        <w:t>nél idősebb, 1004</w:t>
      </w:r>
      <w:r w:rsidR="00D67737" w:rsidRPr="00F7245E">
        <w:rPr>
          <w:rFonts w:cs="Times New Roman"/>
        </w:rPr>
        <w:t> beteg</w:t>
      </w:r>
      <w:r w:rsidRPr="00F7245E">
        <w:rPr>
          <w:rFonts w:cs="Times New Roman"/>
        </w:rPr>
        <w:t xml:space="preserve"> (közülük 499 az </w:t>
      </w:r>
      <w:r w:rsidR="002C0B56" w:rsidRPr="00F7245E">
        <w:rPr>
          <w:rFonts w:cs="Times New Roman"/>
        </w:rPr>
        <w:t>apixabán</w:t>
      </w:r>
      <w:r w:rsidR="00D67737" w:rsidRPr="00F7245E">
        <w:rPr>
          <w:rFonts w:cs="Times New Roman"/>
        </w:rPr>
        <w:noBreakHyphen/>
      </w:r>
      <w:r w:rsidRPr="00F7245E">
        <w:rPr>
          <w:rFonts w:cs="Times New Roman"/>
        </w:rPr>
        <w:t xml:space="preserve">csoportban) </w:t>
      </w:r>
      <w:r w:rsidR="00D67737" w:rsidRPr="00F7245E">
        <w:rPr>
          <w:rFonts w:cs="Times New Roman"/>
        </w:rPr>
        <w:t xml:space="preserve">volt </w:t>
      </w:r>
      <w:r w:rsidRPr="00F7245E">
        <w:rPr>
          <w:rFonts w:cs="Times New Roman"/>
        </w:rPr>
        <w:t>alacsony testtömegű (≤</w:t>
      </w:r>
      <w:r w:rsidR="00D67737" w:rsidRPr="00F7245E">
        <w:rPr>
          <w:rFonts w:cs="Times New Roman"/>
        </w:rPr>
        <w:t> </w:t>
      </w:r>
      <w:r w:rsidRPr="00F7245E">
        <w:rPr>
          <w:rFonts w:cs="Times New Roman"/>
        </w:rPr>
        <w:t>60</w:t>
      </w:r>
      <w:r w:rsidR="00B75CD6" w:rsidRPr="00F7245E">
        <w:rPr>
          <w:rFonts w:cs="Times New Roman"/>
        </w:rPr>
        <w:t> kg</w:t>
      </w:r>
      <w:r w:rsidRPr="00F7245E">
        <w:rPr>
          <w:rFonts w:cs="Times New Roman"/>
        </w:rPr>
        <w:t>), 1495</w:t>
      </w:r>
      <w:r w:rsidR="00A1416D" w:rsidRPr="00F7245E">
        <w:rPr>
          <w:rFonts w:cs="Times New Roman"/>
        </w:rPr>
        <w:t> beteg</w:t>
      </w:r>
      <w:r w:rsidRPr="00F7245E">
        <w:rPr>
          <w:rFonts w:cs="Times New Roman"/>
        </w:rPr>
        <w:t xml:space="preserve"> (közülük 743 az </w:t>
      </w:r>
      <w:r w:rsidR="002C0B56" w:rsidRPr="00F7245E">
        <w:rPr>
          <w:rFonts w:cs="Times New Roman"/>
        </w:rPr>
        <w:t>apixabán</w:t>
      </w:r>
      <w:r w:rsidR="00D67737" w:rsidRPr="00F7245E">
        <w:rPr>
          <w:rFonts w:cs="Times New Roman"/>
        </w:rPr>
        <w:noBreakHyphen/>
      </w:r>
      <w:r w:rsidRPr="00F7245E">
        <w:rPr>
          <w:rFonts w:cs="Times New Roman"/>
        </w:rPr>
        <w:t>csoportban) BMI</w:t>
      </w:r>
      <w:r w:rsidR="00D67737" w:rsidRPr="00F7245E">
        <w:rPr>
          <w:rFonts w:cs="Times New Roman"/>
        </w:rPr>
        <w:noBreakHyphen/>
      </w:r>
      <w:r w:rsidRPr="00F7245E">
        <w:rPr>
          <w:rFonts w:cs="Times New Roman"/>
        </w:rPr>
        <w:t>értéke volt ≥</w:t>
      </w:r>
      <w:r w:rsidR="00D67737" w:rsidRPr="00F7245E">
        <w:rPr>
          <w:rFonts w:cs="Times New Roman"/>
        </w:rPr>
        <w:t> </w:t>
      </w:r>
      <w:r w:rsidRPr="00F7245E">
        <w:rPr>
          <w:rFonts w:cs="Times New Roman"/>
        </w:rPr>
        <w:t>33</w:t>
      </w:r>
      <w:r w:rsidR="00B75CD6" w:rsidRPr="00F7245E">
        <w:rPr>
          <w:rFonts w:cs="Times New Roman"/>
        </w:rPr>
        <w:t> kg</w:t>
      </w:r>
      <w:r w:rsidRPr="00F7245E">
        <w:rPr>
          <w:rFonts w:cs="Times New Roman"/>
        </w:rPr>
        <w:t>/m</w:t>
      </w:r>
      <w:r w:rsidR="004F20CF" w:rsidRPr="00F7245E">
        <w:rPr>
          <w:rFonts w:cs="Times New Roman"/>
          <w:vertAlign w:val="superscript"/>
        </w:rPr>
        <w:t>2</w:t>
      </w:r>
      <w:r w:rsidRPr="00F7245E">
        <w:rPr>
          <w:rFonts w:cs="Times New Roman"/>
        </w:rPr>
        <w:t>, és 415</w:t>
      </w:r>
      <w:r w:rsidR="00D67737" w:rsidRPr="00F7245E">
        <w:rPr>
          <w:rFonts w:cs="Times New Roman"/>
        </w:rPr>
        <w:t> betegnek</w:t>
      </w:r>
      <w:r w:rsidRPr="00F7245E">
        <w:rPr>
          <w:rFonts w:cs="Times New Roman"/>
        </w:rPr>
        <w:t xml:space="preserve"> (közülük 203 az </w:t>
      </w:r>
      <w:r w:rsidR="002C0B56" w:rsidRPr="00F7245E">
        <w:rPr>
          <w:rFonts w:cs="Times New Roman"/>
        </w:rPr>
        <w:t>apixabán</w:t>
      </w:r>
      <w:r w:rsidR="00D67737" w:rsidRPr="00F7245E">
        <w:rPr>
          <w:rFonts w:cs="Times New Roman"/>
        </w:rPr>
        <w:noBreakHyphen/>
      </w:r>
      <w:r w:rsidRPr="00F7245E">
        <w:rPr>
          <w:rFonts w:cs="Times New Roman"/>
        </w:rPr>
        <w:t>csoportban) volt közepesen súlyos vesekárosodása.</w:t>
      </w:r>
    </w:p>
    <w:p w14:paraId="742F9544" w14:textId="77777777" w:rsidR="00B62AE4" w:rsidRPr="00F7245E" w:rsidRDefault="00B62AE4" w:rsidP="00A21724">
      <w:pPr>
        <w:pStyle w:val="Nincstrkz"/>
        <w:rPr>
          <w:rFonts w:cs="Times New Roman"/>
        </w:rPr>
      </w:pPr>
    </w:p>
    <w:p w14:paraId="659DEB1E" w14:textId="1FD72D62" w:rsidR="00B62AE4" w:rsidRPr="00F7245E" w:rsidRDefault="00B62AE4" w:rsidP="00A21724">
      <w:pPr>
        <w:pStyle w:val="Nincstrkz"/>
        <w:rPr>
          <w:rFonts w:cs="Times New Roman"/>
        </w:rPr>
      </w:pPr>
      <w:r w:rsidRPr="00F7245E">
        <w:rPr>
          <w:rFonts w:cs="Times New Roman"/>
        </w:rPr>
        <w:t>Az ADVANCE-3 vizsgálatban 5407, elektív csípőprotézis műtéten, míg az ADVANCE-2 vizsgálatban 3057, elektív térdprotézis műtéten áteső</w:t>
      </w:r>
      <w:r w:rsidR="00D67737" w:rsidRPr="00F7245E">
        <w:rPr>
          <w:rFonts w:cs="Times New Roman"/>
        </w:rPr>
        <w:t xml:space="preserve"> beteg vett részt</w:t>
      </w:r>
      <w:r w:rsidRPr="00F7245E">
        <w:rPr>
          <w:rFonts w:cs="Times New Roman"/>
        </w:rPr>
        <w:t>. A</w:t>
      </w:r>
      <w:r w:rsidR="00D67737" w:rsidRPr="00F7245E">
        <w:rPr>
          <w:rFonts w:cs="Times New Roman"/>
        </w:rPr>
        <w:t xml:space="preserve"> betegek vagy naponta </w:t>
      </w:r>
      <w:r w:rsidRPr="00F7245E">
        <w:rPr>
          <w:rFonts w:cs="Times New Roman"/>
        </w:rPr>
        <w:t xml:space="preserve">kétszer szájon át </w:t>
      </w:r>
      <w:r w:rsidR="00D67737" w:rsidRPr="00F7245E">
        <w:rPr>
          <w:rFonts w:cs="Times New Roman"/>
        </w:rPr>
        <w:t xml:space="preserve">adott </w:t>
      </w:r>
      <w:r w:rsidRPr="00F7245E">
        <w:rPr>
          <w:rFonts w:cs="Times New Roman"/>
        </w:rPr>
        <w:t>2,5</w:t>
      </w:r>
      <w:r w:rsidR="004C106B" w:rsidRPr="00F7245E">
        <w:rPr>
          <w:rFonts w:cs="Times New Roman"/>
        </w:rPr>
        <w:t> mg</w:t>
      </w:r>
      <w:r w:rsidRPr="00F7245E">
        <w:rPr>
          <w:rFonts w:cs="Times New Roman"/>
        </w:rPr>
        <w:t xml:space="preserve"> </w:t>
      </w:r>
      <w:r w:rsidR="002C0B56" w:rsidRPr="00F7245E">
        <w:rPr>
          <w:rFonts w:cs="Times New Roman"/>
        </w:rPr>
        <w:t>apixabán</w:t>
      </w:r>
      <w:r w:rsidRPr="00F7245E">
        <w:rPr>
          <w:rFonts w:cs="Times New Roman"/>
        </w:rPr>
        <w:t>t vagy</w:t>
      </w:r>
      <w:r w:rsidR="00A1416D" w:rsidRPr="00F7245E">
        <w:rPr>
          <w:rFonts w:cs="Times New Roman"/>
        </w:rPr>
        <w:t xml:space="preserve"> </w:t>
      </w:r>
      <w:r w:rsidR="003B67D5" w:rsidRPr="00F7245E">
        <w:rPr>
          <w:rFonts w:cs="Times New Roman"/>
        </w:rPr>
        <w:t>nap</w:t>
      </w:r>
      <w:r w:rsidRPr="00F7245E">
        <w:rPr>
          <w:rFonts w:cs="Times New Roman"/>
        </w:rPr>
        <w:t>onta egyszer 40</w:t>
      </w:r>
      <w:r w:rsidR="004C106B" w:rsidRPr="00F7245E">
        <w:rPr>
          <w:rFonts w:cs="Times New Roman"/>
        </w:rPr>
        <w:t> mg</w:t>
      </w:r>
      <w:r w:rsidRPr="00F7245E">
        <w:rPr>
          <w:rFonts w:cs="Times New Roman"/>
        </w:rPr>
        <w:t xml:space="preserve"> subcután adott enoxaparint kaptak. Az első adag </w:t>
      </w:r>
      <w:r w:rsidR="002C0B56" w:rsidRPr="00F7245E">
        <w:rPr>
          <w:rFonts w:cs="Times New Roman"/>
        </w:rPr>
        <w:t>apixabán</w:t>
      </w:r>
      <w:r w:rsidRPr="00F7245E">
        <w:rPr>
          <w:rFonts w:cs="Times New Roman"/>
        </w:rPr>
        <w:t>t 12</w:t>
      </w:r>
      <w:r w:rsidR="00EC3759" w:rsidRPr="00F7245E">
        <w:rPr>
          <w:rFonts w:cs="Times New Roman"/>
        </w:rPr>
        <w:noBreakHyphen/>
      </w:r>
      <w:r w:rsidRPr="00F7245E">
        <w:rPr>
          <w:rFonts w:cs="Times New Roman"/>
        </w:rPr>
        <w:t>24</w:t>
      </w:r>
      <w:r w:rsidR="0071046D" w:rsidRPr="00F7245E">
        <w:rPr>
          <w:rFonts w:cs="Times New Roman"/>
        </w:rPr>
        <w:t> ór</w:t>
      </w:r>
      <w:r w:rsidRPr="00F7245E">
        <w:rPr>
          <w:rFonts w:cs="Times New Roman"/>
        </w:rPr>
        <w:t>ával a</w:t>
      </w:r>
      <w:r w:rsidR="00A1416D" w:rsidRPr="00F7245E">
        <w:rPr>
          <w:rFonts w:cs="Times New Roman"/>
        </w:rPr>
        <w:t xml:space="preserve"> műtét</w:t>
      </w:r>
      <w:r w:rsidRPr="00F7245E">
        <w:rPr>
          <w:rFonts w:cs="Times New Roman"/>
        </w:rPr>
        <w:t xml:space="preserve"> után adták be, míg az enoxaparin</w:t>
      </w:r>
      <w:r w:rsidR="00A1416D" w:rsidRPr="00F7245E">
        <w:rPr>
          <w:rFonts w:cs="Times New Roman"/>
        </w:rPr>
        <w:noBreakHyphen/>
      </w:r>
      <w:r w:rsidRPr="00F7245E">
        <w:rPr>
          <w:rFonts w:cs="Times New Roman"/>
        </w:rPr>
        <w:t>kezelést 9</w:t>
      </w:r>
      <w:r w:rsidR="00A1416D" w:rsidRPr="00F7245E">
        <w:rPr>
          <w:rFonts w:cs="Times New Roman"/>
        </w:rPr>
        <w:noBreakHyphen/>
      </w:r>
      <w:r w:rsidRPr="00F7245E">
        <w:rPr>
          <w:rFonts w:cs="Times New Roman"/>
        </w:rPr>
        <w:t>15</w:t>
      </w:r>
      <w:r w:rsidR="0071046D" w:rsidRPr="00F7245E">
        <w:rPr>
          <w:rFonts w:cs="Times New Roman"/>
        </w:rPr>
        <w:t> ór</w:t>
      </w:r>
      <w:r w:rsidRPr="00F7245E">
        <w:rPr>
          <w:rFonts w:cs="Times New Roman"/>
        </w:rPr>
        <w:t xml:space="preserve">ával a műtétet megelőzően kezdték meg. Mind az </w:t>
      </w:r>
      <w:r w:rsidR="002C0B56" w:rsidRPr="00F7245E">
        <w:rPr>
          <w:rFonts w:cs="Times New Roman"/>
        </w:rPr>
        <w:t>apixabán</w:t>
      </w:r>
      <w:r w:rsidRPr="00F7245E">
        <w:rPr>
          <w:rFonts w:cs="Times New Roman"/>
        </w:rPr>
        <w:t>-, mind az</w:t>
      </w:r>
      <w:r w:rsidR="00A1416D" w:rsidRPr="00F7245E">
        <w:rPr>
          <w:rFonts w:cs="Times New Roman"/>
        </w:rPr>
        <w:t xml:space="preserve"> h</w:t>
      </w:r>
      <w:r w:rsidRPr="00F7245E">
        <w:rPr>
          <w:rFonts w:cs="Times New Roman"/>
        </w:rPr>
        <w:t>enoxaparin</w:t>
      </w:r>
      <w:r w:rsidR="00A1416D" w:rsidRPr="00F7245E">
        <w:rPr>
          <w:rFonts w:cs="Times New Roman"/>
        </w:rPr>
        <w:noBreakHyphen/>
      </w:r>
      <w:r w:rsidRPr="00F7245E">
        <w:rPr>
          <w:rFonts w:cs="Times New Roman"/>
        </w:rPr>
        <w:t>kezelés 32</w:t>
      </w:r>
      <w:r w:rsidR="00A1416D" w:rsidRPr="00F7245E">
        <w:rPr>
          <w:rFonts w:cs="Times New Roman"/>
        </w:rPr>
        <w:noBreakHyphen/>
      </w:r>
      <w:r w:rsidRPr="00F7245E">
        <w:rPr>
          <w:rFonts w:cs="Times New Roman"/>
        </w:rPr>
        <w:t>38</w:t>
      </w:r>
      <w:r w:rsidR="00EC3759" w:rsidRPr="00F7245E">
        <w:rPr>
          <w:rFonts w:cs="Times New Roman"/>
        </w:rPr>
        <w:t> napig</w:t>
      </w:r>
      <w:r w:rsidRPr="00F7245E">
        <w:rPr>
          <w:rFonts w:cs="Times New Roman"/>
        </w:rPr>
        <w:t xml:space="preserve"> tartott az ADVANCE-3 vizsgálatban, és 10</w:t>
      </w:r>
      <w:r w:rsidR="00EC3759" w:rsidRPr="00F7245E">
        <w:rPr>
          <w:rFonts w:cs="Times New Roman"/>
        </w:rPr>
        <w:noBreakHyphen/>
      </w:r>
      <w:r w:rsidRPr="00F7245E">
        <w:rPr>
          <w:rFonts w:cs="Times New Roman"/>
        </w:rPr>
        <w:t>14</w:t>
      </w:r>
      <w:r w:rsidR="00A1416D" w:rsidRPr="00F7245E">
        <w:rPr>
          <w:rFonts w:cs="Times New Roman"/>
        </w:rPr>
        <w:t> napig</w:t>
      </w:r>
      <w:r w:rsidRPr="00F7245E">
        <w:rPr>
          <w:rFonts w:cs="Times New Roman"/>
        </w:rPr>
        <w:t xml:space="preserve"> az ADVANCE-2 vizsgálatban.</w:t>
      </w:r>
    </w:p>
    <w:p w14:paraId="7651C9CB" w14:textId="77777777" w:rsidR="00B62AE4" w:rsidRPr="00F7245E" w:rsidRDefault="00B62AE4" w:rsidP="00A21724">
      <w:pPr>
        <w:pStyle w:val="Nincstrkz"/>
        <w:rPr>
          <w:rFonts w:cs="Times New Roman"/>
        </w:rPr>
      </w:pPr>
    </w:p>
    <w:p w14:paraId="27F108FF" w14:textId="3940B6BC" w:rsidR="00B62AE4" w:rsidRPr="00F7245E" w:rsidRDefault="00B62AE4" w:rsidP="00A21724">
      <w:pPr>
        <w:pStyle w:val="Nincstrkz"/>
        <w:rPr>
          <w:rFonts w:cs="Times New Roman"/>
        </w:rPr>
      </w:pPr>
      <w:r w:rsidRPr="00F7245E">
        <w:rPr>
          <w:rFonts w:cs="Times New Roman"/>
        </w:rPr>
        <w:t>Az anamnézis alapján az ADVANCE-3 és az ADVANCE-2 vizsgálatokban részt vevő</w:t>
      </w:r>
      <w:r w:rsidR="00A1416D" w:rsidRPr="00F7245E">
        <w:rPr>
          <w:rFonts w:cs="Times New Roman"/>
        </w:rPr>
        <w:t xml:space="preserve"> </w:t>
      </w:r>
      <w:r w:rsidRPr="00F7245E">
        <w:rPr>
          <w:rFonts w:cs="Times New Roman"/>
        </w:rPr>
        <w:t>8464</w:t>
      </w:r>
      <w:r w:rsidR="00A1416D" w:rsidRPr="00F7245E">
        <w:rPr>
          <w:rFonts w:cs="Times New Roman"/>
        </w:rPr>
        <w:t> beteg</w:t>
      </w:r>
      <w:r w:rsidRPr="00F7245E">
        <w:rPr>
          <w:rFonts w:cs="Times New Roman"/>
        </w:rPr>
        <w:t xml:space="preserve"> 46%-ának volt magas vérnyomása, 10%-ának hyperlipidaemiája, 9%-ának diabetese és 8%-ának volt koszorúér-betegsége.</w:t>
      </w:r>
    </w:p>
    <w:p w14:paraId="64F2DB07" w14:textId="77777777" w:rsidR="00B62AE4" w:rsidRPr="00F7245E" w:rsidRDefault="00B62AE4" w:rsidP="00A21724">
      <w:pPr>
        <w:pStyle w:val="Nincstrkz"/>
        <w:rPr>
          <w:rFonts w:cs="Times New Roman"/>
        </w:rPr>
      </w:pPr>
    </w:p>
    <w:p w14:paraId="53C984D1" w14:textId="650BF292" w:rsidR="00B62AE4" w:rsidRPr="00F7245E" w:rsidRDefault="00B62AE4" w:rsidP="00A21724">
      <w:pPr>
        <w:pStyle w:val="Nincstrkz"/>
        <w:rPr>
          <w:rFonts w:cs="Times New Roman"/>
        </w:rPr>
      </w:pPr>
      <w:r w:rsidRPr="00F7245E">
        <w:rPr>
          <w:rFonts w:cs="Times New Roman"/>
        </w:rPr>
        <w:t xml:space="preserve">Az </w:t>
      </w:r>
      <w:r w:rsidR="00EC3759" w:rsidRPr="00F7245E">
        <w:rPr>
          <w:rFonts w:cs="Times New Roman"/>
        </w:rPr>
        <w:t xml:space="preserve">enoxaparinnal összehasonlítva az </w:t>
      </w:r>
      <w:r w:rsidR="00CA2919" w:rsidRPr="00F7245E">
        <w:rPr>
          <w:rFonts w:cs="Times New Roman"/>
        </w:rPr>
        <w:t xml:space="preserve">apixabán </w:t>
      </w:r>
      <w:r w:rsidRPr="00F7245E">
        <w:rPr>
          <w:rFonts w:cs="Times New Roman"/>
        </w:rPr>
        <w:t>statisztikailag jelentősebb redukciós hatást ért el az elsődleges kompozit végpont (</w:t>
      </w:r>
      <w:r w:rsidR="00EC3759" w:rsidRPr="00F7245E">
        <w:rPr>
          <w:rFonts w:cs="Times New Roman"/>
        </w:rPr>
        <w:t>minden</w:t>
      </w:r>
      <w:r w:rsidRPr="00F7245E">
        <w:rPr>
          <w:rFonts w:cs="Times New Roman"/>
        </w:rPr>
        <w:t xml:space="preserve"> VTE</w:t>
      </w:r>
      <w:r w:rsidR="00EC3759" w:rsidRPr="00F7245E">
        <w:rPr>
          <w:rFonts w:cs="Times New Roman"/>
        </w:rPr>
        <w:noBreakHyphen/>
      </w:r>
      <w:r w:rsidRPr="00F7245E">
        <w:rPr>
          <w:rFonts w:cs="Times New Roman"/>
        </w:rPr>
        <w:t>/</w:t>
      </w:r>
      <w:r w:rsidR="00EC3759" w:rsidRPr="00F7245E">
        <w:rPr>
          <w:rFonts w:cs="Times New Roman"/>
        </w:rPr>
        <w:t xml:space="preserve">bármely okból bekövetkező </w:t>
      </w:r>
      <w:r w:rsidRPr="00F7245E">
        <w:rPr>
          <w:rFonts w:cs="Times New Roman"/>
        </w:rPr>
        <w:t>halálozás) és a súlyos VTE kompozit végpont (proximális lokalizációjú mélyvénás thrombosis, nem halálos pulmonalis embolia és VTE-v</w:t>
      </w:r>
      <w:r w:rsidR="00EC3759" w:rsidRPr="00F7245E">
        <w:rPr>
          <w:rFonts w:cs="Times New Roman"/>
        </w:rPr>
        <w:t>e</w:t>
      </w:r>
      <w:r w:rsidRPr="00F7245E">
        <w:rPr>
          <w:rFonts w:cs="Times New Roman"/>
        </w:rPr>
        <w:t>l összefüggő halálozás)</w:t>
      </w:r>
      <w:r w:rsidR="00EC3759" w:rsidRPr="00F7245E">
        <w:rPr>
          <w:rFonts w:cs="Times New Roman"/>
        </w:rPr>
        <w:t xml:space="preserve"> tekintetében</w:t>
      </w:r>
      <w:r w:rsidRPr="00F7245E">
        <w:rPr>
          <w:rFonts w:cs="Times New Roman"/>
        </w:rPr>
        <w:t>, mind az elektív csípő</w:t>
      </w:r>
      <w:r w:rsidR="00EC3759" w:rsidRPr="00F7245E">
        <w:rPr>
          <w:rFonts w:cs="Times New Roman"/>
        </w:rPr>
        <w:noBreakHyphen/>
      </w:r>
      <w:r w:rsidRPr="00F7245E">
        <w:rPr>
          <w:rFonts w:cs="Times New Roman"/>
        </w:rPr>
        <w:t>, mind a térdprotézis műtéten átesett</w:t>
      </w:r>
      <w:r w:rsidR="00EC3759" w:rsidRPr="00F7245E">
        <w:rPr>
          <w:rFonts w:cs="Times New Roman"/>
        </w:rPr>
        <w:t xml:space="preserve"> </w:t>
      </w:r>
      <w:r w:rsidR="00A1416D" w:rsidRPr="00F7245E">
        <w:rPr>
          <w:rFonts w:cs="Times New Roman"/>
        </w:rPr>
        <w:t>beteg</w:t>
      </w:r>
      <w:r w:rsidRPr="00F7245E">
        <w:rPr>
          <w:rFonts w:cs="Times New Roman"/>
        </w:rPr>
        <w:t xml:space="preserve">ek esetében (lásd </w:t>
      </w:r>
      <w:r w:rsidR="001F3456" w:rsidRPr="00F7245E">
        <w:rPr>
          <w:rFonts w:cs="Times New Roman"/>
        </w:rPr>
        <w:t>5</w:t>
      </w:r>
      <w:r w:rsidRPr="00F7245E">
        <w:rPr>
          <w:rFonts w:cs="Times New Roman"/>
        </w:rPr>
        <w:t xml:space="preserve">. </w:t>
      </w:r>
      <w:r w:rsidR="0072037C" w:rsidRPr="00F7245E">
        <w:rPr>
          <w:rFonts w:cs="Times New Roman"/>
        </w:rPr>
        <w:t>T</w:t>
      </w:r>
      <w:r w:rsidRPr="00F7245E">
        <w:rPr>
          <w:rFonts w:cs="Times New Roman"/>
        </w:rPr>
        <w:t>áblázat).</w:t>
      </w:r>
    </w:p>
    <w:p w14:paraId="4155FC95" w14:textId="77777777" w:rsidR="00403AAD" w:rsidRPr="00F7245E" w:rsidRDefault="00403AAD" w:rsidP="00A21724">
      <w:pPr>
        <w:pStyle w:val="Nincstrkz"/>
        <w:rPr>
          <w:rFonts w:cs="Times New Roman"/>
        </w:rPr>
      </w:pPr>
    </w:p>
    <w:p w14:paraId="1572464C" w14:textId="1665AF12" w:rsidR="00B62AE4" w:rsidRPr="00F7245E" w:rsidRDefault="001F3456" w:rsidP="00A21724">
      <w:pPr>
        <w:pStyle w:val="Cmsor1"/>
        <w:tabs>
          <w:tab w:val="left" w:pos="0"/>
          <w:tab w:val="left" w:pos="284"/>
        </w:tabs>
        <w:ind w:left="0"/>
        <w:rPr>
          <w:sz w:val="22"/>
          <w:szCs w:val="22"/>
        </w:rPr>
      </w:pPr>
      <w:r w:rsidRPr="00F7245E">
        <w:rPr>
          <w:w w:val="105"/>
          <w:sz w:val="22"/>
          <w:szCs w:val="22"/>
        </w:rPr>
        <w:t>5</w:t>
      </w:r>
      <w:r w:rsidR="0072037C" w:rsidRPr="00F7245E">
        <w:rPr>
          <w:w w:val="105"/>
          <w:sz w:val="22"/>
          <w:szCs w:val="22"/>
        </w:rPr>
        <w:t>. T</w:t>
      </w:r>
      <w:r w:rsidR="00B62AE4" w:rsidRPr="00F7245E">
        <w:rPr>
          <w:w w:val="105"/>
          <w:sz w:val="22"/>
          <w:szCs w:val="22"/>
        </w:rPr>
        <w:t>áblázat:</w:t>
      </w:r>
      <w:r w:rsidR="00B62AE4" w:rsidRPr="00F7245E">
        <w:rPr>
          <w:spacing w:val="-5"/>
          <w:w w:val="105"/>
          <w:sz w:val="22"/>
          <w:szCs w:val="22"/>
        </w:rPr>
        <w:t xml:space="preserve"> </w:t>
      </w:r>
      <w:r w:rsidR="00B62AE4" w:rsidRPr="00F7245E">
        <w:rPr>
          <w:w w:val="105"/>
          <w:sz w:val="22"/>
          <w:szCs w:val="22"/>
        </w:rPr>
        <w:t>Pivotális</w:t>
      </w:r>
      <w:r w:rsidR="00B62AE4" w:rsidRPr="00F7245E">
        <w:rPr>
          <w:spacing w:val="-6"/>
          <w:w w:val="105"/>
          <w:sz w:val="22"/>
          <w:szCs w:val="22"/>
        </w:rPr>
        <w:t xml:space="preserve"> </w:t>
      </w:r>
      <w:r w:rsidR="004F20CF" w:rsidRPr="00F7245E">
        <w:rPr>
          <w:w w:val="105"/>
          <w:sz w:val="22"/>
          <w:szCs w:val="22"/>
        </w:rPr>
        <w:t xml:space="preserve">III. </w:t>
      </w:r>
      <w:r w:rsidR="00B62AE4" w:rsidRPr="00F7245E">
        <w:rPr>
          <w:w w:val="105"/>
          <w:sz w:val="22"/>
          <w:szCs w:val="22"/>
        </w:rPr>
        <w:t>fázi</w:t>
      </w:r>
      <w:r w:rsidR="004F20CF" w:rsidRPr="00F7245E">
        <w:rPr>
          <w:w w:val="105"/>
          <w:sz w:val="22"/>
          <w:szCs w:val="22"/>
        </w:rPr>
        <w:t>ú</w:t>
      </w:r>
      <w:r w:rsidR="00B62AE4" w:rsidRPr="00F7245E">
        <w:rPr>
          <w:spacing w:val="-5"/>
          <w:w w:val="105"/>
          <w:sz w:val="22"/>
          <w:szCs w:val="22"/>
        </w:rPr>
        <w:t xml:space="preserve"> </w:t>
      </w:r>
      <w:r w:rsidR="00B62AE4" w:rsidRPr="00F7245E">
        <w:rPr>
          <w:w w:val="105"/>
          <w:sz w:val="22"/>
          <w:szCs w:val="22"/>
        </w:rPr>
        <w:t>klinikai</w:t>
      </w:r>
      <w:r w:rsidR="00B62AE4" w:rsidRPr="00F7245E">
        <w:rPr>
          <w:spacing w:val="-12"/>
          <w:w w:val="105"/>
          <w:sz w:val="22"/>
          <w:szCs w:val="22"/>
        </w:rPr>
        <w:t xml:space="preserve"> </w:t>
      </w:r>
      <w:r w:rsidR="00B62AE4" w:rsidRPr="00F7245E">
        <w:rPr>
          <w:w w:val="105"/>
          <w:sz w:val="22"/>
          <w:szCs w:val="22"/>
        </w:rPr>
        <w:t>vizsgálatokból</w:t>
      </w:r>
      <w:r w:rsidR="00B62AE4" w:rsidRPr="00F7245E">
        <w:rPr>
          <w:spacing w:val="-6"/>
          <w:w w:val="105"/>
          <w:sz w:val="22"/>
          <w:szCs w:val="22"/>
        </w:rPr>
        <w:t xml:space="preserve"> </w:t>
      </w:r>
      <w:r w:rsidR="00B62AE4" w:rsidRPr="00F7245E">
        <w:rPr>
          <w:w w:val="105"/>
          <w:sz w:val="22"/>
          <w:szCs w:val="22"/>
        </w:rPr>
        <w:t>származó</w:t>
      </w:r>
      <w:r w:rsidR="00B62AE4" w:rsidRPr="00F7245E">
        <w:rPr>
          <w:spacing w:val="-5"/>
          <w:w w:val="105"/>
          <w:sz w:val="22"/>
          <w:szCs w:val="22"/>
        </w:rPr>
        <w:t xml:space="preserve"> </w:t>
      </w:r>
      <w:r w:rsidR="00B62AE4" w:rsidRPr="00F7245E">
        <w:rPr>
          <w:w w:val="105"/>
          <w:sz w:val="22"/>
          <w:szCs w:val="22"/>
        </w:rPr>
        <w:t>hatásossági</w:t>
      </w:r>
      <w:r w:rsidR="00B62AE4" w:rsidRPr="00F7245E">
        <w:rPr>
          <w:spacing w:val="-14"/>
          <w:w w:val="105"/>
          <w:sz w:val="22"/>
          <w:szCs w:val="22"/>
        </w:rPr>
        <w:t xml:space="preserve"> </w:t>
      </w:r>
      <w:r w:rsidR="00B62AE4" w:rsidRPr="00F7245E">
        <w:rPr>
          <w:w w:val="105"/>
          <w:sz w:val="22"/>
          <w:szCs w:val="22"/>
        </w:rPr>
        <w:t>eredmények</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5"/>
        <w:gridCol w:w="1336"/>
        <w:gridCol w:w="1215"/>
        <w:gridCol w:w="993"/>
        <w:gridCol w:w="1266"/>
        <w:gridCol w:w="1427"/>
        <w:gridCol w:w="850"/>
      </w:tblGrid>
      <w:tr w:rsidR="00B62AE4" w:rsidRPr="00F7245E" w14:paraId="2BC80EEA" w14:textId="77777777" w:rsidTr="00B6039A">
        <w:trPr>
          <w:trHeight w:val="303"/>
        </w:trPr>
        <w:tc>
          <w:tcPr>
            <w:tcW w:w="1985" w:type="dxa"/>
          </w:tcPr>
          <w:p w14:paraId="5BFFA05C" w14:textId="77777777" w:rsidR="00B62AE4" w:rsidRPr="00F7245E" w:rsidRDefault="00B62AE4" w:rsidP="00A21724">
            <w:pPr>
              <w:pStyle w:val="Nincstrkz"/>
              <w:jc w:val="center"/>
              <w:rPr>
                <w:rFonts w:cs="Times New Roman"/>
                <w:b/>
                <w:bCs/>
                <w:lang w:val="hu-HU"/>
              </w:rPr>
            </w:pPr>
            <w:r w:rsidRPr="00F7245E">
              <w:rPr>
                <w:rFonts w:cs="Times New Roman"/>
                <w:b/>
                <w:bCs/>
                <w:w w:val="105"/>
              </w:rPr>
              <w:t>Vizsgálat</w:t>
            </w:r>
          </w:p>
        </w:tc>
        <w:tc>
          <w:tcPr>
            <w:tcW w:w="3544" w:type="dxa"/>
            <w:gridSpan w:val="3"/>
          </w:tcPr>
          <w:p w14:paraId="78B7BF96" w14:textId="77777777" w:rsidR="00B62AE4" w:rsidRPr="00F7245E" w:rsidRDefault="00B62AE4" w:rsidP="00A21724">
            <w:pPr>
              <w:pStyle w:val="Nincstrkz"/>
              <w:jc w:val="center"/>
              <w:rPr>
                <w:rFonts w:cs="Times New Roman"/>
                <w:b/>
                <w:bCs/>
                <w:lang w:val="hu-HU"/>
              </w:rPr>
            </w:pPr>
            <w:r w:rsidRPr="00F7245E">
              <w:rPr>
                <w:rFonts w:cs="Times New Roman"/>
                <w:b/>
                <w:bCs/>
                <w:w w:val="105"/>
              </w:rPr>
              <w:t>ADVANCE-3 (csípő)</w:t>
            </w:r>
          </w:p>
        </w:tc>
        <w:tc>
          <w:tcPr>
            <w:tcW w:w="3543" w:type="dxa"/>
            <w:gridSpan w:val="3"/>
          </w:tcPr>
          <w:p w14:paraId="3C3DD959" w14:textId="77777777" w:rsidR="00B62AE4" w:rsidRPr="00F7245E" w:rsidRDefault="00B62AE4" w:rsidP="00A21724">
            <w:pPr>
              <w:pStyle w:val="Nincstrkz"/>
              <w:jc w:val="center"/>
              <w:rPr>
                <w:rFonts w:cs="Times New Roman"/>
                <w:b/>
                <w:bCs/>
                <w:lang w:val="hu-HU"/>
              </w:rPr>
            </w:pPr>
            <w:r w:rsidRPr="00F7245E">
              <w:rPr>
                <w:rFonts w:cs="Times New Roman"/>
                <w:b/>
                <w:bCs/>
                <w:w w:val="105"/>
              </w:rPr>
              <w:t>ADVANCE-2 (térd)</w:t>
            </w:r>
          </w:p>
        </w:tc>
      </w:tr>
      <w:tr w:rsidR="00B62AE4" w:rsidRPr="00F7245E" w14:paraId="5A97B5EB" w14:textId="77777777" w:rsidTr="00202C59">
        <w:trPr>
          <w:trHeight w:val="1466"/>
        </w:trPr>
        <w:tc>
          <w:tcPr>
            <w:tcW w:w="1985" w:type="dxa"/>
            <w:vAlign w:val="center"/>
          </w:tcPr>
          <w:p w14:paraId="34F0E9D8" w14:textId="7ABF8466" w:rsidR="00B62AE4" w:rsidRPr="00F7245E" w:rsidRDefault="00202C59" w:rsidP="00A21724">
            <w:pPr>
              <w:pStyle w:val="Nincstrkz"/>
              <w:rPr>
                <w:rFonts w:cs="Times New Roman"/>
                <w:w w:val="105"/>
                <w:lang w:val="hu-HU"/>
              </w:rPr>
            </w:pPr>
            <w:r w:rsidRPr="00F7245E">
              <w:rPr>
                <w:rFonts w:cs="Times New Roman"/>
              </w:rPr>
              <w:t>A vizsgálatban alkalmazott k</w:t>
            </w:r>
            <w:r w:rsidR="00B62AE4" w:rsidRPr="00F7245E">
              <w:rPr>
                <w:rFonts w:cs="Times New Roman"/>
              </w:rPr>
              <w:t>ezelés</w:t>
            </w:r>
            <w:r w:rsidR="000535F0" w:rsidRPr="00F7245E">
              <w:rPr>
                <w:rFonts w:cs="Times New Roman"/>
              </w:rPr>
              <w:t>i d</w:t>
            </w:r>
            <w:r w:rsidR="00B62AE4" w:rsidRPr="00F7245E">
              <w:rPr>
                <w:rFonts w:cs="Times New Roman"/>
                <w:w w:val="105"/>
              </w:rPr>
              <w:t>ózis</w:t>
            </w:r>
          </w:p>
          <w:p w14:paraId="5B459A3C" w14:textId="183AD241" w:rsidR="001E2378" w:rsidRPr="00F7245E" w:rsidRDefault="001E2378" w:rsidP="00A21724">
            <w:pPr>
              <w:pStyle w:val="Nincstrkz"/>
              <w:rPr>
                <w:rFonts w:cs="Times New Roman"/>
                <w:w w:val="105"/>
                <w:lang w:val="hu-HU"/>
              </w:rPr>
            </w:pPr>
          </w:p>
          <w:p w14:paraId="75246FD1" w14:textId="77777777" w:rsidR="00B62AE4" w:rsidRPr="00F7245E" w:rsidRDefault="00B62AE4" w:rsidP="00A21724">
            <w:pPr>
              <w:pStyle w:val="Nincstrkz"/>
              <w:rPr>
                <w:rFonts w:cs="Times New Roman"/>
                <w:lang w:val="hu-HU"/>
              </w:rPr>
            </w:pPr>
            <w:r w:rsidRPr="00F7245E">
              <w:rPr>
                <w:rFonts w:cs="Times New Roman"/>
                <w:w w:val="105"/>
              </w:rPr>
              <w:t xml:space="preserve">A kezelés </w:t>
            </w:r>
            <w:r w:rsidRPr="00F7245E">
              <w:rPr>
                <w:rFonts w:cs="Times New Roman"/>
              </w:rPr>
              <w:t>időtartama</w:t>
            </w:r>
          </w:p>
        </w:tc>
        <w:tc>
          <w:tcPr>
            <w:tcW w:w="1336" w:type="dxa"/>
            <w:vAlign w:val="center"/>
          </w:tcPr>
          <w:p w14:paraId="11E29998" w14:textId="76BFFBD4" w:rsidR="00B62AE4" w:rsidRPr="00F7245E" w:rsidRDefault="00CA2919" w:rsidP="00A21724">
            <w:pPr>
              <w:pStyle w:val="Nincstrkz"/>
              <w:jc w:val="center"/>
              <w:rPr>
                <w:rFonts w:cs="Times New Roman"/>
                <w:i/>
                <w:iCs/>
                <w:lang w:val="hu-HU"/>
              </w:rPr>
            </w:pPr>
            <w:r w:rsidRPr="00F7245E">
              <w:rPr>
                <w:rFonts w:cs="Times New Roman"/>
                <w:w w:val="105"/>
              </w:rPr>
              <w:t xml:space="preserve">Apixabán </w:t>
            </w:r>
            <w:r w:rsidR="00B62AE4" w:rsidRPr="00F7245E">
              <w:rPr>
                <w:rFonts w:cs="Times New Roman"/>
                <w:w w:val="105"/>
              </w:rPr>
              <w:t>2,5</w:t>
            </w:r>
            <w:r w:rsidR="004C106B" w:rsidRPr="00F7245E">
              <w:rPr>
                <w:rFonts w:cs="Times New Roman"/>
                <w:w w:val="105"/>
              </w:rPr>
              <w:t> mg</w:t>
            </w:r>
            <w:r w:rsidR="00B62AE4" w:rsidRPr="00F7245E">
              <w:rPr>
                <w:rFonts w:cs="Times New Roman"/>
                <w:w w:val="105"/>
              </w:rPr>
              <w:t xml:space="preserve"> </w:t>
            </w:r>
            <w:r w:rsidR="00B62AE4" w:rsidRPr="00F7245E">
              <w:rPr>
                <w:rFonts w:cs="Times New Roman"/>
                <w:i/>
                <w:iCs/>
                <w:spacing w:val="-5"/>
                <w:w w:val="105"/>
              </w:rPr>
              <w:t xml:space="preserve">per </w:t>
            </w:r>
            <w:r w:rsidR="00B62AE4" w:rsidRPr="00F7245E">
              <w:rPr>
                <w:rFonts w:cs="Times New Roman"/>
                <w:i/>
                <w:iCs/>
                <w:w w:val="105"/>
              </w:rPr>
              <w:t>os</w:t>
            </w:r>
          </w:p>
          <w:p w14:paraId="3D2B08A7" w14:textId="77777777" w:rsidR="00B62AE4" w:rsidRPr="00F7245E" w:rsidRDefault="00B62AE4" w:rsidP="00A21724">
            <w:pPr>
              <w:pStyle w:val="Nincstrkz"/>
              <w:jc w:val="center"/>
              <w:rPr>
                <w:rFonts w:cs="Times New Roman"/>
                <w:lang w:val="hu-HU"/>
              </w:rPr>
            </w:pPr>
            <w:r w:rsidRPr="00F7245E">
              <w:rPr>
                <w:rFonts w:cs="Times New Roman"/>
              </w:rPr>
              <w:t xml:space="preserve">naponta </w:t>
            </w:r>
            <w:r w:rsidRPr="00F7245E">
              <w:rPr>
                <w:rFonts w:cs="Times New Roman"/>
                <w:w w:val="105"/>
              </w:rPr>
              <w:t>kétszer</w:t>
            </w:r>
          </w:p>
          <w:p w14:paraId="36F7BD7E" w14:textId="2639F3F9" w:rsidR="00B62AE4" w:rsidRPr="00F7245E" w:rsidRDefault="00B62AE4" w:rsidP="00A21724">
            <w:pPr>
              <w:pStyle w:val="Nincstrkz"/>
              <w:jc w:val="center"/>
              <w:rPr>
                <w:rFonts w:cs="Times New Roman"/>
                <w:lang w:val="hu-HU"/>
              </w:rPr>
            </w:pPr>
            <w:r w:rsidRPr="00F7245E">
              <w:rPr>
                <w:rFonts w:cs="Times New Roman"/>
                <w:w w:val="105"/>
              </w:rPr>
              <w:t>35 ± 3</w:t>
            </w:r>
            <w:r w:rsidR="003B67D5" w:rsidRPr="00F7245E">
              <w:rPr>
                <w:rFonts w:cs="Times New Roman"/>
                <w:w w:val="105"/>
              </w:rPr>
              <w:t> nap</w:t>
            </w:r>
          </w:p>
        </w:tc>
        <w:tc>
          <w:tcPr>
            <w:tcW w:w="1215" w:type="dxa"/>
            <w:vAlign w:val="center"/>
          </w:tcPr>
          <w:p w14:paraId="592D67E8" w14:textId="063AF062" w:rsidR="00B62AE4" w:rsidRPr="00F7245E" w:rsidRDefault="00B62AE4" w:rsidP="00A21724">
            <w:pPr>
              <w:pStyle w:val="Nincstrkz"/>
              <w:jc w:val="center"/>
              <w:rPr>
                <w:rFonts w:cs="Times New Roman"/>
                <w:lang w:val="hu-HU"/>
              </w:rPr>
            </w:pPr>
            <w:r w:rsidRPr="00F7245E">
              <w:rPr>
                <w:rFonts w:cs="Times New Roman"/>
              </w:rPr>
              <w:t xml:space="preserve">Enoxaparin </w:t>
            </w:r>
            <w:r w:rsidRPr="00F7245E">
              <w:rPr>
                <w:rFonts w:cs="Times New Roman"/>
                <w:w w:val="105"/>
              </w:rPr>
              <w:t>40</w:t>
            </w:r>
            <w:r w:rsidR="004C106B" w:rsidRPr="00F7245E">
              <w:rPr>
                <w:rFonts w:cs="Times New Roman"/>
                <w:w w:val="105"/>
              </w:rPr>
              <w:t> mg</w:t>
            </w:r>
            <w:r w:rsidRPr="00F7245E">
              <w:rPr>
                <w:rFonts w:cs="Times New Roman"/>
                <w:w w:val="105"/>
              </w:rPr>
              <w:t xml:space="preserve"> sc.</w:t>
            </w:r>
            <w:r w:rsidR="003B67D5" w:rsidRPr="00F7245E">
              <w:rPr>
                <w:rFonts w:cs="Times New Roman"/>
                <w:w w:val="105"/>
              </w:rPr>
              <w:t> nap</w:t>
            </w:r>
            <w:r w:rsidRPr="00F7245E">
              <w:rPr>
                <w:rFonts w:cs="Times New Roman"/>
                <w:w w:val="105"/>
              </w:rPr>
              <w:t>onta egyszer</w:t>
            </w:r>
          </w:p>
          <w:p w14:paraId="3DF82704" w14:textId="7A6DABFB" w:rsidR="00B62AE4" w:rsidRPr="00F7245E" w:rsidRDefault="00B62AE4" w:rsidP="00A21724">
            <w:pPr>
              <w:pStyle w:val="Nincstrkz"/>
              <w:jc w:val="center"/>
              <w:rPr>
                <w:rFonts w:cs="Times New Roman"/>
                <w:lang w:val="hu-HU"/>
              </w:rPr>
            </w:pPr>
            <w:r w:rsidRPr="00F7245E">
              <w:rPr>
                <w:rFonts w:cs="Times New Roman"/>
                <w:w w:val="105"/>
              </w:rPr>
              <w:t>35 ± 3</w:t>
            </w:r>
            <w:r w:rsidR="003B67D5" w:rsidRPr="00F7245E">
              <w:rPr>
                <w:rFonts w:cs="Times New Roman"/>
                <w:w w:val="105"/>
              </w:rPr>
              <w:t> nap</w:t>
            </w:r>
          </w:p>
        </w:tc>
        <w:tc>
          <w:tcPr>
            <w:tcW w:w="993" w:type="dxa"/>
            <w:vAlign w:val="center"/>
          </w:tcPr>
          <w:p w14:paraId="73FDA854" w14:textId="77777777" w:rsidR="00B62AE4" w:rsidRPr="00F7245E" w:rsidRDefault="00B62AE4" w:rsidP="00A21724">
            <w:pPr>
              <w:pStyle w:val="Nincstrkz"/>
              <w:jc w:val="center"/>
              <w:rPr>
                <w:rFonts w:cs="Times New Roman"/>
                <w:lang w:val="hu-HU"/>
              </w:rPr>
            </w:pPr>
            <w:r w:rsidRPr="00F7245E">
              <w:rPr>
                <w:rFonts w:cs="Times New Roman"/>
                <w:w w:val="105"/>
              </w:rPr>
              <w:t>p-érték</w:t>
            </w:r>
          </w:p>
        </w:tc>
        <w:tc>
          <w:tcPr>
            <w:tcW w:w="1266" w:type="dxa"/>
            <w:vAlign w:val="center"/>
          </w:tcPr>
          <w:p w14:paraId="652FA396" w14:textId="3E2CE096" w:rsidR="00B62AE4" w:rsidRPr="00F7245E" w:rsidRDefault="00CA2919" w:rsidP="00A21724">
            <w:pPr>
              <w:pStyle w:val="Nincstrkz"/>
              <w:jc w:val="center"/>
              <w:rPr>
                <w:rFonts w:cs="Times New Roman"/>
                <w:lang w:val="hu-HU"/>
              </w:rPr>
            </w:pPr>
            <w:r w:rsidRPr="00F7245E">
              <w:rPr>
                <w:rFonts w:cs="Times New Roman"/>
                <w:w w:val="105"/>
              </w:rPr>
              <w:t xml:space="preserve">Apixabán </w:t>
            </w:r>
            <w:r w:rsidR="00B62AE4" w:rsidRPr="00F7245E">
              <w:rPr>
                <w:rFonts w:cs="Times New Roman"/>
                <w:w w:val="105"/>
              </w:rPr>
              <w:t>2,5</w:t>
            </w:r>
            <w:r w:rsidR="004C106B" w:rsidRPr="00F7245E">
              <w:rPr>
                <w:rFonts w:cs="Times New Roman"/>
                <w:w w:val="105"/>
              </w:rPr>
              <w:t> mg</w:t>
            </w:r>
            <w:r w:rsidR="00B62AE4" w:rsidRPr="00F7245E">
              <w:rPr>
                <w:rFonts w:cs="Times New Roman"/>
                <w:w w:val="105"/>
              </w:rPr>
              <w:t xml:space="preserve"> </w:t>
            </w:r>
            <w:r w:rsidR="00B62AE4" w:rsidRPr="00F7245E">
              <w:rPr>
                <w:rFonts w:cs="Times New Roman"/>
                <w:i/>
                <w:iCs/>
                <w:w w:val="105"/>
              </w:rPr>
              <w:t>per os</w:t>
            </w:r>
            <w:r w:rsidR="000535F0" w:rsidRPr="00F7245E">
              <w:rPr>
                <w:rFonts w:cs="Times New Roman"/>
                <w:w w:val="105"/>
              </w:rPr>
              <w:t xml:space="preserve"> </w:t>
            </w:r>
            <w:r w:rsidR="003B67D5" w:rsidRPr="00F7245E">
              <w:rPr>
                <w:rFonts w:cs="Times New Roman"/>
                <w:w w:val="105"/>
              </w:rPr>
              <w:t>nap</w:t>
            </w:r>
            <w:r w:rsidR="00B62AE4" w:rsidRPr="00F7245E">
              <w:rPr>
                <w:rFonts w:cs="Times New Roman"/>
                <w:w w:val="105"/>
              </w:rPr>
              <w:t>onta kétszer</w:t>
            </w:r>
          </w:p>
          <w:p w14:paraId="6FA3A21B" w14:textId="33751FCE" w:rsidR="00B62AE4" w:rsidRPr="00F7245E" w:rsidRDefault="00B62AE4" w:rsidP="00A21724">
            <w:pPr>
              <w:pStyle w:val="Nincstrkz"/>
              <w:jc w:val="center"/>
              <w:rPr>
                <w:rFonts w:cs="Times New Roman"/>
                <w:lang w:val="hu-HU"/>
              </w:rPr>
            </w:pPr>
            <w:r w:rsidRPr="00F7245E">
              <w:rPr>
                <w:rFonts w:cs="Times New Roman"/>
                <w:w w:val="105"/>
              </w:rPr>
              <w:t>12 ± 2</w:t>
            </w:r>
            <w:r w:rsidR="003B67D5" w:rsidRPr="00F7245E">
              <w:rPr>
                <w:rFonts w:cs="Times New Roman"/>
                <w:w w:val="105"/>
              </w:rPr>
              <w:t> nap</w:t>
            </w:r>
          </w:p>
        </w:tc>
        <w:tc>
          <w:tcPr>
            <w:tcW w:w="1427" w:type="dxa"/>
            <w:vAlign w:val="center"/>
          </w:tcPr>
          <w:p w14:paraId="738EE63C" w14:textId="751765B3" w:rsidR="00B62AE4" w:rsidRPr="00F7245E" w:rsidRDefault="00B62AE4" w:rsidP="00A21724">
            <w:pPr>
              <w:pStyle w:val="Nincstrkz"/>
              <w:jc w:val="center"/>
              <w:rPr>
                <w:rFonts w:cs="Times New Roman"/>
                <w:lang w:val="hu-HU"/>
              </w:rPr>
            </w:pPr>
            <w:r w:rsidRPr="00F7245E">
              <w:rPr>
                <w:rFonts w:cs="Times New Roman"/>
              </w:rPr>
              <w:t xml:space="preserve">Enoxaparin </w:t>
            </w:r>
            <w:r w:rsidRPr="00F7245E">
              <w:rPr>
                <w:rFonts w:cs="Times New Roman"/>
                <w:w w:val="105"/>
              </w:rPr>
              <w:t>40</w:t>
            </w:r>
            <w:r w:rsidR="004C106B" w:rsidRPr="00F7245E">
              <w:rPr>
                <w:rFonts w:cs="Times New Roman"/>
                <w:w w:val="105"/>
              </w:rPr>
              <w:t> mg</w:t>
            </w:r>
            <w:r w:rsidRPr="00F7245E">
              <w:rPr>
                <w:rFonts w:cs="Times New Roman"/>
                <w:w w:val="105"/>
              </w:rPr>
              <w:t xml:space="preserve"> sc.</w:t>
            </w:r>
            <w:r w:rsidR="003B67D5" w:rsidRPr="00F7245E">
              <w:rPr>
                <w:rFonts w:cs="Times New Roman"/>
                <w:w w:val="105"/>
              </w:rPr>
              <w:t> nap</w:t>
            </w:r>
            <w:r w:rsidRPr="00F7245E">
              <w:rPr>
                <w:rFonts w:cs="Times New Roman"/>
                <w:w w:val="105"/>
              </w:rPr>
              <w:t>onta egyszer</w:t>
            </w:r>
          </w:p>
          <w:p w14:paraId="4C237286" w14:textId="723EB835" w:rsidR="00B62AE4" w:rsidRPr="00F7245E" w:rsidRDefault="00B62AE4" w:rsidP="00A21724">
            <w:pPr>
              <w:pStyle w:val="Nincstrkz"/>
              <w:jc w:val="center"/>
              <w:rPr>
                <w:rFonts w:cs="Times New Roman"/>
                <w:lang w:val="hu-HU"/>
              </w:rPr>
            </w:pPr>
            <w:r w:rsidRPr="00F7245E">
              <w:rPr>
                <w:rFonts w:cs="Times New Roman"/>
                <w:w w:val="105"/>
              </w:rPr>
              <w:t>12 ± 2</w:t>
            </w:r>
            <w:r w:rsidR="003B67D5" w:rsidRPr="00F7245E">
              <w:rPr>
                <w:rFonts w:cs="Times New Roman"/>
                <w:w w:val="105"/>
              </w:rPr>
              <w:t> nap</w:t>
            </w:r>
          </w:p>
        </w:tc>
        <w:tc>
          <w:tcPr>
            <w:tcW w:w="850" w:type="dxa"/>
            <w:vAlign w:val="center"/>
          </w:tcPr>
          <w:p w14:paraId="06ED59B9" w14:textId="77777777" w:rsidR="00B62AE4" w:rsidRPr="00F7245E" w:rsidRDefault="00B62AE4" w:rsidP="00A21724">
            <w:pPr>
              <w:pStyle w:val="Nincstrkz"/>
              <w:jc w:val="center"/>
              <w:rPr>
                <w:rFonts w:cs="Times New Roman"/>
                <w:lang w:val="hu-HU"/>
              </w:rPr>
            </w:pPr>
            <w:r w:rsidRPr="00F7245E">
              <w:rPr>
                <w:rFonts w:cs="Times New Roman"/>
                <w:w w:val="105"/>
              </w:rPr>
              <w:t>p-érték</w:t>
            </w:r>
          </w:p>
        </w:tc>
      </w:tr>
      <w:tr w:rsidR="00B62AE4" w:rsidRPr="00F7245E" w14:paraId="4C5BE171" w14:textId="77777777" w:rsidTr="000535F0">
        <w:trPr>
          <w:trHeight w:val="315"/>
        </w:trPr>
        <w:tc>
          <w:tcPr>
            <w:tcW w:w="9072" w:type="dxa"/>
            <w:gridSpan w:val="7"/>
          </w:tcPr>
          <w:p w14:paraId="092ADC8E" w14:textId="74A884DE" w:rsidR="00B62AE4" w:rsidRPr="00F7245E" w:rsidRDefault="000535F0" w:rsidP="00A21724">
            <w:pPr>
              <w:pStyle w:val="TableParagraph"/>
              <w:ind w:left="101"/>
              <w:rPr>
                <w:lang w:val="hu-HU"/>
              </w:rPr>
            </w:pPr>
            <w:r w:rsidRPr="00F7245E">
              <w:rPr>
                <w:w w:val="105"/>
              </w:rPr>
              <w:t>Ö</w:t>
            </w:r>
            <w:r w:rsidR="00B62AE4" w:rsidRPr="00F7245E">
              <w:rPr>
                <w:w w:val="105"/>
              </w:rPr>
              <w:t>sszes VTE</w:t>
            </w:r>
            <w:r w:rsidR="00202C59" w:rsidRPr="00F7245E">
              <w:rPr>
                <w:w w:val="105"/>
              </w:rPr>
              <w:noBreakHyphen/>
            </w:r>
            <w:r w:rsidR="00B62AE4" w:rsidRPr="00F7245E">
              <w:rPr>
                <w:w w:val="105"/>
              </w:rPr>
              <w:t>/</w:t>
            </w:r>
            <w:r w:rsidRPr="00F7245E">
              <w:rPr>
                <w:w w:val="105"/>
              </w:rPr>
              <w:t xml:space="preserve"> </w:t>
            </w:r>
            <w:r w:rsidR="00202C59" w:rsidRPr="00F7245E">
              <w:rPr>
                <w:w w:val="105"/>
              </w:rPr>
              <w:t xml:space="preserve">bármely okból bekövetkező halálozás </w:t>
            </w:r>
          </w:p>
        </w:tc>
      </w:tr>
      <w:tr w:rsidR="00202C59" w:rsidRPr="00F7245E" w14:paraId="30F1C877" w14:textId="77777777" w:rsidTr="00202C59">
        <w:trPr>
          <w:trHeight w:val="742"/>
        </w:trPr>
        <w:tc>
          <w:tcPr>
            <w:tcW w:w="1985" w:type="dxa"/>
            <w:tcBorders>
              <w:bottom w:val="single" w:sz="4" w:space="0" w:color="000000"/>
            </w:tcBorders>
            <w:vAlign w:val="center"/>
          </w:tcPr>
          <w:p w14:paraId="2C2472F9" w14:textId="3C6CCB80" w:rsidR="00202C59" w:rsidRPr="00F7245E" w:rsidRDefault="00202C59" w:rsidP="00A21724">
            <w:pPr>
              <w:pStyle w:val="TableParagraph"/>
              <w:ind w:left="101"/>
              <w:rPr>
                <w:lang w:val="hu-HU"/>
              </w:rPr>
            </w:pPr>
            <w:r w:rsidRPr="00F7245E">
              <w:rPr>
                <w:w w:val="105"/>
              </w:rPr>
              <w:t>Események /betegek száma</w:t>
            </w:r>
          </w:p>
          <w:p w14:paraId="7BE48C2E" w14:textId="0D5B7D26" w:rsidR="00202C59" w:rsidRPr="00F7245E" w:rsidRDefault="00202C59" w:rsidP="00A21724">
            <w:pPr>
              <w:pStyle w:val="TableParagraph"/>
              <w:ind w:left="101"/>
              <w:rPr>
                <w:lang w:val="hu-HU"/>
              </w:rPr>
            </w:pPr>
            <w:r w:rsidRPr="00F7245E">
              <w:rPr>
                <w:w w:val="105"/>
              </w:rPr>
              <w:t>Esemény-ráta</w:t>
            </w:r>
          </w:p>
        </w:tc>
        <w:tc>
          <w:tcPr>
            <w:tcW w:w="1336" w:type="dxa"/>
            <w:tcBorders>
              <w:bottom w:val="single" w:sz="4" w:space="0" w:color="000000"/>
            </w:tcBorders>
            <w:vAlign w:val="center"/>
          </w:tcPr>
          <w:p w14:paraId="0D7B8B1B" w14:textId="562F7805" w:rsidR="00202C59" w:rsidRPr="00F7245E" w:rsidRDefault="00202C59" w:rsidP="00A21724">
            <w:pPr>
              <w:pStyle w:val="TableParagraph"/>
              <w:ind w:left="100" w:right="86"/>
              <w:jc w:val="center"/>
              <w:rPr>
                <w:w w:val="105"/>
                <w:lang w:val="hu-HU"/>
              </w:rPr>
            </w:pPr>
            <w:r w:rsidRPr="00F7245E">
              <w:rPr>
                <w:w w:val="105"/>
              </w:rPr>
              <w:t>27/1949</w:t>
            </w:r>
          </w:p>
          <w:p w14:paraId="761C3F37" w14:textId="77777777" w:rsidR="00202C59" w:rsidRPr="00F7245E" w:rsidRDefault="00202C59" w:rsidP="00A21724">
            <w:pPr>
              <w:pStyle w:val="TableParagraph"/>
              <w:ind w:left="100" w:right="86"/>
              <w:jc w:val="center"/>
              <w:rPr>
                <w:w w:val="105"/>
                <w:lang w:val="hu-HU"/>
              </w:rPr>
            </w:pPr>
          </w:p>
          <w:p w14:paraId="09E2C2A4" w14:textId="70A749AB" w:rsidR="00202C59" w:rsidRPr="00F7245E" w:rsidRDefault="00202C59" w:rsidP="00A21724">
            <w:pPr>
              <w:pStyle w:val="TableParagraph"/>
              <w:ind w:left="100" w:right="87"/>
              <w:jc w:val="center"/>
              <w:rPr>
                <w:lang w:val="hu-HU"/>
              </w:rPr>
            </w:pPr>
            <w:r w:rsidRPr="00F7245E">
              <w:rPr>
                <w:w w:val="105"/>
              </w:rPr>
              <w:t>1,39%</w:t>
            </w:r>
          </w:p>
        </w:tc>
        <w:tc>
          <w:tcPr>
            <w:tcW w:w="1215" w:type="dxa"/>
            <w:tcBorders>
              <w:bottom w:val="single" w:sz="4" w:space="0" w:color="000000"/>
            </w:tcBorders>
            <w:vAlign w:val="center"/>
          </w:tcPr>
          <w:p w14:paraId="14ACBA5D" w14:textId="34B2144C" w:rsidR="00202C59" w:rsidRPr="00F7245E" w:rsidRDefault="00202C59" w:rsidP="00A21724">
            <w:pPr>
              <w:pStyle w:val="TableParagraph"/>
              <w:ind w:left="178" w:right="166"/>
              <w:jc w:val="center"/>
              <w:rPr>
                <w:w w:val="105"/>
                <w:lang w:val="hu-HU"/>
              </w:rPr>
            </w:pPr>
            <w:r w:rsidRPr="00F7245E">
              <w:rPr>
                <w:w w:val="105"/>
              </w:rPr>
              <w:t>74/1917</w:t>
            </w:r>
          </w:p>
          <w:p w14:paraId="2EC17011" w14:textId="77777777" w:rsidR="00202C59" w:rsidRPr="00F7245E" w:rsidRDefault="00202C59" w:rsidP="00A21724">
            <w:pPr>
              <w:pStyle w:val="TableParagraph"/>
              <w:ind w:left="178" w:right="166"/>
              <w:jc w:val="center"/>
              <w:rPr>
                <w:lang w:val="hu-HU"/>
              </w:rPr>
            </w:pPr>
          </w:p>
          <w:p w14:paraId="5B51BFDB" w14:textId="41763423" w:rsidR="00202C59" w:rsidRPr="00F7245E" w:rsidRDefault="00202C59" w:rsidP="00A21724">
            <w:pPr>
              <w:pStyle w:val="TableParagraph"/>
              <w:ind w:left="177" w:right="166"/>
              <w:jc w:val="center"/>
              <w:rPr>
                <w:lang w:val="hu-HU"/>
              </w:rPr>
            </w:pPr>
            <w:r w:rsidRPr="00F7245E">
              <w:rPr>
                <w:w w:val="105"/>
              </w:rPr>
              <w:t>3,86%</w:t>
            </w:r>
          </w:p>
        </w:tc>
        <w:tc>
          <w:tcPr>
            <w:tcW w:w="993" w:type="dxa"/>
            <w:vMerge w:val="restart"/>
            <w:tcBorders>
              <w:bottom w:val="single" w:sz="4" w:space="0" w:color="000000"/>
            </w:tcBorders>
            <w:vAlign w:val="center"/>
          </w:tcPr>
          <w:p w14:paraId="6A3A09D3" w14:textId="0F9ED4F5" w:rsidR="00202C59" w:rsidRPr="00F7245E" w:rsidRDefault="00202C59" w:rsidP="00A21724">
            <w:pPr>
              <w:pStyle w:val="TableParagraph"/>
              <w:ind w:left="116" w:right="110" w:hanging="116"/>
              <w:jc w:val="center"/>
              <w:rPr>
                <w:lang w:val="hu-HU"/>
              </w:rPr>
            </w:pPr>
            <w:r w:rsidRPr="00F7245E">
              <w:rPr>
                <w:w w:val="105"/>
              </w:rPr>
              <w:t>&lt; 0,000</w:t>
            </w:r>
            <w:r w:rsidRPr="00F7245E">
              <w:rPr>
                <w:w w:val="103"/>
              </w:rPr>
              <w:t>1</w:t>
            </w:r>
          </w:p>
        </w:tc>
        <w:tc>
          <w:tcPr>
            <w:tcW w:w="1266" w:type="dxa"/>
            <w:tcBorders>
              <w:bottom w:val="single" w:sz="4" w:space="0" w:color="000000"/>
            </w:tcBorders>
            <w:vAlign w:val="center"/>
          </w:tcPr>
          <w:p w14:paraId="1AF8DA7C" w14:textId="4DF50874" w:rsidR="00202C59" w:rsidRPr="00F7245E" w:rsidRDefault="00202C59" w:rsidP="00A21724">
            <w:pPr>
              <w:pStyle w:val="TableParagraph"/>
              <w:ind w:left="105" w:right="100"/>
              <w:jc w:val="center"/>
              <w:rPr>
                <w:w w:val="105"/>
                <w:lang w:val="hu-HU"/>
              </w:rPr>
            </w:pPr>
            <w:r w:rsidRPr="00F7245E">
              <w:rPr>
                <w:w w:val="105"/>
              </w:rPr>
              <w:t>147/976</w:t>
            </w:r>
          </w:p>
          <w:p w14:paraId="4C522088" w14:textId="77777777" w:rsidR="00202C59" w:rsidRPr="00F7245E" w:rsidRDefault="00202C59" w:rsidP="00A21724">
            <w:pPr>
              <w:pStyle w:val="TableParagraph"/>
              <w:ind w:left="105" w:right="100"/>
              <w:jc w:val="center"/>
              <w:rPr>
                <w:lang w:val="hu-HU"/>
              </w:rPr>
            </w:pPr>
          </w:p>
          <w:p w14:paraId="4F97D89D" w14:textId="57E28370" w:rsidR="00202C59" w:rsidRPr="00F7245E" w:rsidRDefault="00202C59" w:rsidP="00A21724">
            <w:pPr>
              <w:pStyle w:val="TableParagraph"/>
              <w:ind w:left="106" w:right="100"/>
              <w:jc w:val="center"/>
              <w:rPr>
                <w:lang w:val="hu-HU"/>
              </w:rPr>
            </w:pPr>
            <w:r w:rsidRPr="00F7245E">
              <w:rPr>
                <w:w w:val="105"/>
              </w:rPr>
              <w:t>15,06%</w:t>
            </w:r>
          </w:p>
        </w:tc>
        <w:tc>
          <w:tcPr>
            <w:tcW w:w="1427" w:type="dxa"/>
            <w:tcBorders>
              <w:bottom w:val="single" w:sz="4" w:space="0" w:color="000000"/>
            </w:tcBorders>
            <w:vAlign w:val="center"/>
          </w:tcPr>
          <w:p w14:paraId="709FC01A" w14:textId="05B6EBCF" w:rsidR="00202C59" w:rsidRPr="00F7245E" w:rsidRDefault="00202C59" w:rsidP="00A21724">
            <w:pPr>
              <w:pStyle w:val="TableParagraph"/>
              <w:ind w:right="302"/>
              <w:jc w:val="center"/>
              <w:rPr>
                <w:lang w:val="hu-HU"/>
              </w:rPr>
            </w:pPr>
            <w:r w:rsidRPr="00F7245E">
              <w:t>243/997</w:t>
            </w:r>
          </w:p>
          <w:p w14:paraId="558114FA" w14:textId="77777777" w:rsidR="00202C59" w:rsidRPr="00F7245E" w:rsidRDefault="00202C59" w:rsidP="00A21724">
            <w:pPr>
              <w:pStyle w:val="TableParagraph"/>
              <w:ind w:right="302"/>
              <w:jc w:val="center"/>
              <w:rPr>
                <w:lang w:val="hu-HU"/>
              </w:rPr>
            </w:pPr>
          </w:p>
          <w:p w14:paraId="0F5DEDA2" w14:textId="3B9990E5" w:rsidR="00202C59" w:rsidRPr="00F7245E" w:rsidRDefault="00202C59" w:rsidP="00A21724">
            <w:pPr>
              <w:pStyle w:val="TableParagraph"/>
              <w:ind w:right="321"/>
              <w:jc w:val="center"/>
              <w:rPr>
                <w:lang w:val="hu-HU"/>
              </w:rPr>
            </w:pPr>
            <w:r w:rsidRPr="00F7245E">
              <w:t>24,37%</w:t>
            </w:r>
          </w:p>
        </w:tc>
        <w:tc>
          <w:tcPr>
            <w:tcW w:w="850" w:type="dxa"/>
            <w:vMerge w:val="restart"/>
            <w:tcBorders>
              <w:bottom w:val="single" w:sz="4" w:space="0" w:color="000000"/>
            </w:tcBorders>
            <w:vAlign w:val="center"/>
          </w:tcPr>
          <w:p w14:paraId="2172173A" w14:textId="4BEEF1B6" w:rsidR="00202C59" w:rsidRPr="00F7245E" w:rsidRDefault="00202C59" w:rsidP="00A21724">
            <w:pPr>
              <w:pStyle w:val="TableParagraph"/>
              <w:ind w:left="73" w:right="-2" w:hanging="114"/>
              <w:jc w:val="center"/>
              <w:rPr>
                <w:lang w:val="hu-HU"/>
              </w:rPr>
            </w:pPr>
            <w:r w:rsidRPr="00F7245E">
              <w:rPr>
                <w:w w:val="105"/>
              </w:rPr>
              <w:t>&lt; 0,000</w:t>
            </w:r>
            <w:r w:rsidRPr="00F7245E">
              <w:rPr>
                <w:w w:val="103"/>
              </w:rPr>
              <w:t>1</w:t>
            </w:r>
          </w:p>
        </w:tc>
      </w:tr>
      <w:tr w:rsidR="00202C59" w:rsidRPr="00F7245E" w14:paraId="2DF765AB" w14:textId="77777777" w:rsidTr="00202C59">
        <w:trPr>
          <w:trHeight w:val="488"/>
        </w:trPr>
        <w:tc>
          <w:tcPr>
            <w:tcW w:w="1985" w:type="dxa"/>
            <w:tcBorders>
              <w:bottom w:val="single" w:sz="4" w:space="0" w:color="000000"/>
            </w:tcBorders>
            <w:vAlign w:val="center"/>
          </w:tcPr>
          <w:p w14:paraId="683D6974" w14:textId="77777777" w:rsidR="00202C59" w:rsidRPr="00F7245E" w:rsidRDefault="00202C59" w:rsidP="00A21724">
            <w:pPr>
              <w:pStyle w:val="TableParagraph"/>
              <w:ind w:left="101"/>
              <w:rPr>
                <w:lang w:val="hu-HU"/>
              </w:rPr>
            </w:pPr>
            <w:r w:rsidRPr="00F7245E">
              <w:rPr>
                <w:w w:val="105"/>
              </w:rPr>
              <w:t>Relatív kockázat</w:t>
            </w:r>
          </w:p>
          <w:p w14:paraId="76E46725" w14:textId="1703742A" w:rsidR="00202C59" w:rsidRPr="00F7245E" w:rsidRDefault="00202C59" w:rsidP="00A21724">
            <w:pPr>
              <w:pStyle w:val="TableParagraph"/>
              <w:ind w:left="101"/>
              <w:rPr>
                <w:lang w:val="hu-HU"/>
              </w:rPr>
            </w:pPr>
            <w:r w:rsidRPr="00F7245E">
              <w:rPr>
                <w:w w:val="105"/>
              </w:rPr>
              <w:t>95%-os CI</w:t>
            </w:r>
          </w:p>
        </w:tc>
        <w:tc>
          <w:tcPr>
            <w:tcW w:w="1336" w:type="dxa"/>
            <w:tcBorders>
              <w:bottom w:val="single" w:sz="4" w:space="0" w:color="000000"/>
            </w:tcBorders>
            <w:vAlign w:val="center"/>
          </w:tcPr>
          <w:p w14:paraId="7DFAF043" w14:textId="77777777" w:rsidR="00202C59" w:rsidRPr="00F7245E" w:rsidRDefault="00202C59" w:rsidP="00A21724">
            <w:pPr>
              <w:pStyle w:val="TableParagraph"/>
              <w:ind w:left="100" w:right="87"/>
              <w:jc w:val="center"/>
              <w:rPr>
                <w:lang w:val="hu-HU"/>
              </w:rPr>
            </w:pPr>
            <w:r w:rsidRPr="00F7245E">
              <w:rPr>
                <w:w w:val="105"/>
              </w:rPr>
              <w:t>0,36</w:t>
            </w:r>
          </w:p>
          <w:p w14:paraId="3355F2C0" w14:textId="1EE02929" w:rsidR="00202C59" w:rsidRPr="00F7245E" w:rsidRDefault="00202C59" w:rsidP="00A21724">
            <w:pPr>
              <w:pStyle w:val="TableParagraph"/>
              <w:ind w:left="100" w:right="88"/>
              <w:jc w:val="center"/>
              <w:rPr>
                <w:lang w:val="hu-HU"/>
              </w:rPr>
            </w:pPr>
            <w:r w:rsidRPr="00F7245E">
              <w:rPr>
                <w:w w:val="105"/>
              </w:rPr>
              <w:t>(0,22, 0,54)</w:t>
            </w:r>
          </w:p>
        </w:tc>
        <w:tc>
          <w:tcPr>
            <w:tcW w:w="1215" w:type="dxa"/>
            <w:tcBorders>
              <w:bottom w:val="single" w:sz="4" w:space="0" w:color="000000"/>
            </w:tcBorders>
            <w:vAlign w:val="center"/>
          </w:tcPr>
          <w:p w14:paraId="034E706B" w14:textId="77777777" w:rsidR="00202C59" w:rsidRPr="00F7245E" w:rsidRDefault="00202C59" w:rsidP="00A21724">
            <w:pPr>
              <w:pStyle w:val="TableParagraph"/>
              <w:jc w:val="center"/>
              <w:rPr>
                <w:lang w:val="hu-HU"/>
              </w:rPr>
            </w:pPr>
          </w:p>
        </w:tc>
        <w:tc>
          <w:tcPr>
            <w:tcW w:w="993" w:type="dxa"/>
            <w:vMerge/>
            <w:tcBorders>
              <w:bottom w:val="single" w:sz="4" w:space="0" w:color="000000"/>
            </w:tcBorders>
            <w:vAlign w:val="center"/>
          </w:tcPr>
          <w:p w14:paraId="733B62FA" w14:textId="77777777" w:rsidR="00202C59" w:rsidRPr="00F7245E" w:rsidRDefault="00202C59" w:rsidP="00A21724">
            <w:pPr>
              <w:jc w:val="center"/>
              <w:rPr>
                <w:lang w:val="hu-HU"/>
              </w:rPr>
            </w:pPr>
          </w:p>
        </w:tc>
        <w:tc>
          <w:tcPr>
            <w:tcW w:w="1266" w:type="dxa"/>
            <w:tcBorders>
              <w:bottom w:val="single" w:sz="4" w:space="0" w:color="000000"/>
            </w:tcBorders>
            <w:vAlign w:val="center"/>
          </w:tcPr>
          <w:p w14:paraId="77C0B5AB" w14:textId="77777777" w:rsidR="00202C59" w:rsidRPr="00F7245E" w:rsidRDefault="00202C59" w:rsidP="00A21724">
            <w:pPr>
              <w:pStyle w:val="TableParagraph"/>
              <w:ind w:left="105" w:right="100"/>
              <w:jc w:val="center"/>
              <w:rPr>
                <w:lang w:val="hu-HU"/>
              </w:rPr>
            </w:pPr>
            <w:r w:rsidRPr="00F7245E">
              <w:rPr>
                <w:w w:val="105"/>
              </w:rPr>
              <w:t>0,62</w:t>
            </w:r>
          </w:p>
          <w:p w14:paraId="4851142C" w14:textId="370652A3" w:rsidR="00202C59" w:rsidRPr="00F7245E" w:rsidRDefault="00202C59" w:rsidP="00A21724">
            <w:pPr>
              <w:pStyle w:val="TableParagraph"/>
              <w:ind w:left="106"/>
              <w:jc w:val="center"/>
              <w:rPr>
                <w:lang w:val="hu-HU"/>
              </w:rPr>
            </w:pPr>
            <w:r w:rsidRPr="00F7245E">
              <w:rPr>
                <w:w w:val="105"/>
              </w:rPr>
              <w:t>(0,51, 0,74)</w:t>
            </w:r>
          </w:p>
        </w:tc>
        <w:tc>
          <w:tcPr>
            <w:tcW w:w="1427" w:type="dxa"/>
            <w:tcBorders>
              <w:bottom w:val="single" w:sz="4" w:space="0" w:color="000000"/>
            </w:tcBorders>
            <w:vAlign w:val="center"/>
          </w:tcPr>
          <w:p w14:paraId="697FB66C" w14:textId="77777777" w:rsidR="00202C59" w:rsidRPr="00F7245E" w:rsidRDefault="00202C59" w:rsidP="00A21724">
            <w:pPr>
              <w:pStyle w:val="TableParagraph"/>
              <w:jc w:val="center"/>
              <w:rPr>
                <w:lang w:val="hu-HU"/>
              </w:rPr>
            </w:pPr>
          </w:p>
        </w:tc>
        <w:tc>
          <w:tcPr>
            <w:tcW w:w="850" w:type="dxa"/>
            <w:vMerge/>
            <w:tcBorders>
              <w:bottom w:val="single" w:sz="4" w:space="0" w:color="000000"/>
            </w:tcBorders>
          </w:tcPr>
          <w:p w14:paraId="6386304A" w14:textId="77777777" w:rsidR="00202C59" w:rsidRPr="00F7245E" w:rsidRDefault="00202C59" w:rsidP="00A21724">
            <w:pPr>
              <w:rPr>
                <w:lang w:val="hu-HU"/>
              </w:rPr>
            </w:pPr>
          </w:p>
        </w:tc>
      </w:tr>
      <w:tr w:rsidR="00B62AE4" w:rsidRPr="00F7245E" w14:paraId="534AD453" w14:textId="77777777" w:rsidTr="000535F0">
        <w:trPr>
          <w:trHeight w:val="244"/>
        </w:trPr>
        <w:tc>
          <w:tcPr>
            <w:tcW w:w="9072" w:type="dxa"/>
            <w:gridSpan w:val="7"/>
          </w:tcPr>
          <w:p w14:paraId="11FA8847" w14:textId="77777777" w:rsidR="00B62AE4" w:rsidRPr="00F7245E" w:rsidRDefault="00B62AE4" w:rsidP="00A21724">
            <w:pPr>
              <w:pStyle w:val="TableParagraph"/>
              <w:ind w:left="101"/>
              <w:rPr>
                <w:lang w:val="hu-HU"/>
              </w:rPr>
            </w:pPr>
            <w:r w:rsidRPr="00F7245E">
              <w:rPr>
                <w:w w:val="105"/>
              </w:rPr>
              <w:t>Súlyos VTE</w:t>
            </w:r>
          </w:p>
        </w:tc>
      </w:tr>
      <w:tr w:rsidR="001E2378" w:rsidRPr="00F7245E" w14:paraId="787773B6" w14:textId="77777777" w:rsidTr="00202C59">
        <w:trPr>
          <w:trHeight w:val="751"/>
        </w:trPr>
        <w:tc>
          <w:tcPr>
            <w:tcW w:w="1985" w:type="dxa"/>
            <w:tcBorders>
              <w:bottom w:val="single" w:sz="4" w:space="0" w:color="000000"/>
            </w:tcBorders>
            <w:vAlign w:val="center"/>
          </w:tcPr>
          <w:p w14:paraId="4B9D3004" w14:textId="34C7B1C3" w:rsidR="001E2378" w:rsidRPr="00F7245E" w:rsidRDefault="001E2378" w:rsidP="00A21724">
            <w:pPr>
              <w:pStyle w:val="TableParagraph"/>
              <w:ind w:left="101"/>
              <w:rPr>
                <w:lang w:val="hu-HU"/>
              </w:rPr>
            </w:pPr>
            <w:r w:rsidRPr="00F7245E">
              <w:rPr>
                <w:w w:val="105"/>
              </w:rPr>
              <w:t>Események /betegek száma</w:t>
            </w:r>
          </w:p>
          <w:p w14:paraId="78C04765" w14:textId="6847F160" w:rsidR="001E2378" w:rsidRPr="00F7245E" w:rsidRDefault="001E2378" w:rsidP="00A21724">
            <w:pPr>
              <w:pStyle w:val="TableParagraph"/>
              <w:ind w:left="101"/>
              <w:rPr>
                <w:lang w:val="hu-HU"/>
              </w:rPr>
            </w:pPr>
            <w:r w:rsidRPr="00F7245E">
              <w:rPr>
                <w:w w:val="105"/>
              </w:rPr>
              <w:t>Esemény-ráta</w:t>
            </w:r>
          </w:p>
        </w:tc>
        <w:tc>
          <w:tcPr>
            <w:tcW w:w="1336" w:type="dxa"/>
            <w:tcBorders>
              <w:bottom w:val="single" w:sz="4" w:space="0" w:color="000000"/>
            </w:tcBorders>
            <w:vAlign w:val="center"/>
          </w:tcPr>
          <w:p w14:paraId="5ED4CA33" w14:textId="77777777" w:rsidR="001E2378" w:rsidRPr="00F7245E" w:rsidRDefault="001E2378" w:rsidP="00A21724">
            <w:pPr>
              <w:pStyle w:val="TableParagraph"/>
              <w:ind w:left="93" w:right="94"/>
              <w:jc w:val="center"/>
              <w:rPr>
                <w:lang w:val="hu-HU"/>
              </w:rPr>
            </w:pPr>
            <w:r w:rsidRPr="00F7245E">
              <w:rPr>
                <w:w w:val="105"/>
              </w:rPr>
              <w:t>10/2199</w:t>
            </w:r>
          </w:p>
          <w:p w14:paraId="61FD0F9B" w14:textId="77777777" w:rsidR="00B6039A" w:rsidRPr="00F7245E" w:rsidRDefault="00B6039A" w:rsidP="00A21724">
            <w:pPr>
              <w:pStyle w:val="TableParagraph"/>
              <w:ind w:left="93" w:right="94"/>
              <w:jc w:val="center"/>
              <w:rPr>
                <w:w w:val="105"/>
                <w:lang w:val="hu-HU"/>
              </w:rPr>
            </w:pPr>
          </w:p>
          <w:p w14:paraId="037FE654" w14:textId="4613003D" w:rsidR="001E2378" w:rsidRPr="00F7245E" w:rsidRDefault="001E2378" w:rsidP="00A21724">
            <w:pPr>
              <w:pStyle w:val="TableParagraph"/>
              <w:ind w:left="93" w:right="94"/>
              <w:jc w:val="center"/>
              <w:rPr>
                <w:lang w:val="hu-HU"/>
              </w:rPr>
            </w:pPr>
            <w:r w:rsidRPr="00F7245E">
              <w:rPr>
                <w:w w:val="105"/>
              </w:rPr>
              <w:t>0,45%</w:t>
            </w:r>
          </w:p>
        </w:tc>
        <w:tc>
          <w:tcPr>
            <w:tcW w:w="1215" w:type="dxa"/>
            <w:tcBorders>
              <w:bottom w:val="single" w:sz="4" w:space="0" w:color="000000"/>
            </w:tcBorders>
            <w:vAlign w:val="center"/>
          </w:tcPr>
          <w:p w14:paraId="3F6713CA" w14:textId="77777777" w:rsidR="001E2378" w:rsidRPr="00F7245E" w:rsidRDefault="001E2378" w:rsidP="00A21724">
            <w:pPr>
              <w:pStyle w:val="TableParagraph"/>
              <w:ind w:left="162" w:right="166"/>
              <w:jc w:val="center"/>
              <w:rPr>
                <w:lang w:val="hu-HU"/>
              </w:rPr>
            </w:pPr>
            <w:r w:rsidRPr="00F7245E">
              <w:rPr>
                <w:w w:val="105"/>
              </w:rPr>
              <w:t>25/2195</w:t>
            </w:r>
          </w:p>
          <w:p w14:paraId="49A12F2E" w14:textId="77777777" w:rsidR="00B6039A" w:rsidRPr="00F7245E" w:rsidRDefault="00B6039A" w:rsidP="00A21724">
            <w:pPr>
              <w:pStyle w:val="TableParagraph"/>
              <w:ind w:left="165" w:right="166"/>
              <w:jc w:val="center"/>
              <w:rPr>
                <w:w w:val="105"/>
                <w:lang w:val="hu-HU"/>
              </w:rPr>
            </w:pPr>
          </w:p>
          <w:p w14:paraId="5CB3E913" w14:textId="444C9948" w:rsidR="001E2378" w:rsidRPr="00F7245E" w:rsidRDefault="001E2378" w:rsidP="00A21724">
            <w:pPr>
              <w:pStyle w:val="TableParagraph"/>
              <w:ind w:left="165" w:right="166"/>
              <w:jc w:val="center"/>
              <w:rPr>
                <w:lang w:val="hu-HU"/>
              </w:rPr>
            </w:pPr>
            <w:r w:rsidRPr="00F7245E">
              <w:rPr>
                <w:w w:val="105"/>
              </w:rPr>
              <w:t>1,14%</w:t>
            </w:r>
          </w:p>
        </w:tc>
        <w:tc>
          <w:tcPr>
            <w:tcW w:w="993" w:type="dxa"/>
            <w:vMerge w:val="restart"/>
            <w:tcBorders>
              <w:bottom w:val="single" w:sz="4" w:space="0" w:color="000000"/>
            </w:tcBorders>
            <w:vAlign w:val="center"/>
          </w:tcPr>
          <w:p w14:paraId="7D015F75" w14:textId="42AC85A2" w:rsidR="001E2378" w:rsidRPr="00F7245E" w:rsidRDefault="001E2378" w:rsidP="00A21724">
            <w:pPr>
              <w:pStyle w:val="TableParagraph"/>
              <w:ind w:left="115" w:right="110"/>
              <w:jc w:val="center"/>
              <w:rPr>
                <w:lang w:val="hu-HU"/>
              </w:rPr>
            </w:pPr>
            <w:r w:rsidRPr="00F7245E">
              <w:rPr>
                <w:w w:val="105"/>
              </w:rPr>
              <w:t>0,0107</w:t>
            </w:r>
          </w:p>
        </w:tc>
        <w:tc>
          <w:tcPr>
            <w:tcW w:w="1266" w:type="dxa"/>
            <w:tcBorders>
              <w:bottom w:val="single" w:sz="4" w:space="0" w:color="000000"/>
            </w:tcBorders>
            <w:vAlign w:val="center"/>
          </w:tcPr>
          <w:p w14:paraId="384CC24A" w14:textId="77777777" w:rsidR="001E2378" w:rsidRPr="00F7245E" w:rsidRDefault="001E2378" w:rsidP="00A21724">
            <w:pPr>
              <w:pStyle w:val="TableParagraph"/>
              <w:ind w:left="105" w:right="100"/>
              <w:jc w:val="center"/>
              <w:rPr>
                <w:lang w:val="hu-HU"/>
              </w:rPr>
            </w:pPr>
            <w:r w:rsidRPr="00F7245E">
              <w:rPr>
                <w:w w:val="105"/>
              </w:rPr>
              <w:t>13/1195</w:t>
            </w:r>
          </w:p>
          <w:p w14:paraId="3FB7606A" w14:textId="77777777" w:rsidR="00B6039A" w:rsidRPr="00F7245E" w:rsidRDefault="00B6039A" w:rsidP="00A21724">
            <w:pPr>
              <w:pStyle w:val="TableParagraph"/>
              <w:ind w:left="104" w:right="100"/>
              <w:jc w:val="center"/>
              <w:rPr>
                <w:w w:val="105"/>
                <w:lang w:val="hu-HU"/>
              </w:rPr>
            </w:pPr>
          </w:p>
          <w:p w14:paraId="38B7F860" w14:textId="479BD140" w:rsidR="001E2378" w:rsidRPr="00F7245E" w:rsidRDefault="001E2378" w:rsidP="00A21724">
            <w:pPr>
              <w:pStyle w:val="TableParagraph"/>
              <w:ind w:left="104" w:right="100"/>
              <w:jc w:val="center"/>
              <w:rPr>
                <w:lang w:val="hu-HU"/>
              </w:rPr>
            </w:pPr>
            <w:r w:rsidRPr="00F7245E">
              <w:rPr>
                <w:w w:val="105"/>
              </w:rPr>
              <w:t>1,09%</w:t>
            </w:r>
          </w:p>
        </w:tc>
        <w:tc>
          <w:tcPr>
            <w:tcW w:w="1427" w:type="dxa"/>
            <w:tcBorders>
              <w:bottom w:val="single" w:sz="4" w:space="0" w:color="000000"/>
            </w:tcBorders>
            <w:vAlign w:val="center"/>
          </w:tcPr>
          <w:p w14:paraId="6ED83C05" w14:textId="77777777" w:rsidR="001E2378" w:rsidRPr="00F7245E" w:rsidRDefault="001E2378" w:rsidP="00A21724">
            <w:pPr>
              <w:pStyle w:val="TableParagraph"/>
              <w:ind w:right="302"/>
              <w:jc w:val="center"/>
              <w:rPr>
                <w:lang w:val="hu-HU"/>
              </w:rPr>
            </w:pPr>
            <w:r w:rsidRPr="00F7245E">
              <w:t>26/1199</w:t>
            </w:r>
          </w:p>
          <w:p w14:paraId="3DF43A8B" w14:textId="77777777" w:rsidR="00B6039A" w:rsidRPr="00F7245E" w:rsidRDefault="00B6039A" w:rsidP="00A21724">
            <w:pPr>
              <w:pStyle w:val="TableParagraph"/>
              <w:ind w:right="372"/>
              <w:jc w:val="center"/>
              <w:rPr>
                <w:lang w:val="hu-HU"/>
              </w:rPr>
            </w:pPr>
          </w:p>
          <w:p w14:paraId="04C051DF" w14:textId="78FA8604" w:rsidR="001E2378" w:rsidRPr="00F7245E" w:rsidRDefault="001E2378" w:rsidP="00A21724">
            <w:pPr>
              <w:pStyle w:val="TableParagraph"/>
              <w:ind w:right="372"/>
              <w:jc w:val="center"/>
              <w:rPr>
                <w:lang w:val="hu-HU"/>
              </w:rPr>
            </w:pPr>
            <w:r w:rsidRPr="00F7245E">
              <w:t>2,17%</w:t>
            </w:r>
          </w:p>
        </w:tc>
        <w:tc>
          <w:tcPr>
            <w:tcW w:w="850" w:type="dxa"/>
            <w:vMerge w:val="restart"/>
            <w:tcBorders>
              <w:bottom w:val="single" w:sz="4" w:space="0" w:color="000000"/>
            </w:tcBorders>
            <w:vAlign w:val="center"/>
          </w:tcPr>
          <w:p w14:paraId="61118711" w14:textId="03A28FDB" w:rsidR="001E2378" w:rsidRPr="00F7245E" w:rsidRDefault="001E2378" w:rsidP="00A21724">
            <w:pPr>
              <w:pStyle w:val="TableParagraph"/>
              <w:ind w:left="73" w:right="70"/>
              <w:jc w:val="center"/>
              <w:rPr>
                <w:lang w:val="hu-HU"/>
              </w:rPr>
            </w:pPr>
            <w:r w:rsidRPr="00F7245E">
              <w:rPr>
                <w:w w:val="105"/>
              </w:rPr>
              <w:t>0,0373</w:t>
            </w:r>
          </w:p>
        </w:tc>
      </w:tr>
      <w:tr w:rsidR="00B6039A" w:rsidRPr="00F7245E" w14:paraId="1401F8E7" w14:textId="77777777" w:rsidTr="00202C59">
        <w:trPr>
          <w:trHeight w:val="655"/>
        </w:trPr>
        <w:tc>
          <w:tcPr>
            <w:tcW w:w="1985" w:type="dxa"/>
            <w:vAlign w:val="center"/>
          </w:tcPr>
          <w:p w14:paraId="2953C096" w14:textId="77777777" w:rsidR="00B6039A" w:rsidRPr="00F7245E" w:rsidRDefault="00B6039A" w:rsidP="00A21724">
            <w:pPr>
              <w:pStyle w:val="TableParagraph"/>
              <w:ind w:left="101"/>
              <w:rPr>
                <w:lang w:val="hu-HU"/>
              </w:rPr>
            </w:pPr>
            <w:r w:rsidRPr="00F7245E">
              <w:rPr>
                <w:w w:val="105"/>
              </w:rPr>
              <w:t>Relatív kockázat</w:t>
            </w:r>
          </w:p>
          <w:p w14:paraId="5443F544" w14:textId="0D100D24" w:rsidR="00B6039A" w:rsidRPr="00F7245E" w:rsidRDefault="00B6039A" w:rsidP="00A21724">
            <w:pPr>
              <w:pStyle w:val="TableParagraph"/>
              <w:ind w:left="101"/>
              <w:rPr>
                <w:lang w:val="hu-HU"/>
              </w:rPr>
            </w:pPr>
            <w:r w:rsidRPr="00F7245E">
              <w:rPr>
                <w:w w:val="105"/>
              </w:rPr>
              <w:t>95%-os CI</w:t>
            </w:r>
          </w:p>
        </w:tc>
        <w:tc>
          <w:tcPr>
            <w:tcW w:w="1336" w:type="dxa"/>
            <w:vAlign w:val="center"/>
          </w:tcPr>
          <w:p w14:paraId="0774B406" w14:textId="77777777" w:rsidR="00B6039A" w:rsidRPr="00F7245E" w:rsidRDefault="00B6039A" w:rsidP="00A21724">
            <w:pPr>
              <w:pStyle w:val="TableParagraph"/>
              <w:ind w:left="92" w:right="94"/>
              <w:jc w:val="center"/>
              <w:rPr>
                <w:lang w:val="hu-HU"/>
              </w:rPr>
            </w:pPr>
            <w:r w:rsidRPr="00F7245E">
              <w:rPr>
                <w:w w:val="105"/>
              </w:rPr>
              <w:t>0,40</w:t>
            </w:r>
          </w:p>
          <w:p w14:paraId="4E251BF3" w14:textId="232AEBAD" w:rsidR="00B6039A" w:rsidRPr="00F7245E" w:rsidRDefault="00B6039A" w:rsidP="00A21724">
            <w:pPr>
              <w:pStyle w:val="TableParagraph"/>
              <w:ind w:left="93" w:right="94"/>
              <w:jc w:val="center"/>
              <w:rPr>
                <w:lang w:val="hu-HU"/>
              </w:rPr>
            </w:pPr>
            <w:r w:rsidRPr="00F7245E">
              <w:rPr>
                <w:w w:val="105"/>
              </w:rPr>
              <w:t>(0,15, 0,80)</w:t>
            </w:r>
          </w:p>
        </w:tc>
        <w:tc>
          <w:tcPr>
            <w:tcW w:w="1215" w:type="dxa"/>
            <w:vAlign w:val="center"/>
          </w:tcPr>
          <w:p w14:paraId="00AE28DA" w14:textId="77777777" w:rsidR="00B6039A" w:rsidRPr="00F7245E" w:rsidRDefault="00B6039A" w:rsidP="00A21724">
            <w:pPr>
              <w:pStyle w:val="TableParagraph"/>
              <w:jc w:val="center"/>
              <w:rPr>
                <w:lang w:val="hu-HU"/>
              </w:rPr>
            </w:pPr>
          </w:p>
        </w:tc>
        <w:tc>
          <w:tcPr>
            <w:tcW w:w="993" w:type="dxa"/>
            <w:vMerge/>
            <w:vAlign w:val="center"/>
          </w:tcPr>
          <w:p w14:paraId="3461D211" w14:textId="77777777" w:rsidR="00B6039A" w:rsidRPr="00F7245E" w:rsidRDefault="00B6039A" w:rsidP="00A21724">
            <w:pPr>
              <w:pStyle w:val="TableParagraph"/>
              <w:jc w:val="center"/>
              <w:rPr>
                <w:lang w:val="hu-HU"/>
              </w:rPr>
            </w:pPr>
          </w:p>
        </w:tc>
        <w:tc>
          <w:tcPr>
            <w:tcW w:w="1266" w:type="dxa"/>
            <w:vAlign w:val="center"/>
          </w:tcPr>
          <w:p w14:paraId="31A6D34D" w14:textId="77777777" w:rsidR="00B6039A" w:rsidRPr="00F7245E" w:rsidRDefault="00B6039A" w:rsidP="00A21724">
            <w:pPr>
              <w:pStyle w:val="TableParagraph"/>
              <w:ind w:left="105" w:right="100"/>
              <w:jc w:val="center"/>
              <w:rPr>
                <w:lang w:val="hu-HU"/>
              </w:rPr>
            </w:pPr>
            <w:r w:rsidRPr="00F7245E">
              <w:rPr>
                <w:w w:val="105"/>
              </w:rPr>
              <w:t>0,50</w:t>
            </w:r>
          </w:p>
          <w:p w14:paraId="27C4A9B9" w14:textId="6804EF89" w:rsidR="00B6039A" w:rsidRPr="00F7245E" w:rsidRDefault="00B6039A" w:rsidP="00A21724">
            <w:pPr>
              <w:pStyle w:val="TableParagraph"/>
              <w:ind w:left="106" w:right="-14"/>
              <w:jc w:val="center"/>
              <w:rPr>
                <w:lang w:val="hu-HU"/>
              </w:rPr>
            </w:pPr>
            <w:r w:rsidRPr="00F7245E">
              <w:rPr>
                <w:w w:val="105"/>
              </w:rPr>
              <w:t>(0,26, 0,97)</w:t>
            </w:r>
          </w:p>
        </w:tc>
        <w:tc>
          <w:tcPr>
            <w:tcW w:w="1427" w:type="dxa"/>
            <w:vAlign w:val="center"/>
          </w:tcPr>
          <w:p w14:paraId="3EAFF17E" w14:textId="77777777" w:rsidR="00B6039A" w:rsidRPr="00F7245E" w:rsidRDefault="00B6039A" w:rsidP="00A21724">
            <w:pPr>
              <w:pStyle w:val="TableParagraph"/>
              <w:jc w:val="center"/>
              <w:rPr>
                <w:lang w:val="hu-HU"/>
              </w:rPr>
            </w:pPr>
          </w:p>
        </w:tc>
        <w:tc>
          <w:tcPr>
            <w:tcW w:w="850" w:type="dxa"/>
            <w:vMerge/>
          </w:tcPr>
          <w:p w14:paraId="7ED03158" w14:textId="77777777" w:rsidR="00B6039A" w:rsidRPr="00F7245E" w:rsidRDefault="00B6039A" w:rsidP="00A21724">
            <w:pPr>
              <w:pStyle w:val="TableParagraph"/>
              <w:rPr>
                <w:lang w:val="hu-HU"/>
              </w:rPr>
            </w:pPr>
          </w:p>
        </w:tc>
      </w:tr>
    </w:tbl>
    <w:p w14:paraId="59A99018" w14:textId="77777777" w:rsidR="001E2378" w:rsidRPr="00F7245E" w:rsidRDefault="001E2378" w:rsidP="00A21724">
      <w:pPr>
        <w:pStyle w:val="Nincstrkz"/>
        <w:rPr>
          <w:rFonts w:cs="Times New Roman"/>
        </w:rPr>
      </w:pPr>
    </w:p>
    <w:p w14:paraId="7420DF02" w14:textId="77777777" w:rsidR="001F3456" w:rsidRPr="00F7245E" w:rsidRDefault="001F3456" w:rsidP="001F3456">
      <w:pPr>
        <w:adjustRightInd w:val="0"/>
        <w:ind w:right="602"/>
      </w:pPr>
      <w:r w:rsidRPr="00F7245E">
        <w:t>A biztonságossági végpont [a súlyos és a CRNM vérzés, illetve az összes vérzés] hasonló arányt mutatott a 2,5 mg apixabánnal, illetve a</w:t>
      </w:r>
      <w:r w:rsidRPr="00F7245E">
        <w:rPr>
          <w:spacing w:val="-2"/>
        </w:rPr>
        <w:t xml:space="preserve"> </w:t>
      </w:r>
      <w:r w:rsidRPr="00F7245E">
        <w:t>40 mg</w:t>
      </w:r>
      <w:r w:rsidRPr="00F7245E">
        <w:rPr>
          <w:spacing w:val="-1"/>
        </w:rPr>
        <w:t xml:space="preserve"> </w:t>
      </w:r>
      <w:r w:rsidRPr="00F7245E">
        <w:t>enoxaparinnal kezelt betegek adatainak</w:t>
      </w:r>
      <w:r w:rsidRPr="00F7245E">
        <w:rPr>
          <w:spacing w:val="-9"/>
        </w:rPr>
        <w:t xml:space="preserve"> </w:t>
      </w:r>
      <w:r w:rsidRPr="00F7245E">
        <w:t>összehasonlítása</w:t>
      </w:r>
      <w:r w:rsidRPr="00F7245E">
        <w:rPr>
          <w:spacing w:val="-13"/>
        </w:rPr>
        <w:t xml:space="preserve"> </w:t>
      </w:r>
      <w:r w:rsidRPr="00F7245E">
        <w:t>során (lásd 6. táblázat). Valamennyi vérzési kritérium magába foglalta a műtét helyén fellépő vérzést.</w:t>
      </w:r>
    </w:p>
    <w:p w14:paraId="3676F73F" w14:textId="77777777" w:rsidR="00B62AE4" w:rsidRPr="00F7245E" w:rsidRDefault="00B62AE4" w:rsidP="00A21724">
      <w:pPr>
        <w:pStyle w:val="Nincstrkz"/>
        <w:rPr>
          <w:rFonts w:cs="Times New Roman"/>
        </w:rPr>
      </w:pPr>
    </w:p>
    <w:p w14:paraId="0CF7FFBC" w14:textId="6873F5E3" w:rsidR="00B62AE4" w:rsidRPr="00F7245E" w:rsidRDefault="001F3456" w:rsidP="00A21724">
      <w:pPr>
        <w:pStyle w:val="Cmsor1"/>
        <w:tabs>
          <w:tab w:val="left" w:pos="284"/>
        </w:tabs>
        <w:ind w:left="0"/>
        <w:rPr>
          <w:sz w:val="22"/>
          <w:szCs w:val="22"/>
        </w:rPr>
      </w:pPr>
      <w:r w:rsidRPr="00F7245E">
        <w:rPr>
          <w:w w:val="105"/>
          <w:sz w:val="22"/>
          <w:szCs w:val="22"/>
        </w:rPr>
        <w:t>6</w:t>
      </w:r>
      <w:r w:rsidR="0072037C" w:rsidRPr="00F7245E">
        <w:rPr>
          <w:w w:val="105"/>
          <w:sz w:val="22"/>
          <w:szCs w:val="22"/>
        </w:rPr>
        <w:t>. T</w:t>
      </w:r>
      <w:r w:rsidR="00B62AE4" w:rsidRPr="00F7245E">
        <w:rPr>
          <w:w w:val="105"/>
          <w:sz w:val="22"/>
          <w:szCs w:val="22"/>
        </w:rPr>
        <w:t xml:space="preserve">áblázat: Pivotális </w:t>
      </w:r>
      <w:r w:rsidR="00403AAD" w:rsidRPr="00F7245E">
        <w:rPr>
          <w:w w:val="105"/>
          <w:sz w:val="22"/>
          <w:szCs w:val="22"/>
        </w:rPr>
        <w:t xml:space="preserve">III. </w:t>
      </w:r>
      <w:r w:rsidR="00B62AE4" w:rsidRPr="00F7245E">
        <w:rPr>
          <w:w w:val="105"/>
          <w:sz w:val="22"/>
          <w:szCs w:val="22"/>
        </w:rPr>
        <w:t>fázis</w:t>
      </w:r>
      <w:r w:rsidR="00403AAD" w:rsidRPr="00F7245E">
        <w:rPr>
          <w:w w:val="105"/>
          <w:sz w:val="22"/>
          <w:szCs w:val="22"/>
        </w:rPr>
        <w:t>ú</w:t>
      </w:r>
      <w:r w:rsidR="00B62AE4" w:rsidRPr="00F7245E">
        <w:rPr>
          <w:w w:val="105"/>
          <w:sz w:val="22"/>
          <w:szCs w:val="22"/>
        </w:rPr>
        <w:t xml:space="preserve"> vizsgálatok vérzésekre vonatkozó eredményei*</w:t>
      </w:r>
    </w:p>
    <w:tbl>
      <w:tblPr>
        <w:tblStyle w:val="TableNormal1"/>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57"/>
        <w:gridCol w:w="1373"/>
        <w:gridCol w:w="1345"/>
        <w:gridCol w:w="1451"/>
        <w:gridCol w:w="1449"/>
      </w:tblGrid>
      <w:tr w:rsidR="00B62AE4" w:rsidRPr="00F7245E" w14:paraId="731B8407" w14:textId="77777777" w:rsidTr="003A7EA3">
        <w:trPr>
          <w:trHeight w:val="228"/>
        </w:trPr>
        <w:tc>
          <w:tcPr>
            <w:tcW w:w="2757" w:type="dxa"/>
          </w:tcPr>
          <w:p w14:paraId="211A8C97" w14:textId="77777777" w:rsidR="00B62AE4" w:rsidRPr="00F7245E" w:rsidRDefault="00B62AE4" w:rsidP="00A21724">
            <w:pPr>
              <w:pStyle w:val="TableParagraph"/>
              <w:rPr>
                <w:lang w:val="hu-HU"/>
              </w:rPr>
            </w:pPr>
          </w:p>
        </w:tc>
        <w:tc>
          <w:tcPr>
            <w:tcW w:w="2718" w:type="dxa"/>
            <w:gridSpan w:val="2"/>
          </w:tcPr>
          <w:p w14:paraId="129046AA" w14:textId="77777777" w:rsidR="00B62AE4" w:rsidRPr="00F7245E" w:rsidRDefault="00B62AE4" w:rsidP="00A21724">
            <w:pPr>
              <w:pStyle w:val="TableParagraph"/>
              <w:ind w:left="101"/>
              <w:rPr>
                <w:b/>
                <w:lang w:val="hu-HU"/>
              </w:rPr>
            </w:pPr>
            <w:r w:rsidRPr="00F7245E">
              <w:rPr>
                <w:b/>
                <w:w w:val="105"/>
              </w:rPr>
              <w:t>ADVANCE-3</w:t>
            </w:r>
          </w:p>
        </w:tc>
        <w:tc>
          <w:tcPr>
            <w:tcW w:w="2900" w:type="dxa"/>
            <w:gridSpan w:val="2"/>
          </w:tcPr>
          <w:p w14:paraId="43F39803" w14:textId="77777777" w:rsidR="00B62AE4" w:rsidRPr="00F7245E" w:rsidRDefault="00B62AE4" w:rsidP="00A21724">
            <w:pPr>
              <w:pStyle w:val="TableParagraph"/>
              <w:ind w:left="100"/>
              <w:rPr>
                <w:b/>
                <w:lang w:val="hu-HU"/>
              </w:rPr>
            </w:pPr>
            <w:r w:rsidRPr="00F7245E">
              <w:rPr>
                <w:b/>
                <w:w w:val="105"/>
              </w:rPr>
              <w:t>ADVANCE-2</w:t>
            </w:r>
          </w:p>
        </w:tc>
      </w:tr>
      <w:tr w:rsidR="00B02230" w:rsidRPr="00F7245E" w14:paraId="64AB8E96" w14:textId="77777777" w:rsidTr="00B02230">
        <w:trPr>
          <w:trHeight w:val="1144"/>
        </w:trPr>
        <w:tc>
          <w:tcPr>
            <w:tcW w:w="2757" w:type="dxa"/>
          </w:tcPr>
          <w:p w14:paraId="01A4F1B0" w14:textId="77777777" w:rsidR="00B02230" w:rsidRPr="00F7245E" w:rsidRDefault="00B02230" w:rsidP="00A21724">
            <w:pPr>
              <w:pStyle w:val="TableParagraph"/>
              <w:rPr>
                <w:lang w:val="hu-HU"/>
              </w:rPr>
            </w:pPr>
          </w:p>
        </w:tc>
        <w:tc>
          <w:tcPr>
            <w:tcW w:w="1373" w:type="dxa"/>
            <w:vAlign w:val="center"/>
          </w:tcPr>
          <w:p w14:paraId="01FFAC72" w14:textId="4928255C" w:rsidR="00B02230" w:rsidRPr="00F7245E" w:rsidRDefault="00CA2919" w:rsidP="00A21724">
            <w:pPr>
              <w:pStyle w:val="TableParagraph"/>
              <w:ind w:left="101"/>
              <w:jc w:val="center"/>
              <w:rPr>
                <w:w w:val="105"/>
                <w:lang w:val="hu-HU"/>
              </w:rPr>
            </w:pPr>
            <w:r w:rsidRPr="00F7245E">
              <w:rPr>
                <w:w w:val="105"/>
              </w:rPr>
              <w:t xml:space="preserve">Apixabán </w:t>
            </w:r>
            <w:r w:rsidR="00B02230" w:rsidRPr="00F7245E">
              <w:rPr>
                <w:w w:val="105"/>
              </w:rPr>
              <w:t xml:space="preserve">2,5 mg </w:t>
            </w:r>
            <w:r w:rsidR="00B02230" w:rsidRPr="00F7245E">
              <w:rPr>
                <w:i/>
                <w:iCs/>
                <w:w w:val="105"/>
              </w:rPr>
              <w:t xml:space="preserve">per os </w:t>
            </w:r>
            <w:r w:rsidR="00B02230" w:rsidRPr="00F7245E">
              <w:rPr>
                <w:w w:val="105"/>
              </w:rPr>
              <w:t xml:space="preserve">naponta kétszer </w:t>
            </w:r>
          </w:p>
          <w:p w14:paraId="2FD8AB34" w14:textId="0070C9F0" w:rsidR="00B02230" w:rsidRPr="00F7245E" w:rsidRDefault="00B02230" w:rsidP="00A21724">
            <w:pPr>
              <w:pStyle w:val="TableParagraph"/>
              <w:ind w:left="101"/>
              <w:jc w:val="center"/>
              <w:rPr>
                <w:lang w:val="hu-HU"/>
              </w:rPr>
            </w:pPr>
            <w:r w:rsidRPr="00F7245E">
              <w:rPr>
                <w:w w:val="105"/>
              </w:rPr>
              <w:t>35 ± 3 nap</w:t>
            </w:r>
          </w:p>
        </w:tc>
        <w:tc>
          <w:tcPr>
            <w:tcW w:w="1345" w:type="dxa"/>
            <w:vAlign w:val="center"/>
          </w:tcPr>
          <w:p w14:paraId="0C7210F7" w14:textId="71EE2632" w:rsidR="00B02230" w:rsidRPr="00F7245E" w:rsidRDefault="00B02230" w:rsidP="00A21724">
            <w:pPr>
              <w:pStyle w:val="TableParagraph"/>
              <w:ind w:left="100"/>
              <w:jc w:val="center"/>
              <w:rPr>
                <w:lang w:val="hu-HU"/>
              </w:rPr>
            </w:pPr>
            <w:r w:rsidRPr="00F7245E">
              <w:rPr>
                <w:w w:val="105"/>
              </w:rPr>
              <w:t>Enoxaparin 40 mg sc. naponta egyszer</w:t>
            </w:r>
          </w:p>
          <w:p w14:paraId="262CC18F" w14:textId="0F018E07" w:rsidR="00B02230" w:rsidRPr="00F7245E" w:rsidRDefault="00B02230" w:rsidP="00A21724">
            <w:pPr>
              <w:pStyle w:val="TableParagraph"/>
              <w:ind w:left="100"/>
              <w:jc w:val="center"/>
              <w:rPr>
                <w:lang w:val="hu-HU"/>
              </w:rPr>
            </w:pPr>
            <w:r w:rsidRPr="00F7245E">
              <w:rPr>
                <w:w w:val="105"/>
              </w:rPr>
              <w:t>35 ± 3 nap</w:t>
            </w:r>
          </w:p>
        </w:tc>
        <w:tc>
          <w:tcPr>
            <w:tcW w:w="1451" w:type="dxa"/>
            <w:vAlign w:val="center"/>
          </w:tcPr>
          <w:p w14:paraId="05667C60" w14:textId="242E1576" w:rsidR="00B02230" w:rsidRPr="00F7245E" w:rsidRDefault="00CA2919" w:rsidP="00A21724">
            <w:pPr>
              <w:pStyle w:val="TableParagraph"/>
              <w:ind w:left="101"/>
              <w:jc w:val="center"/>
              <w:rPr>
                <w:lang w:val="hu-HU"/>
              </w:rPr>
            </w:pPr>
            <w:r w:rsidRPr="00F7245E">
              <w:rPr>
                <w:w w:val="105"/>
              </w:rPr>
              <w:t xml:space="preserve">Apixabán </w:t>
            </w:r>
            <w:r w:rsidR="00B02230" w:rsidRPr="00F7245E">
              <w:rPr>
                <w:w w:val="105"/>
              </w:rPr>
              <w:t xml:space="preserve">2,5 mg </w:t>
            </w:r>
            <w:r w:rsidR="00B02230" w:rsidRPr="00F7245E">
              <w:rPr>
                <w:i/>
                <w:iCs/>
                <w:w w:val="105"/>
              </w:rPr>
              <w:t xml:space="preserve">per os </w:t>
            </w:r>
            <w:r w:rsidR="00B02230" w:rsidRPr="00F7245E">
              <w:rPr>
                <w:w w:val="105"/>
              </w:rPr>
              <w:t>naponta kétszer</w:t>
            </w:r>
          </w:p>
          <w:p w14:paraId="1E0A5DDC" w14:textId="47BE2067" w:rsidR="00B02230" w:rsidRPr="00F7245E" w:rsidRDefault="00B02230" w:rsidP="00A21724">
            <w:pPr>
              <w:pStyle w:val="TableParagraph"/>
              <w:ind w:left="101"/>
              <w:jc w:val="center"/>
              <w:rPr>
                <w:lang w:val="hu-HU"/>
              </w:rPr>
            </w:pPr>
            <w:r w:rsidRPr="00F7245E">
              <w:rPr>
                <w:w w:val="105"/>
              </w:rPr>
              <w:t>12 ± 2 nap</w:t>
            </w:r>
          </w:p>
        </w:tc>
        <w:tc>
          <w:tcPr>
            <w:tcW w:w="1449" w:type="dxa"/>
            <w:vAlign w:val="center"/>
          </w:tcPr>
          <w:p w14:paraId="0CABF4E6" w14:textId="713D76CF" w:rsidR="00B02230" w:rsidRPr="00F7245E" w:rsidRDefault="00B02230" w:rsidP="00A21724">
            <w:pPr>
              <w:pStyle w:val="TableParagraph"/>
              <w:ind w:left="99"/>
              <w:jc w:val="center"/>
              <w:rPr>
                <w:lang w:val="hu-HU"/>
              </w:rPr>
            </w:pPr>
            <w:r w:rsidRPr="00F7245E">
              <w:rPr>
                <w:w w:val="105"/>
              </w:rPr>
              <w:t>Enoxaparin 40 mg sc. naponta egyszer</w:t>
            </w:r>
          </w:p>
          <w:p w14:paraId="0EBF8705" w14:textId="3BDEE55C" w:rsidR="00B02230" w:rsidRPr="00F7245E" w:rsidRDefault="00B02230" w:rsidP="00A21724">
            <w:pPr>
              <w:pStyle w:val="TableParagraph"/>
              <w:ind w:left="99"/>
              <w:jc w:val="center"/>
              <w:rPr>
                <w:lang w:val="hu-HU"/>
              </w:rPr>
            </w:pPr>
            <w:r w:rsidRPr="00F7245E">
              <w:rPr>
                <w:w w:val="105"/>
              </w:rPr>
              <w:t>12 ± 2 nap</w:t>
            </w:r>
          </w:p>
        </w:tc>
      </w:tr>
      <w:tr w:rsidR="00B62AE4" w:rsidRPr="00F7245E" w14:paraId="6722C829" w14:textId="77777777" w:rsidTr="00CD641B">
        <w:trPr>
          <w:trHeight w:val="336"/>
        </w:trPr>
        <w:tc>
          <w:tcPr>
            <w:tcW w:w="2757" w:type="dxa"/>
            <w:vAlign w:val="center"/>
          </w:tcPr>
          <w:p w14:paraId="32B26967" w14:textId="77777777" w:rsidR="00B62AE4" w:rsidRPr="00F7245E" w:rsidRDefault="00B62AE4" w:rsidP="00A21724">
            <w:pPr>
              <w:pStyle w:val="TableParagraph"/>
              <w:ind w:left="101"/>
              <w:rPr>
                <w:lang w:val="hu-HU"/>
              </w:rPr>
            </w:pPr>
            <w:r w:rsidRPr="00F7245E">
              <w:rPr>
                <w:w w:val="105"/>
              </w:rPr>
              <w:t>Kezeltek száma</w:t>
            </w:r>
          </w:p>
        </w:tc>
        <w:tc>
          <w:tcPr>
            <w:tcW w:w="1373" w:type="dxa"/>
            <w:vAlign w:val="center"/>
          </w:tcPr>
          <w:p w14:paraId="01826293" w14:textId="072F2740" w:rsidR="00B62AE4" w:rsidRPr="00F7245E" w:rsidRDefault="00CD641B" w:rsidP="00A21724">
            <w:pPr>
              <w:pStyle w:val="TableParagraph"/>
              <w:ind w:left="100"/>
              <w:jc w:val="center"/>
              <w:rPr>
                <w:lang w:val="hu-HU"/>
              </w:rPr>
            </w:pPr>
            <w:r w:rsidRPr="00F7245E">
              <w:rPr>
                <w:w w:val="105"/>
              </w:rPr>
              <w:t>n = </w:t>
            </w:r>
            <w:r w:rsidR="00B62AE4" w:rsidRPr="00F7245E">
              <w:rPr>
                <w:w w:val="105"/>
              </w:rPr>
              <w:t>2673</w:t>
            </w:r>
          </w:p>
        </w:tc>
        <w:tc>
          <w:tcPr>
            <w:tcW w:w="1345" w:type="dxa"/>
            <w:vAlign w:val="center"/>
          </w:tcPr>
          <w:p w14:paraId="020C3FD4" w14:textId="5107EFF8" w:rsidR="00B62AE4" w:rsidRPr="00F7245E" w:rsidRDefault="00CD641B" w:rsidP="00A21724">
            <w:pPr>
              <w:pStyle w:val="TableParagraph"/>
              <w:ind w:left="100"/>
              <w:jc w:val="center"/>
              <w:rPr>
                <w:lang w:val="hu-HU"/>
              </w:rPr>
            </w:pPr>
            <w:r w:rsidRPr="00F7245E">
              <w:rPr>
                <w:w w:val="105"/>
              </w:rPr>
              <w:t>n = </w:t>
            </w:r>
            <w:r w:rsidR="00B62AE4" w:rsidRPr="00F7245E">
              <w:rPr>
                <w:w w:val="105"/>
              </w:rPr>
              <w:t>2659</w:t>
            </w:r>
          </w:p>
        </w:tc>
        <w:tc>
          <w:tcPr>
            <w:tcW w:w="1451" w:type="dxa"/>
            <w:vAlign w:val="center"/>
          </w:tcPr>
          <w:p w14:paraId="2AF951C1" w14:textId="377ADDF8" w:rsidR="00B62AE4" w:rsidRPr="00F7245E" w:rsidRDefault="00CD641B" w:rsidP="00A21724">
            <w:pPr>
              <w:pStyle w:val="TableParagraph"/>
              <w:ind w:left="101"/>
              <w:jc w:val="center"/>
              <w:rPr>
                <w:lang w:val="hu-HU"/>
              </w:rPr>
            </w:pPr>
            <w:r w:rsidRPr="00F7245E">
              <w:rPr>
                <w:w w:val="105"/>
              </w:rPr>
              <w:t>n = </w:t>
            </w:r>
            <w:r w:rsidR="00B62AE4" w:rsidRPr="00F7245E">
              <w:rPr>
                <w:w w:val="105"/>
              </w:rPr>
              <w:t>1501</w:t>
            </w:r>
          </w:p>
        </w:tc>
        <w:tc>
          <w:tcPr>
            <w:tcW w:w="1449" w:type="dxa"/>
            <w:vAlign w:val="center"/>
          </w:tcPr>
          <w:p w14:paraId="39C21EC2" w14:textId="0C71CC69" w:rsidR="00B62AE4" w:rsidRPr="00F7245E" w:rsidRDefault="00CD641B" w:rsidP="00A21724">
            <w:pPr>
              <w:pStyle w:val="TableParagraph"/>
              <w:ind w:left="99"/>
              <w:jc w:val="center"/>
              <w:rPr>
                <w:lang w:val="hu-HU"/>
              </w:rPr>
            </w:pPr>
            <w:r w:rsidRPr="00F7245E">
              <w:rPr>
                <w:w w:val="105"/>
              </w:rPr>
              <w:t>n = </w:t>
            </w:r>
            <w:r w:rsidR="00B62AE4" w:rsidRPr="00F7245E">
              <w:rPr>
                <w:w w:val="105"/>
              </w:rPr>
              <w:t>1508</w:t>
            </w:r>
          </w:p>
        </w:tc>
      </w:tr>
      <w:tr w:rsidR="00B62AE4" w:rsidRPr="00F7245E" w14:paraId="2699FF5A" w14:textId="77777777" w:rsidTr="00CD641B">
        <w:trPr>
          <w:trHeight w:val="283"/>
        </w:trPr>
        <w:tc>
          <w:tcPr>
            <w:tcW w:w="8375" w:type="dxa"/>
            <w:gridSpan w:val="5"/>
            <w:vAlign w:val="center"/>
          </w:tcPr>
          <w:p w14:paraId="3C65C096" w14:textId="6D68CD44" w:rsidR="00B62AE4" w:rsidRPr="00F7245E" w:rsidRDefault="00B62AE4" w:rsidP="00A21724">
            <w:pPr>
              <w:pStyle w:val="TableParagraph"/>
              <w:ind w:left="101"/>
              <w:rPr>
                <w:lang w:val="hu-HU"/>
              </w:rPr>
            </w:pPr>
            <w:r w:rsidRPr="00F7245E">
              <w:rPr>
                <w:b/>
                <w:i/>
                <w:w w:val="105"/>
              </w:rPr>
              <w:t>Kezelési időszak</w:t>
            </w:r>
            <w:r w:rsidR="00B02230" w:rsidRPr="00F7245E">
              <w:rPr>
                <w:b/>
                <w:i/>
                <w:w w:val="105"/>
                <w:vertAlign w:val="superscript"/>
              </w:rPr>
              <w:t>1</w:t>
            </w:r>
          </w:p>
        </w:tc>
      </w:tr>
      <w:tr w:rsidR="00B62AE4" w:rsidRPr="00F7245E" w14:paraId="52273980" w14:textId="77777777" w:rsidTr="00CD641B">
        <w:trPr>
          <w:trHeight w:val="329"/>
        </w:trPr>
        <w:tc>
          <w:tcPr>
            <w:tcW w:w="2757" w:type="dxa"/>
            <w:vAlign w:val="center"/>
          </w:tcPr>
          <w:p w14:paraId="7CE5F6C2" w14:textId="77777777" w:rsidR="00B62AE4" w:rsidRPr="00F7245E" w:rsidRDefault="00B62AE4" w:rsidP="00A21724">
            <w:pPr>
              <w:pStyle w:val="TableParagraph"/>
              <w:ind w:left="101"/>
              <w:rPr>
                <w:lang w:val="hu-HU"/>
              </w:rPr>
            </w:pPr>
            <w:r w:rsidRPr="00F7245E">
              <w:rPr>
                <w:w w:val="105"/>
              </w:rPr>
              <w:t>Súlyos</w:t>
            </w:r>
          </w:p>
        </w:tc>
        <w:tc>
          <w:tcPr>
            <w:tcW w:w="1373" w:type="dxa"/>
            <w:vAlign w:val="center"/>
          </w:tcPr>
          <w:p w14:paraId="1D38733B" w14:textId="77777777" w:rsidR="00B62AE4" w:rsidRPr="00F7245E" w:rsidRDefault="00B62AE4" w:rsidP="00A21724">
            <w:pPr>
              <w:pStyle w:val="TableParagraph"/>
              <w:ind w:left="101"/>
              <w:jc w:val="center"/>
              <w:rPr>
                <w:lang w:val="hu-HU"/>
              </w:rPr>
            </w:pPr>
            <w:r w:rsidRPr="00F7245E">
              <w:rPr>
                <w:w w:val="105"/>
              </w:rPr>
              <w:t>22 (0,8%)</w:t>
            </w:r>
          </w:p>
        </w:tc>
        <w:tc>
          <w:tcPr>
            <w:tcW w:w="1345" w:type="dxa"/>
            <w:vAlign w:val="center"/>
          </w:tcPr>
          <w:p w14:paraId="19A95090" w14:textId="77777777" w:rsidR="00B62AE4" w:rsidRPr="00F7245E" w:rsidRDefault="00B62AE4" w:rsidP="00A21724">
            <w:pPr>
              <w:pStyle w:val="TableParagraph"/>
              <w:ind w:left="100"/>
              <w:jc w:val="center"/>
              <w:rPr>
                <w:lang w:val="hu-HU"/>
              </w:rPr>
            </w:pPr>
            <w:r w:rsidRPr="00F7245E">
              <w:rPr>
                <w:w w:val="105"/>
              </w:rPr>
              <w:t>18 (0,7%)</w:t>
            </w:r>
          </w:p>
        </w:tc>
        <w:tc>
          <w:tcPr>
            <w:tcW w:w="1451" w:type="dxa"/>
            <w:vAlign w:val="center"/>
          </w:tcPr>
          <w:p w14:paraId="0F846BA6" w14:textId="77777777" w:rsidR="00B62AE4" w:rsidRPr="00F7245E" w:rsidRDefault="00B62AE4" w:rsidP="00A21724">
            <w:pPr>
              <w:pStyle w:val="TableParagraph"/>
              <w:ind w:left="100"/>
              <w:jc w:val="center"/>
              <w:rPr>
                <w:lang w:val="hu-HU"/>
              </w:rPr>
            </w:pPr>
            <w:r w:rsidRPr="00F7245E">
              <w:rPr>
                <w:w w:val="105"/>
              </w:rPr>
              <w:t>9 (0,6%)</w:t>
            </w:r>
          </w:p>
        </w:tc>
        <w:tc>
          <w:tcPr>
            <w:tcW w:w="1449" w:type="dxa"/>
            <w:vAlign w:val="center"/>
          </w:tcPr>
          <w:p w14:paraId="66226FC8" w14:textId="77777777" w:rsidR="00B62AE4" w:rsidRPr="00F7245E" w:rsidRDefault="00B62AE4" w:rsidP="00A21724">
            <w:pPr>
              <w:pStyle w:val="TableParagraph"/>
              <w:ind w:left="99"/>
              <w:jc w:val="center"/>
              <w:rPr>
                <w:lang w:val="hu-HU"/>
              </w:rPr>
            </w:pPr>
            <w:r w:rsidRPr="00F7245E">
              <w:rPr>
                <w:w w:val="105"/>
              </w:rPr>
              <w:t>14 (0,9%)</w:t>
            </w:r>
          </w:p>
        </w:tc>
      </w:tr>
      <w:tr w:rsidR="00B62AE4" w:rsidRPr="00F7245E" w14:paraId="0DBC4AE4" w14:textId="77777777" w:rsidTr="00CD641B">
        <w:trPr>
          <w:trHeight w:val="264"/>
        </w:trPr>
        <w:tc>
          <w:tcPr>
            <w:tcW w:w="2757" w:type="dxa"/>
            <w:vAlign w:val="center"/>
          </w:tcPr>
          <w:p w14:paraId="45D5C847" w14:textId="77777777" w:rsidR="00B62AE4" w:rsidRPr="00F7245E" w:rsidRDefault="00B62AE4" w:rsidP="00A21724">
            <w:pPr>
              <w:pStyle w:val="TableParagraph"/>
              <w:ind w:left="142"/>
              <w:rPr>
                <w:lang w:val="hu-HU"/>
              </w:rPr>
            </w:pPr>
            <w:r w:rsidRPr="00F7245E">
              <w:rPr>
                <w:w w:val="105"/>
              </w:rPr>
              <w:t>Halálos</w:t>
            </w:r>
          </w:p>
        </w:tc>
        <w:tc>
          <w:tcPr>
            <w:tcW w:w="1373" w:type="dxa"/>
            <w:vAlign w:val="center"/>
          </w:tcPr>
          <w:p w14:paraId="35713166" w14:textId="77777777" w:rsidR="00B62AE4" w:rsidRPr="00F7245E" w:rsidRDefault="00B62AE4" w:rsidP="00A21724">
            <w:pPr>
              <w:pStyle w:val="TableParagraph"/>
              <w:ind w:left="100"/>
              <w:jc w:val="center"/>
              <w:rPr>
                <w:lang w:val="hu-HU"/>
              </w:rPr>
            </w:pPr>
            <w:r w:rsidRPr="00F7245E">
              <w:rPr>
                <w:w w:val="103"/>
              </w:rPr>
              <w:t>0</w:t>
            </w:r>
          </w:p>
        </w:tc>
        <w:tc>
          <w:tcPr>
            <w:tcW w:w="1345" w:type="dxa"/>
            <w:vAlign w:val="center"/>
          </w:tcPr>
          <w:p w14:paraId="5280D538" w14:textId="77777777" w:rsidR="00B62AE4" w:rsidRPr="00F7245E" w:rsidRDefault="00B62AE4" w:rsidP="00A21724">
            <w:pPr>
              <w:pStyle w:val="TableParagraph"/>
              <w:ind w:left="100"/>
              <w:jc w:val="center"/>
              <w:rPr>
                <w:lang w:val="hu-HU"/>
              </w:rPr>
            </w:pPr>
            <w:r w:rsidRPr="00F7245E">
              <w:rPr>
                <w:w w:val="103"/>
              </w:rPr>
              <w:t>0</w:t>
            </w:r>
          </w:p>
        </w:tc>
        <w:tc>
          <w:tcPr>
            <w:tcW w:w="1451" w:type="dxa"/>
            <w:vAlign w:val="center"/>
          </w:tcPr>
          <w:p w14:paraId="3380A3E8" w14:textId="77777777" w:rsidR="00B62AE4" w:rsidRPr="00F7245E" w:rsidRDefault="00B62AE4" w:rsidP="00A21724">
            <w:pPr>
              <w:pStyle w:val="TableParagraph"/>
              <w:ind w:left="100"/>
              <w:jc w:val="center"/>
              <w:rPr>
                <w:lang w:val="hu-HU"/>
              </w:rPr>
            </w:pPr>
            <w:r w:rsidRPr="00F7245E">
              <w:rPr>
                <w:w w:val="103"/>
              </w:rPr>
              <w:t>0</w:t>
            </w:r>
          </w:p>
        </w:tc>
        <w:tc>
          <w:tcPr>
            <w:tcW w:w="1449" w:type="dxa"/>
            <w:vAlign w:val="center"/>
          </w:tcPr>
          <w:p w14:paraId="691CB799" w14:textId="77777777" w:rsidR="00B62AE4" w:rsidRPr="00F7245E" w:rsidRDefault="00B62AE4" w:rsidP="00A21724">
            <w:pPr>
              <w:pStyle w:val="TableParagraph"/>
              <w:ind w:left="99"/>
              <w:jc w:val="center"/>
              <w:rPr>
                <w:lang w:val="hu-HU"/>
              </w:rPr>
            </w:pPr>
            <w:r w:rsidRPr="00F7245E">
              <w:rPr>
                <w:w w:val="103"/>
              </w:rPr>
              <w:t>0</w:t>
            </w:r>
          </w:p>
        </w:tc>
      </w:tr>
      <w:tr w:rsidR="00B62AE4" w:rsidRPr="00F7245E" w14:paraId="4DBB6002" w14:textId="77777777" w:rsidTr="00CD641B">
        <w:trPr>
          <w:trHeight w:val="269"/>
        </w:trPr>
        <w:tc>
          <w:tcPr>
            <w:tcW w:w="2757" w:type="dxa"/>
            <w:vAlign w:val="center"/>
          </w:tcPr>
          <w:p w14:paraId="0B91CC4C" w14:textId="77777777" w:rsidR="00B62AE4" w:rsidRPr="00F7245E" w:rsidRDefault="00B62AE4" w:rsidP="00A21724">
            <w:pPr>
              <w:pStyle w:val="TableParagraph"/>
              <w:ind w:left="101"/>
              <w:rPr>
                <w:lang w:val="hu-HU"/>
              </w:rPr>
            </w:pPr>
            <w:r w:rsidRPr="00F7245E">
              <w:rPr>
                <w:w w:val="105"/>
              </w:rPr>
              <w:t>Súlyos + CRNM</w:t>
            </w:r>
          </w:p>
        </w:tc>
        <w:tc>
          <w:tcPr>
            <w:tcW w:w="1373" w:type="dxa"/>
            <w:vAlign w:val="center"/>
          </w:tcPr>
          <w:p w14:paraId="73572D50" w14:textId="77777777" w:rsidR="00B62AE4" w:rsidRPr="00F7245E" w:rsidRDefault="00B62AE4" w:rsidP="00A21724">
            <w:pPr>
              <w:pStyle w:val="TableParagraph"/>
              <w:ind w:left="101"/>
              <w:jc w:val="center"/>
              <w:rPr>
                <w:lang w:val="hu-HU"/>
              </w:rPr>
            </w:pPr>
            <w:r w:rsidRPr="00F7245E">
              <w:rPr>
                <w:w w:val="105"/>
              </w:rPr>
              <w:t>129 (4,8%)</w:t>
            </w:r>
          </w:p>
        </w:tc>
        <w:tc>
          <w:tcPr>
            <w:tcW w:w="1345" w:type="dxa"/>
            <w:vAlign w:val="center"/>
          </w:tcPr>
          <w:p w14:paraId="72724E9F" w14:textId="77777777" w:rsidR="00B62AE4" w:rsidRPr="00F7245E" w:rsidRDefault="00B62AE4" w:rsidP="00A21724">
            <w:pPr>
              <w:pStyle w:val="TableParagraph"/>
              <w:ind w:left="101"/>
              <w:jc w:val="center"/>
              <w:rPr>
                <w:lang w:val="hu-HU"/>
              </w:rPr>
            </w:pPr>
            <w:r w:rsidRPr="00F7245E">
              <w:rPr>
                <w:w w:val="105"/>
              </w:rPr>
              <w:t>134 (5,0%)</w:t>
            </w:r>
          </w:p>
        </w:tc>
        <w:tc>
          <w:tcPr>
            <w:tcW w:w="1451" w:type="dxa"/>
            <w:vAlign w:val="center"/>
          </w:tcPr>
          <w:p w14:paraId="263F0DA5" w14:textId="77777777" w:rsidR="00B62AE4" w:rsidRPr="00F7245E" w:rsidRDefault="00B62AE4" w:rsidP="00A21724">
            <w:pPr>
              <w:pStyle w:val="TableParagraph"/>
              <w:ind w:left="101"/>
              <w:jc w:val="center"/>
              <w:rPr>
                <w:lang w:val="hu-HU"/>
              </w:rPr>
            </w:pPr>
            <w:r w:rsidRPr="00F7245E">
              <w:rPr>
                <w:w w:val="105"/>
              </w:rPr>
              <w:t>53 (3,5%)</w:t>
            </w:r>
          </w:p>
        </w:tc>
        <w:tc>
          <w:tcPr>
            <w:tcW w:w="1449" w:type="dxa"/>
            <w:vAlign w:val="center"/>
          </w:tcPr>
          <w:p w14:paraId="5BFB2B5C" w14:textId="77777777" w:rsidR="00B62AE4" w:rsidRPr="00F7245E" w:rsidRDefault="00B62AE4" w:rsidP="00A21724">
            <w:pPr>
              <w:pStyle w:val="TableParagraph"/>
              <w:ind w:left="99"/>
              <w:jc w:val="center"/>
              <w:rPr>
                <w:lang w:val="hu-HU"/>
              </w:rPr>
            </w:pPr>
            <w:r w:rsidRPr="00F7245E">
              <w:rPr>
                <w:w w:val="105"/>
              </w:rPr>
              <w:t>72 (4,8%)</w:t>
            </w:r>
          </w:p>
        </w:tc>
      </w:tr>
      <w:tr w:rsidR="00B62AE4" w:rsidRPr="00F7245E" w14:paraId="18EFEE1C" w14:textId="77777777" w:rsidTr="00CD641B">
        <w:trPr>
          <w:trHeight w:val="372"/>
        </w:trPr>
        <w:tc>
          <w:tcPr>
            <w:tcW w:w="2757" w:type="dxa"/>
            <w:vAlign w:val="center"/>
          </w:tcPr>
          <w:p w14:paraId="285F02AC" w14:textId="77777777" w:rsidR="00B62AE4" w:rsidRPr="00F7245E" w:rsidRDefault="00B62AE4" w:rsidP="00A21724">
            <w:pPr>
              <w:pStyle w:val="TableParagraph"/>
              <w:ind w:left="101"/>
              <w:rPr>
                <w:lang w:val="hu-HU"/>
              </w:rPr>
            </w:pPr>
            <w:r w:rsidRPr="00F7245E">
              <w:rPr>
                <w:w w:val="105"/>
              </w:rPr>
              <w:t>Összes</w:t>
            </w:r>
          </w:p>
        </w:tc>
        <w:tc>
          <w:tcPr>
            <w:tcW w:w="1373" w:type="dxa"/>
            <w:vAlign w:val="center"/>
          </w:tcPr>
          <w:p w14:paraId="5FF64112" w14:textId="77777777" w:rsidR="00B62AE4" w:rsidRPr="00F7245E" w:rsidRDefault="00B62AE4" w:rsidP="00A21724">
            <w:pPr>
              <w:pStyle w:val="TableParagraph"/>
              <w:ind w:left="101"/>
              <w:jc w:val="center"/>
              <w:rPr>
                <w:lang w:val="hu-HU"/>
              </w:rPr>
            </w:pPr>
            <w:r w:rsidRPr="00F7245E">
              <w:rPr>
                <w:w w:val="105"/>
              </w:rPr>
              <w:t>313 (11,7%)</w:t>
            </w:r>
          </w:p>
        </w:tc>
        <w:tc>
          <w:tcPr>
            <w:tcW w:w="1345" w:type="dxa"/>
            <w:vAlign w:val="center"/>
          </w:tcPr>
          <w:p w14:paraId="052B3F69" w14:textId="77777777" w:rsidR="00B62AE4" w:rsidRPr="00F7245E" w:rsidRDefault="00B62AE4" w:rsidP="00A21724">
            <w:pPr>
              <w:pStyle w:val="TableParagraph"/>
              <w:ind w:left="100"/>
              <w:jc w:val="center"/>
              <w:rPr>
                <w:lang w:val="hu-HU"/>
              </w:rPr>
            </w:pPr>
            <w:r w:rsidRPr="00F7245E">
              <w:rPr>
                <w:w w:val="105"/>
              </w:rPr>
              <w:t>334 (12,6%)</w:t>
            </w:r>
          </w:p>
        </w:tc>
        <w:tc>
          <w:tcPr>
            <w:tcW w:w="1451" w:type="dxa"/>
            <w:vAlign w:val="center"/>
          </w:tcPr>
          <w:p w14:paraId="672C59E3" w14:textId="77777777" w:rsidR="00B62AE4" w:rsidRPr="00F7245E" w:rsidRDefault="00B62AE4" w:rsidP="00A21724">
            <w:pPr>
              <w:pStyle w:val="TableParagraph"/>
              <w:ind w:left="100"/>
              <w:jc w:val="center"/>
              <w:rPr>
                <w:lang w:val="hu-HU"/>
              </w:rPr>
            </w:pPr>
            <w:r w:rsidRPr="00F7245E">
              <w:rPr>
                <w:w w:val="105"/>
              </w:rPr>
              <w:t>104 (6,9%)</w:t>
            </w:r>
          </w:p>
        </w:tc>
        <w:tc>
          <w:tcPr>
            <w:tcW w:w="1449" w:type="dxa"/>
            <w:vAlign w:val="center"/>
          </w:tcPr>
          <w:p w14:paraId="2B8142E4" w14:textId="77777777" w:rsidR="00B62AE4" w:rsidRPr="00F7245E" w:rsidRDefault="00B62AE4" w:rsidP="00A21724">
            <w:pPr>
              <w:pStyle w:val="TableParagraph"/>
              <w:ind w:left="98"/>
              <w:jc w:val="center"/>
              <w:rPr>
                <w:lang w:val="hu-HU"/>
              </w:rPr>
            </w:pPr>
            <w:r w:rsidRPr="00F7245E">
              <w:rPr>
                <w:w w:val="105"/>
              </w:rPr>
              <w:t>126 (8,4%)</w:t>
            </w:r>
          </w:p>
        </w:tc>
      </w:tr>
      <w:tr w:rsidR="00B62AE4" w:rsidRPr="00F7245E" w14:paraId="3F13564D" w14:textId="77777777" w:rsidTr="00CD641B">
        <w:trPr>
          <w:trHeight w:val="277"/>
        </w:trPr>
        <w:tc>
          <w:tcPr>
            <w:tcW w:w="8375" w:type="dxa"/>
            <w:gridSpan w:val="5"/>
            <w:vAlign w:val="center"/>
          </w:tcPr>
          <w:p w14:paraId="478E7460" w14:textId="7F03D999" w:rsidR="00B62AE4" w:rsidRPr="00F7245E" w:rsidRDefault="00B62AE4" w:rsidP="00A21724">
            <w:pPr>
              <w:pStyle w:val="TableParagraph"/>
              <w:ind w:left="101"/>
              <w:rPr>
                <w:lang w:val="hu-HU"/>
              </w:rPr>
            </w:pPr>
            <w:r w:rsidRPr="00F7245E">
              <w:rPr>
                <w:b/>
                <w:i/>
                <w:w w:val="105"/>
              </w:rPr>
              <w:t>Műtét utáni kezelési időszak</w:t>
            </w:r>
            <w:r w:rsidR="00B02230" w:rsidRPr="00F7245E">
              <w:rPr>
                <w:b/>
                <w:i/>
                <w:w w:val="105"/>
                <w:vertAlign w:val="superscript"/>
              </w:rPr>
              <w:t>2</w:t>
            </w:r>
          </w:p>
        </w:tc>
      </w:tr>
      <w:tr w:rsidR="00B62AE4" w:rsidRPr="00F7245E" w14:paraId="521AD4B9" w14:textId="77777777" w:rsidTr="00CD641B">
        <w:trPr>
          <w:trHeight w:val="268"/>
        </w:trPr>
        <w:tc>
          <w:tcPr>
            <w:tcW w:w="2757" w:type="dxa"/>
            <w:vAlign w:val="center"/>
          </w:tcPr>
          <w:p w14:paraId="63E29020" w14:textId="77777777" w:rsidR="00B62AE4" w:rsidRPr="00F7245E" w:rsidRDefault="00B62AE4" w:rsidP="00A21724">
            <w:pPr>
              <w:pStyle w:val="TableParagraph"/>
              <w:ind w:left="101"/>
              <w:rPr>
                <w:lang w:val="hu-HU"/>
              </w:rPr>
            </w:pPr>
            <w:r w:rsidRPr="00F7245E">
              <w:rPr>
                <w:w w:val="105"/>
              </w:rPr>
              <w:t>Súlyos</w:t>
            </w:r>
          </w:p>
        </w:tc>
        <w:tc>
          <w:tcPr>
            <w:tcW w:w="1373" w:type="dxa"/>
            <w:vAlign w:val="center"/>
          </w:tcPr>
          <w:p w14:paraId="05C018C2" w14:textId="77777777" w:rsidR="00B62AE4" w:rsidRPr="00F7245E" w:rsidRDefault="00B62AE4" w:rsidP="00A21724">
            <w:pPr>
              <w:pStyle w:val="TableParagraph"/>
              <w:ind w:left="101"/>
              <w:jc w:val="center"/>
              <w:rPr>
                <w:lang w:val="hu-HU"/>
              </w:rPr>
            </w:pPr>
            <w:r w:rsidRPr="00F7245E">
              <w:rPr>
                <w:w w:val="105"/>
              </w:rPr>
              <w:t>9 (0,3%)</w:t>
            </w:r>
          </w:p>
        </w:tc>
        <w:tc>
          <w:tcPr>
            <w:tcW w:w="1345" w:type="dxa"/>
            <w:vAlign w:val="center"/>
          </w:tcPr>
          <w:p w14:paraId="35828AFE" w14:textId="77777777" w:rsidR="00B62AE4" w:rsidRPr="00F7245E" w:rsidRDefault="00B62AE4" w:rsidP="00A21724">
            <w:pPr>
              <w:pStyle w:val="TableParagraph"/>
              <w:ind w:left="101"/>
              <w:jc w:val="center"/>
              <w:rPr>
                <w:lang w:val="hu-HU"/>
              </w:rPr>
            </w:pPr>
            <w:r w:rsidRPr="00F7245E">
              <w:rPr>
                <w:w w:val="105"/>
              </w:rPr>
              <w:t>11 (0,4%)</w:t>
            </w:r>
          </w:p>
        </w:tc>
        <w:tc>
          <w:tcPr>
            <w:tcW w:w="1451" w:type="dxa"/>
            <w:vAlign w:val="center"/>
          </w:tcPr>
          <w:p w14:paraId="6C1AF4CF" w14:textId="77777777" w:rsidR="00B62AE4" w:rsidRPr="00F7245E" w:rsidRDefault="00B62AE4" w:rsidP="00A21724">
            <w:pPr>
              <w:pStyle w:val="TableParagraph"/>
              <w:ind w:left="102"/>
              <w:jc w:val="center"/>
              <w:rPr>
                <w:lang w:val="hu-HU"/>
              </w:rPr>
            </w:pPr>
            <w:r w:rsidRPr="00F7245E">
              <w:rPr>
                <w:w w:val="105"/>
              </w:rPr>
              <w:t>4 (0,3%)</w:t>
            </w:r>
          </w:p>
        </w:tc>
        <w:tc>
          <w:tcPr>
            <w:tcW w:w="1449" w:type="dxa"/>
            <w:vAlign w:val="center"/>
          </w:tcPr>
          <w:p w14:paraId="612E8E6D" w14:textId="77777777" w:rsidR="00B62AE4" w:rsidRPr="00F7245E" w:rsidRDefault="00B62AE4" w:rsidP="00A21724">
            <w:pPr>
              <w:pStyle w:val="TableParagraph"/>
              <w:ind w:left="100"/>
              <w:jc w:val="center"/>
              <w:rPr>
                <w:lang w:val="hu-HU"/>
              </w:rPr>
            </w:pPr>
            <w:r w:rsidRPr="00F7245E">
              <w:rPr>
                <w:w w:val="105"/>
              </w:rPr>
              <w:t>9 (0,6%)</w:t>
            </w:r>
          </w:p>
        </w:tc>
      </w:tr>
      <w:tr w:rsidR="00B62AE4" w:rsidRPr="00F7245E" w14:paraId="58974F90" w14:textId="77777777" w:rsidTr="00CD641B">
        <w:trPr>
          <w:trHeight w:val="271"/>
        </w:trPr>
        <w:tc>
          <w:tcPr>
            <w:tcW w:w="2757" w:type="dxa"/>
            <w:vAlign w:val="center"/>
          </w:tcPr>
          <w:p w14:paraId="6A5F90F9" w14:textId="77777777" w:rsidR="00B62AE4" w:rsidRPr="00F7245E" w:rsidRDefault="00B62AE4" w:rsidP="00A21724">
            <w:pPr>
              <w:pStyle w:val="TableParagraph"/>
              <w:ind w:left="142"/>
              <w:rPr>
                <w:lang w:val="hu-HU"/>
              </w:rPr>
            </w:pPr>
            <w:r w:rsidRPr="00F7245E">
              <w:rPr>
                <w:w w:val="105"/>
              </w:rPr>
              <w:t>Halálos</w:t>
            </w:r>
          </w:p>
        </w:tc>
        <w:tc>
          <w:tcPr>
            <w:tcW w:w="1373" w:type="dxa"/>
            <w:vAlign w:val="center"/>
          </w:tcPr>
          <w:p w14:paraId="6F49A381" w14:textId="77777777" w:rsidR="00B62AE4" w:rsidRPr="00F7245E" w:rsidRDefault="00B62AE4" w:rsidP="00A21724">
            <w:pPr>
              <w:pStyle w:val="TableParagraph"/>
              <w:ind w:left="100"/>
              <w:jc w:val="center"/>
              <w:rPr>
                <w:lang w:val="hu-HU"/>
              </w:rPr>
            </w:pPr>
            <w:r w:rsidRPr="00F7245E">
              <w:rPr>
                <w:w w:val="103"/>
              </w:rPr>
              <w:t>0</w:t>
            </w:r>
          </w:p>
        </w:tc>
        <w:tc>
          <w:tcPr>
            <w:tcW w:w="1345" w:type="dxa"/>
            <w:vAlign w:val="center"/>
          </w:tcPr>
          <w:p w14:paraId="77128026" w14:textId="77777777" w:rsidR="00B62AE4" w:rsidRPr="00F7245E" w:rsidRDefault="00B62AE4" w:rsidP="00A21724">
            <w:pPr>
              <w:pStyle w:val="TableParagraph"/>
              <w:ind w:left="100"/>
              <w:jc w:val="center"/>
              <w:rPr>
                <w:lang w:val="hu-HU"/>
              </w:rPr>
            </w:pPr>
            <w:r w:rsidRPr="00F7245E">
              <w:rPr>
                <w:w w:val="103"/>
              </w:rPr>
              <w:t>0</w:t>
            </w:r>
          </w:p>
        </w:tc>
        <w:tc>
          <w:tcPr>
            <w:tcW w:w="1451" w:type="dxa"/>
            <w:vAlign w:val="center"/>
          </w:tcPr>
          <w:p w14:paraId="1BCB2E6A" w14:textId="77777777" w:rsidR="00B62AE4" w:rsidRPr="00F7245E" w:rsidRDefault="00B62AE4" w:rsidP="00A21724">
            <w:pPr>
              <w:pStyle w:val="TableParagraph"/>
              <w:ind w:left="100"/>
              <w:jc w:val="center"/>
              <w:rPr>
                <w:lang w:val="hu-HU"/>
              </w:rPr>
            </w:pPr>
            <w:r w:rsidRPr="00F7245E">
              <w:rPr>
                <w:w w:val="103"/>
              </w:rPr>
              <w:t>0</w:t>
            </w:r>
          </w:p>
        </w:tc>
        <w:tc>
          <w:tcPr>
            <w:tcW w:w="1449" w:type="dxa"/>
            <w:vAlign w:val="center"/>
          </w:tcPr>
          <w:p w14:paraId="5CC04EAE" w14:textId="77777777" w:rsidR="00B62AE4" w:rsidRPr="00F7245E" w:rsidRDefault="00B62AE4" w:rsidP="00A21724">
            <w:pPr>
              <w:pStyle w:val="TableParagraph"/>
              <w:ind w:left="99"/>
              <w:jc w:val="center"/>
              <w:rPr>
                <w:lang w:val="hu-HU"/>
              </w:rPr>
            </w:pPr>
            <w:r w:rsidRPr="00F7245E">
              <w:rPr>
                <w:w w:val="103"/>
              </w:rPr>
              <w:t>0</w:t>
            </w:r>
          </w:p>
        </w:tc>
      </w:tr>
      <w:tr w:rsidR="00B62AE4" w:rsidRPr="00F7245E" w14:paraId="355D7E4F" w14:textId="77777777" w:rsidTr="00CD641B">
        <w:trPr>
          <w:trHeight w:val="276"/>
        </w:trPr>
        <w:tc>
          <w:tcPr>
            <w:tcW w:w="2757" w:type="dxa"/>
            <w:vAlign w:val="center"/>
          </w:tcPr>
          <w:p w14:paraId="3FD425CC" w14:textId="77777777" w:rsidR="00B62AE4" w:rsidRPr="00F7245E" w:rsidRDefault="00B62AE4" w:rsidP="00A21724">
            <w:pPr>
              <w:pStyle w:val="TableParagraph"/>
              <w:ind w:left="101"/>
              <w:rPr>
                <w:lang w:val="hu-HU"/>
              </w:rPr>
            </w:pPr>
            <w:r w:rsidRPr="00F7245E">
              <w:rPr>
                <w:w w:val="105"/>
              </w:rPr>
              <w:t>Súlyos + CRNM</w:t>
            </w:r>
          </w:p>
        </w:tc>
        <w:tc>
          <w:tcPr>
            <w:tcW w:w="1373" w:type="dxa"/>
            <w:vAlign w:val="center"/>
          </w:tcPr>
          <w:p w14:paraId="48BADED2" w14:textId="77777777" w:rsidR="00B62AE4" w:rsidRPr="00F7245E" w:rsidRDefault="00B62AE4" w:rsidP="00A21724">
            <w:pPr>
              <w:pStyle w:val="TableParagraph"/>
              <w:ind w:left="102"/>
              <w:jc w:val="center"/>
              <w:rPr>
                <w:lang w:val="hu-HU"/>
              </w:rPr>
            </w:pPr>
            <w:r w:rsidRPr="00F7245E">
              <w:rPr>
                <w:w w:val="105"/>
              </w:rPr>
              <w:t>96 (3,6%)</w:t>
            </w:r>
          </w:p>
        </w:tc>
        <w:tc>
          <w:tcPr>
            <w:tcW w:w="1345" w:type="dxa"/>
            <w:vAlign w:val="center"/>
          </w:tcPr>
          <w:p w14:paraId="440304B7" w14:textId="77777777" w:rsidR="00B62AE4" w:rsidRPr="00F7245E" w:rsidRDefault="00B62AE4" w:rsidP="00A21724">
            <w:pPr>
              <w:pStyle w:val="TableParagraph"/>
              <w:ind w:left="102"/>
              <w:jc w:val="center"/>
              <w:rPr>
                <w:lang w:val="hu-HU"/>
              </w:rPr>
            </w:pPr>
            <w:r w:rsidRPr="00F7245E">
              <w:rPr>
                <w:w w:val="105"/>
              </w:rPr>
              <w:t>115 (4,3%)</w:t>
            </w:r>
          </w:p>
        </w:tc>
        <w:tc>
          <w:tcPr>
            <w:tcW w:w="1451" w:type="dxa"/>
            <w:vAlign w:val="center"/>
          </w:tcPr>
          <w:p w14:paraId="42D8C5EF" w14:textId="77777777" w:rsidR="00B62AE4" w:rsidRPr="00F7245E" w:rsidRDefault="00B62AE4" w:rsidP="00A21724">
            <w:pPr>
              <w:pStyle w:val="TableParagraph"/>
              <w:ind w:left="102"/>
              <w:jc w:val="center"/>
              <w:rPr>
                <w:lang w:val="hu-HU"/>
              </w:rPr>
            </w:pPr>
            <w:r w:rsidRPr="00F7245E">
              <w:rPr>
                <w:w w:val="105"/>
              </w:rPr>
              <w:t>41 (2,7%)</w:t>
            </w:r>
          </w:p>
        </w:tc>
        <w:tc>
          <w:tcPr>
            <w:tcW w:w="1449" w:type="dxa"/>
            <w:vAlign w:val="center"/>
          </w:tcPr>
          <w:p w14:paraId="112E396B" w14:textId="77777777" w:rsidR="00B62AE4" w:rsidRPr="00F7245E" w:rsidRDefault="00B62AE4" w:rsidP="00A21724">
            <w:pPr>
              <w:pStyle w:val="TableParagraph"/>
              <w:ind w:left="100"/>
              <w:jc w:val="center"/>
              <w:rPr>
                <w:lang w:val="hu-HU"/>
              </w:rPr>
            </w:pPr>
            <w:r w:rsidRPr="00F7245E">
              <w:rPr>
                <w:w w:val="105"/>
              </w:rPr>
              <w:t>56 (3,7%)</w:t>
            </w:r>
          </w:p>
        </w:tc>
      </w:tr>
      <w:tr w:rsidR="00B62AE4" w:rsidRPr="00F7245E" w14:paraId="4A4E44BC" w14:textId="77777777" w:rsidTr="00CD641B">
        <w:trPr>
          <w:trHeight w:val="279"/>
        </w:trPr>
        <w:tc>
          <w:tcPr>
            <w:tcW w:w="2757" w:type="dxa"/>
            <w:vAlign w:val="center"/>
          </w:tcPr>
          <w:p w14:paraId="5EC37EA1" w14:textId="77777777" w:rsidR="00B62AE4" w:rsidRPr="00F7245E" w:rsidRDefault="00B62AE4" w:rsidP="00A21724">
            <w:pPr>
              <w:pStyle w:val="TableParagraph"/>
              <w:ind w:left="101"/>
              <w:rPr>
                <w:lang w:val="hu-HU"/>
              </w:rPr>
            </w:pPr>
            <w:r w:rsidRPr="00F7245E">
              <w:rPr>
                <w:w w:val="105"/>
              </w:rPr>
              <w:t>Összes</w:t>
            </w:r>
          </w:p>
        </w:tc>
        <w:tc>
          <w:tcPr>
            <w:tcW w:w="1373" w:type="dxa"/>
            <w:vAlign w:val="center"/>
          </w:tcPr>
          <w:p w14:paraId="0CDDCFD7" w14:textId="77777777" w:rsidR="00B62AE4" w:rsidRPr="00F7245E" w:rsidRDefault="00B62AE4" w:rsidP="00A21724">
            <w:pPr>
              <w:pStyle w:val="TableParagraph"/>
              <w:ind w:left="100"/>
              <w:jc w:val="center"/>
              <w:rPr>
                <w:lang w:val="hu-HU"/>
              </w:rPr>
            </w:pPr>
            <w:r w:rsidRPr="00F7245E">
              <w:rPr>
                <w:w w:val="105"/>
              </w:rPr>
              <w:t>261 (9,8%)</w:t>
            </w:r>
          </w:p>
        </w:tc>
        <w:tc>
          <w:tcPr>
            <w:tcW w:w="1345" w:type="dxa"/>
            <w:vAlign w:val="center"/>
          </w:tcPr>
          <w:p w14:paraId="347B2D6B" w14:textId="77777777" w:rsidR="00B62AE4" w:rsidRPr="00F7245E" w:rsidRDefault="00B62AE4" w:rsidP="00A21724">
            <w:pPr>
              <w:pStyle w:val="TableParagraph"/>
              <w:ind w:left="100"/>
              <w:jc w:val="center"/>
              <w:rPr>
                <w:lang w:val="hu-HU"/>
              </w:rPr>
            </w:pPr>
            <w:r w:rsidRPr="00F7245E">
              <w:rPr>
                <w:w w:val="105"/>
              </w:rPr>
              <w:t>293 (11,0%)</w:t>
            </w:r>
          </w:p>
        </w:tc>
        <w:tc>
          <w:tcPr>
            <w:tcW w:w="1451" w:type="dxa"/>
            <w:vAlign w:val="center"/>
          </w:tcPr>
          <w:p w14:paraId="748A3231" w14:textId="77777777" w:rsidR="00B62AE4" w:rsidRPr="00F7245E" w:rsidRDefault="00B62AE4" w:rsidP="00A21724">
            <w:pPr>
              <w:pStyle w:val="TableParagraph"/>
              <w:ind w:left="100"/>
              <w:jc w:val="center"/>
              <w:rPr>
                <w:lang w:val="hu-HU"/>
              </w:rPr>
            </w:pPr>
            <w:r w:rsidRPr="00F7245E">
              <w:rPr>
                <w:w w:val="105"/>
              </w:rPr>
              <w:t>89 (5,9%)</w:t>
            </w:r>
          </w:p>
        </w:tc>
        <w:tc>
          <w:tcPr>
            <w:tcW w:w="1449" w:type="dxa"/>
            <w:vAlign w:val="center"/>
          </w:tcPr>
          <w:p w14:paraId="74B47736" w14:textId="77777777" w:rsidR="00B62AE4" w:rsidRPr="00F7245E" w:rsidRDefault="00B62AE4" w:rsidP="00A21724">
            <w:pPr>
              <w:pStyle w:val="TableParagraph"/>
              <w:ind w:left="98"/>
              <w:jc w:val="center"/>
              <w:rPr>
                <w:lang w:val="hu-HU"/>
              </w:rPr>
            </w:pPr>
            <w:r w:rsidRPr="00F7245E">
              <w:rPr>
                <w:w w:val="105"/>
              </w:rPr>
              <w:t>103 (6,8%)</w:t>
            </w:r>
          </w:p>
        </w:tc>
      </w:tr>
    </w:tbl>
    <w:p w14:paraId="37AFAC5A" w14:textId="77777777" w:rsidR="00B62AE4" w:rsidRPr="00F7245E" w:rsidRDefault="00B62AE4" w:rsidP="00A21724">
      <w:pPr>
        <w:pStyle w:val="Listaszerbekezds"/>
        <w:numPr>
          <w:ilvl w:val="0"/>
          <w:numId w:val="4"/>
        </w:numPr>
        <w:tabs>
          <w:tab w:val="left" w:pos="368"/>
        </w:tabs>
        <w:ind w:left="367" w:hanging="225"/>
        <w:rPr>
          <w:sz w:val="20"/>
        </w:rPr>
      </w:pPr>
      <w:r w:rsidRPr="00F7245E">
        <w:rPr>
          <w:w w:val="105"/>
          <w:sz w:val="20"/>
        </w:rPr>
        <w:t>Valamennyi vérzési kritérium magába foglalta a műtét helyén fellépő</w:t>
      </w:r>
      <w:r w:rsidRPr="00F7245E">
        <w:rPr>
          <w:spacing w:val="-27"/>
          <w:w w:val="105"/>
          <w:sz w:val="20"/>
        </w:rPr>
        <w:t xml:space="preserve"> </w:t>
      </w:r>
      <w:r w:rsidRPr="00F7245E">
        <w:rPr>
          <w:w w:val="105"/>
          <w:sz w:val="20"/>
        </w:rPr>
        <w:t>vérzést.</w:t>
      </w:r>
    </w:p>
    <w:p w14:paraId="6973BA2E" w14:textId="005278FD" w:rsidR="00B62AE4" w:rsidRPr="00F7245E" w:rsidRDefault="00156D2D" w:rsidP="00A21724">
      <w:pPr>
        <w:pStyle w:val="Szvegtrzs"/>
        <w:ind w:left="212" w:hanging="70"/>
        <w:rPr>
          <w:szCs w:val="22"/>
        </w:rPr>
      </w:pPr>
      <w:r w:rsidRPr="00F7245E">
        <w:rPr>
          <w:w w:val="105"/>
          <w:szCs w:val="22"/>
          <w:vertAlign w:val="superscript"/>
        </w:rPr>
        <w:t>1</w:t>
      </w:r>
      <w:r w:rsidRPr="00F7245E">
        <w:rPr>
          <w:w w:val="105"/>
          <w:szCs w:val="22"/>
        </w:rPr>
        <w:t>A</w:t>
      </w:r>
      <w:r w:rsidR="00B62AE4" w:rsidRPr="00F7245E">
        <w:rPr>
          <w:w w:val="105"/>
          <w:szCs w:val="22"/>
        </w:rPr>
        <w:t>z első dózis enoxaparin (műtét előtt) beadását követő események</w:t>
      </w:r>
    </w:p>
    <w:p w14:paraId="17BA6D7A" w14:textId="16FA1DF2" w:rsidR="00B62AE4" w:rsidRPr="00F7245E" w:rsidRDefault="00156D2D" w:rsidP="00A21724">
      <w:pPr>
        <w:pStyle w:val="Szvegtrzs"/>
        <w:ind w:firstLine="142"/>
        <w:rPr>
          <w:szCs w:val="22"/>
        </w:rPr>
      </w:pPr>
      <w:r w:rsidRPr="00F7245E">
        <w:rPr>
          <w:w w:val="105"/>
          <w:szCs w:val="22"/>
          <w:vertAlign w:val="superscript"/>
        </w:rPr>
        <w:t>2</w:t>
      </w:r>
      <w:r w:rsidRPr="00F7245E">
        <w:rPr>
          <w:w w:val="105"/>
          <w:szCs w:val="22"/>
        </w:rPr>
        <w:t>Az</w:t>
      </w:r>
      <w:r w:rsidR="00B62AE4" w:rsidRPr="00F7245E">
        <w:rPr>
          <w:w w:val="105"/>
          <w:szCs w:val="22"/>
        </w:rPr>
        <w:t xml:space="preserve"> első dózis </w:t>
      </w:r>
      <w:r w:rsidR="00CA2919" w:rsidRPr="00F7245E">
        <w:rPr>
          <w:w w:val="105"/>
          <w:szCs w:val="22"/>
        </w:rPr>
        <w:t xml:space="preserve">apixabán </w:t>
      </w:r>
      <w:r w:rsidR="00B62AE4" w:rsidRPr="00F7245E">
        <w:rPr>
          <w:w w:val="105"/>
          <w:szCs w:val="22"/>
        </w:rPr>
        <w:t>(műtét után) beadását követő események</w:t>
      </w:r>
    </w:p>
    <w:p w14:paraId="660690F9" w14:textId="77777777" w:rsidR="00B62AE4" w:rsidRPr="00F7245E" w:rsidRDefault="00B62AE4" w:rsidP="00A21724">
      <w:pPr>
        <w:pStyle w:val="Nincstrkz"/>
        <w:rPr>
          <w:rFonts w:cs="Times New Roman"/>
        </w:rPr>
      </w:pPr>
    </w:p>
    <w:p w14:paraId="0FFD2990" w14:textId="145B8ABC" w:rsidR="00156D2D" w:rsidRPr="00F7245E" w:rsidRDefault="00156D2D" w:rsidP="00A21724">
      <w:pPr>
        <w:pStyle w:val="Nincstrkz"/>
        <w:rPr>
          <w:rFonts w:cs="Times New Roman"/>
        </w:rPr>
      </w:pPr>
      <w:r w:rsidRPr="00F7245E">
        <w:rPr>
          <w:rFonts w:cs="Times New Roman"/>
        </w:rPr>
        <w:t xml:space="preserve">A vérzés, az anaemia és a transzamináz-eltérések (pl. </w:t>
      </w:r>
      <w:r w:rsidR="008A238A" w:rsidRPr="00F7245E">
        <w:rPr>
          <w:rFonts w:cs="Times New Roman"/>
        </w:rPr>
        <w:t>GPT</w:t>
      </w:r>
      <w:r w:rsidR="008A238A" w:rsidRPr="00F7245E">
        <w:rPr>
          <w:rFonts w:cs="Times New Roman"/>
        </w:rPr>
        <w:noBreakHyphen/>
      </w:r>
      <w:r w:rsidRPr="00F7245E">
        <w:rPr>
          <w:rFonts w:cs="Times New Roman"/>
        </w:rPr>
        <w:t xml:space="preserve">szint) összesített előfordulási gyakorisága számszerűen alacsonyabb volt az </w:t>
      </w:r>
      <w:r w:rsidR="002C0B56" w:rsidRPr="00F7245E">
        <w:rPr>
          <w:rFonts w:cs="Times New Roman"/>
        </w:rPr>
        <w:t>apixabán</w:t>
      </w:r>
      <w:r w:rsidRPr="00F7245E">
        <w:rPr>
          <w:rFonts w:cs="Times New Roman"/>
        </w:rPr>
        <w:t xml:space="preserve">nal kezelt betegeknél, mint a </w:t>
      </w:r>
      <w:r w:rsidR="00403AAD" w:rsidRPr="00F7245E">
        <w:rPr>
          <w:rFonts w:cs="Times New Roman"/>
        </w:rPr>
        <w:t xml:space="preserve">II. </w:t>
      </w:r>
      <w:r w:rsidRPr="00F7245E">
        <w:rPr>
          <w:rFonts w:cs="Times New Roman"/>
        </w:rPr>
        <w:t>fázis</w:t>
      </w:r>
      <w:r w:rsidR="00403AAD" w:rsidRPr="00F7245E">
        <w:rPr>
          <w:rFonts w:cs="Times New Roman"/>
        </w:rPr>
        <w:t>ú</w:t>
      </w:r>
      <w:r w:rsidRPr="00F7245E">
        <w:rPr>
          <w:rFonts w:cs="Times New Roman"/>
        </w:rPr>
        <w:t xml:space="preserve"> és </w:t>
      </w:r>
      <w:r w:rsidR="00403AAD" w:rsidRPr="00F7245E">
        <w:rPr>
          <w:rFonts w:cs="Times New Roman"/>
        </w:rPr>
        <w:t xml:space="preserve">III. </w:t>
      </w:r>
      <w:r w:rsidRPr="00F7245E">
        <w:rPr>
          <w:rFonts w:cs="Times New Roman"/>
        </w:rPr>
        <w:t>fázis</w:t>
      </w:r>
      <w:r w:rsidR="00403AAD" w:rsidRPr="00F7245E">
        <w:rPr>
          <w:rFonts w:cs="Times New Roman"/>
        </w:rPr>
        <w:t>ú</w:t>
      </w:r>
      <w:r w:rsidRPr="00F7245E">
        <w:rPr>
          <w:rFonts w:cs="Times New Roman"/>
        </w:rPr>
        <w:t xml:space="preserve"> vizsgálatokban enoxaparinnal kezelt, elektív csípő</w:t>
      </w:r>
      <w:r w:rsidR="008A238A" w:rsidRPr="00F7245E">
        <w:rPr>
          <w:rFonts w:cs="Times New Roman"/>
        </w:rPr>
        <w:noBreakHyphen/>
      </w:r>
      <w:r w:rsidRPr="00F7245E">
        <w:rPr>
          <w:rFonts w:cs="Times New Roman"/>
        </w:rPr>
        <w:t xml:space="preserve"> és térdprotézis műtéten átesett betegeknél. </w:t>
      </w:r>
    </w:p>
    <w:p w14:paraId="1A0D94BB" w14:textId="77777777" w:rsidR="00156D2D" w:rsidRPr="00F7245E" w:rsidRDefault="00156D2D" w:rsidP="00A21724">
      <w:pPr>
        <w:pStyle w:val="Nincstrkz"/>
        <w:rPr>
          <w:rFonts w:cs="Times New Roman"/>
        </w:rPr>
      </w:pPr>
    </w:p>
    <w:p w14:paraId="4F667EFA" w14:textId="16E5FC28" w:rsidR="00156D2D" w:rsidRPr="00F7245E" w:rsidRDefault="00156D2D" w:rsidP="00A21724">
      <w:pPr>
        <w:pStyle w:val="Nincstrkz"/>
        <w:rPr>
          <w:rFonts w:cs="Times New Roman"/>
        </w:rPr>
      </w:pPr>
      <w:r w:rsidRPr="00F7245E">
        <w:rPr>
          <w:rFonts w:cs="Times New Roman"/>
        </w:rPr>
        <w:t xml:space="preserve">A térdprotézis műtét vizsgálatban a tervezett kezelési időszak alatt az </w:t>
      </w:r>
      <w:r w:rsidR="002C0B56" w:rsidRPr="00F7245E">
        <w:rPr>
          <w:rFonts w:cs="Times New Roman"/>
        </w:rPr>
        <w:t>apixabán</w:t>
      </w:r>
      <w:r w:rsidR="00403AAD" w:rsidRPr="00F7245E">
        <w:rPr>
          <w:rFonts w:cs="Times New Roman"/>
        </w:rPr>
        <w:noBreakHyphen/>
      </w:r>
      <w:r w:rsidRPr="00F7245E">
        <w:rPr>
          <w:rFonts w:cs="Times New Roman"/>
        </w:rPr>
        <w:t>karon 4</w:t>
      </w:r>
      <w:r w:rsidR="008A238A" w:rsidRPr="00F7245E">
        <w:rPr>
          <w:rFonts w:cs="Times New Roman"/>
        </w:rPr>
        <w:t> pulmonalis</w:t>
      </w:r>
      <w:r w:rsidRPr="00F7245E">
        <w:rPr>
          <w:rFonts w:cs="Times New Roman"/>
        </w:rPr>
        <w:t xml:space="preserve"> emboliát diagnosztizáltak, míg az enoxaparin-karon egyetlen esetet sem észleltek. A pulmonalis emboliának erre a magasabb számára nem adható magyarázat.</w:t>
      </w:r>
    </w:p>
    <w:p w14:paraId="5F06F56D" w14:textId="77777777" w:rsidR="00B62AE4" w:rsidRPr="00F7245E" w:rsidRDefault="00B62AE4" w:rsidP="00A21724">
      <w:pPr>
        <w:pStyle w:val="Nincstrkz"/>
        <w:rPr>
          <w:rFonts w:cs="Times New Roman"/>
        </w:rPr>
      </w:pPr>
    </w:p>
    <w:p w14:paraId="290231A3" w14:textId="2CFA0EA0" w:rsidR="00B62AE4" w:rsidRPr="00F7245E" w:rsidRDefault="00B62AE4" w:rsidP="00A21724">
      <w:pPr>
        <w:pStyle w:val="Nincstrkz"/>
        <w:rPr>
          <w:rFonts w:cs="Times New Roman"/>
          <w:i/>
          <w:iCs/>
          <w:u w:val="single"/>
        </w:rPr>
      </w:pPr>
      <w:r w:rsidRPr="00F7245E">
        <w:rPr>
          <w:rFonts w:cs="Times New Roman"/>
          <w:i/>
          <w:iCs/>
          <w:u w:val="single"/>
        </w:rPr>
        <w:t xml:space="preserve">A stroke és a szisztémás embolizáció megelőzése nem </w:t>
      </w:r>
      <w:r w:rsidR="008A238A" w:rsidRPr="00F7245E">
        <w:rPr>
          <w:rFonts w:cs="Times New Roman"/>
          <w:i/>
          <w:iCs/>
          <w:u w:val="single"/>
        </w:rPr>
        <w:t>valvuláris</w:t>
      </w:r>
      <w:r w:rsidRPr="00F7245E">
        <w:rPr>
          <w:rFonts w:cs="Times New Roman"/>
          <w:i/>
          <w:iCs/>
          <w:u w:val="single"/>
        </w:rPr>
        <w:t xml:space="preserve"> pitvarfibrillációban (NVPF) szenvedő</w:t>
      </w:r>
      <w:r w:rsidR="008A238A" w:rsidRPr="00F7245E">
        <w:rPr>
          <w:rFonts w:cs="Times New Roman"/>
          <w:i/>
          <w:iCs/>
          <w:u w:val="single"/>
        </w:rPr>
        <w:t xml:space="preserve"> </w:t>
      </w:r>
      <w:r w:rsidR="00A1416D" w:rsidRPr="00F7245E">
        <w:rPr>
          <w:rFonts w:cs="Times New Roman"/>
          <w:i/>
          <w:iCs/>
          <w:u w:val="single"/>
        </w:rPr>
        <w:t>beteg</w:t>
      </w:r>
      <w:r w:rsidRPr="00F7245E">
        <w:rPr>
          <w:rFonts w:cs="Times New Roman"/>
          <w:i/>
          <w:iCs/>
          <w:u w:val="single"/>
        </w:rPr>
        <w:t>eknél</w:t>
      </w:r>
    </w:p>
    <w:p w14:paraId="5437084A" w14:textId="1086636C" w:rsidR="00B62AE4" w:rsidRPr="00F7245E" w:rsidRDefault="00B62AE4" w:rsidP="00A21724">
      <w:pPr>
        <w:pStyle w:val="Nincstrkz"/>
        <w:rPr>
          <w:rFonts w:cs="Times New Roman"/>
        </w:rPr>
      </w:pPr>
      <w:r w:rsidRPr="00F7245E">
        <w:rPr>
          <w:rFonts w:cs="Times New Roman"/>
        </w:rPr>
        <w:t>Összesen 23</w:t>
      </w:r>
      <w:r w:rsidR="00200436" w:rsidRPr="00F7245E">
        <w:rPr>
          <w:rFonts w:cs="Times New Roman"/>
        </w:rPr>
        <w:t> </w:t>
      </w:r>
      <w:r w:rsidRPr="00F7245E">
        <w:rPr>
          <w:rFonts w:cs="Times New Roman"/>
        </w:rPr>
        <w:t>799</w:t>
      </w:r>
      <w:r w:rsidR="00A1416D" w:rsidRPr="00F7245E">
        <w:rPr>
          <w:rFonts w:cs="Times New Roman"/>
        </w:rPr>
        <w:t> </w:t>
      </w:r>
      <w:r w:rsidR="00F66BCD">
        <w:rPr>
          <w:rFonts w:cs="Times New Roman"/>
        </w:rPr>
        <w:t xml:space="preserve">felnőtt </w:t>
      </w:r>
      <w:r w:rsidR="00A1416D" w:rsidRPr="00F7245E">
        <w:rPr>
          <w:rFonts w:cs="Times New Roman"/>
        </w:rPr>
        <w:t>beteg</w:t>
      </w:r>
      <w:r w:rsidRPr="00F7245E">
        <w:rPr>
          <w:rFonts w:cs="Times New Roman"/>
        </w:rPr>
        <w:t xml:space="preserve">et randomizáltak a klinikai programba (ARISTOTLE: </w:t>
      </w:r>
      <w:r w:rsidR="00CA2919" w:rsidRPr="00F7245E">
        <w:rPr>
          <w:rFonts w:cs="Times New Roman"/>
        </w:rPr>
        <w:t xml:space="preserve">apixabán </w:t>
      </w:r>
      <w:r w:rsidRPr="00F66BCD">
        <w:rPr>
          <w:rFonts w:cs="Times New Roman"/>
          <w:i/>
        </w:rPr>
        <w:t xml:space="preserve">versus </w:t>
      </w:r>
      <w:r w:rsidRPr="00F7245E">
        <w:rPr>
          <w:rFonts w:cs="Times New Roman"/>
        </w:rPr>
        <w:t xml:space="preserve">warfarin, AVERROES: </w:t>
      </w:r>
      <w:r w:rsidR="00CA2919" w:rsidRPr="00F7245E">
        <w:rPr>
          <w:rFonts w:cs="Times New Roman"/>
        </w:rPr>
        <w:t xml:space="preserve">apixabán </w:t>
      </w:r>
      <w:r w:rsidRPr="00F7245E">
        <w:rPr>
          <w:rFonts w:cs="Times New Roman"/>
        </w:rPr>
        <w:t>versus ASA), közülük 11</w:t>
      </w:r>
      <w:r w:rsidR="00403AAD" w:rsidRPr="00F7245E">
        <w:rPr>
          <w:rFonts w:cs="Times New Roman"/>
        </w:rPr>
        <w:t> </w:t>
      </w:r>
      <w:r w:rsidRPr="00F7245E">
        <w:rPr>
          <w:rFonts w:cs="Times New Roman"/>
        </w:rPr>
        <w:t>927</w:t>
      </w:r>
      <w:r w:rsidR="00A1416D" w:rsidRPr="00F7245E">
        <w:rPr>
          <w:rFonts w:cs="Times New Roman"/>
        </w:rPr>
        <w:t> beteg</w:t>
      </w:r>
      <w:r w:rsidRPr="00F7245E">
        <w:rPr>
          <w:rFonts w:cs="Times New Roman"/>
        </w:rPr>
        <w:t xml:space="preserve">et randomizáltak </w:t>
      </w:r>
      <w:r w:rsidR="002C0B56" w:rsidRPr="00F7245E">
        <w:rPr>
          <w:rFonts w:cs="Times New Roman"/>
        </w:rPr>
        <w:t>apixabán</w:t>
      </w:r>
      <w:r w:rsidRPr="00F7245E">
        <w:rPr>
          <w:rFonts w:cs="Times New Roman"/>
        </w:rPr>
        <w:t xml:space="preserve">ra. A programot úgy tervezték, hogy igazolja az </w:t>
      </w:r>
      <w:r w:rsidR="00CA2919" w:rsidRPr="00F7245E">
        <w:rPr>
          <w:rFonts w:cs="Times New Roman"/>
        </w:rPr>
        <w:t xml:space="preserve">apixabán </w:t>
      </w:r>
      <w:r w:rsidRPr="00F7245E">
        <w:rPr>
          <w:rFonts w:cs="Times New Roman"/>
        </w:rPr>
        <w:t>hatásosságát és biztonságosságát a stroke és a szisztémás embolizáció prevenciój</w:t>
      </w:r>
      <w:r w:rsidR="00B40417" w:rsidRPr="00F7245E">
        <w:rPr>
          <w:rFonts w:cs="Times New Roman"/>
        </w:rPr>
        <w:t>ában</w:t>
      </w:r>
      <w:r w:rsidRPr="00F7245E">
        <w:rPr>
          <w:rFonts w:cs="Times New Roman"/>
        </w:rPr>
        <w:t xml:space="preserve"> a nem </w:t>
      </w:r>
      <w:r w:rsidR="00B40417" w:rsidRPr="00F7245E">
        <w:rPr>
          <w:rFonts w:cs="Times New Roman"/>
        </w:rPr>
        <w:t>valvuláris</w:t>
      </w:r>
      <w:r w:rsidRPr="00F7245E">
        <w:rPr>
          <w:rFonts w:cs="Times New Roman"/>
        </w:rPr>
        <w:t xml:space="preserve"> pitvarfibrillációban szenvedő olyan</w:t>
      </w:r>
      <w:r w:rsidR="00403AAD" w:rsidRPr="00F7245E">
        <w:rPr>
          <w:rFonts w:cs="Times New Roman"/>
        </w:rPr>
        <w:t xml:space="preserve"> </w:t>
      </w:r>
      <w:r w:rsidR="00A1416D" w:rsidRPr="00F7245E">
        <w:rPr>
          <w:rFonts w:cs="Times New Roman"/>
        </w:rPr>
        <w:t>beteg</w:t>
      </w:r>
      <w:r w:rsidRPr="00F7245E">
        <w:rPr>
          <w:rFonts w:cs="Times New Roman"/>
        </w:rPr>
        <w:t>eknél, akikn</w:t>
      </w:r>
      <w:r w:rsidR="00B40417" w:rsidRPr="00F7245E">
        <w:rPr>
          <w:rFonts w:cs="Times New Roman"/>
        </w:rPr>
        <w:t>él</w:t>
      </w:r>
      <w:r w:rsidRPr="00F7245E">
        <w:rPr>
          <w:rFonts w:cs="Times New Roman"/>
        </w:rPr>
        <w:t xml:space="preserve"> egy vagy több további kockázati tényező is </w:t>
      </w:r>
      <w:r w:rsidR="00B40417" w:rsidRPr="00F7245E">
        <w:rPr>
          <w:rFonts w:cs="Times New Roman"/>
        </w:rPr>
        <w:t xml:space="preserve">jelen </w:t>
      </w:r>
      <w:r w:rsidRPr="00F7245E">
        <w:rPr>
          <w:rFonts w:cs="Times New Roman"/>
        </w:rPr>
        <w:t>van, mint például:</w:t>
      </w:r>
    </w:p>
    <w:p w14:paraId="5E45E30F" w14:textId="1640DDEB" w:rsidR="00B62AE4" w:rsidRPr="00F7245E" w:rsidRDefault="00B62AE4" w:rsidP="00A21724">
      <w:pPr>
        <w:pStyle w:val="Nincstrkz"/>
        <w:numPr>
          <w:ilvl w:val="0"/>
          <w:numId w:val="16"/>
        </w:numPr>
        <w:ind w:left="567" w:hanging="567"/>
        <w:rPr>
          <w:rFonts w:cs="Times New Roman"/>
        </w:rPr>
      </w:pPr>
      <w:r w:rsidRPr="00F7245E">
        <w:rPr>
          <w:rFonts w:cs="Times New Roman"/>
        </w:rPr>
        <w:t>korábbi stroke vagy transiens ischaemiás attak (TIA)</w:t>
      </w:r>
      <w:r w:rsidR="00B40417" w:rsidRPr="00F7245E">
        <w:rPr>
          <w:rFonts w:cs="Times New Roman"/>
        </w:rPr>
        <w:t>;</w:t>
      </w:r>
    </w:p>
    <w:p w14:paraId="3A24B108" w14:textId="59BDC29A" w:rsidR="00B62AE4" w:rsidRPr="00F7245E" w:rsidRDefault="00B62AE4" w:rsidP="00A21724">
      <w:pPr>
        <w:pStyle w:val="Nincstrkz"/>
        <w:numPr>
          <w:ilvl w:val="0"/>
          <w:numId w:val="16"/>
        </w:numPr>
        <w:ind w:left="567" w:hanging="567"/>
        <w:rPr>
          <w:rFonts w:cs="Times New Roman"/>
        </w:rPr>
      </w:pPr>
      <w:r w:rsidRPr="00F7245E">
        <w:rPr>
          <w:rFonts w:cs="Times New Roman"/>
        </w:rPr>
        <w:t>életkor ≥</w:t>
      </w:r>
      <w:r w:rsidR="00B40417" w:rsidRPr="00F7245E">
        <w:rPr>
          <w:rFonts w:cs="Times New Roman"/>
        </w:rPr>
        <w:t> </w:t>
      </w:r>
      <w:r w:rsidRPr="00F7245E">
        <w:rPr>
          <w:rFonts w:cs="Times New Roman"/>
        </w:rPr>
        <w:t>75</w:t>
      </w:r>
      <w:r w:rsidR="00045408" w:rsidRPr="00F7245E">
        <w:rPr>
          <w:rFonts w:cs="Times New Roman"/>
        </w:rPr>
        <w:t> év</w:t>
      </w:r>
      <w:r w:rsidR="00B40417" w:rsidRPr="00F7245E">
        <w:rPr>
          <w:rFonts w:cs="Times New Roman"/>
        </w:rPr>
        <w:t>;</w:t>
      </w:r>
    </w:p>
    <w:p w14:paraId="2CA8600A" w14:textId="1C51F104" w:rsidR="00B62AE4" w:rsidRPr="00F7245E" w:rsidRDefault="00B62AE4" w:rsidP="00A21724">
      <w:pPr>
        <w:pStyle w:val="Nincstrkz"/>
        <w:numPr>
          <w:ilvl w:val="0"/>
          <w:numId w:val="16"/>
        </w:numPr>
        <w:ind w:left="567" w:hanging="567"/>
        <w:rPr>
          <w:rFonts w:cs="Times New Roman"/>
        </w:rPr>
      </w:pPr>
      <w:r w:rsidRPr="00F7245E">
        <w:rPr>
          <w:rFonts w:cs="Times New Roman"/>
        </w:rPr>
        <w:t>hypertonia</w:t>
      </w:r>
      <w:r w:rsidR="00B40417" w:rsidRPr="00F7245E">
        <w:rPr>
          <w:rFonts w:cs="Times New Roman"/>
        </w:rPr>
        <w:t>;</w:t>
      </w:r>
    </w:p>
    <w:p w14:paraId="52793B32" w14:textId="75A9AD70" w:rsidR="00B62AE4" w:rsidRPr="00F7245E" w:rsidRDefault="00B62AE4" w:rsidP="00A21724">
      <w:pPr>
        <w:pStyle w:val="Nincstrkz"/>
        <w:numPr>
          <w:ilvl w:val="0"/>
          <w:numId w:val="16"/>
        </w:numPr>
        <w:ind w:left="567" w:hanging="567"/>
        <w:rPr>
          <w:rFonts w:cs="Times New Roman"/>
        </w:rPr>
      </w:pPr>
      <w:r w:rsidRPr="00F7245E">
        <w:rPr>
          <w:rFonts w:cs="Times New Roman"/>
        </w:rPr>
        <w:t>diabetes mellitus</w:t>
      </w:r>
      <w:r w:rsidR="00B40417" w:rsidRPr="00F7245E">
        <w:rPr>
          <w:rFonts w:cs="Times New Roman"/>
        </w:rPr>
        <w:t>;</w:t>
      </w:r>
    </w:p>
    <w:p w14:paraId="0FE0C5A8" w14:textId="70392A46" w:rsidR="00B62AE4" w:rsidRPr="00F7245E" w:rsidRDefault="00B62AE4" w:rsidP="00A21724">
      <w:pPr>
        <w:pStyle w:val="Nincstrkz"/>
        <w:numPr>
          <w:ilvl w:val="0"/>
          <w:numId w:val="16"/>
        </w:numPr>
        <w:ind w:left="567" w:hanging="567"/>
        <w:rPr>
          <w:rFonts w:cs="Times New Roman"/>
        </w:rPr>
      </w:pPr>
      <w:r w:rsidRPr="00F7245E">
        <w:rPr>
          <w:rFonts w:cs="Times New Roman"/>
        </w:rPr>
        <w:t>tünetekkel járó szívelégtelenség (NYHA stádium ≥</w:t>
      </w:r>
      <w:r w:rsidR="005A7AEB" w:rsidRPr="00F7245E">
        <w:rPr>
          <w:rFonts w:cs="Times New Roman"/>
        </w:rPr>
        <w:t> </w:t>
      </w:r>
      <w:r w:rsidRPr="00F7245E">
        <w:rPr>
          <w:rFonts w:cs="Times New Roman"/>
        </w:rPr>
        <w:t>II).</w:t>
      </w:r>
    </w:p>
    <w:p w14:paraId="3D0B855D" w14:textId="77777777" w:rsidR="00B62AE4" w:rsidRPr="00F7245E" w:rsidRDefault="00B62AE4" w:rsidP="00A21724">
      <w:pPr>
        <w:pStyle w:val="Nincstrkz"/>
        <w:rPr>
          <w:rFonts w:cs="Times New Roman"/>
        </w:rPr>
      </w:pPr>
    </w:p>
    <w:p w14:paraId="7E0817A0" w14:textId="77777777" w:rsidR="00B62AE4" w:rsidRPr="00F7245E" w:rsidRDefault="00B62AE4" w:rsidP="00A21724">
      <w:pPr>
        <w:pStyle w:val="Nincstrkz"/>
        <w:rPr>
          <w:rFonts w:cs="Times New Roman"/>
          <w:i/>
          <w:iCs/>
          <w:u w:val="single"/>
        </w:rPr>
      </w:pPr>
      <w:r w:rsidRPr="00F7245E">
        <w:rPr>
          <w:rFonts w:cs="Times New Roman"/>
          <w:i/>
          <w:iCs/>
          <w:u w:val="single"/>
        </w:rPr>
        <w:t>ARISTOTLE-VIZSGÁLAT</w:t>
      </w:r>
    </w:p>
    <w:p w14:paraId="177F42F9" w14:textId="608C3396" w:rsidR="00B62AE4" w:rsidRPr="00F7245E" w:rsidRDefault="00B62AE4" w:rsidP="00A21724">
      <w:pPr>
        <w:pStyle w:val="Nincstrkz"/>
        <w:rPr>
          <w:rFonts w:cs="Times New Roman"/>
        </w:rPr>
      </w:pPr>
      <w:r w:rsidRPr="00F7245E">
        <w:rPr>
          <w:rFonts w:cs="Times New Roman"/>
        </w:rPr>
        <w:t>Az ARISTOTLE-vizsgálatban összesen 18</w:t>
      </w:r>
      <w:r w:rsidR="00F66BCD">
        <w:rPr>
          <w:rFonts w:cs="Times New Roman"/>
        </w:rPr>
        <w:t> </w:t>
      </w:r>
      <w:r w:rsidRPr="00F7245E">
        <w:rPr>
          <w:rFonts w:cs="Times New Roman"/>
        </w:rPr>
        <w:t>201</w:t>
      </w:r>
      <w:r w:rsidR="00F66BCD">
        <w:rPr>
          <w:rFonts w:cs="Times New Roman"/>
        </w:rPr>
        <w:t xml:space="preserve"> felnőtt </w:t>
      </w:r>
      <w:r w:rsidR="00A1416D" w:rsidRPr="00F7245E">
        <w:rPr>
          <w:rFonts w:cs="Times New Roman"/>
        </w:rPr>
        <w:t>beteg</w:t>
      </w:r>
      <w:r w:rsidRPr="00F7245E">
        <w:rPr>
          <w:rFonts w:cs="Times New Roman"/>
        </w:rPr>
        <w:t>et randomizáltak</w:t>
      </w:r>
      <w:r w:rsidR="00B40417" w:rsidRPr="00F7245E">
        <w:rPr>
          <w:rFonts w:cs="Times New Roman"/>
        </w:rPr>
        <w:t xml:space="preserve"> </w:t>
      </w:r>
      <w:r w:rsidR="003B67D5" w:rsidRPr="00F7245E">
        <w:rPr>
          <w:rFonts w:cs="Times New Roman"/>
        </w:rPr>
        <w:t>nap</w:t>
      </w:r>
      <w:r w:rsidRPr="00F7245E">
        <w:rPr>
          <w:rFonts w:cs="Times New Roman"/>
        </w:rPr>
        <w:t>onta kétszer 5</w:t>
      </w:r>
      <w:r w:rsidR="004C106B" w:rsidRPr="00F7245E">
        <w:rPr>
          <w:rFonts w:cs="Times New Roman"/>
        </w:rPr>
        <w:t> mg</w:t>
      </w:r>
      <w:r w:rsidRPr="00F7245E">
        <w:rPr>
          <w:rFonts w:cs="Times New Roman"/>
        </w:rPr>
        <w:t xml:space="preserve"> (vagy kiválasztott</w:t>
      </w:r>
      <w:r w:rsidR="00B40417" w:rsidRPr="00F7245E">
        <w:rPr>
          <w:rFonts w:cs="Times New Roman"/>
        </w:rPr>
        <w:t xml:space="preserve"> </w:t>
      </w:r>
      <w:r w:rsidR="00A1416D" w:rsidRPr="00F7245E">
        <w:rPr>
          <w:rFonts w:cs="Times New Roman"/>
        </w:rPr>
        <w:t>beteg</w:t>
      </w:r>
      <w:r w:rsidRPr="00F7245E">
        <w:rPr>
          <w:rFonts w:cs="Times New Roman"/>
        </w:rPr>
        <w:t>eknél</w:t>
      </w:r>
      <w:r w:rsidR="00B40417" w:rsidRPr="00F7245E">
        <w:rPr>
          <w:rFonts w:cs="Times New Roman"/>
        </w:rPr>
        <w:t xml:space="preserve"> </w:t>
      </w:r>
      <w:r w:rsidR="003B67D5" w:rsidRPr="00F7245E">
        <w:rPr>
          <w:rFonts w:cs="Times New Roman"/>
        </w:rPr>
        <w:t>nap</w:t>
      </w:r>
      <w:r w:rsidRPr="00F7245E">
        <w:rPr>
          <w:rFonts w:cs="Times New Roman"/>
        </w:rPr>
        <w:t>onta kétszer 2,5</w:t>
      </w:r>
      <w:r w:rsidR="004C106B" w:rsidRPr="00F7245E">
        <w:rPr>
          <w:rFonts w:cs="Times New Roman"/>
        </w:rPr>
        <w:t> mg</w:t>
      </w:r>
      <w:r w:rsidRPr="00F7245E">
        <w:rPr>
          <w:rFonts w:cs="Times New Roman"/>
        </w:rPr>
        <w:t xml:space="preserve"> [4,7%], lásd 4.2</w:t>
      </w:r>
      <w:r w:rsidR="004C106B" w:rsidRPr="00F7245E">
        <w:rPr>
          <w:rFonts w:cs="Times New Roman"/>
        </w:rPr>
        <w:t> pont</w:t>
      </w:r>
      <w:r w:rsidRPr="00F7245E">
        <w:rPr>
          <w:rFonts w:cs="Times New Roman"/>
        </w:rPr>
        <w:t xml:space="preserve">) </w:t>
      </w:r>
      <w:r w:rsidR="002C0B56" w:rsidRPr="00F7245E">
        <w:rPr>
          <w:rFonts w:cs="Times New Roman"/>
        </w:rPr>
        <w:t>apixabán</w:t>
      </w:r>
      <w:r w:rsidRPr="00F7245E">
        <w:rPr>
          <w:rFonts w:cs="Times New Roman"/>
        </w:rPr>
        <w:t>nal vagy warfarinnal (cél INR</w:t>
      </w:r>
      <w:r w:rsidR="00B40417" w:rsidRPr="00F7245E">
        <w:rPr>
          <w:rFonts w:cs="Times New Roman"/>
        </w:rPr>
        <w:noBreakHyphen/>
      </w:r>
      <w:r w:rsidRPr="00F7245E">
        <w:rPr>
          <w:rFonts w:cs="Times New Roman"/>
        </w:rPr>
        <w:t>tartomány 2,0</w:t>
      </w:r>
      <w:r w:rsidR="00403AAD" w:rsidRPr="00F7245E">
        <w:rPr>
          <w:rFonts w:cs="Times New Roman"/>
        </w:rPr>
        <w:noBreakHyphen/>
      </w:r>
      <w:r w:rsidRPr="00F7245E">
        <w:rPr>
          <w:rFonts w:cs="Times New Roman"/>
        </w:rPr>
        <w:t>3,0) végzett kettős</w:t>
      </w:r>
      <w:r w:rsidR="00B40417" w:rsidRPr="00F7245E">
        <w:rPr>
          <w:rFonts w:cs="Times New Roman"/>
        </w:rPr>
        <w:noBreakHyphen/>
      </w:r>
      <w:r w:rsidRPr="00F7245E">
        <w:rPr>
          <w:rFonts w:cs="Times New Roman"/>
        </w:rPr>
        <w:t>vak kezelésre, é</w:t>
      </w:r>
      <w:r w:rsidR="00403AAD" w:rsidRPr="00F7245E">
        <w:rPr>
          <w:rFonts w:cs="Times New Roman"/>
        </w:rPr>
        <w:t xml:space="preserve">s a betegek a </w:t>
      </w:r>
      <w:r w:rsidR="00F66BCD">
        <w:rPr>
          <w:rFonts w:cs="Times New Roman"/>
        </w:rPr>
        <w:t xml:space="preserve">vizsgált hatóanyagot </w:t>
      </w:r>
      <w:r w:rsidRPr="00F7245E">
        <w:rPr>
          <w:rFonts w:cs="Times New Roman"/>
        </w:rPr>
        <w:t>átlagosan 20</w:t>
      </w:r>
      <w:r w:rsidR="00403AAD" w:rsidRPr="00F7245E">
        <w:rPr>
          <w:rFonts w:cs="Times New Roman"/>
        </w:rPr>
        <w:t> </w:t>
      </w:r>
      <w:r w:rsidRPr="00F7245E">
        <w:rPr>
          <w:rFonts w:cs="Times New Roman"/>
        </w:rPr>
        <w:t>hónapig kapták. Az átlagéletkor 69,1</w:t>
      </w:r>
      <w:r w:rsidR="00045408" w:rsidRPr="00F7245E">
        <w:rPr>
          <w:rFonts w:cs="Times New Roman"/>
        </w:rPr>
        <w:t> év</w:t>
      </w:r>
      <w:r w:rsidRPr="00F7245E">
        <w:rPr>
          <w:rFonts w:cs="Times New Roman"/>
        </w:rPr>
        <w:t>, az átlagos CHADS</w:t>
      </w:r>
      <w:r w:rsidR="00B40417" w:rsidRPr="00F7245E">
        <w:rPr>
          <w:rFonts w:cs="Times New Roman"/>
          <w:vertAlign w:val="subscript"/>
        </w:rPr>
        <w:t>2</w:t>
      </w:r>
      <w:r w:rsidR="00B40417" w:rsidRPr="00F7245E">
        <w:rPr>
          <w:rFonts w:cs="Times New Roman"/>
        </w:rPr>
        <w:t> pontszám</w:t>
      </w:r>
      <w:r w:rsidRPr="00F7245E">
        <w:rPr>
          <w:rFonts w:cs="Times New Roman"/>
        </w:rPr>
        <w:t xml:space="preserve"> </w:t>
      </w:r>
      <w:r w:rsidR="00B40417" w:rsidRPr="00F7245E">
        <w:rPr>
          <w:rFonts w:cs="Times New Roman"/>
        </w:rPr>
        <w:t>2,1 volt</w:t>
      </w:r>
      <w:r w:rsidRPr="00F7245E">
        <w:rPr>
          <w:rFonts w:cs="Times New Roman"/>
        </w:rPr>
        <w:t xml:space="preserve"> és a</w:t>
      </w:r>
      <w:r w:rsidR="00403AAD" w:rsidRPr="00F7245E">
        <w:rPr>
          <w:rFonts w:cs="Times New Roman"/>
        </w:rPr>
        <w:t xml:space="preserve"> </w:t>
      </w:r>
      <w:r w:rsidR="00A1416D" w:rsidRPr="00F7245E">
        <w:rPr>
          <w:rFonts w:cs="Times New Roman"/>
        </w:rPr>
        <w:t>beteg</w:t>
      </w:r>
      <w:r w:rsidRPr="00F7245E">
        <w:rPr>
          <w:rFonts w:cs="Times New Roman"/>
        </w:rPr>
        <w:t>ek 18,9%</w:t>
      </w:r>
      <w:r w:rsidR="00B40417" w:rsidRPr="00F7245E">
        <w:rPr>
          <w:rFonts w:cs="Times New Roman"/>
        </w:rPr>
        <w:noBreakHyphen/>
      </w:r>
      <w:r w:rsidRPr="00F7245E">
        <w:rPr>
          <w:rFonts w:cs="Times New Roman"/>
        </w:rPr>
        <w:t xml:space="preserve">ának volt korábban </w:t>
      </w:r>
      <w:r w:rsidR="005346CC" w:rsidRPr="00F7245E">
        <w:rPr>
          <w:rFonts w:cs="Times New Roman"/>
        </w:rPr>
        <w:t>str</w:t>
      </w:r>
      <w:r w:rsidR="00517956" w:rsidRPr="00F7245E">
        <w:rPr>
          <w:rFonts w:cs="Times New Roman"/>
        </w:rPr>
        <w:t>oke</w:t>
      </w:r>
      <w:r w:rsidR="00517956" w:rsidRPr="00F7245E">
        <w:rPr>
          <w:rFonts w:cs="Times New Roman"/>
        </w:rPr>
        <w:noBreakHyphen/>
      </w:r>
      <w:r w:rsidR="005346CC" w:rsidRPr="00F7245E">
        <w:rPr>
          <w:rFonts w:cs="Times New Roman"/>
        </w:rPr>
        <w:t>ja</w:t>
      </w:r>
      <w:r w:rsidRPr="00F7245E">
        <w:rPr>
          <w:rFonts w:cs="Times New Roman"/>
        </w:rPr>
        <w:t xml:space="preserve"> vagy TIA</w:t>
      </w:r>
      <w:r w:rsidR="00517956" w:rsidRPr="00F7245E">
        <w:rPr>
          <w:rFonts w:cs="Times New Roman"/>
        </w:rPr>
        <w:noBreakHyphen/>
      </w:r>
      <w:r w:rsidRPr="00F7245E">
        <w:rPr>
          <w:rFonts w:cs="Times New Roman"/>
        </w:rPr>
        <w:t>ja.</w:t>
      </w:r>
    </w:p>
    <w:p w14:paraId="08390907" w14:textId="77777777" w:rsidR="00B62AE4" w:rsidRPr="00F7245E" w:rsidRDefault="00B62AE4" w:rsidP="00A21724">
      <w:pPr>
        <w:pStyle w:val="Nincstrkz"/>
        <w:rPr>
          <w:rFonts w:cs="Times New Roman"/>
        </w:rPr>
      </w:pPr>
    </w:p>
    <w:p w14:paraId="3F139858" w14:textId="43ACEEAA" w:rsidR="00B62AE4" w:rsidRPr="00F7245E" w:rsidRDefault="00B62AE4" w:rsidP="00A21724">
      <w:pPr>
        <w:pStyle w:val="Nincstrkz"/>
        <w:rPr>
          <w:rFonts w:cs="Times New Roman"/>
        </w:rPr>
      </w:pPr>
      <w:r w:rsidRPr="00F7245E">
        <w:rPr>
          <w:rFonts w:cs="Times New Roman"/>
        </w:rPr>
        <w:t xml:space="preserve">A vizsgálatban az </w:t>
      </w:r>
      <w:r w:rsidR="00CA2919" w:rsidRPr="00F7245E">
        <w:rPr>
          <w:rFonts w:cs="Times New Roman"/>
        </w:rPr>
        <w:t xml:space="preserve">apixabán </w:t>
      </w:r>
      <w:r w:rsidRPr="00F7245E">
        <w:rPr>
          <w:rFonts w:cs="Times New Roman"/>
        </w:rPr>
        <w:t xml:space="preserve">a warfarinhoz képest statisztikailag szignifikánsan jobb volt a stroke </w:t>
      </w:r>
      <w:r w:rsidR="004506AF" w:rsidRPr="00F7245E">
        <w:rPr>
          <w:rFonts w:cs="Times New Roman"/>
        </w:rPr>
        <w:t xml:space="preserve">prevenció </w:t>
      </w:r>
      <w:r w:rsidRPr="00F7245E">
        <w:rPr>
          <w:rFonts w:cs="Times New Roman"/>
        </w:rPr>
        <w:t>(haemorrhagiás vagy ischaemiás) és szisztémás embolizáció elsődleges végpontban (lásd</w:t>
      </w:r>
      <w:r w:rsidR="00C77F20" w:rsidRPr="00F7245E">
        <w:rPr>
          <w:rFonts w:cs="Times New Roman"/>
        </w:rPr>
        <w:t xml:space="preserve"> </w:t>
      </w:r>
      <w:r w:rsidR="001F3456" w:rsidRPr="00F7245E">
        <w:rPr>
          <w:rFonts w:cs="Times New Roman"/>
        </w:rPr>
        <w:t>7</w:t>
      </w:r>
      <w:r w:rsidR="00297A29" w:rsidRPr="00F7245E">
        <w:rPr>
          <w:rFonts w:cs="Times New Roman"/>
        </w:rPr>
        <w:t>.</w:t>
      </w:r>
      <w:r w:rsidR="00EC1580" w:rsidRPr="00F7245E">
        <w:rPr>
          <w:rFonts w:cs="Times New Roman"/>
        </w:rPr>
        <w:t> </w:t>
      </w:r>
      <w:r w:rsidRPr="00F7245E">
        <w:rPr>
          <w:rFonts w:cs="Times New Roman"/>
        </w:rPr>
        <w:t>táblázat).</w:t>
      </w:r>
    </w:p>
    <w:p w14:paraId="2CCBBB1B" w14:textId="77777777" w:rsidR="001F3456" w:rsidRPr="00F7245E" w:rsidRDefault="001F3456" w:rsidP="00A21724">
      <w:pPr>
        <w:pStyle w:val="Nincstrkz"/>
        <w:rPr>
          <w:rFonts w:cs="Times New Roman"/>
        </w:rPr>
      </w:pPr>
    </w:p>
    <w:p w14:paraId="3DCBA321" w14:textId="77777777" w:rsidR="001F3456" w:rsidRPr="00F7245E" w:rsidRDefault="001F3456" w:rsidP="00A21724">
      <w:pPr>
        <w:pStyle w:val="Nincstrkz"/>
        <w:rPr>
          <w:rFonts w:cs="Times New Roman"/>
        </w:rPr>
      </w:pPr>
    </w:p>
    <w:p w14:paraId="6DC84746" w14:textId="77777777" w:rsidR="00B62AE4" w:rsidRPr="00F7245E" w:rsidRDefault="00B62AE4" w:rsidP="00A21724">
      <w:pPr>
        <w:pStyle w:val="Nincstrkz"/>
        <w:rPr>
          <w:rFonts w:cs="Times New Roman"/>
        </w:rPr>
      </w:pPr>
    </w:p>
    <w:p w14:paraId="37634A6E" w14:textId="5C4CCA7F" w:rsidR="00B62AE4" w:rsidRPr="00F7245E" w:rsidRDefault="001F3456" w:rsidP="00A21724">
      <w:pPr>
        <w:pStyle w:val="Nincstrkz"/>
        <w:rPr>
          <w:rFonts w:cs="Times New Roman"/>
          <w:b/>
          <w:bCs/>
        </w:rPr>
      </w:pPr>
      <w:r w:rsidRPr="00F7245E">
        <w:rPr>
          <w:rFonts w:cs="Times New Roman"/>
          <w:b/>
          <w:bCs/>
          <w:w w:val="105"/>
        </w:rPr>
        <w:t>7</w:t>
      </w:r>
      <w:r w:rsidR="0072037C" w:rsidRPr="00F7245E">
        <w:rPr>
          <w:rFonts w:cs="Times New Roman"/>
          <w:b/>
          <w:bCs/>
          <w:w w:val="105"/>
        </w:rPr>
        <w:t>. T</w:t>
      </w:r>
      <w:r w:rsidR="00B62AE4" w:rsidRPr="00F7245E">
        <w:rPr>
          <w:rFonts w:cs="Times New Roman"/>
          <w:b/>
          <w:bCs/>
          <w:w w:val="105"/>
        </w:rPr>
        <w:t>áblázat: Hatásossági végpontok pitvarfibrillá</w:t>
      </w:r>
      <w:r w:rsidR="007622B9" w:rsidRPr="00F7245E">
        <w:rPr>
          <w:rFonts w:cs="Times New Roman"/>
          <w:b/>
          <w:bCs/>
          <w:w w:val="105"/>
        </w:rPr>
        <w:t>ci</w:t>
      </w:r>
      <w:r w:rsidR="00B62AE4" w:rsidRPr="00F7245E">
        <w:rPr>
          <w:rFonts w:cs="Times New Roman"/>
          <w:b/>
          <w:bCs/>
          <w:w w:val="105"/>
        </w:rPr>
        <w:t>ó</w:t>
      </w:r>
      <w:r w:rsidR="007622B9" w:rsidRPr="00F7245E">
        <w:rPr>
          <w:rFonts w:cs="Times New Roman"/>
          <w:b/>
          <w:bCs/>
          <w:w w:val="105"/>
        </w:rPr>
        <w:t>s</w:t>
      </w:r>
      <w:r w:rsidR="005A7AEB" w:rsidRPr="00F7245E">
        <w:rPr>
          <w:rFonts w:cs="Times New Roman"/>
          <w:b/>
          <w:bCs/>
          <w:w w:val="105"/>
        </w:rPr>
        <w:t xml:space="preserve"> </w:t>
      </w:r>
      <w:r w:rsidR="00A1416D" w:rsidRPr="00F7245E">
        <w:rPr>
          <w:rFonts w:cs="Times New Roman"/>
          <w:b/>
          <w:bCs/>
          <w:w w:val="105"/>
        </w:rPr>
        <w:t>beteg</w:t>
      </w:r>
      <w:r w:rsidR="00B62AE4" w:rsidRPr="00F7245E">
        <w:rPr>
          <w:rFonts w:cs="Times New Roman"/>
          <w:b/>
          <w:bCs/>
          <w:w w:val="105"/>
        </w:rPr>
        <w:t>eknél az</w:t>
      </w:r>
      <w:r w:rsidR="00B62AE4" w:rsidRPr="00F7245E">
        <w:rPr>
          <w:rFonts w:cs="Times New Roman"/>
          <w:b/>
          <w:bCs/>
          <w:spacing w:val="-39"/>
          <w:w w:val="105"/>
        </w:rPr>
        <w:t xml:space="preserve"> </w:t>
      </w:r>
      <w:r w:rsidR="00B62AE4" w:rsidRPr="00F7245E">
        <w:rPr>
          <w:rFonts w:cs="Times New Roman"/>
          <w:b/>
          <w:bCs/>
          <w:w w:val="105"/>
        </w:rPr>
        <w:t>ARISTOTLE-vizsgálatban</w:t>
      </w:r>
    </w:p>
    <w:tbl>
      <w:tblPr>
        <w:tblStyle w:val="TableNormal1"/>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44"/>
        <w:gridCol w:w="1268"/>
        <w:gridCol w:w="1425"/>
        <w:gridCol w:w="1701"/>
        <w:gridCol w:w="1276"/>
      </w:tblGrid>
      <w:tr w:rsidR="00B62AE4" w:rsidRPr="00F7245E" w14:paraId="00C74979" w14:textId="77777777" w:rsidTr="0072037C">
        <w:trPr>
          <w:trHeight w:val="686"/>
        </w:trPr>
        <w:tc>
          <w:tcPr>
            <w:tcW w:w="3544" w:type="dxa"/>
          </w:tcPr>
          <w:p w14:paraId="772B3D7E" w14:textId="77777777" w:rsidR="00B62AE4" w:rsidRPr="00F7245E" w:rsidRDefault="00B62AE4" w:rsidP="00A21724">
            <w:pPr>
              <w:pStyle w:val="TableParagraph"/>
              <w:keepNext/>
              <w:widowControl/>
              <w:rPr>
                <w:lang w:val="hu-HU"/>
              </w:rPr>
            </w:pPr>
          </w:p>
        </w:tc>
        <w:tc>
          <w:tcPr>
            <w:tcW w:w="1268" w:type="dxa"/>
          </w:tcPr>
          <w:p w14:paraId="54962E9B" w14:textId="4F53CD5C" w:rsidR="005346CC" w:rsidRPr="00F7245E" w:rsidRDefault="00CA2919" w:rsidP="00A21724">
            <w:pPr>
              <w:pStyle w:val="TableParagraph"/>
              <w:keepNext/>
              <w:widowControl/>
              <w:ind w:left="139" w:hanging="39"/>
              <w:jc w:val="center"/>
              <w:rPr>
                <w:b/>
                <w:lang w:val="hu-HU"/>
              </w:rPr>
            </w:pPr>
            <w:r w:rsidRPr="00F7245E">
              <w:rPr>
                <w:b/>
              </w:rPr>
              <w:t xml:space="preserve">Apixabán </w:t>
            </w:r>
          </w:p>
          <w:p w14:paraId="50E2FB51" w14:textId="2325AC55" w:rsidR="00B62AE4" w:rsidRPr="00F7245E" w:rsidRDefault="00B62AE4" w:rsidP="00A21724">
            <w:pPr>
              <w:pStyle w:val="TableParagraph"/>
              <w:keepNext/>
              <w:widowControl/>
              <w:ind w:left="139" w:hanging="39"/>
              <w:jc w:val="center"/>
              <w:rPr>
                <w:b/>
                <w:lang w:val="hu-HU"/>
              </w:rPr>
            </w:pPr>
            <w:r w:rsidRPr="00F7245E">
              <w:rPr>
                <w:b/>
                <w:w w:val="105"/>
              </w:rPr>
              <w:t>N</w:t>
            </w:r>
            <w:r w:rsidR="004506AF" w:rsidRPr="00F7245E">
              <w:rPr>
                <w:b/>
                <w:w w:val="105"/>
              </w:rPr>
              <w:t> </w:t>
            </w:r>
            <w:r w:rsidRPr="00F7245E">
              <w:rPr>
                <w:b/>
                <w:w w:val="105"/>
              </w:rPr>
              <w:t>=</w:t>
            </w:r>
            <w:r w:rsidR="004506AF" w:rsidRPr="00F7245E">
              <w:rPr>
                <w:b/>
                <w:w w:val="105"/>
              </w:rPr>
              <w:t> </w:t>
            </w:r>
            <w:r w:rsidRPr="00F7245E">
              <w:rPr>
                <w:b/>
                <w:w w:val="105"/>
              </w:rPr>
              <w:t>9120</w:t>
            </w:r>
          </w:p>
          <w:p w14:paraId="2ED025AC" w14:textId="77777777" w:rsidR="00B62AE4" w:rsidRPr="00F7245E" w:rsidRDefault="00B62AE4" w:rsidP="00A21724">
            <w:pPr>
              <w:pStyle w:val="TableParagraph"/>
              <w:keepNext/>
              <w:widowControl/>
              <w:ind w:left="150"/>
              <w:jc w:val="center"/>
              <w:rPr>
                <w:b/>
                <w:lang w:val="hu-HU"/>
              </w:rPr>
            </w:pPr>
            <w:r w:rsidRPr="00F7245E">
              <w:rPr>
                <w:b/>
                <w:w w:val="105"/>
              </w:rPr>
              <w:t>n</w:t>
            </w:r>
            <w:r w:rsidRPr="00F7245E">
              <w:rPr>
                <w:b/>
                <w:spacing w:val="-16"/>
                <w:w w:val="105"/>
              </w:rPr>
              <w:t xml:space="preserve"> </w:t>
            </w:r>
            <w:r w:rsidRPr="00F7245E">
              <w:rPr>
                <w:b/>
                <w:w w:val="105"/>
              </w:rPr>
              <w:t>(%/év)</w:t>
            </w:r>
          </w:p>
        </w:tc>
        <w:tc>
          <w:tcPr>
            <w:tcW w:w="1425" w:type="dxa"/>
          </w:tcPr>
          <w:p w14:paraId="721396CA" w14:textId="77777777" w:rsidR="005346CC" w:rsidRPr="00F7245E" w:rsidRDefault="00B62AE4" w:rsidP="00A21724">
            <w:pPr>
              <w:pStyle w:val="TableParagraph"/>
              <w:keepNext/>
              <w:widowControl/>
              <w:ind w:left="137" w:right="11" w:hanging="26"/>
              <w:jc w:val="center"/>
              <w:rPr>
                <w:b/>
                <w:spacing w:val="-1"/>
                <w:lang w:val="hu-HU"/>
              </w:rPr>
            </w:pPr>
            <w:r w:rsidRPr="00F7245E">
              <w:rPr>
                <w:b/>
                <w:spacing w:val="-1"/>
              </w:rPr>
              <w:t xml:space="preserve">Warfarin </w:t>
            </w:r>
          </w:p>
          <w:p w14:paraId="024209C2" w14:textId="5F002E93" w:rsidR="00B62AE4" w:rsidRPr="00F7245E" w:rsidRDefault="00B62AE4" w:rsidP="00A21724">
            <w:pPr>
              <w:pStyle w:val="TableParagraph"/>
              <w:keepNext/>
              <w:widowControl/>
              <w:ind w:left="137" w:right="11" w:hanging="26"/>
              <w:jc w:val="center"/>
              <w:rPr>
                <w:b/>
                <w:lang w:val="hu-HU"/>
              </w:rPr>
            </w:pPr>
            <w:r w:rsidRPr="00F7245E">
              <w:rPr>
                <w:b/>
                <w:w w:val="105"/>
              </w:rPr>
              <w:t>N</w:t>
            </w:r>
            <w:r w:rsidR="004506AF" w:rsidRPr="00F7245E">
              <w:rPr>
                <w:b/>
                <w:w w:val="105"/>
              </w:rPr>
              <w:t> </w:t>
            </w:r>
            <w:r w:rsidRPr="00F7245E">
              <w:rPr>
                <w:b/>
                <w:w w:val="105"/>
              </w:rPr>
              <w:t>=</w:t>
            </w:r>
            <w:r w:rsidR="004506AF" w:rsidRPr="00F7245E">
              <w:rPr>
                <w:b/>
                <w:w w:val="105"/>
              </w:rPr>
              <w:t> </w:t>
            </w:r>
            <w:r w:rsidRPr="00F7245E">
              <w:rPr>
                <w:b/>
                <w:w w:val="105"/>
              </w:rPr>
              <w:t>9081</w:t>
            </w:r>
          </w:p>
          <w:p w14:paraId="3A7D1BE3" w14:textId="77777777" w:rsidR="00B62AE4" w:rsidRPr="00F7245E" w:rsidRDefault="00B62AE4" w:rsidP="00A21724">
            <w:pPr>
              <w:pStyle w:val="TableParagraph"/>
              <w:keepNext/>
              <w:widowControl/>
              <w:ind w:left="148"/>
              <w:jc w:val="center"/>
              <w:rPr>
                <w:b/>
                <w:lang w:val="hu-HU"/>
              </w:rPr>
            </w:pPr>
            <w:r w:rsidRPr="00F7245E">
              <w:rPr>
                <w:b/>
                <w:w w:val="105"/>
              </w:rPr>
              <w:t>n</w:t>
            </w:r>
            <w:r w:rsidRPr="00F7245E">
              <w:rPr>
                <w:b/>
                <w:spacing w:val="-14"/>
                <w:w w:val="105"/>
              </w:rPr>
              <w:t xml:space="preserve"> </w:t>
            </w:r>
            <w:r w:rsidRPr="00F7245E">
              <w:rPr>
                <w:b/>
                <w:w w:val="105"/>
              </w:rPr>
              <w:t>(%/év)</w:t>
            </w:r>
          </w:p>
        </w:tc>
        <w:tc>
          <w:tcPr>
            <w:tcW w:w="1701" w:type="dxa"/>
          </w:tcPr>
          <w:p w14:paraId="6CA3A716" w14:textId="77777777" w:rsidR="00B62AE4" w:rsidRPr="00F7245E" w:rsidRDefault="00B62AE4" w:rsidP="00A21724">
            <w:pPr>
              <w:pStyle w:val="TableParagraph"/>
              <w:keepNext/>
              <w:widowControl/>
              <w:ind w:left="247" w:right="85" w:hanging="110"/>
              <w:jc w:val="center"/>
              <w:rPr>
                <w:b/>
                <w:lang w:val="hu-HU"/>
              </w:rPr>
            </w:pPr>
            <w:r w:rsidRPr="00F7245E">
              <w:rPr>
                <w:b/>
                <w:w w:val="105"/>
              </w:rPr>
              <w:t>Relatív hazárd (95%-os CI)</w:t>
            </w:r>
          </w:p>
        </w:tc>
        <w:tc>
          <w:tcPr>
            <w:tcW w:w="1276" w:type="dxa"/>
          </w:tcPr>
          <w:p w14:paraId="0F1A58A4" w14:textId="77777777" w:rsidR="00B62AE4" w:rsidRPr="00F7245E" w:rsidRDefault="00B62AE4" w:rsidP="00A21724">
            <w:pPr>
              <w:pStyle w:val="TableParagraph"/>
              <w:keepNext/>
              <w:widowControl/>
              <w:ind w:left="74" w:right="70"/>
              <w:jc w:val="center"/>
              <w:rPr>
                <w:b/>
                <w:lang w:val="hu-HU"/>
              </w:rPr>
            </w:pPr>
            <w:r w:rsidRPr="00F7245E">
              <w:rPr>
                <w:b/>
                <w:w w:val="105"/>
              </w:rPr>
              <w:t>p-érték</w:t>
            </w:r>
          </w:p>
        </w:tc>
      </w:tr>
      <w:tr w:rsidR="00B62AE4" w:rsidRPr="00F7245E" w14:paraId="5CF6254F" w14:textId="77777777" w:rsidTr="0072037C">
        <w:trPr>
          <w:trHeight w:val="229"/>
        </w:trPr>
        <w:tc>
          <w:tcPr>
            <w:tcW w:w="3544" w:type="dxa"/>
            <w:vAlign w:val="center"/>
          </w:tcPr>
          <w:p w14:paraId="785A5BC7" w14:textId="77777777" w:rsidR="00B62AE4" w:rsidRPr="00F7245E" w:rsidRDefault="00B62AE4" w:rsidP="00A21724">
            <w:pPr>
              <w:pStyle w:val="TableParagraph"/>
              <w:ind w:left="100"/>
              <w:rPr>
                <w:lang w:val="hu-HU"/>
              </w:rPr>
            </w:pPr>
            <w:r w:rsidRPr="00F7245E">
              <w:rPr>
                <w:w w:val="105"/>
              </w:rPr>
              <w:t>Stroke vagy szisztémás embolizáció</w:t>
            </w:r>
          </w:p>
        </w:tc>
        <w:tc>
          <w:tcPr>
            <w:tcW w:w="1268" w:type="dxa"/>
            <w:vAlign w:val="center"/>
          </w:tcPr>
          <w:p w14:paraId="3D7FE3AB" w14:textId="77777777" w:rsidR="00B62AE4" w:rsidRPr="00F7245E" w:rsidRDefault="00B62AE4" w:rsidP="00A21724">
            <w:pPr>
              <w:pStyle w:val="TableParagraph"/>
              <w:ind w:right="94"/>
              <w:jc w:val="center"/>
              <w:rPr>
                <w:lang w:val="hu-HU"/>
              </w:rPr>
            </w:pPr>
            <w:r w:rsidRPr="00F7245E">
              <w:rPr>
                <w:w w:val="105"/>
              </w:rPr>
              <w:t>212 (1,27)</w:t>
            </w:r>
          </w:p>
        </w:tc>
        <w:tc>
          <w:tcPr>
            <w:tcW w:w="1425" w:type="dxa"/>
            <w:vAlign w:val="center"/>
          </w:tcPr>
          <w:p w14:paraId="6E4DFE98" w14:textId="77777777" w:rsidR="00B62AE4" w:rsidRPr="00F7245E" w:rsidRDefault="00B62AE4" w:rsidP="00A21724">
            <w:pPr>
              <w:pStyle w:val="TableParagraph"/>
              <w:ind w:left="71" w:right="69"/>
              <w:jc w:val="center"/>
              <w:rPr>
                <w:lang w:val="hu-HU"/>
              </w:rPr>
            </w:pPr>
            <w:r w:rsidRPr="00F7245E">
              <w:rPr>
                <w:w w:val="105"/>
              </w:rPr>
              <w:t>265 (1,60)</w:t>
            </w:r>
          </w:p>
        </w:tc>
        <w:tc>
          <w:tcPr>
            <w:tcW w:w="1701" w:type="dxa"/>
            <w:vAlign w:val="center"/>
          </w:tcPr>
          <w:p w14:paraId="412D0781" w14:textId="77777777" w:rsidR="00B62AE4" w:rsidRPr="00F7245E" w:rsidRDefault="00B62AE4" w:rsidP="00A21724">
            <w:pPr>
              <w:pStyle w:val="TableParagraph"/>
              <w:ind w:left="98"/>
              <w:jc w:val="center"/>
              <w:rPr>
                <w:lang w:val="hu-HU"/>
              </w:rPr>
            </w:pPr>
            <w:r w:rsidRPr="00F7245E">
              <w:rPr>
                <w:w w:val="105"/>
              </w:rPr>
              <w:t>0,79 (0,66; 0,95)</w:t>
            </w:r>
          </w:p>
        </w:tc>
        <w:tc>
          <w:tcPr>
            <w:tcW w:w="1276" w:type="dxa"/>
            <w:vAlign w:val="center"/>
          </w:tcPr>
          <w:p w14:paraId="7785A41F" w14:textId="77777777" w:rsidR="00B62AE4" w:rsidRPr="00F7245E" w:rsidRDefault="00B62AE4" w:rsidP="00A21724">
            <w:pPr>
              <w:pStyle w:val="TableParagraph"/>
              <w:ind w:left="74" w:right="68"/>
              <w:jc w:val="center"/>
              <w:rPr>
                <w:lang w:val="hu-HU"/>
              </w:rPr>
            </w:pPr>
            <w:r w:rsidRPr="00F7245E">
              <w:rPr>
                <w:w w:val="105"/>
              </w:rPr>
              <w:t>0,0114</w:t>
            </w:r>
          </w:p>
        </w:tc>
      </w:tr>
      <w:tr w:rsidR="00B62AE4" w:rsidRPr="00F7245E" w14:paraId="27A75B06" w14:textId="77777777" w:rsidTr="0072037C">
        <w:trPr>
          <w:trHeight w:val="360"/>
        </w:trPr>
        <w:tc>
          <w:tcPr>
            <w:tcW w:w="3544" w:type="dxa"/>
            <w:vAlign w:val="center"/>
          </w:tcPr>
          <w:p w14:paraId="6A021ED7" w14:textId="77777777" w:rsidR="00B62AE4" w:rsidRPr="00F7245E" w:rsidRDefault="00B62AE4" w:rsidP="00A21724">
            <w:pPr>
              <w:pStyle w:val="TableParagraph"/>
              <w:ind w:left="261"/>
              <w:rPr>
                <w:lang w:val="hu-HU"/>
              </w:rPr>
            </w:pPr>
            <w:r w:rsidRPr="00F7245E">
              <w:rPr>
                <w:w w:val="105"/>
              </w:rPr>
              <w:t>Stroke</w:t>
            </w:r>
          </w:p>
        </w:tc>
        <w:tc>
          <w:tcPr>
            <w:tcW w:w="1268" w:type="dxa"/>
          </w:tcPr>
          <w:p w14:paraId="6E660175" w14:textId="77777777" w:rsidR="00B62AE4" w:rsidRPr="00F7245E" w:rsidRDefault="00B62AE4" w:rsidP="00A21724">
            <w:pPr>
              <w:pStyle w:val="TableParagraph"/>
              <w:rPr>
                <w:lang w:val="hu-HU"/>
              </w:rPr>
            </w:pPr>
          </w:p>
        </w:tc>
        <w:tc>
          <w:tcPr>
            <w:tcW w:w="1425" w:type="dxa"/>
          </w:tcPr>
          <w:p w14:paraId="5A52E029" w14:textId="77777777" w:rsidR="00B62AE4" w:rsidRPr="00F7245E" w:rsidRDefault="00B62AE4" w:rsidP="00A21724">
            <w:pPr>
              <w:pStyle w:val="TableParagraph"/>
              <w:rPr>
                <w:lang w:val="hu-HU"/>
              </w:rPr>
            </w:pPr>
          </w:p>
        </w:tc>
        <w:tc>
          <w:tcPr>
            <w:tcW w:w="1701" w:type="dxa"/>
          </w:tcPr>
          <w:p w14:paraId="386E6C12" w14:textId="77777777" w:rsidR="00B62AE4" w:rsidRPr="00F7245E" w:rsidRDefault="00B62AE4" w:rsidP="00A21724">
            <w:pPr>
              <w:pStyle w:val="TableParagraph"/>
              <w:rPr>
                <w:lang w:val="hu-HU"/>
              </w:rPr>
            </w:pPr>
          </w:p>
        </w:tc>
        <w:tc>
          <w:tcPr>
            <w:tcW w:w="1276" w:type="dxa"/>
          </w:tcPr>
          <w:p w14:paraId="7F34CCF2" w14:textId="77777777" w:rsidR="00B62AE4" w:rsidRPr="00F7245E" w:rsidRDefault="00B62AE4" w:rsidP="00A21724">
            <w:pPr>
              <w:pStyle w:val="TableParagraph"/>
              <w:rPr>
                <w:lang w:val="hu-HU"/>
              </w:rPr>
            </w:pPr>
          </w:p>
        </w:tc>
      </w:tr>
      <w:tr w:rsidR="00B62AE4" w:rsidRPr="00F7245E" w14:paraId="77BD03A7" w14:textId="77777777" w:rsidTr="0072037C">
        <w:trPr>
          <w:trHeight w:val="519"/>
        </w:trPr>
        <w:tc>
          <w:tcPr>
            <w:tcW w:w="3544" w:type="dxa"/>
            <w:vAlign w:val="center"/>
          </w:tcPr>
          <w:p w14:paraId="5A5BB970" w14:textId="77777777" w:rsidR="00B62AE4" w:rsidRPr="00F7245E" w:rsidRDefault="00B62AE4" w:rsidP="00A21724">
            <w:pPr>
              <w:pStyle w:val="TableParagraph"/>
              <w:ind w:left="501"/>
              <w:rPr>
                <w:lang w:val="hu-HU"/>
              </w:rPr>
            </w:pPr>
            <w:r w:rsidRPr="00F7245E">
              <w:rPr>
                <w:w w:val="105"/>
              </w:rPr>
              <w:t>Ischaemiás vagy nem meghatározott</w:t>
            </w:r>
          </w:p>
        </w:tc>
        <w:tc>
          <w:tcPr>
            <w:tcW w:w="1268" w:type="dxa"/>
            <w:vAlign w:val="center"/>
          </w:tcPr>
          <w:p w14:paraId="0BE5E9BD" w14:textId="77777777" w:rsidR="00B62AE4" w:rsidRPr="00F7245E" w:rsidRDefault="00B62AE4" w:rsidP="00A21724">
            <w:pPr>
              <w:pStyle w:val="TableParagraph"/>
              <w:ind w:right="93"/>
              <w:jc w:val="center"/>
              <w:rPr>
                <w:lang w:val="hu-HU"/>
              </w:rPr>
            </w:pPr>
            <w:r w:rsidRPr="00F7245E">
              <w:rPr>
                <w:w w:val="105"/>
              </w:rPr>
              <w:t>162 (0,97)</w:t>
            </w:r>
          </w:p>
        </w:tc>
        <w:tc>
          <w:tcPr>
            <w:tcW w:w="1425" w:type="dxa"/>
            <w:vAlign w:val="center"/>
          </w:tcPr>
          <w:p w14:paraId="0E44A84B" w14:textId="77777777" w:rsidR="00B62AE4" w:rsidRPr="00F7245E" w:rsidRDefault="00B62AE4" w:rsidP="00A21724">
            <w:pPr>
              <w:pStyle w:val="TableParagraph"/>
              <w:ind w:left="72" w:right="68"/>
              <w:jc w:val="center"/>
              <w:rPr>
                <w:lang w:val="hu-HU"/>
              </w:rPr>
            </w:pPr>
            <w:r w:rsidRPr="00F7245E">
              <w:rPr>
                <w:w w:val="105"/>
              </w:rPr>
              <w:t>175 (1,05)</w:t>
            </w:r>
          </w:p>
        </w:tc>
        <w:tc>
          <w:tcPr>
            <w:tcW w:w="1701" w:type="dxa"/>
            <w:vAlign w:val="center"/>
          </w:tcPr>
          <w:p w14:paraId="7AF8F44C" w14:textId="77777777" w:rsidR="00B62AE4" w:rsidRPr="00F7245E" w:rsidRDefault="00B62AE4" w:rsidP="00A21724">
            <w:pPr>
              <w:pStyle w:val="TableParagraph"/>
              <w:ind w:left="99"/>
              <w:jc w:val="center"/>
              <w:rPr>
                <w:lang w:val="hu-HU"/>
              </w:rPr>
            </w:pPr>
            <w:r w:rsidRPr="00F7245E">
              <w:rPr>
                <w:w w:val="105"/>
              </w:rPr>
              <w:t>0,92 (0,74; 1,13)</w:t>
            </w:r>
          </w:p>
        </w:tc>
        <w:tc>
          <w:tcPr>
            <w:tcW w:w="1276" w:type="dxa"/>
          </w:tcPr>
          <w:p w14:paraId="3BC10A82" w14:textId="77777777" w:rsidR="00B62AE4" w:rsidRPr="00F7245E" w:rsidRDefault="00B62AE4" w:rsidP="00A21724">
            <w:pPr>
              <w:pStyle w:val="TableParagraph"/>
              <w:rPr>
                <w:lang w:val="hu-HU"/>
              </w:rPr>
            </w:pPr>
          </w:p>
        </w:tc>
      </w:tr>
      <w:tr w:rsidR="00B62AE4" w:rsidRPr="00F7245E" w14:paraId="20B9C198" w14:textId="77777777" w:rsidTr="0072037C">
        <w:trPr>
          <w:trHeight w:val="228"/>
        </w:trPr>
        <w:tc>
          <w:tcPr>
            <w:tcW w:w="3544" w:type="dxa"/>
            <w:vAlign w:val="center"/>
          </w:tcPr>
          <w:p w14:paraId="2942031F" w14:textId="77777777" w:rsidR="00B62AE4" w:rsidRPr="00F7245E" w:rsidRDefault="00B62AE4" w:rsidP="00A21724">
            <w:pPr>
              <w:pStyle w:val="TableParagraph"/>
              <w:ind w:left="501"/>
              <w:rPr>
                <w:lang w:val="hu-HU"/>
              </w:rPr>
            </w:pPr>
            <w:r w:rsidRPr="00F7245E">
              <w:rPr>
                <w:w w:val="105"/>
              </w:rPr>
              <w:t>Haemorrhagiás</w:t>
            </w:r>
          </w:p>
        </w:tc>
        <w:tc>
          <w:tcPr>
            <w:tcW w:w="1268" w:type="dxa"/>
            <w:vAlign w:val="center"/>
          </w:tcPr>
          <w:p w14:paraId="647E9400" w14:textId="77777777" w:rsidR="00B62AE4" w:rsidRPr="00F7245E" w:rsidRDefault="00B62AE4" w:rsidP="00A21724">
            <w:pPr>
              <w:pStyle w:val="TableParagraph"/>
              <w:ind w:right="146"/>
              <w:jc w:val="center"/>
              <w:rPr>
                <w:lang w:val="hu-HU"/>
              </w:rPr>
            </w:pPr>
            <w:r w:rsidRPr="00F7245E">
              <w:rPr>
                <w:w w:val="105"/>
              </w:rPr>
              <w:t>40 (0,24)</w:t>
            </w:r>
          </w:p>
        </w:tc>
        <w:tc>
          <w:tcPr>
            <w:tcW w:w="1425" w:type="dxa"/>
            <w:vAlign w:val="center"/>
          </w:tcPr>
          <w:p w14:paraId="6700B8BC" w14:textId="77777777" w:rsidR="00B62AE4" w:rsidRPr="00F7245E" w:rsidRDefault="00B62AE4" w:rsidP="00A21724">
            <w:pPr>
              <w:pStyle w:val="TableParagraph"/>
              <w:ind w:left="72" w:right="69"/>
              <w:jc w:val="center"/>
              <w:rPr>
                <w:lang w:val="hu-HU"/>
              </w:rPr>
            </w:pPr>
            <w:r w:rsidRPr="00F7245E">
              <w:rPr>
                <w:w w:val="105"/>
              </w:rPr>
              <w:t>78 (0,47)</w:t>
            </w:r>
          </w:p>
        </w:tc>
        <w:tc>
          <w:tcPr>
            <w:tcW w:w="1701" w:type="dxa"/>
            <w:vAlign w:val="center"/>
          </w:tcPr>
          <w:p w14:paraId="21BC045A" w14:textId="77777777" w:rsidR="00B62AE4" w:rsidRPr="00F7245E" w:rsidRDefault="00B62AE4" w:rsidP="00A21724">
            <w:pPr>
              <w:pStyle w:val="TableParagraph"/>
              <w:ind w:left="98"/>
              <w:jc w:val="center"/>
              <w:rPr>
                <w:lang w:val="hu-HU"/>
              </w:rPr>
            </w:pPr>
            <w:r w:rsidRPr="00F7245E">
              <w:rPr>
                <w:w w:val="105"/>
              </w:rPr>
              <w:t>0,51 (0,35; 0,75)</w:t>
            </w:r>
          </w:p>
        </w:tc>
        <w:tc>
          <w:tcPr>
            <w:tcW w:w="1276" w:type="dxa"/>
          </w:tcPr>
          <w:p w14:paraId="44FFB46E" w14:textId="77777777" w:rsidR="00B62AE4" w:rsidRPr="00F7245E" w:rsidRDefault="00B62AE4" w:rsidP="00A21724">
            <w:pPr>
              <w:pStyle w:val="TableParagraph"/>
              <w:rPr>
                <w:lang w:val="hu-HU"/>
              </w:rPr>
            </w:pPr>
          </w:p>
        </w:tc>
      </w:tr>
      <w:tr w:rsidR="00B62AE4" w:rsidRPr="00F7245E" w14:paraId="28DBCD55" w14:textId="77777777" w:rsidTr="0072037C">
        <w:trPr>
          <w:trHeight w:val="229"/>
        </w:trPr>
        <w:tc>
          <w:tcPr>
            <w:tcW w:w="3544" w:type="dxa"/>
            <w:vAlign w:val="center"/>
          </w:tcPr>
          <w:p w14:paraId="1144B1B3" w14:textId="77777777" w:rsidR="00B62AE4" w:rsidRPr="00F7245E" w:rsidRDefault="00B62AE4" w:rsidP="00A21724">
            <w:pPr>
              <w:pStyle w:val="TableParagraph"/>
              <w:ind w:left="261"/>
              <w:rPr>
                <w:lang w:val="hu-HU"/>
              </w:rPr>
            </w:pPr>
            <w:r w:rsidRPr="00F7245E">
              <w:rPr>
                <w:w w:val="105"/>
              </w:rPr>
              <w:t>Szisztémás embolizáció</w:t>
            </w:r>
          </w:p>
        </w:tc>
        <w:tc>
          <w:tcPr>
            <w:tcW w:w="1268" w:type="dxa"/>
            <w:vAlign w:val="center"/>
          </w:tcPr>
          <w:p w14:paraId="1361CC76" w14:textId="77777777" w:rsidR="00B62AE4" w:rsidRPr="00F7245E" w:rsidRDefault="00B62AE4" w:rsidP="00A21724">
            <w:pPr>
              <w:pStyle w:val="TableParagraph"/>
              <w:ind w:right="143"/>
              <w:jc w:val="center"/>
              <w:rPr>
                <w:lang w:val="hu-HU"/>
              </w:rPr>
            </w:pPr>
            <w:r w:rsidRPr="00F7245E">
              <w:rPr>
                <w:w w:val="105"/>
              </w:rPr>
              <w:t>15 (0,09)</w:t>
            </w:r>
          </w:p>
        </w:tc>
        <w:tc>
          <w:tcPr>
            <w:tcW w:w="1425" w:type="dxa"/>
            <w:vAlign w:val="center"/>
          </w:tcPr>
          <w:p w14:paraId="29ED99B2" w14:textId="77777777" w:rsidR="00B62AE4" w:rsidRPr="00F7245E" w:rsidRDefault="00B62AE4" w:rsidP="00A21724">
            <w:pPr>
              <w:pStyle w:val="TableParagraph"/>
              <w:ind w:left="72" w:right="66"/>
              <w:jc w:val="center"/>
              <w:rPr>
                <w:lang w:val="hu-HU"/>
              </w:rPr>
            </w:pPr>
            <w:r w:rsidRPr="00F7245E">
              <w:rPr>
                <w:w w:val="105"/>
              </w:rPr>
              <w:t>17 (0,10)</w:t>
            </w:r>
          </w:p>
        </w:tc>
        <w:tc>
          <w:tcPr>
            <w:tcW w:w="1701" w:type="dxa"/>
            <w:vAlign w:val="center"/>
          </w:tcPr>
          <w:p w14:paraId="1B2DF870" w14:textId="77777777" w:rsidR="00B62AE4" w:rsidRPr="00F7245E" w:rsidRDefault="00B62AE4" w:rsidP="00A21724">
            <w:pPr>
              <w:pStyle w:val="TableParagraph"/>
              <w:ind w:left="100"/>
              <w:jc w:val="center"/>
              <w:rPr>
                <w:lang w:val="hu-HU"/>
              </w:rPr>
            </w:pPr>
            <w:r w:rsidRPr="00F7245E">
              <w:rPr>
                <w:w w:val="105"/>
              </w:rPr>
              <w:t>0,87 (0,44; 1,75)</w:t>
            </w:r>
          </w:p>
        </w:tc>
        <w:tc>
          <w:tcPr>
            <w:tcW w:w="1276" w:type="dxa"/>
          </w:tcPr>
          <w:p w14:paraId="4DA0B20F" w14:textId="77777777" w:rsidR="00B62AE4" w:rsidRPr="00F7245E" w:rsidRDefault="00B62AE4" w:rsidP="00A21724">
            <w:pPr>
              <w:pStyle w:val="TableParagraph"/>
              <w:rPr>
                <w:lang w:val="hu-HU"/>
              </w:rPr>
            </w:pPr>
          </w:p>
        </w:tc>
      </w:tr>
    </w:tbl>
    <w:p w14:paraId="1360EE3A" w14:textId="77777777" w:rsidR="00B62AE4" w:rsidRPr="00F7245E" w:rsidRDefault="00B62AE4" w:rsidP="00A21724">
      <w:pPr>
        <w:pStyle w:val="Nincstrkz"/>
        <w:rPr>
          <w:rFonts w:cs="Times New Roman"/>
        </w:rPr>
      </w:pPr>
    </w:p>
    <w:p w14:paraId="089FF154" w14:textId="544B830A" w:rsidR="00B62AE4" w:rsidRPr="00F7245E" w:rsidRDefault="00B62AE4" w:rsidP="00A21724">
      <w:pPr>
        <w:pStyle w:val="Nincstrkz"/>
        <w:rPr>
          <w:rFonts w:cs="Times New Roman"/>
        </w:rPr>
      </w:pPr>
      <w:r w:rsidRPr="00F7245E">
        <w:rPr>
          <w:rFonts w:cs="Times New Roman"/>
          <w:w w:val="105"/>
        </w:rPr>
        <w:t>A</w:t>
      </w:r>
      <w:r w:rsidRPr="00F7245E">
        <w:rPr>
          <w:rFonts w:cs="Times New Roman"/>
          <w:spacing w:val="-12"/>
          <w:w w:val="105"/>
        </w:rPr>
        <w:t xml:space="preserve"> </w:t>
      </w:r>
      <w:r w:rsidRPr="00F7245E">
        <w:rPr>
          <w:rFonts w:cs="Times New Roman"/>
          <w:w w:val="105"/>
        </w:rPr>
        <w:t>warfarinra</w:t>
      </w:r>
      <w:r w:rsidRPr="00F7245E">
        <w:rPr>
          <w:rFonts w:cs="Times New Roman"/>
          <w:spacing w:val="-12"/>
          <w:w w:val="105"/>
        </w:rPr>
        <w:t xml:space="preserve"> </w:t>
      </w:r>
      <w:r w:rsidRPr="00F7245E">
        <w:rPr>
          <w:rFonts w:cs="Times New Roman"/>
          <w:w w:val="105"/>
        </w:rPr>
        <w:t>randomizált</w:t>
      </w:r>
      <w:r w:rsidR="005346CC" w:rsidRPr="00F7245E">
        <w:rPr>
          <w:rFonts w:cs="Times New Roman"/>
          <w:w w:val="105"/>
        </w:rPr>
        <w:t xml:space="preserve"> betegeknél</w:t>
      </w:r>
      <w:r w:rsidRPr="00F7245E">
        <w:rPr>
          <w:rFonts w:cs="Times New Roman"/>
          <w:spacing w:val="-10"/>
          <w:w w:val="105"/>
        </w:rPr>
        <w:t xml:space="preserve"> </w:t>
      </w:r>
      <w:r w:rsidRPr="00F7245E">
        <w:rPr>
          <w:rFonts w:cs="Times New Roman"/>
          <w:w w:val="105"/>
        </w:rPr>
        <w:t>a</w:t>
      </w:r>
      <w:r w:rsidRPr="00F7245E">
        <w:rPr>
          <w:rFonts w:cs="Times New Roman"/>
          <w:spacing w:val="-12"/>
          <w:w w:val="105"/>
        </w:rPr>
        <w:t xml:space="preserve"> </w:t>
      </w:r>
      <w:r w:rsidRPr="00F7245E">
        <w:rPr>
          <w:rFonts w:cs="Times New Roman"/>
          <w:w w:val="105"/>
        </w:rPr>
        <w:t>terápiás</w:t>
      </w:r>
      <w:r w:rsidRPr="00F7245E">
        <w:rPr>
          <w:rFonts w:cs="Times New Roman"/>
          <w:spacing w:val="-12"/>
          <w:w w:val="105"/>
        </w:rPr>
        <w:t xml:space="preserve"> </w:t>
      </w:r>
      <w:r w:rsidRPr="00F7245E">
        <w:rPr>
          <w:rFonts w:cs="Times New Roman"/>
          <w:w w:val="105"/>
        </w:rPr>
        <w:t>tartományban</w:t>
      </w:r>
      <w:r w:rsidRPr="00F7245E">
        <w:rPr>
          <w:rFonts w:cs="Times New Roman"/>
          <w:spacing w:val="-13"/>
          <w:w w:val="105"/>
        </w:rPr>
        <w:t xml:space="preserve"> </w:t>
      </w:r>
      <w:r w:rsidRPr="00F7245E">
        <w:rPr>
          <w:rFonts w:cs="Times New Roman"/>
          <w:w w:val="105"/>
        </w:rPr>
        <w:t>(INR</w:t>
      </w:r>
      <w:r w:rsidRPr="00F7245E">
        <w:rPr>
          <w:rFonts w:cs="Times New Roman"/>
          <w:spacing w:val="-12"/>
          <w:w w:val="105"/>
        </w:rPr>
        <w:t xml:space="preserve"> </w:t>
      </w:r>
      <w:r w:rsidRPr="00F7245E">
        <w:rPr>
          <w:rFonts w:cs="Times New Roman"/>
          <w:w w:val="105"/>
        </w:rPr>
        <w:t>2</w:t>
      </w:r>
      <w:r w:rsidR="004506AF" w:rsidRPr="00F7245E">
        <w:rPr>
          <w:rFonts w:cs="Times New Roman"/>
          <w:w w:val="105"/>
        </w:rPr>
        <w:noBreakHyphen/>
      </w:r>
      <w:r w:rsidRPr="00F7245E">
        <w:rPr>
          <w:rFonts w:cs="Times New Roman"/>
          <w:w w:val="105"/>
        </w:rPr>
        <w:t>3)</w:t>
      </w:r>
      <w:r w:rsidRPr="00F7245E">
        <w:rPr>
          <w:rFonts w:cs="Times New Roman"/>
          <w:spacing w:val="-12"/>
          <w:w w:val="105"/>
        </w:rPr>
        <w:t xml:space="preserve"> </w:t>
      </w:r>
      <w:r w:rsidRPr="00F7245E">
        <w:rPr>
          <w:rFonts w:cs="Times New Roman"/>
          <w:w w:val="105"/>
        </w:rPr>
        <w:t>eltöltött</w:t>
      </w:r>
      <w:r w:rsidRPr="00F7245E">
        <w:rPr>
          <w:rFonts w:cs="Times New Roman"/>
          <w:spacing w:val="-13"/>
          <w:w w:val="105"/>
        </w:rPr>
        <w:t xml:space="preserve"> </w:t>
      </w:r>
      <w:r w:rsidRPr="00F7245E">
        <w:rPr>
          <w:rFonts w:cs="Times New Roman"/>
          <w:w w:val="105"/>
        </w:rPr>
        <w:t>időtartam</w:t>
      </w:r>
      <w:r w:rsidRPr="00F7245E">
        <w:rPr>
          <w:rFonts w:cs="Times New Roman"/>
          <w:spacing w:val="-14"/>
          <w:w w:val="105"/>
        </w:rPr>
        <w:t xml:space="preserve"> </w:t>
      </w:r>
      <w:r w:rsidRPr="00F7245E">
        <w:rPr>
          <w:rFonts w:cs="Times New Roman"/>
          <w:w w:val="105"/>
        </w:rPr>
        <w:t>(</w:t>
      </w:r>
      <w:r w:rsidR="004506AF" w:rsidRPr="00F7245E">
        <w:rPr>
          <w:rFonts w:cs="Times New Roman"/>
          <w:w w:val="105"/>
        </w:rPr>
        <w:t xml:space="preserve">TTR, </w:t>
      </w:r>
      <w:r w:rsidRPr="00F7245E">
        <w:rPr>
          <w:rFonts w:cs="Times New Roman"/>
          <w:w w:val="105"/>
        </w:rPr>
        <w:t>time</w:t>
      </w:r>
      <w:r w:rsidRPr="00F7245E">
        <w:rPr>
          <w:rFonts w:cs="Times New Roman"/>
          <w:spacing w:val="-12"/>
          <w:w w:val="105"/>
        </w:rPr>
        <w:t xml:space="preserve"> </w:t>
      </w:r>
      <w:r w:rsidRPr="00F7245E">
        <w:rPr>
          <w:rFonts w:cs="Times New Roman"/>
          <w:w w:val="105"/>
        </w:rPr>
        <w:t>in therapeutic range) 66%</w:t>
      </w:r>
      <w:r w:rsidRPr="00F7245E">
        <w:rPr>
          <w:rFonts w:cs="Times New Roman"/>
          <w:spacing w:val="-8"/>
          <w:w w:val="105"/>
        </w:rPr>
        <w:t xml:space="preserve"> </w:t>
      </w:r>
      <w:r w:rsidRPr="00F7245E">
        <w:rPr>
          <w:rFonts w:cs="Times New Roman"/>
          <w:w w:val="105"/>
        </w:rPr>
        <w:t>volt.</w:t>
      </w:r>
    </w:p>
    <w:p w14:paraId="0C46C480" w14:textId="77777777" w:rsidR="001209AF" w:rsidRPr="00F7245E" w:rsidRDefault="001209AF" w:rsidP="00A21724">
      <w:pPr>
        <w:pStyle w:val="Nincstrkz"/>
        <w:rPr>
          <w:rFonts w:cs="Times New Roman"/>
        </w:rPr>
      </w:pPr>
    </w:p>
    <w:p w14:paraId="7AF9D736" w14:textId="02D01FDE" w:rsidR="00B62AE4" w:rsidRPr="00F7245E" w:rsidRDefault="00B62AE4" w:rsidP="00A21724">
      <w:pPr>
        <w:pStyle w:val="Nincstrkz"/>
        <w:rPr>
          <w:rFonts w:cs="Times New Roman"/>
        </w:rPr>
      </w:pPr>
      <w:r w:rsidRPr="00F7245E">
        <w:rPr>
          <w:rFonts w:cs="Times New Roman"/>
        </w:rPr>
        <w:t xml:space="preserve">Az </w:t>
      </w:r>
      <w:r w:rsidR="00CA2919" w:rsidRPr="00F7245E">
        <w:rPr>
          <w:rFonts w:cs="Times New Roman"/>
        </w:rPr>
        <w:t xml:space="preserve">apixabán </w:t>
      </w:r>
      <w:r w:rsidRPr="00F7245E">
        <w:rPr>
          <w:rFonts w:cs="Times New Roman"/>
        </w:rPr>
        <w:t xml:space="preserve">a warfarinhoz képest a középső TTR különböző szintjein a stroke és a szisztémás embolizáció csökkenését mutatta. A középsővel összhangban a TTR legmagasabb kvartilisában az </w:t>
      </w:r>
      <w:r w:rsidR="00CA2919" w:rsidRPr="00F7245E">
        <w:rPr>
          <w:rFonts w:cs="Times New Roman"/>
        </w:rPr>
        <w:t xml:space="preserve">apixabán </w:t>
      </w:r>
      <w:r w:rsidRPr="00F7245E">
        <w:rPr>
          <w:rFonts w:cs="Times New Roman"/>
        </w:rPr>
        <w:t>vs. warfarin relatív hazárdja 0,73 volt (95%</w:t>
      </w:r>
      <w:r w:rsidR="004506AF" w:rsidRPr="00F7245E">
        <w:rPr>
          <w:rFonts w:cs="Times New Roman"/>
        </w:rPr>
        <w:noBreakHyphen/>
      </w:r>
      <w:r w:rsidRPr="00F7245E">
        <w:rPr>
          <w:rFonts w:cs="Times New Roman"/>
        </w:rPr>
        <w:t>os CI 0,38, 1,40).</w:t>
      </w:r>
    </w:p>
    <w:p w14:paraId="5DC23F8E" w14:textId="77777777" w:rsidR="00B62AE4" w:rsidRPr="00F7245E" w:rsidRDefault="00B62AE4" w:rsidP="00A21724">
      <w:pPr>
        <w:pStyle w:val="Nincstrkz"/>
        <w:rPr>
          <w:rFonts w:cs="Times New Roman"/>
        </w:rPr>
      </w:pPr>
    </w:p>
    <w:p w14:paraId="1246AF0B" w14:textId="090142B5" w:rsidR="00B62AE4" w:rsidRPr="00F7245E" w:rsidRDefault="00B62AE4" w:rsidP="00A21724">
      <w:pPr>
        <w:pStyle w:val="Nincstrkz"/>
        <w:rPr>
          <w:rFonts w:cs="Times New Roman"/>
        </w:rPr>
      </w:pPr>
      <w:r w:rsidRPr="00F7245E">
        <w:rPr>
          <w:rFonts w:cs="Times New Roman"/>
        </w:rPr>
        <w:t>A vizsgálatban előforduló általános 1</w:t>
      </w:r>
      <w:r w:rsidR="004506AF" w:rsidRPr="00F7245E">
        <w:rPr>
          <w:rFonts w:cs="Times New Roman"/>
        </w:rPr>
        <w:noBreakHyphen/>
      </w:r>
      <w:r w:rsidRPr="00F7245E">
        <w:rPr>
          <w:rFonts w:cs="Times New Roman"/>
        </w:rPr>
        <w:t xml:space="preserve">es típusú hiba kiküszöbölése érdekében a nagyfokú vérzés és </w:t>
      </w:r>
      <w:r w:rsidR="004506AF" w:rsidRPr="00F7245E">
        <w:rPr>
          <w:rFonts w:cs="Times New Roman"/>
        </w:rPr>
        <w:t xml:space="preserve">bármely okból bekövetkező </w:t>
      </w:r>
      <w:r w:rsidRPr="00F7245E">
        <w:rPr>
          <w:rFonts w:cs="Times New Roman"/>
        </w:rPr>
        <w:t xml:space="preserve">mortalitás legfontosabb másodlagos végpontokat egy előre meghatározott hierarchikus vizsgálati stratégia szerint tesztelték. A nagyfokú vérzés és </w:t>
      </w:r>
      <w:r w:rsidR="008D3D74" w:rsidRPr="00F7245E">
        <w:rPr>
          <w:rFonts w:cs="Times New Roman"/>
        </w:rPr>
        <w:t xml:space="preserve">a bármely okból bekövetkező </w:t>
      </w:r>
      <w:r w:rsidRPr="00F7245E">
        <w:rPr>
          <w:rFonts w:cs="Times New Roman"/>
        </w:rPr>
        <w:t>mortalitás, mint legfontosabb másodlagos végpontok tekintetében egyaránt statisztikailag szignifikánsan jobb eredményeket értek el (lásd</w:t>
      </w:r>
      <w:r w:rsidR="00297A29" w:rsidRPr="00F7245E">
        <w:rPr>
          <w:rFonts w:cs="Times New Roman"/>
        </w:rPr>
        <w:t xml:space="preserve"> </w:t>
      </w:r>
      <w:r w:rsidR="001F3456" w:rsidRPr="00F7245E">
        <w:rPr>
          <w:rFonts w:cs="Times New Roman"/>
        </w:rPr>
        <w:t>8</w:t>
      </w:r>
      <w:r w:rsidR="00297A29" w:rsidRPr="00F7245E">
        <w:rPr>
          <w:rFonts w:cs="Times New Roman"/>
        </w:rPr>
        <w:t>.</w:t>
      </w:r>
      <w:r w:rsidR="001209AF" w:rsidRPr="00F7245E">
        <w:rPr>
          <w:rFonts w:cs="Times New Roman"/>
        </w:rPr>
        <w:t xml:space="preserve"> </w:t>
      </w:r>
      <w:r w:rsidRPr="00F7245E">
        <w:rPr>
          <w:rFonts w:cs="Times New Roman"/>
        </w:rPr>
        <w:t xml:space="preserve">táblázat). Az INR monitorozásának javításával az </w:t>
      </w:r>
      <w:r w:rsidR="00CA2919" w:rsidRPr="00F7245E">
        <w:rPr>
          <w:rFonts w:cs="Times New Roman"/>
        </w:rPr>
        <w:t xml:space="preserve">apixabán </w:t>
      </w:r>
      <w:r w:rsidRPr="00F7245E">
        <w:rPr>
          <w:rFonts w:cs="Times New Roman"/>
        </w:rPr>
        <w:t xml:space="preserve">warfarinhoz viszonyított, </w:t>
      </w:r>
      <w:r w:rsidR="008D3D74" w:rsidRPr="00F7245E">
        <w:rPr>
          <w:rFonts w:cs="Times New Roman"/>
        </w:rPr>
        <w:t xml:space="preserve">bármely okból bekövetkező </w:t>
      </w:r>
      <w:r w:rsidRPr="00F7245E">
        <w:rPr>
          <w:rFonts w:cs="Times New Roman"/>
        </w:rPr>
        <w:t>mortalitás tekintetében megfigyelt előnye eltűnik.</w:t>
      </w:r>
    </w:p>
    <w:p w14:paraId="3CB5F611" w14:textId="77777777" w:rsidR="00B62AE4" w:rsidRPr="00F7245E" w:rsidRDefault="00B62AE4" w:rsidP="00A21724">
      <w:pPr>
        <w:pStyle w:val="Nincstrkz"/>
        <w:rPr>
          <w:rFonts w:cs="Times New Roman"/>
        </w:rPr>
      </w:pPr>
    </w:p>
    <w:p w14:paraId="4DBE4389" w14:textId="1068C1B2" w:rsidR="001209AF" w:rsidRPr="00F7245E" w:rsidRDefault="001F3456" w:rsidP="00A21724">
      <w:pPr>
        <w:pStyle w:val="Cmsor1"/>
        <w:tabs>
          <w:tab w:val="left" w:pos="284"/>
        </w:tabs>
        <w:ind w:left="0"/>
        <w:rPr>
          <w:w w:val="105"/>
          <w:sz w:val="22"/>
          <w:szCs w:val="22"/>
        </w:rPr>
      </w:pPr>
      <w:r w:rsidRPr="00F7245E">
        <w:rPr>
          <w:w w:val="105"/>
          <w:sz w:val="22"/>
          <w:szCs w:val="22"/>
        </w:rPr>
        <w:t>8</w:t>
      </w:r>
      <w:r w:rsidR="0072037C" w:rsidRPr="00F7245E">
        <w:rPr>
          <w:w w:val="105"/>
          <w:sz w:val="22"/>
          <w:szCs w:val="22"/>
        </w:rPr>
        <w:t xml:space="preserve">. </w:t>
      </w:r>
      <w:r w:rsidR="00B62AE4" w:rsidRPr="00F7245E">
        <w:rPr>
          <w:w w:val="105"/>
          <w:sz w:val="22"/>
          <w:szCs w:val="22"/>
        </w:rPr>
        <w:t>táblázat: Másodlagos végpontok pitvarfibrillá</w:t>
      </w:r>
      <w:r w:rsidR="007622B9" w:rsidRPr="00F7245E">
        <w:rPr>
          <w:w w:val="105"/>
          <w:sz w:val="22"/>
          <w:szCs w:val="22"/>
        </w:rPr>
        <w:t>ci</w:t>
      </w:r>
      <w:r w:rsidR="00B62AE4" w:rsidRPr="00F7245E">
        <w:rPr>
          <w:w w:val="105"/>
          <w:sz w:val="22"/>
          <w:szCs w:val="22"/>
        </w:rPr>
        <w:t>ó</w:t>
      </w:r>
      <w:r w:rsidR="007622B9" w:rsidRPr="00F7245E">
        <w:rPr>
          <w:w w:val="105"/>
          <w:sz w:val="22"/>
          <w:szCs w:val="22"/>
        </w:rPr>
        <w:t>s</w:t>
      </w:r>
      <w:r w:rsidR="00A1416D" w:rsidRPr="00F7245E">
        <w:rPr>
          <w:w w:val="105"/>
          <w:sz w:val="22"/>
          <w:szCs w:val="22"/>
        </w:rPr>
        <w:t> beteg</w:t>
      </w:r>
      <w:r w:rsidR="00B62AE4" w:rsidRPr="00F7245E">
        <w:rPr>
          <w:w w:val="105"/>
          <w:sz w:val="22"/>
          <w:szCs w:val="22"/>
        </w:rPr>
        <w:t>eknél az</w:t>
      </w:r>
      <w:r w:rsidR="00B62AE4" w:rsidRPr="00F7245E">
        <w:rPr>
          <w:spacing w:val="-38"/>
          <w:w w:val="105"/>
          <w:sz w:val="22"/>
          <w:szCs w:val="22"/>
        </w:rPr>
        <w:t xml:space="preserve"> </w:t>
      </w:r>
      <w:r w:rsidR="00B62AE4" w:rsidRPr="00F7245E">
        <w:rPr>
          <w:w w:val="105"/>
          <w:sz w:val="22"/>
          <w:szCs w:val="22"/>
        </w:rPr>
        <w:t>ARISTOTLE-vizsgálatban</w:t>
      </w:r>
    </w:p>
    <w:tbl>
      <w:tblPr>
        <w:tblW w:w="9214" w:type="dxa"/>
        <w:tblInd w:w="-5" w:type="dxa"/>
        <w:tblCellMar>
          <w:top w:w="55" w:type="dxa"/>
          <w:right w:w="47" w:type="dxa"/>
        </w:tblCellMar>
        <w:tblLook w:val="04A0" w:firstRow="1" w:lastRow="0" w:firstColumn="1" w:lastColumn="0" w:noHBand="0" w:noVBand="1"/>
      </w:tblPr>
      <w:tblGrid>
        <w:gridCol w:w="2410"/>
        <w:gridCol w:w="1843"/>
        <w:gridCol w:w="1843"/>
        <w:gridCol w:w="1842"/>
        <w:gridCol w:w="1276"/>
      </w:tblGrid>
      <w:tr w:rsidR="001209AF" w:rsidRPr="00F7245E" w14:paraId="010A349C" w14:textId="77777777" w:rsidTr="00AB77EB">
        <w:trPr>
          <w:trHeight w:val="769"/>
        </w:trPr>
        <w:tc>
          <w:tcPr>
            <w:tcW w:w="2410" w:type="dxa"/>
            <w:tcBorders>
              <w:top w:val="single" w:sz="4" w:space="0" w:color="000000"/>
              <w:left w:val="single" w:sz="4" w:space="0" w:color="000000"/>
              <w:bottom w:val="single" w:sz="4" w:space="0" w:color="000000"/>
              <w:right w:val="single" w:sz="4" w:space="0" w:color="000000"/>
            </w:tcBorders>
          </w:tcPr>
          <w:p w14:paraId="058D7ED3" w14:textId="77777777" w:rsidR="001209AF" w:rsidRPr="00F7245E" w:rsidRDefault="001209AF" w:rsidP="00A21724">
            <w:pPr>
              <w:ind w:right="6"/>
              <w:jc w:val="center"/>
            </w:pPr>
          </w:p>
        </w:tc>
        <w:tc>
          <w:tcPr>
            <w:tcW w:w="1843" w:type="dxa"/>
            <w:tcBorders>
              <w:top w:val="single" w:sz="4" w:space="0" w:color="000000"/>
              <w:left w:val="single" w:sz="4" w:space="0" w:color="000000"/>
              <w:bottom w:val="single" w:sz="4" w:space="0" w:color="000000"/>
              <w:right w:val="single" w:sz="4" w:space="0" w:color="000000"/>
            </w:tcBorders>
          </w:tcPr>
          <w:p w14:paraId="20470DA4" w14:textId="4C24DDAF" w:rsidR="001209AF" w:rsidRPr="00F7245E" w:rsidRDefault="00CA2919" w:rsidP="00A21724">
            <w:pPr>
              <w:ind w:right="63"/>
              <w:jc w:val="center"/>
            </w:pPr>
            <w:r w:rsidRPr="00F7245E">
              <w:rPr>
                <w:b/>
              </w:rPr>
              <w:t xml:space="preserve">Apixabán </w:t>
            </w:r>
          </w:p>
          <w:p w14:paraId="60E30DC4" w14:textId="6AC59176" w:rsidR="001209AF" w:rsidRPr="00F7245E" w:rsidRDefault="007D4C4D" w:rsidP="00A21724">
            <w:pPr>
              <w:ind w:left="349" w:right="363"/>
              <w:jc w:val="center"/>
              <w:rPr>
                <w:b/>
              </w:rPr>
            </w:pPr>
            <w:r w:rsidRPr="00F7245E">
              <w:rPr>
                <w:b/>
              </w:rPr>
              <w:t>N = </w:t>
            </w:r>
            <w:r w:rsidR="001209AF" w:rsidRPr="00F7245E">
              <w:rPr>
                <w:b/>
              </w:rPr>
              <w:t xml:space="preserve">9088 </w:t>
            </w:r>
          </w:p>
          <w:p w14:paraId="0193F318" w14:textId="5A964C41" w:rsidR="001209AF" w:rsidRPr="00F7245E" w:rsidRDefault="001209AF" w:rsidP="00A21724">
            <w:pPr>
              <w:ind w:left="349" w:right="363"/>
              <w:jc w:val="center"/>
            </w:pPr>
            <w:r w:rsidRPr="00F7245E">
              <w:rPr>
                <w:b/>
              </w:rPr>
              <w:t>n (%/</w:t>
            </w:r>
            <w:r w:rsidR="005346CC" w:rsidRPr="00F7245E">
              <w:rPr>
                <w:b/>
              </w:rPr>
              <w:t>év</w:t>
            </w:r>
            <w:r w:rsidRPr="00F7245E">
              <w:rPr>
                <w:b/>
              </w:rP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23E19FDC" w14:textId="77777777" w:rsidR="001209AF" w:rsidRPr="00F7245E" w:rsidRDefault="001209AF" w:rsidP="00A21724">
            <w:pPr>
              <w:ind w:right="62"/>
              <w:jc w:val="center"/>
            </w:pPr>
            <w:r w:rsidRPr="00F7245E">
              <w:rPr>
                <w:b/>
              </w:rPr>
              <w:t xml:space="preserve">Warfarin </w:t>
            </w:r>
          </w:p>
          <w:p w14:paraId="21BE80FC" w14:textId="5E954753" w:rsidR="001209AF" w:rsidRPr="00F7245E" w:rsidRDefault="007D4C4D" w:rsidP="00A21724">
            <w:pPr>
              <w:ind w:left="372" w:right="384"/>
              <w:jc w:val="center"/>
              <w:rPr>
                <w:b/>
              </w:rPr>
            </w:pPr>
            <w:r w:rsidRPr="00F7245E">
              <w:rPr>
                <w:b/>
              </w:rPr>
              <w:t>N = </w:t>
            </w:r>
            <w:r w:rsidR="001209AF" w:rsidRPr="00F7245E">
              <w:rPr>
                <w:b/>
              </w:rPr>
              <w:t xml:space="preserve">9052 </w:t>
            </w:r>
          </w:p>
          <w:p w14:paraId="2466FC28" w14:textId="3C0AE589" w:rsidR="001209AF" w:rsidRPr="00F7245E" w:rsidRDefault="001209AF" w:rsidP="00A21724">
            <w:pPr>
              <w:ind w:left="372" w:right="384"/>
              <w:jc w:val="center"/>
            </w:pPr>
            <w:r w:rsidRPr="00F7245E">
              <w:rPr>
                <w:b/>
              </w:rPr>
              <w:t>n (%/</w:t>
            </w:r>
            <w:r w:rsidR="00AB77EB" w:rsidRPr="00F7245E">
              <w:rPr>
                <w:b/>
              </w:rPr>
              <w:t>év</w:t>
            </w:r>
            <w:r w:rsidRPr="00F7245E">
              <w:rPr>
                <w:b/>
              </w:rPr>
              <w:t xml:space="preserve">) </w:t>
            </w:r>
          </w:p>
        </w:tc>
        <w:tc>
          <w:tcPr>
            <w:tcW w:w="1842" w:type="dxa"/>
            <w:tcBorders>
              <w:top w:val="single" w:sz="4" w:space="0" w:color="000000"/>
              <w:left w:val="single" w:sz="4" w:space="0" w:color="000000"/>
              <w:bottom w:val="single" w:sz="4" w:space="0" w:color="000000"/>
              <w:right w:val="single" w:sz="4" w:space="0" w:color="000000"/>
            </w:tcBorders>
          </w:tcPr>
          <w:p w14:paraId="1DE459FF" w14:textId="2FB393C8" w:rsidR="001209AF" w:rsidRPr="00F7245E" w:rsidRDefault="005346CC" w:rsidP="00A21724">
            <w:pPr>
              <w:jc w:val="center"/>
            </w:pPr>
            <w:r w:rsidRPr="00F7245E">
              <w:rPr>
                <w:b/>
                <w:bCs/>
                <w:w w:val="105"/>
              </w:rPr>
              <w:t xml:space="preserve">Relatív hazárd </w:t>
            </w:r>
            <w:r w:rsidR="001209AF" w:rsidRPr="00F7245E">
              <w:rPr>
                <w:b/>
              </w:rPr>
              <w:t>(95%</w:t>
            </w:r>
            <w:r w:rsidRPr="00F7245E">
              <w:rPr>
                <w:b/>
              </w:rPr>
              <w:noBreakHyphen/>
              <w:t>os</w:t>
            </w:r>
            <w:r w:rsidR="001209AF" w:rsidRPr="00F7245E">
              <w:rPr>
                <w:b/>
              </w:rPr>
              <w:t xml:space="preserve"> CI) </w:t>
            </w:r>
          </w:p>
        </w:tc>
        <w:tc>
          <w:tcPr>
            <w:tcW w:w="1276" w:type="dxa"/>
            <w:tcBorders>
              <w:top w:val="single" w:sz="4" w:space="0" w:color="000000"/>
              <w:left w:val="single" w:sz="4" w:space="0" w:color="000000"/>
              <w:bottom w:val="single" w:sz="4" w:space="0" w:color="000000"/>
              <w:right w:val="single" w:sz="4" w:space="0" w:color="000000"/>
            </w:tcBorders>
          </w:tcPr>
          <w:p w14:paraId="5C5D4418" w14:textId="50AC3725" w:rsidR="001209AF" w:rsidRPr="00F7245E" w:rsidRDefault="001209AF" w:rsidP="00A21724">
            <w:pPr>
              <w:ind w:right="61"/>
              <w:jc w:val="center"/>
            </w:pPr>
            <w:r w:rsidRPr="00F7245E">
              <w:rPr>
                <w:b/>
              </w:rPr>
              <w:t>p-</w:t>
            </w:r>
            <w:r w:rsidR="005346CC" w:rsidRPr="00F7245E">
              <w:rPr>
                <w:b/>
              </w:rPr>
              <w:t>érték</w:t>
            </w:r>
            <w:r w:rsidRPr="00F7245E">
              <w:rPr>
                <w:b/>
              </w:rPr>
              <w:t xml:space="preserve"> </w:t>
            </w:r>
          </w:p>
        </w:tc>
      </w:tr>
      <w:tr w:rsidR="001209AF" w:rsidRPr="00F7245E" w14:paraId="79896495" w14:textId="77777777" w:rsidTr="00AB77EB">
        <w:trPr>
          <w:trHeight w:val="288"/>
        </w:trPr>
        <w:tc>
          <w:tcPr>
            <w:tcW w:w="9214" w:type="dxa"/>
            <w:gridSpan w:val="5"/>
            <w:tcBorders>
              <w:top w:val="single" w:sz="4" w:space="0" w:color="000000"/>
              <w:left w:val="single" w:sz="4" w:space="0" w:color="000000"/>
              <w:bottom w:val="single" w:sz="4" w:space="0" w:color="000000"/>
              <w:right w:val="single" w:sz="4" w:space="0" w:color="000000"/>
            </w:tcBorders>
          </w:tcPr>
          <w:p w14:paraId="7F910568" w14:textId="423AAD1B" w:rsidR="001209AF" w:rsidRPr="00F7245E" w:rsidRDefault="005346CC" w:rsidP="00A21724">
            <w:r w:rsidRPr="00F7245E">
              <w:rPr>
                <w:w w:val="105"/>
              </w:rPr>
              <w:t>Vérzéses végpontok</w:t>
            </w:r>
          </w:p>
        </w:tc>
      </w:tr>
      <w:tr w:rsidR="001209AF" w:rsidRPr="00F7245E" w14:paraId="78CA2BC7" w14:textId="77777777" w:rsidTr="008D3D74">
        <w:trPr>
          <w:trHeight w:val="289"/>
        </w:trPr>
        <w:tc>
          <w:tcPr>
            <w:tcW w:w="2410" w:type="dxa"/>
            <w:tcBorders>
              <w:top w:val="single" w:sz="4" w:space="0" w:color="000000"/>
              <w:left w:val="single" w:sz="4" w:space="0" w:color="000000"/>
              <w:bottom w:val="single" w:sz="4" w:space="0" w:color="000000"/>
              <w:right w:val="single" w:sz="4" w:space="0" w:color="000000"/>
            </w:tcBorders>
          </w:tcPr>
          <w:p w14:paraId="26E4B2F9" w14:textId="7A6FAA09" w:rsidR="001209AF" w:rsidRPr="00F7245E" w:rsidRDefault="005346CC" w:rsidP="00A21724">
            <w:r w:rsidRPr="00F7245E">
              <w:t>Nagyfokú</w:t>
            </w:r>
            <w:r w:rsidR="001209AF" w:rsidRPr="00F7245E">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2EB2C443" w14:textId="3F630AB3" w:rsidR="001209AF" w:rsidRPr="00F7245E" w:rsidRDefault="001209AF" w:rsidP="00A21724">
            <w:pPr>
              <w:ind w:right="61"/>
              <w:jc w:val="center"/>
            </w:pPr>
            <w:r w:rsidRPr="00F7245E">
              <w:t>327 (2</w:t>
            </w:r>
            <w:r w:rsidR="00AB77EB" w:rsidRPr="00F7245E">
              <w:t>,</w:t>
            </w:r>
            <w:r w:rsidRPr="00F7245E">
              <w:t>13)</w:t>
            </w:r>
          </w:p>
        </w:tc>
        <w:tc>
          <w:tcPr>
            <w:tcW w:w="1843" w:type="dxa"/>
            <w:tcBorders>
              <w:top w:val="single" w:sz="4" w:space="0" w:color="000000"/>
              <w:left w:val="single" w:sz="4" w:space="0" w:color="000000"/>
              <w:bottom w:val="single" w:sz="4" w:space="0" w:color="000000"/>
              <w:right w:val="single" w:sz="4" w:space="0" w:color="000000"/>
            </w:tcBorders>
            <w:vAlign w:val="center"/>
          </w:tcPr>
          <w:p w14:paraId="1B2014F6" w14:textId="559E4BF1" w:rsidR="001209AF" w:rsidRPr="00F7245E" w:rsidRDefault="001209AF" w:rsidP="00A21724">
            <w:pPr>
              <w:ind w:right="59"/>
              <w:jc w:val="center"/>
            </w:pPr>
            <w:r w:rsidRPr="00F7245E">
              <w:t>462 (3</w:t>
            </w:r>
            <w:r w:rsidR="00AB77EB" w:rsidRPr="00F7245E">
              <w:t>,</w:t>
            </w:r>
            <w:r w:rsidRPr="00F7245E">
              <w:t>09)</w:t>
            </w:r>
          </w:p>
        </w:tc>
        <w:tc>
          <w:tcPr>
            <w:tcW w:w="1842" w:type="dxa"/>
            <w:tcBorders>
              <w:top w:val="single" w:sz="4" w:space="0" w:color="000000"/>
              <w:left w:val="single" w:sz="4" w:space="0" w:color="000000"/>
              <w:bottom w:val="single" w:sz="4" w:space="0" w:color="000000"/>
              <w:right w:val="single" w:sz="4" w:space="0" w:color="000000"/>
            </w:tcBorders>
            <w:vAlign w:val="center"/>
          </w:tcPr>
          <w:p w14:paraId="38D0D3F2" w14:textId="1DDB7606" w:rsidR="001209AF" w:rsidRPr="00F7245E" w:rsidRDefault="001209AF" w:rsidP="00A21724">
            <w:pPr>
              <w:ind w:right="61"/>
              <w:jc w:val="center"/>
            </w:pPr>
            <w:r w:rsidRPr="00F7245E">
              <w:t>0</w:t>
            </w:r>
            <w:r w:rsidR="00AB77EB" w:rsidRPr="00F7245E">
              <w:t>,</w:t>
            </w:r>
            <w:r w:rsidRPr="00F7245E">
              <w:t>69 (0</w:t>
            </w:r>
            <w:r w:rsidR="00AB77EB" w:rsidRPr="00F7245E">
              <w:t>,</w:t>
            </w:r>
            <w:r w:rsidRPr="00F7245E">
              <w:t>60</w:t>
            </w:r>
            <w:r w:rsidR="00C10062" w:rsidRPr="00F7245E">
              <w:t>;</w:t>
            </w:r>
            <w:r w:rsidRPr="00F7245E">
              <w:t xml:space="preserve"> 0</w:t>
            </w:r>
            <w:r w:rsidR="00AB77EB" w:rsidRPr="00F7245E">
              <w:t>,</w:t>
            </w:r>
            <w:r w:rsidRPr="00F7245E">
              <w:t>80)</w:t>
            </w:r>
          </w:p>
        </w:tc>
        <w:tc>
          <w:tcPr>
            <w:tcW w:w="1276" w:type="dxa"/>
            <w:tcBorders>
              <w:top w:val="single" w:sz="4" w:space="0" w:color="000000"/>
              <w:left w:val="single" w:sz="4" w:space="0" w:color="000000"/>
              <w:bottom w:val="single" w:sz="4" w:space="0" w:color="000000"/>
              <w:right w:val="single" w:sz="4" w:space="0" w:color="000000"/>
            </w:tcBorders>
            <w:vAlign w:val="center"/>
          </w:tcPr>
          <w:p w14:paraId="3E5FB5B1" w14:textId="50423D71" w:rsidR="001209AF" w:rsidRPr="00F7245E" w:rsidRDefault="001209AF" w:rsidP="00A21724">
            <w:pPr>
              <w:ind w:right="62"/>
              <w:jc w:val="center"/>
            </w:pPr>
            <w:r w:rsidRPr="00F7245E">
              <w:t>&lt; 0</w:t>
            </w:r>
            <w:r w:rsidR="00AB77EB" w:rsidRPr="00F7245E">
              <w:t>,</w:t>
            </w:r>
            <w:r w:rsidRPr="00F7245E">
              <w:t>0001</w:t>
            </w:r>
          </w:p>
        </w:tc>
      </w:tr>
      <w:tr w:rsidR="001209AF" w:rsidRPr="00F7245E" w14:paraId="5149B4A8" w14:textId="77777777" w:rsidTr="008D3D74">
        <w:trPr>
          <w:trHeight w:val="281"/>
        </w:trPr>
        <w:tc>
          <w:tcPr>
            <w:tcW w:w="2410" w:type="dxa"/>
            <w:tcBorders>
              <w:top w:val="single" w:sz="4" w:space="0" w:color="000000"/>
              <w:left w:val="single" w:sz="4" w:space="0" w:color="000000"/>
              <w:bottom w:val="single" w:sz="4" w:space="0" w:color="000000"/>
              <w:right w:val="single" w:sz="4" w:space="0" w:color="000000"/>
            </w:tcBorders>
          </w:tcPr>
          <w:p w14:paraId="7EFE6162" w14:textId="706B1F80" w:rsidR="001209AF" w:rsidRPr="00F7245E" w:rsidRDefault="005346CC" w:rsidP="00A21724">
            <w:pPr>
              <w:ind w:left="316" w:right="220"/>
            </w:pPr>
            <w:r w:rsidRPr="00F7245E">
              <w:rPr>
                <w:w w:val="105"/>
              </w:rPr>
              <w:t xml:space="preserve">Végzetes </w:t>
            </w:r>
            <w:r w:rsidRPr="00F7245E">
              <w:t>kimenetelű</w:t>
            </w:r>
            <w:r w:rsidR="001209AF" w:rsidRPr="00F7245E">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7FEAE29C" w14:textId="32A9CD45" w:rsidR="001209AF" w:rsidRPr="00F7245E" w:rsidRDefault="001209AF" w:rsidP="00A21724">
            <w:pPr>
              <w:ind w:right="60"/>
              <w:jc w:val="center"/>
            </w:pPr>
            <w:r w:rsidRPr="00F7245E">
              <w:t>10 (0</w:t>
            </w:r>
            <w:r w:rsidR="00AB77EB" w:rsidRPr="00F7245E">
              <w:t>,</w:t>
            </w:r>
            <w:r w:rsidRPr="00F7245E">
              <w:t>06)</w:t>
            </w:r>
          </w:p>
        </w:tc>
        <w:tc>
          <w:tcPr>
            <w:tcW w:w="1843" w:type="dxa"/>
            <w:tcBorders>
              <w:top w:val="single" w:sz="4" w:space="0" w:color="000000"/>
              <w:left w:val="single" w:sz="4" w:space="0" w:color="000000"/>
              <w:bottom w:val="single" w:sz="4" w:space="0" w:color="000000"/>
              <w:right w:val="single" w:sz="4" w:space="0" w:color="000000"/>
            </w:tcBorders>
            <w:vAlign w:val="center"/>
          </w:tcPr>
          <w:p w14:paraId="71047E2B" w14:textId="37349154" w:rsidR="001209AF" w:rsidRPr="00F7245E" w:rsidRDefault="001209AF" w:rsidP="00A21724">
            <w:pPr>
              <w:ind w:right="58"/>
              <w:jc w:val="center"/>
            </w:pPr>
            <w:r w:rsidRPr="00F7245E">
              <w:t>37 (0</w:t>
            </w:r>
            <w:r w:rsidR="00AB77EB" w:rsidRPr="00F7245E">
              <w:t>,</w:t>
            </w:r>
            <w:r w:rsidRPr="00F7245E">
              <w:t>24)</w:t>
            </w:r>
          </w:p>
        </w:tc>
        <w:tc>
          <w:tcPr>
            <w:tcW w:w="1842" w:type="dxa"/>
            <w:tcBorders>
              <w:top w:val="single" w:sz="4" w:space="0" w:color="000000"/>
              <w:left w:val="single" w:sz="4" w:space="0" w:color="000000"/>
              <w:bottom w:val="single" w:sz="4" w:space="0" w:color="000000"/>
              <w:right w:val="single" w:sz="4" w:space="0" w:color="000000"/>
            </w:tcBorders>
            <w:vAlign w:val="center"/>
          </w:tcPr>
          <w:p w14:paraId="54692F6E" w14:textId="76B8255E" w:rsidR="001209AF" w:rsidRPr="00F7245E" w:rsidRDefault="001209AF" w:rsidP="00A21724">
            <w:pPr>
              <w:ind w:right="4"/>
              <w:jc w:val="center"/>
            </w:pPr>
          </w:p>
        </w:tc>
        <w:tc>
          <w:tcPr>
            <w:tcW w:w="1276" w:type="dxa"/>
            <w:tcBorders>
              <w:top w:val="single" w:sz="4" w:space="0" w:color="000000"/>
              <w:left w:val="single" w:sz="4" w:space="0" w:color="000000"/>
              <w:bottom w:val="single" w:sz="4" w:space="0" w:color="000000"/>
              <w:right w:val="single" w:sz="4" w:space="0" w:color="000000"/>
            </w:tcBorders>
            <w:vAlign w:val="center"/>
          </w:tcPr>
          <w:p w14:paraId="624D79E2" w14:textId="117E8FE5" w:rsidR="001209AF" w:rsidRPr="00F7245E" w:rsidRDefault="001209AF" w:rsidP="00A21724">
            <w:pPr>
              <w:ind w:right="5"/>
              <w:jc w:val="center"/>
            </w:pPr>
          </w:p>
        </w:tc>
      </w:tr>
      <w:tr w:rsidR="001209AF" w:rsidRPr="00F7245E" w14:paraId="63170BC3" w14:textId="77777777" w:rsidTr="008D3D74">
        <w:trPr>
          <w:trHeight w:val="263"/>
        </w:trPr>
        <w:tc>
          <w:tcPr>
            <w:tcW w:w="2410" w:type="dxa"/>
            <w:tcBorders>
              <w:top w:val="single" w:sz="4" w:space="0" w:color="000000"/>
              <w:left w:val="single" w:sz="4" w:space="0" w:color="000000"/>
              <w:bottom w:val="single" w:sz="4" w:space="0" w:color="000000"/>
              <w:right w:val="single" w:sz="4" w:space="0" w:color="000000"/>
            </w:tcBorders>
          </w:tcPr>
          <w:p w14:paraId="13A47DE8" w14:textId="46471BC7" w:rsidR="001209AF" w:rsidRPr="00F7245E" w:rsidRDefault="001209AF" w:rsidP="00A21724">
            <w:pPr>
              <w:ind w:firstLine="316"/>
            </w:pPr>
            <w:r w:rsidRPr="00F7245E">
              <w:t>Intracranial</w:t>
            </w:r>
            <w:r w:rsidR="005346CC" w:rsidRPr="00F7245E">
              <w:t>is</w:t>
            </w:r>
            <w:r w:rsidRPr="00F7245E">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287EDDD6" w14:textId="183BFE08" w:rsidR="001209AF" w:rsidRPr="00F7245E" w:rsidRDefault="001209AF" w:rsidP="00A21724">
            <w:pPr>
              <w:ind w:right="57"/>
              <w:jc w:val="center"/>
            </w:pPr>
            <w:r w:rsidRPr="00F7245E">
              <w:t>52 (0</w:t>
            </w:r>
            <w:r w:rsidR="00AB77EB" w:rsidRPr="00F7245E">
              <w:t>,</w:t>
            </w:r>
            <w:r w:rsidRPr="00F7245E">
              <w:t>33)</w:t>
            </w:r>
          </w:p>
        </w:tc>
        <w:tc>
          <w:tcPr>
            <w:tcW w:w="1843" w:type="dxa"/>
            <w:tcBorders>
              <w:top w:val="single" w:sz="4" w:space="0" w:color="000000"/>
              <w:left w:val="single" w:sz="4" w:space="0" w:color="000000"/>
              <w:bottom w:val="single" w:sz="4" w:space="0" w:color="000000"/>
              <w:right w:val="single" w:sz="4" w:space="0" w:color="000000"/>
            </w:tcBorders>
            <w:vAlign w:val="center"/>
          </w:tcPr>
          <w:p w14:paraId="26112932" w14:textId="508D348C" w:rsidR="001209AF" w:rsidRPr="00F7245E" w:rsidRDefault="001209AF" w:rsidP="00A21724">
            <w:pPr>
              <w:ind w:right="56"/>
              <w:jc w:val="center"/>
            </w:pPr>
            <w:r w:rsidRPr="00F7245E">
              <w:t>122 (0</w:t>
            </w:r>
            <w:r w:rsidR="00AB77EB" w:rsidRPr="00F7245E">
              <w:t>,</w:t>
            </w:r>
            <w:r w:rsidRPr="00F7245E">
              <w:t>80)</w:t>
            </w:r>
          </w:p>
        </w:tc>
        <w:tc>
          <w:tcPr>
            <w:tcW w:w="1842" w:type="dxa"/>
            <w:tcBorders>
              <w:top w:val="single" w:sz="4" w:space="0" w:color="000000"/>
              <w:left w:val="single" w:sz="4" w:space="0" w:color="000000"/>
              <w:bottom w:val="single" w:sz="4" w:space="0" w:color="000000"/>
              <w:right w:val="single" w:sz="4" w:space="0" w:color="000000"/>
            </w:tcBorders>
            <w:vAlign w:val="center"/>
          </w:tcPr>
          <w:p w14:paraId="7B661D74" w14:textId="5425CF2D" w:rsidR="001209AF" w:rsidRPr="00F7245E" w:rsidRDefault="001209AF" w:rsidP="00A21724">
            <w:pPr>
              <w:ind w:right="3"/>
              <w:jc w:val="center"/>
            </w:pPr>
          </w:p>
        </w:tc>
        <w:tc>
          <w:tcPr>
            <w:tcW w:w="1276" w:type="dxa"/>
            <w:tcBorders>
              <w:top w:val="single" w:sz="4" w:space="0" w:color="000000"/>
              <w:left w:val="single" w:sz="4" w:space="0" w:color="000000"/>
              <w:bottom w:val="single" w:sz="4" w:space="0" w:color="000000"/>
              <w:right w:val="single" w:sz="4" w:space="0" w:color="000000"/>
            </w:tcBorders>
            <w:vAlign w:val="center"/>
          </w:tcPr>
          <w:p w14:paraId="1784F77C" w14:textId="4989D5E7" w:rsidR="001209AF" w:rsidRPr="00F7245E" w:rsidRDefault="001209AF" w:rsidP="00A21724">
            <w:pPr>
              <w:ind w:right="4"/>
              <w:jc w:val="center"/>
            </w:pPr>
          </w:p>
        </w:tc>
      </w:tr>
      <w:tr w:rsidR="001209AF" w:rsidRPr="00F7245E" w14:paraId="0B77D153" w14:textId="77777777" w:rsidTr="008D3D74">
        <w:trPr>
          <w:trHeight w:val="288"/>
        </w:trPr>
        <w:tc>
          <w:tcPr>
            <w:tcW w:w="2410" w:type="dxa"/>
            <w:tcBorders>
              <w:top w:val="single" w:sz="4" w:space="0" w:color="000000"/>
              <w:left w:val="single" w:sz="4" w:space="0" w:color="000000"/>
              <w:bottom w:val="single" w:sz="4" w:space="0" w:color="000000"/>
              <w:right w:val="single" w:sz="4" w:space="0" w:color="000000"/>
            </w:tcBorders>
          </w:tcPr>
          <w:p w14:paraId="062B2F21" w14:textId="3B6A3D2D" w:rsidR="001209AF" w:rsidRPr="00F7245E" w:rsidRDefault="003C5E73" w:rsidP="00A21724">
            <w:pPr>
              <w:ind w:left="32" w:right="91"/>
            </w:pPr>
            <w:r w:rsidRPr="00F7245E">
              <w:t>Nagyfokú</w:t>
            </w:r>
            <w:r w:rsidR="009443CC">
              <w:t xml:space="preserve"> + CRNM</w:t>
            </w:r>
            <w:proofErr w:type="gramStart"/>
            <w:r w:rsidR="009443CC" w:rsidRPr="009C7E84">
              <w:rPr>
                <w:vertAlign w:val="superscript"/>
              </w:rPr>
              <w:t>†</w:t>
            </w:r>
            <w:proofErr w:type="gramEnd"/>
          </w:p>
        </w:tc>
        <w:tc>
          <w:tcPr>
            <w:tcW w:w="1843" w:type="dxa"/>
            <w:tcBorders>
              <w:top w:val="single" w:sz="4" w:space="0" w:color="000000"/>
              <w:left w:val="single" w:sz="4" w:space="0" w:color="000000"/>
              <w:bottom w:val="single" w:sz="4" w:space="0" w:color="000000"/>
              <w:right w:val="single" w:sz="4" w:space="0" w:color="000000"/>
            </w:tcBorders>
            <w:vAlign w:val="center"/>
          </w:tcPr>
          <w:p w14:paraId="41BBBF0F" w14:textId="47DFCF9E" w:rsidR="001209AF" w:rsidRPr="00F7245E" w:rsidRDefault="001209AF" w:rsidP="00A21724">
            <w:pPr>
              <w:ind w:right="59"/>
              <w:jc w:val="center"/>
            </w:pPr>
            <w:r w:rsidRPr="00F7245E">
              <w:t>613 (4</w:t>
            </w:r>
            <w:r w:rsidR="00AB77EB" w:rsidRPr="00F7245E">
              <w:t>,</w:t>
            </w:r>
            <w:r w:rsidRPr="00F7245E">
              <w:t>07)</w:t>
            </w:r>
          </w:p>
        </w:tc>
        <w:tc>
          <w:tcPr>
            <w:tcW w:w="1843" w:type="dxa"/>
            <w:tcBorders>
              <w:top w:val="single" w:sz="4" w:space="0" w:color="000000"/>
              <w:left w:val="single" w:sz="4" w:space="0" w:color="000000"/>
              <w:bottom w:val="single" w:sz="4" w:space="0" w:color="000000"/>
              <w:right w:val="single" w:sz="4" w:space="0" w:color="000000"/>
            </w:tcBorders>
            <w:vAlign w:val="center"/>
          </w:tcPr>
          <w:p w14:paraId="5A9D7385" w14:textId="702CABEC" w:rsidR="001209AF" w:rsidRPr="00F7245E" w:rsidRDefault="001209AF" w:rsidP="00A21724">
            <w:pPr>
              <w:ind w:right="58"/>
              <w:jc w:val="center"/>
            </w:pPr>
            <w:r w:rsidRPr="00F7245E">
              <w:t>877 (6</w:t>
            </w:r>
            <w:r w:rsidR="00AB77EB" w:rsidRPr="00F7245E">
              <w:t>,</w:t>
            </w:r>
            <w:r w:rsidRPr="00F7245E">
              <w:t>01)</w:t>
            </w:r>
          </w:p>
        </w:tc>
        <w:tc>
          <w:tcPr>
            <w:tcW w:w="1842" w:type="dxa"/>
            <w:tcBorders>
              <w:top w:val="single" w:sz="4" w:space="0" w:color="000000"/>
              <w:left w:val="single" w:sz="4" w:space="0" w:color="000000"/>
              <w:bottom w:val="single" w:sz="4" w:space="0" w:color="000000"/>
              <w:right w:val="single" w:sz="4" w:space="0" w:color="000000"/>
            </w:tcBorders>
            <w:vAlign w:val="center"/>
          </w:tcPr>
          <w:p w14:paraId="6565A3AF" w14:textId="074B8C0A" w:rsidR="001209AF" w:rsidRPr="00F7245E" w:rsidRDefault="001209AF" w:rsidP="00A21724">
            <w:pPr>
              <w:ind w:right="59"/>
              <w:jc w:val="center"/>
            </w:pPr>
            <w:r w:rsidRPr="00F7245E">
              <w:t>0</w:t>
            </w:r>
            <w:r w:rsidR="00AB77EB" w:rsidRPr="00F7245E">
              <w:t>,</w:t>
            </w:r>
            <w:r w:rsidRPr="00F7245E">
              <w:t>68 (0</w:t>
            </w:r>
            <w:r w:rsidR="00AB77EB" w:rsidRPr="00F7245E">
              <w:t>,</w:t>
            </w:r>
            <w:r w:rsidRPr="00F7245E">
              <w:t>61</w:t>
            </w:r>
            <w:r w:rsidR="00C10062" w:rsidRPr="00F7245E">
              <w:t>;</w:t>
            </w:r>
            <w:r w:rsidRPr="00F7245E">
              <w:t xml:space="preserve"> 0</w:t>
            </w:r>
            <w:r w:rsidR="00AB77EB" w:rsidRPr="00F7245E">
              <w:t>,</w:t>
            </w:r>
            <w:r w:rsidRPr="00F7245E">
              <w:t>75)</w:t>
            </w:r>
          </w:p>
        </w:tc>
        <w:tc>
          <w:tcPr>
            <w:tcW w:w="1276" w:type="dxa"/>
            <w:tcBorders>
              <w:top w:val="single" w:sz="4" w:space="0" w:color="000000"/>
              <w:left w:val="single" w:sz="4" w:space="0" w:color="000000"/>
              <w:bottom w:val="single" w:sz="4" w:space="0" w:color="000000"/>
              <w:right w:val="single" w:sz="4" w:space="0" w:color="000000"/>
            </w:tcBorders>
            <w:vAlign w:val="center"/>
          </w:tcPr>
          <w:p w14:paraId="07455FC6" w14:textId="4C6BCEBA" w:rsidR="001209AF" w:rsidRPr="00F7245E" w:rsidRDefault="001209AF" w:rsidP="00A21724">
            <w:pPr>
              <w:ind w:right="61"/>
              <w:jc w:val="center"/>
            </w:pPr>
            <w:r w:rsidRPr="00F7245E">
              <w:t>&lt; 0</w:t>
            </w:r>
            <w:r w:rsidR="00AB77EB" w:rsidRPr="00F7245E">
              <w:t>,</w:t>
            </w:r>
            <w:r w:rsidRPr="00F7245E">
              <w:t>0001</w:t>
            </w:r>
          </w:p>
        </w:tc>
      </w:tr>
      <w:tr w:rsidR="001209AF" w:rsidRPr="00F7245E" w14:paraId="14098130" w14:textId="77777777" w:rsidTr="008D3D74">
        <w:trPr>
          <w:trHeight w:val="263"/>
        </w:trPr>
        <w:tc>
          <w:tcPr>
            <w:tcW w:w="2410" w:type="dxa"/>
            <w:tcBorders>
              <w:top w:val="single" w:sz="4" w:space="0" w:color="000000"/>
              <w:left w:val="single" w:sz="4" w:space="0" w:color="000000"/>
              <w:bottom w:val="single" w:sz="4" w:space="0" w:color="000000"/>
              <w:right w:val="single" w:sz="4" w:space="0" w:color="000000"/>
            </w:tcBorders>
          </w:tcPr>
          <w:p w14:paraId="0EA61EF1" w14:textId="40C27DEF" w:rsidR="001209AF" w:rsidRPr="00F7245E" w:rsidRDefault="003C5E73" w:rsidP="00A21724">
            <w:pPr>
              <w:ind w:firstLine="32"/>
            </w:pPr>
            <w:r w:rsidRPr="00F7245E">
              <w:t>Összes</w:t>
            </w:r>
            <w:r w:rsidR="001209AF" w:rsidRPr="00F7245E">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15FDC976" w14:textId="5EE69002" w:rsidR="001209AF" w:rsidRPr="00F7245E" w:rsidRDefault="001209AF" w:rsidP="00A21724">
            <w:pPr>
              <w:ind w:right="62"/>
              <w:jc w:val="center"/>
            </w:pPr>
            <w:r w:rsidRPr="00F7245E">
              <w:t>2356 (18</w:t>
            </w:r>
            <w:r w:rsidR="00AB77EB" w:rsidRPr="00F7245E">
              <w:t>,</w:t>
            </w:r>
            <w:r w:rsidRPr="00F7245E">
              <w:t>1)</w:t>
            </w:r>
          </w:p>
        </w:tc>
        <w:tc>
          <w:tcPr>
            <w:tcW w:w="1843" w:type="dxa"/>
            <w:tcBorders>
              <w:top w:val="single" w:sz="4" w:space="0" w:color="000000"/>
              <w:left w:val="single" w:sz="4" w:space="0" w:color="000000"/>
              <w:bottom w:val="single" w:sz="4" w:space="0" w:color="000000"/>
              <w:right w:val="single" w:sz="4" w:space="0" w:color="000000"/>
            </w:tcBorders>
            <w:vAlign w:val="center"/>
          </w:tcPr>
          <w:p w14:paraId="44267967" w14:textId="4E2F7FC8" w:rsidR="001209AF" w:rsidRPr="00F7245E" w:rsidRDefault="001209AF" w:rsidP="00A21724">
            <w:pPr>
              <w:ind w:right="60"/>
              <w:jc w:val="center"/>
            </w:pPr>
            <w:r w:rsidRPr="00F7245E">
              <w:t>3060 (25</w:t>
            </w:r>
            <w:r w:rsidR="00AB77EB" w:rsidRPr="00F7245E">
              <w:t>,</w:t>
            </w:r>
            <w:r w:rsidRPr="00F7245E">
              <w:t>8)</w:t>
            </w:r>
          </w:p>
        </w:tc>
        <w:tc>
          <w:tcPr>
            <w:tcW w:w="1842" w:type="dxa"/>
            <w:tcBorders>
              <w:top w:val="single" w:sz="4" w:space="0" w:color="000000"/>
              <w:left w:val="single" w:sz="4" w:space="0" w:color="000000"/>
              <w:bottom w:val="single" w:sz="4" w:space="0" w:color="000000"/>
              <w:right w:val="single" w:sz="4" w:space="0" w:color="000000"/>
            </w:tcBorders>
            <w:vAlign w:val="center"/>
          </w:tcPr>
          <w:p w14:paraId="130C2D7A" w14:textId="78481686" w:rsidR="001209AF" w:rsidRPr="00F7245E" w:rsidRDefault="001209AF" w:rsidP="00A21724">
            <w:pPr>
              <w:ind w:right="60"/>
              <w:jc w:val="center"/>
            </w:pPr>
            <w:r w:rsidRPr="00F7245E">
              <w:t>0</w:t>
            </w:r>
            <w:r w:rsidR="00AB77EB" w:rsidRPr="00F7245E">
              <w:t>,</w:t>
            </w:r>
            <w:r w:rsidRPr="00F7245E">
              <w:t>71 (0</w:t>
            </w:r>
            <w:r w:rsidR="00AB77EB" w:rsidRPr="00F7245E">
              <w:t>,</w:t>
            </w:r>
            <w:r w:rsidRPr="00F7245E">
              <w:t>68</w:t>
            </w:r>
            <w:r w:rsidR="00C10062" w:rsidRPr="00F7245E">
              <w:t>;</w:t>
            </w:r>
            <w:r w:rsidRPr="00F7245E">
              <w:t xml:space="preserve"> 0</w:t>
            </w:r>
            <w:r w:rsidR="00AB77EB" w:rsidRPr="00F7245E">
              <w:t>,</w:t>
            </w:r>
            <w:r w:rsidRPr="00F7245E">
              <w:t>75)</w:t>
            </w:r>
          </w:p>
        </w:tc>
        <w:tc>
          <w:tcPr>
            <w:tcW w:w="1276" w:type="dxa"/>
            <w:tcBorders>
              <w:top w:val="single" w:sz="4" w:space="0" w:color="000000"/>
              <w:left w:val="single" w:sz="4" w:space="0" w:color="000000"/>
              <w:bottom w:val="single" w:sz="4" w:space="0" w:color="000000"/>
              <w:right w:val="single" w:sz="4" w:space="0" w:color="000000"/>
            </w:tcBorders>
            <w:vAlign w:val="center"/>
          </w:tcPr>
          <w:p w14:paraId="5539589E" w14:textId="0AA59247" w:rsidR="001209AF" w:rsidRPr="00F7245E" w:rsidRDefault="001209AF" w:rsidP="00A21724">
            <w:pPr>
              <w:ind w:right="61"/>
              <w:jc w:val="center"/>
            </w:pPr>
            <w:r w:rsidRPr="00F7245E">
              <w:t>&lt; 0</w:t>
            </w:r>
            <w:r w:rsidR="00AB77EB" w:rsidRPr="00F7245E">
              <w:t>,</w:t>
            </w:r>
            <w:r w:rsidRPr="00F7245E">
              <w:t>0001</w:t>
            </w:r>
          </w:p>
        </w:tc>
      </w:tr>
      <w:tr w:rsidR="001209AF" w:rsidRPr="00F7245E" w14:paraId="66E33DEC" w14:textId="77777777" w:rsidTr="00AB77EB">
        <w:trPr>
          <w:trHeight w:val="383"/>
        </w:trPr>
        <w:tc>
          <w:tcPr>
            <w:tcW w:w="9214" w:type="dxa"/>
            <w:gridSpan w:val="5"/>
            <w:tcBorders>
              <w:top w:val="single" w:sz="4" w:space="0" w:color="000000"/>
              <w:left w:val="single" w:sz="4" w:space="0" w:color="000000"/>
              <w:bottom w:val="single" w:sz="4" w:space="0" w:color="000000"/>
              <w:right w:val="single" w:sz="4" w:space="0" w:color="000000"/>
            </w:tcBorders>
          </w:tcPr>
          <w:p w14:paraId="4BADD578" w14:textId="34EEDC4E" w:rsidR="001209AF" w:rsidRPr="00F7245E" w:rsidRDefault="003C5E73" w:rsidP="00A21724">
            <w:r w:rsidRPr="00F7245E">
              <w:t>Egyéb végpontok</w:t>
            </w:r>
          </w:p>
        </w:tc>
      </w:tr>
      <w:tr w:rsidR="001209AF" w:rsidRPr="00F7245E" w14:paraId="24039888" w14:textId="77777777" w:rsidTr="008D3D74">
        <w:trPr>
          <w:trHeight w:val="658"/>
        </w:trPr>
        <w:tc>
          <w:tcPr>
            <w:tcW w:w="2410" w:type="dxa"/>
            <w:tcBorders>
              <w:top w:val="single" w:sz="4" w:space="0" w:color="000000"/>
              <w:left w:val="single" w:sz="4" w:space="0" w:color="000000"/>
              <w:bottom w:val="single" w:sz="4" w:space="0" w:color="000000"/>
              <w:right w:val="single" w:sz="4" w:space="0" w:color="000000"/>
            </w:tcBorders>
            <w:vAlign w:val="center"/>
          </w:tcPr>
          <w:p w14:paraId="36CB8510" w14:textId="66AE2820" w:rsidR="001209AF" w:rsidRPr="00F7245E" w:rsidRDefault="008D3D74" w:rsidP="00A21724">
            <w:pPr>
              <w:ind w:firstLine="32"/>
            </w:pPr>
            <w:r w:rsidRPr="00F7245E">
              <w:rPr>
                <w:w w:val="105"/>
              </w:rPr>
              <w:t>Bármely okból bekövetkező m</w:t>
            </w:r>
            <w:r w:rsidR="003C5E73" w:rsidRPr="00F7245E">
              <w:t>ortalitás</w:t>
            </w:r>
            <w:r w:rsidR="001209AF" w:rsidRPr="00F7245E">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38BC9A18" w14:textId="2E5625DA" w:rsidR="001209AF" w:rsidRPr="00F7245E" w:rsidRDefault="001209AF" w:rsidP="00A21724">
            <w:pPr>
              <w:ind w:right="62"/>
              <w:jc w:val="center"/>
            </w:pPr>
            <w:r w:rsidRPr="00F7245E">
              <w:t>603 (3</w:t>
            </w:r>
            <w:r w:rsidR="00AB77EB" w:rsidRPr="00F7245E">
              <w:t>,</w:t>
            </w:r>
            <w:r w:rsidRPr="00F7245E">
              <w:t>52)</w:t>
            </w:r>
          </w:p>
        </w:tc>
        <w:tc>
          <w:tcPr>
            <w:tcW w:w="1843" w:type="dxa"/>
            <w:tcBorders>
              <w:top w:val="single" w:sz="4" w:space="0" w:color="000000"/>
              <w:left w:val="single" w:sz="4" w:space="0" w:color="000000"/>
              <w:bottom w:val="single" w:sz="4" w:space="0" w:color="000000"/>
              <w:right w:val="single" w:sz="4" w:space="0" w:color="000000"/>
            </w:tcBorders>
            <w:vAlign w:val="center"/>
          </w:tcPr>
          <w:p w14:paraId="3670580C" w14:textId="39F6DA3D" w:rsidR="001209AF" w:rsidRPr="00F7245E" w:rsidRDefault="001209AF" w:rsidP="00A21724">
            <w:pPr>
              <w:ind w:right="60"/>
              <w:jc w:val="center"/>
            </w:pPr>
            <w:r w:rsidRPr="00F7245E">
              <w:t>669 (3</w:t>
            </w:r>
            <w:r w:rsidR="00AB77EB" w:rsidRPr="00F7245E">
              <w:t>,</w:t>
            </w:r>
            <w:r w:rsidRPr="00F7245E">
              <w:t>94)</w:t>
            </w:r>
          </w:p>
        </w:tc>
        <w:tc>
          <w:tcPr>
            <w:tcW w:w="1842" w:type="dxa"/>
            <w:tcBorders>
              <w:top w:val="single" w:sz="4" w:space="0" w:color="000000"/>
              <w:left w:val="single" w:sz="4" w:space="0" w:color="000000"/>
              <w:bottom w:val="single" w:sz="4" w:space="0" w:color="000000"/>
              <w:right w:val="single" w:sz="4" w:space="0" w:color="000000"/>
            </w:tcBorders>
            <w:vAlign w:val="center"/>
          </w:tcPr>
          <w:p w14:paraId="0EEE8939" w14:textId="00950A0B" w:rsidR="001209AF" w:rsidRPr="00F7245E" w:rsidRDefault="001209AF" w:rsidP="00A21724">
            <w:pPr>
              <w:ind w:right="60"/>
              <w:jc w:val="center"/>
            </w:pPr>
            <w:r w:rsidRPr="00F7245E">
              <w:t>0</w:t>
            </w:r>
            <w:r w:rsidR="00AB77EB" w:rsidRPr="00F7245E">
              <w:t>,</w:t>
            </w:r>
            <w:r w:rsidRPr="00F7245E">
              <w:t>89 (0</w:t>
            </w:r>
            <w:r w:rsidR="00AB77EB" w:rsidRPr="00F7245E">
              <w:t>,</w:t>
            </w:r>
            <w:r w:rsidRPr="00F7245E">
              <w:t>80</w:t>
            </w:r>
            <w:r w:rsidR="00C10062" w:rsidRPr="00F7245E">
              <w:t>;</w:t>
            </w:r>
            <w:r w:rsidRPr="00F7245E">
              <w:t xml:space="preserve"> 1</w:t>
            </w:r>
            <w:r w:rsidR="00AB77EB" w:rsidRPr="00F7245E">
              <w:t>,</w:t>
            </w:r>
            <w:r w:rsidRPr="00F7245E">
              <w:t>00)</w:t>
            </w:r>
          </w:p>
        </w:tc>
        <w:tc>
          <w:tcPr>
            <w:tcW w:w="1276" w:type="dxa"/>
            <w:tcBorders>
              <w:top w:val="single" w:sz="4" w:space="0" w:color="000000"/>
              <w:left w:val="single" w:sz="4" w:space="0" w:color="000000"/>
              <w:bottom w:val="single" w:sz="4" w:space="0" w:color="000000"/>
              <w:right w:val="single" w:sz="4" w:space="0" w:color="000000"/>
            </w:tcBorders>
            <w:vAlign w:val="center"/>
          </w:tcPr>
          <w:p w14:paraId="70130068" w14:textId="1A0BE982" w:rsidR="001209AF" w:rsidRPr="00F7245E" w:rsidRDefault="001209AF" w:rsidP="00A21724">
            <w:pPr>
              <w:ind w:right="62"/>
              <w:jc w:val="center"/>
            </w:pPr>
            <w:r w:rsidRPr="00F7245E">
              <w:t>0</w:t>
            </w:r>
            <w:r w:rsidR="00AB77EB" w:rsidRPr="00F7245E">
              <w:t>,</w:t>
            </w:r>
            <w:r w:rsidRPr="00F7245E">
              <w:t>0465</w:t>
            </w:r>
          </w:p>
        </w:tc>
      </w:tr>
      <w:tr w:rsidR="001209AF" w:rsidRPr="00F7245E" w14:paraId="771D3603" w14:textId="77777777" w:rsidTr="008D3D74">
        <w:trPr>
          <w:trHeight w:val="357"/>
        </w:trPr>
        <w:tc>
          <w:tcPr>
            <w:tcW w:w="2410" w:type="dxa"/>
            <w:tcBorders>
              <w:top w:val="single" w:sz="4" w:space="0" w:color="000000"/>
              <w:left w:val="single" w:sz="4" w:space="0" w:color="000000"/>
              <w:bottom w:val="single" w:sz="4" w:space="0" w:color="000000"/>
              <w:right w:val="single" w:sz="4" w:space="0" w:color="000000"/>
            </w:tcBorders>
            <w:vAlign w:val="center"/>
          </w:tcPr>
          <w:p w14:paraId="38FF71E6" w14:textId="2D55D269" w:rsidR="001209AF" w:rsidRPr="00F7245E" w:rsidRDefault="001209AF" w:rsidP="00A21724">
            <w:pPr>
              <w:ind w:left="316" w:hanging="316"/>
            </w:pPr>
            <w:r w:rsidRPr="00F7245E">
              <w:t>Myocardial</w:t>
            </w:r>
            <w:r w:rsidR="003C5E73" w:rsidRPr="00F7245E">
              <w:t>is</w:t>
            </w:r>
            <w:r w:rsidRPr="00F7245E">
              <w:t xml:space="preserve"> </w:t>
            </w:r>
            <w:r w:rsidR="00517956" w:rsidRPr="00F7245E">
              <w:t>infarctus</w:t>
            </w:r>
            <w:r w:rsidRPr="00F7245E">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3AC14BE3" w14:textId="44C0A707" w:rsidR="001209AF" w:rsidRPr="00F7245E" w:rsidRDefault="001209AF" w:rsidP="00A21724">
            <w:pPr>
              <w:ind w:right="65"/>
              <w:jc w:val="center"/>
            </w:pPr>
            <w:r w:rsidRPr="00F7245E">
              <w:t>90 (0</w:t>
            </w:r>
            <w:r w:rsidR="00AB77EB" w:rsidRPr="00F7245E">
              <w:t>,</w:t>
            </w:r>
            <w:r w:rsidRPr="00F7245E">
              <w:t xml:space="preserve">53)  </w:t>
            </w:r>
          </w:p>
        </w:tc>
        <w:tc>
          <w:tcPr>
            <w:tcW w:w="1843" w:type="dxa"/>
            <w:tcBorders>
              <w:top w:val="single" w:sz="4" w:space="0" w:color="000000"/>
              <w:left w:val="single" w:sz="4" w:space="0" w:color="000000"/>
              <w:bottom w:val="single" w:sz="4" w:space="0" w:color="000000"/>
              <w:right w:val="single" w:sz="4" w:space="0" w:color="000000"/>
            </w:tcBorders>
            <w:vAlign w:val="center"/>
          </w:tcPr>
          <w:p w14:paraId="24891A4F" w14:textId="504A1DB8" w:rsidR="001209AF" w:rsidRPr="00F7245E" w:rsidRDefault="001209AF" w:rsidP="00A21724">
            <w:pPr>
              <w:ind w:right="60"/>
              <w:jc w:val="center"/>
            </w:pPr>
            <w:r w:rsidRPr="00F7245E">
              <w:t>102 (0</w:t>
            </w:r>
            <w:r w:rsidR="00AB77EB" w:rsidRPr="00F7245E">
              <w:t>,</w:t>
            </w:r>
            <w:r w:rsidRPr="00F7245E">
              <w:t xml:space="preserve">61) </w:t>
            </w:r>
          </w:p>
        </w:tc>
        <w:tc>
          <w:tcPr>
            <w:tcW w:w="1842" w:type="dxa"/>
            <w:tcBorders>
              <w:top w:val="single" w:sz="4" w:space="0" w:color="000000"/>
              <w:left w:val="single" w:sz="4" w:space="0" w:color="000000"/>
              <w:bottom w:val="single" w:sz="4" w:space="0" w:color="000000"/>
              <w:right w:val="single" w:sz="4" w:space="0" w:color="000000"/>
            </w:tcBorders>
            <w:vAlign w:val="center"/>
          </w:tcPr>
          <w:p w14:paraId="3AC3102E" w14:textId="70AF091B" w:rsidR="001209AF" w:rsidRPr="00F7245E" w:rsidRDefault="001209AF" w:rsidP="00A21724">
            <w:pPr>
              <w:ind w:right="60"/>
              <w:jc w:val="center"/>
            </w:pPr>
            <w:r w:rsidRPr="00F7245E">
              <w:t>0</w:t>
            </w:r>
            <w:r w:rsidR="00AB77EB" w:rsidRPr="00F7245E">
              <w:t>,</w:t>
            </w:r>
            <w:r w:rsidRPr="00F7245E">
              <w:t>88 (0</w:t>
            </w:r>
            <w:r w:rsidR="00AB77EB" w:rsidRPr="00F7245E">
              <w:t>,</w:t>
            </w:r>
            <w:r w:rsidRPr="00F7245E">
              <w:t>66</w:t>
            </w:r>
            <w:r w:rsidR="00C10062" w:rsidRPr="00F7245E">
              <w:t>;</w:t>
            </w:r>
            <w:r w:rsidRPr="00F7245E">
              <w:t xml:space="preserve"> 1</w:t>
            </w:r>
            <w:r w:rsidR="00AB77EB" w:rsidRPr="00F7245E">
              <w:t>,</w:t>
            </w:r>
            <w:r w:rsidRPr="00F7245E">
              <w:t xml:space="preserve">17) </w:t>
            </w:r>
          </w:p>
        </w:tc>
        <w:tc>
          <w:tcPr>
            <w:tcW w:w="1276" w:type="dxa"/>
            <w:tcBorders>
              <w:top w:val="single" w:sz="4" w:space="0" w:color="000000"/>
              <w:left w:val="single" w:sz="4" w:space="0" w:color="000000"/>
              <w:bottom w:val="single" w:sz="4" w:space="0" w:color="000000"/>
              <w:right w:val="single" w:sz="4" w:space="0" w:color="000000"/>
            </w:tcBorders>
            <w:vAlign w:val="center"/>
          </w:tcPr>
          <w:p w14:paraId="6850997D" w14:textId="77777777" w:rsidR="001209AF" w:rsidRPr="00F7245E" w:rsidRDefault="001209AF" w:rsidP="00A21724">
            <w:pPr>
              <w:ind w:right="8"/>
              <w:jc w:val="center"/>
            </w:pPr>
            <w:r w:rsidRPr="00F7245E">
              <w:t xml:space="preserve"> </w:t>
            </w:r>
          </w:p>
        </w:tc>
      </w:tr>
    </w:tbl>
    <w:p w14:paraId="3D2C2F7F" w14:textId="62DA7848" w:rsidR="009443CC" w:rsidRPr="009443CC" w:rsidRDefault="001209AF" w:rsidP="009443CC">
      <w:pPr>
        <w:ind w:left="47"/>
        <w:rPr>
          <w:w w:val="105"/>
          <w:sz w:val="20"/>
        </w:rPr>
      </w:pPr>
      <w:r w:rsidRPr="00F7245E">
        <w:rPr>
          <w:sz w:val="20"/>
        </w:rPr>
        <w:t xml:space="preserve">* </w:t>
      </w:r>
      <w:r w:rsidR="00B62AE4" w:rsidRPr="00F7245E">
        <w:rPr>
          <w:w w:val="105"/>
          <w:sz w:val="20"/>
        </w:rPr>
        <w:t>A</w:t>
      </w:r>
      <w:r w:rsidR="00B62AE4" w:rsidRPr="00F7245E">
        <w:rPr>
          <w:spacing w:val="-13"/>
          <w:w w:val="105"/>
          <w:sz w:val="20"/>
        </w:rPr>
        <w:t xml:space="preserve"> </w:t>
      </w:r>
      <w:r w:rsidR="00B62AE4" w:rsidRPr="00F7245E">
        <w:rPr>
          <w:w w:val="105"/>
          <w:sz w:val="20"/>
        </w:rPr>
        <w:t>nagyfokú</w:t>
      </w:r>
      <w:r w:rsidR="00B62AE4" w:rsidRPr="00F7245E">
        <w:rPr>
          <w:spacing w:val="-13"/>
          <w:w w:val="105"/>
          <w:sz w:val="20"/>
        </w:rPr>
        <w:t xml:space="preserve"> </w:t>
      </w:r>
      <w:r w:rsidR="00B62AE4" w:rsidRPr="00F7245E">
        <w:rPr>
          <w:w w:val="105"/>
          <w:sz w:val="20"/>
        </w:rPr>
        <w:t>vérzést</w:t>
      </w:r>
      <w:r w:rsidR="00B62AE4" w:rsidRPr="00F7245E">
        <w:rPr>
          <w:spacing w:val="-13"/>
          <w:w w:val="105"/>
          <w:sz w:val="20"/>
        </w:rPr>
        <w:t xml:space="preserve"> </w:t>
      </w:r>
      <w:r w:rsidR="00B62AE4" w:rsidRPr="00F7245E">
        <w:rPr>
          <w:w w:val="105"/>
          <w:sz w:val="20"/>
        </w:rPr>
        <w:t>a</w:t>
      </w:r>
      <w:r w:rsidR="00B62AE4" w:rsidRPr="00F7245E">
        <w:rPr>
          <w:spacing w:val="-12"/>
          <w:w w:val="105"/>
          <w:sz w:val="20"/>
        </w:rPr>
        <w:t xml:space="preserve"> </w:t>
      </w:r>
      <w:r w:rsidR="008D3D74" w:rsidRPr="00F7245E">
        <w:rPr>
          <w:w w:val="105"/>
          <w:sz w:val="20"/>
        </w:rPr>
        <w:t xml:space="preserve">Nemzetközi Thrombosis és Haemostasis Társaság </w:t>
      </w:r>
      <w:r w:rsidR="00B62AE4" w:rsidRPr="00F7245E">
        <w:rPr>
          <w:w w:val="105"/>
          <w:sz w:val="20"/>
        </w:rPr>
        <w:t>(ISTH</w:t>
      </w:r>
      <w:r w:rsidR="008D3D74" w:rsidRPr="00F7245E">
        <w:rPr>
          <w:w w:val="105"/>
          <w:sz w:val="20"/>
        </w:rPr>
        <w:t>,</w:t>
      </w:r>
      <w:r w:rsidR="00B62AE4" w:rsidRPr="00F7245E">
        <w:rPr>
          <w:spacing w:val="-14"/>
          <w:w w:val="105"/>
          <w:sz w:val="20"/>
        </w:rPr>
        <w:t xml:space="preserve"> </w:t>
      </w:r>
      <w:r w:rsidR="008D3D74" w:rsidRPr="00F7245E">
        <w:rPr>
          <w:w w:val="105"/>
          <w:sz w:val="20"/>
        </w:rPr>
        <w:t>International</w:t>
      </w:r>
      <w:r w:rsidR="008D3D74" w:rsidRPr="00F7245E">
        <w:rPr>
          <w:spacing w:val="-13"/>
          <w:w w:val="105"/>
          <w:sz w:val="20"/>
        </w:rPr>
        <w:t xml:space="preserve"> </w:t>
      </w:r>
      <w:r w:rsidR="008D3D74" w:rsidRPr="00F7245E">
        <w:rPr>
          <w:w w:val="105"/>
          <w:sz w:val="20"/>
        </w:rPr>
        <w:t>Society</w:t>
      </w:r>
      <w:r w:rsidR="008D3D74" w:rsidRPr="00F7245E">
        <w:rPr>
          <w:spacing w:val="-10"/>
          <w:w w:val="105"/>
          <w:sz w:val="20"/>
        </w:rPr>
        <w:t xml:space="preserve"> </w:t>
      </w:r>
      <w:r w:rsidR="008D3D74" w:rsidRPr="00F7245E">
        <w:rPr>
          <w:w w:val="105"/>
          <w:sz w:val="20"/>
        </w:rPr>
        <w:t>on</w:t>
      </w:r>
      <w:r w:rsidR="008D3D74" w:rsidRPr="00F7245E">
        <w:rPr>
          <w:spacing w:val="-13"/>
          <w:w w:val="105"/>
          <w:sz w:val="20"/>
        </w:rPr>
        <w:t xml:space="preserve"> </w:t>
      </w:r>
      <w:r w:rsidR="008D3D74" w:rsidRPr="00F7245E">
        <w:rPr>
          <w:w w:val="105"/>
          <w:sz w:val="20"/>
        </w:rPr>
        <w:t>Thrombosis</w:t>
      </w:r>
      <w:r w:rsidR="008D3D74" w:rsidRPr="00F7245E">
        <w:rPr>
          <w:spacing w:val="-12"/>
          <w:w w:val="105"/>
          <w:sz w:val="20"/>
        </w:rPr>
        <w:t xml:space="preserve"> </w:t>
      </w:r>
      <w:r w:rsidR="008D3D74" w:rsidRPr="00F7245E">
        <w:rPr>
          <w:w w:val="105"/>
          <w:sz w:val="20"/>
        </w:rPr>
        <w:t>and</w:t>
      </w:r>
      <w:r w:rsidR="008D3D74" w:rsidRPr="00F7245E">
        <w:rPr>
          <w:spacing w:val="-14"/>
          <w:w w:val="105"/>
          <w:sz w:val="20"/>
        </w:rPr>
        <w:t xml:space="preserve"> </w:t>
      </w:r>
      <w:r w:rsidR="008D3D74" w:rsidRPr="00F7245E">
        <w:rPr>
          <w:w w:val="105"/>
          <w:sz w:val="20"/>
        </w:rPr>
        <w:t>Haemostasis</w:t>
      </w:r>
      <w:r w:rsidR="00B62AE4" w:rsidRPr="00F7245E">
        <w:rPr>
          <w:w w:val="105"/>
          <w:sz w:val="20"/>
        </w:rPr>
        <w:t>) kritériumai szerint</w:t>
      </w:r>
      <w:r w:rsidR="00B62AE4" w:rsidRPr="00F7245E">
        <w:rPr>
          <w:spacing w:val="-19"/>
          <w:w w:val="105"/>
          <w:sz w:val="20"/>
        </w:rPr>
        <w:t xml:space="preserve"> </w:t>
      </w:r>
      <w:r w:rsidR="00B62AE4" w:rsidRPr="00F7245E">
        <w:rPr>
          <w:w w:val="105"/>
          <w:sz w:val="20"/>
        </w:rPr>
        <w:t>definiálták.</w:t>
      </w:r>
    </w:p>
    <w:p w14:paraId="7ABBBB52" w14:textId="3D3BCAF0" w:rsidR="00B62AE4" w:rsidRDefault="009443CC" w:rsidP="00A21724">
      <w:pPr>
        <w:pStyle w:val="Nincstrkz"/>
      </w:pPr>
      <w:r w:rsidRPr="009C7E84">
        <w:rPr>
          <w:vertAlign w:val="superscript"/>
        </w:rPr>
        <w:t>†</w:t>
      </w:r>
      <w:r w:rsidRPr="009C7E84">
        <w:t xml:space="preserve"> </w:t>
      </w:r>
      <w:r w:rsidRPr="0052750A">
        <w:t xml:space="preserve">Klinikailag </w:t>
      </w:r>
      <w:r>
        <w:t>jelentős</w:t>
      </w:r>
      <w:r w:rsidRPr="0052750A">
        <w:t xml:space="preserve">, nem </w:t>
      </w:r>
      <w:r>
        <w:t>súlyos vérzés</w:t>
      </w:r>
    </w:p>
    <w:p w14:paraId="39E52970" w14:textId="77777777" w:rsidR="009443CC" w:rsidRPr="00F7245E" w:rsidRDefault="009443CC" w:rsidP="00A21724">
      <w:pPr>
        <w:pStyle w:val="Nincstrkz"/>
        <w:rPr>
          <w:rFonts w:cs="Times New Roman"/>
        </w:rPr>
      </w:pPr>
    </w:p>
    <w:p w14:paraId="0F0E3938" w14:textId="3D596DA3" w:rsidR="00B62AE4" w:rsidRPr="00F7245E" w:rsidRDefault="00B62AE4" w:rsidP="00A21724">
      <w:pPr>
        <w:pStyle w:val="Nincstrkz"/>
        <w:rPr>
          <w:rFonts w:cs="Times New Roman"/>
        </w:rPr>
      </w:pPr>
      <w:r w:rsidRPr="00F7245E">
        <w:rPr>
          <w:rFonts w:cs="Times New Roman"/>
        </w:rPr>
        <w:t>Az ARISTOTLE</w:t>
      </w:r>
      <w:r w:rsidR="00AB77EB" w:rsidRPr="00F7245E">
        <w:rPr>
          <w:rFonts w:cs="Times New Roman"/>
        </w:rPr>
        <w:noBreakHyphen/>
      </w:r>
      <w:r w:rsidRPr="00F7245E">
        <w:rPr>
          <w:rFonts w:cs="Times New Roman"/>
        </w:rPr>
        <w:t xml:space="preserve">vizsgálatban a kezelés mellékhatások miatt történő abbahagyásának összesített aránya 1,8% volt az </w:t>
      </w:r>
      <w:r w:rsidR="00CA2919" w:rsidRPr="00F7245E">
        <w:rPr>
          <w:rFonts w:cs="Times New Roman"/>
        </w:rPr>
        <w:t xml:space="preserve">apixabán </w:t>
      </w:r>
      <w:r w:rsidRPr="00F7245E">
        <w:rPr>
          <w:rFonts w:cs="Times New Roman"/>
        </w:rPr>
        <w:t>és 2,6% volt a warfarin esetén.</w:t>
      </w:r>
    </w:p>
    <w:p w14:paraId="2FB5D9B5" w14:textId="77777777" w:rsidR="00B62AE4" w:rsidRPr="00F7245E" w:rsidRDefault="00B62AE4" w:rsidP="00A21724">
      <w:pPr>
        <w:pStyle w:val="Nincstrkz"/>
        <w:rPr>
          <w:rFonts w:cs="Times New Roman"/>
        </w:rPr>
      </w:pPr>
    </w:p>
    <w:p w14:paraId="6E6DCFB7" w14:textId="6E5565A1" w:rsidR="00B62AE4" w:rsidRPr="00F7245E" w:rsidRDefault="00B62AE4" w:rsidP="00A21724">
      <w:pPr>
        <w:pStyle w:val="Nincstrkz"/>
        <w:rPr>
          <w:rFonts w:cs="Times New Roman"/>
        </w:rPr>
      </w:pPr>
      <w:r w:rsidRPr="00F7245E">
        <w:rPr>
          <w:rFonts w:cs="Times New Roman"/>
        </w:rPr>
        <w:t>Az előre meghatározott alcsoportok, köztük a CHADS</w:t>
      </w:r>
      <w:r w:rsidR="0003285B" w:rsidRPr="00F7245E">
        <w:rPr>
          <w:rFonts w:cs="Times New Roman"/>
          <w:vertAlign w:val="subscript"/>
        </w:rPr>
        <w:t>2</w:t>
      </w:r>
      <w:r w:rsidRPr="00F7245E">
        <w:rPr>
          <w:rFonts w:cs="Times New Roman"/>
        </w:rPr>
        <w:t>-pontszám, az életkor, a testtömeg, a nem, a vesefunkció, a korábbi stroke vagy TIA és diabetes esetén a hatásossági eredmények összhangban voltak a vizsgálatban értékelt összpopuláció esetén kapott elsődleges hatásossági eredményekkel.</w:t>
      </w:r>
    </w:p>
    <w:p w14:paraId="05C68CF4" w14:textId="77777777" w:rsidR="00B62AE4" w:rsidRPr="00F7245E" w:rsidRDefault="00B62AE4" w:rsidP="00A21724">
      <w:pPr>
        <w:pStyle w:val="Nincstrkz"/>
        <w:rPr>
          <w:rFonts w:cs="Times New Roman"/>
        </w:rPr>
      </w:pPr>
    </w:p>
    <w:p w14:paraId="2D1A2EA7" w14:textId="2ACFE66D" w:rsidR="00B62AE4" w:rsidRPr="00F7245E" w:rsidRDefault="00B62AE4" w:rsidP="00A21724">
      <w:pPr>
        <w:pStyle w:val="Nincstrkz"/>
        <w:rPr>
          <w:rFonts w:cs="Times New Roman"/>
        </w:rPr>
      </w:pPr>
      <w:r w:rsidRPr="00F7245E">
        <w:rPr>
          <w:rFonts w:cs="Times New Roman"/>
        </w:rPr>
        <w:t xml:space="preserve">Az ISTH definíciója szerinti nagyfokú gastrointestinalis vérzések (beleértve a tápcsatorna felső, a tápcsatorna alsó részéről kiinduló, valamint a rectalis vérzést is) előfordulási gyakorisága 0,76%/év volt az </w:t>
      </w:r>
      <w:r w:rsidR="00CA2919" w:rsidRPr="00F7245E">
        <w:rPr>
          <w:rFonts w:cs="Times New Roman"/>
        </w:rPr>
        <w:t xml:space="preserve">apixabán </w:t>
      </w:r>
      <w:r w:rsidRPr="00F7245E">
        <w:rPr>
          <w:rFonts w:cs="Times New Roman"/>
        </w:rPr>
        <w:t xml:space="preserve">és 0,86%/év a warfarin </w:t>
      </w:r>
      <w:r w:rsidR="0003285B" w:rsidRPr="00F7245E">
        <w:rPr>
          <w:rFonts w:cs="Times New Roman"/>
        </w:rPr>
        <w:t>esetében</w:t>
      </w:r>
      <w:r w:rsidRPr="00F7245E">
        <w:rPr>
          <w:rFonts w:cs="Times New Roman"/>
        </w:rPr>
        <w:t>.</w:t>
      </w:r>
    </w:p>
    <w:p w14:paraId="607C977B" w14:textId="77777777" w:rsidR="00B62AE4" w:rsidRPr="00F7245E" w:rsidRDefault="00B62AE4" w:rsidP="00A21724">
      <w:pPr>
        <w:pStyle w:val="Nincstrkz"/>
        <w:rPr>
          <w:rFonts w:cs="Times New Roman"/>
        </w:rPr>
      </w:pPr>
    </w:p>
    <w:p w14:paraId="1D4816D2" w14:textId="715948D9" w:rsidR="0003285B" w:rsidRPr="00F7245E" w:rsidRDefault="00B62AE4" w:rsidP="00A21724">
      <w:pPr>
        <w:pStyle w:val="Nincstrkz"/>
        <w:rPr>
          <w:rFonts w:cs="Times New Roman"/>
        </w:rPr>
      </w:pPr>
      <w:r w:rsidRPr="00F7245E">
        <w:rPr>
          <w:rFonts w:cs="Times New Roman"/>
        </w:rPr>
        <w:t>Az előre meghatározott alcsoportok, köztük a CHADS</w:t>
      </w:r>
      <w:r w:rsidR="00AB77EB" w:rsidRPr="00F7245E">
        <w:rPr>
          <w:rFonts w:cs="Times New Roman"/>
          <w:vertAlign w:val="subscript"/>
        </w:rPr>
        <w:t>2</w:t>
      </w:r>
      <w:r w:rsidRPr="00F7245E">
        <w:rPr>
          <w:rFonts w:cs="Times New Roman"/>
        </w:rPr>
        <w:t>-pontszám, az életkor, a testtömeg, a nem, a</w:t>
      </w:r>
      <w:r w:rsidR="0003285B" w:rsidRPr="00F7245E">
        <w:rPr>
          <w:rFonts w:cs="Times New Roman"/>
        </w:rPr>
        <w:t xml:space="preserve"> vesefunkció, a korábbi stroke vagy TIA és a diabetes esetén a nagyfokú vérzések összhangban voltak a vizsgálatban értékelt összpopuláció esetén kapott eredményekkel.</w:t>
      </w:r>
    </w:p>
    <w:p w14:paraId="01561387" w14:textId="77777777" w:rsidR="00B62AE4" w:rsidRPr="00F7245E" w:rsidRDefault="00B62AE4" w:rsidP="00A21724">
      <w:pPr>
        <w:pStyle w:val="Nincstrkz"/>
        <w:rPr>
          <w:rFonts w:cs="Times New Roman"/>
          <w:w w:val="105"/>
        </w:rPr>
      </w:pPr>
    </w:p>
    <w:p w14:paraId="5E37CEC6" w14:textId="77777777" w:rsidR="00B62AE4" w:rsidRPr="00F7245E" w:rsidRDefault="00B62AE4" w:rsidP="00A21724">
      <w:pPr>
        <w:pStyle w:val="Nincstrkz"/>
        <w:rPr>
          <w:rFonts w:cs="Times New Roman"/>
          <w:i/>
          <w:iCs/>
          <w:u w:val="single"/>
        </w:rPr>
      </w:pPr>
      <w:r w:rsidRPr="00F7245E">
        <w:rPr>
          <w:rFonts w:cs="Times New Roman"/>
          <w:i/>
          <w:iCs/>
          <w:u w:val="single"/>
        </w:rPr>
        <w:t>AVERROES-VIZSGÁLAT</w:t>
      </w:r>
    </w:p>
    <w:p w14:paraId="2AC8349B" w14:textId="635EA904" w:rsidR="00B62AE4" w:rsidRPr="00F7245E" w:rsidRDefault="00B62AE4" w:rsidP="00A21724">
      <w:pPr>
        <w:pStyle w:val="Nincstrkz"/>
        <w:rPr>
          <w:rFonts w:cs="Times New Roman"/>
        </w:rPr>
      </w:pPr>
      <w:r w:rsidRPr="00F7245E">
        <w:rPr>
          <w:rFonts w:cs="Times New Roman"/>
        </w:rPr>
        <w:t>Az AVERROES</w:t>
      </w:r>
      <w:r w:rsidR="0003285B" w:rsidRPr="00F7245E">
        <w:rPr>
          <w:rFonts w:cs="Times New Roman"/>
        </w:rPr>
        <w:noBreakHyphen/>
      </w:r>
      <w:r w:rsidRPr="00F7245E">
        <w:rPr>
          <w:rFonts w:cs="Times New Roman"/>
        </w:rPr>
        <w:t>vizsgálatban összesen 5598 olyan</w:t>
      </w:r>
      <w:r w:rsidR="0003285B" w:rsidRPr="00F7245E">
        <w:rPr>
          <w:rFonts w:cs="Times New Roman"/>
        </w:rPr>
        <w:t xml:space="preserve"> </w:t>
      </w:r>
      <w:r w:rsidR="00900F79">
        <w:rPr>
          <w:rFonts w:cs="Times New Roman"/>
        </w:rPr>
        <w:t xml:space="preserve">felnőtt </w:t>
      </w:r>
      <w:r w:rsidR="00A1416D" w:rsidRPr="00F7245E">
        <w:rPr>
          <w:rFonts w:cs="Times New Roman"/>
        </w:rPr>
        <w:t>beteg</w:t>
      </w:r>
      <w:r w:rsidRPr="00F7245E">
        <w:rPr>
          <w:rFonts w:cs="Times New Roman"/>
        </w:rPr>
        <w:t>et, akiket a vizsgálatot végzők nem tartottak alkalmasnak a K</w:t>
      </w:r>
      <w:r w:rsidR="0003285B" w:rsidRPr="00F7245E">
        <w:rPr>
          <w:rFonts w:cs="Times New Roman"/>
        </w:rPr>
        <w:noBreakHyphen/>
      </w:r>
      <w:r w:rsidRPr="00F7245E">
        <w:rPr>
          <w:rFonts w:cs="Times New Roman"/>
        </w:rPr>
        <w:t>vitamin antagonista</w:t>
      </w:r>
      <w:r w:rsidR="0003285B" w:rsidRPr="00F7245E">
        <w:rPr>
          <w:rFonts w:cs="Times New Roman"/>
        </w:rPr>
        <w:noBreakHyphen/>
      </w:r>
      <w:r w:rsidRPr="00F7245E">
        <w:rPr>
          <w:rFonts w:cs="Times New Roman"/>
        </w:rPr>
        <w:t>kezelésre,</w:t>
      </w:r>
      <w:r w:rsidR="0003285B" w:rsidRPr="00F7245E">
        <w:rPr>
          <w:rFonts w:cs="Times New Roman"/>
        </w:rPr>
        <w:t xml:space="preserve"> </w:t>
      </w:r>
      <w:r w:rsidR="003B67D5" w:rsidRPr="00F7245E">
        <w:rPr>
          <w:rFonts w:cs="Times New Roman"/>
        </w:rPr>
        <w:t>nap</w:t>
      </w:r>
      <w:r w:rsidRPr="00F7245E">
        <w:rPr>
          <w:rFonts w:cs="Times New Roman"/>
        </w:rPr>
        <w:t>onta kétszer 5</w:t>
      </w:r>
      <w:r w:rsidR="004C106B" w:rsidRPr="00F7245E">
        <w:rPr>
          <w:rFonts w:cs="Times New Roman"/>
        </w:rPr>
        <w:t> mg</w:t>
      </w:r>
      <w:r w:rsidRPr="00F7245E">
        <w:rPr>
          <w:rFonts w:cs="Times New Roman"/>
        </w:rPr>
        <w:t xml:space="preserve"> (vagy kiválasztott</w:t>
      </w:r>
      <w:r w:rsidR="00AB77EB" w:rsidRPr="00F7245E">
        <w:rPr>
          <w:rFonts w:cs="Times New Roman"/>
        </w:rPr>
        <w:t xml:space="preserve"> </w:t>
      </w:r>
      <w:r w:rsidR="00A1416D" w:rsidRPr="00F7245E">
        <w:rPr>
          <w:rFonts w:cs="Times New Roman"/>
        </w:rPr>
        <w:t>beteg</w:t>
      </w:r>
      <w:r w:rsidRPr="00F7245E">
        <w:rPr>
          <w:rFonts w:cs="Times New Roman"/>
        </w:rPr>
        <w:t>eknél</w:t>
      </w:r>
      <w:r w:rsidR="00AB77EB" w:rsidRPr="00F7245E">
        <w:rPr>
          <w:rFonts w:cs="Times New Roman"/>
        </w:rPr>
        <w:t xml:space="preserve"> </w:t>
      </w:r>
      <w:r w:rsidR="003B67D5" w:rsidRPr="00F7245E">
        <w:rPr>
          <w:rFonts w:cs="Times New Roman"/>
        </w:rPr>
        <w:t>nap</w:t>
      </w:r>
      <w:r w:rsidRPr="00F7245E">
        <w:rPr>
          <w:rFonts w:cs="Times New Roman"/>
        </w:rPr>
        <w:t>onta kétszer 2,5</w:t>
      </w:r>
      <w:r w:rsidR="004C106B" w:rsidRPr="00F7245E">
        <w:rPr>
          <w:rFonts w:cs="Times New Roman"/>
        </w:rPr>
        <w:t> mg</w:t>
      </w:r>
      <w:r w:rsidRPr="00F7245E">
        <w:rPr>
          <w:rFonts w:cs="Times New Roman"/>
        </w:rPr>
        <w:t xml:space="preserve"> [6,4%], lásd 4.2</w:t>
      </w:r>
      <w:r w:rsidR="004C106B" w:rsidRPr="00F7245E">
        <w:rPr>
          <w:rFonts w:cs="Times New Roman"/>
        </w:rPr>
        <w:t> pont</w:t>
      </w:r>
      <w:r w:rsidRPr="00F7245E">
        <w:rPr>
          <w:rFonts w:cs="Times New Roman"/>
        </w:rPr>
        <w:t xml:space="preserve">) </w:t>
      </w:r>
      <w:r w:rsidR="002C0B56" w:rsidRPr="00F7245E">
        <w:rPr>
          <w:rFonts w:cs="Times New Roman"/>
        </w:rPr>
        <w:t>apixabán</w:t>
      </w:r>
      <w:r w:rsidR="00AB77EB" w:rsidRPr="00F7245E">
        <w:rPr>
          <w:rFonts w:cs="Times New Roman"/>
        </w:rPr>
        <w:noBreakHyphen/>
      </w:r>
      <w:r w:rsidRPr="00F7245E">
        <w:rPr>
          <w:rFonts w:cs="Times New Roman"/>
        </w:rPr>
        <w:t xml:space="preserve"> vagy acetilszalicilsav</w:t>
      </w:r>
      <w:r w:rsidR="00AB77EB" w:rsidRPr="00F7245E">
        <w:rPr>
          <w:rFonts w:cs="Times New Roman"/>
        </w:rPr>
        <w:noBreakHyphen/>
      </w:r>
      <w:r w:rsidRPr="00F7245E">
        <w:rPr>
          <w:rFonts w:cs="Times New Roman"/>
        </w:rPr>
        <w:t>kezelésre randomizáltak. Az acetilszalicilsavat a vizsgálatot végző megítélése szerint</w:t>
      </w:r>
      <w:r w:rsidR="00AB77EB" w:rsidRPr="00F7245E">
        <w:rPr>
          <w:rFonts w:cs="Times New Roman"/>
        </w:rPr>
        <w:t xml:space="preserve"> naponta</w:t>
      </w:r>
      <w:r w:rsidRPr="00F7245E">
        <w:rPr>
          <w:rFonts w:cs="Times New Roman"/>
        </w:rPr>
        <w:t xml:space="preserve"> egyszeri</w:t>
      </w:r>
      <w:r w:rsidR="00AB77EB" w:rsidRPr="00F7245E">
        <w:rPr>
          <w:rFonts w:cs="Times New Roman"/>
        </w:rPr>
        <w:t xml:space="preserve"> </w:t>
      </w:r>
      <w:r w:rsidRPr="00F7245E">
        <w:rPr>
          <w:rFonts w:cs="Times New Roman"/>
        </w:rPr>
        <w:t>81</w:t>
      </w:r>
      <w:r w:rsidR="004C106B" w:rsidRPr="00F7245E">
        <w:rPr>
          <w:rFonts w:cs="Times New Roman"/>
        </w:rPr>
        <w:t> mg</w:t>
      </w:r>
      <w:r w:rsidR="00E9620D" w:rsidRPr="00F7245E">
        <w:rPr>
          <w:rFonts w:cs="Times New Roman"/>
        </w:rPr>
        <w:noBreakHyphen/>
      </w:r>
      <w:r w:rsidRPr="00F7245E">
        <w:rPr>
          <w:rFonts w:cs="Times New Roman"/>
        </w:rPr>
        <w:t>os (64%), 162</w:t>
      </w:r>
      <w:r w:rsidR="004C106B" w:rsidRPr="00F7245E">
        <w:rPr>
          <w:rFonts w:cs="Times New Roman"/>
        </w:rPr>
        <w:t> mg</w:t>
      </w:r>
      <w:r w:rsidR="00E9620D" w:rsidRPr="00F7245E">
        <w:rPr>
          <w:rFonts w:cs="Times New Roman"/>
        </w:rPr>
        <w:noBreakHyphen/>
      </w:r>
      <w:r w:rsidRPr="00F7245E">
        <w:rPr>
          <w:rFonts w:cs="Times New Roman"/>
        </w:rPr>
        <w:t>os (26,9%), 243</w:t>
      </w:r>
      <w:r w:rsidR="004C106B" w:rsidRPr="00F7245E">
        <w:rPr>
          <w:rFonts w:cs="Times New Roman"/>
        </w:rPr>
        <w:t> mg</w:t>
      </w:r>
      <w:r w:rsidR="00E9620D" w:rsidRPr="00F7245E">
        <w:rPr>
          <w:rFonts w:cs="Times New Roman"/>
        </w:rPr>
        <w:noBreakHyphen/>
      </w:r>
      <w:r w:rsidRPr="00F7245E">
        <w:rPr>
          <w:rFonts w:cs="Times New Roman"/>
        </w:rPr>
        <w:t>os (2,1%) vagy 324</w:t>
      </w:r>
      <w:r w:rsidR="004C106B" w:rsidRPr="00F7245E">
        <w:rPr>
          <w:rFonts w:cs="Times New Roman"/>
        </w:rPr>
        <w:t> mg</w:t>
      </w:r>
      <w:r w:rsidR="00E9620D" w:rsidRPr="00F7245E">
        <w:rPr>
          <w:rFonts w:cs="Times New Roman"/>
        </w:rPr>
        <w:noBreakHyphen/>
      </w:r>
      <w:r w:rsidRPr="00F7245E">
        <w:rPr>
          <w:rFonts w:cs="Times New Roman"/>
        </w:rPr>
        <w:t>os (6,6%) adagban adták. A</w:t>
      </w:r>
      <w:r w:rsidR="00E9620D" w:rsidRPr="00F7245E">
        <w:rPr>
          <w:rFonts w:cs="Times New Roman"/>
        </w:rPr>
        <w:t xml:space="preserve"> </w:t>
      </w:r>
      <w:r w:rsidR="00A1416D" w:rsidRPr="00F7245E">
        <w:rPr>
          <w:rFonts w:cs="Times New Roman"/>
        </w:rPr>
        <w:t>beteg</w:t>
      </w:r>
      <w:r w:rsidRPr="00F7245E">
        <w:rPr>
          <w:rFonts w:cs="Times New Roman"/>
        </w:rPr>
        <w:t>ek átlagosan 14</w:t>
      </w:r>
      <w:r w:rsidR="00517956" w:rsidRPr="00F7245E">
        <w:rPr>
          <w:rFonts w:cs="Times New Roman"/>
        </w:rPr>
        <w:t> </w:t>
      </w:r>
      <w:r w:rsidRPr="00F7245E">
        <w:rPr>
          <w:rFonts w:cs="Times New Roman"/>
        </w:rPr>
        <w:t>hóna</w:t>
      </w:r>
      <w:r w:rsidR="00C863B0">
        <w:rPr>
          <w:rFonts w:cs="Times New Roman"/>
        </w:rPr>
        <w:t>pig kapták a vizsgált hatóanyagot</w:t>
      </w:r>
      <w:r w:rsidRPr="00F7245E">
        <w:rPr>
          <w:rFonts w:cs="Times New Roman"/>
        </w:rPr>
        <w:t>. Az átlagéletkor 69,9</w:t>
      </w:r>
      <w:r w:rsidR="00045408" w:rsidRPr="00F7245E">
        <w:rPr>
          <w:rFonts w:cs="Times New Roman"/>
        </w:rPr>
        <w:t> év</w:t>
      </w:r>
      <w:r w:rsidRPr="00F7245E">
        <w:rPr>
          <w:rFonts w:cs="Times New Roman"/>
        </w:rPr>
        <w:t>, az átlagos CHADS</w:t>
      </w:r>
      <w:r w:rsidRPr="00F7245E">
        <w:rPr>
          <w:rFonts w:cs="Times New Roman"/>
          <w:vertAlign w:val="subscript"/>
        </w:rPr>
        <w:t>2</w:t>
      </w:r>
      <w:r w:rsidR="004C106B" w:rsidRPr="00F7245E">
        <w:rPr>
          <w:rFonts w:cs="Times New Roman"/>
        </w:rPr>
        <w:t> pont</w:t>
      </w:r>
      <w:r w:rsidRPr="00F7245E">
        <w:rPr>
          <w:rFonts w:cs="Times New Roman"/>
        </w:rPr>
        <w:t>szám 2,0</w:t>
      </w:r>
      <w:r w:rsidR="00E9620D" w:rsidRPr="00F7245E">
        <w:rPr>
          <w:rFonts w:cs="Times New Roman"/>
        </w:rPr>
        <w:t> </w:t>
      </w:r>
      <w:r w:rsidRPr="00F7245E">
        <w:rPr>
          <w:rFonts w:cs="Times New Roman"/>
        </w:rPr>
        <w:t>volt, és a</w:t>
      </w:r>
      <w:r w:rsidR="00D44774" w:rsidRPr="00F7245E">
        <w:rPr>
          <w:rFonts w:cs="Times New Roman"/>
        </w:rPr>
        <w:t xml:space="preserve"> </w:t>
      </w:r>
      <w:r w:rsidR="00A1416D" w:rsidRPr="00F7245E">
        <w:rPr>
          <w:rFonts w:cs="Times New Roman"/>
        </w:rPr>
        <w:t>beteg</w:t>
      </w:r>
      <w:r w:rsidRPr="00F7245E">
        <w:rPr>
          <w:rFonts w:cs="Times New Roman"/>
        </w:rPr>
        <w:t>ek 18,9%</w:t>
      </w:r>
      <w:r w:rsidR="00E9620D" w:rsidRPr="00F7245E">
        <w:rPr>
          <w:rFonts w:cs="Times New Roman"/>
        </w:rPr>
        <w:noBreakHyphen/>
      </w:r>
      <w:r w:rsidRPr="00F7245E">
        <w:rPr>
          <w:rFonts w:cs="Times New Roman"/>
        </w:rPr>
        <w:t>ának volt korábban stroke-ja vagy TIA-ja.</w:t>
      </w:r>
    </w:p>
    <w:p w14:paraId="5D96E929" w14:textId="77777777" w:rsidR="00B62AE4" w:rsidRPr="00F7245E" w:rsidRDefault="00B62AE4" w:rsidP="00A21724">
      <w:pPr>
        <w:pStyle w:val="Nincstrkz"/>
        <w:rPr>
          <w:rFonts w:cs="Times New Roman"/>
        </w:rPr>
      </w:pPr>
    </w:p>
    <w:p w14:paraId="017BB559" w14:textId="70AA4CCD" w:rsidR="00B62AE4" w:rsidRPr="00F7245E" w:rsidRDefault="00B62AE4" w:rsidP="00A21724">
      <w:pPr>
        <w:pStyle w:val="Nincstrkz"/>
        <w:rPr>
          <w:rFonts w:cs="Times New Roman"/>
        </w:rPr>
      </w:pPr>
      <w:r w:rsidRPr="00F7245E">
        <w:rPr>
          <w:rFonts w:cs="Times New Roman"/>
        </w:rPr>
        <w:t>Az AVERROES</w:t>
      </w:r>
      <w:r w:rsidR="000B0C84" w:rsidRPr="00F7245E">
        <w:rPr>
          <w:rFonts w:cs="Times New Roman"/>
        </w:rPr>
        <w:noBreakHyphen/>
      </w:r>
      <w:r w:rsidRPr="00F7245E">
        <w:rPr>
          <w:rFonts w:cs="Times New Roman"/>
        </w:rPr>
        <w:t>vizsgálatban a K</w:t>
      </w:r>
      <w:r w:rsidR="00517956" w:rsidRPr="00F7245E">
        <w:rPr>
          <w:rFonts w:cs="Times New Roman"/>
        </w:rPr>
        <w:noBreakHyphen/>
      </w:r>
      <w:r w:rsidRPr="00F7245E">
        <w:rPr>
          <w:rFonts w:cs="Times New Roman"/>
        </w:rPr>
        <w:t>vitamin antagonista</w:t>
      </w:r>
      <w:r w:rsidR="00517956" w:rsidRPr="00F7245E">
        <w:rPr>
          <w:rFonts w:cs="Times New Roman"/>
        </w:rPr>
        <w:noBreakHyphen/>
      </w:r>
      <w:r w:rsidRPr="00F7245E">
        <w:rPr>
          <w:rFonts w:cs="Times New Roman"/>
        </w:rPr>
        <w:t>kezelésre való alkalmatlanság gyakori okai közé tartozott az INR-értékek kívánt intervallumban való tartásának képtelensége vagy annak valószínűtlensége (42,6%), az, hogy a</w:t>
      </w:r>
      <w:r w:rsidR="00F825B3" w:rsidRPr="00F7245E">
        <w:rPr>
          <w:rFonts w:cs="Times New Roman"/>
        </w:rPr>
        <w:t xml:space="preserve"> </w:t>
      </w:r>
      <w:r w:rsidR="00A1416D" w:rsidRPr="00F7245E">
        <w:rPr>
          <w:rFonts w:cs="Times New Roman"/>
        </w:rPr>
        <w:t>beteg</w:t>
      </w:r>
      <w:r w:rsidRPr="00F7245E">
        <w:rPr>
          <w:rFonts w:cs="Times New Roman"/>
        </w:rPr>
        <w:t xml:space="preserve"> visszautasította a K-vitamin</w:t>
      </w:r>
      <w:r w:rsidR="00F825B3" w:rsidRPr="00F7245E">
        <w:rPr>
          <w:rFonts w:cs="Times New Roman"/>
        </w:rPr>
        <w:noBreakHyphen/>
      </w:r>
      <w:r w:rsidRPr="00F7245E">
        <w:rPr>
          <w:rFonts w:cs="Times New Roman"/>
        </w:rPr>
        <w:t>antagonistával végzett kezelést (37,4%), a CHADS</w:t>
      </w:r>
      <w:r w:rsidRPr="00F7245E">
        <w:rPr>
          <w:rFonts w:cs="Times New Roman"/>
          <w:vertAlign w:val="subscript"/>
        </w:rPr>
        <w:t>2</w:t>
      </w:r>
      <w:r w:rsidRPr="00F7245E">
        <w:rPr>
          <w:rFonts w:cs="Times New Roman"/>
        </w:rPr>
        <w:t>-pontszám</w:t>
      </w:r>
      <w:r w:rsidR="00F825B3" w:rsidRPr="00F7245E">
        <w:rPr>
          <w:rFonts w:cs="Times New Roman"/>
        </w:rPr>
        <w:t> </w:t>
      </w:r>
      <w:r w:rsidRPr="00F7245E">
        <w:rPr>
          <w:rFonts w:cs="Times New Roman"/>
        </w:rPr>
        <w:t>=</w:t>
      </w:r>
      <w:r w:rsidR="00F825B3" w:rsidRPr="00F7245E">
        <w:rPr>
          <w:rFonts w:cs="Times New Roman"/>
        </w:rPr>
        <w:t> </w:t>
      </w:r>
      <w:r w:rsidRPr="00F7245E">
        <w:rPr>
          <w:rFonts w:cs="Times New Roman"/>
        </w:rPr>
        <w:t>1 és az orvos nem javasolta a K</w:t>
      </w:r>
      <w:r w:rsidR="00F825B3" w:rsidRPr="00F7245E">
        <w:rPr>
          <w:rFonts w:cs="Times New Roman"/>
        </w:rPr>
        <w:noBreakHyphen/>
      </w:r>
      <w:r w:rsidRPr="00F7245E">
        <w:rPr>
          <w:rFonts w:cs="Times New Roman"/>
        </w:rPr>
        <w:t>vitamin</w:t>
      </w:r>
      <w:r w:rsidR="00F825B3" w:rsidRPr="00F7245E">
        <w:rPr>
          <w:rFonts w:cs="Times New Roman"/>
        </w:rPr>
        <w:noBreakHyphen/>
      </w:r>
      <w:r w:rsidRPr="00F7245E">
        <w:rPr>
          <w:rFonts w:cs="Times New Roman"/>
        </w:rPr>
        <w:t>antagonista</w:t>
      </w:r>
      <w:r w:rsidR="00F825B3" w:rsidRPr="00F7245E">
        <w:rPr>
          <w:rFonts w:cs="Times New Roman"/>
        </w:rPr>
        <w:noBreakHyphen/>
      </w:r>
      <w:r w:rsidRPr="00F7245E">
        <w:rPr>
          <w:rFonts w:cs="Times New Roman"/>
        </w:rPr>
        <w:t>kezelést (21,3%), nem lehetett megbízni abban, hogy a</w:t>
      </w:r>
      <w:r w:rsidR="00F825B3" w:rsidRPr="00F7245E">
        <w:rPr>
          <w:rFonts w:cs="Times New Roman"/>
        </w:rPr>
        <w:t xml:space="preserve"> </w:t>
      </w:r>
      <w:r w:rsidR="00A1416D" w:rsidRPr="00F7245E">
        <w:rPr>
          <w:rFonts w:cs="Times New Roman"/>
        </w:rPr>
        <w:t>beteg</w:t>
      </w:r>
      <w:r w:rsidRPr="00F7245E">
        <w:rPr>
          <w:rFonts w:cs="Times New Roman"/>
        </w:rPr>
        <w:t xml:space="preserve"> betartja a K</w:t>
      </w:r>
      <w:r w:rsidR="00F825B3" w:rsidRPr="00F7245E">
        <w:rPr>
          <w:rFonts w:cs="Times New Roman"/>
        </w:rPr>
        <w:noBreakHyphen/>
      </w:r>
      <w:r w:rsidRPr="00F7245E">
        <w:rPr>
          <w:rFonts w:cs="Times New Roman"/>
        </w:rPr>
        <w:t>vitamin</w:t>
      </w:r>
      <w:r w:rsidR="00F825B3" w:rsidRPr="00F7245E">
        <w:rPr>
          <w:rFonts w:cs="Times New Roman"/>
        </w:rPr>
        <w:noBreakHyphen/>
      </w:r>
      <w:r w:rsidRPr="00F7245E">
        <w:rPr>
          <w:rFonts w:cs="Times New Roman"/>
        </w:rPr>
        <w:t>antagonista mellé kapott gyógyszerekre vonatkozó utasításokat (15,0%), valamint az, hogy a dózis sürgős megváltoztatása esetén nehéz vagy várhatóan nehéz elérni a</w:t>
      </w:r>
      <w:r w:rsidR="00F825B3" w:rsidRPr="00F7245E">
        <w:rPr>
          <w:rFonts w:cs="Times New Roman"/>
        </w:rPr>
        <w:t xml:space="preserve"> </w:t>
      </w:r>
      <w:r w:rsidR="00A1416D" w:rsidRPr="00F7245E">
        <w:rPr>
          <w:rFonts w:cs="Times New Roman"/>
        </w:rPr>
        <w:t>beteg</w:t>
      </w:r>
      <w:r w:rsidRPr="00F7245E">
        <w:rPr>
          <w:rFonts w:cs="Times New Roman"/>
        </w:rPr>
        <w:t>et (11,7%).</w:t>
      </w:r>
    </w:p>
    <w:p w14:paraId="01E8B695" w14:textId="77777777" w:rsidR="00B62AE4" w:rsidRPr="00F7245E" w:rsidRDefault="00B62AE4" w:rsidP="00A21724">
      <w:pPr>
        <w:pStyle w:val="Nincstrkz"/>
        <w:rPr>
          <w:rFonts w:cs="Times New Roman"/>
        </w:rPr>
      </w:pPr>
    </w:p>
    <w:p w14:paraId="57B11BCA" w14:textId="77777777" w:rsidR="00B62AE4" w:rsidRPr="00F7245E" w:rsidRDefault="00B62AE4" w:rsidP="00A21724">
      <w:pPr>
        <w:pStyle w:val="Nincstrkz"/>
        <w:rPr>
          <w:rFonts w:cs="Times New Roman"/>
        </w:rPr>
      </w:pPr>
      <w:r w:rsidRPr="00F7245E">
        <w:rPr>
          <w:rFonts w:cs="Times New Roman"/>
        </w:rPr>
        <w:t>A független Adatfigyelő bizottság ajánlása alapján az AVERROES-vizsgálatot idő előtt leállították, mert egy elfogadható biztonságossági profil mellett egyértelmű bizonyíték volt a stroke és a szisztémás embolizáció csökkenésére.</w:t>
      </w:r>
    </w:p>
    <w:p w14:paraId="4083F96C" w14:textId="77777777" w:rsidR="00B62AE4" w:rsidRPr="00F7245E" w:rsidRDefault="00B62AE4" w:rsidP="00A21724">
      <w:pPr>
        <w:pStyle w:val="Nincstrkz"/>
        <w:rPr>
          <w:rFonts w:cs="Times New Roman"/>
        </w:rPr>
      </w:pPr>
    </w:p>
    <w:p w14:paraId="22047815" w14:textId="7948F692" w:rsidR="00B62AE4" w:rsidRPr="00F7245E" w:rsidRDefault="00B62AE4" w:rsidP="00A21724">
      <w:pPr>
        <w:pStyle w:val="Nincstrkz"/>
        <w:rPr>
          <w:rFonts w:cs="Times New Roman"/>
        </w:rPr>
      </w:pPr>
      <w:r w:rsidRPr="00F7245E">
        <w:rPr>
          <w:rFonts w:cs="Times New Roman"/>
        </w:rPr>
        <w:t>Az AVERROES</w:t>
      </w:r>
      <w:r w:rsidR="000B0C84" w:rsidRPr="00F7245E">
        <w:rPr>
          <w:rFonts w:cs="Times New Roman"/>
        </w:rPr>
        <w:noBreakHyphen/>
      </w:r>
      <w:r w:rsidRPr="00F7245E">
        <w:rPr>
          <w:rFonts w:cs="Times New Roman"/>
        </w:rPr>
        <w:t xml:space="preserve">vizsgálatban a kezelés mellékhatások miatt történő abbahagyásának összesített aránya 1,5% volt az </w:t>
      </w:r>
      <w:r w:rsidR="00CA2919" w:rsidRPr="00F7245E">
        <w:rPr>
          <w:rFonts w:cs="Times New Roman"/>
        </w:rPr>
        <w:t xml:space="preserve">apixabán </w:t>
      </w:r>
      <w:r w:rsidRPr="00F7245E">
        <w:rPr>
          <w:rFonts w:cs="Times New Roman"/>
        </w:rPr>
        <w:t>és 1,3% volt az acetilszalicilsav esetén.</w:t>
      </w:r>
    </w:p>
    <w:p w14:paraId="207F7AEC" w14:textId="77777777" w:rsidR="00B62AE4" w:rsidRPr="00F7245E" w:rsidRDefault="00B62AE4" w:rsidP="00A21724">
      <w:pPr>
        <w:pStyle w:val="Nincstrkz"/>
        <w:rPr>
          <w:rFonts w:cs="Times New Roman"/>
        </w:rPr>
      </w:pPr>
    </w:p>
    <w:p w14:paraId="559B798A" w14:textId="05FD4B19" w:rsidR="00B62AE4" w:rsidRPr="00F7245E" w:rsidRDefault="00B62AE4" w:rsidP="00A21724">
      <w:pPr>
        <w:pStyle w:val="Nincstrkz"/>
        <w:rPr>
          <w:rFonts w:cs="Times New Roman"/>
        </w:rPr>
      </w:pPr>
      <w:r w:rsidRPr="00F7245E">
        <w:rPr>
          <w:rFonts w:cs="Times New Roman"/>
        </w:rPr>
        <w:t xml:space="preserve">A vizsgálatban az </w:t>
      </w:r>
      <w:r w:rsidR="00CA2919" w:rsidRPr="00F7245E">
        <w:rPr>
          <w:rFonts w:cs="Times New Roman"/>
        </w:rPr>
        <w:t xml:space="preserve">apixabán </w:t>
      </w:r>
      <w:r w:rsidRPr="00F7245E">
        <w:rPr>
          <w:rFonts w:cs="Times New Roman"/>
        </w:rPr>
        <w:t xml:space="preserve">az acetilszalicilsavhoz képest statisztikailag szignifikánsan jobb volt a stroke (haemorrhagiás, ischaemiás vagy nem meghatározott) vagy szisztémás embolizáció prevenció elsődleges végpontban (lásd </w:t>
      </w:r>
      <w:r w:rsidR="001F3456" w:rsidRPr="00F7245E">
        <w:rPr>
          <w:rFonts w:cs="Times New Roman"/>
        </w:rPr>
        <w:t>9</w:t>
      </w:r>
      <w:r w:rsidRPr="00F7245E">
        <w:rPr>
          <w:rFonts w:cs="Times New Roman"/>
        </w:rPr>
        <w:t>. táblázat).</w:t>
      </w:r>
    </w:p>
    <w:p w14:paraId="489279C0" w14:textId="77777777" w:rsidR="00B62AE4" w:rsidRPr="00F7245E" w:rsidRDefault="00B62AE4" w:rsidP="00A21724">
      <w:pPr>
        <w:pStyle w:val="Nincstrkz"/>
        <w:rPr>
          <w:rFonts w:cs="Times New Roman"/>
        </w:rPr>
      </w:pPr>
    </w:p>
    <w:p w14:paraId="365593B1" w14:textId="6136A784" w:rsidR="00B62AE4" w:rsidRPr="00F7245E" w:rsidRDefault="001F3456" w:rsidP="008B31CD">
      <w:pPr>
        <w:pStyle w:val="Nincstrkz"/>
        <w:keepNext/>
        <w:rPr>
          <w:rFonts w:cs="Times New Roman"/>
        </w:rPr>
      </w:pPr>
      <w:r w:rsidRPr="00F7245E">
        <w:rPr>
          <w:rFonts w:cs="Times New Roman"/>
          <w:b/>
          <w:bCs/>
          <w:w w:val="105"/>
        </w:rPr>
        <w:t>9</w:t>
      </w:r>
      <w:r w:rsidR="00B221E1" w:rsidRPr="00F7245E">
        <w:rPr>
          <w:rFonts w:cs="Times New Roman"/>
          <w:b/>
          <w:bCs/>
          <w:w w:val="105"/>
        </w:rPr>
        <w:t>. T</w:t>
      </w:r>
      <w:r w:rsidR="00B62AE4" w:rsidRPr="00F7245E">
        <w:rPr>
          <w:rFonts w:cs="Times New Roman"/>
          <w:b/>
          <w:bCs/>
          <w:w w:val="105"/>
        </w:rPr>
        <w:t>áblázat:</w:t>
      </w:r>
      <w:r w:rsidR="00B62AE4" w:rsidRPr="00F7245E">
        <w:rPr>
          <w:rFonts w:cs="Times New Roman"/>
          <w:spacing w:val="-18"/>
          <w:w w:val="105"/>
        </w:rPr>
        <w:t xml:space="preserve"> </w:t>
      </w:r>
      <w:r w:rsidR="00B62AE4" w:rsidRPr="00F7245E">
        <w:rPr>
          <w:rFonts w:cs="Times New Roman"/>
          <w:b/>
          <w:bCs/>
          <w:w w:val="105"/>
        </w:rPr>
        <w:t>Legfontosabb</w:t>
      </w:r>
      <w:r w:rsidR="00B62AE4" w:rsidRPr="00F7245E">
        <w:rPr>
          <w:rFonts w:cs="Times New Roman"/>
          <w:b/>
          <w:bCs/>
          <w:spacing w:val="-18"/>
          <w:w w:val="105"/>
        </w:rPr>
        <w:t xml:space="preserve"> </w:t>
      </w:r>
      <w:r w:rsidR="00B62AE4" w:rsidRPr="00F7245E">
        <w:rPr>
          <w:rFonts w:cs="Times New Roman"/>
          <w:b/>
          <w:bCs/>
          <w:w w:val="105"/>
        </w:rPr>
        <w:t>hatásossági</w:t>
      </w:r>
      <w:r w:rsidR="00B62AE4" w:rsidRPr="00F7245E">
        <w:rPr>
          <w:rFonts w:cs="Times New Roman"/>
          <w:b/>
          <w:bCs/>
          <w:spacing w:val="-19"/>
          <w:w w:val="105"/>
        </w:rPr>
        <w:t xml:space="preserve"> </w:t>
      </w:r>
      <w:r w:rsidR="00B62AE4" w:rsidRPr="00F7245E">
        <w:rPr>
          <w:rFonts w:cs="Times New Roman"/>
          <w:b/>
          <w:bCs/>
          <w:w w:val="105"/>
        </w:rPr>
        <w:t>végpontok</w:t>
      </w:r>
      <w:r w:rsidR="007F24BF" w:rsidRPr="00F7245E">
        <w:rPr>
          <w:rFonts w:cs="Times New Roman"/>
          <w:b/>
          <w:bCs/>
          <w:w w:val="105"/>
        </w:rPr>
        <w:t xml:space="preserve"> pitvarfibrillá</w:t>
      </w:r>
      <w:r w:rsidR="007622B9" w:rsidRPr="00F7245E">
        <w:rPr>
          <w:rFonts w:cs="Times New Roman"/>
          <w:b/>
          <w:bCs/>
          <w:w w:val="105"/>
        </w:rPr>
        <w:t>ci</w:t>
      </w:r>
      <w:r w:rsidR="007F24BF" w:rsidRPr="00F7245E">
        <w:rPr>
          <w:rFonts w:cs="Times New Roman"/>
          <w:b/>
          <w:bCs/>
          <w:w w:val="105"/>
        </w:rPr>
        <w:t>ó</w:t>
      </w:r>
      <w:r w:rsidR="007622B9" w:rsidRPr="00F7245E">
        <w:rPr>
          <w:rFonts w:cs="Times New Roman"/>
          <w:b/>
          <w:bCs/>
          <w:w w:val="105"/>
        </w:rPr>
        <w:t>s</w:t>
      </w:r>
      <w:r w:rsidR="007F24BF" w:rsidRPr="00F7245E">
        <w:rPr>
          <w:rFonts w:cs="Times New Roman"/>
          <w:b/>
          <w:bCs/>
          <w:w w:val="105"/>
        </w:rPr>
        <w:t xml:space="preserve"> betegeknél</w:t>
      </w:r>
      <w:r w:rsidR="00B62AE4" w:rsidRPr="00F7245E">
        <w:rPr>
          <w:rFonts w:cs="Times New Roman"/>
          <w:b/>
          <w:bCs/>
          <w:spacing w:val="-20"/>
          <w:w w:val="105"/>
        </w:rPr>
        <w:t xml:space="preserve"> </w:t>
      </w:r>
      <w:r w:rsidR="00B62AE4" w:rsidRPr="00F7245E">
        <w:rPr>
          <w:rFonts w:cs="Times New Roman"/>
          <w:b/>
          <w:bCs/>
          <w:w w:val="105"/>
        </w:rPr>
        <w:t>az AVERROES-vizsgálatban</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95"/>
        <w:gridCol w:w="1544"/>
        <w:gridCol w:w="1606"/>
        <w:gridCol w:w="1682"/>
        <w:gridCol w:w="1345"/>
      </w:tblGrid>
      <w:tr w:rsidR="00B62AE4" w:rsidRPr="00F7245E" w14:paraId="38D75E98" w14:textId="77777777" w:rsidTr="00517956">
        <w:trPr>
          <w:trHeight w:val="912"/>
        </w:trPr>
        <w:tc>
          <w:tcPr>
            <w:tcW w:w="2895" w:type="dxa"/>
          </w:tcPr>
          <w:p w14:paraId="0C0FB815" w14:textId="77777777" w:rsidR="00B62AE4" w:rsidRPr="00F7245E" w:rsidRDefault="00B62AE4" w:rsidP="00A21724">
            <w:pPr>
              <w:pStyle w:val="TableParagraph"/>
              <w:rPr>
                <w:lang w:val="hu-HU"/>
              </w:rPr>
            </w:pPr>
          </w:p>
        </w:tc>
        <w:tc>
          <w:tcPr>
            <w:tcW w:w="1544" w:type="dxa"/>
            <w:vAlign w:val="center"/>
          </w:tcPr>
          <w:p w14:paraId="0F8B063E" w14:textId="43575E91" w:rsidR="00517956" w:rsidRPr="00F7245E" w:rsidRDefault="00B62AE4" w:rsidP="00A21724">
            <w:pPr>
              <w:pStyle w:val="Nincstrkz"/>
              <w:jc w:val="center"/>
              <w:rPr>
                <w:rFonts w:cs="Times New Roman"/>
                <w:b/>
                <w:bCs/>
                <w:lang w:val="hu-HU"/>
              </w:rPr>
            </w:pPr>
            <w:r w:rsidRPr="00F7245E">
              <w:rPr>
                <w:rFonts w:cs="Times New Roman"/>
                <w:b/>
                <w:bCs/>
              </w:rPr>
              <w:t>Apixab</w:t>
            </w:r>
            <w:r w:rsidR="00DC2DF9" w:rsidRPr="00F7245E">
              <w:rPr>
                <w:rFonts w:cs="Times New Roman"/>
                <w:b/>
                <w:bCs/>
              </w:rPr>
              <w:t>á</w:t>
            </w:r>
            <w:r w:rsidRPr="00F7245E">
              <w:rPr>
                <w:rFonts w:cs="Times New Roman"/>
                <w:b/>
                <w:bCs/>
              </w:rPr>
              <w:t>n</w:t>
            </w:r>
          </w:p>
          <w:p w14:paraId="5215BBBE" w14:textId="69A03D74" w:rsidR="00B62AE4" w:rsidRPr="00F7245E" w:rsidRDefault="007D4C4D" w:rsidP="00A21724">
            <w:pPr>
              <w:pStyle w:val="Nincstrkz"/>
              <w:jc w:val="center"/>
              <w:rPr>
                <w:rFonts w:cs="Times New Roman"/>
                <w:b/>
                <w:bCs/>
                <w:lang w:val="hu-HU"/>
              </w:rPr>
            </w:pPr>
            <w:r w:rsidRPr="00F7245E">
              <w:rPr>
                <w:rFonts w:cs="Times New Roman"/>
                <w:b/>
                <w:bCs/>
                <w:w w:val="105"/>
              </w:rPr>
              <w:t>N = </w:t>
            </w:r>
            <w:r w:rsidR="00B62AE4" w:rsidRPr="00F7245E">
              <w:rPr>
                <w:rFonts w:cs="Times New Roman"/>
                <w:b/>
                <w:bCs/>
                <w:w w:val="105"/>
              </w:rPr>
              <w:t>2,807</w:t>
            </w:r>
          </w:p>
          <w:p w14:paraId="26D0581E" w14:textId="77777777" w:rsidR="00B62AE4" w:rsidRPr="00F7245E" w:rsidRDefault="00B62AE4" w:rsidP="00A21724">
            <w:pPr>
              <w:pStyle w:val="Nincstrkz"/>
              <w:jc w:val="center"/>
              <w:rPr>
                <w:rFonts w:cs="Times New Roman"/>
                <w:b/>
                <w:bCs/>
                <w:lang w:val="hu-HU"/>
              </w:rPr>
            </w:pPr>
            <w:r w:rsidRPr="00F7245E">
              <w:rPr>
                <w:rFonts w:cs="Times New Roman"/>
                <w:b/>
                <w:bCs/>
                <w:w w:val="105"/>
              </w:rPr>
              <w:t>n</w:t>
            </w:r>
            <w:r w:rsidRPr="00F7245E">
              <w:rPr>
                <w:rFonts w:cs="Times New Roman"/>
                <w:b/>
                <w:bCs/>
                <w:spacing w:val="-16"/>
                <w:w w:val="105"/>
              </w:rPr>
              <w:t xml:space="preserve"> </w:t>
            </w:r>
            <w:r w:rsidRPr="00F7245E">
              <w:rPr>
                <w:rFonts w:cs="Times New Roman"/>
                <w:b/>
                <w:bCs/>
                <w:w w:val="105"/>
              </w:rPr>
              <w:t>(%/év)</w:t>
            </w:r>
          </w:p>
        </w:tc>
        <w:tc>
          <w:tcPr>
            <w:tcW w:w="1606" w:type="dxa"/>
            <w:vAlign w:val="center"/>
          </w:tcPr>
          <w:p w14:paraId="21D1468D" w14:textId="357D2CAB" w:rsidR="00B62AE4" w:rsidRPr="00F7245E" w:rsidRDefault="00B62AE4" w:rsidP="00A21724">
            <w:pPr>
              <w:pStyle w:val="Nincstrkz"/>
              <w:jc w:val="center"/>
              <w:rPr>
                <w:rFonts w:cs="Times New Roman"/>
                <w:b/>
                <w:bCs/>
                <w:lang w:val="hu-HU"/>
              </w:rPr>
            </w:pPr>
            <w:r w:rsidRPr="00F7245E">
              <w:rPr>
                <w:rFonts w:cs="Times New Roman"/>
                <w:b/>
                <w:bCs/>
              </w:rPr>
              <w:t xml:space="preserve">Acetilszalicilsav </w:t>
            </w:r>
            <w:r w:rsidR="007D4C4D" w:rsidRPr="00F7245E">
              <w:rPr>
                <w:rFonts w:cs="Times New Roman"/>
                <w:b/>
                <w:bCs/>
                <w:w w:val="105"/>
              </w:rPr>
              <w:t>N = </w:t>
            </w:r>
            <w:r w:rsidRPr="00F7245E">
              <w:rPr>
                <w:rFonts w:cs="Times New Roman"/>
                <w:b/>
                <w:bCs/>
                <w:w w:val="105"/>
              </w:rPr>
              <w:t>2,791</w:t>
            </w:r>
          </w:p>
          <w:p w14:paraId="748C45EB" w14:textId="77777777" w:rsidR="00B62AE4" w:rsidRPr="00F7245E" w:rsidRDefault="00B62AE4" w:rsidP="00A21724">
            <w:pPr>
              <w:pStyle w:val="Nincstrkz"/>
              <w:jc w:val="center"/>
              <w:rPr>
                <w:rFonts w:cs="Times New Roman"/>
                <w:b/>
                <w:bCs/>
                <w:lang w:val="hu-HU"/>
              </w:rPr>
            </w:pPr>
            <w:r w:rsidRPr="00F7245E">
              <w:rPr>
                <w:rFonts w:cs="Times New Roman"/>
                <w:b/>
                <w:bCs/>
                <w:w w:val="105"/>
              </w:rPr>
              <w:t>n</w:t>
            </w:r>
            <w:r w:rsidRPr="00F7245E">
              <w:rPr>
                <w:rFonts w:cs="Times New Roman"/>
                <w:b/>
                <w:bCs/>
                <w:spacing w:val="-14"/>
                <w:w w:val="105"/>
              </w:rPr>
              <w:t xml:space="preserve"> </w:t>
            </w:r>
            <w:r w:rsidRPr="00F7245E">
              <w:rPr>
                <w:rFonts w:cs="Times New Roman"/>
                <w:b/>
                <w:bCs/>
                <w:w w:val="105"/>
              </w:rPr>
              <w:t>(%/év)</w:t>
            </w:r>
          </w:p>
        </w:tc>
        <w:tc>
          <w:tcPr>
            <w:tcW w:w="1682" w:type="dxa"/>
            <w:vAlign w:val="center"/>
          </w:tcPr>
          <w:p w14:paraId="44633923" w14:textId="77777777" w:rsidR="00B62AE4" w:rsidRPr="00F7245E" w:rsidRDefault="00B62AE4" w:rsidP="00A21724">
            <w:pPr>
              <w:pStyle w:val="Nincstrkz"/>
              <w:jc w:val="center"/>
              <w:rPr>
                <w:rFonts w:cs="Times New Roman"/>
                <w:b/>
                <w:bCs/>
                <w:lang w:val="hu-HU"/>
              </w:rPr>
            </w:pPr>
            <w:r w:rsidRPr="00F7245E">
              <w:rPr>
                <w:rFonts w:cs="Times New Roman"/>
                <w:b/>
                <w:bCs/>
                <w:w w:val="105"/>
              </w:rPr>
              <w:t>Relatív hazárd (95%-os CI)</w:t>
            </w:r>
          </w:p>
        </w:tc>
        <w:tc>
          <w:tcPr>
            <w:tcW w:w="1345" w:type="dxa"/>
            <w:vAlign w:val="center"/>
          </w:tcPr>
          <w:p w14:paraId="1C63B9B0" w14:textId="77777777" w:rsidR="00B62AE4" w:rsidRPr="00F7245E" w:rsidRDefault="00B62AE4" w:rsidP="00A21724">
            <w:pPr>
              <w:pStyle w:val="Nincstrkz"/>
              <w:jc w:val="center"/>
              <w:rPr>
                <w:rFonts w:cs="Times New Roman"/>
                <w:b/>
                <w:bCs/>
                <w:lang w:val="hu-HU"/>
              </w:rPr>
            </w:pPr>
            <w:r w:rsidRPr="00F7245E">
              <w:rPr>
                <w:rFonts w:cs="Times New Roman"/>
                <w:b/>
                <w:bCs/>
                <w:w w:val="105"/>
              </w:rPr>
              <w:t>p-érték</w:t>
            </w:r>
          </w:p>
        </w:tc>
      </w:tr>
      <w:tr w:rsidR="00B62AE4" w:rsidRPr="00F7245E" w14:paraId="0E31E09E" w14:textId="77777777" w:rsidTr="00B221E1">
        <w:trPr>
          <w:trHeight w:val="458"/>
        </w:trPr>
        <w:tc>
          <w:tcPr>
            <w:tcW w:w="2895" w:type="dxa"/>
          </w:tcPr>
          <w:p w14:paraId="3954B5E6" w14:textId="77777777" w:rsidR="00B62AE4" w:rsidRPr="00F7245E" w:rsidRDefault="00B62AE4" w:rsidP="00A21724">
            <w:pPr>
              <w:pStyle w:val="TableParagraph"/>
              <w:ind w:left="100"/>
              <w:rPr>
                <w:lang w:val="hu-HU"/>
              </w:rPr>
            </w:pPr>
            <w:r w:rsidRPr="00F7245E">
              <w:rPr>
                <w:w w:val="105"/>
              </w:rPr>
              <w:t>Stroke vagy szisztémás embolizáció*</w:t>
            </w:r>
          </w:p>
        </w:tc>
        <w:tc>
          <w:tcPr>
            <w:tcW w:w="1544" w:type="dxa"/>
          </w:tcPr>
          <w:p w14:paraId="01D319BE" w14:textId="77777777" w:rsidR="00B62AE4" w:rsidRPr="00F7245E" w:rsidRDefault="00B62AE4" w:rsidP="00A21724">
            <w:pPr>
              <w:pStyle w:val="TableParagraph"/>
              <w:ind w:left="313" w:right="305"/>
              <w:jc w:val="center"/>
              <w:rPr>
                <w:lang w:val="hu-HU"/>
              </w:rPr>
            </w:pPr>
            <w:r w:rsidRPr="00F7245E">
              <w:rPr>
                <w:w w:val="105"/>
              </w:rPr>
              <w:t>51 (1,62)</w:t>
            </w:r>
          </w:p>
        </w:tc>
        <w:tc>
          <w:tcPr>
            <w:tcW w:w="1606" w:type="dxa"/>
          </w:tcPr>
          <w:p w14:paraId="1A8F31B1" w14:textId="77777777" w:rsidR="00B62AE4" w:rsidRPr="00F7245E" w:rsidRDefault="00B62AE4" w:rsidP="00A21724">
            <w:pPr>
              <w:pStyle w:val="TableParagraph"/>
              <w:ind w:right="364"/>
              <w:jc w:val="right"/>
              <w:rPr>
                <w:lang w:val="hu-HU"/>
              </w:rPr>
            </w:pPr>
            <w:r w:rsidRPr="00F7245E">
              <w:rPr>
                <w:w w:val="105"/>
              </w:rPr>
              <w:t>113 (3,63)</w:t>
            </w:r>
          </w:p>
        </w:tc>
        <w:tc>
          <w:tcPr>
            <w:tcW w:w="1682" w:type="dxa"/>
          </w:tcPr>
          <w:p w14:paraId="02721877" w14:textId="77777777" w:rsidR="00B62AE4" w:rsidRPr="00F7245E" w:rsidRDefault="00B62AE4" w:rsidP="00A21724">
            <w:pPr>
              <w:pStyle w:val="TableParagraph"/>
              <w:ind w:left="113" w:right="110"/>
              <w:jc w:val="center"/>
              <w:rPr>
                <w:lang w:val="hu-HU"/>
              </w:rPr>
            </w:pPr>
            <w:r w:rsidRPr="00F7245E">
              <w:rPr>
                <w:w w:val="105"/>
              </w:rPr>
              <w:t>0,45 (0,32; 0,62)</w:t>
            </w:r>
          </w:p>
        </w:tc>
        <w:tc>
          <w:tcPr>
            <w:tcW w:w="1345" w:type="dxa"/>
          </w:tcPr>
          <w:p w14:paraId="6E214A72" w14:textId="77777777" w:rsidR="00B62AE4" w:rsidRPr="00F7245E" w:rsidRDefault="00B62AE4" w:rsidP="00A21724">
            <w:pPr>
              <w:pStyle w:val="TableParagraph"/>
              <w:ind w:left="80" w:right="72"/>
              <w:jc w:val="center"/>
              <w:rPr>
                <w:lang w:val="hu-HU"/>
              </w:rPr>
            </w:pPr>
            <w:r w:rsidRPr="00F7245E">
              <w:rPr>
                <w:w w:val="105"/>
              </w:rPr>
              <w:t>&lt;0,0001</w:t>
            </w:r>
          </w:p>
        </w:tc>
      </w:tr>
      <w:tr w:rsidR="00B62AE4" w:rsidRPr="00F7245E" w14:paraId="24671055" w14:textId="77777777" w:rsidTr="00B221E1">
        <w:trPr>
          <w:trHeight w:val="227"/>
        </w:trPr>
        <w:tc>
          <w:tcPr>
            <w:tcW w:w="2895" w:type="dxa"/>
          </w:tcPr>
          <w:p w14:paraId="2A82D8DA" w14:textId="77777777" w:rsidR="00B62AE4" w:rsidRPr="00F7245E" w:rsidRDefault="00B62AE4" w:rsidP="00A21724">
            <w:pPr>
              <w:pStyle w:val="TableParagraph"/>
              <w:ind w:left="567" w:hanging="141"/>
              <w:rPr>
                <w:lang w:val="hu-HU"/>
              </w:rPr>
            </w:pPr>
            <w:r w:rsidRPr="00F7245E">
              <w:rPr>
                <w:w w:val="105"/>
              </w:rPr>
              <w:t>Stroke</w:t>
            </w:r>
          </w:p>
        </w:tc>
        <w:tc>
          <w:tcPr>
            <w:tcW w:w="1544" w:type="dxa"/>
          </w:tcPr>
          <w:p w14:paraId="78C5F9A9" w14:textId="77777777" w:rsidR="00B62AE4" w:rsidRPr="00F7245E" w:rsidRDefault="00B62AE4" w:rsidP="00A21724">
            <w:pPr>
              <w:pStyle w:val="TableParagraph"/>
              <w:rPr>
                <w:lang w:val="hu-HU"/>
              </w:rPr>
            </w:pPr>
          </w:p>
        </w:tc>
        <w:tc>
          <w:tcPr>
            <w:tcW w:w="1606" w:type="dxa"/>
          </w:tcPr>
          <w:p w14:paraId="5E07B9C2" w14:textId="77777777" w:rsidR="00B62AE4" w:rsidRPr="00F7245E" w:rsidRDefault="00B62AE4" w:rsidP="00A21724">
            <w:pPr>
              <w:pStyle w:val="TableParagraph"/>
              <w:rPr>
                <w:lang w:val="hu-HU"/>
              </w:rPr>
            </w:pPr>
          </w:p>
        </w:tc>
        <w:tc>
          <w:tcPr>
            <w:tcW w:w="1682" w:type="dxa"/>
          </w:tcPr>
          <w:p w14:paraId="696E40EF" w14:textId="77777777" w:rsidR="00B62AE4" w:rsidRPr="00F7245E" w:rsidRDefault="00B62AE4" w:rsidP="00A21724">
            <w:pPr>
              <w:pStyle w:val="TableParagraph"/>
              <w:rPr>
                <w:lang w:val="hu-HU"/>
              </w:rPr>
            </w:pPr>
          </w:p>
        </w:tc>
        <w:tc>
          <w:tcPr>
            <w:tcW w:w="1345" w:type="dxa"/>
          </w:tcPr>
          <w:p w14:paraId="45BDFB86" w14:textId="77777777" w:rsidR="00B62AE4" w:rsidRPr="00F7245E" w:rsidRDefault="00B62AE4" w:rsidP="00A21724">
            <w:pPr>
              <w:pStyle w:val="TableParagraph"/>
              <w:rPr>
                <w:lang w:val="hu-HU"/>
              </w:rPr>
            </w:pPr>
          </w:p>
        </w:tc>
      </w:tr>
      <w:tr w:rsidR="00B62AE4" w:rsidRPr="00F7245E" w14:paraId="35B5DF0D" w14:textId="77777777" w:rsidTr="00B221E1">
        <w:trPr>
          <w:trHeight w:val="457"/>
        </w:trPr>
        <w:tc>
          <w:tcPr>
            <w:tcW w:w="2895" w:type="dxa"/>
          </w:tcPr>
          <w:p w14:paraId="20EA5FC0" w14:textId="77777777" w:rsidR="00B62AE4" w:rsidRPr="00F7245E" w:rsidRDefault="00B62AE4" w:rsidP="00A21724">
            <w:pPr>
              <w:pStyle w:val="TableParagraph"/>
              <w:ind w:left="567"/>
              <w:rPr>
                <w:lang w:val="hu-HU"/>
              </w:rPr>
            </w:pPr>
            <w:r w:rsidRPr="00F7245E">
              <w:rPr>
                <w:w w:val="105"/>
              </w:rPr>
              <w:t>Ischaemiás vagy nem meghatározott</w:t>
            </w:r>
          </w:p>
        </w:tc>
        <w:tc>
          <w:tcPr>
            <w:tcW w:w="1544" w:type="dxa"/>
          </w:tcPr>
          <w:p w14:paraId="5A681E8B" w14:textId="77777777" w:rsidR="00B62AE4" w:rsidRPr="00F7245E" w:rsidRDefault="00B62AE4" w:rsidP="00A21724">
            <w:pPr>
              <w:pStyle w:val="TableParagraph"/>
              <w:ind w:left="313" w:right="305"/>
              <w:jc w:val="center"/>
              <w:rPr>
                <w:lang w:val="hu-HU"/>
              </w:rPr>
            </w:pPr>
            <w:r w:rsidRPr="00F7245E">
              <w:rPr>
                <w:w w:val="105"/>
              </w:rPr>
              <w:t>43 (1,37)</w:t>
            </w:r>
          </w:p>
        </w:tc>
        <w:tc>
          <w:tcPr>
            <w:tcW w:w="1606" w:type="dxa"/>
          </w:tcPr>
          <w:p w14:paraId="67689382" w14:textId="77777777" w:rsidR="00B62AE4" w:rsidRPr="00F7245E" w:rsidRDefault="00B62AE4" w:rsidP="00A21724">
            <w:pPr>
              <w:pStyle w:val="TableParagraph"/>
              <w:ind w:right="414"/>
              <w:jc w:val="right"/>
              <w:rPr>
                <w:lang w:val="hu-HU"/>
              </w:rPr>
            </w:pPr>
            <w:r w:rsidRPr="00F7245E">
              <w:rPr>
                <w:w w:val="105"/>
              </w:rPr>
              <w:t>97 (3,11)</w:t>
            </w:r>
          </w:p>
        </w:tc>
        <w:tc>
          <w:tcPr>
            <w:tcW w:w="1682" w:type="dxa"/>
          </w:tcPr>
          <w:p w14:paraId="31EFDA56" w14:textId="77777777" w:rsidR="00B62AE4" w:rsidRPr="00F7245E" w:rsidRDefault="00B62AE4" w:rsidP="00A21724">
            <w:pPr>
              <w:pStyle w:val="TableParagraph"/>
              <w:ind w:left="114" w:right="110"/>
              <w:jc w:val="center"/>
              <w:rPr>
                <w:lang w:val="hu-HU"/>
              </w:rPr>
            </w:pPr>
            <w:r w:rsidRPr="00F7245E">
              <w:rPr>
                <w:w w:val="105"/>
              </w:rPr>
              <w:t>0,44 (0,31; 0,63)</w:t>
            </w:r>
          </w:p>
        </w:tc>
        <w:tc>
          <w:tcPr>
            <w:tcW w:w="1345" w:type="dxa"/>
          </w:tcPr>
          <w:p w14:paraId="5997F599" w14:textId="77777777" w:rsidR="00B62AE4" w:rsidRPr="00F7245E" w:rsidRDefault="00B62AE4" w:rsidP="00A21724">
            <w:pPr>
              <w:pStyle w:val="TableParagraph"/>
              <w:rPr>
                <w:lang w:val="hu-HU"/>
              </w:rPr>
            </w:pPr>
          </w:p>
        </w:tc>
      </w:tr>
      <w:tr w:rsidR="00B62AE4" w:rsidRPr="00F7245E" w14:paraId="5C8EDD38" w14:textId="77777777" w:rsidTr="00B221E1">
        <w:trPr>
          <w:trHeight w:val="226"/>
        </w:trPr>
        <w:tc>
          <w:tcPr>
            <w:tcW w:w="2895" w:type="dxa"/>
          </w:tcPr>
          <w:p w14:paraId="1D3AC1DA" w14:textId="77777777" w:rsidR="00B62AE4" w:rsidRPr="00F7245E" w:rsidRDefault="00B62AE4" w:rsidP="00A21724">
            <w:pPr>
              <w:pStyle w:val="TableParagraph"/>
              <w:ind w:left="609" w:hanging="42"/>
              <w:rPr>
                <w:lang w:val="hu-HU"/>
              </w:rPr>
            </w:pPr>
            <w:r w:rsidRPr="00F7245E">
              <w:rPr>
                <w:w w:val="105"/>
              </w:rPr>
              <w:t>Haemorrhagiás</w:t>
            </w:r>
          </w:p>
        </w:tc>
        <w:tc>
          <w:tcPr>
            <w:tcW w:w="1544" w:type="dxa"/>
          </w:tcPr>
          <w:p w14:paraId="722B90A6" w14:textId="77777777" w:rsidR="00B62AE4" w:rsidRPr="00F7245E" w:rsidRDefault="00B62AE4" w:rsidP="00A21724">
            <w:pPr>
              <w:pStyle w:val="TableParagraph"/>
              <w:ind w:left="313" w:right="306"/>
              <w:jc w:val="center"/>
              <w:rPr>
                <w:lang w:val="hu-HU"/>
              </w:rPr>
            </w:pPr>
            <w:r w:rsidRPr="00F7245E">
              <w:rPr>
                <w:w w:val="105"/>
              </w:rPr>
              <w:t>6 (0,19)</w:t>
            </w:r>
          </w:p>
        </w:tc>
        <w:tc>
          <w:tcPr>
            <w:tcW w:w="1606" w:type="dxa"/>
          </w:tcPr>
          <w:p w14:paraId="0C5922F3" w14:textId="77777777" w:rsidR="00B62AE4" w:rsidRPr="00F7245E" w:rsidRDefault="00B62AE4" w:rsidP="00A21724">
            <w:pPr>
              <w:pStyle w:val="TableParagraph"/>
              <w:ind w:left="473"/>
              <w:rPr>
                <w:lang w:val="hu-HU"/>
              </w:rPr>
            </w:pPr>
            <w:r w:rsidRPr="00F7245E">
              <w:rPr>
                <w:w w:val="105"/>
              </w:rPr>
              <w:t>9 (0,28)</w:t>
            </w:r>
          </w:p>
        </w:tc>
        <w:tc>
          <w:tcPr>
            <w:tcW w:w="1682" w:type="dxa"/>
          </w:tcPr>
          <w:p w14:paraId="529E7475" w14:textId="77777777" w:rsidR="00B62AE4" w:rsidRPr="00F7245E" w:rsidRDefault="00B62AE4" w:rsidP="00A21724">
            <w:pPr>
              <w:pStyle w:val="TableParagraph"/>
              <w:ind w:left="114" w:right="109"/>
              <w:jc w:val="center"/>
              <w:rPr>
                <w:lang w:val="hu-HU"/>
              </w:rPr>
            </w:pPr>
            <w:r w:rsidRPr="00F7245E">
              <w:rPr>
                <w:w w:val="105"/>
              </w:rPr>
              <w:t>0,67 (0,24; 1,88)</w:t>
            </w:r>
          </w:p>
        </w:tc>
        <w:tc>
          <w:tcPr>
            <w:tcW w:w="1345" w:type="dxa"/>
          </w:tcPr>
          <w:p w14:paraId="23E67E7A" w14:textId="77777777" w:rsidR="00B62AE4" w:rsidRPr="00F7245E" w:rsidRDefault="00B62AE4" w:rsidP="00A21724">
            <w:pPr>
              <w:pStyle w:val="TableParagraph"/>
              <w:rPr>
                <w:lang w:val="hu-HU"/>
              </w:rPr>
            </w:pPr>
          </w:p>
        </w:tc>
      </w:tr>
      <w:tr w:rsidR="00B62AE4" w:rsidRPr="00F7245E" w14:paraId="6D2CBDE6" w14:textId="77777777" w:rsidTr="00B221E1">
        <w:trPr>
          <w:trHeight w:val="228"/>
        </w:trPr>
        <w:tc>
          <w:tcPr>
            <w:tcW w:w="2895" w:type="dxa"/>
          </w:tcPr>
          <w:p w14:paraId="6FC99172" w14:textId="77777777" w:rsidR="00B62AE4" w:rsidRPr="00F7245E" w:rsidRDefault="00B62AE4" w:rsidP="00A21724">
            <w:pPr>
              <w:pStyle w:val="TableParagraph"/>
              <w:ind w:firstLine="426"/>
              <w:rPr>
                <w:lang w:val="hu-HU"/>
              </w:rPr>
            </w:pPr>
            <w:r w:rsidRPr="00F7245E">
              <w:t>Szisztémás embolizáció</w:t>
            </w:r>
          </w:p>
        </w:tc>
        <w:tc>
          <w:tcPr>
            <w:tcW w:w="1544" w:type="dxa"/>
          </w:tcPr>
          <w:p w14:paraId="22DDB608" w14:textId="77777777" w:rsidR="00B62AE4" w:rsidRPr="00F7245E" w:rsidRDefault="00B62AE4" w:rsidP="00A21724">
            <w:pPr>
              <w:pStyle w:val="TableParagraph"/>
              <w:ind w:left="311" w:right="306"/>
              <w:jc w:val="center"/>
              <w:rPr>
                <w:lang w:val="hu-HU"/>
              </w:rPr>
            </w:pPr>
            <w:r w:rsidRPr="00F7245E">
              <w:rPr>
                <w:w w:val="105"/>
              </w:rPr>
              <w:t>2 (0,06)</w:t>
            </w:r>
          </w:p>
        </w:tc>
        <w:tc>
          <w:tcPr>
            <w:tcW w:w="1606" w:type="dxa"/>
          </w:tcPr>
          <w:p w14:paraId="2E9D0EE0" w14:textId="77777777" w:rsidR="00B62AE4" w:rsidRPr="00F7245E" w:rsidRDefault="00B62AE4" w:rsidP="00A21724">
            <w:pPr>
              <w:pStyle w:val="TableParagraph"/>
              <w:ind w:right="414"/>
              <w:jc w:val="right"/>
              <w:rPr>
                <w:lang w:val="hu-HU"/>
              </w:rPr>
            </w:pPr>
            <w:r w:rsidRPr="00F7245E">
              <w:rPr>
                <w:w w:val="105"/>
              </w:rPr>
              <w:t>13 (0,41)</w:t>
            </w:r>
          </w:p>
        </w:tc>
        <w:tc>
          <w:tcPr>
            <w:tcW w:w="1682" w:type="dxa"/>
          </w:tcPr>
          <w:p w14:paraId="5A50632B" w14:textId="77777777" w:rsidR="00B62AE4" w:rsidRPr="00F7245E" w:rsidRDefault="00B62AE4" w:rsidP="00A21724">
            <w:pPr>
              <w:pStyle w:val="TableParagraph"/>
              <w:ind w:left="114" w:right="110"/>
              <w:jc w:val="center"/>
              <w:rPr>
                <w:lang w:val="hu-HU"/>
              </w:rPr>
            </w:pPr>
            <w:r w:rsidRPr="00F7245E">
              <w:rPr>
                <w:w w:val="105"/>
              </w:rPr>
              <w:t>0,15 (0,03; 0,68)</w:t>
            </w:r>
          </w:p>
        </w:tc>
        <w:tc>
          <w:tcPr>
            <w:tcW w:w="1345" w:type="dxa"/>
          </w:tcPr>
          <w:p w14:paraId="58F94083" w14:textId="77777777" w:rsidR="00B62AE4" w:rsidRPr="00F7245E" w:rsidRDefault="00B62AE4" w:rsidP="00A21724">
            <w:pPr>
              <w:pStyle w:val="TableParagraph"/>
              <w:rPr>
                <w:lang w:val="hu-HU"/>
              </w:rPr>
            </w:pPr>
          </w:p>
        </w:tc>
      </w:tr>
      <w:tr w:rsidR="00B62AE4" w:rsidRPr="00F7245E" w14:paraId="552756A2" w14:textId="77777777" w:rsidTr="00B221E1">
        <w:trPr>
          <w:trHeight w:val="966"/>
        </w:trPr>
        <w:tc>
          <w:tcPr>
            <w:tcW w:w="2895" w:type="dxa"/>
          </w:tcPr>
          <w:p w14:paraId="487992B5" w14:textId="4966B05D" w:rsidR="00B62AE4" w:rsidRPr="00F7245E" w:rsidRDefault="00B62AE4" w:rsidP="00A21724">
            <w:pPr>
              <w:pStyle w:val="TableParagraph"/>
              <w:ind w:left="100" w:right="52"/>
              <w:rPr>
                <w:lang w:val="hu-HU"/>
              </w:rPr>
            </w:pPr>
            <w:r w:rsidRPr="00F7245E">
              <w:rPr>
                <w:w w:val="105"/>
              </w:rPr>
              <w:t>Stroke, szisztémás embolizáció, MI vagy</w:t>
            </w:r>
            <w:r w:rsidR="00DA3F3C" w:rsidRPr="00F7245E">
              <w:rPr>
                <w:w w:val="105"/>
              </w:rPr>
              <w:t xml:space="preserve"> </w:t>
            </w:r>
            <w:r w:rsidRPr="00F7245E">
              <w:rPr>
                <w:w w:val="105"/>
              </w:rPr>
              <w:t>vascularis eredetű halál</w:t>
            </w:r>
            <w:r w:rsidR="00DA3F3C" w:rsidRPr="00F7245E">
              <w:rPr>
                <w:b/>
              </w:rPr>
              <w:t>*</w:t>
            </w:r>
            <w:r w:rsidR="00DA3F3C" w:rsidRPr="00F7245E">
              <w:rPr>
                <w:vertAlign w:val="superscript"/>
              </w:rPr>
              <w:t>†</w:t>
            </w:r>
          </w:p>
        </w:tc>
        <w:tc>
          <w:tcPr>
            <w:tcW w:w="1544" w:type="dxa"/>
          </w:tcPr>
          <w:p w14:paraId="7AFE0B4F" w14:textId="77777777" w:rsidR="00B62AE4" w:rsidRPr="00F7245E" w:rsidRDefault="00B62AE4" w:rsidP="00A21724">
            <w:pPr>
              <w:pStyle w:val="TableParagraph"/>
              <w:ind w:left="313" w:right="306"/>
              <w:jc w:val="center"/>
              <w:rPr>
                <w:lang w:val="hu-HU"/>
              </w:rPr>
            </w:pPr>
            <w:r w:rsidRPr="00F7245E">
              <w:rPr>
                <w:w w:val="105"/>
              </w:rPr>
              <w:t>132 (4,21)</w:t>
            </w:r>
          </w:p>
        </w:tc>
        <w:tc>
          <w:tcPr>
            <w:tcW w:w="1606" w:type="dxa"/>
          </w:tcPr>
          <w:p w14:paraId="7F04C291" w14:textId="77777777" w:rsidR="00B62AE4" w:rsidRPr="00F7245E" w:rsidRDefault="00B62AE4" w:rsidP="00A21724">
            <w:pPr>
              <w:pStyle w:val="TableParagraph"/>
              <w:ind w:right="364"/>
              <w:jc w:val="right"/>
              <w:rPr>
                <w:lang w:val="hu-HU"/>
              </w:rPr>
            </w:pPr>
            <w:r w:rsidRPr="00F7245E">
              <w:rPr>
                <w:w w:val="105"/>
              </w:rPr>
              <w:t>197 (6,35)</w:t>
            </w:r>
          </w:p>
        </w:tc>
        <w:tc>
          <w:tcPr>
            <w:tcW w:w="1682" w:type="dxa"/>
          </w:tcPr>
          <w:p w14:paraId="74A93207" w14:textId="77777777" w:rsidR="00B62AE4" w:rsidRPr="00F7245E" w:rsidRDefault="00B62AE4" w:rsidP="00A21724">
            <w:pPr>
              <w:pStyle w:val="TableParagraph"/>
              <w:ind w:left="113" w:right="110"/>
              <w:jc w:val="center"/>
              <w:rPr>
                <w:lang w:val="hu-HU"/>
              </w:rPr>
            </w:pPr>
            <w:r w:rsidRPr="00F7245E">
              <w:rPr>
                <w:w w:val="105"/>
              </w:rPr>
              <w:t>0,66 (0,53; 0,83)</w:t>
            </w:r>
          </w:p>
        </w:tc>
        <w:tc>
          <w:tcPr>
            <w:tcW w:w="1345" w:type="dxa"/>
          </w:tcPr>
          <w:p w14:paraId="19F13267" w14:textId="77777777" w:rsidR="00B62AE4" w:rsidRPr="00F7245E" w:rsidRDefault="00B62AE4" w:rsidP="00A21724">
            <w:pPr>
              <w:pStyle w:val="TableParagraph"/>
              <w:ind w:left="80" w:right="72"/>
              <w:jc w:val="center"/>
              <w:rPr>
                <w:lang w:val="hu-HU"/>
              </w:rPr>
            </w:pPr>
            <w:r w:rsidRPr="00F7245E">
              <w:rPr>
                <w:w w:val="105"/>
              </w:rPr>
              <w:t>0,003</w:t>
            </w:r>
          </w:p>
        </w:tc>
      </w:tr>
      <w:tr w:rsidR="00B62AE4" w:rsidRPr="00F7245E" w14:paraId="5AA90E8F" w14:textId="77777777" w:rsidTr="00B221E1">
        <w:trPr>
          <w:trHeight w:val="228"/>
        </w:trPr>
        <w:tc>
          <w:tcPr>
            <w:tcW w:w="2895" w:type="dxa"/>
          </w:tcPr>
          <w:p w14:paraId="61336E0D" w14:textId="77777777" w:rsidR="00B62AE4" w:rsidRPr="00F7245E" w:rsidRDefault="00B62AE4" w:rsidP="00A21724">
            <w:pPr>
              <w:pStyle w:val="TableParagraph"/>
              <w:ind w:left="358" w:firstLine="68"/>
              <w:rPr>
                <w:lang w:val="hu-HU"/>
              </w:rPr>
            </w:pPr>
            <w:r w:rsidRPr="00F7245E">
              <w:rPr>
                <w:w w:val="105"/>
              </w:rPr>
              <w:t>Myocardialis infarctus</w:t>
            </w:r>
          </w:p>
        </w:tc>
        <w:tc>
          <w:tcPr>
            <w:tcW w:w="1544" w:type="dxa"/>
          </w:tcPr>
          <w:p w14:paraId="0D11C377" w14:textId="77777777" w:rsidR="00B62AE4" w:rsidRPr="00F7245E" w:rsidRDefault="00B62AE4" w:rsidP="00A21724">
            <w:pPr>
              <w:pStyle w:val="TableParagraph"/>
              <w:ind w:left="313" w:right="303"/>
              <w:jc w:val="center"/>
              <w:rPr>
                <w:lang w:val="hu-HU"/>
              </w:rPr>
            </w:pPr>
            <w:r w:rsidRPr="00F7245E">
              <w:rPr>
                <w:w w:val="105"/>
              </w:rPr>
              <w:t>24 (0,76)</w:t>
            </w:r>
          </w:p>
        </w:tc>
        <w:tc>
          <w:tcPr>
            <w:tcW w:w="1606" w:type="dxa"/>
          </w:tcPr>
          <w:p w14:paraId="7D845E6E" w14:textId="77777777" w:rsidR="00B62AE4" w:rsidRPr="00F7245E" w:rsidRDefault="00B62AE4" w:rsidP="00A21724">
            <w:pPr>
              <w:pStyle w:val="TableParagraph"/>
              <w:ind w:right="414"/>
              <w:jc w:val="right"/>
              <w:rPr>
                <w:lang w:val="hu-HU"/>
              </w:rPr>
            </w:pPr>
            <w:r w:rsidRPr="00F7245E">
              <w:rPr>
                <w:w w:val="105"/>
              </w:rPr>
              <w:t>28 (0,89)</w:t>
            </w:r>
          </w:p>
        </w:tc>
        <w:tc>
          <w:tcPr>
            <w:tcW w:w="1682" w:type="dxa"/>
          </w:tcPr>
          <w:p w14:paraId="5A27969F" w14:textId="77777777" w:rsidR="00B62AE4" w:rsidRPr="00F7245E" w:rsidRDefault="00B62AE4" w:rsidP="00A21724">
            <w:pPr>
              <w:pStyle w:val="TableParagraph"/>
              <w:ind w:left="114" w:right="110"/>
              <w:jc w:val="center"/>
              <w:rPr>
                <w:lang w:val="hu-HU"/>
              </w:rPr>
            </w:pPr>
            <w:r w:rsidRPr="00F7245E">
              <w:rPr>
                <w:w w:val="105"/>
              </w:rPr>
              <w:t>0,86 (0,50; 1,48)</w:t>
            </w:r>
          </w:p>
        </w:tc>
        <w:tc>
          <w:tcPr>
            <w:tcW w:w="1345" w:type="dxa"/>
          </w:tcPr>
          <w:p w14:paraId="3BCA4AEC" w14:textId="77777777" w:rsidR="00B62AE4" w:rsidRPr="00F7245E" w:rsidRDefault="00B62AE4" w:rsidP="00A21724">
            <w:pPr>
              <w:pStyle w:val="TableParagraph"/>
              <w:rPr>
                <w:lang w:val="hu-HU"/>
              </w:rPr>
            </w:pPr>
          </w:p>
        </w:tc>
      </w:tr>
      <w:tr w:rsidR="00B62AE4" w:rsidRPr="00F7245E" w14:paraId="19D90ACA" w14:textId="77777777" w:rsidTr="00B221E1">
        <w:trPr>
          <w:trHeight w:val="228"/>
        </w:trPr>
        <w:tc>
          <w:tcPr>
            <w:tcW w:w="2895" w:type="dxa"/>
          </w:tcPr>
          <w:p w14:paraId="22A06116" w14:textId="77777777" w:rsidR="00B62AE4" w:rsidRPr="00F7245E" w:rsidRDefault="00B62AE4" w:rsidP="00A21724">
            <w:pPr>
              <w:pStyle w:val="TableParagraph"/>
              <w:tabs>
                <w:tab w:val="left" w:pos="426"/>
              </w:tabs>
              <w:ind w:firstLine="426"/>
              <w:rPr>
                <w:lang w:val="hu-HU"/>
              </w:rPr>
            </w:pPr>
            <w:r w:rsidRPr="00F7245E">
              <w:rPr>
                <w:w w:val="105"/>
              </w:rPr>
              <w:t>Vascularis eredetű halál</w:t>
            </w:r>
          </w:p>
        </w:tc>
        <w:tc>
          <w:tcPr>
            <w:tcW w:w="1544" w:type="dxa"/>
          </w:tcPr>
          <w:p w14:paraId="7DB95A5C" w14:textId="77777777" w:rsidR="00B62AE4" w:rsidRPr="00F7245E" w:rsidRDefault="00B62AE4" w:rsidP="00A21724">
            <w:pPr>
              <w:pStyle w:val="TableParagraph"/>
              <w:ind w:left="313" w:right="305"/>
              <w:jc w:val="center"/>
              <w:rPr>
                <w:lang w:val="hu-HU"/>
              </w:rPr>
            </w:pPr>
            <w:r w:rsidRPr="00F7245E">
              <w:rPr>
                <w:w w:val="105"/>
              </w:rPr>
              <w:t>84 (2,65)</w:t>
            </w:r>
          </w:p>
        </w:tc>
        <w:tc>
          <w:tcPr>
            <w:tcW w:w="1606" w:type="dxa"/>
          </w:tcPr>
          <w:p w14:paraId="4ACC85AA" w14:textId="77777777" w:rsidR="00B62AE4" w:rsidRPr="00F7245E" w:rsidRDefault="00B62AE4" w:rsidP="00A21724">
            <w:pPr>
              <w:pStyle w:val="TableParagraph"/>
              <w:ind w:right="414"/>
              <w:jc w:val="right"/>
              <w:rPr>
                <w:lang w:val="hu-HU"/>
              </w:rPr>
            </w:pPr>
            <w:r w:rsidRPr="00F7245E">
              <w:rPr>
                <w:w w:val="105"/>
              </w:rPr>
              <w:t>96 (3,03)</w:t>
            </w:r>
          </w:p>
        </w:tc>
        <w:tc>
          <w:tcPr>
            <w:tcW w:w="1682" w:type="dxa"/>
          </w:tcPr>
          <w:p w14:paraId="2330A98B" w14:textId="77777777" w:rsidR="00B62AE4" w:rsidRPr="00F7245E" w:rsidRDefault="00B62AE4" w:rsidP="00A21724">
            <w:pPr>
              <w:pStyle w:val="TableParagraph"/>
              <w:ind w:left="114" w:right="110"/>
              <w:jc w:val="center"/>
              <w:rPr>
                <w:lang w:val="hu-HU"/>
              </w:rPr>
            </w:pPr>
            <w:r w:rsidRPr="00F7245E">
              <w:rPr>
                <w:w w:val="105"/>
              </w:rPr>
              <w:t>0,87 (0,65; 1,17)</w:t>
            </w:r>
          </w:p>
        </w:tc>
        <w:tc>
          <w:tcPr>
            <w:tcW w:w="1345" w:type="dxa"/>
          </w:tcPr>
          <w:p w14:paraId="1CE50AB9" w14:textId="77777777" w:rsidR="00B62AE4" w:rsidRPr="00F7245E" w:rsidRDefault="00B62AE4" w:rsidP="00A21724">
            <w:pPr>
              <w:pStyle w:val="TableParagraph"/>
              <w:rPr>
                <w:lang w:val="hu-HU"/>
              </w:rPr>
            </w:pPr>
          </w:p>
        </w:tc>
      </w:tr>
      <w:tr w:rsidR="00B62AE4" w:rsidRPr="00F7245E" w14:paraId="22A79F4E" w14:textId="77777777" w:rsidTr="00B221E1">
        <w:trPr>
          <w:trHeight w:val="266"/>
        </w:trPr>
        <w:tc>
          <w:tcPr>
            <w:tcW w:w="2895" w:type="dxa"/>
          </w:tcPr>
          <w:p w14:paraId="367FA7F9" w14:textId="71203C6D" w:rsidR="00B62AE4" w:rsidRPr="00F7245E" w:rsidRDefault="000B0C84" w:rsidP="00A21724">
            <w:pPr>
              <w:pStyle w:val="TableParagraph"/>
              <w:ind w:left="100"/>
              <w:rPr>
                <w:lang w:val="hu-HU"/>
              </w:rPr>
            </w:pPr>
            <w:r w:rsidRPr="00F7245E">
              <w:rPr>
                <w:w w:val="105"/>
              </w:rPr>
              <w:t xml:space="preserve">Bármely okból bekövetkező </w:t>
            </w:r>
            <w:r w:rsidR="00B62AE4" w:rsidRPr="00F7245E">
              <w:rPr>
                <w:w w:val="105"/>
              </w:rPr>
              <w:t>mortalitás</w:t>
            </w:r>
            <w:r w:rsidR="00DA3F3C" w:rsidRPr="00F7245E">
              <w:rPr>
                <w:vertAlign w:val="superscript"/>
              </w:rPr>
              <w:t>†</w:t>
            </w:r>
          </w:p>
        </w:tc>
        <w:tc>
          <w:tcPr>
            <w:tcW w:w="1544" w:type="dxa"/>
          </w:tcPr>
          <w:p w14:paraId="5A5BC4F6" w14:textId="77777777" w:rsidR="00B62AE4" w:rsidRPr="00F7245E" w:rsidRDefault="00B62AE4" w:rsidP="00A21724">
            <w:pPr>
              <w:pStyle w:val="TableParagraph"/>
              <w:ind w:left="313" w:right="306"/>
              <w:jc w:val="center"/>
              <w:rPr>
                <w:lang w:val="hu-HU"/>
              </w:rPr>
            </w:pPr>
            <w:r w:rsidRPr="00F7245E">
              <w:rPr>
                <w:w w:val="105"/>
              </w:rPr>
              <w:t>111 (3,51)</w:t>
            </w:r>
          </w:p>
        </w:tc>
        <w:tc>
          <w:tcPr>
            <w:tcW w:w="1606" w:type="dxa"/>
          </w:tcPr>
          <w:p w14:paraId="0D9FF27A" w14:textId="77777777" w:rsidR="00B62AE4" w:rsidRPr="00F7245E" w:rsidRDefault="00B62AE4" w:rsidP="00A21724">
            <w:pPr>
              <w:pStyle w:val="TableParagraph"/>
              <w:ind w:right="364"/>
              <w:jc w:val="right"/>
              <w:rPr>
                <w:lang w:val="hu-HU"/>
              </w:rPr>
            </w:pPr>
            <w:r w:rsidRPr="00F7245E">
              <w:rPr>
                <w:w w:val="105"/>
              </w:rPr>
              <w:t>140 (4,42)</w:t>
            </w:r>
          </w:p>
        </w:tc>
        <w:tc>
          <w:tcPr>
            <w:tcW w:w="1682" w:type="dxa"/>
          </w:tcPr>
          <w:p w14:paraId="4C25F561" w14:textId="77777777" w:rsidR="00B62AE4" w:rsidRPr="00F7245E" w:rsidRDefault="00B62AE4" w:rsidP="00A21724">
            <w:pPr>
              <w:pStyle w:val="TableParagraph"/>
              <w:ind w:left="113" w:right="110"/>
              <w:jc w:val="center"/>
              <w:rPr>
                <w:lang w:val="hu-HU"/>
              </w:rPr>
            </w:pPr>
            <w:r w:rsidRPr="00F7245E">
              <w:rPr>
                <w:w w:val="105"/>
              </w:rPr>
              <w:t>0,79 (0,62; 1,02)</w:t>
            </w:r>
          </w:p>
        </w:tc>
        <w:tc>
          <w:tcPr>
            <w:tcW w:w="1345" w:type="dxa"/>
          </w:tcPr>
          <w:p w14:paraId="674379E1" w14:textId="77777777" w:rsidR="00B62AE4" w:rsidRPr="00F7245E" w:rsidRDefault="00B62AE4" w:rsidP="00A21724">
            <w:pPr>
              <w:pStyle w:val="TableParagraph"/>
              <w:ind w:left="80" w:right="72"/>
              <w:jc w:val="center"/>
              <w:rPr>
                <w:lang w:val="hu-HU"/>
              </w:rPr>
            </w:pPr>
            <w:r w:rsidRPr="00F7245E">
              <w:rPr>
                <w:w w:val="105"/>
              </w:rPr>
              <w:t>0,068</w:t>
            </w:r>
          </w:p>
        </w:tc>
      </w:tr>
    </w:tbl>
    <w:p w14:paraId="139742C3" w14:textId="6FA7A128" w:rsidR="00B62AE4" w:rsidRPr="00F7245E" w:rsidRDefault="00DA3F3C" w:rsidP="00A21724">
      <w:pPr>
        <w:tabs>
          <w:tab w:val="left" w:pos="368"/>
        </w:tabs>
        <w:ind w:right="974"/>
        <w:rPr>
          <w:sz w:val="20"/>
        </w:rPr>
      </w:pPr>
      <w:r w:rsidRPr="00F7245E">
        <w:rPr>
          <w:sz w:val="20"/>
        </w:rPr>
        <w:t>*</w:t>
      </w:r>
      <w:r w:rsidR="00B62AE4" w:rsidRPr="00F7245E">
        <w:rPr>
          <w:w w:val="105"/>
          <w:sz w:val="20"/>
        </w:rPr>
        <w:t>A</w:t>
      </w:r>
      <w:r w:rsidR="00B62AE4" w:rsidRPr="00F7245E">
        <w:rPr>
          <w:spacing w:val="-14"/>
          <w:w w:val="105"/>
          <w:sz w:val="20"/>
        </w:rPr>
        <w:t xml:space="preserve"> </w:t>
      </w:r>
      <w:r w:rsidR="00B62AE4" w:rsidRPr="00F7245E">
        <w:rPr>
          <w:w w:val="105"/>
          <w:sz w:val="20"/>
        </w:rPr>
        <w:t>vizsgálatban</w:t>
      </w:r>
      <w:r w:rsidR="00B62AE4" w:rsidRPr="00F7245E">
        <w:rPr>
          <w:spacing w:val="-15"/>
          <w:w w:val="105"/>
          <w:sz w:val="20"/>
        </w:rPr>
        <w:t xml:space="preserve"> </w:t>
      </w:r>
      <w:r w:rsidR="00B62AE4" w:rsidRPr="00F7245E">
        <w:rPr>
          <w:w w:val="105"/>
          <w:sz w:val="20"/>
        </w:rPr>
        <w:t>előforduló</w:t>
      </w:r>
      <w:r w:rsidR="00B62AE4" w:rsidRPr="00F7245E">
        <w:rPr>
          <w:spacing w:val="-14"/>
          <w:w w:val="105"/>
          <w:sz w:val="20"/>
        </w:rPr>
        <w:t xml:space="preserve"> </w:t>
      </w:r>
      <w:r w:rsidR="00B62AE4" w:rsidRPr="00F7245E">
        <w:rPr>
          <w:w w:val="105"/>
          <w:sz w:val="20"/>
        </w:rPr>
        <w:t>általános</w:t>
      </w:r>
      <w:r w:rsidR="00B62AE4" w:rsidRPr="00F7245E">
        <w:rPr>
          <w:spacing w:val="-15"/>
          <w:w w:val="105"/>
          <w:sz w:val="20"/>
        </w:rPr>
        <w:t xml:space="preserve"> </w:t>
      </w:r>
      <w:r w:rsidR="00B62AE4" w:rsidRPr="00F7245E">
        <w:rPr>
          <w:w w:val="105"/>
          <w:sz w:val="20"/>
        </w:rPr>
        <w:t>I-es</w:t>
      </w:r>
      <w:r w:rsidR="00B62AE4" w:rsidRPr="00F7245E">
        <w:rPr>
          <w:spacing w:val="-14"/>
          <w:w w:val="105"/>
          <w:sz w:val="20"/>
        </w:rPr>
        <w:t xml:space="preserve"> </w:t>
      </w:r>
      <w:r w:rsidR="00B62AE4" w:rsidRPr="00F7245E">
        <w:rPr>
          <w:w w:val="105"/>
          <w:sz w:val="20"/>
        </w:rPr>
        <w:t>típusú</w:t>
      </w:r>
      <w:r w:rsidR="00B62AE4" w:rsidRPr="00F7245E">
        <w:rPr>
          <w:spacing w:val="-14"/>
          <w:w w:val="105"/>
          <w:sz w:val="20"/>
        </w:rPr>
        <w:t xml:space="preserve"> </w:t>
      </w:r>
      <w:r w:rsidR="00B62AE4" w:rsidRPr="00F7245E">
        <w:rPr>
          <w:w w:val="105"/>
          <w:sz w:val="20"/>
        </w:rPr>
        <w:t>hiba</w:t>
      </w:r>
      <w:r w:rsidR="00B62AE4" w:rsidRPr="00F7245E">
        <w:rPr>
          <w:spacing w:val="-13"/>
          <w:w w:val="105"/>
          <w:sz w:val="20"/>
        </w:rPr>
        <w:t xml:space="preserve"> </w:t>
      </w:r>
      <w:r w:rsidR="00B62AE4" w:rsidRPr="00F7245E">
        <w:rPr>
          <w:w w:val="105"/>
          <w:sz w:val="20"/>
        </w:rPr>
        <w:t>kiküszöbölése</w:t>
      </w:r>
      <w:r w:rsidR="00B62AE4" w:rsidRPr="00F7245E">
        <w:rPr>
          <w:spacing w:val="-14"/>
          <w:w w:val="105"/>
          <w:sz w:val="20"/>
        </w:rPr>
        <w:t xml:space="preserve"> </w:t>
      </w:r>
      <w:r w:rsidR="00B62AE4" w:rsidRPr="00F7245E">
        <w:rPr>
          <w:w w:val="105"/>
          <w:sz w:val="20"/>
        </w:rPr>
        <w:t>érdekében</w:t>
      </w:r>
      <w:r w:rsidR="00B62AE4" w:rsidRPr="00F7245E">
        <w:rPr>
          <w:spacing w:val="-14"/>
          <w:w w:val="105"/>
          <w:sz w:val="20"/>
        </w:rPr>
        <w:t xml:space="preserve"> </w:t>
      </w:r>
      <w:r w:rsidR="00B62AE4" w:rsidRPr="00F7245E">
        <w:rPr>
          <w:w w:val="105"/>
          <w:sz w:val="20"/>
        </w:rPr>
        <w:t>egy</w:t>
      </w:r>
      <w:r w:rsidR="00B62AE4" w:rsidRPr="00F7245E">
        <w:rPr>
          <w:spacing w:val="-11"/>
          <w:w w:val="105"/>
          <w:sz w:val="20"/>
        </w:rPr>
        <w:t xml:space="preserve"> </w:t>
      </w:r>
      <w:r w:rsidR="00B62AE4" w:rsidRPr="00F7245E">
        <w:rPr>
          <w:w w:val="105"/>
          <w:sz w:val="20"/>
        </w:rPr>
        <w:t>szekvenciális vizsgálati stratégia szerint</w:t>
      </w:r>
      <w:r w:rsidR="00B62AE4" w:rsidRPr="00F7245E">
        <w:rPr>
          <w:spacing w:val="-4"/>
          <w:w w:val="105"/>
          <w:sz w:val="20"/>
        </w:rPr>
        <w:t xml:space="preserve"> </w:t>
      </w:r>
      <w:r w:rsidR="00B62AE4" w:rsidRPr="00F7245E">
        <w:rPr>
          <w:w w:val="105"/>
          <w:sz w:val="20"/>
        </w:rPr>
        <w:t>értékelték.</w:t>
      </w:r>
    </w:p>
    <w:p w14:paraId="2CE8FAFF" w14:textId="4BADA7CA" w:rsidR="00B62AE4" w:rsidRPr="00F7245E" w:rsidRDefault="00DA3F3C" w:rsidP="00A21724">
      <w:pPr>
        <w:pStyle w:val="Szvegtrzs"/>
        <w:rPr>
          <w:szCs w:val="22"/>
        </w:rPr>
      </w:pPr>
      <w:r w:rsidRPr="00F7245E">
        <w:rPr>
          <w:szCs w:val="22"/>
        </w:rPr>
        <w:t>†</w:t>
      </w:r>
      <w:r w:rsidR="00B62AE4" w:rsidRPr="00F7245E">
        <w:rPr>
          <w:w w:val="105"/>
          <w:szCs w:val="22"/>
        </w:rPr>
        <w:t>Másodlagos végpont.</w:t>
      </w:r>
    </w:p>
    <w:p w14:paraId="00F1DF68" w14:textId="77777777" w:rsidR="00B62AE4" w:rsidRPr="00F7245E" w:rsidRDefault="00B62AE4" w:rsidP="00A21724">
      <w:pPr>
        <w:pStyle w:val="Nincstrkz"/>
        <w:rPr>
          <w:rFonts w:cs="Times New Roman"/>
        </w:rPr>
      </w:pPr>
    </w:p>
    <w:p w14:paraId="5A14594B" w14:textId="590A1A05" w:rsidR="00B62AE4" w:rsidRPr="00F7245E" w:rsidRDefault="00B62AE4" w:rsidP="00A21724">
      <w:pPr>
        <w:pStyle w:val="Nincstrkz"/>
        <w:rPr>
          <w:rFonts w:cs="Times New Roman"/>
          <w:w w:val="105"/>
        </w:rPr>
      </w:pPr>
      <w:r w:rsidRPr="00F7245E">
        <w:rPr>
          <w:rFonts w:cs="Times New Roman"/>
          <w:w w:val="105"/>
        </w:rPr>
        <w:t>A</w:t>
      </w:r>
      <w:r w:rsidRPr="00F7245E">
        <w:rPr>
          <w:rFonts w:cs="Times New Roman"/>
          <w:spacing w:val="-15"/>
          <w:w w:val="105"/>
        </w:rPr>
        <w:t xml:space="preserve"> </w:t>
      </w:r>
      <w:r w:rsidRPr="00F7245E">
        <w:rPr>
          <w:rFonts w:cs="Times New Roman"/>
          <w:w w:val="105"/>
        </w:rPr>
        <w:t>nagyfokú</w:t>
      </w:r>
      <w:r w:rsidRPr="00F7245E">
        <w:rPr>
          <w:rFonts w:cs="Times New Roman"/>
          <w:spacing w:val="-15"/>
          <w:w w:val="105"/>
        </w:rPr>
        <w:t xml:space="preserve"> </w:t>
      </w:r>
      <w:r w:rsidRPr="00F7245E">
        <w:rPr>
          <w:rFonts w:cs="Times New Roman"/>
          <w:w w:val="105"/>
        </w:rPr>
        <w:t>vérzés</w:t>
      </w:r>
      <w:r w:rsidRPr="00F7245E">
        <w:rPr>
          <w:rFonts w:cs="Times New Roman"/>
          <w:spacing w:val="-15"/>
          <w:w w:val="105"/>
        </w:rPr>
        <w:t xml:space="preserve"> </w:t>
      </w:r>
      <w:r w:rsidRPr="00F7245E">
        <w:rPr>
          <w:rFonts w:cs="Times New Roman"/>
          <w:w w:val="105"/>
        </w:rPr>
        <w:t>előfordulási</w:t>
      </w:r>
      <w:r w:rsidRPr="00F7245E">
        <w:rPr>
          <w:rFonts w:cs="Times New Roman"/>
          <w:spacing w:val="-14"/>
          <w:w w:val="105"/>
        </w:rPr>
        <w:t xml:space="preserve"> </w:t>
      </w:r>
      <w:r w:rsidRPr="00F7245E">
        <w:rPr>
          <w:rFonts w:cs="Times New Roman"/>
          <w:w w:val="105"/>
        </w:rPr>
        <w:t>gyakoriságában</w:t>
      </w:r>
      <w:r w:rsidRPr="00F7245E">
        <w:rPr>
          <w:rFonts w:cs="Times New Roman"/>
          <w:spacing w:val="-15"/>
          <w:w w:val="105"/>
        </w:rPr>
        <w:t xml:space="preserve"> </w:t>
      </w:r>
      <w:r w:rsidRPr="00F7245E">
        <w:rPr>
          <w:rFonts w:cs="Times New Roman"/>
          <w:w w:val="105"/>
        </w:rPr>
        <w:t>nem</w:t>
      </w:r>
      <w:r w:rsidRPr="00F7245E">
        <w:rPr>
          <w:rFonts w:cs="Times New Roman"/>
          <w:spacing w:val="-16"/>
          <w:w w:val="105"/>
        </w:rPr>
        <w:t xml:space="preserve"> </w:t>
      </w:r>
      <w:r w:rsidRPr="00F7245E">
        <w:rPr>
          <w:rFonts w:cs="Times New Roman"/>
          <w:w w:val="105"/>
        </w:rPr>
        <w:t>volt</w:t>
      </w:r>
      <w:r w:rsidRPr="00F7245E">
        <w:rPr>
          <w:rFonts w:cs="Times New Roman"/>
          <w:spacing w:val="-15"/>
          <w:w w:val="105"/>
        </w:rPr>
        <w:t xml:space="preserve"> </w:t>
      </w:r>
      <w:r w:rsidRPr="00F7245E">
        <w:rPr>
          <w:rFonts w:cs="Times New Roman"/>
          <w:w w:val="105"/>
        </w:rPr>
        <w:t>statisztikailag</w:t>
      </w:r>
      <w:r w:rsidRPr="00F7245E">
        <w:rPr>
          <w:rFonts w:cs="Times New Roman"/>
          <w:spacing w:val="-15"/>
          <w:w w:val="105"/>
        </w:rPr>
        <w:t xml:space="preserve"> </w:t>
      </w:r>
      <w:r w:rsidRPr="00F7245E">
        <w:rPr>
          <w:rFonts w:cs="Times New Roman"/>
          <w:w w:val="105"/>
        </w:rPr>
        <w:t>szignifikáns</w:t>
      </w:r>
      <w:r w:rsidRPr="00F7245E">
        <w:rPr>
          <w:rFonts w:cs="Times New Roman"/>
          <w:spacing w:val="-15"/>
          <w:w w:val="105"/>
        </w:rPr>
        <w:t xml:space="preserve"> </w:t>
      </w:r>
      <w:r w:rsidRPr="00F7245E">
        <w:rPr>
          <w:rFonts w:cs="Times New Roman"/>
          <w:w w:val="105"/>
        </w:rPr>
        <w:t>különbség</w:t>
      </w:r>
      <w:r w:rsidRPr="00F7245E">
        <w:rPr>
          <w:rFonts w:cs="Times New Roman"/>
          <w:spacing w:val="-15"/>
          <w:w w:val="105"/>
        </w:rPr>
        <w:t xml:space="preserve"> </w:t>
      </w:r>
      <w:r w:rsidRPr="00F7245E">
        <w:rPr>
          <w:rFonts w:cs="Times New Roman"/>
          <w:w w:val="105"/>
        </w:rPr>
        <w:t xml:space="preserve">az </w:t>
      </w:r>
      <w:r w:rsidR="00CA2919" w:rsidRPr="00F7245E">
        <w:rPr>
          <w:rFonts w:cs="Times New Roman"/>
          <w:w w:val="105"/>
        </w:rPr>
        <w:t xml:space="preserve">apixabán </w:t>
      </w:r>
      <w:r w:rsidRPr="00F7245E">
        <w:rPr>
          <w:rFonts w:cs="Times New Roman"/>
          <w:w w:val="105"/>
        </w:rPr>
        <w:t xml:space="preserve">és az </w:t>
      </w:r>
      <w:r w:rsidR="00CA4AE9">
        <w:rPr>
          <w:rFonts w:cs="Times New Roman"/>
          <w:w w:val="105"/>
        </w:rPr>
        <w:t>acetilszalicilsav között (lásd 10</w:t>
      </w:r>
      <w:r w:rsidRPr="00F7245E">
        <w:rPr>
          <w:rFonts w:cs="Times New Roman"/>
          <w:w w:val="105"/>
        </w:rPr>
        <w:t>.</w:t>
      </w:r>
      <w:r w:rsidRPr="00F7245E">
        <w:rPr>
          <w:rFonts w:cs="Times New Roman"/>
          <w:spacing w:val="-13"/>
          <w:w w:val="105"/>
        </w:rPr>
        <w:t xml:space="preserve"> </w:t>
      </w:r>
      <w:r w:rsidRPr="00F7245E">
        <w:rPr>
          <w:rFonts w:cs="Times New Roman"/>
          <w:w w:val="105"/>
        </w:rPr>
        <w:t>táblázat).</w:t>
      </w:r>
    </w:p>
    <w:p w14:paraId="59B27B25" w14:textId="77777777" w:rsidR="00B62AE4" w:rsidRPr="00F7245E" w:rsidRDefault="00B62AE4" w:rsidP="00A21724">
      <w:pPr>
        <w:pStyle w:val="Nincstrkz"/>
        <w:rPr>
          <w:rFonts w:cs="Times New Roman"/>
          <w:w w:val="105"/>
        </w:rPr>
      </w:pPr>
    </w:p>
    <w:p w14:paraId="2F2B2B23" w14:textId="08C55DF4" w:rsidR="00B62AE4" w:rsidRPr="00F7245E" w:rsidRDefault="001F3456" w:rsidP="00A21724">
      <w:pPr>
        <w:pStyle w:val="Nincstrkz"/>
        <w:keepNext/>
        <w:rPr>
          <w:rFonts w:cs="Times New Roman"/>
          <w:b/>
          <w:bCs/>
        </w:rPr>
      </w:pPr>
      <w:r w:rsidRPr="00F7245E">
        <w:rPr>
          <w:rFonts w:cs="Times New Roman"/>
          <w:b/>
          <w:bCs/>
          <w:w w:val="105"/>
        </w:rPr>
        <w:t>10</w:t>
      </w:r>
      <w:r w:rsidR="00B221E1" w:rsidRPr="00F7245E">
        <w:rPr>
          <w:rFonts w:cs="Times New Roman"/>
          <w:b/>
          <w:bCs/>
          <w:w w:val="105"/>
        </w:rPr>
        <w:t xml:space="preserve">. </w:t>
      </w:r>
      <w:r w:rsidR="00B62AE4" w:rsidRPr="00F7245E">
        <w:rPr>
          <w:rFonts w:cs="Times New Roman"/>
          <w:b/>
          <w:bCs/>
          <w:w w:val="105"/>
        </w:rPr>
        <w:t>táblázat: Vérzéses események pitvarfibrillá</w:t>
      </w:r>
      <w:r w:rsidR="007622B9" w:rsidRPr="00F7245E">
        <w:rPr>
          <w:rFonts w:cs="Times New Roman"/>
          <w:b/>
          <w:bCs/>
          <w:w w:val="105"/>
        </w:rPr>
        <w:t>ci</w:t>
      </w:r>
      <w:r w:rsidR="00B62AE4" w:rsidRPr="00F7245E">
        <w:rPr>
          <w:rFonts w:cs="Times New Roman"/>
          <w:b/>
          <w:bCs/>
          <w:w w:val="105"/>
        </w:rPr>
        <w:t>ó</w:t>
      </w:r>
      <w:r w:rsidR="007622B9" w:rsidRPr="00F7245E">
        <w:rPr>
          <w:rFonts w:cs="Times New Roman"/>
          <w:b/>
          <w:bCs/>
          <w:w w:val="105"/>
        </w:rPr>
        <w:t>s</w:t>
      </w:r>
      <w:r w:rsidR="000B0C84" w:rsidRPr="00F7245E">
        <w:rPr>
          <w:rFonts w:cs="Times New Roman"/>
          <w:b/>
          <w:bCs/>
          <w:w w:val="105"/>
        </w:rPr>
        <w:t xml:space="preserve"> </w:t>
      </w:r>
      <w:r w:rsidR="00A1416D" w:rsidRPr="00F7245E">
        <w:rPr>
          <w:rFonts w:cs="Times New Roman"/>
          <w:b/>
          <w:bCs/>
          <w:w w:val="105"/>
        </w:rPr>
        <w:t>beteg</w:t>
      </w:r>
      <w:r w:rsidR="00B62AE4" w:rsidRPr="00F7245E">
        <w:rPr>
          <w:rFonts w:cs="Times New Roman"/>
          <w:b/>
          <w:bCs/>
          <w:w w:val="105"/>
        </w:rPr>
        <w:t>eknél az</w:t>
      </w:r>
      <w:r w:rsidR="00B62AE4" w:rsidRPr="00F7245E">
        <w:rPr>
          <w:rFonts w:cs="Times New Roman"/>
          <w:b/>
          <w:bCs/>
          <w:spacing w:val="-32"/>
          <w:w w:val="105"/>
        </w:rPr>
        <w:t xml:space="preserve"> </w:t>
      </w:r>
      <w:r w:rsidR="00B62AE4" w:rsidRPr="00F7245E">
        <w:rPr>
          <w:rFonts w:cs="Times New Roman"/>
          <w:b/>
          <w:bCs/>
          <w:w w:val="105"/>
        </w:rPr>
        <w:t>AVERROES-vizsgálatban</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8"/>
        <w:gridCol w:w="1701"/>
        <w:gridCol w:w="1843"/>
        <w:gridCol w:w="2126"/>
        <w:gridCol w:w="1134"/>
      </w:tblGrid>
      <w:tr w:rsidR="00B62AE4" w:rsidRPr="00F7245E" w14:paraId="3CFACDC9" w14:textId="77777777" w:rsidTr="00A31F4B">
        <w:trPr>
          <w:trHeight w:val="686"/>
        </w:trPr>
        <w:tc>
          <w:tcPr>
            <w:tcW w:w="2268" w:type="dxa"/>
          </w:tcPr>
          <w:p w14:paraId="26229863" w14:textId="77777777" w:rsidR="00B62AE4" w:rsidRPr="00F7245E" w:rsidRDefault="00B62AE4" w:rsidP="00A21724">
            <w:pPr>
              <w:pStyle w:val="TableParagraph"/>
              <w:keepNext/>
              <w:widowControl/>
              <w:rPr>
                <w:lang w:val="hu-HU"/>
              </w:rPr>
            </w:pPr>
          </w:p>
        </w:tc>
        <w:tc>
          <w:tcPr>
            <w:tcW w:w="1701" w:type="dxa"/>
            <w:vAlign w:val="center"/>
          </w:tcPr>
          <w:p w14:paraId="0C9C7D2A" w14:textId="1B9E6081" w:rsidR="00DA3F3C" w:rsidRPr="00F7245E" w:rsidRDefault="00CA2919" w:rsidP="00A21724">
            <w:pPr>
              <w:pStyle w:val="TableParagraph"/>
              <w:keepNext/>
              <w:widowControl/>
              <w:ind w:left="511" w:right="397" w:hanging="243"/>
              <w:rPr>
                <w:b/>
                <w:spacing w:val="-1"/>
                <w:lang w:val="hu-HU"/>
              </w:rPr>
            </w:pPr>
            <w:r w:rsidRPr="00F7245E">
              <w:rPr>
                <w:b/>
                <w:spacing w:val="-1"/>
              </w:rPr>
              <w:t xml:space="preserve">Apixabán </w:t>
            </w:r>
          </w:p>
          <w:p w14:paraId="183CCA0F" w14:textId="25E0C58F" w:rsidR="00B62AE4" w:rsidRPr="00F7245E" w:rsidRDefault="007D4C4D" w:rsidP="00A21724">
            <w:pPr>
              <w:pStyle w:val="TableParagraph"/>
              <w:keepNext/>
              <w:widowControl/>
              <w:ind w:left="511" w:right="397" w:hanging="243"/>
              <w:rPr>
                <w:b/>
                <w:lang w:val="hu-HU"/>
              </w:rPr>
            </w:pPr>
            <w:r w:rsidRPr="00F7245E">
              <w:rPr>
                <w:b/>
                <w:w w:val="105"/>
              </w:rPr>
              <w:t>N = </w:t>
            </w:r>
            <w:r w:rsidR="00B62AE4" w:rsidRPr="00F7245E">
              <w:rPr>
                <w:b/>
                <w:w w:val="105"/>
              </w:rPr>
              <w:t>2798</w:t>
            </w:r>
          </w:p>
          <w:p w14:paraId="6F206ED9" w14:textId="77777777" w:rsidR="00B62AE4" w:rsidRPr="00F7245E" w:rsidRDefault="00B62AE4" w:rsidP="00A21724">
            <w:pPr>
              <w:pStyle w:val="TableParagraph"/>
              <w:keepNext/>
              <w:widowControl/>
              <w:ind w:left="547" w:hanging="243"/>
              <w:rPr>
                <w:b/>
                <w:lang w:val="hu-HU"/>
              </w:rPr>
            </w:pPr>
            <w:r w:rsidRPr="00F7245E">
              <w:rPr>
                <w:b/>
                <w:w w:val="105"/>
              </w:rPr>
              <w:t>n</w:t>
            </w:r>
            <w:r w:rsidRPr="00F7245E">
              <w:rPr>
                <w:b/>
                <w:spacing w:val="-14"/>
                <w:w w:val="105"/>
              </w:rPr>
              <w:t xml:space="preserve"> </w:t>
            </w:r>
            <w:r w:rsidRPr="00F7245E">
              <w:rPr>
                <w:b/>
                <w:w w:val="105"/>
              </w:rPr>
              <w:t>(%/év)</w:t>
            </w:r>
          </w:p>
        </w:tc>
        <w:tc>
          <w:tcPr>
            <w:tcW w:w="1843" w:type="dxa"/>
            <w:vAlign w:val="center"/>
          </w:tcPr>
          <w:p w14:paraId="12C1D47D" w14:textId="77777777" w:rsidR="00A31F4B" w:rsidRPr="00F7245E" w:rsidRDefault="00B62AE4" w:rsidP="00A21724">
            <w:pPr>
              <w:pStyle w:val="TableParagraph"/>
              <w:keepNext/>
              <w:widowControl/>
              <w:ind w:left="106" w:right="97"/>
              <w:rPr>
                <w:b/>
                <w:lang w:val="hu-HU"/>
              </w:rPr>
            </w:pPr>
            <w:r w:rsidRPr="00F7245E">
              <w:rPr>
                <w:b/>
              </w:rPr>
              <w:t>Acetilszalicilsav</w:t>
            </w:r>
          </w:p>
          <w:p w14:paraId="4A496D06" w14:textId="3529052C" w:rsidR="00B62AE4" w:rsidRPr="00F7245E" w:rsidRDefault="007D4C4D" w:rsidP="00A21724">
            <w:pPr>
              <w:pStyle w:val="TableParagraph"/>
              <w:keepNext/>
              <w:widowControl/>
              <w:ind w:left="106" w:right="97"/>
              <w:rPr>
                <w:b/>
                <w:lang w:val="hu-HU"/>
              </w:rPr>
            </w:pPr>
            <w:r w:rsidRPr="00F7245E">
              <w:rPr>
                <w:b/>
                <w:w w:val="105"/>
              </w:rPr>
              <w:t>N = </w:t>
            </w:r>
            <w:r w:rsidR="00B62AE4" w:rsidRPr="00F7245E">
              <w:rPr>
                <w:b/>
                <w:w w:val="105"/>
              </w:rPr>
              <w:t>2780</w:t>
            </w:r>
          </w:p>
          <w:p w14:paraId="7DE8521F" w14:textId="77777777" w:rsidR="00B62AE4" w:rsidRPr="00F7245E" w:rsidRDefault="00B62AE4" w:rsidP="00A21724">
            <w:pPr>
              <w:pStyle w:val="TableParagraph"/>
              <w:keepNext/>
              <w:widowControl/>
              <w:ind w:left="103" w:right="97"/>
              <w:rPr>
                <w:b/>
                <w:lang w:val="hu-HU"/>
              </w:rPr>
            </w:pPr>
            <w:r w:rsidRPr="00F7245E">
              <w:rPr>
                <w:b/>
                <w:w w:val="105"/>
              </w:rPr>
              <w:t>n</w:t>
            </w:r>
            <w:r w:rsidRPr="00F7245E">
              <w:rPr>
                <w:b/>
                <w:spacing w:val="-14"/>
                <w:w w:val="105"/>
              </w:rPr>
              <w:t xml:space="preserve"> </w:t>
            </w:r>
            <w:r w:rsidRPr="00F7245E">
              <w:rPr>
                <w:b/>
                <w:w w:val="105"/>
              </w:rPr>
              <w:t>(%/év)</w:t>
            </w:r>
          </w:p>
        </w:tc>
        <w:tc>
          <w:tcPr>
            <w:tcW w:w="2126" w:type="dxa"/>
            <w:vAlign w:val="center"/>
          </w:tcPr>
          <w:p w14:paraId="54A37263" w14:textId="77777777" w:rsidR="00B62AE4" w:rsidRPr="00F7245E" w:rsidRDefault="00B62AE4" w:rsidP="00A21724">
            <w:pPr>
              <w:pStyle w:val="TableParagraph"/>
              <w:keepNext/>
              <w:widowControl/>
              <w:ind w:left="428" w:right="262" w:hanging="108"/>
              <w:rPr>
                <w:b/>
                <w:lang w:val="hu-HU"/>
              </w:rPr>
            </w:pPr>
            <w:r w:rsidRPr="00F7245E">
              <w:rPr>
                <w:b/>
                <w:w w:val="105"/>
              </w:rPr>
              <w:t>Relatív hazárd (95%-os CI)</w:t>
            </w:r>
          </w:p>
        </w:tc>
        <w:tc>
          <w:tcPr>
            <w:tcW w:w="1134" w:type="dxa"/>
            <w:vAlign w:val="center"/>
          </w:tcPr>
          <w:p w14:paraId="1D681503" w14:textId="77777777" w:rsidR="00B62AE4" w:rsidRPr="00F7245E" w:rsidRDefault="00B62AE4" w:rsidP="00A21724">
            <w:pPr>
              <w:pStyle w:val="TableParagraph"/>
              <w:keepNext/>
              <w:widowControl/>
              <w:ind w:left="140"/>
              <w:rPr>
                <w:b/>
                <w:lang w:val="hu-HU"/>
              </w:rPr>
            </w:pPr>
            <w:r w:rsidRPr="00F7245E">
              <w:rPr>
                <w:b/>
                <w:w w:val="105"/>
              </w:rPr>
              <w:t>p-érték</w:t>
            </w:r>
          </w:p>
        </w:tc>
      </w:tr>
      <w:tr w:rsidR="00B62AE4" w:rsidRPr="00F7245E" w14:paraId="0485A23B" w14:textId="77777777" w:rsidTr="00A31F4B">
        <w:trPr>
          <w:trHeight w:val="261"/>
        </w:trPr>
        <w:tc>
          <w:tcPr>
            <w:tcW w:w="2268" w:type="dxa"/>
          </w:tcPr>
          <w:p w14:paraId="7CB56C9C" w14:textId="77777777" w:rsidR="00B62AE4" w:rsidRPr="00F7245E" w:rsidRDefault="00B62AE4" w:rsidP="00A21724">
            <w:pPr>
              <w:pStyle w:val="TableParagraph"/>
              <w:keepNext/>
              <w:widowControl/>
              <w:ind w:left="100"/>
              <w:rPr>
                <w:lang w:val="hu-HU"/>
              </w:rPr>
            </w:pPr>
            <w:r w:rsidRPr="00F7245E">
              <w:rPr>
                <w:w w:val="105"/>
              </w:rPr>
              <w:t>Nagyfokú*</w:t>
            </w:r>
          </w:p>
        </w:tc>
        <w:tc>
          <w:tcPr>
            <w:tcW w:w="1701" w:type="dxa"/>
          </w:tcPr>
          <w:p w14:paraId="57149FA5" w14:textId="77777777" w:rsidR="00B62AE4" w:rsidRPr="00F7245E" w:rsidRDefault="00B62AE4" w:rsidP="00A21724">
            <w:pPr>
              <w:pStyle w:val="TableParagraph"/>
              <w:keepNext/>
              <w:widowControl/>
              <w:ind w:left="206" w:right="199"/>
              <w:jc w:val="center"/>
              <w:rPr>
                <w:lang w:val="hu-HU"/>
              </w:rPr>
            </w:pPr>
            <w:r w:rsidRPr="00F7245E">
              <w:rPr>
                <w:w w:val="105"/>
              </w:rPr>
              <w:t>45 (1,41)</w:t>
            </w:r>
          </w:p>
        </w:tc>
        <w:tc>
          <w:tcPr>
            <w:tcW w:w="1843" w:type="dxa"/>
          </w:tcPr>
          <w:p w14:paraId="4D3D6A43" w14:textId="77777777" w:rsidR="00B62AE4" w:rsidRPr="00F7245E" w:rsidRDefault="00B62AE4" w:rsidP="00A21724">
            <w:pPr>
              <w:pStyle w:val="TableParagraph"/>
              <w:keepNext/>
              <w:widowControl/>
              <w:ind w:left="422"/>
              <w:rPr>
                <w:lang w:val="hu-HU"/>
              </w:rPr>
            </w:pPr>
            <w:r w:rsidRPr="00F7245E">
              <w:rPr>
                <w:w w:val="105"/>
              </w:rPr>
              <w:t>29 (0,92)</w:t>
            </w:r>
          </w:p>
        </w:tc>
        <w:tc>
          <w:tcPr>
            <w:tcW w:w="2126" w:type="dxa"/>
          </w:tcPr>
          <w:p w14:paraId="482266B4" w14:textId="77777777" w:rsidR="00B62AE4" w:rsidRPr="00F7245E" w:rsidRDefault="00B62AE4" w:rsidP="00A21724">
            <w:pPr>
              <w:pStyle w:val="TableParagraph"/>
              <w:keepNext/>
              <w:widowControl/>
              <w:ind w:left="246" w:right="244"/>
              <w:jc w:val="center"/>
              <w:rPr>
                <w:lang w:val="hu-HU"/>
              </w:rPr>
            </w:pPr>
            <w:r w:rsidRPr="00F7245E">
              <w:rPr>
                <w:w w:val="105"/>
              </w:rPr>
              <w:t>1,54 (0,96; 2,45)</w:t>
            </w:r>
          </w:p>
        </w:tc>
        <w:tc>
          <w:tcPr>
            <w:tcW w:w="1134" w:type="dxa"/>
          </w:tcPr>
          <w:p w14:paraId="6ACAE37A" w14:textId="77777777" w:rsidR="00B62AE4" w:rsidRPr="00F7245E" w:rsidRDefault="00B62AE4" w:rsidP="00A21724">
            <w:pPr>
              <w:pStyle w:val="TableParagraph"/>
              <w:keepNext/>
              <w:widowControl/>
              <w:ind w:left="178"/>
              <w:rPr>
                <w:lang w:val="hu-HU"/>
              </w:rPr>
            </w:pPr>
            <w:r w:rsidRPr="00F7245E">
              <w:rPr>
                <w:w w:val="105"/>
              </w:rPr>
              <w:t>0,0716</w:t>
            </w:r>
          </w:p>
        </w:tc>
      </w:tr>
      <w:tr w:rsidR="00B62AE4" w:rsidRPr="00F7245E" w14:paraId="146C1FF1" w14:textId="77777777" w:rsidTr="00A31F4B">
        <w:trPr>
          <w:trHeight w:val="458"/>
        </w:trPr>
        <w:tc>
          <w:tcPr>
            <w:tcW w:w="2268" w:type="dxa"/>
          </w:tcPr>
          <w:p w14:paraId="15AD5BEC" w14:textId="77777777" w:rsidR="00B62AE4" w:rsidRPr="00F7245E" w:rsidRDefault="00B62AE4" w:rsidP="00A21724">
            <w:pPr>
              <w:pStyle w:val="TableParagraph"/>
              <w:ind w:left="438"/>
              <w:rPr>
                <w:lang w:val="hu-HU"/>
              </w:rPr>
            </w:pPr>
            <w:r w:rsidRPr="00F7245E">
              <w:rPr>
                <w:w w:val="105"/>
              </w:rPr>
              <w:t>Végzetes kimenetelű, n</w:t>
            </w:r>
          </w:p>
        </w:tc>
        <w:tc>
          <w:tcPr>
            <w:tcW w:w="1701" w:type="dxa"/>
          </w:tcPr>
          <w:p w14:paraId="36AC1FD6" w14:textId="77777777" w:rsidR="00B62AE4" w:rsidRPr="00F7245E" w:rsidRDefault="00B62AE4" w:rsidP="00A21724">
            <w:pPr>
              <w:pStyle w:val="TableParagraph"/>
              <w:ind w:left="206" w:right="199"/>
              <w:jc w:val="center"/>
              <w:rPr>
                <w:lang w:val="hu-HU"/>
              </w:rPr>
            </w:pPr>
            <w:r w:rsidRPr="00F7245E">
              <w:rPr>
                <w:w w:val="105"/>
              </w:rPr>
              <w:t>5 (0,16)</w:t>
            </w:r>
          </w:p>
        </w:tc>
        <w:tc>
          <w:tcPr>
            <w:tcW w:w="1843" w:type="dxa"/>
          </w:tcPr>
          <w:p w14:paraId="044E29F1" w14:textId="77777777" w:rsidR="00B62AE4" w:rsidRPr="00F7245E" w:rsidRDefault="00B62AE4" w:rsidP="00A21724">
            <w:pPr>
              <w:pStyle w:val="TableParagraph"/>
              <w:ind w:left="475"/>
              <w:rPr>
                <w:lang w:val="hu-HU"/>
              </w:rPr>
            </w:pPr>
            <w:r w:rsidRPr="00F7245E">
              <w:rPr>
                <w:w w:val="105"/>
              </w:rPr>
              <w:t>5 (0,16)</w:t>
            </w:r>
          </w:p>
        </w:tc>
        <w:tc>
          <w:tcPr>
            <w:tcW w:w="2126" w:type="dxa"/>
          </w:tcPr>
          <w:p w14:paraId="45ABA3D2" w14:textId="77777777" w:rsidR="00B62AE4" w:rsidRPr="00F7245E" w:rsidRDefault="00B62AE4" w:rsidP="00A21724">
            <w:pPr>
              <w:pStyle w:val="TableParagraph"/>
              <w:rPr>
                <w:lang w:val="hu-HU"/>
              </w:rPr>
            </w:pPr>
          </w:p>
        </w:tc>
        <w:tc>
          <w:tcPr>
            <w:tcW w:w="1134" w:type="dxa"/>
          </w:tcPr>
          <w:p w14:paraId="64B87BA4" w14:textId="77777777" w:rsidR="00B62AE4" w:rsidRPr="00F7245E" w:rsidRDefault="00B62AE4" w:rsidP="00A21724">
            <w:pPr>
              <w:pStyle w:val="TableParagraph"/>
              <w:rPr>
                <w:lang w:val="hu-HU"/>
              </w:rPr>
            </w:pPr>
          </w:p>
        </w:tc>
      </w:tr>
      <w:tr w:rsidR="00B62AE4" w:rsidRPr="00F7245E" w14:paraId="21DF05F5" w14:textId="77777777" w:rsidTr="00A31F4B">
        <w:trPr>
          <w:trHeight w:val="231"/>
        </w:trPr>
        <w:tc>
          <w:tcPr>
            <w:tcW w:w="2268" w:type="dxa"/>
          </w:tcPr>
          <w:p w14:paraId="13122078" w14:textId="77777777" w:rsidR="00B62AE4" w:rsidRPr="00F7245E" w:rsidRDefault="00B62AE4" w:rsidP="00A21724">
            <w:pPr>
              <w:pStyle w:val="TableParagraph"/>
              <w:ind w:left="438"/>
              <w:rPr>
                <w:lang w:val="hu-HU"/>
              </w:rPr>
            </w:pPr>
            <w:r w:rsidRPr="00F7245E">
              <w:rPr>
                <w:w w:val="105"/>
              </w:rPr>
              <w:t>Intracranialis, n</w:t>
            </w:r>
          </w:p>
        </w:tc>
        <w:tc>
          <w:tcPr>
            <w:tcW w:w="1701" w:type="dxa"/>
          </w:tcPr>
          <w:p w14:paraId="39744CBF" w14:textId="77777777" w:rsidR="00B62AE4" w:rsidRPr="00F7245E" w:rsidRDefault="00B62AE4" w:rsidP="00A21724">
            <w:pPr>
              <w:pStyle w:val="TableParagraph"/>
              <w:ind w:left="206" w:right="197"/>
              <w:jc w:val="center"/>
              <w:rPr>
                <w:lang w:val="hu-HU"/>
              </w:rPr>
            </w:pPr>
            <w:r w:rsidRPr="00F7245E">
              <w:rPr>
                <w:w w:val="105"/>
              </w:rPr>
              <w:t>11 (0,34)</w:t>
            </w:r>
          </w:p>
        </w:tc>
        <w:tc>
          <w:tcPr>
            <w:tcW w:w="1843" w:type="dxa"/>
          </w:tcPr>
          <w:p w14:paraId="3DB11B38" w14:textId="77777777" w:rsidR="00B62AE4" w:rsidRPr="00F7245E" w:rsidRDefault="00B62AE4" w:rsidP="00A21724">
            <w:pPr>
              <w:pStyle w:val="TableParagraph"/>
              <w:ind w:left="424"/>
              <w:rPr>
                <w:lang w:val="hu-HU"/>
              </w:rPr>
            </w:pPr>
            <w:r w:rsidRPr="00F7245E">
              <w:rPr>
                <w:w w:val="105"/>
              </w:rPr>
              <w:t>11 (0,35)</w:t>
            </w:r>
          </w:p>
        </w:tc>
        <w:tc>
          <w:tcPr>
            <w:tcW w:w="2126" w:type="dxa"/>
          </w:tcPr>
          <w:p w14:paraId="4E6E1965" w14:textId="77777777" w:rsidR="00B62AE4" w:rsidRPr="00F7245E" w:rsidRDefault="00B62AE4" w:rsidP="00A21724">
            <w:pPr>
              <w:pStyle w:val="TableParagraph"/>
              <w:rPr>
                <w:lang w:val="hu-HU"/>
              </w:rPr>
            </w:pPr>
          </w:p>
        </w:tc>
        <w:tc>
          <w:tcPr>
            <w:tcW w:w="1134" w:type="dxa"/>
          </w:tcPr>
          <w:p w14:paraId="70D120AA" w14:textId="77777777" w:rsidR="00B62AE4" w:rsidRPr="00F7245E" w:rsidRDefault="00B62AE4" w:rsidP="00A21724">
            <w:pPr>
              <w:pStyle w:val="TableParagraph"/>
              <w:rPr>
                <w:lang w:val="hu-HU"/>
              </w:rPr>
            </w:pPr>
          </w:p>
        </w:tc>
      </w:tr>
      <w:tr w:rsidR="00B62AE4" w:rsidRPr="00F7245E" w14:paraId="65DE081A" w14:textId="77777777" w:rsidTr="00A31F4B">
        <w:trPr>
          <w:trHeight w:val="457"/>
        </w:trPr>
        <w:tc>
          <w:tcPr>
            <w:tcW w:w="2268" w:type="dxa"/>
          </w:tcPr>
          <w:p w14:paraId="03F44693" w14:textId="77777777" w:rsidR="00B62AE4" w:rsidRPr="00F7245E" w:rsidRDefault="00B62AE4" w:rsidP="00A21724">
            <w:pPr>
              <w:pStyle w:val="TableParagraph"/>
              <w:ind w:left="100" w:right="92"/>
              <w:rPr>
                <w:lang w:val="hu-HU"/>
              </w:rPr>
            </w:pPr>
            <w:r w:rsidRPr="00F7245E">
              <w:rPr>
                <w:w w:val="105"/>
              </w:rPr>
              <w:t>Nagyfokú + CRNM†</w:t>
            </w:r>
          </w:p>
        </w:tc>
        <w:tc>
          <w:tcPr>
            <w:tcW w:w="1701" w:type="dxa"/>
          </w:tcPr>
          <w:p w14:paraId="4D441C37" w14:textId="77777777" w:rsidR="00B62AE4" w:rsidRPr="00F7245E" w:rsidRDefault="00B62AE4" w:rsidP="00A21724">
            <w:pPr>
              <w:pStyle w:val="TableParagraph"/>
              <w:ind w:left="206" w:right="200"/>
              <w:jc w:val="center"/>
              <w:rPr>
                <w:lang w:val="hu-HU"/>
              </w:rPr>
            </w:pPr>
            <w:r w:rsidRPr="00F7245E">
              <w:rPr>
                <w:w w:val="105"/>
              </w:rPr>
              <w:t>140 (4,46)</w:t>
            </w:r>
          </w:p>
        </w:tc>
        <w:tc>
          <w:tcPr>
            <w:tcW w:w="1843" w:type="dxa"/>
          </w:tcPr>
          <w:p w14:paraId="48FB4744" w14:textId="77777777" w:rsidR="00B62AE4" w:rsidRPr="00F7245E" w:rsidRDefault="00B62AE4" w:rsidP="00A21724">
            <w:pPr>
              <w:pStyle w:val="TableParagraph"/>
              <w:ind w:left="371"/>
              <w:rPr>
                <w:lang w:val="hu-HU"/>
              </w:rPr>
            </w:pPr>
            <w:r w:rsidRPr="00F7245E">
              <w:rPr>
                <w:w w:val="105"/>
              </w:rPr>
              <w:t>101 (3,24)</w:t>
            </w:r>
          </w:p>
        </w:tc>
        <w:tc>
          <w:tcPr>
            <w:tcW w:w="2126" w:type="dxa"/>
          </w:tcPr>
          <w:p w14:paraId="6AE9DB02" w14:textId="77777777" w:rsidR="00B62AE4" w:rsidRPr="00F7245E" w:rsidRDefault="00B62AE4" w:rsidP="00A21724">
            <w:pPr>
              <w:pStyle w:val="TableParagraph"/>
              <w:ind w:left="247" w:right="244"/>
              <w:jc w:val="center"/>
              <w:rPr>
                <w:lang w:val="hu-HU"/>
              </w:rPr>
            </w:pPr>
            <w:r w:rsidRPr="00F7245E">
              <w:rPr>
                <w:w w:val="105"/>
              </w:rPr>
              <w:t>1,38 (1,07; 1,78)</w:t>
            </w:r>
          </w:p>
        </w:tc>
        <w:tc>
          <w:tcPr>
            <w:tcW w:w="1134" w:type="dxa"/>
          </w:tcPr>
          <w:p w14:paraId="2883DDBB" w14:textId="77777777" w:rsidR="00B62AE4" w:rsidRPr="00F7245E" w:rsidRDefault="00B62AE4" w:rsidP="00A21724">
            <w:pPr>
              <w:pStyle w:val="TableParagraph"/>
              <w:ind w:left="178"/>
              <w:rPr>
                <w:lang w:val="hu-HU"/>
              </w:rPr>
            </w:pPr>
            <w:r w:rsidRPr="00F7245E">
              <w:rPr>
                <w:w w:val="105"/>
              </w:rPr>
              <w:t>0,0144</w:t>
            </w:r>
          </w:p>
        </w:tc>
      </w:tr>
      <w:tr w:rsidR="00B62AE4" w:rsidRPr="00F7245E" w14:paraId="772CA063" w14:textId="77777777" w:rsidTr="00A31F4B">
        <w:trPr>
          <w:trHeight w:val="317"/>
        </w:trPr>
        <w:tc>
          <w:tcPr>
            <w:tcW w:w="2268" w:type="dxa"/>
          </w:tcPr>
          <w:p w14:paraId="11E9BDFE" w14:textId="77777777" w:rsidR="00B62AE4" w:rsidRPr="00F7245E" w:rsidRDefault="00B62AE4" w:rsidP="00A21724">
            <w:pPr>
              <w:pStyle w:val="TableParagraph"/>
              <w:ind w:left="100"/>
              <w:rPr>
                <w:lang w:val="hu-HU"/>
              </w:rPr>
            </w:pPr>
            <w:r w:rsidRPr="00F7245E">
              <w:rPr>
                <w:w w:val="105"/>
              </w:rPr>
              <w:t>Összes</w:t>
            </w:r>
          </w:p>
        </w:tc>
        <w:tc>
          <w:tcPr>
            <w:tcW w:w="1701" w:type="dxa"/>
          </w:tcPr>
          <w:p w14:paraId="4F2A6601" w14:textId="77777777" w:rsidR="00B62AE4" w:rsidRPr="00F7245E" w:rsidRDefault="00B62AE4" w:rsidP="00A21724">
            <w:pPr>
              <w:pStyle w:val="TableParagraph"/>
              <w:ind w:left="205" w:right="200"/>
              <w:jc w:val="center"/>
              <w:rPr>
                <w:lang w:val="hu-HU"/>
              </w:rPr>
            </w:pPr>
            <w:r w:rsidRPr="00F7245E">
              <w:rPr>
                <w:w w:val="105"/>
              </w:rPr>
              <w:t>325 (10,85)</w:t>
            </w:r>
          </w:p>
        </w:tc>
        <w:tc>
          <w:tcPr>
            <w:tcW w:w="1843" w:type="dxa"/>
          </w:tcPr>
          <w:p w14:paraId="28981F10" w14:textId="77777777" w:rsidR="00B62AE4" w:rsidRPr="00F7245E" w:rsidRDefault="00B62AE4" w:rsidP="00A21724">
            <w:pPr>
              <w:pStyle w:val="TableParagraph"/>
              <w:ind w:left="370"/>
              <w:rPr>
                <w:lang w:val="hu-HU"/>
              </w:rPr>
            </w:pPr>
            <w:r w:rsidRPr="00F7245E">
              <w:rPr>
                <w:w w:val="105"/>
              </w:rPr>
              <w:t>250 (8,32)</w:t>
            </w:r>
          </w:p>
        </w:tc>
        <w:tc>
          <w:tcPr>
            <w:tcW w:w="2126" w:type="dxa"/>
          </w:tcPr>
          <w:p w14:paraId="6EEC7576" w14:textId="77777777" w:rsidR="00B62AE4" w:rsidRPr="00F7245E" w:rsidRDefault="00B62AE4" w:rsidP="00A21724">
            <w:pPr>
              <w:pStyle w:val="TableParagraph"/>
              <w:ind w:left="246" w:right="244"/>
              <w:jc w:val="center"/>
              <w:rPr>
                <w:lang w:val="hu-HU"/>
              </w:rPr>
            </w:pPr>
            <w:r w:rsidRPr="00F7245E">
              <w:rPr>
                <w:w w:val="105"/>
              </w:rPr>
              <w:t>1,30 (1,10; 1,53)</w:t>
            </w:r>
          </w:p>
        </w:tc>
        <w:tc>
          <w:tcPr>
            <w:tcW w:w="1134" w:type="dxa"/>
          </w:tcPr>
          <w:p w14:paraId="0063291B" w14:textId="77777777" w:rsidR="00B62AE4" w:rsidRPr="00F7245E" w:rsidRDefault="00B62AE4" w:rsidP="00A21724">
            <w:pPr>
              <w:pStyle w:val="TableParagraph"/>
              <w:ind w:left="178"/>
              <w:rPr>
                <w:lang w:val="hu-HU"/>
              </w:rPr>
            </w:pPr>
            <w:r w:rsidRPr="00F7245E">
              <w:rPr>
                <w:w w:val="105"/>
              </w:rPr>
              <w:t>0,0017</w:t>
            </w:r>
          </w:p>
        </w:tc>
      </w:tr>
    </w:tbl>
    <w:p w14:paraId="0611DCEC" w14:textId="10D52858" w:rsidR="00B62AE4" w:rsidRPr="00F7245E" w:rsidRDefault="00DE471E" w:rsidP="00A21724">
      <w:pPr>
        <w:pStyle w:val="Szvegtrzs"/>
        <w:rPr>
          <w:sz w:val="22"/>
          <w:szCs w:val="22"/>
        </w:rPr>
      </w:pPr>
      <w:r w:rsidRPr="00F7245E">
        <w:rPr>
          <w:sz w:val="22"/>
          <w:szCs w:val="22"/>
        </w:rPr>
        <w:t>*</w:t>
      </w:r>
      <w:r w:rsidR="00B62AE4" w:rsidRPr="00F7245E">
        <w:rPr>
          <w:w w:val="105"/>
          <w:sz w:val="22"/>
          <w:szCs w:val="22"/>
        </w:rPr>
        <w:t>A</w:t>
      </w:r>
      <w:r w:rsidR="00B62AE4" w:rsidRPr="00F7245E">
        <w:rPr>
          <w:spacing w:val="-12"/>
          <w:w w:val="105"/>
          <w:sz w:val="22"/>
          <w:szCs w:val="22"/>
        </w:rPr>
        <w:t xml:space="preserve"> </w:t>
      </w:r>
      <w:r w:rsidR="00B62AE4" w:rsidRPr="00F7245E">
        <w:rPr>
          <w:w w:val="105"/>
          <w:sz w:val="22"/>
          <w:szCs w:val="22"/>
        </w:rPr>
        <w:t>nagyfokú</w:t>
      </w:r>
      <w:r w:rsidR="00B62AE4" w:rsidRPr="00F7245E">
        <w:rPr>
          <w:spacing w:val="-12"/>
          <w:w w:val="105"/>
          <w:sz w:val="22"/>
          <w:szCs w:val="22"/>
        </w:rPr>
        <w:t xml:space="preserve"> </w:t>
      </w:r>
      <w:r w:rsidR="00B62AE4" w:rsidRPr="00F7245E">
        <w:rPr>
          <w:w w:val="105"/>
          <w:sz w:val="22"/>
          <w:szCs w:val="22"/>
        </w:rPr>
        <w:t>vérzést</w:t>
      </w:r>
      <w:r w:rsidR="00B62AE4" w:rsidRPr="00F7245E">
        <w:rPr>
          <w:spacing w:val="-13"/>
          <w:w w:val="105"/>
          <w:sz w:val="22"/>
          <w:szCs w:val="22"/>
        </w:rPr>
        <w:t xml:space="preserve"> </w:t>
      </w:r>
      <w:r w:rsidR="00B62AE4" w:rsidRPr="00F7245E">
        <w:rPr>
          <w:w w:val="105"/>
          <w:sz w:val="22"/>
          <w:szCs w:val="22"/>
        </w:rPr>
        <w:t>az</w:t>
      </w:r>
      <w:r w:rsidR="00B62AE4" w:rsidRPr="00F7245E">
        <w:rPr>
          <w:spacing w:val="-13"/>
          <w:w w:val="105"/>
          <w:sz w:val="22"/>
          <w:szCs w:val="22"/>
        </w:rPr>
        <w:t xml:space="preserve"> </w:t>
      </w:r>
      <w:r w:rsidR="00B62AE4" w:rsidRPr="00F7245E">
        <w:rPr>
          <w:w w:val="105"/>
          <w:sz w:val="22"/>
          <w:szCs w:val="22"/>
        </w:rPr>
        <w:t>International</w:t>
      </w:r>
      <w:r w:rsidR="00B62AE4" w:rsidRPr="00F7245E">
        <w:rPr>
          <w:spacing w:val="-12"/>
          <w:w w:val="105"/>
          <w:sz w:val="22"/>
          <w:szCs w:val="22"/>
        </w:rPr>
        <w:t xml:space="preserve"> </w:t>
      </w:r>
      <w:r w:rsidR="00B62AE4" w:rsidRPr="00F7245E">
        <w:rPr>
          <w:w w:val="105"/>
          <w:sz w:val="22"/>
          <w:szCs w:val="22"/>
        </w:rPr>
        <w:t>Society</w:t>
      </w:r>
      <w:r w:rsidR="00B62AE4" w:rsidRPr="00F7245E">
        <w:rPr>
          <w:spacing w:val="-11"/>
          <w:w w:val="105"/>
          <w:sz w:val="22"/>
          <w:szCs w:val="22"/>
        </w:rPr>
        <w:t xml:space="preserve"> </w:t>
      </w:r>
      <w:r w:rsidR="00B62AE4" w:rsidRPr="00F7245E">
        <w:rPr>
          <w:w w:val="105"/>
          <w:sz w:val="22"/>
          <w:szCs w:val="22"/>
        </w:rPr>
        <w:t>on</w:t>
      </w:r>
      <w:r w:rsidR="00B62AE4" w:rsidRPr="00F7245E">
        <w:rPr>
          <w:spacing w:val="-12"/>
          <w:w w:val="105"/>
          <w:sz w:val="22"/>
          <w:szCs w:val="22"/>
        </w:rPr>
        <w:t xml:space="preserve"> </w:t>
      </w:r>
      <w:r w:rsidR="00B62AE4" w:rsidRPr="00F7245E">
        <w:rPr>
          <w:w w:val="105"/>
          <w:sz w:val="22"/>
          <w:szCs w:val="22"/>
        </w:rPr>
        <w:t>Thrombosis</w:t>
      </w:r>
      <w:r w:rsidR="00B62AE4" w:rsidRPr="00F7245E">
        <w:rPr>
          <w:spacing w:val="-13"/>
          <w:w w:val="105"/>
          <w:sz w:val="22"/>
          <w:szCs w:val="22"/>
        </w:rPr>
        <w:t xml:space="preserve"> </w:t>
      </w:r>
      <w:r w:rsidR="00B62AE4" w:rsidRPr="00F7245E">
        <w:rPr>
          <w:w w:val="105"/>
          <w:sz w:val="22"/>
          <w:szCs w:val="22"/>
        </w:rPr>
        <w:t>and</w:t>
      </w:r>
      <w:r w:rsidR="00B62AE4" w:rsidRPr="00F7245E">
        <w:rPr>
          <w:spacing w:val="-14"/>
          <w:w w:val="105"/>
          <w:sz w:val="22"/>
          <w:szCs w:val="22"/>
        </w:rPr>
        <w:t xml:space="preserve"> </w:t>
      </w:r>
      <w:r w:rsidR="00B62AE4" w:rsidRPr="00F7245E">
        <w:rPr>
          <w:w w:val="105"/>
          <w:sz w:val="22"/>
          <w:szCs w:val="22"/>
        </w:rPr>
        <w:t>Haemostasis</w:t>
      </w:r>
      <w:r w:rsidR="00B62AE4" w:rsidRPr="00F7245E">
        <w:rPr>
          <w:spacing w:val="-12"/>
          <w:w w:val="105"/>
          <w:sz w:val="22"/>
          <w:szCs w:val="22"/>
        </w:rPr>
        <w:t xml:space="preserve"> </w:t>
      </w:r>
      <w:r w:rsidR="00B62AE4" w:rsidRPr="00F7245E">
        <w:rPr>
          <w:w w:val="105"/>
          <w:sz w:val="22"/>
          <w:szCs w:val="22"/>
        </w:rPr>
        <w:t>(ISTH</w:t>
      </w:r>
      <w:r w:rsidR="00B62AE4" w:rsidRPr="00F7245E">
        <w:rPr>
          <w:spacing w:val="-13"/>
          <w:w w:val="105"/>
          <w:sz w:val="22"/>
          <w:szCs w:val="22"/>
        </w:rPr>
        <w:t xml:space="preserve"> </w:t>
      </w:r>
      <w:r w:rsidR="00B62AE4" w:rsidRPr="00F7245E">
        <w:rPr>
          <w:w w:val="105"/>
          <w:sz w:val="22"/>
          <w:szCs w:val="22"/>
        </w:rPr>
        <w:t>–</w:t>
      </w:r>
      <w:r w:rsidR="00B62AE4" w:rsidRPr="00F7245E">
        <w:rPr>
          <w:spacing w:val="-12"/>
          <w:w w:val="105"/>
          <w:sz w:val="22"/>
          <w:szCs w:val="22"/>
        </w:rPr>
        <w:t xml:space="preserve"> </w:t>
      </w:r>
      <w:r w:rsidR="00B62AE4" w:rsidRPr="00F7245E">
        <w:rPr>
          <w:w w:val="105"/>
          <w:sz w:val="22"/>
          <w:szCs w:val="22"/>
        </w:rPr>
        <w:t>Nemzetközi Thrombosis és Haemostasis Társaság) kritériumai szerint</w:t>
      </w:r>
      <w:r w:rsidR="00B62AE4" w:rsidRPr="00F7245E">
        <w:rPr>
          <w:spacing w:val="-19"/>
          <w:w w:val="105"/>
          <w:sz w:val="22"/>
          <w:szCs w:val="22"/>
        </w:rPr>
        <w:t xml:space="preserve"> </w:t>
      </w:r>
      <w:r w:rsidR="00B62AE4" w:rsidRPr="00F7245E">
        <w:rPr>
          <w:w w:val="105"/>
          <w:sz w:val="22"/>
          <w:szCs w:val="22"/>
        </w:rPr>
        <w:t>definiálták.</w:t>
      </w:r>
    </w:p>
    <w:p w14:paraId="7654FB42" w14:textId="32BD4AB8" w:rsidR="00B62AE4" w:rsidRPr="00F7245E" w:rsidRDefault="00DE471E" w:rsidP="00A21724">
      <w:pPr>
        <w:pStyle w:val="Szvegtrzs"/>
        <w:rPr>
          <w:sz w:val="22"/>
          <w:szCs w:val="22"/>
        </w:rPr>
      </w:pPr>
      <w:r w:rsidRPr="00F7245E">
        <w:rPr>
          <w:sz w:val="22"/>
          <w:szCs w:val="22"/>
        </w:rPr>
        <w:t>†</w:t>
      </w:r>
      <w:r w:rsidR="00B62AE4" w:rsidRPr="00F7245E">
        <w:rPr>
          <w:w w:val="105"/>
          <w:sz w:val="22"/>
          <w:szCs w:val="22"/>
        </w:rPr>
        <w:t>Klinikailag jelentős, nem súlyos vérzés</w:t>
      </w:r>
    </w:p>
    <w:p w14:paraId="353815A7" w14:textId="77777777" w:rsidR="00B62AE4" w:rsidRPr="00F7245E" w:rsidRDefault="00B62AE4" w:rsidP="00A21724">
      <w:pPr>
        <w:pStyle w:val="Nincstrkz"/>
        <w:rPr>
          <w:rFonts w:cs="Times New Roman"/>
        </w:rPr>
      </w:pPr>
    </w:p>
    <w:p w14:paraId="43A3791D" w14:textId="6FA300CC" w:rsidR="00B62AE4" w:rsidRPr="00F7245E" w:rsidRDefault="00B62AE4" w:rsidP="00A21724">
      <w:pPr>
        <w:pStyle w:val="Nincstrkz"/>
        <w:rPr>
          <w:rFonts w:cs="Times New Roman"/>
          <w:i/>
          <w:iCs/>
          <w:u w:val="single"/>
        </w:rPr>
      </w:pPr>
      <w:r w:rsidRPr="00F7245E">
        <w:rPr>
          <w:rFonts w:cs="Times New Roman"/>
          <w:i/>
          <w:iCs/>
          <w:u w:val="single"/>
        </w:rPr>
        <w:t>N</w:t>
      </w:r>
      <w:r w:rsidR="00DE471E" w:rsidRPr="00F7245E">
        <w:rPr>
          <w:rFonts w:cs="Times New Roman"/>
          <w:i/>
          <w:iCs/>
          <w:u w:val="single"/>
        </w:rPr>
        <w:t xml:space="preserve">em valvuláris pitvarfibrillációban </w:t>
      </w:r>
      <w:r w:rsidR="0054792A" w:rsidRPr="00F7245E">
        <w:rPr>
          <w:rFonts w:cs="Times New Roman"/>
          <w:i/>
          <w:iCs/>
          <w:u w:val="single"/>
        </w:rPr>
        <w:t>(</w:t>
      </w:r>
      <w:r w:rsidR="00DE471E" w:rsidRPr="00F7245E">
        <w:rPr>
          <w:rFonts w:cs="Times New Roman"/>
          <w:i/>
          <w:iCs/>
          <w:u w:val="single"/>
        </w:rPr>
        <w:t>N</w:t>
      </w:r>
      <w:r w:rsidRPr="00F7245E">
        <w:rPr>
          <w:rFonts w:cs="Times New Roman"/>
          <w:i/>
          <w:iCs/>
          <w:u w:val="single"/>
        </w:rPr>
        <w:t>V</w:t>
      </w:r>
      <w:r w:rsidR="00DE471E" w:rsidRPr="00F7245E">
        <w:rPr>
          <w:rFonts w:cs="Times New Roman"/>
          <w:i/>
          <w:iCs/>
          <w:u w:val="single"/>
        </w:rPr>
        <w:t>P</w:t>
      </w:r>
      <w:r w:rsidRPr="00F7245E">
        <w:rPr>
          <w:rFonts w:cs="Times New Roman"/>
          <w:i/>
          <w:iCs/>
          <w:u w:val="single"/>
        </w:rPr>
        <w:t>F</w:t>
      </w:r>
      <w:r w:rsidR="0054792A" w:rsidRPr="00F7245E">
        <w:rPr>
          <w:rFonts w:cs="Times New Roman"/>
          <w:i/>
          <w:iCs/>
          <w:u w:val="single"/>
        </w:rPr>
        <w:t>) szenvedő</w:t>
      </w:r>
      <w:r w:rsidR="00DE471E" w:rsidRPr="00F7245E">
        <w:rPr>
          <w:rFonts w:cs="Times New Roman"/>
          <w:i/>
          <w:iCs/>
          <w:u w:val="single"/>
        </w:rPr>
        <w:t xml:space="preserve"> </w:t>
      </w:r>
      <w:r w:rsidR="00A1416D" w:rsidRPr="00F7245E">
        <w:rPr>
          <w:rFonts w:cs="Times New Roman"/>
          <w:i/>
          <w:iCs/>
          <w:u w:val="single"/>
        </w:rPr>
        <w:t>beteg</w:t>
      </w:r>
      <w:r w:rsidRPr="00F7245E">
        <w:rPr>
          <w:rFonts w:cs="Times New Roman"/>
          <w:i/>
          <w:iCs/>
          <w:u w:val="single"/>
        </w:rPr>
        <w:t>ek ACS</w:t>
      </w:r>
      <w:r w:rsidR="00350B9F" w:rsidRPr="00F7245E">
        <w:rPr>
          <w:rFonts w:cs="Times New Roman"/>
          <w:i/>
          <w:iCs/>
          <w:u w:val="single"/>
        </w:rPr>
        <w:noBreakHyphen/>
      </w:r>
      <w:r w:rsidRPr="00F7245E">
        <w:rPr>
          <w:rFonts w:cs="Times New Roman"/>
          <w:i/>
          <w:iCs/>
          <w:u w:val="single"/>
        </w:rPr>
        <w:t>sel és/vagy PCI beavatkozással</w:t>
      </w:r>
    </w:p>
    <w:p w14:paraId="716A3861" w14:textId="25E9051D" w:rsidR="00B62AE4" w:rsidRPr="00F7245E" w:rsidRDefault="00B62AE4" w:rsidP="00A21724">
      <w:pPr>
        <w:pStyle w:val="Nincstrkz"/>
        <w:rPr>
          <w:rFonts w:cs="Times New Roman"/>
        </w:rPr>
      </w:pPr>
      <w:r w:rsidRPr="00F7245E">
        <w:rPr>
          <w:rFonts w:cs="Times New Roman"/>
        </w:rPr>
        <w:t>Az AUGUSTUS egy nyílt, randomizált, kontrollos, 2</w:t>
      </w:r>
      <w:r w:rsidR="00350B9F" w:rsidRPr="00F7245E">
        <w:rPr>
          <w:rFonts w:cs="Times New Roman"/>
        </w:rPr>
        <w:t> </w:t>
      </w:r>
      <w:r w:rsidRPr="00F7245E">
        <w:rPr>
          <w:rFonts w:cs="Times New Roman"/>
        </w:rPr>
        <w:t>×</w:t>
      </w:r>
      <w:r w:rsidR="00350B9F" w:rsidRPr="00F7245E">
        <w:rPr>
          <w:rFonts w:cs="Times New Roman"/>
        </w:rPr>
        <w:t> </w:t>
      </w:r>
      <w:r w:rsidR="00473715" w:rsidRPr="00F7245E">
        <w:rPr>
          <w:rFonts w:cs="Times New Roman"/>
        </w:rPr>
        <w:t>2</w:t>
      </w:r>
      <w:r w:rsidRPr="00F7245E">
        <w:rPr>
          <w:rFonts w:cs="Times New Roman"/>
        </w:rPr>
        <w:t xml:space="preserve"> faktoriális elrendezésű vizsgálat volt, amelybe 4614</w:t>
      </w:r>
      <w:r w:rsidR="0054792A" w:rsidRPr="00F7245E">
        <w:rPr>
          <w:rFonts w:cs="Times New Roman"/>
        </w:rPr>
        <w:t>,</w:t>
      </w:r>
      <w:r w:rsidRPr="00F7245E">
        <w:rPr>
          <w:rFonts w:cs="Times New Roman"/>
        </w:rPr>
        <w:t xml:space="preserve"> NV</w:t>
      </w:r>
      <w:r w:rsidR="00DE471E" w:rsidRPr="00F7245E">
        <w:rPr>
          <w:rFonts w:cs="Times New Roman"/>
        </w:rPr>
        <w:t>P</w:t>
      </w:r>
      <w:r w:rsidRPr="00F7245E">
        <w:rPr>
          <w:rFonts w:cs="Times New Roman"/>
        </w:rPr>
        <w:t>F</w:t>
      </w:r>
      <w:r w:rsidR="00350B9F" w:rsidRPr="00F7245E">
        <w:rPr>
          <w:rFonts w:cs="Times New Roman"/>
        </w:rPr>
        <w:noBreakHyphen/>
      </w:r>
      <w:r w:rsidR="0054792A" w:rsidRPr="00F7245E">
        <w:rPr>
          <w:rFonts w:cs="Times New Roman"/>
        </w:rPr>
        <w:t>es</w:t>
      </w:r>
      <w:r w:rsidR="00DE471E" w:rsidRPr="00F7245E">
        <w:rPr>
          <w:rFonts w:cs="Times New Roman"/>
        </w:rPr>
        <w:t xml:space="preserve"> </w:t>
      </w:r>
      <w:r w:rsidR="00A1416D" w:rsidRPr="00F7245E">
        <w:rPr>
          <w:rFonts w:cs="Times New Roman"/>
        </w:rPr>
        <w:t>beteg</w:t>
      </w:r>
      <w:r w:rsidRPr="00F7245E">
        <w:rPr>
          <w:rFonts w:cs="Times New Roman"/>
        </w:rPr>
        <w:t>et vontak be, akik ACS</w:t>
      </w:r>
      <w:r w:rsidR="00350B9F" w:rsidRPr="00F7245E">
        <w:rPr>
          <w:rFonts w:cs="Times New Roman"/>
        </w:rPr>
        <w:noBreakHyphen/>
      </w:r>
      <w:r w:rsidRPr="00F7245E">
        <w:rPr>
          <w:rFonts w:cs="Times New Roman"/>
        </w:rPr>
        <w:t>ben szenvedtek (43%) és/vagy akiknél PCI</w:t>
      </w:r>
      <w:r w:rsidR="00350B9F" w:rsidRPr="00F7245E">
        <w:rPr>
          <w:rFonts w:cs="Times New Roman"/>
        </w:rPr>
        <w:noBreakHyphen/>
      </w:r>
      <w:r w:rsidRPr="00F7245E">
        <w:rPr>
          <w:rFonts w:cs="Times New Roman"/>
        </w:rPr>
        <w:t>t végeztek (56%). Minden</w:t>
      </w:r>
      <w:r w:rsidR="0054792A" w:rsidRPr="00F7245E">
        <w:rPr>
          <w:rFonts w:cs="Times New Roman"/>
        </w:rPr>
        <w:t xml:space="preserve"> be</w:t>
      </w:r>
      <w:r w:rsidR="00350B9F" w:rsidRPr="00F7245E">
        <w:rPr>
          <w:rFonts w:cs="Times New Roman"/>
        </w:rPr>
        <w:t>t</w:t>
      </w:r>
      <w:r w:rsidR="0054792A" w:rsidRPr="00F7245E">
        <w:rPr>
          <w:rFonts w:cs="Times New Roman"/>
        </w:rPr>
        <w:t>eg</w:t>
      </w:r>
      <w:r w:rsidRPr="00F7245E">
        <w:rPr>
          <w:rFonts w:cs="Times New Roman"/>
        </w:rPr>
        <w:t xml:space="preserve"> háttérkezelésként P2Y12</w:t>
      </w:r>
      <w:r w:rsidR="00350B9F" w:rsidRPr="00F7245E">
        <w:rPr>
          <w:rFonts w:cs="Times New Roman"/>
        </w:rPr>
        <w:noBreakHyphen/>
      </w:r>
      <w:r w:rsidRPr="00F7245E">
        <w:rPr>
          <w:rFonts w:cs="Times New Roman"/>
        </w:rPr>
        <w:t>gátló (klopidogr</w:t>
      </w:r>
      <w:r w:rsidR="00DC2DF9" w:rsidRPr="00F7245E">
        <w:rPr>
          <w:rFonts w:cs="Times New Roman"/>
        </w:rPr>
        <w:t>e</w:t>
      </w:r>
      <w:r w:rsidRPr="00F7245E">
        <w:rPr>
          <w:rFonts w:cs="Times New Roman"/>
        </w:rPr>
        <w:t xml:space="preserve">l: 90,3%) </w:t>
      </w:r>
      <w:r w:rsidR="00350B9F" w:rsidRPr="00F7245E">
        <w:rPr>
          <w:rFonts w:cs="Times New Roman"/>
        </w:rPr>
        <w:t xml:space="preserve">kezelésben </w:t>
      </w:r>
      <w:r w:rsidRPr="00F7245E">
        <w:rPr>
          <w:rFonts w:cs="Times New Roman"/>
        </w:rPr>
        <w:t>részesült a helyi szokásos ellátásnak megfelelően.</w:t>
      </w:r>
    </w:p>
    <w:p w14:paraId="1301E231" w14:textId="77777777" w:rsidR="00B62AE4" w:rsidRPr="00F7245E" w:rsidRDefault="00B62AE4" w:rsidP="00A21724">
      <w:pPr>
        <w:pStyle w:val="Nincstrkz"/>
        <w:rPr>
          <w:rFonts w:cs="Times New Roman"/>
        </w:rPr>
      </w:pPr>
    </w:p>
    <w:p w14:paraId="4A4F3C81" w14:textId="7775F19D" w:rsidR="00B62AE4" w:rsidRPr="00F7245E" w:rsidRDefault="00B62AE4" w:rsidP="00A21724">
      <w:pPr>
        <w:pStyle w:val="Nincstrkz"/>
        <w:rPr>
          <w:rFonts w:cs="Times New Roman"/>
        </w:rPr>
      </w:pPr>
      <w:r w:rsidRPr="00F7245E">
        <w:rPr>
          <w:rFonts w:cs="Times New Roman"/>
        </w:rPr>
        <w:t>A</w:t>
      </w:r>
      <w:r w:rsidR="0054792A" w:rsidRPr="00F7245E">
        <w:rPr>
          <w:rFonts w:cs="Times New Roman"/>
        </w:rPr>
        <w:t xml:space="preserve"> betegeket</w:t>
      </w:r>
      <w:r w:rsidRPr="00F7245E">
        <w:rPr>
          <w:rFonts w:cs="Times New Roman"/>
        </w:rPr>
        <w:t xml:space="preserve"> az ACS és/vagy PCI után legfeljebb 14</w:t>
      </w:r>
      <w:r w:rsidR="003B67D5" w:rsidRPr="00F7245E">
        <w:rPr>
          <w:rFonts w:cs="Times New Roman"/>
        </w:rPr>
        <w:t> nap</w:t>
      </w:r>
      <w:r w:rsidRPr="00F7245E">
        <w:rPr>
          <w:rFonts w:cs="Times New Roman"/>
        </w:rPr>
        <w:t>pal randomizáltá</w:t>
      </w:r>
      <w:r w:rsidR="0054792A" w:rsidRPr="00F7245E">
        <w:rPr>
          <w:rFonts w:cs="Times New Roman"/>
        </w:rPr>
        <w:t xml:space="preserve">k </w:t>
      </w:r>
      <w:r w:rsidR="003B67D5" w:rsidRPr="00F7245E">
        <w:rPr>
          <w:rFonts w:cs="Times New Roman"/>
        </w:rPr>
        <w:t>nap</w:t>
      </w:r>
      <w:r w:rsidRPr="00F7245E">
        <w:rPr>
          <w:rFonts w:cs="Times New Roman"/>
        </w:rPr>
        <w:t>i kétszer 5</w:t>
      </w:r>
      <w:r w:rsidR="004C106B" w:rsidRPr="00F7245E">
        <w:rPr>
          <w:rFonts w:cs="Times New Roman"/>
        </w:rPr>
        <w:t> mg</w:t>
      </w:r>
      <w:r w:rsidRPr="00F7245E">
        <w:rPr>
          <w:rFonts w:cs="Times New Roman"/>
        </w:rPr>
        <w:t xml:space="preserve"> </w:t>
      </w:r>
      <w:r w:rsidR="002C0B56" w:rsidRPr="00F7245E">
        <w:rPr>
          <w:rFonts w:cs="Times New Roman"/>
        </w:rPr>
        <w:t>apixabán</w:t>
      </w:r>
      <w:r w:rsidRPr="00F7245E">
        <w:rPr>
          <w:rFonts w:cs="Times New Roman"/>
        </w:rPr>
        <w:t>ra (vagy</w:t>
      </w:r>
      <w:r w:rsidR="00041290" w:rsidRPr="00F7245E">
        <w:rPr>
          <w:rFonts w:cs="Times New Roman"/>
        </w:rPr>
        <w:t xml:space="preserve"> </w:t>
      </w:r>
      <w:r w:rsidR="003B67D5" w:rsidRPr="00F7245E">
        <w:rPr>
          <w:rFonts w:cs="Times New Roman"/>
        </w:rPr>
        <w:t>nap</w:t>
      </w:r>
      <w:r w:rsidRPr="00F7245E">
        <w:rPr>
          <w:rFonts w:cs="Times New Roman"/>
        </w:rPr>
        <w:t>onta kétszer 2,5</w:t>
      </w:r>
      <w:r w:rsidR="004C106B" w:rsidRPr="00F7245E">
        <w:rPr>
          <w:rFonts w:cs="Times New Roman"/>
        </w:rPr>
        <w:t> mg</w:t>
      </w:r>
      <w:r w:rsidR="00041290" w:rsidRPr="00F7245E">
        <w:rPr>
          <w:rFonts w:cs="Times New Roman"/>
        </w:rPr>
        <w:noBreakHyphen/>
      </w:r>
      <w:r w:rsidRPr="00F7245E">
        <w:rPr>
          <w:rFonts w:cs="Times New Roman"/>
        </w:rPr>
        <w:t>ra, ha kettő vagy több dóziscsökkentési feltétel is teljesült; 10% kapott alacsonyabb dózist) vagy K</w:t>
      </w:r>
      <w:r w:rsidR="00041290" w:rsidRPr="00F7245E">
        <w:rPr>
          <w:rFonts w:cs="Times New Roman"/>
        </w:rPr>
        <w:noBreakHyphen/>
      </w:r>
      <w:r w:rsidRPr="00F7245E">
        <w:rPr>
          <w:rFonts w:cs="Times New Roman"/>
        </w:rPr>
        <w:t>vitamin</w:t>
      </w:r>
      <w:r w:rsidR="00041290" w:rsidRPr="00F7245E">
        <w:rPr>
          <w:rFonts w:cs="Times New Roman"/>
        </w:rPr>
        <w:noBreakHyphen/>
      </w:r>
      <w:r w:rsidRPr="00F7245E">
        <w:rPr>
          <w:rFonts w:cs="Times New Roman"/>
        </w:rPr>
        <w:t>antagonistára, valamint acetilszalicilsavra (napi egyszer 81</w:t>
      </w:r>
      <w:r w:rsidR="004C106B" w:rsidRPr="00F7245E">
        <w:rPr>
          <w:rFonts w:cs="Times New Roman"/>
        </w:rPr>
        <w:t> mg</w:t>
      </w:r>
      <w:r w:rsidRPr="00F7245E">
        <w:rPr>
          <w:rFonts w:cs="Times New Roman"/>
        </w:rPr>
        <w:t>) vagy placeb</w:t>
      </w:r>
      <w:r w:rsidR="0071046D" w:rsidRPr="00F7245E">
        <w:rPr>
          <w:rFonts w:cs="Times New Roman"/>
        </w:rPr>
        <w:t>ór</w:t>
      </w:r>
      <w:r w:rsidRPr="00F7245E">
        <w:rPr>
          <w:rFonts w:cs="Times New Roman"/>
        </w:rPr>
        <w:t>a. Az átlagéletkor 69,9</w:t>
      </w:r>
      <w:r w:rsidR="00045408" w:rsidRPr="00F7245E">
        <w:rPr>
          <w:rFonts w:cs="Times New Roman"/>
        </w:rPr>
        <w:t> év</w:t>
      </w:r>
      <w:r w:rsidRPr="00F7245E">
        <w:rPr>
          <w:rFonts w:cs="Times New Roman"/>
        </w:rPr>
        <w:t xml:space="preserve"> volt, a randomizált</w:t>
      </w:r>
      <w:r w:rsidR="0054792A" w:rsidRPr="00F7245E">
        <w:rPr>
          <w:rFonts w:cs="Times New Roman"/>
        </w:rPr>
        <w:t xml:space="preserve"> </w:t>
      </w:r>
      <w:r w:rsidR="00A1416D" w:rsidRPr="00F7245E">
        <w:rPr>
          <w:rFonts w:cs="Times New Roman"/>
        </w:rPr>
        <w:t>beteg</w:t>
      </w:r>
      <w:r w:rsidRPr="00F7245E">
        <w:rPr>
          <w:rFonts w:cs="Times New Roman"/>
        </w:rPr>
        <w:t>ek 94%-ánál a CHA</w:t>
      </w:r>
      <w:r w:rsidR="0054792A" w:rsidRPr="00F7245E">
        <w:rPr>
          <w:rFonts w:cs="Times New Roman"/>
        </w:rPr>
        <w:t>2</w:t>
      </w:r>
      <w:r w:rsidRPr="00F7245E">
        <w:rPr>
          <w:rFonts w:cs="Times New Roman"/>
        </w:rPr>
        <w:t>DS</w:t>
      </w:r>
      <w:r w:rsidR="0054792A" w:rsidRPr="00F7245E">
        <w:rPr>
          <w:rFonts w:cs="Times New Roman"/>
        </w:rPr>
        <w:t>2</w:t>
      </w:r>
      <w:r w:rsidRPr="00F7245E">
        <w:rPr>
          <w:rFonts w:cs="Times New Roman"/>
        </w:rPr>
        <w:t>-VASc</w:t>
      </w:r>
      <w:r w:rsidR="0054792A" w:rsidRPr="00F7245E">
        <w:rPr>
          <w:rFonts w:cs="Times New Roman"/>
        </w:rPr>
        <w:t xml:space="preserve"> </w:t>
      </w:r>
      <w:r w:rsidR="004C106B" w:rsidRPr="00F7245E">
        <w:rPr>
          <w:rFonts w:cs="Times New Roman"/>
        </w:rPr>
        <w:t>pont</w:t>
      </w:r>
      <w:r w:rsidRPr="00F7245E">
        <w:rPr>
          <w:rFonts w:cs="Times New Roman"/>
        </w:rPr>
        <w:t>szám &gt;</w:t>
      </w:r>
      <w:r w:rsidR="0054792A" w:rsidRPr="00F7245E">
        <w:rPr>
          <w:rFonts w:cs="Times New Roman"/>
        </w:rPr>
        <w:t> </w:t>
      </w:r>
      <w:r w:rsidRPr="00F7245E">
        <w:rPr>
          <w:rFonts w:cs="Times New Roman"/>
        </w:rPr>
        <w:t>2</w:t>
      </w:r>
      <w:r w:rsidR="00041290" w:rsidRPr="00F7245E">
        <w:rPr>
          <w:rFonts w:cs="Times New Roman"/>
        </w:rPr>
        <w:t>,</w:t>
      </w:r>
      <w:r w:rsidRPr="00F7245E">
        <w:rPr>
          <w:rFonts w:cs="Times New Roman"/>
        </w:rPr>
        <w:t xml:space="preserve"> 47%-ánál </w:t>
      </w:r>
      <w:r w:rsidR="00041290" w:rsidRPr="00F7245E">
        <w:rPr>
          <w:rFonts w:cs="Times New Roman"/>
        </w:rPr>
        <w:t xml:space="preserve">pedig </w:t>
      </w:r>
      <w:r w:rsidRPr="00F7245E">
        <w:rPr>
          <w:rFonts w:cs="Times New Roman"/>
        </w:rPr>
        <w:t>a HAS</w:t>
      </w:r>
      <w:r w:rsidR="0054792A" w:rsidRPr="00F7245E">
        <w:rPr>
          <w:rFonts w:cs="Times New Roman"/>
        </w:rPr>
        <w:noBreakHyphen/>
      </w:r>
      <w:r w:rsidRPr="00F7245E">
        <w:rPr>
          <w:rFonts w:cs="Times New Roman"/>
        </w:rPr>
        <w:t>BLED</w:t>
      </w:r>
      <w:r w:rsidR="00041290" w:rsidRPr="00F7245E">
        <w:rPr>
          <w:rFonts w:cs="Times New Roman"/>
        </w:rPr>
        <w:t xml:space="preserve"> </w:t>
      </w:r>
      <w:r w:rsidR="004C106B" w:rsidRPr="00F7245E">
        <w:rPr>
          <w:rFonts w:cs="Times New Roman"/>
        </w:rPr>
        <w:t>pont</w:t>
      </w:r>
      <w:r w:rsidRPr="00F7245E">
        <w:rPr>
          <w:rFonts w:cs="Times New Roman"/>
        </w:rPr>
        <w:t>szám &gt;</w:t>
      </w:r>
      <w:r w:rsidR="0054792A" w:rsidRPr="00F7245E">
        <w:rPr>
          <w:rFonts w:cs="Times New Roman"/>
        </w:rPr>
        <w:t> </w:t>
      </w:r>
      <w:r w:rsidRPr="00F7245E">
        <w:rPr>
          <w:rFonts w:cs="Times New Roman"/>
        </w:rPr>
        <w:t>3 volt. A K</w:t>
      </w:r>
      <w:r w:rsidR="00041290" w:rsidRPr="00F7245E">
        <w:rPr>
          <w:rFonts w:cs="Times New Roman"/>
        </w:rPr>
        <w:noBreakHyphen/>
      </w:r>
      <w:r w:rsidRPr="00F7245E">
        <w:rPr>
          <w:rFonts w:cs="Times New Roman"/>
        </w:rPr>
        <w:t>vitamin</w:t>
      </w:r>
      <w:r w:rsidR="00041290" w:rsidRPr="00F7245E">
        <w:rPr>
          <w:rFonts w:cs="Times New Roman"/>
        </w:rPr>
        <w:noBreakHyphen/>
      </w:r>
      <w:r w:rsidRPr="00F7245E">
        <w:rPr>
          <w:rFonts w:cs="Times New Roman"/>
        </w:rPr>
        <w:t xml:space="preserve"> antagonistára randomizál</w:t>
      </w:r>
      <w:r w:rsidR="00041290" w:rsidRPr="00F7245E">
        <w:rPr>
          <w:rFonts w:cs="Times New Roman"/>
        </w:rPr>
        <w:t xml:space="preserve">t </w:t>
      </w:r>
      <w:r w:rsidR="00A1416D" w:rsidRPr="00F7245E">
        <w:rPr>
          <w:rFonts w:cs="Times New Roman"/>
        </w:rPr>
        <w:t>beteg</w:t>
      </w:r>
      <w:r w:rsidRPr="00F7245E">
        <w:rPr>
          <w:rFonts w:cs="Times New Roman"/>
        </w:rPr>
        <w:t>ek esetében a terápiás tartományban (INR 2</w:t>
      </w:r>
      <w:r w:rsidR="00041290" w:rsidRPr="00F7245E">
        <w:rPr>
          <w:rFonts w:cs="Times New Roman"/>
        </w:rPr>
        <w:noBreakHyphen/>
      </w:r>
      <w:r w:rsidRPr="00F7245E">
        <w:rPr>
          <w:rFonts w:cs="Times New Roman"/>
        </w:rPr>
        <w:t>3) eltöltött időtartam 56% volt, a TTR alatti idő 32%</w:t>
      </w:r>
      <w:r w:rsidR="00041290" w:rsidRPr="00F7245E">
        <w:rPr>
          <w:rFonts w:cs="Times New Roman"/>
        </w:rPr>
        <w:t>, míg</w:t>
      </w:r>
      <w:r w:rsidRPr="00F7245E">
        <w:rPr>
          <w:rFonts w:cs="Times New Roman"/>
        </w:rPr>
        <w:t xml:space="preserve"> a TTR feletti idő 12% volt.</w:t>
      </w:r>
    </w:p>
    <w:p w14:paraId="5CD0FE5F" w14:textId="77777777" w:rsidR="00B62AE4" w:rsidRPr="00F7245E" w:rsidRDefault="00B62AE4" w:rsidP="00A21724">
      <w:pPr>
        <w:pStyle w:val="Nincstrkz"/>
        <w:rPr>
          <w:rFonts w:cs="Times New Roman"/>
        </w:rPr>
      </w:pPr>
    </w:p>
    <w:p w14:paraId="1E161B0E" w14:textId="189AEC4C" w:rsidR="00B62AE4" w:rsidRPr="00F7245E" w:rsidRDefault="00B62AE4" w:rsidP="00A21724">
      <w:pPr>
        <w:pStyle w:val="Nincstrkz"/>
        <w:rPr>
          <w:rFonts w:cs="Times New Roman"/>
        </w:rPr>
      </w:pPr>
      <w:r w:rsidRPr="00F7245E">
        <w:rPr>
          <w:rFonts w:cs="Times New Roman"/>
        </w:rPr>
        <w:t xml:space="preserve">Az AUGUSTUS vizsgálat elsődleges célja a biztonságosság felmérése volt, és az elsődleges végpont az ISTH szerinti súlyos vagy CRNM vérzés volt. Az </w:t>
      </w:r>
      <w:r w:rsidR="00CA2919" w:rsidRPr="00F7245E">
        <w:rPr>
          <w:rFonts w:cs="Times New Roman"/>
        </w:rPr>
        <w:t xml:space="preserve">apixabán </w:t>
      </w:r>
      <w:r w:rsidRPr="00F7245E">
        <w:rPr>
          <w:rFonts w:cs="Times New Roman"/>
        </w:rPr>
        <w:t>és a K</w:t>
      </w:r>
      <w:r w:rsidR="00041290" w:rsidRPr="00F7245E">
        <w:rPr>
          <w:rFonts w:cs="Times New Roman"/>
        </w:rPr>
        <w:noBreakHyphen/>
      </w:r>
      <w:r w:rsidRPr="00F7245E">
        <w:rPr>
          <w:rFonts w:cs="Times New Roman"/>
        </w:rPr>
        <w:t>vitamin</w:t>
      </w:r>
      <w:r w:rsidR="00041290" w:rsidRPr="00F7245E">
        <w:rPr>
          <w:rFonts w:cs="Times New Roman"/>
        </w:rPr>
        <w:noBreakHyphen/>
      </w:r>
      <w:r w:rsidRPr="00F7245E">
        <w:rPr>
          <w:rFonts w:cs="Times New Roman"/>
        </w:rPr>
        <w:t>antagonista összehasonlításában az elsődleges biztonságossági végpont az ISTH szerinti súlyos vagy CRNM vérzés a 6. hónapra 241 (10,5%)</w:t>
      </w:r>
      <w:r w:rsidR="0054792A" w:rsidRPr="00F7245E">
        <w:rPr>
          <w:rFonts w:cs="Times New Roman"/>
        </w:rPr>
        <w:t xml:space="preserve"> </w:t>
      </w:r>
      <w:r w:rsidR="00A1416D" w:rsidRPr="00F7245E">
        <w:rPr>
          <w:rFonts w:cs="Times New Roman"/>
        </w:rPr>
        <w:t>beteg</w:t>
      </w:r>
      <w:r w:rsidRPr="00F7245E">
        <w:rPr>
          <w:rFonts w:cs="Times New Roman"/>
        </w:rPr>
        <w:t xml:space="preserve">nél következett be az </w:t>
      </w:r>
      <w:r w:rsidR="002C0B56" w:rsidRPr="00F7245E">
        <w:rPr>
          <w:rFonts w:cs="Times New Roman"/>
        </w:rPr>
        <w:t>apixabán</w:t>
      </w:r>
      <w:r w:rsidR="00041290" w:rsidRPr="00F7245E">
        <w:rPr>
          <w:rFonts w:cs="Times New Roman"/>
        </w:rPr>
        <w:noBreakHyphen/>
      </w:r>
      <w:r w:rsidRPr="00F7245E">
        <w:rPr>
          <w:rFonts w:cs="Times New Roman"/>
        </w:rPr>
        <w:t>karon, illetve 332 (14,7%)</w:t>
      </w:r>
      <w:r w:rsidR="0054792A" w:rsidRPr="00F7245E">
        <w:rPr>
          <w:rFonts w:cs="Times New Roman"/>
        </w:rPr>
        <w:t xml:space="preserve"> </w:t>
      </w:r>
      <w:r w:rsidRPr="00F7245E">
        <w:rPr>
          <w:rFonts w:cs="Times New Roman"/>
        </w:rPr>
        <w:t>betegnél a K</w:t>
      </w:r>
      <w:r w:rsidR="00041290" w:rsidRPr="00F7245E">
        <w:rPr>
          <w:rFonts w:cs="Times New Roman"/>
        </w:rPr>
        <w:noBreakHyphen/>
      </w:r>
      <w:r w:rsidRPr="00F7245E">
        <w:rPr>
          <w:rFonts w:cs="Times New Roman"/>
        </w:rPr>
        <w:t>vitamin</w:t>
      </w:r>
      <w:r w:rsidR="00041290" w:rsidRPr="00F7245E">
        <w:rPr>
          <w:rFonts w:cs="Times New Roman"/>
        </w:rPr>
        <w:noBreakHyphen/>
      </w:r>
      <w:r w:rsidRPr="00F7245E">
        <w:rPr>
          <w:rFonts w:cs="Times New Roman"/>
        </w:rPr>
        <w:t>antagonista karon (relatív hazárd 0,69, 95%</w:t>
      </w:r>
      <w:r w:rsidR="00C77F20" w:rsidRPr="00F7245E">
        <w:rPr>
          <w:rFonts w:cs="Times New Roman"/>
        </w:rPr>
        <w:noBreakHyphen/>
      </w:r>
      <w:r w:rsidRPr="00F7245E">
        <w:rPr>
          <w:rFonts w:cs="Times New Roman"/>
        </w:rPr>
        <w:t>os CI: 0,58, 0,82; 2 oldalas</w:t>
      </w:r>
      <w:r w:rsidR="00C77F20" w:rsidRPr="00F7245E">
        <w:rPr>
          <w:rFonts w:cs="Times New Roman"/>
        </w:rPr>
        <w:t xml:space="preserve"> </w:t>
      </w:r>
      <w:r w:rsidRPr="00F7245E">
        <w:rPr>
          <w:rFonts w:cs="Times New Roman"/>
        </w:rPr>
        <w:t>p</w:t>
      </w:r>
      <w:r w:rsidR="00C77F20" w:rsidRPr="00F7245E">
        <w:rPr>
          <w:rFonts w:cs="Times New Roman"/>
        </w:rPr>
        <w:t> </w:t>
      </w:r>
      <w:r w:rsidRPr="00F7245E">
        <w:rPr>
          <w:rFonts w:cs="Times New Roman"/>
        </w:rPr>
        <w:t>&lt;</w:t>
      </w:r>
      <w:r w:rsidR="00C77F20" w:rsidRPr="00F7245E">
        <w:rPr>
          <w:rFonts w:cs="Times New Roman"/>
        </w:rPr>
        <w:t> </w:t>
      </w:r>
      <w:r w:rsidRPr="00F7245E">
        <w:rPr>
          <w:rFonts w:cs="Times New Roman"/>
        </w:rPr>
        <w:t>0,0001 a non-inferioritás és p</w:t>
      </w:r>
      <w:r w:rsidR="0054792A" w:rsidRPr="00F7245E">
        <w:rPr>
          <w:rFonts w:cs="Times New Roman"/>
        </w:rPr>
        <w:t> </w:t>
      </w:r>
      <w:r w:rsidRPr="00F7245E">
        <w:rPr>
          <w:rFonts w:cs="Times New Roman"/>
        </w:rPr>
        <w:t xml:space="preserve"> &lt;</w:t>
      </w:r>
      <w:r w:rsidR="0054792A" w:rsidRPr="00F7245E">
        <w:rPr>
          <w:rFonts w:cs="Times New Roman"/>
        </w:rPr>
        <w:t> </w:t>
      </w:r>
      <w:r w:rsidRPr="00F7245E">
        <w:rPr>
          <w:rFonts w:cs="Times New Roman"/>
        </w:rPr>
        <w:t>0,0001 a szuperioritás tekintetében). A K</w:t>
      </w:r>
      <w:r w:rsidR="00041290" w:rsidRPr="00F7245E">
        <w:rPr>
          <w:rFonts w:cs="Times New Roman"/>
        </w:rPr>
        <w:noBreakHyphen/>
      </w:r>
      <w:r w:rsidRPr="00F7245E">
        <w:rPr>
          <w:rFonts w:cs="Times New Roman"/>
        </w:rPr>
        <w:t>vitamin</w:t>
      </w:r>
      <w:r w:rsidR="00041290" w:rsidRPr="00F7245E">
        <w:rPr>
          <w:rFonts w:cs="Times New Roman"/>
        </w:rPr>
        <w:noBreakHyphen/>
      </w:r>
      <w:r w:rsidRPr="00F7245E">
        <w:rPr>
          <w:rFonts w:cs="Times New Roman"/>
        </w:rPr>
        <w:t xml:space="preserve">antagonista esetén a TTR szerinti alcsoportok azt mutatták, hogy a legmagasabb vérzési arány a TTR legalacsonyabb kvartilisére volt jellemző. A vérzés aránya hasonló volt </w:t>
      </w:r>
      <w:r w:rsidR="00CA2919" w:rsidRPr="00F7245E">
        <w:rPr>
          <w:rFonts w:cs="Times New Roman"/>
        </w:rPr>
        <w:t xml:space="preserve">apixabán </w:t>
      </w:r>
      <w:r w:rsidRPr="00F7245E">
        <w:rPr>
          <w:rFonts w:cs="Times New Roman"/>
        </w:rPr>
        <w:t>és a TTR legmagasabb kvartilise esetében.</w:t>
      </w:r>
    </w:p>
    <w:p w14:paraId="38DB0C10" w14:textId="135C2305" w:rsidR="00B62AE4" w:rsidRPr="00F7245E" w:rsidRDefault="00B62AE4" w:rsidP="00A21724">
      <w:pPr>
        <w:pStyle w:val="Nincstrkz"/>
        <w:rPr>
          <w:rFonts w:cs="Times New Roman"/>
        </w:rPr>
      </w:pPr>
      <w:r w:rsidRPr="00F7245E">
        <w:rPr>
          <w:rFonts w:cs="Times New Roman"/>
        </w:rPr>
        <w:t>Az acetilszalicilsav és a placebo összehasonlításában a 6. hónapban az ISTH szerinti súlyos vagy CRNM vérzés elsődleges biztonságossági végpontja 367 (16,1%)</w:t>
      </w:r>
      <w:r w:rsidR="00041290" w:rsidRPr="00F7245E">
        <w:rPr>
          <w:rFonts w:cs="Times New Roman"/>
        </w:rPr>
        <w:t xml:space="preserve"> </w:t>
      </w:r>
      <w:r w:rsidR="00A1416D" w:rsidRPr="00F7245E">
        <w:rPr>
          <w:rFonts w:cs="Times New Roman"/>
        </w:rPr>
        <w:t>beteg</w:t>
      </w:r>
      <w:r w:rsidRPr="00F7245E">
        <w:rPr>
          <w:rFonts w:cs="Times New Roman"/>
        </w:rPr>
        <w:t>nél következett be az acetilszalicilsav</w:t>
      </w:r>
      <w:r w:rsidR="00041290" w:rsidRPr="00F7245E">
        <w:rPr>
          <w:rFonts w:cs="Times New Roman"/>
        </w:rPr>
        <w:noBreakHyphen/>
      </w:r>
      <w:r w:rsidRPr="00F7245E">
        <w:rPr>
          <w:rFonts w:cs="Times New Roman"/>
        </w:rPr>
        <w:t>karon és 204 (9,0%)</w:t>
      </w:r>
      <w:r w:rsidR="00A1416D" w:rsidRPr="00F7245E">
        <w:rPr>
          <w:rFonts w:cs="Times New Roman"/>
        </w:rPr>
        <w:t> beteg</w:t>
      </w:r>
      <w:r w:rsidRPr="00F7245E">
        <w:rPr>
          <w:rFonts w:cs="Times New Roman"/>
        </w:rPr>
        <w:t>nél a placebo</w:t>
      </w:r>
      <w:r w:rsidR="00041290" w:rsidRPr="00F7245E">
        <w:rPr>
          <w:rFonts w:cs="Times New Roman"/>
        </w:rPr>
        <w:noBreakHyphen/>
      </w:r>
      <w:r w:rsidRPr="00F7245E">
        <w:rPr>
          <w:rFonts w:cs="Times New Roman"/>
        </w:rPr>
        <w:t>karon (relatív hazárd 1,88, 95%-os CI: 1,58</w:t>
      </w:r>
      <w:r w:rsidR="0054792A" w:rsidRPr="00F7245E">
        <w:rPr>
          <w:rFonts w:cs="Times New Roman"/>
        </w:rPr>
        <w:noBreakHyphen/>
      </w:r>
      <w:r w:rsidRPr="00F7245E">
        <w:rPr>
          <w:rFonts w:cs="Times New Roman"/>
        </w:rPr>
        <w:t>2,23; 2 oldalas p</w:t>
      </w:r>
      <w:r w:rsidR="0054792A" w:rsidRPr="00F7245E">
        <w:rPr>
          <w:rFonts w:cs="Times New Roman"/>
        </w:rPr>
        <w:t> </w:t>
      </w:r>
      <w:r w:rsidRPr="00F7245E">
        <w:rPr>
          <w:rFonts w:cs="Times New Roman"/>
        </w:rPr>
        <w:t>&lt;</w:t>
      </w:r>
      <w:r w:rsidR="0054792A" w:rsidRPr="00F7245E">
        <w:rPr>
          <w:rFonts w:cs="Times New Roman"/>
        </w:rPr>
        <w:t> </w:t>
      </w:r>
      <w:r w:rsidRPr="00F7245E">
        <w:rPr>
          <w:rFonts w:cs="Times New Roman"/>
        </w:rPr>
        <w:t>0,0001).</w:t>
      </w:r>
    </w:p>
    <w:p w14:paraId="466A8B64" w14:textId="77777777" w:rsidR="00B62AE4" w:rsidRPr="00F7245E" w:rsidRDefault="00B62AE4" w:rsidP="00A21724">
      <w:pPr>
        <w:pStyle w:val="Nincstrkz"/>
        <w:rPr>
          <w:rFonts w:cs="Times New Roman"/>
        </w:rPr>
      </w:pPr>
    </w:p>
    <w:p w14:paraId="00726368" w14:textId="0A67CE85" w:rsidR="00B62AE4" w:rsidRPr="00F7245E" w:rsidRDefault="00B62AE4" w:rsidP="00A21724">
      <w:pPr>
        <w:pStyle w:val="Nincstrkz"/>
        <w:rPr>
          <w:rFonts w:cs="Times New Roman"/>
        </w:rPr>
      </w:pPr>
      <w:r w:rsidRPr="00F7245E">
        <w:rPr>
          <w:rFonts w:cs="Times New Roman"/>
        </w:rPr>
        <w:t xml:space="preserve">Számszerűen, az </w:t>
      </w:r>
      <w:r w:rsidR="002C0B56" w:rsidRPr="00F7245E">
        <w:rPr>
          <w:rFonts w:cs="Times New Roman"/>
        </w:rPr>
        <w:t>apixabán</w:t>
      </w:r>
      <w:r w:rsidRPr="00F7245E">
        <w:rPr>
          <w:rFonts w:cs="Times New Roman"/>
        </w:rPr>
        <w:t>nal kezelt</w:t>
      </w:r>
      <w:r w:rsidR="00041290" w:rsidRPr="00F7245E">
        <w:rPr>
          <w:rFonts w:cs="Times New Roman"/>
        </w:rPr>
        <w:t xml:space="preserve"> </w:t>
      </w:r>
      <w:r w:rsidR="00A1416D" w:rsidRPr="00F7245E">
        <w:rPr>
          <w:rFonts w:cs="Times New Roman"/>
        </w:rPr>
        <w:t>beteg</w:t>
      </w:r>
      <w:r w:rsidRPr="00F7245E">
        <w:rPr>
          <w:rFonts w:cs="Times New Roman"/>
        </w:rPr>
        <w:t>ek közül 157</w:t>
      </w:r>
      <w:r w:rsidR="00041290" w:rsidRPr="00F7245E">
        <w:rPr>
          <w:rFonts w:cs="Times New Roman"/>
        </w:rPr>
        <w:noBreakHyphen/>
      </w:r>
      <w:r w:rsidRPr="00F7245E">
        <w:rPr>
          <w:rFonts w:cs="Times New Roman"/>
        </w:rPr>
        <w:t>nél (13,7%) fordult elő súlyos vagy CRNM vérzés az acetilszalicilsav</w:t>
      </w:r>
      <w:r w:rsidR="00041290" w:rsidRPr="00F7245E">
        <w:rPr>
          <w:rFonts w:cs="Times New Roman"/>
        </w:rPr>
        <w:noBreakHyphen/>
      </w:r>
      <w:r w:rsidRPr="00F7245E">
        <w:rPr>
          <w:rFonts w:cs="Times New Roman"/>
        </w:rPr>
        <w:t>karon és 84 (7,4%)</w:t>
      </w:r>
      <w:r w:rsidR="00DF5655" w:rsidRPr="00F7245E">
        <w:rPr>
          <w:rFonts w:cs="Times New Roman"/>
        </w:rPr>
        <w:t xml:space="preserve"> </w:t>
      </w:r>
      <w:r w:rsidR="00A1416D" w:rsidRPr="00F7245E">
        <w:rPr>
          <w:rFonts w:cs="Times New Roman"/>
        </w:rPr>
        <w:t>beteg</w:t>
      </w:r>
      <w:r w:rsidRPr="00F7245E">
        <w:rPr>
          <w:rFonts w:cs="Times New Roman"/>
        </w:rPr>
        <w:t>nél a placebo</w:t>
      </w:r>
      <w:r w:rsidR="00DF5655" w:rsidRPr="00F7245E">
        <w:rPr>
          <w:rFonts w:cs="Times New Roman"/>
        </w:rPr>
        <w:noBreakHyphen/>
      </w:r>
      <w:r w:rsidRPr="00F7245E">
        <w:rPr>
          <w:rFonts w:cs="Times New Roman"/>
        </w:rPr>
        <w:t>karon. A K</w:t>
      </w:r>
      <w:r w:rsidR="00DF5655" w:rsidRPr="00F7245E">
        <w:rPr>
          <w:rFonts w:cs="Times New Roman"/>
        </w:rPr>
        <w:noBreakHyphen/>
      </w:r>
      <w:r w:rsidRPr="00F7245E">
        <w:rPr>
          <w:rFonts w:cs="Times New Roman"/>
        </w:rPr>
        <w:t>vitamin</w:t>
      </w:r>
      <w:r w:rsidR="00DF5655" w:rsidRPr="00F7245E">
        <w:rPr>
          <w:rFonts w:cs="Times New Roman"/>
        </w:rPr>
        <w:noBreakHyphen/>
      </w:r>
      <w:r w:rsidRPr="00F7245E">
        <w:rPr>
          <w:rFonts w:cs="Times New Roman"/>
        </w:rPr>
        <w:t xml:space="preserve">antagonistával </w:t>
      </w:r>
      <w:r w:rsidR="00DF5655" w:rsidRPr="00F7245E">
        <w:rPr>
          <w:rFonts w:cs="Times New Roman"/>
        </w:rPr>
        <w:t>k</w:t>
      </w:r>
      <w:r w:rsidRPr="00F7245E">
        <w:rPr>
          <w:rFonts w:cs="Times New Roman"/>
        </w:rPr>
        <w:t>ezelt</w:t>
      </w:r>
      <w:r w:rsidR="00DF5655" w:rsidRPr="00F7245E">
        <w:rPr>
          <w:rFonts w:cs="Times New Roman"/>
        </w:rPr>
        <w:t xml:space="preserve"> </w:t>
      </w:r>
      <w:r w:rsidR="00A1416D" w:rsidRPr="00F7245E">
        <w:rPr>
          <w:rFonts w:cs="Times New Roman"/>
        </w:rPr>
        <w:t>beteg</w:t>
      </w:r>
      <w:r w:rsidRPr="00F7245E">
        <w:rPr>
          <w:rFonts w:cs="Times New Roman"/>
        </w:rPr>
        <w:t>ek közül 208</w:t>
      </w:r>
      <w:r w:rsidR="00DF5655" w:rsidRPr="00F7245E">
        <w:rPr>
          <w:rFonts w:cs="Times New Roman"/>
        </w:rPr>
        <w:noBreakHyphen/>
      </w:r>
      <w:r w:rsidRPr="00F7245E">
        <w:rPr>
          <w:rFonts w:cs="Times New Roman"/>
        </w:rPr>
        <w:t>nál (18,5%) fordult elő súlyos vagy CRNM vérzés az acetilszalicilsav</w:t>
      </w:r>
      <w:r w:rsidR="00DF5655" w:rsidRPr="00F7245E">
        <w:rPr>
          <w:rFonts w:cs="Times New Roman"/>
        </w:rPr>
        <w:noBreakHyphen/>
      </w:r>
      <w:r w:rsidRPr="00F7245E">
        <w:rPr>
          <w:rFonts w:cs="Times New Roman"/>
        </w:rPr>
        <w:t>karon és 122 (10,8%)</w:t>
      </w:r>
      <w:r w:rsidR="00DF5655" w:rsidRPr="00F7245E">
        <w:rPr>
          <w:rFonts w:cs="Times New Roman"/>
        </w:rPr>
        <w:t xml:space="preserve"> </w:t>
      </w:r>
      <w:r w:rsidR="00A1416D" w:rsidRPr="00F7245E">
        <w:rPr>
          <w:rFonts w:cs="Times New Roman"/>
        </w:rPr>
        <w:t>beteg</w:t>
      </w:r>
      <w:r w:rsidRPr="00F7245E">
        <w:rPr>
          <w:rFonts w:cs="Times New Roman"/>
        </w:rPr>
        <w:t>nél a placebo</w:t>
      </w:r>
      <w:r w:rsidR="00DF5655" w:rsidRPr="00F7245E">
        <w:rPr>
          <w:rFonts w:cs="Times New Roman"/>
        </w:rPr>
        <w:noBreakHyphen/>
      </w:r>
      <w:r w:rsidRPr="00F7245E">
        <w:rPr>
          <w:rFonts w:cs="Times New Roman"/>
        </w:rPr>
        <w:t>-karon.</w:t>
      </w:r>
    </w:p>
    <w:p w14:paraId="3F5C4BB9" w14:textId="77777777" w:rsidR="00B62AE4" w:rsidRPr="00F7245E" w:rsidRDefault="00B62AE4" w:rsidP="00A21724">
      <w:pPr>
        <w:pStyle w:val="Nincstrkz"/>
        <w:rPr>
          <w:rFonts w:cs="Times New Roman"/>
        </w:rPr>
      </w:pPr>
    </w:p>
    <w:p w14:paraId="52D1C1DD" w14:textId="77777777" w:rsidR="00B62AE4" w:rsidRPr="00F7245E" w:rsidRDefault="00B62AE4" w:rsidP="00A21724">
      <w:pPr>
        <w:pStyle w:val="Nincstrkz"/>
        <w:rPr>
          <w:rFonts w:cs="Times New Roman"/>
        </w:rPr>
      </w:pPr>
      <w:r w:rsidRPr="00F7245E">
        <w:rPr>
          <w:rFonts w:cs="Times New Roman"/>
        </w:rPr>
        <w:t>Az egyéb kezelési hatásokat a vizsgálat másodlagos célkitűzéseként értékelték, összetett végpontokkal.</w:t>
      </w:r>
    </w:p>
    <w:p w14:paraId="54070F6E" w14:textId="61106EA9" w:rsidR="00B62AE4" w:rsidRPr="00F7245E" w:rsidRDefault="00B62AE4" w:rsidP="00A21724">
      <w:pPr>
        <w:pStyle w:val="Nincstrkz"/>
        <w:rPr>
          <w:rFonts w:cs="Times New Roman"/>
        </w:rPr>
      </w:pPr>
      <w:r w:rsidRPr="00F7245E">
        <w:rPr>
          <w:rFonts w:cs="Times New Roman"/>
        </w:rPr>
        <w:t xml:space="preserve">Az </w:t>
      </w:r>
      <w:r w:rsidR="00CA2919" w:rsidRPr="00F7245E">
        <w:rPr>
          <w:rFonts w:cs="Times New Roman"/>
        </w:rPr>
        <w:t xml:space="preserve">apixabán </w:t>
      </w:r>
      <w:r w:rsidRPr="00F7245E">
        <w:rPr>
          <w:rFonts w:cs="Times New Roman"/>
        </w:rPr>
        <w:t>és a K</w:t>
      </w:r>
      <w:r w:rsidR="00DF5655" w:rsidRPr="00F7245E">
        <w:rPr>
          <w:rFonts w:cs="Times New Roman"/>
        </w:rPr>
        <w:noBreakHyphen/>
      </w:r>
      <w:r w:rsidRPr="00F7245E">
        <w:rPr>
          <w:rFonts w:cs="Times New Roman"/>
        </w:rPr>
        <w:t>vitamin</w:t>
      </w:r>
      <w:r w:rsidR="00DF5655" w:rsidRPr="00F7245E">
        <w:rPr>
          <w:rFonts w:cs="Times New Roman"/>
        </w:rPr>
        <w:noBreakHyphen/>
      </w:r>
      <w:r w:rsidRPr="00F7245E">
        <w:rPr>
          <w:rFonts w:cs="Times New Roman"/>
        </w:rPr>
        <w:t xml:space="preserve">antagonista összehasonlításában a halálozás és az ismételt hospitalizáció összetett végpontja az </w:t>
      </w:r>
      <w:r w:rsidR="002C0B56" w:rsidRPr="00F7245E">
        <w:rPr>
          <w:rFonts w:cs="Times New Roman"/>
        </w:rPr>
        <w:t>apixabán</w:t>
      </w:r>
      <w:r w:rsidRPr="00F7245E">
        <w:rPr>
          <w:rFonts w:cs="Times New Roman"/>
        </w:rPr>
        <w:t>nal kezelt</w:t>
      </w:r>
      <w:r w:rsidR="00DF5655" w:rsidRPr="00F7245E">
        <w:rPr>
          <w:rFonts w:cs="Times New Roman"/>
        </w:rPr>
        <w:t xml:space="preserve"> </w:t>
      </w:r>
      <w:r w:rsidR="00A1416D" w:rsidRPr="00F7245E">
        <w:rPr>
          <w:rFonts w:cs="Times New Roman"/>
        </w:rPr>
        <w:t>beteg</w:t>
      </w:r>
      <w:r w:rsidRPr="00F7245E">
        <w:rPr>
          <w:rFonts w:cs="Times New Roman"/>
        </w:rPr>
        <w:t>ek közül 541</w:t>
      </w:r>
      <w:r w:rsidR="00DF5655" w:rsidRPr="00F7245E">
        <w:rPr>
          <w:rFonts w:cs="Times New Roman"/>
        </w:rPr>
        <w:noBreakHyphen/>
      </w:r>
      <w:r w:rsidRPr="00F7245E">
        <w:rPr>
          <w:rFonts w:cs="Times New Roman"/>
        </w:rPr>
        <w:t>nél (23,5%), míg a K</w:t>
      </w:r>
      <w:r w:rsidR="00DF5655" w:rsidRPr="00F7245E">
        <w:rPr>
          <w:rFonts w:cs="Times New Roman"/>
        </w:rPr>
        <w:noBreakHyphen/>
      </w:r>
      <w:r w:rsidRPr="00F7245E">
        <w:rPr>
          <w:rFonts w:cs="Times New Roman"/>
        </w:rPr>
        <w:t>vitamin</w:t>
      </w:r>
      <w:r w:rsidR="00DF5655" w:rsidRPr="00F7245E">
        <w:rPr>
          <w:rFonts w:cs="Times New Roman"/>
        </w:rPr>
        <w:noBreakHyphen/>
      </w:r>
      <w:r w:rsidRPr="00F7245E">
        <w:rPr>
          <w:rFonts w:cs="Times New Roman"/>
        </w:rPr>
        <w:t xml:space="preserve"> antagonistával kezeltek közül 632</w:t>
      </w:r>
      <w:r w:rsidR="00DF5655" w:rsidRPr="00F7245E">
        <w:rPr>
          <w:rFonts w:cs="Times New Roman"/>
        </w:rPr>
        <w:noBreakHyphen/>
      </w:r>
      <w:r w:rsidRPr="00F7245E">
        <w:rPr>
          <w:rFonts w:cs="Times New Roman"/>
        </w:rPr>
        <w:t xml:space="preserve">nél (27,4%) </w:t>
      </w:r>
      <w:r w:rsidR="00DF5655" w:rsidRPr="00F7245E">
        <w:rPr>
          <w:rFonts w:cs="Times New Roman"/>
        </w:rPr>
        <w:t>következett be</w:t>
      </w:r>
      <w:r w:rsidRPr="00F7245E">
        <w:rPr>
          <w:rFonts w:cs="Times New Roman"/>
        </w:rPr>
        <w:t xml:space="preserve">. A halálozás és az ischaemiás esemény (stroke, myocardialis infarctus, stent thrombosis vagy sürgős revascularisatio) összetett végpontja az </w:t>
      </w:r>
      <w:r w:rsidR="002C0B56" w:rsidRPr="00F7245E">
        <w:rPr>
          <w:rFonts w:cs="Times New Roman"/>
        </w:rPr>
        <w:t>apixabán</w:t>
      </w:r>
      <w:r w:rsidRPr="00F7245E">
        <w:rPr>
          <w:rFonts w:cs="Times New Roman"/>
        </w:rPr>
        <w:t>nal kezelt</w:t>
      </w:r>
      <w:r w:rsidR="00A1416D" w:rsidRPr="00F7245E">
        <w:rPr>
          <w:rFonts w:cs="Times New Roman"/>
        </w:rPr>
        <w:t> beteg</w:t>
      </w:r>
      <w:r w:rsidRPr="00F7245E">
        <w:rPr>
          <w:rFonts w:cs="Times New Roman"/>
        </w:rPr>
        <w:t>ek közül 170</w:t>
      </w:r>
      <w:r w:rsidR="00DF5655" w:rsidRPr="00F7245E">
        <w:rPr>
          <w:rFonts w:cs="Times New Roman"/>
        </w:rPr>
        <w:noBreakHyphen/>
      </w:r>
      <w:r w:rsidRPr="00F7245E">
        <w:rPr>
          <w:rFonts w:cs="Times New Roman"/>
        </w:rPr>
        <w:t>nél (7,4%), míg a K</w:t>
      </w:r>
      <w:r w:rsidR="00DF5655" w:rsidRPr="00F7245E">
        <w:rPr>
          <w:rFonts w:cs="Times New Roman"/>
        </w:rPr>
        <w:noBreakHyphen/>
      </w:r>
      <w:r w:rsidRPr="00F7245E">
        <w:rPr>
          <w:rFonts w:cs="Times New Roman"/>
        </w:rPr>
        <w:t>vitamin</w:t>
      </w:r>
      <w:r w:rsidR="00DF5655" w:rsidRPr="00F7245E">
        <w:rPr>
          <w:rFonts w:cs="Times New Roman"/>
        </w:rPr>
        <w:noBreakHyphen/>
      </w:r>
      <w:r w:rsidRPr="00F7245E">
        <w:rPr>
          <w:rFonts w:cs="Times New Roman"/>
        </w:rPr>
        <w:t>antagonistával kezeltek közül 182</w:t>
      </w:r>
      <w:r w:rsidR="00DF5655" w:rsidRPr="00F7245E">
        <w:rPr>
          <w:rFonts w:cs="Times New Roman"/>
        </w:rPr>
        <w:noBreakHyphen/>
      </w:r>
      <w:r w:rsidRPr="00F7245E">
        <w:rPr>
          <w:rFonts w:cs="Times New Roman"/>
        </w:rPr>
        <w:t xml:space="preserve">nél (7,9%) </w:t>
      </w:r>
      <w:r w:rsidR="00DF5655" w:rsidRPr="00F7245E">
        <w:rPr>
          <w:rFonts w:cs="Times New Roman"/>
        </w:rPr>
        <w:t>következett be</w:t>
      </w:r>
      <w:r w:rsidRPr="00F7245E">
        <w:rPr>
          <w:rFonts w:cs="Times New Roman"/>
        </w:rPr>
        <w:t>.</w:t>
      </w:r>
    </w:p>
    <w:p w14:paraId="2DE7C821" w14:textId="77777777" w:rsidR="00B62AE4" w:rsidRPr="00F7245E" w:rsidRDefault="00B62AE4" w:rsidP="00A21724">
      <w:pPr>
        <w:pStyle w:val="Nincstrkz"/>
        <w:rPr>
          <w:rFonts w:cs="Times New Roman"/>
        </w:rPr>
      </w:pPr>
    </w:p>
    <w:p w14:paraId="2FF5534F" w14:textId="43142579" w:rsidR="00B62AE4" w:rsidRPr="00F7245E" w:rsidRDefault="00B62AE4" w:rsidP="00A21724">
      <w:pPr>
        <w:pStyle w:val="Nincstrkz"/>
        <w:rPr>
          <w:rFonts w:cs="Times New Roman"/>
        </w:rPr>
      </w:pPr>
      <w:r w:rsidRPr="00F7245E">
        <w:rPr>
          <w:rFonts w:cs="Times New Roman"/>
        </w:rPr>
        <w:t>Az acetilszalicilsav és a placebo összehasonlításában a halálozás és az ismételt hospitalizáció összetett végpontja az acetilszalicilsavval kezelt</w:t>
      </w:r>
      <w:r w:rsidR="00DF5655" w:rsidRPr="00F7245E">
        <w:rPr>
          <w:rFonts w:cs="Times New Roman"/>
        </w:rPr>
        <w:t xml:space="preserve"> </w:t>
      </w:r>
      <w:r w:rsidR="00A1416D" w:rsidRPr="00F7245E">
        <w:rPr>
          <w:rFonts w:cs="Times New Roman"/>
        </w:rPr>
        <w:t>beteg</w:t>
      </w:r>
      <w:r w:rsidRPr="00F7245E">
        <w:rPr>
          <w:rFonts w:cs="Times New Roman"/>
        </w:rPr>
        <w:t>ek közül 604</w:t>
      </w:r>
      <w:r w:rsidR="00DF5655" w:rsidRPr="00F7245E">
        <w:rPr>
          <w:rFonts w:cs="Times New Roman"/>
        </w:rPr>
        <w:noBreakHyphen/>
      </w:r>
      <w:r w:rsidRPr="00F7245E">
        <w:rPr>
          <w:rFonts w:cs="Times New Roman"/>
        </w:rPr>
        <w:t>nél (26,2%), míg a placebóval kezeltek közül 569</w:t>
      </w:r>
      <w:r w:rsidR="00DF5655" w:rsidRPr="00F7245E">
        <w:rPr>
          <w:rFonts w:cs="Times New Roman"/>
        </w:rPr>
        <w:noBreakHyphen/>
      </w:r>
      <w:r w:rsidRPr="00F7245E">
        <w:rPr>
          <w:rFonts w:cs="Times New Roman"/>
        </w:rPr>
        <w:t xml:space="preserve">nél (24,7%) </w:t>
      </w:r>
      <w:r w:rsidR="00DF5655" w:rsidRPr="00F7245E">
        <w:rPr>
          <w:rFonts w:cs="Times New Roman"/>
        </w:rPr>
        <w:t>következett be</w:t>
      </w:r>
      <w:r w:rsidRPr="00F7245E">
        <w:rPr>
          <w:rFonts w:cs="Times New Roman"/>
        </w:rPr>
        <w:t>. A halálozás és az ischaemiás esemény (stroke,</w:t>
      </w:r>
      <w:r w:rsidRPr="00F7245E">
        <w:rPr>
          <w:rFonts w:cs="Times New Roman"/>
          <w:w w:val="105"/>
        </w:rPr>
        <w:t xml:space="preserve"> </w:t>
      </w:r>
      <w:r w:rsidRPr="00F7245E">
        <w:rPr>
          <w:rFonts w:cs="Times New Roman"/>
        </w:rPr>
        <w:t>myocardialis infarctus, stent thrombosis vagy sürgős revascularisatio) összetett végpontja az acetilszalicilsavval kezelt</w:t>
      </w:r>
      <w:r w:rsidR="00A1416D" w:rsidRPr="00F7245E">
        <w:rPr>
          <w:rFonts w:cs="Times New Roman"/>
        </w:rPr>
        <w:t> beteg</w:t>
      </w:r>
      <w:r w:rsidRPr="00F7245E">
        <w:rPr>
          <w:rFonts w:cs="Times New Roman"/>
        </w:rPr>
        <w:t>ek közül 163</w:t>
      </w:r>
      <w:r w:rsidR="00DF5655" w:rsidRPr="00F7245E">
        <w:rPr>
          <w:rFonts w:cs="Times New Roman"/>
        </w:rPr>
        <w:noBreakHyphen/>
      </w:r>
      <w:r w:rsidRPr="00F7245E">
        <w:rPr>
          <w:rFonts w:cs="Times New Roman"/>
        </w:rPr>
        <w:t xml:space="preserve">nál (7,1%), míg az placebóval kezeltek közül 189-nél (8,2%) </w:t>
      </w:r>
      <w:r w:rsidR="00DF5655" w:rsidRPr="00F7245E">
        <w:rPr>
          <w:rFonts w:cs="Times New Roman"/>
        </w:rPr>
        <w:t>következett be</w:t>
      </w:r>
      <w:r w:rsidRPr="00F7245E">
        <w:rPr>
          <w:rFonts w:cs="Times New Roman"/>
        </w:rPr>
        <w:t>.</w:t>
      </w:r>
    </w:p>
    <w:p w14:paraId="7189D5D0" w14:textId="77777777" w:rsidR="00B62AE4" w:rsidRPr="00F7245E" w:rsidRDefault="00B62AE4" w:rsidP="00A21724">
      <w:pPr>
        <w:pStyle w:val="Nincstrkz"/>
        <w:rPr>
          <w:rFonts w:cs="Times New Roman"/>
        </w:rPr>
      </w:pPr>
    </w:p>
    <w:p w14:paraId="4FDC7DC7" w14:textId="723B652E" w:rsidR="00B62AE4" w:rsidRPr="00F7245E" w:rsidRDefault="00B62AE4" w:rsidP="00A21724">
      <w:pPr>
        <w:pStyle w:val="Nincstrkz"/>
        <w:rPr>
          <w:rFonts w:cs="Times New Roman"/>
          <w:i/>
          <w:iCs/>
          <w:u w:val="single"/>
        </w:rPr>
      </w:pPr>
      <w:r w:rsidRPr="00F7245E">
        <w:rPr>
          <w:rFonts w:cs="Times New Roman"/>
          <w:i/>
          <w:iCs/>
          <w:u w:val="single"/>
        </w:rPr>
        <w:t>Kardioverzióban részesülő</w:t>
      </w:r>
      <w:r w:rsidR="00674797" w:rsidRPr="00F7245E">
        <w:rPr>
          <w:rFonts w:cs="Times New Roman"/>
          <w:i/>
          <w:iCs/>
          <w:u w:val="single"/>
        </w:rPr>
        <w:t xml:space="preserve"> </w:t>
      </w:r>
      <w:r w:rsidR="00A1416D" w:rsidRPr="00F7245E">
        <w:rPr>
          <w:rFonts w:cs="Times New Roman"/>
          <w:i/>
          <w:iCs/>
          <w:u w:val="single"/>
        </w:rPr>
        <w:t>beteg</w:t>
      </w:r>
      <w:r w:rsidRPr="00F7245E">
        <w:rPr>
          <w:rFonts w:cs="Times New Roman"/>
          <w:i/>
          <w:iCs/>
          <w:u w:val="single"/>
        </w:rPr>
        <w:t>ek</w:t>
      </w:r>
    </w:p>
    <w:p w14:paraId="58D226D0" w14:textId="0CD10718" w:rsidR="00B62AE4" w:rsidRPr="00F7245E" w:rsidRDefault="00B62AE4" w:rsidP="00A21724">
      <w:pPr>
        <w:pStyle w:val="Nincstrkz"/>
        <w:rPr>
          <w:rFonts w:cs="Times New Roman"/>
        </w:rPr>
      </w:pPr>
      <w:r w:rsidRPr="00F7245E">
        <w:rPr>
          <w:rFonts w:cs="Times New Roman"/>
        </w:rPr>
        <w:t>Az EMANATE egy nyílt, multicentrikus vizsgálat volt, amelybe 1500</w:t>
      </w:r>
      <w:r w:rsidR="00A1416D" w:rsidRPr="00F7245E">
        <w:rPr>
          <w:rFonts w:cs="Times New Roman"/>
        </w:rPr>
        <w:t> </w:t>
      </w:r>
      <w:r w:rsidR="00CA4AE9">
        <w:rPr>
          <w:rFonts w:cs="Times New Roman"/>
        </w:rPr>
        <w:t xml:space="preserve">felnőtt </w:t>
      </w:r>
      <w:r w:rsidR="00A1416D" w:rsidRPr="00F7245E">
        <w:rPr>
          <w:rFonts w:cs="Times New Roman"/>
        </w:rPr>
        <w:t>beteg</w:t>
      </w:r>
      <w:r w:rsidRPr="00F7245E">
        <w:rPr>
          <w:rFonts w:cs="Times New Roman"/>
        </w:rPr>
        <w:t xml:space="preserve">et vontak be, akik nem kaptak korábban oralis antikoagulánst vagy </w:t>
      </w:r>
      <w:proofErr w:type="gramStart"/>
      <w:r w:rsidRPr="00F7245E">
        <w:rPr>
          <w:rFonts w:cs="Times New Roman"/>
        </w:rPr>
        <w:t>kevesebb</w:t>
      </w:r>
      <w:proofErr w:type="gramEnd"/>
      <w:r w:rsidRPr="00F7245E">
        <w:rPr>
          <w:rFonts w:cs="Times New Roman"/>
        </w:rPr>
        <w:t xml:space="preserve"> mint 48</w:t>
      </w:r>
      <w:r w:rsidR="0071046D" w:rsidRPr="00F7245E">
        <w:rPr>
          <w:rFonts w:cs="Times New Roman"/>
        </w:rPr>
        <w:t> ór</w:t>
      </w:r>
      <w:r w:rsidRPr="00F7245E">
        <w:rPr>
          <w:rFonts w:cs="Times New Roman"/>
        </w:rPr>
        <w:t>ája kaptak előkezelést, és akiket NV</w:t>
      </w:r>
      <w:r w:rsidR="00674797" w:rsidRPr="00F7245E">
        <w:rPr>
          <w:rFonts w:cs="Times New Roman"/>
        </w:rPr>
        <w:t>P</w:t>
      </w:r>
      <w:r w:rsidRPr="00F7245E">
        <w:rPr>
          <w:rFonts w:cs="Times New Roman"/>
        </w:rPr>
        <w:t>F miatt kardioverzi</w:t>
      </w:r>
      <w:r w:rsidR="0071046D" w:rsidRPr="00F7245E">
        <w:rPr>
          <w:rFonts w:cs="Times New Roman"/>
        </w:rPr>
        <w:t>ór</w:t>
      </w:r>
      <w:r w:rsidRPr="00F7245E">
        <w:rPr>
          <w:rFonts w:cs="Times New Roman"/>
        </w:rPr>
        <w:t>a jegyeztek elő. A</w:t>
      </w:r>
      <w:r w:rsidR="00A1416D" w:rsidRPr="00F7245E">
        <w:rPr>
          <w:rFonts w:cs="Times New Roman"/>
        </w:rPr>
        <w:t> beteg</w:t>
      </w:r>
      <w:r w:rsidRPr="00F7245E">
        <w:rPr>
          <w:rFonts w:cs="Times New Roman"/>
        </w:rPr>
        <w:t xml:space="preserve">eket 1:1 arányban randomizálták </w:t>
      </w:r>
      <w:r w:rsidR="002C0B56" w:rsidRPr="00F7245E">
        <w:rPr>
          <w:rFonts w:cs="Times New Roman"/>
        </w:rPr>
        <w:t>apixabán</w:t>
      </w:r>
      <w:r w:rsidRPr="00F7245E">
        <w:rPr>
          <w:rFonts w:cs="Times New Roman"/>
        </w:rPr>
        <w:t>ra vagy heparinra és/vagy K</w:t>
      </w:r>
      <w:r w:rsidR="00FB7E26" w:rsidRPr="00F7245E">
        <w:rPr>
          <w:rFonts w:cs="Times New Roman"/>
        </w:rPr>
        <w:noBreakHyphen/>
      </w:r>
      <w:r w:rsidRPr="00F7245E">
        <w:rPr>
          <w:rFonts w:cs="Times New Roman"/>
        </w:rPr>
        <w:t>vitamin</w:t>
      </w:r>
      <w:r w:rsidR="00FB7E26" w:rsidRPr="00F7245E">
        <w:rPr>
          <w:rFonts w:cs="Times New Roman"/>
        </w:rPr>
        <w:noBreakHyphen/>
      </w:r>
      <w:r w:rsidRPr="00F7245E">
        <w:rPr>
          <w:rFonts w:cs="Times New Roman"/>
        </w:rPr>
        <w:t>antagonistára a cardiovascularis események megelőzése érdekében.</w:t>
      </w:r>
    </w:p>
    <w:p w14:paraId="1127EC81" w14:textId="69F4BBF8" w:rsidR="00B62AE4" w:rsidRPr="00F7245E" w:rsidRDefault="00B62AE4" w:rsidP="00A21724">
      <w:pPr>
        <w:pStyle w:val="Nincstrkz"/>
        <w:rPr>
          <w:rFonts w:cs="Times New Roman"/>
        </w:rPr>
      </w:pPr>
      <w:r w:rsidRPr="00F7245E">
        <w:rPr>
          <w:rFonts w:cs="Times New Roman"/>
        </w:rPr>
        <w:t>Elektromos és/vagy gyógyszeres kardioverziót végeztek legalább 5</w:t>
      </w:r>
      <w:r w:rsidR="00FB7E26" w:rsidRPr="00F7245E">
        <w:rPr>
          <w:rFonts w:cs="Times New Roman"/>
        </w:rPr>
        <w:t> </w:t>
      </w:r>
      <w:r w:rsidRPr="00F7245E">
        <w:rPr>
          <w:rFonts w:cs="Times New Roman"/>
        </w:rPr>
        <w:t>adag,</w:t>
      </w:r>
      <w:r w:rsidR="00FB7E26" w:rsidRPr="00F7245E">
        <w:rPr>
          <w:rFonts w:cs="Times New Roman"/>
        </w:rPr>
        <w:t xml:space="preserve"> </w:t>
      </w:r>
      <w:r w:rsidR="003B67D5" w:rsidRPr="00F7245E">
        <w:rPr>
          <w:rFonts w:cs="Times New Roman"/>
        </w:rPr>
        <w:t>nap</w:t>
      </w:r>
      <w:r w:rsidRPr="00F7245E">
        <w:rPr>
          <w:rFonts w:cs="Times New Roman"/>
        </w:rPr>
        <w:t>onta kétszeri 5</w:t>
      </w:r>
      <w:r w:rsidR="004C106B" w:rsidRPr="00F7245E">
        <w:rPr>
          <w:rFonts w:cs="Times New Roman"/>
        </w:rPr>
        <w:t> mg</w:t>
      </w:r>
      <w:r w:rsidRPr="00F7245E">
        <w:rPr>
          <w:rFonts w:cs="Times New Roman"/>
        </w:rPr>
        <w:t xml:space="preserve"> </w:t>
      </w:r>
      <w:r w:rsidR="00CA2919" w:rsidRPr="00F7245E">
        <w:rPr>
          <w:rFonts w:cs="Times New Roman"/>
        </w:rPr>
        <w:t xml:space="preserve">apixabán </w:t>
      </w:r>
      <w:r w:rsidRPr="00F7245E">
        <w:rPr>
          <w:rFonts w:cs="Times New Roman"/>
        </w:rPr>
        <w:t>után (vagy</w:t>
      </w:r>
      <w:r w:rsidR="00FB7E26" w:rsidRPr="00F7245E">
        <w:rPr>
          <w:rFonts w:cs="Times New Roman"/>
        </w:rPr>
        <w:t xml:space="preserve"> </w:t>
      </w:r>
      <w:r w:rsidR="003B67D5" w:rsidRPr="00F7245E">
        <w:rPr>
          <w:rFonts w:cs="Times New Roman"/>
        </w:rPr>
        <w:t>nap</w:t>
      </w:r>
      <w:r w:rsidRPr="00F7245E">
        <w:rPr>
          <w:rFonts w:cs="Times New Roman"/>
        </w:rPr>
        <w:t>onta kétszeri 2,5</w:t>
      </w:r>
      <w:r w:rsidR="004C106B" w:rsidRPr="00F7245E">
        <w:rPr>
          <w:rFonts w:cs="Times New Roman"/>
        </w:rPr>
        <w:t> mg</w:t>
      </w:r>
      <w:r w:rsidRPr="00F7245E">
        <w:rPr>
          <w:rFonts w:cs="Times New Roman"/>
        </w:rPr>
        <w:t xml:space="preserve"> után a kiválasztott</w:t>
      </w:r>
      <w:r w:rsidR="00FB7E26" w:rsidRPr="00F7245E">
        <w:rPr>
          <w:rFonts w:cs="Times New Roman"/>
        </w:rPr>
        <w:t xml:space="preserve"> </w:t>
      </w:r>
      <w:r w:rsidR="00A1416D" w:rsidRPr="00F7245E">
        <w:rPr>
          <w:rFonts w:cs="Times New Roman"/>
        </w:rPr>
        <w:t>beteg</w:t>
      </w:r>
      <w:r w:rsidRPr="00F7245E">
        <w:rPr>
          <w:rFonts w:cs="Times New Roman"/>
        </w:rPr>
        <w:t>eknél [lásd 4.2</w:t>
      </w:r>
      <w:r w:rsidR="004C106B" w:rsidRPr="00F7245E">
        <w:rPr>
          <w:rFonts w:cs="Times New Roman"/>
        </w:rPr>
        <w:t> pont</w:t>
      </w:r>
      <w:r w:rsidRPr="00F7245E">
        <w:rPr>
          <w:rFonts w:cs="Times New Roman"/>
        </w:rPr>
        <w:t>]), illetve legalább 2</w:t>
      </w:r>
      <w:r w:rsidR="0071046D" w:rsidRPr="00F7245E">
        <w:rPr>
          <w:rFonts w:cs="Times New Roman"/>
        </w:rPr>
        <w:t> ór</w:t>
      </w:r>
      <w:r w:rsidRPr="00F7245E">
        <w:rPr>
          <w:rFonts w:cs="Times New Roman"/>
        </w:rPr>
        <w:t>ával egy 10</w:t>
      </w:r>
      <w:r w:rsidR="004C106B" w:rsidRPr="00F7245E">
        <w:rPr>
          <w:rFonts w:cs="Times New Roman"/>
        </w:rPr>
        <w:t> mg</w:t>
      </w:r>
      <w:r w:rsidR="00674797" w:rsidRPr="00F7245E">
        <w:rPr>
          <w:rFonts w:cs="Times New Roman"/>
        </w:rPr>
        <w:noBreakHyphen/>
      </w:r>
      <w:r w:rsidRPr="00F7245E">
        <w:rPr>
          <w:rFonts w:cs="Times New Roman"/>
        </w:rPr>
        <w:t>os feltöltő dózist követően (vagy 5</w:t>
      </w:r>
      <w:r w:rsidR="004C106B" w:rsidRPr="00F7245E">
        <w:rPr>
          <w:rFonts w:cs="Times New Roman"/>
        </w:rPr>
        <w:t> mg</w:t>
      </w:r>
      <w:r w:rsidRPr="00F7245E">
        <w:rPr>
          <w:rFonts w:cs="Times New Roman"/>
        </w:rPr>
        <w:t xml:space="preserve"> feltöltő dózis után a kiválasztott</w:t>
      </w:r>
      <w:r w:rsidR="00674797" w:rsidRPr="00F7245E">
        <w:rPr>
          <w:rFonts w:cs="Times New Roman"/>
        </w:rPr>
        <w:t xml:space="preserve"> </w:t>
      </w:r>
      <w:r w:rsidR="00A1416D" w:rsidRPr="00F7245E">
        <w:rPr>
          <w:rFonts w:cs="Times New Roman"/>
        </w:rPr>
        <w:t>beteg</w:t>
      </w:r>
      <w:r w:rsidRPr="00F7245E">
        <w:rPr>
          <w:rFonts w:cs="Times New Roman"/>
        </w:rPr>
        <w:t>eknél [lásd 4.2</w:t>
      </w:r>
      <w:r w:rsidR="004C106B" w:rsidRPr="00F7245E">
        <w:rPr>
          <w:rFonts w:cs="Times New Roman"/>
        </w:rPr>
        <w:t> pont</w:t>
      </w:r>
      <w:r w:rsidRPr="00F7245E">
        <w:rPr>
          <w:rFonts w:cs="Times New Roman"/>
        </w:rPr>
        <w:t xml:space="preserve">]), amennyiben hamarabb szükség volt a kardioverzió elvégzésére. Az </w:t>
      </w:r>
      <w:r w:rsidR="00CA2919" w:rsidRPr="00F7245E">
        <w:rPr>
          <w:rFonts w:cs="Times New Roman"/>
        </w:rPr>
        <w:t xml:space="preserve">apixabán </w:t>
      </w:r>
      <w:r w:rsidRPr="00F7245E">
        <w:rPr>
          <w:rFonts w:cs="Times New Roman"/>
        </w:rPr>
        <w:t>csoportban 342</w:t>
      </w:r>
      <w:r w:rsidR="00A1416D" w:rsidRPr="00F7245E">
        <w:rPr>
          <w:rFonts w:cs="Times New Roman"/>
        </w:rPr>
        <w:t> beteg</w:t>
      </w:r>
      <w:r w:rsidRPr="00F7245E">
        <w:rPr>
          <w:rFonts w:cs="Times New Roman"/>
        </w:rPr>
        <w:t xml:space="preserve"> kapott feltöltő dózist (331</w:t>
      </w:r>
      <w:r w:rsidR="00A1416D" w:rsidRPr="00F7245E">
        <w:rPr>
          <w:rFonts w:cs="Times New Roman"/>
        </w:rPr>
        <w:t> beteg</w:t>
      </w:r>
      <w:r w:rsidRPr="00F7245E">
        <w:rPr>
          <w:rFonts w:cs="Times New Roman"/>
        </w:rPr>
        <w:t xml:space="preserve"> kapott 10</w:t>
      </w:r>
      <w:r w:rsidR="004C106B" w:rsidRPr="00F7245E">
        <w:rPr>
          <w:rFonts w:cs="Times New Roman"/>
        </w:rPr>
        <w:t> mg</w:t>
      </w:r>
      <w:r w:rsidRPr="00F7245E">
        <w:rPr>
          <w:rFonts w:cs="Times New Roman"/>
        </w:rPr>
        <w:t>-os adagot és 11</w:t>
      </w:r>
      <w:r w:rsidR="00674797" w:rsidRPr="00F7245E">
        <w:rPr>
          <w:rFonts w:cs="Times New Roman"/>
        </w:rPr>
        <w:t> beteg</w:t>
      </w:r>
      <w:r w:rsidRPr="00F7245E">
        <w:rPr>
          <w:rFonts w:cs="Times New Roman"/>
        </w:rPr>
        <w:t xml:space="preserve"> 5</w:t>
      </w:r>
      <w:r w:rsidR="004C106B" w:rsidRPr="00F7245E">
        <w:rPr>
          <w:rFonts w:cs="Times New Roman"/>
        </w:rPr>
        <w:t> mg</w:t>
      </w:r>
      <w:r w:rsidRPr="00F7245E">
        <w:rPr>
          <w:rFonts w:cs="Times New Roman"/>
        </w:rPr>
        <w:t xml:space="preserve"> adagot).</w:t>
      </w:r>
    </w:p>
    <w:p w14:paraId="43A8DCC4" w14:textId="77777777" w:rsidR="00B62AE4" w:rsidRPr="00F7245E" w:rsidRDefault="00B62AE4" w:rsidP="00A21724">
      <w:pPr>
        <w:pStyle w:val="Nincstrkz"/>
        <w:rPr>
          <w:rFonts w:cs="Times New Roman"/>
        </w:rPr>
      </w:pPr>
    </w:p>
    <w:p w14:paraId="402A251E" w14:textId="61D742D7" w:rsidR="00B62AE4" w:rsidRPr="00F7245E" w:rsidRDefault="00B62AE4" w:rsidP="00A21724">
      <w:pPr>
        <w:pStyle w:val="Nincstrkz"/>
        <w:rPr>
          <w:rFonts w:cs="Times New Roman"/>
        </w:rPr>
      </w:pPr>
      <w:r w:rsidRPr="00F7245E">
        <w:rPr>
          <w:rFonts w:cs="Times New Roman"/>
        </w:rPr>
        <w:t xml:space="preserve">Nem fordult elő stroke (0%) az </w:t>
      </w:r>
      <w:r w:rsidR="002C0B56" w:rsidRPr="00F7245E">
        <w:rPr>
          <w:rFonts w:cs="Times New Roman"/>
        </w:rPr>
        <w:t>apixabán</w:t>
      </w:r>
      <w:r w:rsidRPr="00F7245E">
        <w:rPr>
          <w:rFonts w:cs="Times New Roman"/>
        </w:rPr>
        <w:t>-csoportban (n=753), és 6 (0,80%) stroke fordult elő a heparin és/vagy K</w:t>
      </w:r>
      <w:r w:rsidR="00FB7E26" w:rsidRPr="00F7245E">
        <w:rPr>
          <w:rFonts w:cs="Times New Roman"/>
        </w:rPr>
        <w:noBreakHyphen/>
      </w:r>
      <w:r w:rsidRPr="00F7245E">
        <w:rPr>
          <w:rFonts w:cs="Times New Roman"/>
        </w:rPr>
        <w:t>vitamin</w:t>
      </w:r>
      <w:r w:rsidR="00FB7E26" w:rsidRPr="00F7245E">
        <w:rPr>
          <w:rFonts w:cs="Times New Roman"/>
        </w:rPr>
        <w:noBreakHyphen/>
      </w:r>
      <w:r w:rsidRPr="00F7245E">
        <w:rPr>
          <w:rFonts w:cs="Times New Roman"/>
        </w:rPr>
        <w:t>antagonista csoportban (n=747; relatív kockázat 0,00, 95%</w:t>
      </w:r>
      <w:r w:rsidR="00FB7E26" w:rsidRPr="00F7245E">
        <w:rPr>
          <w:rFonts w:cs="Times New Roman"/>
        </w:rPr>
        <w:noBreakHyphen/>
      </w:r>
      <w:r w:rsidRPr="00F7245E">
        <w:rPr>
          <w:rFonts w:cs="Times New Roman"/>
        </w:rPr>
        <w:t xml:space="preserve">os CI: 0,00, 0,64). </w:t>
      </w:r>
      <w:r w:rsidR="00FB7E26" w:rsidRPr="00F7245E">
        <w:rPr>
          <w:rFonts w:cs="Times New Roman"/>
        </w:rPr>
        <w:t>Bármely</w:t>
      </w:r>
      <w:r w:rsidRPr="00F7245E">
        <w:rPr>
          <w:rFonts w:cs="Times New Roman"/>
        </w:rPr>
        <w:t xml:space="preserve"> okból </w:t>
      </w:r>
      <w:r w:rsidR="00FB7E26" w:rsidRPr="00F7245E">
        <w:rPr>
          <w:rFonts w:cs="Times New Roman"/>
        </w:rPr>
        <w:t xml:space="preserve">bekövetkező </w:t>
      </w:r>
      <w:r w:rsidRPr="00F7245E">
        <w:rPr>
          <w:rFonts w:cs="Times New Roman"/>
        </w:rPr>
        <w:t xml:space="preserve">elhalálozás az </w:t>
      </w:r>
      <w:r w:rsidR="00CA2919" w:rsidRPr="00F7245E">
        <w:rPr>
          <w:rFonts w:cs="Times New Roman"/>
        </w:rPr>
        <w:t xml:space="preserve">apixabán </w:t>
      </w:r>
      <w:r w:rsidRPr="00F7245E">
        <w:rPr>
          <w:rFonts w:cs="Times New Roman"/>
        </w:rPr>
        <w:t>csoportban 2</w:t>
      </w:r>
      <w:r w:rsidR="00674797" w:rsidRPr="00F7245E">
        <w:rPr>
          <w:rFonts w:cs="Times New Roman"/>
        </w:rPr>
        <w:t> betegnél</w:t>
      </w:r>
      <w:r w:rsidRPr="00F7245E">
        <w:rPr>
          <w:rFonts w:cs="Times New Roman"/>
        </w:rPr>
        <w:t xml:space="preserve"> (0,27%) </w:t>
      </w:r>
      <w:r w:rsidR="00FB7E26" w:rsidRPr="00F7245E">
        <w:rPr>
          <w:rFonts w:cs="Times New Roman"/>
        </w:rPr>
        <w:t>következett be</w:t>
      </w:r>
      <w:r w:rsidRPr="00F7245E">
        <w:rPr>
          <w:rFonts w:cs="Times New Roman"/>
        </w:rPr>
        <w:t>, a heparin és/vagy K</w:t>
      </w:r>
      <w:r w:rsidR="00FB7E26" w:rsidRPr="00F7245E">
        <w:rPr>
          <w:rFonts w:cs="Times New Roman"/>
        </w:rPr>
        <w:noBreakHyphen/>
      </w:r>
      <w:r w:rsidRPr="00F7245E">
        <w:rPr>
          <w:rFonts w:cs="Times New Roman"/>
        </w:rPr>
        <w:t>vitamin</w:t>
      </w:r>
      <w:r w:rsidR="00FB7E26" w:rsidRPr="00F7245E">
        <w:rPr>
          <w:rFonts w:cs="Times New Roman"/>
        </w:rPr>
        <w:noBreakHyphen/>
      </w:r>
      <w:r w:rsidRPr="00F7245E">
        <w:rPr>
          <w:rFonts w:cs="Times New Roman"/>
        </w:rPr>
        <w:t>antagonista csoportban pedig 1</w:t>
      </w:r>
      <w:r w:rsidR="00A1416D" w:rsidRPr="00F7245E">
        <w:rPr>
          <w:rFonts w:cs="Times New Roman"/>
        </w:rPr>
        <w:t> beteg</w:t>
      </w:r>
      <w:r w:rsidRPr="00F7245E">
        <w:rPr>
          <w:rFonts w:cs="Times New Roman"/>
        </w:rPr>
        <w:t>nél (0,13%). Nem jelentettek szisztémás embóliás eseményt.</w:t>
      </w:r>
    </w:p>
    <w:p w14:paraId="2BDEC88A" w14:textId="77777777" w:rsidR="00B62AE4" w:rsidRPr="00F7245E" w:rsidRDefault="00B62AE4" w:rsidP="00A21724">
      <w:pPr>
        <w:pStyle w:val="Nincstrkz"/>
        <w:rPr>
          <w:rFonts w:cs="Times New Roman"/>
        </w:rPr>
      </w:pPr>
    </w:p>
    <w:p w14:paraId="1CC02B67" w14:textId="2537BD92" w:rsidR="00B62AE4" w:rsidRPr="00F7245E" w:rsidRDefault="00B62AE4" w:rsidP="00A21724">
      <w:pPr>
        <w:pStyle w:val="Nincstrkz"/>
        <w:rPr>
          <w:rFonts w:cs="Times New Roman"/>
        </w:rPr>
      </w:pPr>
      <w:r w:rsidRPr="00F7245E">
        <w:rPr>
          <w:rFonts w:cs="Times New Roman"/>
        </w:rPr>
        <w:t xml:space="preserve">Az </w:t>
      </w:r>
      <w:r w:rsidR="00CA2919" w:rsidRPr="00F7245E">
        <w:rPr>
          <w:rFonts w:cs="Times New Roman"/>
        </w:rPr>
        <w:t xml:space="preserve">apixabán </w:t>
      </w:r>
      <w:r w:rsidRPr="00F7245E">
        <w:rPr>
          <w:rFonts w:cs="Times New Roman"/>
        </w:rPr>
        <w:t>csoportban 3</w:t>
      </w:r>
      <w:r w:rsidR="00A1416D" w:rsidRPr="00F7245E">
        <w:rPr>
          <w:rFonts w:cs="Times New Roman"/>
        </w:rPr>
        <w:t> beteg</w:t>
      </w:r>
      <w:r w:rsidRPr="00F7245E">
        <w:rPr>
          <w:rFonts w:cs="Times New Roman"/>
        </w:rPr>
        <w:t>nél (0,41%) fordult elő súlyos vérzés, és 11</w:t>
      </w:r>
      <w:r w:rsidR="00A1416D" w:rsidRPr="00F7245E">
        <w:rPr>
          <w:rFonts w:cs="Times New Roman"/>
        </w:rPr>
        <w:t> beteg</w:t>
      </w:r>
      <w:r w:rsidRPr="00F7245E">
        <w:rPr>
          <w:rFonts w:cs="Times New Roman"/>
        </w:rPr>
        <w:t>nél (1,50%) klinikailag jelentős, nem súlyos vérzési esemény, a heparin és/vagy K</w:t>
      </w:r>
      <w:r w:rsidR="007711FF" w:rsidRPr="00F7245E">
        <w:rPr>
          <w:rFonts w:cs="Times New Roman"/>
        </w:rPr>
        <w:noBreakHyphen/>
      </w:r>
      <w:r w:rsidRPr="00F7245E">
        <w:rPr>
          <w:rFonts w:cs="Times New Roman"/>
        </w:rPr>
        <w:t>vitamin</w:t>
      </w:r>
      <w:r w:rsidR="007711FF" w:rsidRPr="00F7245E">
        <w:rPr>
          <w:rFonts w:cs="Times New Roman"/>
        </w:rPr>
        <w:noBreakHyphen/>
      </w:r>
      <w:r w:rsidRPr="00F7245E">
        <w:rPr>
          <w:rFonts w:cs="Times New Roman"/>
        </w:rPr>
        <w:t>antagonista csoportban pedig ezek sorrendben 6</w:t>
      </w:r>
      <w:r w:rsidR="00A1416D" w:rsidRPr="00F7245E">
        <w:rPr>
          <w:rFonts w:cs="Times New Roman"/>
        </w:rPr>
        <w:t> beteg</w:t>
      </w:r>
      <w:r w:rsidRPr="00F7245E">
        <w:rPr>
          <w:rFonts w:cs="Times New Roman"/>
        </w:rPr>
        <w:t>nél (0,83%), illetve 13</w:t>
      </w:r>
      <w:r w:rsidR="00A1416D" w:rsidRPr="00F7245E">
        <w:rPr>
          <w:rFonts w:cs="Times New Roman"/>
        </w:rPr>
        <w:t> beteg</w:t>
      </w:r>
      <w:r w:rsidRPr="00F7245E">
        <w:rPr>
          <w:rFonts w:cs="Times New Roman"/>
        </w:rPr>
        <w:t>nél (1,80%) fordultak elő.</w:t>
      </w:r>
    </w:p>
    <w:p w14:paraId="134DDD05" w14:textId="77777777" w:rsidR="00B62AE4" w:rsidRPr="00F7245E" w:rsidRDefault="00B62AE4" w:rsidP="00A21724">
      <w:pPr>
        <w:pStyle w:val="Nincstrkz"/>
        <w:rPr>
          <w:rFonts w:cs="Times New Roman"/>
        </w:rPr>
      </w:pPr>
    </w:p>
    <w:p w14:paraId="2D24D10C" w14:textId="66704B3A" w:rsidR="00B62AE4" w:rsidRPr="00F7245E" w:rsidRDefault="00B62AE4" w:rsidP="00A21724">
      <w:pPr>
        <w:pStyle w:val="Nincstrkz"/>
        <w:rPr>
          <w:rFonts w:cs="Times New Roman"/>
        </w:rPr>
      </w:pPr>
      <w:r w:rsidRPr="00F7245E">
        <w:rPr>
          <w:rFonts w:cs="Times New Roman"/>
        </w:rPr>
        <w:t xml:space="preserve">Ez a feltáró vizsgálat </w:t>
      </w:r>
      <w:r w:rsidR="00FB7E26" w:rsidRPr="00F7245E">
        <w:rPr>
          <w:rFonts w:cs="Times New Roman"/>
        </w:rPr>
        <w:t xml:space="preserve">kardioverzió esetén </w:t>
      </w:r>
      <w:r w:rsidRPr="00F7245E">
        <w:rPr>
          <w:rFonts w:cs="Times New Roman"/>
        </w:rPr>
        <w:t xml:space="preserve">összemérhető hatásosságot és biztonságosságot mutatott az </w:t>
      </w:r>
      <w:r w:rsidR="00CA2919" w:rsidRPr="00F7245E">
        <w:rPr>
          <w:rFonts w:cs="Times New Roman"/>
        </w:rPr>
        <w:t xml:space="preserve">apixabán </w:t>
      </w:r>
      <w:r w:rsidRPr="00F7245E">
        <w:rPr>
          <w:rFonts w:cs="Times New Roman"/>
        </w:rPr>
        <w:t>és a heparin és/vagy K</w:t>
      </w:r>
      <w:r w:rsidR="007711FF" w:rsidRPr="00F7245E">
        <w:rPr>
          <w:rFonts w:cs="Times New Roman"/>
        </w:rPr>
        <w:noBreakHyphen/>
      </w:r>
      <w:r w:rsidRPr="00F7245E">
        <w:rPr>
          <w:rFonts w:cs="Times New Roman"/>
        </w:rPr>
        <w:t>vitamin</w:t>
      </w:r>
      <w:r w:rsidR="007711FF" w:rsidRPr="00F7245E">
        <w:rPr>
          <w:rFonts w:cs="Times New Roman"/>
        </w:rPr>
        <w:noBreakHyphen/>
      </w:r>
      <w:r w:rsidRPr="00F7245E">
        <w:rPr>
          <w:rFonts w:cs="Times New Roman"/>
        </w:rPr>
        <w:t>antagonista csoportban.</w:t>
      </w:r>
    </w:p>
    <w:p w14:paraId="78749717" w14:textId="77777777" w:rsidR="00B62AE4" w:rsidRPr="00F7245E" w:rsidRDefault="00B62AE4" w:rsidP="00A21724">
      <w:pPr>
        <w:pStyle w:val="Nincstrkz"/>
        <w:rPr>
          <w:rFonts w:cs="Times New Roman"/>
        </w:rPr>
      </w:pPr>
    </w:p>
    <w:p w14:paraId="2BD5567A" w14:textId="501C59CC" w:rsidR="00B62AE4" w:rsidRPr="00F7245E" w:rsidRDefault="00B62AE4" w:rsidP="00A21724">
      <w:pPr>
        <w:pStyle w:val="Nincstrkz"/>
        <w:rPr>
          <w:rFonts w:cs="Times New Roman"/>
        </w:rPr>
      </w:pPr>
      <w:r w:rsidRPr="00F7245E">
        <w:rPr>
          <w:rFonts w:cs="Times New Roman"/>
          <w:i/>
          <w:iCs/>
          <w:u w:val="single"/>
        </w:rPr>
        <w:t>MVT kezelése, PE kezelése, valamint az MVT és a PE kiújulásának megelőzése (VTEt</w:t>
      </w:r>
      <w:r w:rsidRPr="00F7245E">
        <w:rPr>
          <w:rFonts w:cs="Times New Roman"/>
        </w:rPr>
        <w:t xml:space="preserve">) </w:t>
      </w:r>
    </w:p>
    <w:p w14:paraId="32634962" w14:textId="6C423D68" w:rsidR="00B62AE4" w:rsidRPr="00F7245E" w:rsidRDefault="00B62AE4" w:rsidP="00A21724">
      <w:pPr>
        <w:pStyle w:val="Nincstrkz"/>
        <w:rPr>
          <w:rFonts w:cs="Times New Roman"/>
        </w:rPr>
      </w:pPr>
      <w:r w:rsidRPr="00F7245E">
        <w:rPr>
          <w:rFonts w:cs="Times New Roman"/>
        </w:rPr>
        <w:t>A</w:t>
      </w:r>
      <w:r w:rsidR="00CA4AE9">
        <w:rPr>
          <w:rFonts w:cs="Times New Roman"/>
        </w:rPr>
        <w:t xml:space="preserve"> felnőttek körében végzett</w:t>
      </w:r>
      <w:r w:rsidRPr="00F7245E">
        <w:rPr>
          <w:rFonts w:cs="Times New Roman"/>
        </w:rPr>
        <w:t xml:space="preserve"> klinikai programot (AMPLIFY: </w:t>
      </w:r>
      <w:r w:rsidR="00CA2919" w:rsidRPr="00F7245E">
        <w:rPr>
          <w:rFonts w:cs="Times New Roman"/>
        </w:rPr>
        <w:t xml:space="preserve">apixabán </w:t>
      </w:r>
      <w:r w:rsidRPr="00CA4AE9">
        <w:rPr>
          <w:rFonts w:cs="Times New Roman"/>
          <w:i/>
        </w:rPr>
        <w:t>versus</w:t>
      </w:r>
      <w:r w:rsidRPr="00F7245E">
        <w:rPr>
          <w:rFonts w:cs="Times New Roman"/>
        </w:rPr>
        <w:t xml:space="preserve"> enoxaparin/warfarin, AMPLIFY-EXT: </w:t>
      </w:r>
      <w:r w:rsidR="00CA2919" w:rsidRPr="00F7245E">
        <w:rPr>
          <w:rFonts w:cs="Times New Roman"/>
        </w:rPr>
        <w:t xml:space="preserve">apixabán </w:t>
      </w:r>
      <w:r w:rsidRPr="00CA4AE9">
        <w:rPr>
          <w:rFonts w:cs="Times New Roman"/>
          <w:i/>
        </w:rPr>
        <w:t>versus</w:t>
      </w:r>
      <w:r w:rsidRPr="00F7245E">
        <w:rPr>
          <w:rFonts w:cs="Times New Roman"/>
        </w:rPr>
        <w:t xml:space="preserve"> placebo) úgy tervezték, hogy igazolja az MVT és/vagy PE kezelésére adott </w:t>
      </w:r>
      <w:r w:rsidR="00CA2919" w:rsidRPr="00F7245E">
        <w:rPr>
          <w:rFonts w:cs="Times New Roman"/>
        </w:rPr>
        <w:t xml:space="preserve">apixabán </w:t>
      </w:r>
      <w:r w:rsidRPr="00F7245E">
        <w:rPr>
          <w:rFonts w:cs="Times New Roman"/>
        </w:rPr>
        <w:t>hatásosságát és biztonságosságát (AMPLIFY), illetve az MVT és/vagy PE 6-12</w:t>
      </w:r>
      <w:r w:rsidR="001E2C32" w:rsidRPr="00F7245E">
        <w:rPr>
          <w:rFonts w:cs="Times New Roman"/>
        </w:rPr>
        <w:t> </w:t>
      </w:r>
      <w:r w:rsidRPr="00F7245E">
        <w:rPr>
          <w:rFonts w:cs="Times New Roman"/>
        </w:rPr>
        <w:t>hónapig tartó antikoaguláns kezelése után, az MVT és/vagy a PE kiújulásának megelőzésére adott, kiterjesztett kezelés hatásosságát és biztonságosságát (AMPLIFY-EXT). Mindkét vizsgálat randomizált, párhuzamos csoportú, kettős</w:t>
      </w:r>
      <w:r w:rsidR="001E2C32" w:rsidRPr="00F7245E">
        <w:rPr>
          <w:rFonts w:cs="Times New Roman"/>
        </w:rPr>
        <w:noBreakHyphen/>
      </w:r>
      <w:r w:rsidRPr="00F7245E">
        <w:rPr>
          <w:rFonts w:cs="Times New Roman"/>
        </w:rPr>
        <w:t>vak, nemzetközi vizsgálat volt, amit tünetekkel járó, proximalis típusú mélyvénás thrombosisos vagy tünetekkel járó pulmonalis emboliás</w:t>
      </w:r>
      <w:r w:rsidR="007711FF" w:rsidRPr="00F7245E">
        <w:rPr>
          <w:rFonts w:cs="Times New Roman"/>
        </w:rPr>
        <w:t xml:space="preserve"> betegek</w:t>
      </w:r>
      <w:r w:rsidRPr="00F7245E">
        <w:rPr>
          <w:rFonts w:cs="Times New Roman"/>
        </w:rPr>
        <w:t xml:space="preserve"> bevonásával végeztek. </w:t>
      </w:r>
      <w:r w:rsidR="001E2C32" w:rsidRPr="00F7245E">
        <w:rPr>
          <w:rFonts w:cs="Times New Roman"/>
        </w:rPr>
        <w:t xml:space="preserve">Minden </w:t>
      </w:r>
      <w:r w:rsidRPr="00F7245E">
        <w:rPr>
          <w:rFonts w:cs="Times New Roman"/>
        </w:rPr>
        <w:t>fontosabb biztonságossági és hatásossági végpontot egy független bíráló bizottság</w:t>
      </w:r>
      <w:r w:rsidR="001E2C32" w:rsidRPr="00F7245E">
        <w:rPr>
          <w:rFonts w:cs="Times New Roman"/>
        </w:rPr>
        <w:t xml:space="preserve"> ítélt meg</w:t>
      </w:r>
      <w:r w:rsidRPr="00F7245E">
        <w:rPr>
          <w:rFonts w:cs="Times New Roman"/>
        </w:rPr>
        <w:t>, a kapott kezelést nem ismerve.</w:t>
      </w:r>
    </w:p>
    <w:p w14:paraId="2602FDE2" w14:textId="77777777" w:rsidR="00B62AE4" w:rsidRPr="00F7245E" w:rsidRDefault="00B62AE4" w:rsidP="00A21724">
      <w:pPr>
        <w:pStyle w:val="Nincstrkz"/>
        <w:rPr>
          <w:rFonts w:cs="Times New Roman"/>
        </w:rPr>
      </w:pPr>
    </w:p>
    <w:p w14:paraId="5BD2934D" w14:textId="77777777" w:rsidR="00B62AE4" w:rsidRPr="00F7245E" w:rsidRDefault="00B62AE4" w:rsidP="00A21724">
      <w:pPr>
        <w:pStyle w:val="Nincstrkz"/>
        <w:rPr>
          <w:rFonts w:cs="Times New Roman"/>
          <w:u w:val="single"/>
        </w:rPr>
      </w:pPr>
      <w:r w:rsidRPr="00F7245E">
        <w:rPr>
          <w:rFonts w:cs="Times New Roman"/>
          <w:u w:val="single"/>
        </w:rPr>
        <w:t>AMPLIFY VIZSGÁLAT</w:t>
      </w:r>
    </w:p>
    <w:p w14:paraId="51C68EFF" w14:textId="4CF59D14" w:rsidR="00B62AE4" w:rsidRPr="00F7245E" w:rsidRDefault="00B62AE4" w:rsidP="00A21724">
      <w:pPr>
        <w:pStyle w:val="Nincstrkz"/>
        <w:rPr>
          <w:rFonts w:cs="Times New Roman"/>
        </w:rPr>
      </w:pPr>
      <w:proofErr w:type="gramStart"/>
      <w:r w:rsidRPr="00F7245E">
        <w:rPr>
          <w:rFonts w:cs="Times New Roman"/>
        </w:rPr>
        <w:t>Az AMPLIFY</w:t>
      </w:r>
      <w:r w:rsidR="001E2C32" w:rsidRPr="00F7245E">
        <w:rPr>
          <w:rFonts w:cs="Times New Roman"/>
        </w:rPr>
        <w:noBreakHyphen/>
      </w:r>
      <w:r w:rsidRPr="00F7245E">
        <w:rPr>
          <w:rFonts w:cs="Times New Roman"/>
        </w:rPr>
        <w:t>vizsgálatba összesen 5395</w:t>
      </w:r>
      <w:r w:rsidR="00A1416D" w:rsidRPr="00F7245E">
        <w:rPr>
          <w:rFonts w:cs="Times New Roman"/>
        </w:rPr>
        <w:t> </w:t>
      </w:r>
      <w:r w:rsidR="00CA4AE9">
        <w:rPr>
          <w:rFonts w:cs="Times New Roman"/>
        </w:rPr>
        <w:t xml:space="preserve">felnőtt </w:t>
      </w:r>
      <w:r w:rsidR="00A1416D" w:rsidRPr="00F7245E">
        <w:rPr>
          <w:rFonts w:cs="Times New Roman"/>
        </w:rPr>
        <w:t>beteg</w:t>
      </w:r>
      <w:r w:rsidRPr="00F7245E">
        <w:rPr>
          <w:rFonts w:cs="Times New Roman"/>
        </w:rPr>
        <w:t>et randomizáltak 7</w:t>
      </w:r>
      <w:r w:rsidR="003B67D5" w:rsidRPr="00F7245E">
        <w:rPr>
          <w:rFonts w:cs="Times New Roman"/>
        </w:rPr>
        <w:t> nap</w:t>
      </w:r>
      <w:r w:rsidRPr="00F7245E">
        <w:rPr>
          <w:rFonts w:cs="Times New Roman"/>
        </w:rPr>
        <w:t>ig tartó,</w:t>
      </w:r>
      <w:r w:rsidR="001E2C32" w:rsidRPr="00F7245E">
        <w:rPr>
          <w:rFonts w:cs="Times New Roman"/>
        </w:rPr>
        <w:t xml:space="preserve"> </w:t>
      </w:r>
      <w:r w:rsidR="003B67D5" w:rsidRPr="00F7245E">
        <w:rPr>
          <w:rFonts w:cs="Times New Roman"/>
        </w:rPr>
        <w:t>nap</w:t>
      </w:r>
      <w:r w:rsidRPr="00F7245E">
        <w:rPr>
          <w:rFonts w:cs="Times New Roman"/>
        </w:rPr>
        <w:t>onta kétszer 10</w:t>
      </w:r>
      <w:r w:rsidR="004C106B" w:rsidRPr="00F7245E">
        <w:rPr>
          <w:rFonts w:cs="Times New Roman"/>
        </w:rPr>
        <w:t> mg</w:t>
      </w:r>
      <w:r w:rsidRPr="00F7245E">
        <w:rPr>
          <w:rFonts w:cs="Times New Roman"/>
        </w:rPr>
        <w:t xml:space="preserve"> </w:t>
      </w:r>
      <w:r w:rsidRPr="00F7245E">
        <w:rPr>
          <w:rFonts w:cs="Times New Roman"/>
          <w:i/>
          <w:iCs/>
        </w:rPr>
        <w:t>per os</w:t>
      </w:r>
      <w:r w:rsidRPr="00F7245E">
        <w:rPr>
          <w:rFonts w:cs="Times New Roman"/>
        </w:rPr>
        <w:t xml:space="preserve"> </w:t>
      </w:r>
      <w:r w:rsidR="002C0B56" w:rsidRPr="00F7245E">
        <w:rPr>
          <w:rFonts w:cs="Times New Roman"/>
        </w:rPr>
        <w:t>apixabán</w:t>
      </w:r>
      <w:r w:rsidR="001E2C32" w:rsidRPr="00F7245E">
        <w:rPr>
          <w:rFonts w:cs="Times New Roman"/>
        </w:rPr>
        <w:noBreakHyphen/>
      </w:r>
      <w:r w:rsidRPr="00F7245E">
        <w:rPr>
          <w:rFonts w:cs="Times New Roman"/>
        </w:rPr>
        <w:t>kezelésre, amit 6 hónapig</w:t>
      </w:r>
      <w:r w:rsidR="001E2C32" w:rsidRPr="00F7245E">
        <w:rPr>
          <w:rFonts w:cs="Times New Roman"/>
        </w:rPr>
        <w:t xml:space="preserve"> </w:t>
      </w:r>
      <w:r w:rsidR="003B67D5" w:rsidRPr="00F7245E">
        <w:rPr>
          <w:rFonts w:cs="Times New Roman"/>
        </w:rPr>
        <w:t>nap</w:t>
      </w:r>
      <w:r w:rsidRPr="00F7245E">
        <w:rPr>
          <w:rFonts w:cs="Times New Roman"/>
        </w:rPr>
        <w:t>onta kétszer 5</w:t>
      </w:r>
      <w:r w:rsidR="004C106B" w:rsidRPr="00F7245E">
        <w:rPr>
          <w:rFonts w:cs="Times New Roman"/>
        </w:rPr>
        <w:t> mg</w:t>
      </w:r>
      <w:r w:rsidRPr="00F7245E">
        <w:rPr>
          <w:rFonts w:cs="Times New Roman"/>
        </w:rPr>
        <w:t xml:space="preserve"> </w:t>
      </w:r>
      <w:r w:rsidRPr="00F7245E">
        <w:rPr>
          <w:rFonts w:cs="Times New Roman"/>
          <w:i/>
          <w:iCs/>
        </w:rPr>
        <w:t>per os</w:t>
      </w:r>
      <w:r w:rsidRPr="00F7245E">
        <w:rPr>
          <w:rFonts w:cs="Times New Roman"/>
        </w:rPr>
        <w:t xml:space="preserve"> </w:t>
      </w:r>
      <w:r w:rsidR="00CA2919" w:rsidRPr="00F7245E">
        <w:rPr>
          <w:rFonts w:cs="Times New Roman"/>
        </w:rPr>
        <w:t xml:space="preserve">apixabán </w:t>
      </w:r>
      <w:r w:rsidRPr="00F7245E">
        <w:rPr>
          <w:rFonts w:cs="Times New Roman"/>
        </w:rPr>
        <w:t>követett, vagy pedig legalább 5</w:t>
      </w:r>
      <w:r w:rsidR="003B67D5" w:rsidRPr="00F7245E">
        <w:rPr>
          <w:rFonts w:cs="Times New Roman"/>
        </w:rPr>
        <w:t> nap</w:t>
      </w:r>
      <w:r w:rsidRPr="00F7245E">
        <w:rPr>
          <w:rFonts w:cs="Times New Roman"/>
        </w:rPr>
        <w:t>ig tartó (amíg az INR</w:t>
      </w:r>
      <w:r w:rsidR="000C6360" w:rsidRPr="00F7245E">
        <w:rPr>
          <w:rFonts w:cs="Times New Roman"/>
        </w:rPr>
        <w:t> ≥ </w:t>
      </w:r>
      <w:r w:rsidRPr="00F7245E">
        <w:rPr>
          <w:rFonts w:cs="Times New Roman"/>
        </w:rPr>
        <w:t>2),</w:t>
      </w:r>
      <w:r w:rsidR="003B67D5" w:rsidRPr="00F7245E">
        <w:rPr>
          <w:rFonts w:cs="Times New Roman"/>
        </w:rPr>
        <w:t> nap</w:t>
      </w:r>
      <w:r w:rsidRPr="00F7245E">
        <w:rPr>
          <w:rFonts w:cs="Times New Roman"/>
        </w:rPr>
        <w:t>onta kétszer 1</w:t>
      </w:r>
      <w:r w:rsidR="004C106B" w:rsidRPr="00F7245E">
        <w:rPr>
          <w:rFonts w:cs="Times New Roman"/>
        </w:rPr>
        <w:t> mg</w:t>
      </w:r>
      <w:r w:rsidRPr="00F7245E">
        <w:rPr>
          <w:rFonts w:cs="Times New Roman"/>
        </w:rPr>
        <w:t>/</w:t>
      </w:r>
      <w:r w:rsidR="00CA4AE9">
        <w:rPr>
          <w:rFonts w:cs="Times New Roman"/>
        </w:rPr>
        <w:t>tt</w:t>
      </w:r>
      <w:r w:rsidRPr="00F7245E">
        <w:rPr>
          <w:rFonts w:cs="Times New Roman"/>
        </w:rPr>
        <w:t>kg subcutan enoxaparinnal és</w:t>
      </w:r>
      <w:r w:rsidR="000C6360" w:rsidRPr="00F7245E">
        <w:rPr>
          <w:rFonts w:cs="Times New Roman"/>
        </w:rPr>
        <w:t xml:space="preserve"> </w:t>
      </w:r>
      <w:r w:rsidRPr="00F7245E">
        <w:rPr>
          <w:rFonts w:cs="Times New Roman"/>
        </w:rPr>
        <w:t>6</w:t>
      </w:r>
      <w:r w:rsidR="000C6360" w:rsidRPr="00F7245E">
        <w:rPr>
          <w:rFonts w:cs="Times New Roman"/>
        </w:rPr>
        <w:t> </w:t>
      </w:r>
      <w:r w:rsidRPr="00F7245E">
        <w:rPr>
          <w:rFonts w:cs="Times New Roman"/>
        </w:rPr>
        <w:t xml:space="preserve">hónapig tartó </w:t>
      </w:r>
      <w:r w:rsidRPr="00F7245E">
        <w:rPr>
          <w:rFonts w:cs="Times New Roman"/>
          <w:i/>
          <w:iCs/>
        </w:rPr>
        <w:t>per os</w:t>
      </w:r>
      <w:r w:rsidRPr="00F7245E">
        <w:rPr>
          <w:rFonts w:cs="Times New Roman"/>
        </w:rPr>
        <w:t xml:space="preserve"> warfarinnal (elérendő INR</w:t>
      </w:r>
      <w:r w:rsidR="000C6360" w:rsidRPr="00F7245E">
        <w:rPr>
          <w:rFonts w:cs="Times New Roman"/>
        </w:rPr>
        <w:noBreakHyphen/>
      </w:r>
      <w:r w:rsidRPr="00F7245E">
        <w:rPr>
          <w:rFonts w:cs="Times New Roman"/>
        </w:rPr>
        <w:t>tartomány 2,0</w:t>
      </w:r>
      <w:r w:rsidR="001E2C32" w:rsidRPr="00F7245E">
        <w:rPr>
          <w:rFonts w:cs="Times New Roman"/>
        </w:rPr>
        <w:noBreakHyphen/>
      </w:r>
      <w:r w:rsidRPr="00F7245E">
        <w:rPr>
          <w:rFonts w:cs="Times New Roman"/>
        </w:rPr>
        <w:t>3,0) végzett kezelésre.</w:t>
      </w:r>
      <w:proofErr w:type="gramEnd"/>
    </w:p>
    <w:p w14:paraId="4968A367" w14:textId="77777777" w:rsidR="00B62AE4" w:rsidRPr="00F7245E" w:rsidRDefault="00B62AE4" w:rsidP="00A21724">
      <w:pPr>
        <w:pStyle w:val="Nincstrkz"/>
        <w:rPr>
          <w:rFonts w:cs="Times New Roman"/>
        </w:rPr>
      </w:pPr>
    </w:p>
    <w:p w14:paraId="4E518D4B" w14:textId="11666F7B" w:rsidR="00B62AE4" w:rsidRPr="00F7245E" w:rsidRDefault="00B62AE4" w:rsidP="00A21724">
      <w:pPr>
        <w:pStyle w:val="Nincstrkz"/>
        <w:rPr>
          <w:rFonts w:cs="Times New Roman"/>
        </w:rPr>
      </w:pPr>
      <w:r w:rsidRPr="00F7245E">
        <w:rPr>
          <w:rFonts w:cs="Times New Roman"/>
        </w:rPr>
        <w:t>Az átlagéletkor 56,9</w:t>
      </w:r>
      <w:r w:rsidR="00045408" w:rsidRPr="00F7245E">
        <w:rPr>
          <w:rFonts w:cs="Times New Roman"/>
        </w:rPr>
        <w:t> év</w:t>
      </w:r>
      <w:r w:rsidRPr="00F7245E">
        <w:rPr>
          <w:rFonts w:cs="Times New Roman"/>
        </w:rPr>
        <w:t xml:space="preserve"> volt, és a randomizált</w:t>
      </w:r>
      <w:r w:rsidR="000C6360" w:rsidRPr="00F7245E">
        <w:rPr>
          <w:rFonts w:cs="Times New Roman"/>
        </w:rPr>
        <w:t xml:space="preserve"> </w:t>
      </w:r>
      <w:r w:rsidR="00A1416D" w:rsidRPr="00F7245E">
        <w:rPr>
          <w:rFonts w:cs="Times New Roman"/>
        </w:rPr>
        <w:t>beteg</w:t>
      </w:r>
      <w:r w:rsidRPr="00F7245E">
        <w:rPr>
          <w:rFonts w:cs="Times New Roman"/>
        </w:rPr>
        <w:t>ek 89,8%</w:t>
      </w:r>
      <w:r w:rsidR="000C6360" w:rsidRPr="00F7245E">
        <w:rPr>
          <w:rFonts w:cs="Times New Roman"/>
        </w:rPr>
        <w:noBreakHyphen/>
      </w:r>
      <w:r w:rsidRPr="00F7245E">
        <w:rPr>
          <w:rFonts w:cs="Times New Roman"/>
        </w:rPr>
        <w:t>ának volt ok nélküli VTE eseménye.</w:t>
      </w:r>
    </w:p>
    <w:p w14:paraId="29A65F26" w14:textId="77777777" w:rsidR="00B62AE4" w:rsidRPr="00F7245E" w:rsidRDefault="00B62AE4" w:rsidP="00A21724">
      <w:pPr>
        <w:pStyle w:val="Nincstrkz"/>
        <w:rPr>
          <w:rFonts w:cs="Times New Roman"/>
        </w:rPr>
      </w:pPr>
    </w:p>
    <w:p w14:paraId="6E9CF3AB" w14:textId="75A7A21A" w:rsidR="00B62AE4" w:rsidRPr="00F7245E" w:rsidRDefault="00B62AE4" w:rsidP="00A21724">
      <w:pPr>
        <w:pStyle w:val="Nincstrkz"/>
        <w:rPr>
          <w:rFonts w:cs="Times New Roman"/>
        </w:rPr>
      </w:pPr>
      <w:r w:rsidRPr="00F7245E">
        <w:rPr>
          <w:rFonts w:cs="Times New Roman"/>
        </w:rPr>
        <w:t>A warfarinra randomizált</w:t>
      </w:r>
      <w:r w:rsidR="000C6360" w:rsidRPr="00F7245E">
        <w:rPr>
          <w:rFonts w:cs="Times New Roman"/>
        </w:rPr>
        <w:t xml:space="preserve"> betegeknél</w:t>
      </w:r>
      <w:r w:rsidRPr="00F7245E">
        <w:rPr>
          <w:rFonts w:cs="Times New Roman"/>
        </w:rPr>
        <w:t xml:space="preserve"> a terápiás tartományban (INR 2,0</w:t>
      </w:r>
      <w:r w:rsidR="000C6360" w:rsidRPr="00F7245E">
        <w:rPr>
          <w:rFonts w:cs="Times New Roman"/>
        </w:rPr>
        <w:noBreakHyphen/>
      </w:r>
      <w:r w:rsidRPr="00F7245E">
        <w:rPr>
          <w:rFonts w:cs="Times New Roman"/>
        </w:rPr>
        <w:t>3,0) eltöltött időtartam (</w:t>
      </w:r>
      <w:r w:rsidR="001E2C32" w:rsidRPr="00F7245E">
        <w:rPr>
          <w:rFonts w:cs="Times New Roman"/>
        </w:rPr>
        <w:t>TTR</w:t>
      </w:r>
      <w:r w:rsidRPr="00F7245E">
        <w:rPr>
          <w:rFonts w:cs="Times New Roman"/>
        </w:rPr>
        <w:t xml:space="preserve">) átlagos aránya 60,9% volt. Az </w:t>
      </w:r>
      <w:r w:rsidR="002C0B56" w:rsidRPr="00F7245E">
        <w:rPr>
          <w:rFonts w:cs="Times New Roman"/>
        </w:rPr>
        <w:t>apixabán</w:t>
      </w:r>
      <w:r w:rsidRPr="00F7245E">
        <w:rPr>
          <w:rFonts w:cs="Times New Roman"/>
        </w:rPr>
        <w:t>nal a vizsgálati centrumra jellemző, különböző TTR</w:t>
      </w:r>
      <w:r w:rsidR="000C6360" w:rsidRPr="00F7245E">
        <w:rPr>
          <w:rFonts w:cs="Times New Roman"/>
        </w:rPr>
        <w:noBreakHyphen/>
      </w:r>
      <w:r w:rsidRPr="00F7245E">
        <w:rPr>
          <w:rFonts w:cs="Times New Roman"/>
        </w:rPr>
        <w:t>szintektől függetlenül csökkent a szimptomatikus VTE események kiújulása és a VTE</w:t>
      </w:r>
      <w:r w:rsidR="000C6360" w:rsidRPr="00F7245E">
        <w:rPr>
          <w:rFonts w:cs="Times New Roman"/>
        </w:rPr>
        <w:noBreakHyphen/>
      </w:r>
      <w:r w:rsidRPr="00F7245E">
        <w:rPr>
          <w:rFonts w:cs="Times New Roman"/>
        </w:rPr>
        <w:t xml:space="preserve">vel összefüggő halálozás. A centrumnak megfelelő legfelső TTR kvartilisben az </w:t>
      </w:r>
      <w:r w:rsidR="002C0B56" w:rsidRPr="00F7245E">
        <w:rPr>
          <w:rFonts w:cs="Times New Roman"/>
        </w:rPr>
        <w:t>apixabán</w:t>
      </w:r>
      <w:r w:rsidRPr="00F7245E">
        <w:rPr>
          <w:rFonts w:cs="Times New Roman"/>
        </w:rPr>
        <w:t>nal 0,79 (95%</w:t>
      </w:r>
      <w:r w:rsidR="000C6360" w:rsidRPr="00F7245E">
        <w:rPr>
          <w:rFonts w:cs="Times New Roman"/>
        </w:rPr>
        <w:noBreakHyphen/>
      </w:r>
      <w:r w:rsidRPr="00F7245E">
        <w:rPr>
          <w:rFonts w:cs="Times New Roman"/>
        </w:rPr>
        <w:t>os CI: 0,39; 1,61) volt a relatív kockázat az enoxaparin/warfarin kezeléshez képest.</w:t>
      </w:r>
    </w:p>
    <w:p w14:paraId="163CD02C" w14:textId="77777777" w:rsidR="00B62AE4" w:rsidRPr="00F7245E" w:rsidRDefault="00B62AE4" w:rsidP="00A21724">
      <w:pPr>
        <w:pStyle w:val="Nincstrkz"/>
        <w:rPr>
          <w:rFonts w:cs="Times New Roman"/>
        </w:rPr>
      </w:pPr>
    </w:p>
    <w:p w14:paraId="360AF4F0" w14:textId="16B21BCE" w:rsidR="00B62AE4" w:rsidRPr="00F7245E" w:rsidRDefault="00B62AE4" w:rsidP="00A21724">
      <w:pPr>
        <w:pStyle w:val="Nincstrkz"/>
        <w:rPr>
          <w:rFonts w:cs="Times New Roman"/>
        </w:rPr>
      </w:pPr>
      <w:r w:rsidRPr="00F7245E">
        <w:rPr>
          <w:rFonts w:cs="Times New Roman"/>
        </w:rPr>
        <w:t xml:space="preserve">A vizsgálatban kimutatták, hogy az </w:t>
      </w:r>
      <w:r w:rsidR="00CA2919" w:rsidRPr="00F7245E">
        <w:rPr>
          <w:rFonts w:cs="Times New Roman"/>
        </w:rPr>
        <w:t xml:space="preserve">apixabán </w:t>
      </w:r>
      <w:r w:rsidR="000C6360" w:rsidRPr="00F7245E">
        <w:rPr>
          <w:rFonts w:cs="Times New Roman"/>
        </w:rPr>
        <w:t xml:space="preserve">nem volt kevésbé hatásos </w:t>
      </w:r>
      <w:r w:rsidRPr="00F7245E">
        <w:rPr>
          <w:rFonts w:cs="Times New Roman"/>
        </w:rPr>
        <w:t>az enoxaparin/warfarin</w:t>
      </w:r>
      <w:r w:rsidR="000C6360" w:rsidRPr="00F7245E">
        <w:rPr>
          <w:rFonts w:cs="Times New Roman"/>
        </w:rPr>
        <w:noBreakHyphen/>
      </w:r>
      <w:r w:rsidRPr="00F7245E">
        <w:rPr>
          <w:rFonts w:cs="Times New Roman"/>
        </w:rPr>
        <w:t>kezeléshez képest a kombinált elsődleges végpontban, melynek összetevői: az igazolt, recidív szimptomatikus VTE (nem halálos MVT vagy nem halálos PE) és a VTE</w:t>
      </w:r>
      <w:r w:rsidR="00107E00" w:rsidRPr="00F7245E">
        <w:rPr>
          <w:rFonts w:cs="Times New Roman"/>
        </w:rPr>
        <w:noBreakHyphen/>
      </w:r>
      <w:r w:rsidRPr="00F7245E">
        <w:rPr>
          <w:rFonts w:cs="Times New Roman"/>
        </w:rPr>
        <w:t>vel összefüggő halálozás (lásd 1</w:t>
      </w:r>
      <w:r w:rsidR="001F3456" w:rsidRPr="00F7245E">
        <w:rPr>
          <w:rFonts w:cs="Times New Roman"/>
        </w:rPr>
        <w:t>1</w:t>
      </w:r>
      <w:r w:rsidRPr="00F7245E">
        <w:rPr>
          <w:rFonts w:cs="Times New Roman"/>
        </w:rPr>
        <w:t>. táblázat).</w:t>
      </w:r>
    </w:p>
    <w:p w14:paraId="5D636391" w14:textId="77777777" w:rsidR="00B62AE4" w:rsidRPr="00F7245E" w:rsidRDefault="00B62AE4" w:rsidP="00A21724">
      <w:pPr>
        <w:pStyle w:val="Nincstrkz"/>
        <w:rPr>
          <w:rFonts w:cs="Times New Roman"/>
        </w:rPr>
      </w:pPr>
    </w:p>
    <w:p w14:paraId="48EF9D59" w14:textId="49E17039" w:rsidR="00B62AE4" w:rsidRPr="00F7245E" w:rsidRDefault="00B221E1" w:rsidP="00A21724">
      <w:pPr>
        <w:pStyle w:val="Cmsor1"/>
        <w:keepNext/>
        <w:widowControl/>
        <w:tabs>
          <w:tab w:val="left" w:pos="284"/>
          <w:tab w:val="left" w:pos="426"/>
        </w:tabs>
        <w:ind w:left="0"/>
        <w:rPr>
          <w:sz w:val="22"/>
          <w:szCs w:val="22"/>
        </w:rPr>
      </w:pPr>
      <w:r w:rsidRPr="00F7245E">
        <w:rPr>
          <w:w w:val="105"/>
          <w:sz w:val="22"/>
          <w:szCs w:val="22"/>
        </w:rPr>
        <w:t>1</w:t>
      </w:r>
      <w:r w:rsidR="001F3456" w:rsidRPr="00F7245E">
        <w:rPr>
          <w:w w:val="105"/>
          <w:sz w:val="22"/>
          <w:szCs w:val="22"/>
        </w:rPr>
        <w:t>1</w:t>
      </w:r>
      <w:r w:rsidRPr="00F7245E">
        <w:rPr>
          <w:w w:val="105"/>
          <w:sz w:val="22"/>
          <w:szCs w:val="22"/>
        </w:rPr>
        <w:t xml:space="preserve">. </w:t>
      </w:r>
      <w:r w:rsidR="00B62AE4" w:rsidRPr="00F7245E">
        <w:rPr>
          <w:w w:val="105"/>
          <w:sz w:val="22"/>
          <w:szCs w:val="22"/>
        </w:rPr>
        <w:t>táblázat: Az AMPLIFY vizsgálat hatásossági</w:t>
      </w:r>
      <w:r w:rsidR="00B62AE4" w:rsidRPr="00F7245E">
        <w:rPr>
          <w:spacing w:val="-11"/>
          <w:w w:val="105"/>
          <w:sz w:val="22"/>
          <w:szCs w:val="22"/>
        </w:rPr>
        <w:t xml:space="preserve"> </w:t>
      </w:r>
      <w:r w:rsidR="00B62AE4" w:rsidRPr="00F7245E">
        <w:rPr>
          <w:w w:val="105"/>
          <w:sz w:val="22"/>
          <w:szCs w:val="22"/>
        </w:rPr>
        <w:t>eredményei</w:t>
      </w:r>
    </w:p>
    <w:tbl>
      <w:tblPr>
        <w:tblStyle w:val="TableNormal1"/>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1843"/>
        <w:gridCol w:w="2410"/>
        <w:gridCol w:w="2126"/>
      </w:tblGrid>
      <w:tr w:rsidR="000C6360" w:rsidRPr="00F7245E" w14:paraId="70371F01" w14:textId="77777777" w:rsidTr="00B221E1">
        <w:trPr>
          <w:trHeight w:val="1254"/>
        </w:trPr>
        <w:tc>
          <w:tcPr>
            <w:tcW w:w="2835" w:type="dxa"/>
          </w:tcPr>
          <w:p w14:paraId="2B7439D9" w14:textId="77777777" w:rsidR="000C6360" w:rsidRPr="00F7245E" w:rsidRDefault="000C6360" w:rsidP="00A21724">
            <w:pPr>
              <w:pStyle w:val="TableParagraph"/>
              <w:keepNext/>
              <w:widowControl/>
              <w:rPr>
                <w:lang w:val="hu-HU"/>
              </w:rPr>
            </w:pPr>
          </w:p>
        </w:tc>
        <w:tc>
          <w:tcPr>
            <w:tcW w:w="1843" w:type="dxa"/>
          </w:tcPr>
          <w:p w14:paraId="24DBFD7F" w14:textId="380B94A5" w:rsidR="000C6360" w:rsidRPr="00F7245E" w:rsidRDefault="000C6360" w:rsidP="00A21724">
            <w:pPr>
              <w:pStyle w:val="Nincstrkz"/>
              <w:keepNext/>
              <w:widowControl/>
              <w:jc w:val="center"/>
              <w:rPr>
                <w:rFonts w:cs="Times New Roman"/>
                <w:b/>
                <w:bCs/>
                <w:lang w:val="hu-HU"/>
              </w:rPr>
            </w:pPr>
            <w:r w:rsidRPr="00F7245E">
              <w:rPr>
                <w:rFonts w:cs="Times New Roman"/>
                <w:b/>
                <w:bCs/>
                <w:w w:val="105"/>
              </w:rPr>
              <w:t>Apixab</w:t>
            </w:r>
            <w:r w:rsidR="001C3C30" w:rsidRPr="00F7245E">
              <w:rPr>
                <w:rFonts w:cs="Times New Roman"/>
                <w:b/>
                <w:bCs/>
                <w:w w:val="105"/>
              </w:rPr>
              <w:t>á</w:t>
            </w:r>
            <w:r w:rsidRPr="00F7245E">
              <w:rPr>
                <w:rFonts w:cs="Times New Roman"/>
                <w:b/>
                <w:bCs/>
                <w:w w:val="105"/>
              </w:rPr>
              <w:t>n</w:t>
            </w:r>
          </w:p>
          <w:p w14:paraId="26CBB748" w14:textId="1136B4E0" w:rsidR="000C6360" w:rsidRPr="00F7245E" w:rsidRDefault="007D4C4D" w:rsidP="00A21724">
            <w:pPr>
              <w:pStyle w:val="Nincstrkz"/>
              <w:keepNext/>
              <w:widowControl/>
              <w:jc w:val="center"/>
              <w:rPr>
                <w:rFonts w:cs="Times New Roman"/>
                <w:b/>
                <w:bCs/>
                <w:lang w:val="hu-HU"/>
              </w:rPr>
            </w:pPr>
            <w:r w:rsidRPr="00F7245E">
              <w:rPr>
                <w:rFonts w:cs="Times New Roman"/>
                <w:b/>
                <w:bCs/>
                <w:w w:val="105"/>
              </w:rPr>
              <w:t>N = </w:t>
            </w:r>
            <w:r w:rsidR="000C6360" w:rsidRPr="00F7245E">
              <w:rPr>
                <w:rFonts w:cs="Times New Roman"/>
                <w:b/>
                <w:bCs/>
                <w:w w:val="105"/>
              </w:rPr>
              <w:t>2609</w:t>
            </w:r>
          </w:p>
          <w:p w14:paraId="2698A570" w14:textId="70431A1F" w:rsidR="000C6360" w:rsidRPr="00F7245E" w:rsidRDefault="000C6360" w:rsidP="00A21724">
            <w:pPr>
              <w:pStyle w:val="Nincstrkz"/>
              <w:keepNext/>
              <w:widowControl/>
              <w:jc w:val="center"/>
              <w:rPr>
                <w:rFonts w:cs="Times New Roman"/>
                <w:lang w:val="hu-HU"/>
              </w:rPr>
            </w:pPr>
            <w:r w:rsidRPr="00F7245E">
              <w:rPr>
                <w:rFonts w:cs="Times New Roman"/>
                <w:b/>
                <w:bCs/>
                <w:w w:val="105"/>
              </w:rPr>
              <w:t>n (%)</w:t>
            </w:r>
          </w:p>
        </w:tc>
        <w:tc>
          <w:tcPr>
            <w:tcW w:w="2410" w:type="dxa"/>
          </w:tcPr>
          <w:p w14:paraId="2995248B" w14:textId="080ACD05" w:rsidR="000C6360" w:rsidRPr="00F7245E" w:rsidRDefault="000C6360" w:rsidP="00A21724">
            <w:pPr>
              <w:pStyle w:val="Nincstrkz"/>
              <w:keepNext/>
              <w:widowControl/>
              <w:jc w:val="center"/>
              <w:rPr>
                <w:rFonts w:cs="Times New Roman"/>
                <w:b/>
                <w:bCs/>
                <w:lang w:val="hu-HU"/>
              </w:rPr>
            </w:pPr>
            <w:r w:rsidRPr="00F7245E">
              <w:rPr>
                <w:rFonts w:cs="Times New Roman"/>
                <w:b/>
                <w:bCs/>
              </w:rPr>
              <w:t>Enoxaparin/Warfar</w:t>
            </w:r>
            <w:r w:rsidRPr="00F7245E">
              <w:rPr>
                <w:rFonts w:cs="Times New Roman"/>
                <w:b/>
                <w:bCs/>
                <w:w w:val="105"/>
              </w:rPr>
              <w:t>in</w:t>
            </w:r>
          </w:p>
          <w:p w14:paraId="59A7A9D5" w14:textId="0DD16604" w:rsidR="000C6360" w:rsidRPr="00F7245E" w:rsidRDefault="007D4C4D" w:rsidP="00A21724">
            <w:pPr>
              <w:pStyle w:val="TableParagraph"/>
              <w:keepNext/>
              <w:widowControl/>
              <w:ind w:left="581" w:right="574" w:hanging="342"/>
              <w:jc w:val="center"/>
              <w:rPr>
                <w:b/>
                <w:bCs/>
                <w:lang w:val="hu-HU"/>
              </w:rPr>
            </w:pPr>
            <w:r w:rsidRPr="00F7245E">
              <w:rPr>
                <w:b/>
                <w:bCs/>
                <w:w w:val="105"/>
              </w:rPr>
              <w:t>N = </w:t>
            </w:r>
            <w:r w:rsidR="000C6360" w:rsidRPr="00F7245E">
              <w:rPr>
                <w:b/>
                <w:bCs/>
                <w:w w:val="105"/>
              </w:rPr>
              <w:t>2635</w:t>
            </w:r>
          </w:p>
          <w:p w14:paraId="490F8B49" w14:textId="102B3935" w:rsidR="000C6360" w:rsidRPr="00F7245E" w:rsidRDefault="000C6360" w:rsidP="00A21724">
            <w:pPr>
              <w:pStyle w:val="TableParagraph"/>
              <w:keepNext/>
              <w:widowControl/>
              <w:ind w:left="581" w:right="573"/>
              <w:jc w:val="center"/>
              <w:rPr>
                <w:b/>
                <w:bCs/>
                <w:lang w:val="hu-HU"/>
              </w:rPr>
            </w:pPr>
            <w:r w:rsidRPr="00F7245E">
              <w:rPr>
                <w:b/>
                <w:bCs/>
                <w:w w:val="105"/>
              </w:rPr>
              <w:t>n (%)</w:t>
            </w:r>
          </w:p>
        </w:tc>
        <w:tc>
          <w:tcPr>
            <w:tcW w:w="2126" w:type="dxa"/>
          </w:tcPr>
          <w:p w14:paraId="745F41F0" w14:textId="77777777" w:rsidR="000C6360" w:rsidRPr="00F7245E" w:rsidRDefault="000C6360" w:rsidP="00A21724">
            <w:pPr>
              <w:pStyle w:val="Nincstrkz"/>
              <w:keepNext/>
              <w:widowControl/>
              <w:jc w:val="center"/>
              <w:rPr>
                <w:rFonts w:cs="Times New Roman"/>
                <w:b/>
                <w:bCs/>
                <w:lang w:val="hu-HU"/>
              </w:rPr>
            </w:pPr>
            <w:r w:rsidRPr="00F7245E">
              <w:rPr>
                <w:rFonts w:cs="Times New Roman"/>
                <w:b/>
                <w:bCs/>
                <w:w w:val="105"/>
              </w:rPr>
              <w:t>Relatív kockázat</w:t>
            </w:r>
          </w:p>
          <w:p w14:paraId="05718CE7" w14:textId="77777777" w:rsidR="000C6360" w:rsidRPr="00F7245E" w:rsidRDefault="000C6360" w:rsidP="00A21724">
            <w:pPr>
              <w:pStyle w:val="Nincstrkz"/>
              <w:keepNext/>
              <w:widowControl/>
              <w:jc w:val="center"/>
              <w:rPr>
                <w:rFonts w:cs="Times New Roman"/>
                <w:b/>
                <w:bCs/>
                <w:lang w:val="hu-HU"/>
              </w:rPr>
            </w:pPr>
            <w:r w:rsidRPr="00F7245E">
              <w:rPr>
                <w:rFonts w:cs="Times New Roman"/>
                <w:b/>
                <w:bCs/>
                <w:w w:val="105"/>
              </w:rPr>
              <w:t>(95%-os CI)</w:t>
            </w:r>
          </w:p>
        </w:tc>
      </w:tr>
      <w:tr w:rsidR="00B62AE4" w:rsidRPr="00F7245E" w14:paraId="1DB27569" w14:textId="77777777" w:rsidTr="00B221E1">
        <w:trPr>
          <w:trHeight w:val="570"/>
        </w:trPr>
        <w:tc>
          <w:tcPr>
            <w:tcW w:w="2835" w:type="dxa"/>
          </w:tcPr>
          <w:p w14:paraId="5362055A" w14:textId="77777777" w:rsidR="00B62AE4" w:rsidRPr="00F7245E" w:rsidRDefault="00B62AE4" w:rsidP="00A21724">
            <w:pPr>
              <w:pStyle w:val="TableParagraph"/>
              <w:ind w:left="100"/>
              <w:rPr>
                <w:lang w:val="hu-HU"/>
              </w:rPr>
            </w:pPr>
            <w:r w:rsidRPr="00F7245E">
              <w:rPr>
                <w:w w:val="105"/>
              </w:rPr>
              <w:t>VTE vagy VTE-vel összefüggő halálozás</w:t>
            </w:r>
          </w:p>
        </w:tc>
        <w:tc>
          <w:tcPr>
            <w:tcW w:w="1843" w:type="dxa"/>
          </w:tcPr>
          <w:p w14:paraId="727431F2" w14:textId="77777777" w:rsidR="00B62AE4" w:rsidRPr="00F7245E" w:rsidRDefault="00B62AE4" w:rsidP="00A21724">
            <w:pPr>
              <w:pStyle w:val="TableParagraph"/>
              <w:ind w:left="422" w:right="416"/>
              <w:jc w:val="center"/>
              <w:rPr>
                <w:lang w:val="hu-HU"/>
              </w:rPr>
            </w:pPr>
            <w:r w:rsidRPr="00F7245E">
              <w:rPr>
                <w:w w:val="105"/>
              </w:rPr>
              <w:t>59 (2,3)</w:t>
            </w:r>
          </w:p>
        </w:tc>
        <w:tc>
          <w:tcPr>
            <w:tcW w:w="2410" w:type="dxa"/>
          </w:tcPr>
          <w:p w14:paraId="6EAD1276" w14:textId="77777777" w:rsidR="00B62AE4" w:rsidRPr="00F7245E" w:rsidRDefault="00B62AE4" w:rsidP="00A21724">
            <w:pPr>
              <w:pStyle w:val="TableParagraph"/>
              <w:ind w:left="578" w:right="574"/>
              <w:jc w:val="center"/>
              <w:rPr>
                <w:lang w:val="hu-HU"/>
              </w:rPr>
            </w:pPr>
            <w:r w:rsidRPr="00F7245E">
              <w:rPr>
                <w:w w:val="105"/>
              </w:rPr>
              <w:t>71 (2,7)</w:t>
            </w:r>
          </w:p>
        </w:tc>
        <w:tc>
          <w:tcPr>
            <w:tcW w:w="2126" w:type="dxa"/>
          </w:tcPr>
          <w:p w14:paraId="00AA3B52" w14:textId="77777777" w:rsidR="00B62AE4" w:rsidRPr="00F7245E" w:rsidRDefault="00B62AE4" w:rsidP="00A21724">
            <w:pPr>
              <w:pStyle w:val="TableParagraph"/>
              <w:ind w:left="1"/>
              <w:jc w:val="center"/>
              <w:rPr>
                <w:lang w:val="hu-HU"/>
              </w:rPr>
            </w:pPr>
            <w:r w:rsidRPr="00F7245E">
              <w:rPr>
                <w:w w:val="105"/>
              </w:rPr>
              <w:t>0,84 (0,60; 1,18)*</w:t>
            </w:r>
          </w:p>
        </w:tc>
      </w:tr>
      <w:tr w:rsidR="00B62AE4" w:rsidRPr="00F7245E" w14:paraId="2F654E9D" w14:textId="77777777" w:rsidTr="00B221E1">
        <w:trPr>
          <w:trHeight w:val="342"/>
        </w:trPr>
        <w:tc>
          <w:tcPr>
            <w:tcW w:w="2835" w:type="dxa"/>
          </w:tcPr>
          <w:p w14:paraId="624EEE99" w14:textId="77777777" w:rsidR="00B62AE4" w:rsidRPr="00F7245E" w:rsidRDefault="00B62AE4" w:rsidP="00A21724">
            <w:pPr>
              <w:pStyle w:val="TableParagraph"/>
              <w:ind w:left="438"/>
              <w:rPr>
                <w:lang w:val="hu-HU"/>
              </w:rPr>
            </w:pPr>
            <w:r w:rsidRPr="00F7245E">
              <w:rPr>
                <w:w w:val="105"/>
              </w:rPr>
              <w:t>MVT</w:t>
            </w:r>
          </w:p>
        </w:tc>
        <w:tc>
          <w:tcPr>
            <w:tcW w:w="1843" w:type="dxa"/>
          </w:tcPr>
          <w:p w14:paraId="0924446E" w14:textId="77777777" w:rsidR="00B62AE4" w:rsidRPr="00F7245E" w:rsidRDefault="00B62AE4" w:rsidP="00A21724">
            <w:pPr>
              <w:pStyle w:val="TableParagraph"/>
              <w:ind w:left="423" w:right="416"/>
              <w:jc w:val="center"/>
              <w:rPr>
                <w:lang w:val="hu-HU"/>
              </w:rPr>
            </w:pPr>
            <w:r w:rsidRPr="00F7245E">
              <w:rPr>
                <w:w w:val="105"/>
              </w:rPr>
              <w:t>20 (0,7)</w:t>
            </w:r>
          </w:p>
        </w:tc>
        <w:tc>
          <w:tcPr>
            <w:tcW w:w="2410" w:type="dxa"/>
          </w:tcPr>
          <w:p w14:paraId="4F61EDDA" w14:textId="77777777" w:rsidR="00B62AE4" w:rsidRPr="00F7245E" w:rsidRDefault="00B62AE4" w:rsidP="00A21724">
            <w:pPr>
              <w:pStyle w:val="TableParagraph"/>
              <w:ind w:left="581" w:right="574"/>
              <w:jc w:val="center"/>
              <w:rPr>
                <w:lang w:val="hu-HU"/>
              </w:rPr>
            </w:pPr>
            <w:r w:rsidRPr="00F7245E">
              <w:rPr>
                <w:w w:val="105"/>
              </w:rPr>
              <w:t>33 (1,2)</w:t>
            </w:r>
          </w:p>
        </w:tc>
        <w:tc>
          <w:tcPr>
            <w:tcW w:w="2126" w:type="dxa"/>
          </w:tcPr>
          <w:p w14:paraId="7AEE9F61" w14:textId="77777777" w:rsidR="00B62AE4" w:rsidRPr="00F7245E" w:rsidRDefault="00B62AE4" w:rsidP="00A21724">
            <w:pPr>
              <w:pStyle w:val="TableParagraph"/>
              <w:jc w:val="center"/>
              <w:rPr>
                <w:lang w:val="hu-HU"/>
              </w:rPr>
            </w:pPr>
          </w:p>
        </w:tc>
      </w:tr>
      <w:tr w:rsidR="00B62AE4" w:rsidRPr="00F7245E" w14:paraId="7BAA49E7" w14:textId="77777777" w:rsidTr="00B221E1">
        <w:trPr>
          <w:trHeight w:val="340"/>
        </w:trPr>
        <w:tc>
          <w:tcPr>
            <w:tcW w:w="2835" w:type="dxa"/>
          </w:tcPr>
          <w:p w14:paraId="5C85B8F9" w14:textId="77777777" w:rsidR="00B62AE4" w:rsidRPr="00F7245E" w:rsidRDefault="00B62AE4" w:rsidP="00A21724">
            <w:pPr>
              <w:pStyle w:val="TableParagraph"/>
              <w:ind w:left="439"/>
              <w:rPr>
                <w:lang w:val="hu-HU"/>
              </w:rPr>
            </w:pPr>
            <w:r w:rsidRPr="00F7245E">
              <w:rPr>
                <w:w w:val="105"/>
              </w:rPr>
              <w:t>PE</w:t>
            </w:r>
          </w:p>
        </w:tc>
        <w:tc>
          <w:tcPr>
            <w:tcW w:w="1843" w:type="dxa"/>
          </w:tcPr>
          <w:p w14:paraId="1115FD6E" w14:textId="77777777" w:rsidR="00B62AE4" w:rsidRPr="00F7245E" w:rsidRDefault="00B62AE4" w:rsidP="00A21724">
            <w:pPr>
              <w:pStyle w:val="TableParagraph"/>
              <w:ind w:left="423" w:right="416"/>
              <w:jc w:val="center"/>
              <w:rPr>
                <w:lang w:val="hu-HU"/>
              </w:rPr>
            </w:pPr>
            <w:r w:rsidRPr="00F7245E">
              <w:rPr>
                <w:w w:val="105"/>
              </w:rPr>
              <w:t>27 (1,0)</w:t>
            </w:r>
          </w:p>
        </w:tc>
        <w:tc>
          <w:tcPr>
            <w:tcW w:w="2410" w:type="dxa"/>
          </w:tcPr>
          <w:p w14:paraId="13A817B1" w14:textId="77777777" w:rsidR="00B62AE4" w:rsidRPr="00F7245E" w:rsidRDefault="00B62AE4" w:rsidP="00A21724">
            <w:pPr>
              <w:pStyle w:val="TableParagraph"/>
              <w:ind w:left="581" w:right="574"/>
              <w:jc w:val="center"/>
              <w:rPr>
                <w:lang w:val="hu-HU"/>
              </w:rPr>
            </w:pPr>
            <w:r w:rsidRPr="00F7245E">
              <w:rPr>
                <w:w w:val="105"/>
              </w:rPr>
              <w:t>23 (0,9)</w:t>
            </w:r>
          </w:p>
        </w:tc>
        <w:tc>
          <w:tcPr>
            <w:tcW w:w="2126" w:type="dxa"/>
          </w:tcPr>
          <w:p w14:paraId="32A193A7" w14:textId="77777777" w:rsidR="00B62AE4" w:rsidRPr="00F7245E" w:rsidRDefault="00B62AE4" w:rsidP="00A21724">
            <w:pPr>
              <w:pStyle w:val="TableParagraph"/>
              <w:jc w:val="center"/>
              <w:rPr>
                <w:lang w:val="hu-HU"/>
              </w:rPr>
            </w:pPr>
          </w:p>
        </w:tc>
      </w:tr>
      <w:tr w:rsidR="00B62AE4" w:rsidRPr="00F7245E" w14:paraId="16409DC5" w14:textId="77777777" w:rsidTr="00B221E1">
        <w:trPr>
          <w:trHeight w:val="570"/>
        </w:trPr>
        <w:tc>
          <w:tcPr>
            <w:tcW w:w="2835" w:type="dxa"/>
          </w:tcPr>
          <w:p w14:paraId="4EE213C2" w14:textId="77777777" w:rsidR="00B62AE4" w:rsidRPr="00F7245E" w:rsidRDefault="00B62AE4" w:rsidP="00A21724">
            <w:pPr>
              <w:pStyle w:val="TableParagraph"/>
              <w:ind w:left="426" w:firstLine="12"/>
              <w:rPr>
                <w:lang w:val="hu-HU"/>
              </w:rPr>
            </w:pPr>
            <w:r w:rsidRPr="00F7245E">
              <w:rPr>
                <w:w w:val="105"/>
              </w:rPr>
              <w:t>VTE-vel összefüggő halálozás</w:t>
            </w:r>
          </w:p>
        </w:tc>
        <w:tc>
          <w:tcPr>
            <w:tcW w:w="1843" w:type="dxa"/>
          </w:tcPr>
          <w:p w14:paraId="521CE898" w14:textId="77777777" w:rsidR="00B62AE4" w:rsidRPr="00F7245E" w:rsidRDefault="00B62AE4" w:rsidP="00A21724">
            <w:pPr>
              <w:pStyle w:val="TableParagraph"/>
              <w:ind w:left="423" w:right="416"/>
              <w:jc w:val="center"/>
              <w:rPr>
                <w:lang w:val="hu-HU"/>
              </w:rPr>
            </w:pPr>
            <w:r w:rsidRPr="00F7245E">
              <w:rPr>
                <w:w w:val="105"/>
              </w:rPr>
              <w:t>12 (0,4)</w:t>
            </w:r>
          </w:p>
        </w:tc>
        <w:tc>
          <w:tcPr>
            <w:tcW w:w="2410" w:type="dxa"/>
          </w:tcPr>
          <w:p w14:paraId="3A13F75F" w14:textId="77777777" w:rsidR="00B62AE4" w:rsidRPr="00F7245E" w:rsidRDefault="00B62AE4" w:rsidP="00A21724">
            <w:pPr>
              <w:pStyle w:val="TableParagraph"/>
              <w:ind w:left="580" w:right="574"/>
              <w:jc w:val="center"/>
              <w:rPr>
                <w:lang w:val="hu-HU"/>
              </w:rPr>
            </w:pPr>
            <w:r w:rsidRPr="00F7245E">
              <w:rPr>
                <w:w w:val="105"/>
              </w:rPr>
              <w:t>15 (0,6)</w:t>
            </w:r>
          </w:p>
        </w:tc>
        <w:tc>
          <w:tcPr>
            <w:tcW w:w="2126" w:type="dxa"/>
          </w:tcPr>
          <w:p w14:paraId="2B05BD6C" w14:textId="77777777" w:rsidR="00B62AE4" w:rsidRPr="00F7245E" w:rsidRDefault="00B62AE4" w:rsidP="00A21724">
            <w:pPr>
              <w:pStyle w:val="TableParagraph"/>
              <w:jc w:val="center"/>
              <w:rPr>
                <w:lang w:val="hu-HU"/>
              </w:rPr>
            </w:pPr>
          </w:p>
        </w:tc>
      </w:tr>
      <w:tr w:rsidR="00B62AE4" w:rsidRPr="00F7245E" w14:paraId="31AFF0F3" w14:textId="77777777" w:rsidTr="00B221E1">
        <w:trPr>
          <w:trHeight w:val="571"/>
        </w:trPr>
        <w:tc>
          <w:tcPr>
            <w:tcW w:w="2835" w:type="dxa"/>
          </w:tcPr>
          <w:p w14:paraId="47F1579F" w14:textId="53B51528" w:rsidR="00B62AE4" w:rsidRPr="00F7245E" w:rsidRDefault="00B62AE4" w:rsidP="00A21724">
            <w:pPr>
              <w:pStyle w:val="TableParagraph"/>
              <w:ind w:left="100"/>
              <w:rPr>
                <w:lang w:val="hu-HU"/>
              </w:rPr>
            </w:pPr>
            <w:r w:rsidRPr="00F7245E">
              <w:rPr>
                <w:w w:val="105"/>
              </w:rPr>
              <w:t xml:space="preserve">VTE vagy </w:t>
            </w:r>
            <w:r w:rsidR="00107E00" w:rsidRPr="00F7245E">
              <w:rPr>
                <w:w w:val="105"/>
              </w:rPr>
              <w:t>bármely ok miatt bekövetkező halálozás</w:t>
            </w:r>
          </w:p>
        </w:tc>
        <w:tc>
          <w:tcPr>
            <w:tcW w:w="1843" w:type="dxa"/>
          </w:tcPr>
          <w:p w14:paraId="10BB4C6D" w14:textId="77777777" w:rsidR="00B62AE4" w:rsidRPr="00F7245E" w:rsidRDefault="00B62AE4" w:rsidP="00A21724">
            <w:pPr>
              <w:pStyle w:val="TableParagraph"/>
              <w:ind w:left="422" w:right="416"/>
              <w:jc w:val="center"/>
              <w:rPr>
                <w:lang w:val="hu-HU"/>
              </w:rPr>
            </w:pPr>
            <w:r w:rsidRPr="00F7245E">
              <w:rPr>
                <w:w w:val="105"/>
              </w:rPr>
              <w:t>84 (3,2)</w:t>
            </w:r>
          </w:p>
        </w:tc>
        <w:tc>
          <w:tcPr>
            <w:tcW w:w="2410" w:type="dxa"/>
          </w:tcPr>
          <w:p w14:paraId="7C6FA705" w14:textId="77777777" w:rsidR="00B62AE4" w:rsidRPr="00F7245E" w:rsidRDefault="00B62AE4" w:rsidP="00A21724">
            <w:pPr>
              <w:pStyle w:val="TableParagraph"/>
              <w:ind w:left="578" w:right="574"/>
              <w:jc w:val="center"/>
              <w:rPr>
                <w:lang w:val="hu-HU"/>
              </w:rPr>
            </w:pPr>
            <w:r w:rsidRPr="00F7245E">
              <w:rPr>
                <w:w w:val="105"/>
              </w:rPr>
              <w:t>104 (4,0)</w:t>
            </w:r>
          </w:p>
        </w:tc>
        <w:tc>
          <w:tcPr>
            <w:tcW w:w="2126" w:type="dxa"/>
          </w:tcPr>
          <w:p w14:paraId="62675836" w14:textId="77777777" w:rsidR="00B62AE4" w:rsidRPr="00F7245E" w:rsidRDefault="00B62AE4" w:rsidP="00A21724">
            <w:pPr>
              <w:pStyle w:val="TableParagraph"/>
              <w:ind w:firstLine="1"/>
              <w:jc w:val="center"/>
              <w:rPr>
                <w:lang w:val="hu-HU"/>
              </w:rPr>
            </w:pPr>
            <w:r w:rsidRPr="00F7245E">
              <w:rPr>
                <w:w w:val="105"/>
              </w:rPr>
              <w:t>0,82 (0,61; 1,08)</w:t>
            </w:r>
          </w:p>
        </w:tc>
      </w:tr>
      <w:tr w:rsidR="00B62AE4" w:rsidRPr="00F7245E" w14:paraId="3721250A" w14:textId="77777777" w:rsidTr="00B221E1">
        <w:trPr>
          <w:trHeight w:val="570"/>
        </w:trPr>
        <w:tc>
          <w:tcPr>
            <w:tcW w:w="2835" w:type="dxa"/>
          </w:tcPr>
          <w:p w14:paraId="45BB723E" w14:textId="77777777" w:rsidR="00B62AE4" w:rsidRPr="00F7245E" w:rsidRDefault="00B62AE4" w:rsidP="00A21724">
            <w:pPr>
              <w:pStyle w:val="TableParagraph"/>
              <w:ind w:left="100" w:right="127"/>
              <w:rPr>
                <w:lang w:val="hu-HU"/>
              </w:rPr>
            </w:pPr>
            <w:r w:rsidRPr="00F7245E">
              <w:rPr>
                <w:w w:val="105"/>
              </w:rPr>
              <w:t>VTE vagy CV eredetű halálozás</w:t>
            </w:r>
          </w:p>
        </w:tc>
        <w:tc>
          <w:tcPr>
            <w:tcW w:w="1843" w:type="dxa"/>
          </w:tcPr>
          <w:p w14:paraId="431A97CE" w14:textId="77777777" w:rsidR="00B62AE4" w:rsidRPr="00F7245E" w:rsidRDefault="00B62AE4" w:rsidP="00A21724">
            <w:pPr>
              <w:pStyle w:val="TableParagraph"/>
              <w:ind w:left="422" w:right="416"/>
              <w:jc w:val="center"/>
              <w:rPr>
                <w:lang w:val="hu-HU"/>
              </w:rPr>
            </w:pPr>
            <w:r w:rsidRPr="00F7245E">
              <w:rPr>
                <w:w w:val="105"/>
              </w:rPr>
              <w:t>61 (2,3)</w:t>
            </w:r>
          </w:p>
        </w:tc>
        <w:tc>
          <w:tcPr>
            <w:tcW w:w="2410" w:type="dxa"/>
          </w:tcPr>
          <w:p w14:paraId="6E3E8729" w14:textId="77777777" w:rsidR="00B62AE4" w:rsidRPr="00F7245E" w:rsidRDefault="00B62AE4" w:rsidP="00A21724">
            <w:pPr>
              <w:pStyle w:val="TableParagraph"/>
              <w:ind w:left="578" w:right="574"/>
              <w:jc w:val="center"/>
              <w:rPr>
                <w:lang w:val="hu-HU"/>
              </w:rPr>
            </w:pPr>
            <w:r w:rsidRPr="00F7245E">
              <w:rPr>
                <w:w w:val="105"/>
              </w:rPr>
              <w:t>77 (2,9)</w:t>
            </w:r>
          </w:p>
        </w:tc>
        <w:tc>
          <w:tcPr>
            <w:tcW w:w="2126" w:type="dxa"/>
          </w:tcPr>
          <w:p w14:paraId="6FD41B1D" w14:textId="77777777" w:rsidR="00B62AE4" w:rsidRPr="00F7245E" w:rsidRDefault="00B62AE4" w:rsidP="00A21724">
            <w:pPr>
              <w:pStyle w:val="TableParagraph"/>
              <w:ind w:left="1"/>
              <w:jc w:val="center"/>
              <w:rPr>
                <w:lang w:val="hu-HU"/>
              </w:rPr>
            </w:pPr>
            <w:r w:rsidRPr="00F7245E">
              <w:rPr>
                <w:w w:val="105"/>
              </w:rPr>
              <w:t>0,80 (0,57; 1,11)</w:t>
            </w:r>
          </w:p>
        </w:tc>
      </w:tr>
      <w:tr w:rsidR="00B62AE4" w:rsidRPr="00F7245E" w14:paraId="274C20F1" w14:textId="77777777" w:rsidTr="00B221E1">
        <w:trPr>
          <w:trHeight w:val="800"/>
        </w:trPr>
        <w:tc>
          <w:tcPr>
            <w:tcW w:w="2835" w:type="dxa"/>
          </w:tcPr>
          <w:p w14:paraId="6E524513" w14:textId="3DD7F539" w:rsidR="00B62AE4" w:rsidRPr="00F7245E" w:rsidRDefault="00B62AE4" w:rsidP="00A21724">
            <w:pPr>
              <w:pStyle w:val="TableParagraph"/>
              <w:ind w:left="100"/>
              <w:rPr>
                <w:lang w:val="hu-HU"/>
              </w:rPr>
            </w:pPr>
            <w:r w:rsidRPr="00F7245E">
              <w:rPr>
                <w:w w:val="105"/>
              </w:rPr>
              <w:t>VTE, VTE-vel</w:t>
            </w:r>
            <w:r w:rsidR="00107E00" w:rsidRPr="00F7245E">
              <w:rPr>
                <w:w w:val="105"/>
              </w:rPr>
              <w:t xml:space="preserve"> </w:t>
            </w:r>
            <w:r w:rsidRPr="00F7245E">
              <w:rPr>
                <w:w w:val="105"/>
              </w:rPr>
              <w:t>összefüggő halálozás vagy nagyfokú vérzés</w:t>
            </w:r>
          </w:p>
        </w:tc>
        <w:tc>
          <w:tcPr>
            <w:tcW w:w="1843" w:type="dxa"/>
          </w:tcPr>
          <w:p w14:paraId="6530CCE1" w14:textId="77777777" w:rsidR="00B62AE4" w:rsidRPr="00F7245E" w:rsidRDefault="00B62AE4" w:rsidP="00A21724">
            <w:pPr>
              <w:pStyle w:val="TableParagraph"/>
              <w:ind w:left="422" w:right="416"/>
              <w:jc w:val="center"/>
              <w:rPr>
                <w:lang w:val="hu-HU"/>
              </w:rPr>
            </w:pPr>
            <w:r w:rsidRPr="00F7245E">
              <w:rPr>
                <w:w w:val="105"/>
              </w:rPr>
              <w:t>73 (2,8)</w:t>
            </w:r>
          </w:p>
        </w:tc>
        <w:tc>
          <w:tcPr>
            <w:tcW w:w="2410" w:type="dxa"/>
          </w:tcPr>
          <w:p w14:paraId="1C30D1FF" w14:textId="77777777" w:rsidR="00B62AE4" w:rsidRPr="00F7245E" w:rsidRDefault="00B62AE4" w:rsidP="00A21724">
            <w:pPr>
              <w:pStyle w:val="TableParagraph"/>
              <w:ind w:left="578" w:right="574"/>
              <w:jc w:val="center"/>
              <w:rPr>
                <w:lang w:val="hu-HU"/>
              </w:rPr>
            </w:pPr>
            <w:r w:rsidRPr="00F7245E">
              <w:rPr>
                <w:w w:val="105"/>
              </w:rPr>
              <w:t>118 (4,5)</w:t>
            </w:r>
          </w:p>
        </w:tc>
        <w:tc>
          <w:tcPr>
            <w:tcW w:w="2126" w:type="dxa"/>
          </w:tcPr>
          <w:p w14:paraId="17F4D996" w14:textId="77777777" w:rsidR="00B62AE4" w:rsidRPr="00F7245E" w:rsidRDefault="00B62AE4" w:rsidP="00A21724">
            <w:pPr>
              <w:pStyle w:val="TableParagraph"/>
              <w:ind w:left="1" w:hanging="1"/>
              <w:jc w:val="center"/>
              <w:rPr>
                <w:lang w:val="hu-HU"/>
              </w:rPr>
            </w:pPr>
            <w:r w:rsidRPr="00F7245E">
              <w:rPr>
                <w:w w:val="105"/>
              </w:rPr>
              <w:t>0,62 (0,47; 0,83)</w:t>
            </w:r>
          </w:p>
        </w:tc>
      </w:tr>
    </w:tbl>
    <w:p w14:paraId="2E988209" w14:textId="23022558" w:rsidR="00B62AE4" w:rsidRPr="00F7245E" w:rsidRDefault="00107E00" w:rsidP="00A21724">
      <w:pPr>
        <w:tabs>
          <w:tab w:val="left" w:pos="355"/>
        </w:tabs>
        <w:rPr>
          <w:sz w:val="20"/>
        </w:rPr>
      </w:pPr>
      <w:r w:rsidRPr="00F7245E">
        <w:rPr>
          <w:sz w:val="20"/>
        </w:rPr>
        <w:t>*</w:t>
      </w:r>
      <w:r w:rsidR="00B62AE4" w:rsidRPr="00F7245E">
        <w:rPr>
          <w:sz w:val="20"/>
        </w:rPr>
        <w:t>N</w:t>
      </w:r>
      <w:r w:rsidR="00396DD5" w:rsidRPr="00F7245E">
        <w:rPr>
          <w:sz w:val="20"/>
        </w:rPr>
        <w:t>em kevésbe hatásos (n</w:t>
      </w:r>
      <w:r w:rsidR="00B62AE4" w:rsidRPr="00F7245E">
        <w:rPr>
          <w:sz w:val="20"/>
        </w:rPr>
        <w:t>on-inferior</w:t>
      </w:r>
      <w:r w:rsidR="00396DD5" w:rsidRPr="00F7245E">
        <w:rPr>
          <w:sz w:val="20"/>
        </w:rPr>
        <w:t>)</w:t>
      </w:r>
      <w:r w:rsidR="00B62AE4" w:rsidRPr="00F7245E">
        <w:rPr>
          <w:sz w:val="20"/>
        </w:rPr>
        <w:t xml:space="preserve"> az enoxaparin/warfarin kezeléshez képest (p-érték &lt;</w:t>
      </w:r>
      <w:r w:rsidRPr="00F7245E">
        <w:rPr>
          <w:sz w:val="20"/>
        </w:rPr>
        <w:t> </w:t>
      </w:r>
      <w:r w:rsidR="00B62AE4" w:rsidRPr="00F7245E">
        <w:rPr>
          <w:spacing w:val="-13"/>
          <w:sz w:val="20"/>
        </w:rPr>
        <w:t xml:space="preserve"> </w:t>
      </w:r>
      <w:r w:rsidR="00B62AE4" w:rsidRPr="00F7245E">
        <w:rPr>
          <w:sz w:val="20"/>
        </w:rPr>
        <w:t>0,0001)</w:t>
      </w:r>
    </w:p>
    <w:p w14:paraId="2BC16DDC" w14:textId="77777777" w:rsidR="00B62AE4" w:rsidRPr="00F7245E" w:rsidRDefault="00B62AE4" w:rsidP="00A21724">
      <w:pPr>
        <w:pStyle w:val="Nincstrkz"/>
        <w:rPr>
          <w:rFonts w:cs="Times New Roman"/>
        </w:rPr>
      </w:pPr>
    </w:p>
    <w:p w14:paraId="36A05B8D" w14:textId="2F5261AC" w:rsidR="00B62AE4" w:rsidRPr="00F7245E" w:rsidRDefault="00B62AE4" w:rsidP="00A21724">
      <w:pPr>
        <w:pStyle w:val="Nincstrkz"/>
        <w:rPr>
          <w:rFonts w:cs="Times New Roman"/>
        </w:rPr>
      </w:pPr>
      <w:r w:rsidRPr="00F7245E">
        <w:rPr>
          <w:rFonts w:cs="Times New Roman"/>
        </w:rPr>
        <w:t xml:space="preserve">Az </w:t>
      </w:r>
      <w:r w:rsidR="00CA2919" w:rsidRPr="00F7245E">
        <w:rPr>
          <w:rFonts w:cs="Times New Roman"/>
        </w:rPr>
        <w:t xml:space="preserve">apixabán </w:t>
      </w:r>
      <w:r w:rsidRPr="00F7245E">
        <w:rPr>
          <w:rFonts w:cs="Times New Roman"/>
        </w:rPr>
        <w:t xml:space="preserve">VTE kezdeti kezelésében mutatott hatásossága </w:t>
      </w:r>
      <w:r w:rsidR="00396DD5" w:rsidRPr="00F7245E">
        <w:rPr>
          <w:rFonts w:cs="Times New Roman"/>
        </w:rPr>
        <w:t>konzisztens</w:t>
      </w:r>
      <w:r w:rsidRPr="00F7245E">
        <w:rPr>
          <w:rFonts w:cs="Times New Roman"/>
        </w:rPr>
        <w:t xml:space="preserve"> volt a PE </w:t>
      </w:r>
      <w:r w:rsidR="00161D38" w:rsidRPr="00F7245E">
        <w:rPr>
          <w:rFonts w:cs="Times New Roman"/>
        </w:rPr>
        <w:t>(</w:t>
      </w:r>
      <w:r w:rsidRPr="00F7245E">
        <w:rPr>
          <w:rFonts w:cs="Times New Roman"/>
        </w:rPr>
        <w:t xml:space="preserve">relatív kockázat 0,9; 95%-os CI </w:t>
      </w:r>
      <w:r w:rsidR="00161D38" w:rsidRPr="00F7245E">
        <w:rPr>
          <w:rFonts w:cs="Times New Roman"/>
        </w:rPr>
        <w:t>[</w:t>
      </w:r>
      <w:r w:rsidRPr="00F7245E">
        <w:rPr>
          <w:rFonts w:cs="Times New Roman"/>
        </w:rPr>
        <w:t>0,5; 1,6</w:t>
      </w:r>
      <w:r w:rsidR="00396DD5" w:rsidRPr="00F7245E">
        <w:rPr>
          <w:rFonts w:cs="Times New Roman"/>
        </w:rPr>
        <w:t>])</w:t>
      </w:r>
      <w:r w:rsidRPr="00F7245E">
        <w:rPr>
          <w:rFonts w:cs="Times New Roman"/>
        </w:rPr>
        <w:t xml:space="preserve"> vagy MVT </w:t>
      </w:r>
      <w:r w:rsidR="00396DD5" w:rsidRPr="00F7245E">
        <w:rPr>
          <w:rFonts w:cs="Times New Roman"/>
        </w:rPr>
        <w:t>(</w:t>
      </w:r>
      <w:r w:rsidRPr="00F7245E">
        <w:rPr>
          <w:rFonts w:cs="Times New Roman"/>
        </w:rPr>
        <w:t xml:space="preserve">relatív kockázat 0,8; 95%-os CI </w:t>
      </w:r>
      <w:r w:rsidR="00161D38" w:rsidRPr="00F7245E">
        <w:rPr>
          <w:rFonts w:cs="Times New Roman"/>
        </w:rPr>
        <w:t>[</w:t>
      </w:r>
      <w:r w:rsidRPr="00F7245E">
        <w:rPr>
          <w:rFonts w:cs="Times New Roman"/>
        </w:rPr>
        <w:t>0,5; 1,3]</w:t>
      </w:r>
      <w:r w:rsidR="00161D38" w:rsidRPr="00F7245E">
        <w:rPr>
          <w:rFonts w:cs="Times New Roman"/>
        </w:rPr>
        <w:t xml:space="preserve">) </w:t>
      </w:r>
      <w:r w:rsidRPr="00F7245E">
        <w:rPr>
          <w:rFonts w:cs="Times New Roman"/>
        </w:rPr>
        <w:t>miatt kezelt</w:t>
      </w:r>
      <w:r w:rsidR="00161D38" w:rsidRPr="00F7245E">
        <w:rPr>
          <w:rFonts w:cs="Times New Roman"/>
        </w:rPr>
        <w:t xml:space="preserve"> </w:t>
      </w:r>
      <w:r w:rsidR="00A1416D" w:rsidRPr="00F7245E">
        <w:rPr>
          <w:rFonts w:cs="Times New Roman"/>
        </w:rPr>
        <w:t>beteg</w:t>
      </w:r>
      <w:r w:rsidRPr="00F7245E">
        <w:rPr>
          <w:rFonts w:cs="Times New Roman"/>
        </w:rPr>
        <w:t>eknél. Az egyes alcsoportokban mutatott hatásossága – így az életkor, a nem, a testtömegindex (BMI), a vesefunkció, a kezelt PE-index nagysága, a mélyvénás thrombosist okozó thrombus lokalizációja vagy a korábbi parenterális heparin</w:t>
      </w:r>
      <w:r w:rsidR="00107E00" w:rsidRPr="00F7245E">
        <w:rPr>
          <w:rFonts w:cs="Times New Roman"/>
        </w:rPr>
        <w:noBreakHyphen/>
      </w:r>
      <w:r w:rsidRPr="00F7245E">
        <w:rPr>
          <w:rFonts w:cs="Times New Roman"/>
        </w:rPr>
        <w:t>kezelés szerint – általában konzekvens volt.</w:t>
      </w:r>
    </w:p>
    <w:p w14:paraId="40E506C4" w14:textId="77777777" w:rsidR="00B62AE4" w:rsidRPr="00F7245E" w:rsidRDefault="00B62AE4" w:rsidP="00A21724">
      <w:pPr>
        <w:pStyle w:val="Nincstrkz"/>
        <w:rPr>
          <w:rFonts w:cs="Times New Roman"/>
        </w:rPr>
      </w:pPr>
    </w:p>
    <w:p w14:paraId="3FED103F" w14:textId="689B11FF" w:rsidR="00B62AE4" w:rsidRPr="00F7245E" w:rsidRDefault="00B62AE4" w:rsidP="00A21724">
      <w:pPr>
        <w:pStyle w:val="Nincstrkz"/>
        <w:rPr>
          <w:rFonts w:cs="Times New Roman"/>
        </w:rPr>
      </w:pPr>
      <w:r w:rsidRPr="00F7245E">
        <w:rPr>
          <w:rFonts w:cs="Times New Roman"/>
        </w:rPr>
        <w:t xml:space="preserve">Az elsődleges biztonságossági végpont a nagyfokú vérzés volt. A vizsgálatban az </w:t>
      </w:r>
      <w:r w:rsidR="00CA2919" w:rsidRPr="00F7245E">
        <w:rPr>
          <w:rFonts w:cs="Times New Roman"/>
        </w:rPr>
        <w:t xml:space="preserve">apixabán </w:t>
      </w:r>
      <w:r w:rsidRPr="00F7245E">
        <w:rPr>
          <w:rFonts w:cs="Times New Roman"/>
        </w:rPr>
        <w:t xml:space="preserve">statisztikailag jobbnak bizonyult az elsődleges biztonságossági végpontban, mint az enoxaparin/warfarin </w:t>
      </w:r>
      <w:r w:rsidR="00161D38" w:rsidRPr="00F7245E">
        <w:rPr>
          <w:rFonts w:cs="Times New Roman"/>
        </w:rPr>
        <w:t>(</w:t>
      </w:r>
      <w:r w:rsidRPr="00F7245E">
        <w:rPr>
          <w:rFonts w:cs="Times New Roman"/>
        </w:rPr>
        <w:t xml:space="preserve">relatív kockázat 0,31; 95%-os konfidencia intervallum </w:t>
      </w:r>
      <w:r w:rsidR="00161D38" w:rsidRPr="00F7245E">
        <w:rPr>
          <w:rFonts w:cs="Times New Roman"/>
        </w:rPr>
        <w:t>[</w:t>
      </w:r>
      <w:r w:rsidRPr="00F7245E">
        <w:rPr>
          <w:rFonts w:cs="Times New Roman"/>
        </w:rPr>
        <w:t>0,17; 0,55</w:t>
      </w:r>
      <w:r w:rsidR="00161D38" w:rsidRPr="00F7245E">
        <w:rPr>
          <w:rFonts w:cs="Times New Roman"/>
        </w:rPr>
        <w:t>]</w:t>
      </w:r>
      <w:r w:rsidRPr="00F7245E">
        <w:rPr>
          <w:rFonts w:cs="Times New Roman"/>
        </w:rPr>
        <w:t>, p</w:t>
      </w:r>
      <w:r w:rsidR="00C77F20" w:rsidRPr="00F7245E">
        <w:rPr>
          <w:rFonts w:cs="Times New Roman"/>
        </w:rPr>
        <w:noBreakHyphen/>
      </w:r>
      <w:r w:rsidRPr="00F7245E">
        <w:rPr>
          <w:rFonts w:cs="Times New Roman"/>
        </w:rPr>
        <w:t>érték</w:t>
      </w:r>
      <w:r w:rsidR="00C77F20" w:rsidRPr="00F7245E">
        <w:rPr>
          <w:rFonts w:cs="Times New Roman"/>
        </w:rPr>
        <w:t xml:space="preserve"> </w:t>
      </w:r>
      <w:r w:rsidRPr="00F7245E">
        <w:rPr>
          <w:rFonts w:cs="Times New Roman"/>
        </w:rPr>
        <w:t>&lt;</w:t>
      </w:r>
      <w:r w:rsidR="00107E00" w:rsidRPr="00F7245E">
        <w:rPr>
          <w:rFonts w:cs="Times New Roman"/>
        </w:rPr>
        <w:t> </w:t>
      </w:r>
      <w:r w:rsidR="00161D38" w:rsidRPr="00F7245E">
        <w:rPr>
          <w:rFonts w:cs="Times New Roman"/>
        </w:rPr>
        <w:t>0</w:t>
      </w:r>
      <w:r w:rsidRPr="00F7245E">
        <w:rPr>
          <w:rFonts w:cs="Times New Roman"/>
        </w:rPr>
        <w:t>,0001</w:t>
      </w:r>
      <w:r w:rsidR="00161D38" w:rsidRPr="00F7245E">
        <w:rPr>
          <w:rFonts w:cs="Times New Roman"/>
        </w:rPr>
        <w:t>)</w:t>
      </w:r>
      <w:r w:rsidRPr="00F7245E">
        <w:rPr>
          <w:rFonts w:cs="Times New Roman"/>
        </w:rPr>
        <w:t xml:space="preserve"> (lásd 1</w:t>
      </w:r>
      <w:r w:rsidR="001F3456" w:rsidRPr="00F7245E">
        <w:rPr>
          <w:rFonts w:cs="Times New Roman"/>
        </w:rPr>
        <w:t>2</w:t>
      </w:r>
      <w:r w:rsidRPr="00F7245E">
        <w:rPr>
          <w:rFonts w:cs="Times New Roman"/>
        </w:rPr>
        <w:t>. táblázat).</w:t>
      </w:r>
    </w:p>
    <w:p w14:paraId="049524FF" w14:textId="77777777" w:rsidR="00B62AE4" w:rsidRPr="00F7245E" w:rsidRDefault="00B62AE4" w:rsidP="00A21724">
      <w:pPr>
        <w:pStyle w:val="Nincstrkz"/>
        <w:rPr>
          <w:rFonts w:cs="Times New Roman"/>
        </w:rPr>
      </w:pPr>
    </w:p>
    <w:p w14:paraId="68B8F186" w14:textId="200E54EE" w:rsidR="00B62AE4" w:rsidRPr="00F7245E" w:rsidRDefault="00EA6112" w:rsidP="00A21724">
      <w:pPr>
        <w:pStyle w:val="Cmsor1"/>
        <w:keepNext/>
        <w:widowControl/>
        <w:tabs>
          <w:tab w:val="left" w:pos="284"/>
          <w:tab w:val="left" w:pos="426"/>
        </w:tabs>
        <w:ind w:left="0"/>
        <w:rPr>
          <w:sz w:val="22"/>
          <w:szCs w:val="22"/>
        </w:rPr>
      </w:pPr>
      <w:r w:rsidRPr="00F7245E">
        <w:rPr>
          <w:w w:val="105"/>
          <w:sz w:val="22"/>
          <w:szCs w:val="22"/>
        </w:rPr>
        <w:t>1</w:t>
      </w:r>
      <w:r w:rsidR="001F3456" w:rsidRPr="00F7245E">
        <w:rPr>
          <w:w w:val="105"/>
          <w:sz w:val="22"/>
          <w:szCs w:val="22"/>
        </w:rPr>
        <w:t>2</w:t>
      </w:r>
      <w:r w:rsidRPr="00F7245E">
        <w:rPr>
          <w:w w:val="105"/>
          <w:sz w:val="22"/>
          <w:szCs w:val="22"/>
        </w:rPr>
        <w:t>. T</w:t>
      </w:r>
      <w:r w:rsidR="00B62AE4" w:rsidRPr="00F7245E">
        <w:rPr>
          <w:w w:val="105"/>
          <w:sz w:val="22"/>
          <w:szCs w:val="22"/>
        </w:rPr>
        <w:t>áblázat: Az AMPLIFY vizsgálat vérzési</w:t>
      </w:r>
      <w:r w:rsidR="00B62AE4" w:rsidRPr="00F7245E">
        <w:rPr>
          <w:spacing w:val="-10"/>
          <w:w w:val="105"/>
          <w:sz w:val="22"/>
          <w:szCs w:val="22"/>
        </w:rPr>
        <w:t xml:space="preserve"> </w:t>
      </w:r>
      <w:r w:rsidR="00B62AE4" w:rsidRPr="00F7245E">
        <w:rPr>
          <w:w w:val="105"/>
          <w:sz w:val="22"/>
          <w:szCs w:val="22"/>
        </w:rPr>
        <w:t>eredményei</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80"/>
        <w:gridCol w:w="2060"/>
        <w:gridCol w:w="2059"/>
        <w:gridCol w:w="2773"/>
      </w:tblGrid>
      <w:tr w:rsidR="00107E00" w:rsidRPr="00F7245E" w14:paraId="3CD69992" w14:textId="77777777" w:rsidTr="00EA6112">
        <w:trPr>
          <w:trHeight w:val="1050"/>
        </w:trPr>
        <w:tc>
          <w:tcPr>
            <w:tcW w:w="2180" w:type="dxa"/>
          </w:tcPr>
          <w:p w14:paraId="1A1685F0" w14:textId="77777777" w:rsidR="00107E00" w:rsidRPr="00F7245E" w:rsidRDefault="00107E00" w:rsidP="00A21724">
            <w:pPr>
              <w:pStyle w:val="TableParagraph"/>
              <w:keepNext/>
              <w:widowControl/>
              <w:rPr>
                <w:lang w:val="hu-HU"/>
              </w:rPr>
            </w:pPr>
          </w:p>
        </w:tc>
        <w:tc>
          <w:tcPr>
            <w:tcW w:w="2060" w:type="dxa"/>
          </w:tcPr>
          <w:p w14:paraId="4EFB23EF" w14:textId="0AD0BA7A" w:rsidR="00107E00" w:rsidRPr="00F7245E" w:rsidRDefault="00107E00" w:rsidP="00A21724">
            <w:pPr>
              <w:pStyle w:val="Nincstrkz"/>
              <w:jc w:val="center"/>
              <w:rPr>
                <w:rFonts w:cs="Times New Roman"/>
                <w:b/>
                <w:bCs/>
                <w:lang w:val="hu-HU"/>
              </w:rPr>
            </w:pPr>
            <w:r w:rsidRPr="00F7245E">
              <w:rPr>
                <w:rFonts w:cs="Times New Roman"/>
                <w:b/>
                <w:bCs/>
              </w:rPr>
              <w:t>Apixab</w:t>
            </w:r>
            <w:r w:rsidR="001C3C30" w:rsidRPr="00F7245E">
              <w:rPr>
                <w:rFonts w:cs="Times New Roman"/>
                <w:b/>
                <w:bCs/>
              </w:rPr>
              <w:t>á</w:t>
            </w:r>
            <w:r w:rsidRPr="00F7245E">
              <w:rPr>
                <w:rFonts w:cs="Times New Roman"/>
                <w:b/>
                <w:bCs/>
              </w:rPr>
              <w:t>n</w:t>
            </w:r>
          </w:p>
          <w:p w14:paraId="139E6DA8" w14:textId="7779864C" w:rsidR="00107E00" w:rsidRPr="00F7245E" w:rsidRDefault="007D4C4D" w:rsidP="00A21724">
            <w:pPr>
              <w:pStyle w:val="Nincstrkz"/>
              <w:jc w:val="center"/>
              <w:rPr>
                <w:rFonts w:cs="Times New Roman"/>
                <w:b/>
                <w:bCs/>
                <w:lang w:val="hu-HU"/>
              </w:rPr>
            </w:pPr>
            <w:r w:rsidRPr="00F7245E">
              <w:rPr>
                <w:rFonts w:cs="Times New Roman"/>
                <w:b/>
                <w:bCs/>
                <w:w w:val="105"/>
              </w:rPr>
              <w:t>N = </w:t>
            </w:r>
            <w:r w:rsidR="00107E00" w:rsidRPr="00F7245E">
              <w:rPr>
                <w:rFonts w:cs="Times New Roman"/>
                <w:b/>
                <w:bCs/>
                <w:w w:val="105"/>
              </w:rPr>
              <w:t>2676</w:t>
            </w:r>
          </w:p>
          <w:p w14:paraId="6D1CFD02" w14:textId="3FE173BD" w:rsidR="00107E00" w:rsidRPr="00F7245E" w:rsidRDefault="00107E00" w:rsidP="00A21724">
            <w:pPr>
              <w:pStyle w:val="Nincstrkz"/>
              <w:jc w:val="center"/>
              <w:rPr>
                <w:rFonts w:cs="Times New Roman"/>
                <w:b/>
                <w:bCs/>
                <w:lang w:val="hu-HU"/>
              </w:rPr>
            </w:pPr>
            <w:r w:rsidRPr="00F7245E">
              <w:rPr>
                <w:rFonts w:cs="Times New Roman"/>
                <w:b/>
                <w:bCs/>
                <w:w w:val="105"/>
              </w:rPr>
              <w:t>n (%)</w:t>
            </w:r>
          </w:p>
        </w:tc>
        <w:tc>
          <w:tcPr>
            <w:tcW w:w="2059" w:type="dxa"/>
          </w:tcPr>
          <w:p w14:paraId="5F5FF02A" w14:textId="77777777" w:rsidR="00107E00" w:rsidRPr="00F7245E" w:rsidRDefault="00107E00" w:rsidP="00A21724">
            <w:pPr>
              <w:pStyle w:val="Nincstrkz"/>
              <w:jc w:val="center"/>
              <w:rPr>
                <w:rFonts w:cs="Times New Roman"/>
                <w:b/>
                <w:bCs/>
                <w:lang w:val="hu-HU"/>
              </w:rPr>
            </w:pPr>
            <w:r w:rsidRPr="00F7245E">
              <w:rPr>
                <w:rFonts w:cs="Times New Roman"/>
                <w:b/>
                <w:bCs/>
                <w:w w:val="105"/>
              </w:rPr>
              <w:t>Enoxaparin/</w:t>
            </w:r>
          </w:p>
          <w:p w14:paraId="7E8D71F1" w14:textId="77777777" w:rsidR="00107E00" w:rsidRPr="00F7245E" w:rsidRDefault="00107E00" w:rsidP="00A21724">
            <w:pPr>
              <w:pStyle w:val="Nincstrkz"/>
              <w:jc w:val="center"/>
              <w:rPr>
                <w:rFonts w:cs="Times New Roman"/>
                <w:b/>
                <w:bCs/>
                <w:lang w:val="hu-HU"/>
              </w:rPr>
            </w:pPr>
            <w:r w:rsidRPr="00F7245E">
              <w:rPr>
                <w:rFonts w:cs="Times New Roman"/>
                <w:b/>
                <w:bCs/>
                <w:w w:val="105"/>
              </w:rPr>
              <w:t>Warfarin</w:t>
            </w:r>
          </w:p>
          <w:p w14:paraId="13592B6E" w14:textId="118270C7" w:rsidR="00107E00" w:rsidRPr="00F7245E" w:rsidRDefault="007D4C4D" w:rsidP="00A21724">
            <w:pPr>
              <w:pStyle w:val="Nincstrkz"/>
              <w:jc w:val="center"/>
              <w:rPr>
                <w:rFonts w:cs="Times New Roman"/>
                <w:b/>
                <w:bCs/>
                <w:lang w:val="hu-HU"/>
              </w:rPr>
            </w:pPr>
            <w:r w:rsidRPr="00F7245E">
              <w:rPr>
                <w:rFonts w:cs="Times New Roman"/>
                <w:b/>
                <w:bCs/>
                <w:w w:val="105"/>
              </w:rPr>
              <w:t>N = </w:t>
            </w:r>
            <w:r w:rsidR="00107E00" w:rsidRPr="00F7245E">
              <w:rPr>
                <w:rFonts w:cs="Times New Roman"/>
                <w:b/>
                <w:bCs/>
                <w:w w:val="105"/>
              </w:rPr>
              <w:t>2689</w:t>
            </w:r>
          </w:p>
          <w:p w14:paraId="0C23381B" w14:textId="5EE3DE9F" w:rsidR="00107E00" w:rsidRPr="00F7245E" w:rsidRDefault="00107E00" w:rsidP="00A21724">
            <w:pPr>
              <w:pStyle w:val="Nincstrkz"/>
              <w:jc w:val="center"/>
              <w:rPr>
                <w:rFonts w:cs="Times New Roman"/>
                <w:b/>
                <w:bCs/>
                <w:lang w:val="hu-HU"/>
              </w:rPr>
            </w:pPr>
            <w:r w:rsidRPr="00F7245E">
              <w:rPr>
                <w:rFonts w:cs="Times New Roman"/>
                <w:b/>
                <w:bCs/>
                <w:w w:val="105"/>
              </w:rPr>
              <w:t>n (%)</w:t>
            </w:r>
          </w:p>
        </w:tc>
        <w:tc>
          <w:tcPr>
            <w:tcW w:w="2773" w:type="dxa"/>
          </w:tcPr>
          <w:p w14:paraId="34CFFD32" w14:textId="77777777" w:rsidR="00107E00" w:rsidRPr="00F7245E" w:rsidRDefault="00107E00" w:rsidP="00A21724">
            <w:pPr>
              <w:pStyle w:val="Nincstrkz"/>
              <w:jc w:val="center"/>
              <w:rPr>
                <w:rFonts w:cs="Times New Roman"/>
                <w:b/>
                <w:bCs/>
                <w:lang w:val="hu-HU"/>
              </w:rPr>
            </w:pPr>
            <w:r w:rsidRPr="00F7245E">
              <w:rPr>
                <w:rFonts w:cs="Times New Roman"/>
                <w:b/>
                <w:bCs/>
                <w:w w:val="105"/>
              </w:rPr>
              <w:t>Relatív kockázat</w:t>
            </w:r>
          </w:p>
          <w:p w14:paraId="3E2C1962" w14:textId="2A312821" w:rsidR="00107E00" w:rsidRPr="00F7245E" w:rsidRDefault="00107E00" w:rsidP="00A21724">
            <w:pPr>
              <w:pStyle w:val="Nincstrkz"/>
              <w:jc w:val="center"/>
              <w:rPr>
                <w:rFonts w:cs="Times New Roman"/>
                <w:b/>
                <w:bCs/>
                <w:lang w:val="hu-HU"/>
              </w:rPr>
            </w:pPr>
            <w:r w:rsidRPr="00F7245E">
              <w:rPr>
                <w:rFonts w:cs="Times New Roman"/>
                <w:b/>
                <w:bCs/>
                <w:w w:val="105"/>
              </w:rPr>
              <w:t>(95%-os CI)</w:t>
            </w:r>
          </w:p>
        </w:tc>
      </w:tr>
      <w:tr w:rsidR="00B62AE4" w:rsidRPr="00F7245E" w14:paraId="5FFD2193" w14:textId="77777777" w:rsidTr="00EA6112">
        <w:trPr>
          <w:trHeight w:val="341"/>
        </w:trPr>
        <w:tc>
          <w:tcPr>
            <w:tcW w:w="2180" w:type="dxa"/>
          </w:tcPr>
          <w:p w14:paraId="47D3EBD1" w14:textId="77777777" w:rsidR="00B62AE4" w:rsidRPr="00F7245E" w:rsidRDefault="00B62AE4" w:rsidP="00A21724">
            <w:pPr>
              <w:pStyle w:val="TableParagraph"/>
              <w:ind w:left="100"/>
              <w:rPr>
                <w:lang w:val="hu-HU"/>
              </w:rPr>
            </w:pPr>
            <w:r w:rsidRPr="00F7245E">
              <w:rPr>
                <w:w w:val="105"/>
              </w:rPr>
              <w:t>Nagyfokú</w:t>
            </w:r>
          </w:p>
        </w:tc>
        <w:tc>
          <w:tcPr>
            <w:tcW w:w="2060" w:type="dxa"/>
          </w:tcPr>
          <w:p w14:paraId="280A7915" w14:textId="77777777" w:rsidR="00B62AE4" w:rsidRPr="00F7245E" w:rsidRDefault="00B62AE4" w:rsidP="00A21724">
            <w:pPr>
              <w:pStyle w:val="TableParagraph"/>
              <w:ind w:right="693"/>
              <w:jc w:val="right"/>
              <w:rPr>
                <w:lang w:val="hu-HU"/>
              </w:rPr>
            </w:pPr>
            <w:r w:rsidRPr="00F7245E">
              <w:rPr>
                <w:w w:val="105"/>
              </w:rPr>
              <w:t>15 (0,6)</w:t>
            </w:r>
          </w:p>
        </w:tc>
        <w:tc>
          <w:tcPr>
            <w:tcW w:w="2059" w:type="dxa"/>
          </w:tcPr>
          <w:p w14:paraId="34D3F166" w14:textId="77777777" w:rsidR="00B62AE4" w:rsidRPr="00F7245E" w:rsidRDefault="00B62AE4" w:rsidP="00A21724">
            <w:pPr>
              <w:pStyle w:val="TableParagraph"/>
              <w:ind w:left="445" w:right="441"/>
              <w:jc w:val="center"/>
              <w:rPr>
                <w:lang w:val="hu-HU"/>
              </w:rPr>
            </w:pPr>
            <w:r w:rsidRPr="00F7245E">
              <w:rPr>
                <w:w w:val="105"/>
              </w:rPr>
              <w:t>49 (1,8)</w:t>
            </w:r>
          </w:p>
        </w:tc>
        <w:tc>
          <w:tcPr>
            <w:tcW w:w="2773" w:type="dxa"/>
          </w:tcPr>
          <w:p w14:paraId="41E09691" w14:textId="77777777" w:rsidR="00B62AE4" w:rsidRPr="00F7245E" w:rsidRDefault="00B62AE4" w:rsidP="00A21724">
            <w:pPr>
              <w:pStyle w:val="TableParagraph"/>
              <w:ind w:left="256" w:right="253"/>
              <w:jc w:val="center"/>
              <w:rPr>
                <w:lang w:val="hu-HU"/>
              </w:rPr>
            </w:pPr>
            <w:r w:rsidRPr="00F7245E">
              <w:rPr>
                <w:w w:val="105"/>
              </w:rPr>
              <w:t>0,31 (0,17; 0,55)</w:t>
            </w:r>
          </w:p>
        </w:tc>
      </w:tr>
      <w:tr w:rsidR="00B62AE4" w:rsidRPr="00F7245E" w14:paraId="06419168" w14:textId="77777777" w:rsidTr="00EA6112">
        <w:trPr>
          <w:trHeight w:val="342"/>
        </w:trPr>
        <w:tc>
          <w:tcPr>
            <w:tcW w:w="2180" w:type="dxa"/>
          </w:tcPr>
          <w:p w14:paraId="0CFDE9A2" w14:textId="77777777" w:rsidR="00B62AE4" w:rsidRPr="00F7245E" w:rsidRDefault="00B62AE4" w:rsidP="00A21724">
            <w:pPr>
              <w:pStyle w:val="TableParagraph"/>
              <w:ind w:left="100"/>
              <w:rPr>
                <w:lang w:val="hu-HU"/>
              </w:rPr>
            </w:pPr>
            <w:r w:rsidRPr="00F7245E">
              <w:rPr>
                <w:w w:val="105"/>
              </w:rPr>
              <w:t>Nagyfokú + CRNM</w:t>
            </w:r>
          </w:p>
        </w:tc>
        <w:tc>
          <w:tcPr>
            <w:tcW w:w="2060" w:type="dxa"/>
          </w:tcPr>
          <w:p w14:paraId="03F8AE8B" w14:textId="77777777" w:rsidR="00B62AE4" w:rsidRPr="00F7245E" w:rsidRDefault="00B62AE4" w:rsidP="00A21724">
            <w:pPr>
              <w:pStyle w:val="TableParagraph"/>
              <w:ind w:right="642"/>
              <w:jc w:val="right"/>
              <w:rPr>
                <w:lang w:val="hu-HU"/>
              </w:rPr>
            </w:pPr>
            <w:r w:rsidRPr="00F7245E">
              <w:rPr>
                <w:w w:val="105"/>
              </w:rPr>
              <w:t>115 (4,3)</w:t>
            </w:r>
          </w:p>
        </w:tc>
        <w:tc>
          <w:tcPr>
            <w:tcW w:w="2059" w:type="dxa"/>
          </w:tcPr>
          <w:p w14:paraId="764CB0EE" w14:textId="77777777" w:rsidR="00B62AE4" w:rsidRPr="00F7245E" w:rsidRDefault="00B62AE4" w:rsidP="00A21724">
            <w:pPr>
              <w:pStyle w:val="TableParagraph"/>
              <w:ind w:left="447" w:right="441"/>
              <w:jc w:val="center"/>
              <w:rPr>
                <w:lang w:val="hu-HU"/>
              </w:rPr>
            </w:pPr>
            <w:r w:rsidRPr="00F7245E">
              <w:rPr>
                <w:w w:val="105"/>
              </w:rPr>
              <w:t>261 (9,7)</w:t>
            </w:r>
          </w:p>
        </w:tc>
        <w:tc>
          <w:tcPr>
            <w:tcW w:w="2773" w:type="dxa"/>
          </w:tcPr>
          <w:p w14:paraId="772CA1A1" w14:textId="77777777" w:rsidR="00B62AE4" w:rsidRPr="00F7245E" w:rsidRDefault="00B62AE4" w:rsidP="00A21724">
            <w:pPr>
              <w:pStyle w:val="TableParagraph"/>
              <w:ind w:left="256" w:right="253"/>
              <w:jc w:val="center"/>
              <w:rPr>
                <w:lang w:val="hu-HU"/>
              </w:rPr>
            </w:pPr>
            <w:r w:rsidRPr="00F7245E">
              <w:rPr>
                <w:w w:val="105"/>
              </w:rPr>
              <w:t>0,44 (0,36; 0,55)</w:t>
            </w:r>
          </w:p>
        </w:tc>
      </w:tr>
      <w:tr w:rsidR="00B62AE4" w:rsidRPr="00F7245E" w14:paraId="1C54E895" w14:textId="77777777" w:rsidTr="00EA6112">
        <w:trPr>
          <w:trHeight w:val="340"/>
        </w:trPr>
        <w:tc>
          <w:tcPr>
            <w:tcW w:w="2180" w:type="dxa"/>
          </w:tcPr>
          <w:p w14:paraId="1C73F642" w14:textId="77777777" w:rsidR="00B62AE4" w:rsidRPr="00F7245E" w:rsidRDefault="00B62AE4" w:rsidP="00A21724">
            <w:pPr>
              <w:pStyle w:val="TableParagraph"/>
              <w:ind w:left="100"/>
              <w:rPr>
                <w:lang w:val="hu-HU"/>
              </w:rPr>
            </w:pPr>
            <w:r w:rsidRPr="00F7245E">
              <w:rPr>
                <w:w w:val="105"/>
              </w:rPr>
              <w:t>Kisfokú</w:t>
            </w:r>
          </w:p>
        </w:tc>
        <w:tc>
          <w:tcPr>
            <w:tcW w:w="2060" w:type="dxa"/>
          </w:tcPr>
          <w:p w14:paraId="27BB13A6" w14:textId="77777777" w:rsidR="00B62AE4" w:rsidRPr="00F7245E" w:rsidRDefault="00B62AE4" w:rsidP="00A21724">
            <w:pPr>
              <w:pStyle w:val="TableParagraph"/>
              <w:ind w:right="588"/>
              <w:jc w:val="right"/>
              <w:rPr>
                <w:lang w:val="hu-HU"/>
              </w:rPr>
            </w:pPr>
            <w:r w:rsidRPr="00F7245E">
              <w:rPr>
                <w:w w:val="105"/>
              </w:rPr>
              <w:t>313 (11,7)</w:t>
            </w:r>
          </w:p>
        </w:tc>
        <w:tc>
          <w:tcPr>
            <w:tcW w:w="2059" w:type="dxa"/>
          </w:tcPr>
          <w:p w14:paraId="4EEDA0B2" w14:textId="77777777" w:rsidR="00B62AE4" w:rsidRPr="00F7245E" w:rsidRDefault="00B62AE4" w:rsidP="00A21724">
            <w:pPr>
              <w:pStyle w:val="TableParagraph"/>
              <w:ind w:left="446" w:right="441"/>
              <w:jc w:val="center"/>
              <w:rPr>
                <w:lang w:val="hu-HU"/>
              </w:rPr>
            </w:pPr>
            <w:r w:rsidRPr="00F7245E">
              <w:rPr>
                <w:w w:val="105"/>
              </w:rPr>
              <w:t>505 (18,8)</w:t>
            </w:r>
          </w:p>
        </w:tc>
        <w:tc>
          <w:tcPr>
            <w:tcW w:w="2773" w:type="dxa"/>
          </w:tcPr>
          <w:p w14:paraId="0D3A9AE5" w14:textId="77777777" w:rsidR="00B62AE4" w:rsidRPr="00F7245E" w:rsidRDefault="00B62AE4" w:rsidP="00A21724">
            <w:pPr>
              <w:pStyle w:val="TableParagraph"/>
              <w:ind w:left="256" w:right="253"/>
              <w:jc w:val="center"/>
              <w:rPr>
                <w:lang w:val="hu-HU"/>
              </w:rPr>
            </w:pPr>
            <w:r w:rsidRPr="00F7245E">
              <w:rPr>
                <w:w w:val="105"/>
              </w:rPr>
              <w:t>0,62 (0,54; 0,70)</w:t>
            </w:r>
          </w:p>
        </w:tc>
      </w:tr>
      <w:tr w:rsidR="00B62AE4" w:rsidRPr="00F7245E" w14:paraId="6703FF0C" w14:textId="77777777" w:rsidTr="00EA6112">
        <w:trPr>
          <w:trHeight w:val="342"/>
        </w:trPr>
        <w:tc>
          <w:tcPr>
            <w:tcW w:w="2180" w:type="dxa"/>
          </w:tcPr>
          <w:p w14:paraId="006B681C" w14:textId="77777777" w:rsidR="00B62AE4" w:rsidRPr="00F7245E" w:rsidRDefault="00B62AE4" w:rsidP="00A21724">
            <w:pPr>
              <w:pStyle w:val="TableParagraph"/>
              <w:ind w:left="100"/>
              <w:rPr>
                <w:lang w:val="hu-HU"/>
              </w:rPr>
            </w:pPr>
            <w:r w:rsidRPr="00F7245E">
              <w:rPr>
                <w:w w:val="105"/>
              </w:rPr>
              <w:t>Összes</w:t>
            </w:r>
          </w:p>
        </w:tc>
        <w:tc>
          <w:tcPr>
            <w:tcW w:w="2060" w:type="dxa"/>
          </w:tcPr>
          <w:p w14:paraId="3385B4B1" w14:textId="77777777" w:rsidR="00B62AE4" w:rsidRPr="00F7245E" w:rsidRDefault="00B62AE4" w:rsidP="00A21724">
            <w:pPr>
              <w:pStyle w:val="TableParagraph"/>
              <w:ind w:right="587"/>
              <w:jc w:val="right"/>
              <w:rPr>
                <w:lang w:val="hu-HU"/>
              </w:rPr>
            </w:pPr>
            <w:r w:rsidRPr="00F7245E">
              <w:rPr>
                <w:w w:val="105"/>
              </w:rPr>
              <w:t>402 (15,0)</w:t>
            </w:r>
          </w:p>
        </w:tc>
        <w:tc>
          <w:tcPr>
            <w:tcW w:w="2059" w:type="dxa"/>
          </w:tcPr>
          <w:p w14:paraId="2B71BED3" w14:textId="77777777" w:rsidR="00B62AE4" w:rsidRPr="00F7245E" w:rsidRDefault="00B62AE4" w:rsidP="00A21724">
            <w:pPr>
              <w:pStyle w:val="TableParagraph"/>
              <w:ind w:left="447" w:right="441"/>
              <w:jc w:val="center"/>
              <w:rPr>
                <w:lang w:val="hu-HU"/>
              </w:rPr>
            </w:pPr>
            <w:r w:rsidRPr="00F7245E">
              <w:rPr>
                <w:w w:val="105"/>
              </w:rPr>
              <w:t>676 (25,1)</w:t>
            </w:r>
          </w:p>
        </w:tc>
        <w:tc>
          <w:tcPr>
            <w:tcW w:w="2773" w:type="dxa"/>
          </w:tcPr>
          <w:p w14:paraId="45B25F6F" w14:textId="77777777" w:rsidR="00B62AE4" w:rsidRPr="00F7245E" w:rsidRDefault="00B62AE4" w:rsidP="00A21724">
            <w:pPr>
              <w:pStyle w:val="TableParagraph"/>
              <w:ind w:left="256" w:right="253"/>
              <w:jc w:val="center"/>
              <w:rPr>
                <w:lang w:val="hu-HU"/>
              </w:rPr>
            </w:pPr>
            <w:r w:rsidRPr="00F7245E">
              <w:rPr>
                <w:w w:val="105"/>
              </w:rPr>
              <w:t>0,59 (0,53; 0,66)</w:t>
            </w:r>
          </w:p>
        </w:tc>
      </w:tr>
    </w:tbl>
    <w:p w14:paraId="1F5C7017" w14:textId="77777777" w:rsidR="00B62AE4" w:rsidRPr="00F7245E" w:rsidRDefault="00B62AE4" w:rsidP="00A21724">
      <w:pPr>
        <w:pStyle w:val="Nincstrkz"/>
        <w:rPr>
          <w:rFonts w:cs="Times New Roman"/>
        </w:rPr>
      </w:pPr>
    </w:p>
    <w:p w14:paraId="74EA1AD4" w14:textId="6BCE7DAF" w:rsidR="00B62AE4" w:rsidRPr="00F7245E" w:rsidRDefault="00B62AE4" w:rsidP="00A21724">
      <w:pPr>
        <w:pStyle w:val="Nincstrkz"/>
        <w:rPr>
          <w:rFonts w:cs="Times New Roman"/>
        </w:rPr>
      </w:pPr>
      <w:r w:rsidRPr="00F7245E">
        <w:rPr>
          <w:rFonts w:cs="Times New Roman"/>
        </w:rPr>
        <w:t xml:space="preserve">A bármilyen anatómiai lokalizációjú, igazolt nagyfokú vérzés és a klinikailag jelentős, de nem nagyfokú (CRNM) vérzés általában alacsonyabb volt az </w:t>
      </w:r>
      <w:r w:rsidR="002C0B56" w:rsidRPr="00F7245E">
        <w:rPr>
          <w:rFonts w:cs="Times New Roman"/>
        </w:rPr>
        <w:t>apixabán</w:t>
      </w:r>
      <w:r w:rsidR="00396DD5" w:rsidRPr="00F7245E">
        <w:rPr>
          <w:rFonts w:cs="Times New Roman"/>
        </w:rPr>
        <w:noBreakHyphen/>
      </w:r>
      <w:r w:rsidRPr="00F7245E">
        <w:rPr>
          <w:rFonts w:cs="Times New Roman"/>
        </w:rPr>
        <w:t>csoportban, mint az enoxaparin/warfarin</w:t>
      </w:r>
      <w:r w:rsidR="00396DD5" w:rsidRPr="00F7245E">
        <w:rPr>
          <w:rFonts w:cs="Times New Roman"/>
        </w:rPr>
        <w:noBreakHyphen/>
      </w:r>
      <w:r w:rsidRPr="00F7245E">
        <w:rPr>
          <w:rFonts w:cs="Times New Roman"/>
        </w:rPr>
        <w:t>csoportban. Igazolt, ISTH szerinti nagyfokú gastrointestinalis vérzés az</w:t>
      </w:r>
      <w:r w:rsidR="00C77F20" w:rsidRPr="00F7245E">
        <w:rPr>
          <w:rFonts w:cs="Times New Roman"/>
        </w:rPr>
        <w:t xml:space="preserve"> </w:t>
      </w:r>
      <w:r w:rsidR="002C0B56" w:rsidRPr="00F7245E">
        <w:rPr>
          <w:rFonts w:cs="Times New Roman"/>
        </w:rPr>
        <w:t>apixabán</w:t>
      </w:r>
      <w:r w:rsidRPr="00F7245E">
        <w:rPr>
          <w:rFonts w:cs="Times New Roman"/>
        </w:rPr>
        <w:t>nal kezelt</w:t>
      </w:r>
      <w:r w:rsidR="00161D38" w:rsidRPr="00F7245E">
        <w:rPr>
          <w:rFonts w:cs="Times New Roman"/>
        </w:rPr>
        <w:t xml:space="preserve"> betegek</w:t>
      </w:r>
      <w:r w:rsidRPr="00F7245E">
        <w:rPr>
          <w:rFonts w:cs="Times New Roman"/>
        </w:rPr>
        <w:t xml:space="preserve"> közül 6</w:t>
      </w:r>
      <w:r w:rsidR="00396DD5" w:rsidRPr="00F7245E">
        <w:rPr>
          <w:rFonts w:cs="Times New Roman"/>
        </w:rPr>
        <w:noBreakHyphen/>
      </w:r>
      <w:r w:rsidRPr="00F7245E">
        <w:rPr>
          <w:rFonts w:cs="Times New Roman"/>
        </w:rPr>
        <w:t>nál (0,2%), az enoxaparinnal/warfarinnal kezelt</w:t>
      </w:r>
      <w:r w:rsidR="00161D38" w:rsidRPr="00F7245E">
        <w:rPr>
          <w:rFonts w:cs="Times New Roman"/>
        </w:rPr>
        <w:t xml:space="preserve"> betegek</w:t>
      </w:r>
      <w:r w:rsidRPr="00F7245E">
        <w:rPr>
          <w:rFonts w:cs="Times New Roman"/>
        </w:rPr>
        <w:t xml:space="preserve"> közül 17</w:t>
      </w:r>
      <w:r w:rsidR="00396DD5" w:rsidRPr="00F7245E">
        <w:rPr>
          <w:rFonts w:cs="Times New Roman"/>
        </w:rPr>
        <w:noBreakHyphen/>
      </w:r>
      <w:r w:rsidRPr="00F7245E">
        <w:rPr>
          <w:rFonts w:cs="Times New Roman"/>
        </w:rPr>
        <w:t>nél (0,6%) fordult elő.</w:t>
      </w:r>
    </w:p>
    <w:p w14:paraId="541436D8" w14:textId="77777777" w:rsidR="00B62AE4" w:rsidRPr="00F7245E" w:rsidRDefault="00B62AE4" w:rsidP="00A21724">
      <w:pPr>
        <w:pStyle w:val="Nincstrkz"/>
        <w:rPr>
          <w:rFonts w:cs="Times New Roman"/>
        </w:rPr>
      </w:pPr>
    </w:p>
    <w:p w14:paraId="2688D1D0" w14:textId="77777777" w:rsidR="00B62AE4" w:rsidRPr="00F7245E" w:rsidRDefault="00B62AE4" w:rsidP="00A21724">
      <w:pPr>
        <w:pStyle w:val="Nincstrkz"/>
        <w:rPr>
          <w:rFonts w:cs="Times New Roman"/>
          <w:i/>
          <w:iCs/>
          <w:u w:val="single"/>
        </w:rPr>
      </w:pPr>
      <w:r w:rsidRPr="00F7245E">
        <w:rPr>
          <w:rFonts w:cs="Times New Roman"/>
          <w:i/>
          <w:iCs/>
          <w:u w:val="single"/>
        </w:rPr>
        <w:t>AMPLIFY-EXT VIZSGÁLAT</w:t>
      </w:r>
    </w:p>
    <w:p w14:paraId="69E5EE21" w14:textId="28C62DA1" w:rsidR="00B62AE4" w:rsidRPr="00F7245E" w:rsidRDefault="00B62AE4" w:rsidP="00A21724">
      <w:pPr>
        <w:pStyle w:val="Nincstrkz"/>
        <w:rPr>
          <w:rFonts w:cs="Times New Roman"/>
        </w:rPr>
      </w:pPr>
      <w:r w:rsidRPr="00F7245E">
        <w:rPr>
          <w:rFonts w:cs="Times New Roman"/>
        </w:rPr>
        <w:t>Az AMPLIFY-EXT vizsgálatba összesen 2482</w:t>
      </w:r>
      <w:r w:rsidR="00CA4AE9">
        <w:rPr>
          <w:rFonts w:cs="Times New Roman"/>
        </w:rPr>
        <w:t xml:space="preserve"> felnőtt</w:t>
      </w:r>
      <w:r w:rsidR="00A1416D" w:rsidRPr="00F7245E">
        <w:rPr>
          <w:rFonts w:cs="Times New Roman"/>
        </w:rPr>
        <w:t> beteg</w:t>
      </w:r>
      <w:r w:rsidRPr="00F7245E">
        <w:rPr>
          <w:rFonts w:cs="Times New Roman"/>
        </w:rPr>
        <w:t>et randomizáltak 12</w:t>
      </w:r>
      <w:r w:rsidR="00161D38" w:rsidRPr="00F7245E">
        <w:rPr>
          <w:rFonts w:cs="Times New Roman"/>
        </w:rPr>
        <w:t> </w:t>
      </w:r>
      <w:r w:rsidRPr="00F7245E">
        <w:rPr>
          <w:rFonts w:cs="Times New Roman"/>
        </w:rPr>
        <w:t>hónapig tartó,</w:t>
      </w:r>
      <w:r w:rsidR="00161D38" w:rsidRPr="00F7245E">
        <w:rPr>
          <w:rFonts w:cs="Times New Roman"/>
        </w:rPr>
        <w:t xml:space="preserve"> </w:t>
      </w:r>
      <w:r w:rsidR="003B67D5" w:rsidRPr="00F7245E">
        <w:rPr>
          <w:rFonts w:cs="Times New Roman"/>
        </w:rPr>
        <w:t>nap</w:t>
      </w:r>
      <w:r w:rsidRPr="00F7245E">
        <w:rPr>
          <w:rFonts w:cs="Times New Roman"/>
        </w:rPr>
        <w:t>onta kétszer 2,5</w:t>
      </w:r>
      <w:r w:rsidR="004C106B" w:rsidRPr="00F7245E">
        <w:rPr>
          <w:rFonts w:cs="Times New Roman"/>
        </w:rPr>
        <w:t> mg</w:t>
      </w:r>
      <w:r w:rsidRPr="00F7245E">
        <w:rPr>
          <w:rFonts w:cs="Times New Roman"/>
        </w:rPr>
        <w:t xml:space="preserve"> </w:t>
      </w:r>
      <w:r w:rsidRPr="00F7245E">
        <w:rPr>
          <w:rFonts w:cs="Times New Roman"/>
          <w:i/>
        </w:rPr>
        <w:t>per os</w:t>
      </w:r>
      <w:r w:rsidRPr="00F7245E">
        <w:rPr>
          <w:rFonts w:cs="Times New Roman"/>
        </w:rPr>
        <w:t xml:space="preserve"> </w:t>
      </w:r>
      <w:r w:rsidR="002C0B56" w:rsidRPr="00F7245E">
        <w:rPr>
          <w:rFonts w:cs="Times New Roman"/>
        </w:rPr>
        <w:t>apixabán</w:t>
      </w:r>
      <w:r w:rsidR="00161D38" w:rsidRPr="00F7245E">
        <w:rPr>
          <w:rFonts w:cs="Times New Roman"/>
        </w:rPr>
        <w:noBreakHyphen/>
      </w:r>
      <w:r w:rsidRPr="00F7245E">
        <w:rPr>
          <w:rFonts w:cs="Times New Roman"/>
        </w:rPr>
        <w:t>kezelésre,</w:t>
      </w:r>
      <w:r w:rsidR="00396DD5" w:rsidRPr="00F7245E">
        <w:rPr>
          <w:rFonts w:cs="Times New Roman"/>
        </w:rPr>
        <w:t xml:space="preserve"> </w:t>
      </w:r>
      <w:r w:rsidR="003B67D5" w:rsidRPr="00F7245E">
        <w:rPr>
          <w:rFonts w:cs="Times New Roman"/>
        </w:rPr>
        <w:t>nap</w:t>
      </w:r>
      <w:r w:rsidRPr="00F7245E">
        <w:rPr>
          <w:rFonts w:cs="Times New Roman"/>
        </w:rPr>
        <w:t>onta kétszer 5</w:t>
      </w:r>
      <w:r w:rsidR="004C106B" w:rsidRPr="00F7245E">
        <w:rPr>
          <w:rFonts w:cs="Times New Roman"/>
        </w:rPr>
        <w:t> mg</w:t>
      </w:r>
      <w:r w:rsidRPr="00F7245E">
        <w:rPr>
          <w:rFonts w:cs="Times New Roman"/>
        </w:rPr>
        <w:t xml:space="preserve"> </w:t>
      </w:r>
      <w:r w:rsidRPr="00F7245E">
        <w:rPr>
          <w:rFonts w:cs="Times New Roman"/>
          <w:i/>
        </w:rPr>
        <w:t>per os</w:t>
      </w:r>
      <w:r w:rsidRPr="00F7245E">
        <w:rPr>
          <w:rFonts w:cs="Times New Roman"/>
        </w:rPr>
        <w:t xml:space="preserve"> </w:t>
      </w:r>
      <w:r w:rsidR="002C0B56" w:rsidRPr="00F7245E">
        <w:rPr>
          <w:rFonts w:cs="Times New Roman"/>
        </w:rPr>
        <w:t>apixabán</w:t>
      </w:r>
      <w:r w:rsidR="00161D38" w:rsidRPr="00F7245E">
        <w:rPr>
          <w:rFonts w:cs="Times New Roman"/>
        </w:rPr>
        <w:noBreakHyphen/>
      </w:r>
      <w:r w:rsidRPr="00F7245E">
        <w:rPr>
          <w:rFonts w:cs="Times New Roman"/>
        </w:rPr>
        <w:t>kezelésre vagy placeb</w:t>
      </w:r>
      <w:r w:rsidR="0071046D" w:rsidRPr="00F7245E">
        <w:rPr>
          <w:rFonts w:cs="Times New Roman"/>
        </w:rPr>
        <w:t>ór</w:t>
      </w:r>
      <w:r w:rsidRPr="00F7245E">
        <w:rPr>
          <w:rFonts w:cs="Times New Roman"/>
        </w:rPr>
        <w:t>a, a 6</w:t>
      </w:r>
      <w:r w:rsidR="00161D38" w:rsidRPr="00F7245E">
        <w:rPr>
          <w:rFonts w:cs="Times New Roman"/>
        </w:rPr>
        <w:noBreakHyphen/>
      </w:r>
      <w:r w:rsidRPr="00F7245E">
        <w:rPr>
          <w:rFonts w:cs="Times New Roman"/>
        </w:rPr>
        <w:t>12</w:t>
      </w:r>
      <w:r w:rsidR="00161D38" w:rsidRPr="00F7245E">
        <w:rPr>
          <w:rFonts w:cs="Times New Roman"/>
        </w:rPr>
        <w:t> </w:t>
      </w:r>
      <w:r w:rsidRPr="00F7245E">
        <w:rPr>
          <w:rFonts w:cs="Times New Roman"/>
        </w:rPr>
        <w:t>hónapig tartó, kezdeti antikoaguláns</w:t>
      </w:r>
      <w:r w:rsidR="00161D38" w:rsidRPr="00F7245E">
        <w:rPr>
          <w:rFonts w:cs="Times New Roman"/>
        </w:rPr>
        <w:noBreakHyphen/>
      </w:r>
      <w:r w:rsidRPr="00F7245E">
        <w:rPr>
          <w:rFonts w:cs="Times New Roman"/>
        </w:rPr>
        <w:t>kezelés befejezése után. Közülük 836</w:t>
      </w:r>
      <w:r w:rsidR="00A1416D" w:rsidRPr="00F7245E">
        <w:rPr>
          <w:rFonts w:cs="Times New Roman"/>
        </w:rPr>
        <w:t> beteg</w:t>
      </w:r>
      <w:r w:rsidRPr="00F7245E">
        <w:rPr>
          <w:rFonts w:cs="Times New Roman"/>
        </w:rPr>
        <w:t xml:space="preserve"> (33,7%) vett részt az AMPLIFY vizsgálatban az AMPLIFY-EXT vizsgálatba történő beválogatás előtt.</w:t>
      </w:r>
    </w:p>
    <w:p w14:paraId="34ED5276" w14:textId="77777777" w:rsidR="00B62AE4" w:rsidRPr="00F7245E" w:rsidRDefault="00B62AE4" w:rsidP="00A21724">
      <w:pPr>
        <w:pStyle w:val="Nincstrkz"/>
        <w:rPr>
          <w:rFonts w:cs="Times New Roman"/>
        </w:rPr>
      </w:pPr>
    </w:p>
    <w:p w14:paraId="0F8156FB" w14:textId="24BC7767" w:rsidR="00B62AE4" w:rsidRPr="00F7245E" w:rsidRDefault="00B62AE4" w:rsidP="00A21724">
      <w:pPr>
        <w:pStyle w:val="Nincstrkz"/>
        <w:rPr>
          <w:rFonts w:cs="Times New Roman"/>
        </w:rPr>
      </w:pPr>
      <w:r w:rsidRPr="00F7245E">
        <w:rPr>
          <w:rFonts w:cs="Times New Roman"/>
        </w:rPr>
        <w:t>Az átlagéletkor 56,7</w:t>
      </w:r>
      <w:r w:rsidR="00045408" w:rsidRPr="00F7245E">
        <w:rPr>
          <w:rFonts w:cs="Times New Roman"/>
        </w:rPr>
        <w:t> év</w:t>
      </w:r>
      <w:r w:rsidRPr="00F7245E">
        <w:rPr>
          <w:rFonts w:cs="Times New Roman"/>
        </w:rPr>
        <w:t xml:space="preserve"> volt, és a randomizált</w:t>
      </w:r>
      <w:r w:rsidR="00161D38" w:rsidRPr="00F7245E">
        <w:rPr>
          <w:rFonts w:cs="Times New Roman"/>
        </w:rPr>
        <w:t xml:space="preserve"> </w:t>
      </w:r>
      <w:r w:rsidR="00A1416D" w:rsidRPr="00F7245E">
        <w:rPr>
          <w:rFonts w:cs="Times New Roman"/>
        </w:rPr>
        <w:t>beteg</w:t>
      </w:r>
      <w:r w:rsidRPr="00F7245E">
        <w:rPr>
          <w:rFonts w:cs="Times New Roman"/>
        </w:rPr>
        <w:t>ek 91,7%-ának volt ok nélküli VTE eseménye.</w:t>
      </w:r>
    </w:p>
    <w:p w14:paraId="6FF2940D" w14:textId="77777777" w:rsidR="00B62AE4" w:rsidRPr="00F7245E" w:rsidRDefault="00B62AE4" w:rsidP="00A21724">
      <w:pPr>
        <w:pStyle w:val="Nincstrkz"/>
        <w:rPr>
          <w:rFonts w:cs="Times New Roman"/>
        </w:rPr>
      </w:pPr>
    </w:p>
    <w:p w14:paraId="4826B1C1" w14:textId="60DCFA83" w:rsidR="00B62AE4" w:rsidRPr="00F7245E" w:rsidRDefault="00B62AE4" w:rsidP="00A21724">
      <w:pPr>
        <w:pStyle w:val="Nincstrkz"/>
        <w:rPr>
          <w:rFonts w:cs="Times New Roman"/>
        </w:rPr>
      </w:pPr>
      <w:r w:rsidRPr="00F7245E">
        <w:rPr>
          <w:rFonts w:cs="Times New Roman"/>
        </w:rPr>
        <w:t xml:space="preserve">A vizsgálatban az </w:t>
      </w:r>
      <w:r w:rsidR="00CA2919" w:rsidRPr="00F7245E">
        <w:rPr>
          <w:rFonts w:cs="Times New Roman"/>
        </w:rPr>
        <w:t xml:space="preserve">apixabán </w:t>
      </w:r>
      <w:r w:rsidRPr="00F7245E">
        <w:rPr>
          <w:rFonts w:cs="Times New Roman"/>
        </w:rPr>
        <w:t>mindkét dózisa statisztikailag jobb volt a placebónál az elsődleges végpontban, melynek összetevői: az ismételt szimptomatikus VTE (nem halálos MVT vagy nem halálos PE) vagy az összmortalitás (lásd 1</w:t>
      </w:r>
      <w:r w:rsidR="001F3456" w:rsidRPr="00F7245E">
        <w:rPr>
          <w:rFonts w:cs="Times New Roman"/>
        </w:rPr>
        <w:t>3</w:t>
      </w:r>
      <w:r w:rsidRPr="00F7245E">
        <w:rPr>
          <w:rFonts w:cs="Times New Roman"/>
        </w:rPr>
        <w:t>. táblázat).</w:t>
      </w:r>
    </w:p>
    <w:p w14:paraId="0F7E1CD9" w14:textId="77777777" w:rsidR="00B62AE4" w:rsidRPr="00F7245E" w:rsidRDefault="00B62AE4" w:rsidP="00A21724">
      <w:pPr>
        <w:pStyle w:val="Nincstrkz"/>
        <w:rPr>
          <w:rFonts w:cs="Times New Roman"/>
        </w:rPr>
      </w:pPr>
    </w:p>
    <w:p w14:paraId="74255B3D" w14:textId="18835B71" w:rsidR="00B62AE4" w:rsidRPr="00F7245E" w:rsidRDefault="00EA6112" w:rsidP="00A21724">
      <w:pPr>
        <w:pStyle w:val="Cmsor1"/>
        <w:tabs>
          <w:tab w:val="left" w:pos="0"/>
          <w:tab w:val="left" w:pos="426"/>
        </w:tabs>
        <w:ind w:left="0"/>
        <w:rPr>
          <w:sz w:val="22"/>
          <w:szCs w:val="22"/>
        </w:rPr>
      </w:pPr>
      <w:r w:rsidRPr="00F7245E">
        <w:rPr>
          <w:w w:val="105"/>
          <w:sz w:val="22"/>
          <w:szCs w:val="22"/>
        </w:rPr>
        <w:t>1</w:t>
      </w:r>
      <w:r w:rsidR="001F3456" w:rsidRPr="00F7245E">
        <w:rPr>
          <w:w w:val="105"/>
          <w:sz w:val="22"/>
          <w:szCs w:val="22"/>
        </w:rPr>
        <w:t>3</w:t>
      </w:r>
      <w:r w:rsidRPr="00F7245E">
        <w:rPr>
          <w:w w:val="105"/>
          <w:sz w:val="22"/>
          <w:szCs w:val="22"/>
        </w:rPr>
        <w:t>. T</w:t>
      </w:r>
      <w:r w:rsidR="00B62AE4" w:rsidRPr="00F7245E">
        <w:rPr>
          <w:w w:val="105"/>
          <w:sz w:val="22"/>
          <w:szCs w:val="22"/>
        </w:rPr>
        <w:t>áblázat: Az AMPLIFY EXT-vizsgálat hatásossági</w:t>
      </w:r>
      <w:r w:rsidR="00B62AE4" w:rsidRPr="00F7245E">
        <w:rPr>
          <w:spacing w:val="-14"/>
          <w:w w:val="105"/>
          <w:sz w:val="22"/>
          <w:szCs w:val="22"/>
        </w:rPr>
        <w:t xml:space="preserve"> </w:t>
      </w:r>
      <w:r w:rsidR="00B62AE4" w:rsidRPr="00F7245E">
        <w:rPr>
          <w:w w:val="105"/>
          <w:sz w:val="22"/>
          <w:szCs w:val="22"/>
        </w:rPr>
        <w:t>eredményei</w:t>
      </w:r>
    </w:p>
    <w:tbl>
      <w:tblPr>
        <w:tblStyle w:val="TableNormal1"/>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8"/>
        <w:gridCol w:w="1277"/>
        <w:gridCol w:w="1418"/>
        <w:gridCol w:w="1276"/>
        <w:gridCol w:w="1701"/>
        <w:gridCol w:w="1663"/>
      </w:tblGrid>
      <w:tr w:rsidR="00B62AE4" w:rsidRPr="00F7245E" w14:paraId="4FD708A4" w14:textId="77777777" w:rsidTr="00C72379">
        <w:trPr>
          <w:trHeight w:val="340"/>
        </w:trPr>
        <w:tc>
          <w:tcPr>
            <w:tcW w:w="1558" w:type="dxa"/>
          </w:tcPr>
          <w:p w14:paraId="582A2C05" w14:textId="77777777" w:rsidR="00B62AE4" w:rsidRPr="00F7245E" w:rsidRDefault="00B62AE4" w:rsidP="00A21724">
            <w:pPr>
              <w:pStyle w:val="TableParagraph"/>
              <w:rPr>
                <w:lang w:val="hu-HU"/>
              </w:rPr>
            </w:pPr>
          </w:p>
        </w:tc>
        <w:tc>
          <w:tcPr>
            <w:tcW w:w="1277" w:type="dxa"/>
            <w:vAlign w:val="center"/>
          </w:tcPr>
          <w:p w14:paraId="64E79534" w14:textId="53E2EA2C" w:rsidR="00B62AE4" w:rsidRPr="00F7245E" w:rsidRDefault="00B62AE4" w:rsidP="00A21724">
            <w:pPr>
              <w:pStyle w:val="TableParagraph"/>
              <w:ind w:left="141" w:right="138"/>
              <w:jc w:val="center"/>
              <w:rPr>
                <w:b/>
                <w:lang w:val="hu-HU"/>
              </w:rPr>
            </w:pPr>
            <w:r w:rsidRPr="00F7245E">
              <w:rPr>
                <w:b/>
                <w:w w:val="105"/>
              </w:rPr>
              <w:t>Apixab</w:t>
            </w:r>
            <w:r w:rsidR="00851E6B" w:rsidRPr="00F7245E">
              <w:rPr>
                <w:b/>
                <w:w w:val="105"/>
              </w:rPr>
              <w:t>á</w:t>
            </w:r>
            <w:r w:rsidRPr="00F7245E">
              <w:rPr>
                <w:b/>
                <w:w w:val="105"/>
              </w:rPr>
              <w:t>n</w:t>
            </w:r>
          </w:p>
        </w:tc>
        <w:tc>
          <w:tcPr>
            <w:tcW w:w="1418" w:type="dxa"/>
            <w:vAlign w:val="center"/>
          </w:tcPr>
          <w:p w14:paraId="2353E07B" w14:textId="433E6A62" w:rsidR="00B62AE4" w:rsidRPr="00F7245E" w:rsidRDefault="00B62AE4" w:rsidP="00A21724">
            <w:pPr>
              <w:pStyle w:val="TableParagraph"/>
              <w:ind w:left="149" w:right="144"/>
              <w:jc w:val="center"/>
              <w:rPr>
                <w:b/>
                <w:lang w:val="hu-HU"/>
              </w:rPr>
            </w:pPr>
            <w:r w:rsidRPr="00F7245E">
              <w:rPr>
                <w:b/>
                <w:w w:val="105"/>
              </w:rPr>
              <w:t>Apixab</w:t>
            </w:r>
            <w:r w:rsidR="00851E6B" w:rsidRPr="00F7245E">
              <w:rPr>
                <w:b/>
                <w:w w:val="105"/>
              </w:rPr>
              <w:t>á</w:t>
            </w:r>
            <w:r w:rsidRPr="00F7245E">
              <w:rPr>
                <w:b/>
                <w:w w:val="105"/>
              </w:rPr>
              <w:t>n</w:t>
            </w:r>
          </w:p>
        </w:tc>
        <w:tc>
          <w:tcPr>
            <w:tcW w:w="1276" w:type="dxa"/>
            <w:vAlign w:val="center"/>
          </w:tcPr>
          <w:p w14:paraId="63D79A6F" w14:textId="77777777" w:rsidR="00B62AE4" w:rsidRPr="00F7245E" w:rsidRDefault="00B62AE4" w:rsidP="00A21724">
            <w:pPr>
              <w:pStyle w:val="TableParagraph"/>
              <w:ind w:left="182" w:right="176"/>
              <w:jc w:val="center"/>
              <w:rPr>
                <w:b/>
                <w:lang w:val="hu-HU"/>
              </w:rPr>
            </w:pPr>
            <w:r w:rsidRPr="00F7245E">
              <w:rPr>
                <w:b/>
                <w:w w:val="105"/>
              </w:rPr>
              <w:t>Placebo</w:t>
            </w:r>
          </w:p>
        </w:tc>
        <w:tc>
          <w:tcPr>
            <w:tcW w:w="3364" w:type="dxa"/>
            <w:gridSpan w:val="2"/>
            <w:vAlign w:val="center"/>
          </w:tcPr>
          <w:p w14:paraId="614C86AA" w14:textId="77777777" w:rsidR="00B62AE4" w:rsidRPr="00F7245E" w:rsidRDefault="00B62AE4" w:rsidP="00A21724">
            <w:pPr>
              <w:pStyle w:val="TableParagraph"/>
              <w:ind w:hanging="1"/>
              <w:jc w:val="center"/>
              <w:rPr>
                <w:b/>
                <w:lang w:val="hu-HU"/>
              </w:rPr>
            </w:pPr>
            <w:r w:rsidRPr="00F7245E">
              <w:rPr>
                <w:b/>
                <w:w w:val="105"/>
              </w:rPr>
              <w:t>Relatív kockázat (95%-os CI)</w:t>
            </w:r>
          </w:p>
        </w:tc>
      </w:tr>
      <w:tr w:rsidR="00B62AE4" w:rsidRPr="00F7245E" w14:paraId="62D2EAE2" w14:textId="77777777" w:rsidTr="00C72379">
        <w:trPr>
          <w:trHeight w:val="684"/>
        </w:trPr>
        <w:tc>
          <w:tcPr>
            <w:tcW w:w="1558" w:type="dxa"/>
          </w:tcPr>
          <w:p w14:paraId="0773501A" w14:textId="77777777" w:rsidR="00B62AE4" w:rsidRPr="00F7245E" w:rsidRDefault="00B62AE4" w:rsidP="00A21724">
            <w:pPr>
              <w:pStyle w:val="TableParagraph"/>
              <w:rPr>
                <w:lang w:val="hu-HU"/>
              </w:rPr>
            </w:pPr>
          </w:p>
        </w:tc>
        <w:tc>
          <w:tcPr>
            <w:tcW w:w="1277" w:type="dxa"/>
            <w:vAlign w:val="center"/>
          </w:tcPr>
          <w:p w14:paraId="6DD4A4B9" w14:textId="7C84221E" w:rsidR="00B62AE4" w:rsidRPr="00F7245E" w:rsidRDefault="00B62AE4" w:rsidP="00A21724">
            <w:pPr>
              <w:pStyle w:val="Nincstrkz"/>
              <w:jc w:val="center"/>
              <w:rPr>
                <w:rFonts w:cs="Times New Roman"/>
                <w:b/>
                <w:bCs/>
                <w:lang w:val="hu-HU"/>
              </w:rPr>
            </w:pPr>
            <w:r w:rsidRPr="00F7245E">
              <w:rPr>
                <w:rFonts w:cs="Times New Roman"/>
                <w:b/>
                <w:bCs/>
                <w:w w:val="105"/>
              </w:rPr>
              <w:t>2,5</w:t>
            </w:r>
            <w:r w:rsidR="004C106B" w:rsidRPr="00F7245E">
              <w:rPr>
                <w:rFonts w:cs="Times New Roman"/>
                <w:b/>
                <w:bCs/>
                <w:w w:val="105"/>
              </w:rPr>
              <w:t> mg</w:t>
            </w:r>
          </w:p>
          <w:p w14:paraId="11C03EA7" w14:textId="6890D46A" w:rsidR="00B62AE4" w:rsidRPr="00F7245E" w:rsidRDefault="00B62AE4" w:rsidP="00A21724">
            <w:pPr>
              <w:pStyle w:val="Nincstrkz"/>
              <w:jc w:val="center"/>
              <w:rPr>
                <w:rFonts w:cs="Times New Roman"/>
                <w:b/>
                <w:bCs/>
                <w:lang w:val="hu-HU"/>
              </w:rPr>
            </w:pPr>
            <w:r w:rsidRPr="00F7245E">
              <w:rPr>
                <w:rFonts w:cs="Times New Roman"/>
                <w:b/>
                <w:bCs/>
                <w:w w:val="105"/>
              </w:rPr>
              <w:t>(</w:t>
            </w:r>
            <w:r w:rsidR="007D4C4D" w:rsidRPr="00F7245E">
              <w:rPr>
                <w:rFonts w:cs="Times New Roman"/>
                <w:b/>
                <w:bCs/>
                <w:w w:val="105"/>
              </w:rPr>
              <w:t>N = </w:t>
            </w:r>
            <w:r w:rsidRPr="00F7245E">
              <w:rPr>
                <w:rFonts w:cs="Times New Roman"/>
                <w:b/>
                <w:bCs/>
                <w:w w:val="105"/>
              </w:rPr>
              <w:t>840)</w:t>
            </w:r>
          </w:p>
        </w:tc>
        <w:tc>
          <w:tcPr>
            <w:tcW w:w="1418" w:type="dxa"/>
            <w:vAlign w:val="center"/>
          </w:tcPr>
          <w:p w14:paraId="17304072" w14:textId="35F6A506" w:rsidR="00B62AE4" w:rsidRPr="00F7245E" w:rsidRDefault="00B62AE4" w:rsidP="00A21724">
            <w:pPr>
              <w:pStyle w:val="Nincstrkz"/>
              <w:jc w:val="center"/>
              <w:rPr>
                <w:rFonts w:cs="Times New Roman"/>
                <w:b/>
                <w:bCs/>
                <w:lang w:val="hu-HU"/>
              </w:rPr>
            </w:pPr>
            <w:r w:rsidRPr="00F7245E">
              <w:rPr>
                <w:rFonts w:cs="Times New Roman"/>
                <w:b/>
                <w:bCs/>
                <w:w w:val="105"/>
              </w:rPr>
              <w:t>5,0</w:t>
            </w:r>
            <w:r w:rsidR="004C106B" w:rsidRPr="00F7245E">
              <w:rPr>
                <w:rFonts w:cs="Times New Roman"/>
                <w:b/>
                <w:bCs/>
                <w:w w:val="105"/>
              </w:rPr>
              <w:t> mg</w:t>
            </w:r>
          </w:p>
          <w:p w14:paraId="31251C99" w14:textId="6C02F89D" w:rsidR="00B62AE4" w:rsidRPr="00F7245E" w:rsidRDefault="00B62AE4" w:rsidP="00A21724">
            <w:pPr>
              <w:pStyle w:val="Nincstrkz"/>
              <w:jc w:val="center"/>
              <w:rPr>
                <w:rFonts w:cs="Times New Roman"/>
                <w:b/>
                <w:bCs/>
                <w:lang w:val="hu-HU"/>
              </w:rPr>
            </w:pPr>
            <w:r w:rsidRPr="00F7245E">
              <w:rPr>
                <w:rFonts w:cs="Times New Roman"/>
                <w:b/>
                <w:bCs/>
                <w:w w:val="105"/>
              </w:rPr>
              <w:t>(</w:t>
            </w:r>
            <w:r w:rsidR="007D4C4D" w:rsidRPr="00F7245E">
              <w:rPr>
                <w:rFonts w:cs="Times New Roman"/>
                <w:b/>
                <w:bCs/>
                <w:w w:val="105"/>
              </w:rPr>
              <w:t>N = </w:t>
            </w:r>
            <w:r w:rsidRPr="00F7245E">
              <w:rPr>
                <w:rFonts w:cs="Times New Roman"/>
                <w:b/>
                <w:bCs/>
                <w:w w:val="105"/>
              </w:rPr>
              <w:t>813)</w:t>
            </w:r>
          </w:p>
        </w:tc>
        <w:tc>
          <w:tcPr>
            <w:tcW w:w="1276" w:type="dxa"/>
            <w:vAlign w:val="center"/>
          </w:tcPr>
          <w:p w14:paraId="77C6E27C" w14:textId="77777777" w:rsidR="00B62AE4" w:rsidRPr="00F7245E" w:rsidRDefault="00B62AE4" w:rsidP="00A21724">
            <w:pPr>
              <w:pStyle w:val="Nincstrkz"/>
              <w:jc w:val="center"/>
              <w:rPr>
                <w:rFonts w:cs="Times New Roman"/>
                <w:b/>
                <w:bCs/>
                <w:lang w:val="hu-HU"/>
              </w:rPr>
            </w:pPr>
          </w:p>
          <w:p w14:paraId="23EBA523" w14:textId="663FCD77" w:rsidR="00B62AE4" w:rsidRPr="00F7245E" w:rsidRDefault="00B62AE4" w:rsidP="00A21724">
            <w:pPr>
              <w:pStyle w:val="Nincstrkz"/>
              <w:jc w:val="center"/>
              <w:rPr>
                <w:rFonts w:cs="Times New Roman"/>
                <w:b/>
                <w:bCs/>
                <w:lang w:val="hu-HU"/>
              </w:rPr>
            </w:pPr>
            <w:r w:rsidRPr="00F7245E">
              <w:rPr>
                <w:rFonts w:cs="Times New Roman"/>
                <w:b/>
                <w:bCs/>
                <w:w w:val="105"/>
              </w:rPr>
              <w:t>(</w:t>
            </w:r>
            <w:r w:rsidR="007D4C4D" w:rsidRPr="00F7245E">
              <w:rPr>
                <w:rFonts w:cs="Times New Roman"/>
                <w:b/>
                <w:bCs/>
                <w:w w:val="105"/>
              </w:rPr>
              <w:t>N = </w:t>
            </w:r>
            <w:r w:rsidRPr="00F7245E">
              <w:rPr>
                <w:rFonts w:cs="Times New Roman"/>
                <w:b/>
                <w:bCs/>
                <w:w w:val="105"/>
              </w:rPr>
              <w:t>829)</w:t>
            </w:r>
          </w:p>
        </w:tc>
        <w:tc>
          <w:tcPr>
            <w:tcW w:w="1701" w:type="dxa"/>
            <w:vAlign w:val="center"/>
          </w:tcPr>
          <w:p w14:paraId="222AED62" w14:textId="09D9EBF1" w:rsidR="00B62AE4" w:rsidRPr="00F7245E" w:rsidRDefault="00B62AE4" w:rsidP="00A21724">
            <w:pPr>
              <w:pStyle w:val="Nincstrkz"/>
              <w:jc w:val="center"/>
              <w:rPr>
                <w:rFonts w:cs="Times New Roman"/>
                <w:b/>
                <w:bCs/>
                <w:lang w:val="hu-HU"/>
              </w:rPr>
            </w:pPr>
            <w:r w:rsidRPr="00F7245E">
              <w:rPr>
                <w:rFonts w:cs="Times New Roman"/>
                <w:b/>
                <w:bCs/>
                <w:w w:val="105"/>
              </w:rPr>
              <w:t>Apix 2,5</w:t>
            </w:r>
            <w:r w:rsidR="004C106B" w:rsidRPr="00F7245E">
              <w:rPr>
                <w:rFonts w:cs="Times New Roman"/>
                <w:b/>
                <w:bCs/>
                <w:spacing w:val="-22"/>
                <w:w w:val="105"/>
              </w:rPr>
              <w:t> mg</w:t>
            </w:r>
          </w:p>
          <w:p w14:paraId="63E18EE2" w14:textId="2EB3808A" w:rsidR="00B62AE4" w:rsidRPr="00F7245E" w:rsidRDefault="00B62AE4" w:rsidP="00A21724">
            <w:pPr>
              <w:pStyle w:val="Nincstrkz"/>
              <w:jc w:val="center"/>
              <w:rPr>
                <w:rFonts w:cs="Times New Roman"/>
                <w:b/>
                <w:bCs/>
                <w:lang w:val="hu-HU"/>
              </w:rPr>
            </w:pPr>
            <w:r w:rsidRPr="00F7245E">
              <w:rPr>
                <w:rFonts w:cs="Times New Roman"/>
                <w:b/>
                <w:bCs/>
                <w:w w:val="105"/>
              </w:rPr>
              <w:t>vs.</w:t>
            </w:r>
            <w:r w:rsidRPr="00F7245E">
              <w:rPr>
                <w:rFonts w:cs="Times New Roman"/>
                <w:b/>
                <w:bCs/>
                <w:spacing w:val="-16"/>
                <w:w w:val="105"/>
              </w:rPr>
              <w:t xml:space="preserve"> </w:t>
            </w:r>
            <w:r w:rsidR="00600B60" w:rsidRPr="00F7245E">
              <w:rPr>
                <w:rFonts w:cs="Times New Roman"/>
                <w:b/>
                <w:bCs/>
                <w:w w:val="105"/>
              </w:rPr>
              <w:t>p</w:t>
            </w:r>
            <w:r w:rsidRPr="00F7245E">
              <w:rPr>
                <w:rFonts w:cs="Times New Roman"/>
                <w:b/>
                <w:bCs/>
                <w:w w:val="105"/>
              </w:rPr>
              <w:t>lacebo</w:t>
            </w:r>
          </w:p>
        </w:tc>
        <w:tc>
          <w:tcPr>
            <w:tcW w:w="1663" w:type="dxa"/>
            <w:vAlign w:val="center"/>
          </w:tcPr>
          <w:p w14:paraId="5F335C7A" w14:textId="2F54039D" w:rsidR="00B62AE4" w:rsidRPr="00F7245E" w:rsidRDefault="00B62AE4" w:rsidP="00A21724">
            <w:pPr>
              <w:pStyle w:val="Nincstrkz"/>
              <w:jc w:val="center"/>
              <w:rPr>
                <w:rFonts w:cs="Times New Roman"/>
                <w:b/>
                <w:bCs/>
                <w:lang w:val="hu-HU"/>
              </w:rPr>
            </w:pPr>
            <w:r w:rsidRPr="00F7245E">
              <w:rPr>
                <w:rFonts w:cs="Times New Roman"/>
                <w:b/>
                <w:bCs/>
                <w:w w:val="105"/>
              </w:rPr>
              <w:t>Apix 5,0</w:t>
            </w:r>
            <w:r w:rsidR="004C106B" w:rsidRPr="00F7245E">
              <w:rPr>
                <w:rFonts w:cs="Times New Roman"/>
                <w:b/>
                <w:bCs/>
                <w:spacing w:val="-22"/>
                <w:w w:val="105"/>
              </w:rPr>
              <w:t> mg</w:t>
            </w:r>
          </w:p>
          <w:p w14:paraId="506F8F22" w14:textId="207AD166" w:rsidR="00B62AE4" w:rsidRPr="00F7245E" w:rsidRDefault="00B62AE4" w:rsidP="00A21724">
            <w:pPr>
              <w:pStyle w:val="Nincstrkz"/>
              <w:jc w:val="center"/>
              <w:rPr>
                <w:rFonts w:cs="Times New Roman"/>
                <w:b/>
                <w:bCs/>
                <w:lang w:val="hu-HU"/>
              </w:rPr>
            </w:pPr>
            <w:r w:rsidRPr="00F7245E">
              <w:rPr>
                <w:rFonts w:cs="Times New Roman"/>
                <w:b/>
                <w:bCs/>
                <w:w w:val="105"/>
              </w:rPr>
              <w:t>vs.</w:t>
            </w:r>
            <w:r w:rsidRPr="00F7245E">
              <w:rPr>
                <w:rFonts w:cs="Times New Roman"/>
                <w:b/>
                <w:bCs/>
                <w:spacing w:val="-15"/>
                <w:w w:val="105"/>
              </w:rPr>
              <w:t xml:space="preserve"> </w:t>
            </w:r>
            <w:r w:rsidR="00600B60" w:rsidRPr="00F7245E">
              <w:rPr>
                <w:rFonts w:cs="Times New Roman"/>
                <w:b/>
                <w:bCs/>
                <w:w w:val="105"/>
              </w:rPr>
              <w:t>p</w:t>
            </w:r>
            <w:r w:rsidRPr="00F7245E">
              <w:rPr>
                <w:rFonts w:cs="Times New Roman"/>
                <w:b/>
                <w:bCs/>
                <w:w w:val="105"/>
              </w:rPr>
              <w:t>lacebo</w:t>
            </w:r>
          </w:p>
        </w:tc>
      </w:tr>
      <w:tr w:rsidR="00B62AE4" w:rsidRPr="00F7245E" w14:paraId="7193FC41" w14:textId="77777777" w:rsidTr="00C72379">
        <w:trPr>
          <w:trHeight w:val="340"/>
        </w:trPr>
        <w:tc>
          <w:tcPr>
            <w:tcW w:w="1558" w:type="dxa"/>
          </w:tcPr>
          <w:p w14:paraId="5089D0A5" w14:textId="77777777" w:rsidR="00B62AE4" w:rsidRPr="00F7245E" w:rsidRDefault="00B62AE4" w:rsidP="00A21724">
            <w:pPr>
              <w:pStyle w:val="TableParagraph"/>
              <w:rPr>
                <w:lang w:val="hu-HU"/>
              </w:rPr>
            </w:pPr>
          </w:p>
        </w:tc>
        <w:tc>
          <w:tcPr>
            <w:tcW w:w="3971" w:type="dxa"/>
            <w:gridSpan w:val="3"/>
          </w:tcPr>
          <w:p w14:paraId="52161D09" w14:textId="77777777" w:rsidR="00B62AE4" w:rsidRPr="00F7245E" w:rsidRDefault="00B62AE4" w:rsidP="00A21724">
            <w:pPr>
              <w:pStyle w:val="TableParagraph"/>
              <w:ind w:left="1596" w:right="1591"/>
              <w:jc w:val="center"/>
              <w:rPr>
                <w:lang w:val="hu-HU"/>
              </w:rPr>
            </w:pPr>
            <w:r w:rsidRPr="00F7245E">
              <w:rPr>
                <w:w w:val="105"/>
              </w:rPr>
              <w:t>n (%)</w:t>
            </w:r>
          </w:p>
        </w:tc>
        <w:tc>
          <w:tcPr>
            <w:tcW w:w="1701" w:type="dxa"/>
          </w:tcPr>
          <w:p w14:paraId="3564CCF8" w14:textId="77777777" w:rsidR="00B62AE4" w:rsidRPr="00F7245E" w:rsidRDefault="00B62AE4" w:rsidP="00A21724">
            <w:pPr>
              <w:pStyle w:val="TableParagraph"/>
              <w:rPr>
                <w:lang w:val="hu-HU"/>
              </w:rPr>
            </w:pPr>
          </w:p>
        </w:tc>
        <w:tc>
          <w:tcPr>
            <w:tcW w:w="1663" w:type="dxa"/>
          </w:tcPr>
          <w:p w14:paraId="771812BE" w14:textId="77777777" w:rsidR="00B62AE4" w:rsidRPr="00F7245E" w:rsidRDefault="00B62AE4" w:rsidP="00A21724">
            <w:pPr>
              <w:pStyle w:val="TableParagraph"/>
              <w:rPr>
                <w:lang w:val="hu-HU"/>
              </w:rPr>
            </w:pPr>
          </w:p>
        </w:tc>
      </w:tr>
      <w:tr w:rsidR="00FD2360" w:rsidRPr="00F7245E" w14:paraId="38F14888" w14:textId="77777777" w:rsidTr="00C72379">
        <w:trPr>
          <w:trHeight w:val="284"/>
        </w:trPr>
        <w:tc>
          <w:tcPr>
            <w:tcW w:w="1558" w:type="dxa"/>
            <w:tcBorders>
              <w:bottom w:val="nil"/>
            </w:tcBorders>
          </w:tcPr>
          <w:p w14:paraId="554145EB" w14:textId="77777777" w:rsidR="00FD2360" w:rsidRPr="00F7245E" w:rsidRDefault="00FD2360" w:rsidP="00A21724">
            <w:pPr>
              <w:pStyle w:val="TableParagraph"/>
              <w:ind w:left="100"/>
              <w:rPr>
                <w:lang w:val="hu-HU"/>
              </w:rPr>
            </w:pPr>
            <w:r w:rsidRPr="00F7245E">
              <w:rPr>
                <w:w w:val="105"/>
              </w:rPr>
              <w:t>Ismételt VTE</w:t>
            </w:r>
          </w:p>
        </w:tc>
        <w:tc>
          <w:tcPr>
            <w:tcW w:w="1277" w:type="dxa"/>
            <w:vMerge w:val="restart"/>
          </w:tcPr>
          <w:p w14:paraId="44242F66" w14:textId="77777777" w:rsidR="00FD2360" w:rsidRPr="00F7245E" w:rsidRDefault="00FD2360" w:rsidP="00A21724">
            <w:pPr>
              <w:pStyle w:val="TableParagraph"/>
              <w:ind w:left="141" w:right="138"/>
              <w:jc w:val="center"/>
              <w:rPr>
                <w:lang w:val="hu-HU"/>
              </w:rPr>
            </w:pPr>
            <w:r w:rsidRPr="00F7245E">
              <w:rPr>
                <w:w w:val="105"/>
              </w:rPr>
              <w:t>19 (2,3)</w:t>
            </w:r>
          </w:p>
        </w:tc>
        <w:tc>
          <w:tcPr>
            <w:tcW w:w="1418" w:type="dxa"/>
            <w:vMerge w:val="restart"/>
          </w:tcPr>
          <w:p w14:paraId="3B3B2C87" w14:textId="77777777" w:rsidR="00FD2360" w:rsidRPr="00F7245E" w:rsidRDefault="00FD2360" w:rsidP="00A21724">
            <w:pPr>
              <w:pStyle w:val="TableParagraph"/>
              <w:ind w:right="142" w:hanging="5"/>
              <w:jc w:val="center"/>
              <w:rPr>
                <w:lang w:val="hu-HU"/>
              </w:rPr>
            </w:pPr>
            <w:r w:rsidRPr="00F7245E">
              <w:rPr>
                <w:w w:val="105"/>
              </w:rPr>
              <w:t>14 (1,7)</w:t>
            </w:r>
          </w:p>
        </w:tc>
        <w:tc>
          <w:tcPr>
            <w:tcW w:w="1276" w:type="dxa"/>
            <w:vMerge w:val="restart"/>
          </w:tcPr>
          <w:p w14:paraId="68281407" w14:textId="77777777" w:rsidR="00FD2360" w:rsidRPr="00F7245E" w:rsidRDefault="00FD2360" w:rsidP="00A21724">
            <w:pPr>
              <w:pStyle w:val="TableParagraph"/>
              <w:ind w:left="182" w:right="174"/>
              <w:jc w:val="center"/>
              <w:rPr>
                <w:lang w:val="hu-HU"/>
              </w:rPr>
            </w:pPr>
            <w:r w:rsidRPr="00F7245E">
              <w:rPr>
                <w:w w:val="105"/>
              </w:rPr>
              <w:t>77 (9,3)</w:t>
            </w:r>
          </w:p>
        </w:tc>
        <w:tc>
          <w:tcPr>
            <w:tcW w:w="1701" w:type="dxa"/>
            <w:vMerge w:val="restart"/>
          </w:tcPr>
          <w:p w14:paraId="67ACB5A2" w14:textId="77777777" w:rsidR="00FD2360" w:rsidRPr="00F7245E" w:rsidRDefault="00FD2360" w:rsidP="00A21724">
            <w:pPr>
              <w:pStyle w:val="Nincstrkz"/>
              <w:jc w:val="center"/>
              <w:rPr>
                <w:rFonts w:cs="Times New Roman"/>
                <w:lang w:val="hu-HU"/>
              </w:rPr>
            </w:pPr>
            <w:r w:rsidRPr="00F7245E">
              <w:rPr>
                <w:rFonts w:cs="Times New Roman"/>
                <w:w w:val="105"/>
              </w:rPr>
              <w:t>0,24</w:t>
            </w:r>
          </w:p>
          <w:p w14:paraId="64953A57" w14:textId="67C0F791" w:rsidR="00FD2360" w:rsidRPr="00F7245E" w:rsidRDefault="00FD2360" w:rsidP="00A21724">
            <w:pPr>
              <w:pStyle w:val="Nincstrkz"/>
              <w:jc w:val="center"/>
              <w:rPr>
                <w:rFonts w:cs="Times New Roman"/>
                <w:lang w:val="hu-HU"/>
              </w:rPr>
            </w:pPr>
            <w:r w:rsidRPr="00F7245E">
              <w:rPr>
                <w:rFonts w:cs="Times New Roman"/>
                <w:w w:val="105"/>
              </w:rPr>
              <w:t>(0,15; 0,40)</w:t>
            </w:r>
            <w:r w:rsidRPr="00F7245E">
              <w:rPr>
                <w:rFonts w:cs="Times New Roman"/>
                <w:vertAlign w:val="superscript"/>
              </w:rPr>
              <w:t xml:space="preserve"> ¥</w:t>
            </w:r>
          </w:p>
        </w:tc>
        <w:tc>
          <w:tcPr>
            <w:tcW w:w="1663" w:type="dxa"/>
            <w:vMerge w:val="restart"/>
          </w:tcPr>
          <w:p w14:paraId="64B12C5A" w14:textId="77777777" w:rsidR="00FD2360" w:rsidRPr="00F7245E" w:rsidRDefault="00FD2360" w:rsidP="00A21724">
            <w:pPr>
              <w:pStyle w:val="Nincstrkz"/>
              <w:jc w:val="center"/>
              <w:rPr>
                <w:rFonts w:cs="Times New Roman"/>
                <w:lang w:val="hu-HU"/>
              </w:rPr>
            </w:pPr>
            <w:r w:rsidRPr="00F7245E">
              <w:rPr>
                <w:rFonts w:cs="Times New Roman"/>
                <w:w w:val="105"/>
              </w:rPr>
              <w:t>0,19</w:t>
            </w:r>
          </w:p>
          <w:p w14:paraId="4BEC07BA" w14:textId="7BFF6EDB" w:rsidR="00FD2360" w:rsidRPr="00F7245E" w:rsidRDefault="00FD2360" w:rsidP="00A21724">
            <w:pPr>
              <w:pStyle w:val="Nincstrkz"/>
              <w:jc w:val="center"/>
              <w:rPr>
                <w:rFonts w:cs="Times New Roman"/>
                <w:lang w:val="hu-HU"/>
              </w:rPr>
            </w:pPr>
            <w:r w:rsidRPr="00F7245E">
              <w:rPr>
                <w:rFonts w:cs="Times New Roman"/>
                <w:w w:val="105"/>
              </w:rPr>
              <w:t>(0,11; 0,33)</w:t>
            </w:r>
            <w:r w:rsidRPr="00F7245E">
              <w:rPr>
                <w:rFonts w:cs="Times New Roman"/>
                <w:vertAlign w:val="superscript"/>
              </w:rPr>
              <w:t xml:space="preserve"> ¥</w:t>
            </w:r>
          </w:p>
        </w:tc>
      </w:tr>
      <w:tr w:rsidR="00FD2360" w:rsidRPr="00F7245E" w14:paraId="11481209" w14:textId="77777777" w:rsidTr="00C72379">
        <w:trPr>
          <w:trHeight w:val="516"/>
        </w:trPr>
        <w:tc>
          <w:tcPr>
            <w:tcW w:w="1558" w:type="dxa"/>
            <w:tcBorders>
              <w:top w:val="nil"/>
            </w:tcBorders>
          </w:tcPr>
          <w:p w14:paraId="1B785AB5" w14:textId="15550947" w:rsidR="00FD2360" w:rsidRPr="00F7245E" w:rsidRDefault="00FD2360" w:rsidP="00A21724">
            <w:pPr>
              <w:pStyle w:val="TableParagraph"/>
              <w:ind w:left="100"/>
              <w:rPr>
                <w:lang w:val="hu-HU"/>
              </w:rPr>
            </w:pPr>
            <w:r w:rsidRPr="00F7245E">
              <w:rPr>
                <w:w w:val="105"/>
              </w:rPr>
              <w:t xml:space="preserve">vagy </w:t>
            </w:r>
            <w:r w:rsidR="00FF3975" w:rsidRPr="00F7245E">
              <w:rPr>
                <w:w w:val="105"/>
              </w:rPr>
              <w:t>bármilyen okból bekövetkező mo</w:t>
            </w:r>
            <w:r w:rsidRPr="00F7245E">
              <w:t>rtalitás</w:t>
            </w:r>
          </w:p>
        </w:tc>
        <w:tc>
          <w:tcPr>
            <w:tcW w:w="1277" w:type="dxa"/>
            <w:vMerge/>
            <w:vAlign w:val="center"/>
          </w:tcPr>
          <w:p w14:paraId="733C884D" w14:textId="77777777" w:rsidR="00FD2360" w:rsidRPr="00F7245E" w:rsidRDefault="00FD2360" w:rsidP="00A21724">
            <w:pPr>
              <w:pStyle w:val="TableParagraph"/>
              <w:jc w:val="center"/>
              <w:rPr>
                <w:lang w:val="hu-HU"/>
              </w:rPr>
            </w:pPr>
          </w:p>
        </w:tc>
        <w:tc>
          <w:tcPr>
            <w:tcW w:w="1418" w:type="dxa"/>
            <w:vMerge/>
            <w:vAlign w:val="center"/>
          </w:tcPr>
          <w:p w14:paraId="7445D4CD" w14:textId="77777777" w:rsidR="00FD2360" w:rsidRPr="00F7245E" w:rsidRDefault="00FD2360" w:rsidP="00A21724">
            <w:pPr>
              <w:pStyle w:val="TableParagraph"/>
              <w:jc w:val="center"/>
              <w:rPr>
                <w:lang w:val="hu-HU"/>
              </w:rPr>
            </w:pPr>
          </w:p>
        </w:tc>
        <w:tc>
          <w:tcPr>
            <w:tcW w:w="1276" w:type="dxa"/>
            <w:vMerge/>
            <w:vAlign w:val="center"/>
          </w:tcPr>
          <w:p w14:paraId="3601ACCB" w14:textId="77777777" w:rsidR="00FD2360" w:rsidRPr="00F7245E" w:rsidRDefault="00FD2360" w:rsidP="00A21724">
            <w:pPr>
              <w:pStyle w:val="TableParagraph"/>
              <w:jc w:val="center"/>
              <w:rPr>
                <w:lang w:val="hu-HU"/>
              </w:rPr>
            </w:pPr>
          </w:p>
        </w:tc>
        <w:tc>
          <w:tcPr>
            <w:tcW w:w="1701" w:type="dxa"/>
            <w:vMerge/>
            <w:vAlign w:val="center"/>
          </w:tcPr>
          <w:p w14:paraId="794EA602" w14:textId="68D8FE9D" w:rsidR="00FD2360" w:rsidRPr="00F7245E" w:rsidRDefault="00FD2360" w:rsidP="00A21724">
            <w:pPr>
              <w:pStyle w:val="TableParagraph"/>
              <w:ind w:right="322"/>
              <w:jc w:val="center"/>
              <w:rPr>
                <w:lang w:val="hu-HU"/>
              </w:rPr>
            </w:pPr>
          </w:p>
        </w:tc>
        <w:tc>
          <w:tcPr>
            <w:tcW w:w="1663" w:type="dxa"/>
            <w:vMerge/>
            <w:vAlign w:val="center"/>
          </w:tcPr>
          <w:p w14:paraId="594398C1" w14:textId="386A64FE" w:rsidR="00FD2360" w:rsidRPr="00F7245E" w:rsidRDefault="00FD2360" w:rsidP="00A21724">
            <w:pPr>
              <w:pStyle w:val="TableParagraph"/>
              <w:ind w:right="378"/>
              <w:jc w:val="center"/>
              <w:rPr>
                <w:lang w:val="hu-HU"/>
              </w:rPr>
            </w:pPr>
          </w:p>
        </w:tc>
      </w:tr>
      <w:tr w:rsidR="00B62AE4" w:rsidRPr="00F7245E" w14:paraId="1E9F55D1" w14:textId="77777777" w:rsidTr="00C72379">
        <w:trPr>
          <w:trHeight w:val="341"/>
        </w:trPr>
        <w:tc>
          <w:tcPr>
            <w:tcW w:w="1558" w:type="dxa"/>
          </w:tcPr>
          <w:p w14:paraId="14E8A8A8" w14:textId="5AFF8EA7" w:rsidR="00B62AE4" w:rsidRPr="00F7245E" w:rsidRDefault="00B62AE4" w:rsidP="00A21724">
            <w:pPr>
              <w:pStyle w:val="TableParagraph"/>
              <w:ind w:left="284"/>
              <w:rPr>
                <w:lang w:val="hu-HU"/>
              </w:rPr>
            </w:pPr>
            <w:r w:rsidRPr="00F7245E">
              <w:rPr>
                <w:w w:val="105"/>
              </w:rPr>
              <w:t>MVT</w:t>
            </w:r>
            <w:r w:rsidR="00FD2360" w:rsidRPr="00F7245E">
              <w:t>*</w:t>
            </w:r>
          </w:p>
        </w:tc>
        <w:tc>
          <w:tcPr>
            <w:tcW w:w="1277" w:type="dxa"/>
            <w:vAlign w:val="center"/>
          </w:tcPr>
          <w:p w14:paraId="3C9AF026" w14:textId="77777777" w:rsidR="00B62AE4" w:rsidRPr="00F7245E" w:rsidRDefault="00B62AE4" w:rsidP="00A21724">
            <w:pPr>
              <w:pStyle w:val="TableParagraph"/>
              <w:ind w:left="141" w:right="136"/>
              <w:jc w:val="center"/>
              <w:rPr>
                <w:lang w:val="hu-HU"/>
              </w:rPr>
            </w:pPr>
            <w:r w:rsidRPr="00F7245E">
              <w:rPr>
                <w:w w:val="105"/>
              </w:rPr>
              <w:t>6 (0,7)</w:t>
            </w:r>
          </w:p>
        </w:tc>
        <w:tc>
          <w:tcPr>
            <w:tcW w:w="1418" w:type="dxa"/>
            <w:vAlign w:val="center"/>
          </w:tcPr>
          <w:p w14:paraId="1EFBC7B6" w14:textId="77777777" w:rsidR="00B62AE4" w:rsidRPr="00F7245E" w:rsidRDefault="00B62AE4" w:rsidP="00A21724">
            <w:pPr>
              <w:pStyle w:val="TableParagraph"/>
              <w:ind w:left="149" w:right="142"/>
              <w:jc w:val="center"/>
              <w:rPr>
                <w:lang w:val="hu-HU"/>
              </w:rPr>
            </w:pPr>
            <w:r w:rsidRPr="00F7245E">
              <w:rPr>
                <w:w w:val="105"/>
              </w:rPr>
              <w:t>7 (0,9)</w:t>
            </w:r>
          </w:p>
        </w:tc>
        <w:tc>
          <w:tcPr>
            <w:tcW w:w="1276" w:type="dxa"/>
            <w:vAlign w:val="center"/>
          </w:tcPr>
          <w:p w14:paraId="3C2945CB" w14:textId="77777777" w:rsidR="00B62AE4" w:rsidRPr="00F7245E" w:rsidRDefault="00B62AE4" w:rsidP="00A21724">
            <w:pPr>
              <w:pStyle w:val="TableParagraph"/>
              <w:ind w:left="182" w:right="173"/>
              <w:jc w:val="center"/>
              <w:rPr>
                <w:lang w:val="hu-HU"/>
              </w:rPr>
            </w:pPr>
            <w:r w:rsidRPr="00F7245E">
              <w:rPr>
                <w:w w:val="105"/>
              </w:rPr>
              <w:t>53 (6,4)</w:t>
            </w:r>
          </w:p>
        </w:tc>
        <w:tc>
          <w:tcPr>
            <w:tcW w:w="1701" w:type="dxa"/>
            <w:vAlign w:val="center"/>
          </w:tcPr>
          <w:p w14:paraId="16674AD3" w14:textId="77777777" w:rsidR="00B62AE4" w:rsidRPr="00F7245E" w:rsidRDefault="00B62AE4" w:rsidP="00A21724">
            <w:pPr>
              <w:pStyle w:val="TableParagraph"/>
              <w:jc w:val="center"/>
              <w:rPr>
                <w:lang w:val="hu-HU"/>
              </w:rPr>
            </w:pPr>
          </w:p>
        </w:tc>
        <w:tc>
          <w:tcPr>
            <w:tcW w:w="1663" w:type="dxa"/>
            <w:vAlign w:val="center"/>
          </w:tcPr>
          <w:p w14:paraId="13AE3E79" w14:textId="77777777" w:rsidR="00B62AE4" w:rsidRPr="00F7245E" w:rsidRDefault="00B62AE4" w:rsidP="00A21724">
            <w:pPr>
              <w:pStyle w:val="TableParagraph"/>
              <w:jc w:val="center"/>
              <w:rPr>
                <w:lang w:val="hu-HU"/>
              </w:rPr>
            </w:pPr>
          </w:p>
        </w:tc>
      </w:tr>
      <w:tr w:rsidR="00B62AE4" w:rsidRPr="00F7245E" w14:paraId="0B224548" w14:textId="77777777" w:rsidTr="00C72379">
        <w:trPr>
          <w:trHeight w:val="340"/>
        </w:trPr>
        <w:tc>
          <w:tcPr>
            <w:tcW w:w="1558" w:type="dxa"/>
          </w:tcPr>
          <w:p w14:paraId="61ABECB2" w14:textId="0864C574" w:rsidR="00B62AE4" w:rsidRPr="00F7245E" w:rsidRDefault="00B62AE4" w:rsidP="00A21724">
            <w:pPr>
              <w:pStyle w:val="TableParagraph"/>
              <w:ind w:left="284"/>
              <w:rPr>
                <w:lang w:val="hu-HU"/>
              </w:rPr>
            </w:pPr>
            <w:r w:rsidRPr="00F7245E">
              <w:rPr>
                <w:w w:val="105"/>
              </w:rPr>
              <w:t>PE</w:t>
            </w:r>
            <w:r w:rsidR="00FD2360" w:rsidRPr="00F7245E">
              <w:t>*</w:t>
            </w:r>
          </w:p>
        </w:tc>
        <w:tc>
          <w:tcPr>
            <w:tcW w:w="1277" w:type="dxa"/>
            <w:vAlign w:val="center"/>
          </w:tcPr>
          <w:p w14:paraId="1BA4443B" w14:textId="77777777" w:rsidR="00B62AE4" w:rsidRPr="00F7245E" w:rsidRDefault="00B62AE4" w:rsidP="00A21724">
            <w:pPr>
              <w:pStyle w:val="TableParagraph"/>
              <w:ind w:left="141" w:right="136"/>
              <w:jc w:val="center"/>
              <w:rPr>
                <w:lang w:val="hu-HU"/>
              </w:rPr>
            </w:pPr>
            <w:r w:rsidRPr="00F7245E">
              <w:rPr>
                <w:w w:val="105"/>
              </w:rPr>
              <w:t>7 (0,8)</w:t>
            </w:r>
          </w:p>
        </w:tc>
        <w:tc>
          <w:tcPr>
            <w:tcW w:w="1418" w:type="dxa"/>
            <w:vAlign w:val="center"/>
          </w:tcPr>
          <w:p w14:paraId="07DA3D90" w14:textId="77777777" w:rsidR="00B62AE4" w:rsidRPr="00F7245E" w:rsidRDefault="00B62AE4" w:rsidP="00A21724">
            <w:pPr>
              <w:pStyle w:val="TableParagraph"/>
              <w:ind w:left="149" w:right="142"/>
              <w:jc w:val="center"/>
              <w:rPr>
                <w:lang w:val="hu-HU"/>
              </w:rPr>
            </w:pPr>
            <w:r w:rsidRPr="00F7245E">
              <w:rPr>
                <w:w w:val="105"/>
              </w:rPr>
              <w:t>4 (0,5)</w:t>
            </w:r>
          </w:p>
        </w:tc>
        <w:tc>
          <w:tcPr>
            <w:tcW w:w="1276" w:type="dxa"/>
            <w:vAlign w:val="center"/>
          </w:tcPr>
          <w:p w14:paraId="5A7884A5" w14:textId="77777777" w:rsidR="00B62AE4" w:rsidRPr="00F7245E" w:rsidRDefault="00B62AE4" w:rsidP="00A21724">
            <w:pPr>
              <w:pStyle w:val="TableParagraph"/>
              <w:ind w:left="182" w:right="173"/>
              <w:jc w:val="center"/>
              <w:rPr>
                <w:lang w:val="hu-HU"/>
              </w:rPr>
            </w:pPr>
            <w:r w:rsidRPr="00F7245E">
              <w:rPr>
                <w:w w:val="105"/>
              </w:rPr>
              <w:t>13 (1,6)</w:t>
            </w:r>
          </w:p>
        </w:tc>
        <w:tc>
          <w:tcPr>
            <w:tcW w:w="1701" w:type="dxa"/>
            <w:vAlign w:val="center"/>
          </w:tcPr>
          <w:p w14:paraId="5C8584C8" w14:textId="77777777" w:rsidR="00B62AE4" w:rsidRPr="00F7245E" w:rsidRDefault="00B62AE4" w:rsidP="00A21724">
            <w:pPr>
              <w:pStyle w:val="TableParagraph"/>
              <w:jc w:val="center"/>
              <w:rPr>
                <w:lang w:val="hu-HU"/>
              </w:rPr>
            </w:pPr>
          </w:p>
        </w:tc>
        <w:tc>
          <w:tcPr>
            <w:tcW w:w="1663" w:type="dxa"/>
            <w:vAlign w:val="center"/>
          </w:tcPr>
          <w:p w14:paraId="0943DA81" w14:textId="77777777" w:rsidR="00B62AE4" w:rsidRPr="00F7245E" w:rsidRDefault="00B62AE4" w:rsidP="00A21724">
            <w:pPr>
              <w:pStyle w:val="TableParagraph"/>
              <w:jc w:val="center"/>
              <w:rPr>
                <w:lang w:val="hu-HU"/>
              </w:rPr>
            </w:pPr>
          </w:p>
        </w:tc>
      </w:tr>
      <w:tr w:rsidR="00B62AE4" w:rsidRPr="00F7245E" w14:paraId="43C90EB9" w14:textId="77777777" w:rsidTr="00FF3975">
        <w:trPr>
          <w:trHeight w:val="571"/>
        </w:trPr>
        <w:tc>
          <w:tcPr>
            <w:tcW w:w="1558" w:type="dxa"/>
          </w:tcPr>
          <w:p w14:paraId="3CC89A65" w14:textId="65DF0292" w:rsidR="00B62AE4" w:rsidRPr="00F7245E" w:rsidRDefault="00FF3975" w:rsidP="00A21724">
            <w:pPr>
              <w:pStyle w:val="TableParagraph"/>
              <w:ind w:left="284"/>
              <w:rPr>
                <w:lang w:val="hu-HU"/>
              </w:rPr>
            </w:pPr>
            <w:r w:rsidRPr="00F7245E">
              <w:rPr>
                <w:w w:val="105"/>
              </w:rPr>
              <w:t>Bármilyen okból bekövetkező mo</w:t>
            </w:r>
            <w:r w:rsidRPr="00F7245E">
              <w:t xml:space="preserve">rtalitás </w:t>
            </w:r>
          </w:p>
        </w:tc>
        <w:tc>
          <w:tcPr>
            <w:tcW w:w="1277" w:type="dxa"/>
          </w:tcPr>
          <w:p w14:paraId="76D7FA37" w14:textId="77777777" w:rsidR="00B62AE4" w:rsidRPr="00F7245E" w:rsidRDefault="00B62AE4" w:rsidP="00A21724">
            <w:pPr>
              <w:pStyle w:val="TableParagraph"/>
              <w:ind w:left="141" w:right="136"/>
              <w:jc w:val="center"/>
              <w:rPr>
                <w:lang w:val="hu-HU"/>
              </w:rPr>
            </w:pPr>
            <w:r w:rsidRPr="00F7245E">
              <w:rPr>
                <w:w w:val="105"/>
              </w:rPr>
              <w:t>6 (0,7)</w:t>
            </w:r>
          </w:p>
        </w:tc>
        <w:tc>
          <w:tcPr>
            <w:tcW w:w="1418" w:type="dxa"/>
          </w:tcPr>
          <w:p w14:paraId="56A714E7" w14:textId="77777777" w:rsidR="00B62AE4" w:rsidRPr="00F7245E" w:rsidRDefault="00B62AE4" w:rsidP="00A21724">
            <w:pPr>
              <w:pStyle w:val="TableParagraph"/>
              <w:ind w:left="149" w:right="141"/>
              <w:jc w:val="center"/>
              <w:rPr>
                <w:lang w:val="hu-HU"/>
              </w:rPr>
            </w:pPr>
            <w:r w:rsidRPr="00F7245E">
              <w:rPr>
                <w:w w:val="105"/>
              </w:rPr>
              <w:t>3 (0,4)</w:t>
            </w:r>
          </w:p>
        </w:tc>
        <w:tc>
          <w:tcPr>
            <w:tcW w:w="1276" w:type="dxa"/>
          </w:tcPr>
          <w:p w14:paraId="62D9C4BF" w14:textId="77777777" w:rsidR="00B62AE4" w:rsidRPr="00F7245E" w:rsidRDefault="00B62AE4" w:rsidP="00A21724">
            <w:pPr>
              <w:pStyle w:val="TableParagraph"/>
              <w:ind w:left="182" w:right="172"/>
              <w:jc w:val="center"/>
              <w:rPr>
                <w:lang w:val="hu-HU"/>
              </w:rPr>
            </w:pPr>
            <w:r w:rsidRPr="00F7245E">
              <w:rPr>
                <w:w w:val="105"/>
              </w:rPr>
              <w:t>11 (1,3)</w:t>
            </w:r>
          </w:p>
        </w:tc>
        <w:tc>
          <w:tcPr>
            <w:tcW w:w="1701" w:type="dxa"/>
          </w:tcPr>
          <w:p w14:paraId="575DC3A1" w14:textId="77777777" w:rsidR="00B62AE4" w:rsidRPr="00F7245E" w:rsidRDefault="00B62AE4" w:rsidP="00A21724">
            <w:pPr>
              <w:pStyle w:val="TableParagraph"/>
              <w:jc w:val="center"/>
              <w:rPr>
                <w:lang w:val="hu-HU"/>
              </w:rPr>
            </w:pPr>
          </w:p>
        </w:tc>
        <w:tc>
          <w:tcPr>
            <w:tcW w:w="1663" w:type="dxa"/>
          </w:tcPr>
          <w:p w14:paraId="4326D513" w14:textId="77777777" w:rsidR="00B62AE4" w:rsidRPr="00F7245E" w:rsidRDefault="00B62AE4" w:rsidP="00A21724">
            <w:pPr>
              <w:pStyle w:val="TableParagraph"/>
              <w:jc w:val="center"/>
              <w:rPr>
                <w:lang w:val="hu-HU"/>
              </w:rPr>
            </w:pPr>
          </w:p>
        </w:tc>
      </w:tr>
      <w:tr w:rsidR="00B62AE4" w:rsidRPr="00F7245E" w14:paraId="1AB61861" w14:textId="77777777" w:rsidTr="00C72379">
        <w:trPr>
          <w:trHeight w:val="1028"/>
        </w:trPr>
        <w:tc>
          <w:tcPr>
            <w:tcW w:w="1558" w:type="dxa"/>
          </w:tcPr>
          <w:p w14:paraId="13469A5D" w14:textId="77777777" w:rsidR="00B62AE4" w:rsidRPr="00F7245E" w:rsidRDefault="00B62AE4" w:rsidP="00A21724">
            <w:pPr>
              <w:pStyle w:val="TableParagraph"/>
              <w:ind w:left="100"/>
              <w:rPr>
                <w:lang w:val="hu-HU"/>
              </w:rPr>
            </w:pPr>
            <w:r w:rsidRPr="00F7245E">
              <w:rPr>
                <w:w w:val="105"/>
              </w:rPr>
              <w:t>Ismételt VTE vagy VTE-vel összefüggő halálozás</w:t>
            </w:r>
          </w:p>
        </w:tc>
        <w:tc>
          <w:tcPr>
            <w:tcW w:w="1277" w:type="dxa"/>
          </w:tcPr>
          <w:p w14:paraId="169C9C62" w14:textId="77777777" w:rsidR="00B62AE4" w:rsidRPr="00F7245E" w:rsidRDefault="00B62AE4" w:rsidP="00A21724">
            <w:pPr>
              <w:pStyle w:val="TableParagraph"/>
              <w:ind w:left="141" w:right="138"/>
              <w:jc w:val="center"/>
              <w:rPr>
                <w:lang w:val="hu-HU"/>
              </w:rPr>
            </w:pPr>
            <w:r w:rsidRPr="00F7245E">
              <w:rPr>
                <w:w w:val="105"/>
              </w:rPr>
              <w:t>14 (1,7)</w:t>
            </w:r>
          </w:p>
        </w:tc>
        <w:tc>
          <w:tcPr>
            <w:tcW w:w="1418" w:type="dxa"/>
          </w:tcPr>
          <w:p w14:paraId="112810BB" w14:textId="77777777" w:rsidR="00B62AE4" w:rsidRPr="00F7245E" w:rsidRDefault="00B62AE4" w:rsidP="00A21724">
            <w:pPr>
              <w:pStyle w:val="TableParagraph"/>
              <w:ind w:left="149" w:right="142"/>
              <w:jc w:val="center"/>
              <w:rPr>
                <w:lang w:val="hu-HU"/>
              </w:rPr>
            </w:pPr>
            <w:r w:rsidRPr="00F7245E">
              <w:rPr>
                <w:w w:val="105"/>
              </w:rPr>
              <w:t>14 (1,7)</w:t>
            </w:r>
          </w:p>
        </w:tc>
        <w:tc>
          <w:tcPr>
            <w:tcW w:w="1276" w:type="dxa"/>
          </w:tcPr>
          <w:p w14:paraId="49168118" w14:textId="77777777" w:rsidR="00B62AE4" w:rsidRPr="00F7245E" w:rsidRDefault="00B62AE4" w:rsidP="00A21724">
            <w:pPr>
              <w:pStyle w:val="TableParagraph"/>
              <w:ind w:left="182" w:right="174"/>
              <w:jc w:val="center"/>
              <w:rPr>
                <w:lang w:val="hu-HU"/>
              </w:rPr>
            </w:pPr>
            <w:r w:rsidRPr="00F7245E">
              <w:rPr>
                <w:w w:val="105"/>
              </w:rPr>
              <w:t>73 (8,8)</w:t>
            </w:r>
          </w:p>
        </w:tc>
        <w:tc>
          <w:tcPr>
            <w:tcW w:w="1701" w:type="dxa"/>
          </w:tcPr>
          <w:p w14:paraId="7F63412B" w14:textId="77777777" w:rsidR="00B62AE4" w:rsidRPr="00F7245E" w:rsidRDefault="00B62AE4" w:rsidP="00A21724">
            <w:pPr>
              <w:pStyle w:val="Nincstrkz"/>
              <w:jc w:val="center"/>
              <w:rPr>
                <w:rFonts w:cs="Times New Roman"/>
                <w:lang w:val="hu-HU"/>
              </w:rPr>
            </w:pPr>
            <w:r w:rsidRPr="00F7245E">
              <w:rPr>
                <w:rFonts w:cs="Times New Roman"/>
                <w:w w:val="105"/>
              </w:rPr>
              <w:t>0,19</w:t>
            </w:r>
          </w:p>
          <w:p w14:paraId="1DC80B74" w14:textId="77777777" w:rsidR="00B62AE4" w:rsidRPr="00F7245E" w:rsidRDefault="00B62AE4" w:rsidP="00A21724">
            <w:pPr>
              <w:pStyle w:val="Nincstrkz"/>
              <w:jc w:val="center"/>
              <w:rPr>
                <w:rFonts w:cs="Times New Roman"/>
                <w:lang w:val="hu-HU"/>
              </w:rPr>
            </w:pPr>
            <w:r w:rsidRPr="00F7245E">
              <w:rPr>
                <w:rFonts w:cs="Times New Roman"/>
                <w:w w:val="105"/>
              </w:rPr>
              <w:t>(0,11; 0,33)</w:t>
            </w:r>
          </w:p>
        </w:tc>
        <w:tc>
          <w:tcPr>
            <w:tcW w:w="1663" w:type="dxa"/>
          </w:tcPr>
          <w:p w14:paraId="1E6C2C4C" w14:textId="77777777" w:rsidR="00B62AE4" w:rsidRPr="00F7245E" w:rsidRDefault="00B62AE4" w:rsidP="00A21724">
            <w:pPr>
              <w:pStyle w:val="Nincstrkz"/>
              <w:jc w:val="center"/>
              <w:rPr>
                <w:rFonts w:cs="Times New Roman"/>
                <w:lang w:val="hu-HU"/>
              </w:rPr>
            </w:pPr>
            <w:r w:rsidRPr="00F7245E">
              <w:rPr>
                <w:rFonts w:cs="Times New Roman"/>
                <w:w w:val="105"/>
              </w:rPr>
              <w:t>0,20</w:t>
            </w:r>
          </w:p>
          <w:p w14:paraId="36EC1A34" w14:textId="77777777" w:rsidR="00B62AE4" w:rsidRPr="00F7245E" w:rsidRDefault="00B62AE4" w:rsidP="00A21724">
            <w:pPr>
              <w:pStyle w:val="Nincstrkz"/>
              <w:jc w:val="center"/>
              <w:rPr>
                <w:rFonts w:cs="Times New Roman"/>
                <w:lang w:val="hu-HU"/>
              </w:rPr>
            </w:pPr>
            <w:r w:rsidRPr="00F7245E">
              <w:rPr>
                <w:rFonts w:cs="Times New Roman"/>
                <w:w w:val="105"/>
              </w:rPr>
              <w:t>(0,11; 0,34)</w:t>
            </w:r>
          </w:p>
        </w:tc>
      </w:tr>
      <w:tr w:rsidR="00B62AE4" w:rsidRPr="00F7245E" w14:paraId="5955257F" w14:textId="77777777" w:rsidTr="00C72379">
        <w:trPr>
          <w:trHeight w:val="1029"/>
        </w:trPr>
        <w:tc>
          <w:tcPr>
            <w:tcW w:w="1558" w:type="dxa"/>
          </w:tcPr>
          <w:p w14:paraId="56D212C2" w14:textId="77777777" w:rsidR="00B62AE4" w:rsidRPr="00F7245E" w:rsidRDefault="00B62AE4" w:rsidP="00A21724">
            <w:pPr>
              <w:pStyle w:val="TableParagraph"/>
              <w:ind w:left="100"/>
              <w:rPr>
                <w:lang w:val="hu-HU"/>
              </w:rPr>
            </w:pPr>
            <w:r w:rsidRPr="00F7245E">
              <w:rPr>
                <w:w w:val="105"/>
              </w:rPr>
              <w:t>Ismételt VTE vagy CV eredetű halálozás</w:t>
            </w:r>
          </w:p>
        </w:tc>
        <w:tc>
          <w:tcPr>
            <w:tcW w:w="1277" w:type="dxa"/>
          </w:tcPr>
          <w:p w14:paraId="54268E4B" w14:textId="77777777" w:rsidR="00B62AE4" w:rsidRPr="00F7245E" w:rsidRDefault="00B62AE4" w:rsidP="00A21724">
            <w:pPr>
              <w:pStyle w:val="TableParagraph"/>
              <w:ind w:left="141" w:right="138"/>
              <w:jc w:val="center"/>
              <w:rPr>
                <w:lang w:val="hu-HU"/>
              </w:rPr>
            </w:pPr>
            <w:r w:rsidRPr="00F7245E">
              <w:rPr>
                <w:w w:val="105"/>
              </w:rPr>
              <w:t>14 (1,7)</w:t>
            </w:r>
          </w:p>
        </w:tc>
        <w:tc>
          <w:tcPr>
            <w:tcW w:w="1418" w:type="dxa"/>
          </w:tcPr>
          <w:p w14:paraId="662DA9B6" w14:textId="77777777" w:rsidR="00B62AE4" w:rsidRPr="00F7245E" w:rsidRDefault="00B62AE4" w:rsidP="00A21724">
            <w:pPr>
              <w:pStyle w:val="TableParagraph"/>
              <w:ind w:left="149" w:right="142"/>
              <w:jc w:val="center"/>
              <w:rPr>
                <w:lang w:val="hu-HU"/>
              </w:rPr>
            </w:pPr>
            <w:r w:rsidRPr="00F7245E">
              <w:rPr>
                <w:w w:val="105"/>
              </w:rPr>
              <w:t>14 (1,7)</w:t>
            </w:r>
          </w:p>
        </w:tc>
        <w:tc>
          <w:tcPr>
            <w:tcW w:w="1276" w:type="dxa"/>
          </w:tcPr>
          <w:p w14:paraId="00D49C7D" w14:textId="77777777" w:rsidR="00B62AE4" w:rsidRPr="00F7245E" w:rsidRDefault="00B62AE4" w:rsidP="00A21724">
            <w:pPr>
              <w:pStyle w:val="TableParagraph"/>
              <w:ind w:left="182" w:right="174"/>
              <w:jc w:val="center"/>
              <w:rPr>
                <w:lang w:val="hu-HU"/>
              </w:rPr>
            </w:pPr>
            <w:r w:rsidRPr="00F7245E">
              <w:rPr>
                <w:w w:val="105"/>
              </w:rPr>
              <w:t>76 (9,2)</w:t>
            </w:r>
          </w:p>
        </w:tc>
        <w:tc>
          <w:tcPr>
            <w:tcW w:w="1701" w:type="dxa"/>
          </w:tcPr>
          <w:p w14:paraId="77841410" w14:textId="77777777" w:rsidR="00B62AE4" w:rsidRPr="00F7245E" w:rsidRDefault="00B62AE4" w:rsidP="00A21724">
            <w:pPr>
              <w:pStyle w:val="Nincstrkz"/>
              <w:jc w:val="center"/>
              <w:rPr>
                <w:rFonts w:cs="Times New Roman"/>
                <w:lang w:val="hu-HU"/>
              </w:rPr>
            </w:pPr>
            <w:r w:rsidRPr="00F7245E">
              <w:rPr>
                <w:rFonts w:cs="Times New Roman"/>
                <w:w w:val="105"/>
              </w:rPr>
              <w:t>0,18</w:t>
            </w:r>
          </w:p>
          <w:p w14:paraId="2102B3E9" w14:textId="77777777" w:rsidR="00B62AE4" w:rsidRPr="00F7245E" w:rsidRDefault="00B62AE4" w:rsidP="00A21724">
            <w:pPr>
              <w:pStyle w:val="Nincstrkz"/>
              <w:jc w:val="center"/>
              <w:rPr>
                <w:rFonts w:cs="Times New Roman"/>
                <w:lang w:val="hu-HU"/>
              </w:rPr>
            </w:pPr>
            <w:r w:rsidRPr="00F7245E">
              <w:rPr>
                <w:rFonts w:cs="Times New Roman"/>
                <w:w w:val="105"/>
              </w:rPr>
              <w:t>(0,10; 0,32)</w:t>
            </w:r>
          </w:p>
        </w:tc>
        <w:tc>
          <w:tcPr>
            <w:tcW w:w="1663" w:type="dxa"/>
          </w:tcPr>
          <w:p w14:paraId="7FBCA7AA" w14:textId="77777777" w:rsidR="00B62AE4" w:rsidRPr="00F7245E" w:rsidRDefault="00B62AE4" w:rsidP="00A21724">
            <w:pPr>
              <w:pStyle w:val="Nincstrkz"/>
              <w:jc w:val="center"/>
              <w:rPr>
                <w:rFonts w:cs="Times New Roman"/>
                <w:lang w:val="hu-HU"/>
              </w:rPr>
            </w:pPr>
            <w:r w:rsidRPr="00F7245E">
              <w:rPr>
                <w:rFonts w:cs="Times New Roman"/>
                <w:w w:val="105"/>
              </w:rPr>
              <w:t>0,19</w:t>
            </w:r>
          </w:p>
          <w:p w14:paraId="0379238A" w14:textId="77777777" w:rsidR="00B62AE4" w:rsidRPr="00F7245E" w:rsidRDefault="00B62AE4" w:rsidP="00A21724">
            <w:pPr>
              <w:pStyle w:val="Nincstrkz"/>
              <w:jc w:val="center"/>
              <w:rPr>
                <w:rFonts w:cs="Times New Roman"/>
                <w:lang w:val="hu-HU"/>
              </w:rPr>
            </w:pPr>
            <w:r w:rsidRPr="00F7245E">
              <w:rPr>
                <w:rFonts w:cs="Times New Roman"/>
                <w:w w:val="105"/>
              </w:rPr>
              <w:t>(0,11; 0,33)</w:t>
            </w:r>
          </w:p>
        </w:tc>
      </w:tr>
      <w:tr w:rsidR="00FD2360" w:rsidRPr="00F7245E" w14:paraId="290B84FA" w14:textId="77777777" w:rsidTr="00C72379">
        <w:trPr>
          <w:trHeight w:val="285"/>
        </w:trPr>
        <w:tc>
          <w:tcPr>
            <w:tcW w:w="1558" w:type="dxa"/>
            <w:tcBorders>
              <w:bottom w:val="nil"/>
            </w:tcBorders>
          </w:tcPr>
          <w:p w14:paraId="328C541A" w14:textId="77777777" w:rsidR="00FD2360" w:rsidRPr="00F7245E" w:rsidRDefault="00FD2360" w:rsidP="00A21724">
            <w:pPr>
              <w:pStyle w:val="TableParagraph"/>
              <w:ind w:left="100"/>
              <w:rPr>
                <w:lang w:val="hu-HU"/>
              </w:rPr>
            </w:pPr>
            <w:r w:rsidRPr="00F7245E">
              <w:rPr>
                <w:w w:val="105"/>
              </w:rPr>
              <w:t>Nem halálos</w:t>
            </w:r>
          </w:p>
        </w:tc>
        <w:tc>
          <w:tcPr>
            <w:tcW w:w="1277" w:type="dxa"/>
            <w:vMerge w:val="restart"/>
          </w:tcPr>
          <w:p w14:paraId="4C83308D" w14:textId="77777777" w:rsidR="00FD2360" w:rsidRPr="00F7245E" w:rsidRDefault="00FD2360" w:rsidP="00A21724">
            <w:pPr>
              <w:pStyle w:val="Nincstrkz"/>
              <w:jc w:val="center"/>
              <w:rPr>
                <w:rFonts w:cs="Times New Roman"/>
                <w:lang w:val="hu-HU"/>
              </w:rPr>
            </w:pPr>
            <w:r w:rsidRPr="00F7245E">
              <w:rPr>
                <w:rFonts w:cs="Times New Roman"/>
                <w:w w:val="105"/>
              </w:rPr>
              <w:t>6 (0,7)</w:t>
            </w:r>
          </w:p>
        </w:tc>
        <w:tc>
          <w:tcPr>
            <w:tcW w:w="1418" w:type="dxa"/>
            <w:vMerge w:val="restart"/>
          </w:tcPr>
          <w:p w14:paraId="5FEA7985" w14:textId="77777777" w:rsidR="00FD2360" w:rsidRPr="00F7245E" w:rsidRDefault="00FD2360" w:rsidP="00A21724">
            <w:pPr>
              <w:pStyle w:val="Nincstrkz"/>
              <w:jc w:val="center"/>
              <w:rPr>
                <w:rFonts w:cs="Times New Roman"/>
                <w:lang w:val="hu-HU"/>
              </w:rPr>
            </w:pPr>
            <w:r w:rsidRPr="00F7245E">
              <w:rPr>
                <w:rFonts w:cs="Times New Roman"/>
                <w:w w:val="105"/>
              </w:rPr>
              <w:t>8 (1,0)</w:t>
            </w:r>
          </w:p>
        </w:tc>
        <w:tc>
          <w:tcPr>
            <w:tcW w:w="1276" w:type="dxa"/>
            <w:vMerge w:val="restart"/>
          </w:tcPr>
          <w:p w14:paraId="4144DD86" w14:textId="77777777" w:rsidR="00FD2360" w:rsidRPr="00F7245E" w:rsidRDefault="00FD2360" w:rsidP="00A21724">
            <w:pPr>
              <w:pStyle w:val="Nincstrkz"/>
              <w:jc w:val="center"/>
              <w:rPr>
                <w:rFonts w:cs="Times New Roman"/>
                <w:lang w:val="hu-HU"/>
              </w:rPr>
            </w:pPr>
            <w:r w:rsidRPr="00F7245E">
              <w:rPr>
                <w:rFonts w:cs="Times New Roman"/>
                <w:w w:val="105"/>
              </w:rPr>
              <w:t>53 (6,4)</w:t>
            </w:r>
          </w:p>
        </w:tc>
        <w:tc>
          <w:tcPr>
            <w:tcW w:w="1701" w:type="dxa"/>
            <w:vMerge w:val="restart"/>
          </w:tcPr>
          <w:p w14:paraId="1FF91D01" w14:textId="77777777" w:rsidR="00FD2360" w:rsidRPr="00F7245E" w:rsidRDefault="00FD2360" w:rsidP="00A21724">
            <w:pPr>
              <w:pStyle w:val="Nincstrkz"/>
              <w:jc w:val="center"/>
              <w:rPr>
                <w:rFonts w:cs="Times New Roman"/>
                <w:lang w:val="hu-HU"/>
              </w:rPr>
            </w:pPr>
            <w:r w:rsidRPr="00F7245E">
              <w:rPr>
                <w:rFonts w:cs="Times New Roman"/>
                <w:w w:val="105"/>
              </w:rPr>
              <w:t>0,11</w:t>
            </w:r>
          </w:p>
          <w:p w14:paraId="09F34157" w14:textId="32DA6F47" w:rsidR="00FD2360" w:rsidRPr="00F7245E" w:rsidRDefault="00FD2360" w:rsidP="00A21724">
            <w:pPr>
              <w:pStyle w:val="Nincstrkz"/>
              <w:jc w:val="center"/>
              <w:rPr>
                <w:rFonts w:cs="Times New Roman"/>
                <w:lang w:val="hu-HU"/>
              </w:rPr>
            </w:pPr>
            <w:r w:rsidRPr="00F7245E">
              <w:rPr>
                <w:rFonts w:cs="Times New Roman"/>
                <w:w w:val="105"/>
              </w:rPr>
              <w:t>(0,05; 0,26)</w:t>
            </w:r>
          </w:p>
        </w:tc>
        <w:tc>
          <w:tcPr>
            <w:tcW w:w="1663" w:type="dxa"/>
            <w:vMerge w:val="restart"/>
          </w:tcPr>
          <w:p w14:paraId="5B85E6E7" w14:textId="77777777" w:rsidR="00FD2360" w:rsidRPr="00F7245E" w:rsidRDefault="00FD2360" w:rsidP="00A21724">
            <w:pPr>
              <w:pStyle w:val="Nincstrkz"/>
              <w:jc w:val="center"/>
              <w:rPr>
                <w:rFonts w:cs="Times New Roman"/>
                <w:lang w:val="hu-HU"/>
              </w:rPr>
            </w:pPr>
            <w:r w:rsidRPr="00F7245E">
              <w:rPr>
                <w:rFonts w:cs="Times New Roman"/>
                <w:w w:val="105"/>
              </w:rPr>
              <w:t>0,15</w:t>
            </w:r>
          </w:p>
          <w:p w14:paraId="541E4A0C" w14:textId="3AF8163E" w:rsidR="00FD2360" w:rsidRPr="00F7245E" w:rsidRDefault="00FD2360" w:rsidP="00A21724">
            <w:pPr>
              <w:pStyle w:val="Nincstrkz"/>
              <w:jc w:val="center"/>
              <w:rPr>
                <w:rFonts w:cs="Times New Roman"/>
                <w:lang w:val="hu-HU"/>
              </w:rPr>
            </w:pPr>
            <w:r w:rsidRPr="00F7245E">
              <w:rPr>
                <w:rFonts w:cs="Times New Roman"/>
                <w:w w:val="105"/>
              </w:rPr>
              <w:t>(0,07; 0,32)</w:t>
            </w:r>
          </w:p>
        </w:tc>
      </w:tr>
      <w:tr w:rsidR="00FD2360" w:rsidRPr="00F7245E" w14:paraId="6FC80AE5" w14:textId="77777777" w:rsidTr="00C72379">
        <w:trPr>
          <w:trHeight w:val="397"/>
        </w:trPr>
        <w:tc>
          <w:tcPr>
            <w:tcW w:w="1558" w:type="dxa"/>
            <w:tcBorders>
              <w:top w:val="nil"/>
            </w:tcBorders>
          </w:tcPr>
          <w:p w14:paraId="39F943C3" w14:textId="77777777" w:rsidR="00FD2360" w:rsidRPr="00F7245E" w:rsidRDefault="00FD2360" w:rsidP="00A21724">
            <w:pPr>
              <w:pStyle w:val="TableParagraph"/>
              <w:ind w:left="100"/>
              <w:rPr>
                <w:lang w:val="hu-HU"/>
              </w:rPr>
            </w:pPr>
            <w:r w:rsidRPr="00F7245E">
              <w:rPr>
                <w:w w:val="105"/>
              </w:rPr>
              <w:t>MVT</w:t>
            </w:r>
            <w:r w:rsidRPr="00F7245E">
              <w:rPr>
                <w:w w:val="105"/>
                <w:position w:val="8"/>
              </w:rPr>
              <w:t>†</w:t>
            </w:r>
          </w:p>
        </w:tc>
        <w:tc>
          <w:tcPr>
            <w:tcW w:w="1277" w:type="dxa"/>
            <w:vMerge/>
          </w:tcPr>
          <w:p w14:paraId="2AA95A9F" w14:textId="77777777" w:rsidR="00FD2360" w:rsidRPr="00F7245E" w:rsidRDefault="00FD2360" w:rsidP="00A21724">
            <w:pPr>
              <w:pStyle w:val="Nincstrkz"/>
              <w:jc w:val="center"/>
              <w:rPr>
                <w:rFonts w:cs="Times New Roman"/>
                <w:lang w:val="hu-HU"/>
              </w:rPr>
            </w:pPr>
          </w:p>
        </w:tc>
        <w:tc>
          <w:tcPr>
            <w:tcW w:w="1418" w:type="dxa"/>
            <w:vMerge/>
          </w:tcPr>
          <w:p w14:paraId="3E0643E1" w14:textId="77777777" w:rsidR="00FD2360" w:rsidRPr="00F7245E" w:rsidRDefault="00FD2360" w:rsidP="00A21724">
            <w:pPr>
              <w:pStyle w:val="Nincstrkz"/>
              <w:jc w:val="center"/>
              <w:rPr>
                <w:rFonts w:cs="Times New Roman"/>
                <w:lang w:val="hu-HU"/>
              </w:rPr>
            </w:pPr>
          </w:p>
        </w:tc>
        <w:tc>
          <w:tcPr>
            <w:tcW w:w="1276" w:type="dxa"/>
            <w:vMerge/>
          </w:tcPr>
          <w:p w14:paraId="1166D879" w14:textId="77777777" w:rsidR="00FD2360" w:rsidRPr="00F7245E" w:rsidRDefault="00FD2360" w:rsidP="00A21724">
            <w:pPr>
              <w:pStyle w:val="Nincstrkz"/>
              <w:jc w:val="center"/>
              <w:rPr>
                <w:rFonts w:cs="Times New Roman"/>
                <w:lang w:val="hu-HU"/>
              </w:rPr>
            </w:pPr>
          </w:p>
        </w:tc>
        <w:tc>
          <w:tcPr>
            <w:tcW w:w="1701" w:type="dxa"/>
            <w:vMerge/>
          </w:tcPr>
          <w:p w14:paraId="318B433E" w14:textId="442D7BF4" w:rsidR="00FD2360" w:rsidRPr="00F7245E" w:rsidRDefault="00FD2360" w:rsidP="00A21724">
            <w:pPr>
              <w:pStyle w:val="Nincstrkz"/>
              <w:jc w:val="center"/>
              <w:rPr>
                <w:rFonts w:cs="Times New Roman"/>
                <w:lang w:val="hu-HU"/>
              </w:rPr>
            </w:pPr>
          </w:p>
        </w:tc>
        <w:tc>
          <w:tcPr>
            <w:tcW w:w="1663" w:type="dxa"/>
            <w:vMerge/>
          </w:tcPr>
          <w:p w14:paraId="469F7E96" w14:textId="6CED0280" w:rsidR="00FD2360" w:rsidRPr="00F7245E" w:rsidRDefault="00FD2360" w:rsidP="00A21724">
            <w:pPr>
              <w:pStyle w:val="Nincstrkz"/>
              <w:jc w:val="center"/>
              <w:rPr>
                <w:rFonts w:cs="Times New Roman"/>
                <w:lang w:val="hu-HU"/>
              </w:rPr>
            </w:pPr>
          </w:p>
        </w:tc>
      </w:tr>
      <w:tr w:rsidR="00FD2360" w:rsidRPr="00F7245E" w14:paraId="265D6B39" w14:textId="77777777" w:rsidTr="00C72379">
        <w:trPr>
          <w:trHeight w:val="284"/>
        </w:trPr>
        <w:tc>
          <w:tcPr>
            <w:tcW w:w="1558" w:type="dxa"/>
            <w:tcBorders>
              <w:bottom w:val="nil"/>
            </w:tcBorders>
          </w:tcPr>
          <w:p w14:paraId="6856DB31" w14:textId="77777777" w:rsidR="00FD2360" w:rsidRPr="00F7245E" w:rsidRDefault="00FD2360" w:rsidP="00A21724">
            <w:pPr>
              <w:pStyle w:val="TableParagraph"/>
              <w:ind w:left="100"/>
              <w:rPr>
                <w:lang w:val="hu-HU"/>
              </w:rPr>
            </w:pPr>
            <w:r w:rsidRPr="00F7245E">
              <w:rPr>
                <w:w w:val="105"/>
              </w:rPr>
              <w:t>Nem halálos</w:t>
            </w:r>
          </w:p>
        </w:tc>
        <w:tc>
          <w:tcPr>
            <w:tcW w:w="1277" w:type="dxa"/>
            <w:vMerge w:val="restart"/>
          </w:tcPr>
          <w:p w14:paraId="6723C522" w14:textId="77777777" w:rsidR="00FD2360" w:rsidRPr="00F7245E" w:rsidRDefault="00FD2360" w:rsidP="00A21724">
            <w:pPr>
              <w:pStyle w:val="Nincstrkz"/>
              <w:jc w:val="center"/>
              <w:rPr>
                <w:rFonts w:cs="Times New Roman"/>
                <w:lang w:val="hu-HU"/>
              </w:rPr>
            </w:pPr>
            <w:r w:rsidRPr="00F7245E">
              <w:rPr>
                <w:rFonts w:cs="Times New Roman"/>
                <w:w w:val="105"/>
              </w:rPr>
              <w:t>8 (1,0)</w:t>
            </w:r>
          </w:p>
        </w:tc>
        <w:tc>
          <w:tcPr>
            <w:tcW w:w="1418" w:type="dxa"/>
            <w:vMerge w:val="restart"/>
          </w:tcPr>
          <w:p w14:paraId="624E9D7D" w14:textId="77777777" w:rsidR="00FD2360" w:rsidRPr="00F7245E" w:rsidRDefault="00FD2360" w:rsidP="00A21724">
            <w:pPr>
              <w:pStyle w:val="Nincstrkz"/>
              <w:jc w:val="center"/>
              <w:rPr>
                <w:rFonts w:cs="Times New Roman"/>
                <w:lang w:val="hu-HU"/>
              </w:rPr>
            </w:pPr>
            <w:r w:rsidRPr="00F7245E">
              <w:rPr>
                <w:rFonts w:cs="Times New Roman"/>
                <w:w w:val="105"/>
              </w:rPr>
              <w:t>4 (0,5)</w:t>
            </w:r>
          </w:p>
        </w:tc>
        <w:tc>
          <w:tcPr>
            <w:tcW w:w="1276" w:type="dxa"/>
            <w:vMerge w:val="restart"/>
          </w:tcPr>
          <w:p w14:paraId="7CFCB313" w14:textId="77777777" w:rsidR="00FD2360" w:rsidRPr="00F7245E" w:rsidRDefault="00FD2360" w:rsidP="00A21724">
            <w:pPr>
              <w:pStyle w:val="Nincstrkz"/>
              <w:jc w:val="center"/>
              <w:rPr>
                <w:rFonts w:cs="Times New Roman"/>
                <w:lang w:val="hu-HU"/>
              </w:rPr>
            </w:pPr>
            <w:r w:rsidRPr="00F7245E">
              <w:rPr>
                <w:rFonts w:cs="Times New Roman"/>
                <w:w w:val="105"/>
              </w:rPr>
              <w:t>15 (1,8)</w:t>
            </w:r>
          </w:p>
        </w:tc>
        <w:tc>
          <w:tcPr>
            <w:tcW w:w="1701" w:type="dxa"/>
            <w:vMerge w:val="restart"/>
          </w:tcPr>
          <w:p w14:paraId="2C644CEC" w14:textId="77777777" w:rsidR="00FD2360" w:rsidRPr="00F7245E" w:rsidRDefault="00FD2360" w:rsidP="00A21724">
            <w:pPr>
              <w:pStyle w:val="Nincstrkz"/>
              <w:jc w:val="center"/>
              <w:rPr>
                <w:rFonts w:cs="Times New Roman"/>
                <w:lang w:val="hu-HU"/>
              </w:rPr>
            </w:pPr>
            <w:r w:rsidRPr="00F7245E">
              <w:rPr>
                <w:rFonts w:cs="Times New Roman"/>
                <w:w w:val="105"/>
              </w:rPr>
              <w:t>0,51</w:t>
            </w:r>
          </w:p>
          <w:p w14:paraId="056EEAF9" w14:textId="1EE7D5C0" w:rsidR="00FD2360" w:rsidRPr="00F7245E" w:rsidRDefault="00FD2360" w:rsidP="00A21724">
            <w:pPr>
              <w:pStyle w:val="Nincstrkz"/>
              <w:jc w:val="center"/>
              <w:rPr>
                <w:rFonts w:cs="Times New Roman"/>
                <w:lang w:val="hu-HU"/>
              </w:rPr>
            </w:pPr>
            <w:r w:rsidRPr="00F7245E">
              <w:rPr>
                <w:rFonts w:cs="Times New Roman"/>
                <w:w w:val="105"/>
              </w:rPr>
              <w:t>(0,22; 1,21)</w:t>
            </w:r>
          </w:p>
        </w:tc>
        <w:tc>
          <w:tcPr>
            <w:tcW w:w="1663" w:type="dxa"/>
            <w:vMerge w:val="restart"/>
          </w:tcPr>
          <w:p w14:paraId="3A7B9EE6" w14:textId="77777777" w:rsidR="00FD2360" w:rsidRPr="00F7245E" w:rsidRDefault="00FD2360" w:rsidP="00A21724">
            <w:pPr>
              <w:pStyle w:val="Nincstrkz"/>
              <w:jc w:val="center"/>
              <w:rPr>
                <w:rFonts w:cs="Times New Roman"/>
                <w:lang w:val="hu-HU"/>
              </w:rPr>
            </w:pPr>
            <w:r w:rsidRPr="00F7245E">
              <w:rPr>
                <w:rFonts w:cs="Times New Roman"/>
                <w:w w:val="105"/>
              </w:rPr>
              <w:t>0,27</w:t>
            </w:r>
          </w:p>
          <w:p w14:paraId="0B390ABB" w14:textId="338BB825" w:rsidR="00FD2360" w:rsidRPr="00F7245E" w:rsidRDefault="00FD2360" w:rsidP="00A21724">
            <w:pPr>
              <w:pStyle w:val="Nincstrkz"/>
              <w:jc w:val="center"/>
              <w:rPr>
                <w:rFonts w:cs="Times New Roman"/>
                <w:lang w:val="hu-HU"/>
              </w:rPr>
            </w:pPr>
            <w:r w:rsidRPr="00F7245E">
              <w:rPr>
                <w:rFonts w:cs="Times New Roman"/>
                <w:w w:val="105"/>
              </w:rPr>
              <w:t>(0,09; 0,80)</w:t>
            </w:r>
          </w:p>
        </w:tc>
      </w:tr>
      <w:tr w:rsidR="00FD2360" w:rsidRPr="00F7245E" w14:paraId="33F726C0" w14:textId="77777777" w:rsidTr="00C72379">
        <w:trPr>
          <w:trHeight w:val="398"/>
        </w:trPr>
        <w:tc>
          <w:tcPr>
            <w:tcW w:w="1558" w:type="dxa"/>
            <w:tcBorders>
              <w:top w:val="nil"/>
            </w:tcBorders>
          </w:tcPr>
          <w:p w14:paraId="68E72187" w14:textId="77777777" w:rsidR="00FD2360" w:rsidRPr="00F7245E" w:rsidRDefault="00FD2360" w:rsidP="00A21724">
            <w:pPr>
              <w:pStyle w:val="TableParagraph"/>
              <w:ind w:left="100"/>
              <w:rPr>
                <w:lang w:val="hu-HU"/>
              </w:rPr>
            </w:pPr>
            <w:r w:rsidRPr="00F7245E">
              <w:rPr>
                <w:w w:val="105"/>
              </w:rPr>
              <w:t>PE</w:t>
            </w:r>
            <w:r w:rsidRPr="00F7245E">
              <w:rPr>
                <w:w w:val="105"/>
                <w:position w:val="8"/>
              </w:rPr>
              <w:t>†</w:t>
            </w:r>
          </w:p>
        </w:tc>
        <w:tc>
          <w:tcPr>
            <w:tcW w:w="1277" w:type="dxa"/>
            <w:vMerge/>
          </w:tcPr>
          <w:p w14:paraId="05FE1E40" w14:textId="77777777" w:rsidR="00FD2360" w:rsidRPr="00F7245E" w:rsidRDefault="00FD2360" w:rsidP="00A21724">
            <w:pPr>
              <w:pStyle w:val="Nincstrkz"/>
              <w:jc w:val="center"/>
              <w:rPr>
                <w:rFonts w:cs="Times New Roman"/>
                <w:lang w:val="hu-HU"/>
              </w:rPr>
            </w:pPr>
          </w:p>
        </w:tc>
        <w:tc>
          <w:tcPr>
            <w:tcW w:w="1418" w:type="dxa"/>
            <w:vMerge/>
          </w:tcPr>
          <w:p w14:paraId="00DB2770" w14:textId="77777777" w:rsidR="00FD2360" w:rsidRPr="00F7245E" w:rsidRDefault="00FD2360" w:rsidP="00A21724">
            <w:pPr>
              <w:pStyle w:val="Nincstrkz"/>
              <w:jc w:val="center"/>
              <w:rPr>
                <w:rFonts w:cs="Times New Roman"/>
                <w:lang w:val="hu-HU"/>
              </w:rPr>
            </w:pPr>
          </w:p>
        </w:tc>
        <w:tc>
          <w:tcPr>
            <w:tcW w:w="1276" w:type="dxa"/>
            <w:vMerge/>
          </w:tcPr>
          <w:p w14:paraId="7284B147" w14:textId="77777777" w:rsidR="00FD2360" w:rsidRPr="00F7245E" w:rsidRDefault="00FD2360" w:rsidP="00A21724">
            <w:pPr>
              <w:pStyle w:val="Nincstrkz"/>
              <w:jc w:val="center"/>
              <w:rPr>
                <w:rFonts w:cs="Times New Roman"/>
                <w:lang w:val="hu-HU"/>
              </w:rPr>
            </w:pPr>
          </w:p>
        </w:tc>
        <w:tc>
          <w:tcPr>
            <w:tcW w:w="1701" w:type="dxa"/>
            <w:vMerge/>
          </w:tcPr>
          <w:p w14:paraId="6791D678" w14:textId="001B24ED" w:rsidR="00FD2360" w:rsidRPr="00F7245E" w:rsidRDefault="00FD2360" w:rsidP="00A21724">
            <w:pPr>
              <w:pStyle w:val="Nincstrkz"/>
              <w:jc w:val="center"/>
              <w:rPr>
                <w:rFonts w:cs="Times New Roman"/>
                <w:lang w:val="hu-HU"/>
              </w:rPr>
            </w:pPr>
          </w:p>
        </w:tc>
        <w:tc>
          <w:tcPr>
            <w:tcW w:w="1663" w:type="dxa"/>
            <w:vMerge/>
          </w:tcPr>
          <w:p w14:paraId="60DDB1B4" w14:textId="1CCE8972" w:rsidR="00FD2360" w:rsidRPr="00F7245E" w:rsidRDefault="00FD2360" w:rsidP="00A21724">
            <w:pPr>
              <w:pStyle w:val="Nincstrkz"/>
              <w:jc w:val="center"/>
              <w:rPr>
                <w:rFonts w:cs="Times New Roman"/>
                <w:lang w:val="hu-HU"/>
              </w:rPr>
            </w:pPr>
          </w:p>
        </w:tc>
      </w:tr>
      <w:tr w:rsidR="00FD2360" w:rsidRPr="00F7245E" w14:paraId="72FBCB8E" w14:textId="77777777" w:rsidTr="00C72379">
        <w:trPr>
          <w:trHeight w:val="285"/>
        </w:trPr>
        <w:tc>
          <w:tcPr>
            <w:tcW w:w="1558" w:type="dxa"/>
            <w:tcBorders>
              <w:bottom w:val="nil"/>
            </w:tcBorders>
          </w:tcPr>
          <w:p w14:paraId="2B965DDB" w14:textId="77777777" w:rsidR="00FD2360" w:rsidRPr="00F7245E" w:rsidRDefault="00FD2360" w:rsidP="00A21724">
            <w:pPr>
              <w:pStyle w:val="TableParagraph"/>
              <w:ind w:left="100"/>
              <w:rPr>
                <w:lang w:val="hu-HU"/>
              </w:rPr>
            </w:pPr>
            <w:r w:rsidRPr="00F7245E">
              <w:rPr>
                <w:w w:val="105"/>
              </w:rPr>
              <w:t>VTE-vel</w:t>
            </w:r>
          </w:p>
        </w:tc>
        <w:tc>
          <w:tcPr>
            <w:tcW w:w="1277" w:type="dxa"/>
            <w:vMerge w:val="restart"/>
          </w:tcPr>
          <w:p w14:paraId="429B66B0" w14:textId="77777777" w:rsidR="00FD2360" w:rsidRPr="00F7245E" w:rsidRDefault="00FD2360" w:rsidP="00A21724">
            <w:pPr>
              <w:pStyle w:val="Nincstrkz"/>
              <w:jc w:val="center"/>
              <w:rPr>
                <w:rFonts w:cs="Times New Roman"/>
                <w:lang w:val="hu-HU"/>
              </w:rPr>
            </w:pPr>
            <w:r w:rsidRPr="00F7245E">
              <w:rPr>
                <w:rFonts w:cs="Times New Roman"/>
                <w:w w:val="105"/>
              </w:rPr>
              <w:t>2 (0,2)</w:t>
            </w:r>
          </w:p>
        </w:tc>
        <w:tc>
          <w:tcPr>
            <w:tcW w:w="1418" w:type="dxa"/>
            <w:vMerge w:val="restart"/>
          </w:tcPr>
          <w:p w14:paraId="5EBF3664" w14:textId="77777777" w:rsidR="00FD2360" w:rsidRPr="00F7245E" w:rsidRDefault="00FD2360" w:rsidP="00A21724">
            <w:pPr>
              <w:pStyle w:val="Nincstrkz"/>
              <w:jc w:val="center"/>
              <w:rPr>
                <w:rFonts w:cs="Times New Roman"/>
                <w:lang w:val="hu-HU"/>
              </w:rPr>
            </w:pPr>
            <w:r w:rsidRPr="00F7245E">
              <w:rPr>
                <w:rFonts w:cs="Times New Roman"/>
                <w:w w:val="105"/>
              </w:rPr>
              <w:t>3 (0,4)</w:t>
            </w:r>
          </w:p>
        </w:tc>
        <w:tc>
          <w:tcPr>
            <w:tcW w:w="1276" w:type="dxa"/>
            <w:vMerge w:val="restart"/>
          </w:tcPr>
          <w:p w14:paraId="68968CF7" w14:textId="77777777" w:rsidR="00FD2360" w:rsidRPr="00F7245E" w:rsidRDefault="00FD2360" w:rsidP="00A21724">
            <w:pPr>
              <w:pStyle w:val="Nincstrkz"/>
              <w:jc w:val="center"/>
              <w:rPr>
                <w:rFonts w:cs="Times New Roman"/>
                <w:lang w:val="hu-HU"/>
              </w:rPr>
            </w:pPr>
            <w:r w:rsidRPr="00F7245E">
              <w:rPr>
                <w:rFonts w:cs="Times New Roman"/>
                <w:w w:val="105"/>
              </w:rPr>
              <w:t>7 (0,8)</w:t>
            </w:r>
          </w:p>
        </w:tc>
        <w:tc>
          <w:tcPr>
            <w:tcW w:w="1701" w:type="dxa"/>
            <w:vMerge w:val="restart"/>
          </w:tcPr>
          <w:p w14:paraId="7016BD92" w14:textId="77777777" w:rsidR="00FD2360" w:rsidRPr="00F7245E" w:rsidRDefault="00FD2360" w:rsidP="00A21724">
            <w:pPr>
              <w:pStyle w:val="Nincstrkz"/>
              <w:jc w:val="center"/>
              <w:rPr>
                <w:rFonts w:cs="Times New Roman"/>
                <w:lang w:val="hu-HU"/>
              </w:rPr>
            </w:pPr>
            <w:r w:rsidRPr="00F7245E">
              <w:rPr>
                <w:rFonts w:cs="Times New Roman"/>
                <w:w w:val="105"/>
              </w:rPr>
              <w:t>0,28</w:t>
            </w:r>
          </w:p>
          <w:p w14:paraId="72AADC7C" w14:textId="33738872" w:rsidR="00FD2360" w:rsidRPr="00F7245E" w:rsidRDefault="00FD2360" w:rsidP="00A21724">
            <w:pPr>
              <w:pStyle w:val="Nincstrkz"/>
              <w:jc w:val="center"/>
              <w:rPr>
                <w:rFonts w:cs="Times New Roman"/>
                <w:lang w:val="hu-HU"/>
              </w:rPr>
            </w:pPr>
            <w:r w:rsidRPr="00F7245E">
              <w:rPr>
                <w:rFonts w:cs="Times New Roman"/>
                <w:w w:val="105"/>
              </w:rPr>
              <w:t>(0,06; 1,37)</w:t>
            </w:r>
          </w:p>
        </w:tc>
        <w:tc>
          <w:tcPr>
            <w:tcW w:w="1663" w:type="dxa"/>
            <w:vMerge w:val="restart"/>
          </w:tcPr>
          <w:p w14:paraId="6B0DAD01" w14:textId="77777777" w:rsidR="00FD2360" w:rsidRPr="00F7245E" w:rsidRDefault="00FD2360" w:rsidP="00A21724">
            <w:pPr>
              <w:pStyle w:val="Nincstrkz"/>
              <w:jc w:val="center"/>
              <w:rPr>
                <w:rFonts w:cs="Times New Roman"/>
                <w:lang w:val="hu-HU"/>
              </w:rPr>
            </w:pPr>
            <w:r w:rsidRPr="00F7245E">
              <w:rPr>
                <w:rFonts w:cs="Times New Roman"/>
                <w:w w:val="105"/>
              </w:rPr>
              <w:t>0,45</w:t>
            </w:r>
          </w:p>
          <w:p w14:paraId="1FD96B73" w14:textId="06B2DFA6" w:rsidR="00FD2360" w:rsidRPr="00F7245E" w:rsidRDefault="00FD2360" w:rsidP="00A21724">
            <w:pPr>
              <w:pStyle w:val="Nincstrkz"/>
              <w:jc w:val="center"/>
              <w:rPr>
                <w:rFonts w:cs="Times New Roman"/>
                <w:lang w:val="hu-HU"/>
              </w:rPr>
            </w:pPr>
            <w:r w:rsidRPr="00F7245E">
              <w:rPr>
                <w:rFonts w:cs="Times New Roman"/>
                <w:w w:val="105"/>
              </w:rPr>
              <w:t>(0,12; 1,71)</w:t>
            </w:r>
          </w:p>
        </w:tc>
      </w:tr>
      <w:tr w:rsidR="00FD2360" w:rsidRPr="00F7245E" w14:paraId="09565C53" w14:textId="77777777" w:rsidTr="00C72379">
        <w:trPr>
          <w:trHeight w:val="514"/>
        </w:trPr>
        <w:tc>
          <w:tcPr>
            <w:tcW w:w="1558" w:type="dxa"/>
            <w:tcBorders>
              <w:top w:val="nil"/>
            </w:tcBorders>
          </w:tcPr>
          <w:p w14:paraId="40BCE9F1" w14:textId="77777777" w:rsidR="00FD2360" w:rsidRPr="00F7245E" w:rsidRDefault="00FD2360" w:rsidP="00A21724">
            <w:pPr>
              <w:pStyle w:val="TableParagraph"/>
              <w:ind w:left="100"/>
              <w:rPr>
                <w:lang w:val="hu-HU"/>
              </w:rPr>
            </w:pPr>
            <w:r w:rsidRPr="00F7245E">
              <w:t xml:space="preserve">összefüggő </w:t>
            </w:r>
            <w:r w:rsidRPr="00F7245E">
              <w:rPr>
                <w:w w:val="105"/>
              </w:rPr>
              <w:t>halálozás</w:t>
            </w:r>
          </w:p>
        </w:tc>
        <w:tc>
          <w:tcPr>
            <w:tcW w:w="1277" w:type="dxa"/>
            <w:vMerge/>
          </w:tcPr>
          <w:p w14:paraId="2A6796FF" w14:textId="77777777" w:rsidR="00FD2360" w:rsidRPr="00F7245E" w:rsidRDefault="00FD2360" w:rsidP="00A21724">
            <w:pPr>
              <w:pStyle w:val="TableParagraph"/>
              <w:rPr>
                <w:lang w:val="hu-HU"/>
              </w:rPr>
            </w:pPr>
          </w:p>
        </w:tc>
        <w:tc>
          <w:tcPr>
            <w:tcW w:w="1418" w:type="dxa"/>
            <w:vMerge/>
          </w:tcPr>
          <w:p w14:paraId="6318834F" w14:textId="77777777" w:rsidR="00FD2360" w:rsidRPr="00F7245E" w:rsidRDefault="00FD2360" w:rsidP="00A21724">
            <w:pPr>
              <w:pStyle w:val="TableParagraph"/>
              <w:rPr>
                <w:lang w:val="hu-HU"/>
              </w:rPr>
            </w:pPr>
          </w:p>
        </w:tc>
        <w:tc>
          <w:tcPr>
            <w:tcW w:w="1276" w:type="dxa"/>
            <w:vMerge/>
          </w:tcPr>
          <w:p w14:paraId="3E726343" w14:textId="77777777" w:rsidR="00FD2360" w:rsidRPr="00F7245E" w:rsidRDefault="00FD2360" w:rsidP="00A21724">
            <w:pPr>
              <w:pStyle w:val="TableParagraph"/>
              <w:rPr>
                <w:lang w:val="hu-HU"/>
              </w:rPr>
            </w:pPr>
          </w:p>
        </w:tc>
        <w:tc>
          <w:tcPr>
            <w:tcW w:w="1701" w:type="dxa"/>
            <w:vMerge/>
          </w:tcPr>
          <w:p w14:paraId="4556DAF4" w14:textId="6EE55C67" w:rsidR="00FD2360" w:rsidRPr="00F7245E" w:rsidRDefault="00FD2360" w:rsidP="00A21724">
            <w:pPr>
              <w:pStyle w:val="TableParagraph"/>
              <w:ind w:left="329" w:right="322"/>
              <w:jc w:val="center"/>
              <w:rPr>
                <w:lang w:val="hu-HU"/>
              </w:rPr>
            </w:pPr>
          </w:p>
        </w:tc>
        <w:tc>
          <w:tcPr>
            <w:tcW w:w="1663" w:type="dxa"/>
            <w:vMerge/>
          </w:tcPr>
          <w:p w14:paraId="301AA5C6" w14:textId="45F1DF3B" w:rsidR="00FD2360" w:rsidRPr="00F7245E" w:rsidRDefault="00FD2360" w:rsidP="00A21724">
            <w:pPr>
              <w:pStyle w:val="TableParagraph"/>
              <w:ind w:left="384" w:right="378"/>
              <w:jc w:val="center"/>
              <w:rPr>
                <w:lang w:val="hu-HU"/>
              </w:rPr>
            </w:pPr>
          </w:p>
        </w:tc>
      </w:tr>
    </w:tbl>
    <w:p w14:paraId="512082E4" w14:textId="145C7B4C" w:rsidR="00B62AE4" w:rsidRPr="00F7245E" w:rsidRDefault="00C72379" w:rsidP="00A21724">
      <w:pPr>
        <w:pStyle w:val="Nincstrkz"/>
        <w:rPr>
          <w:rFonts w:cs="Times New Roman"/>
          <w:sz w:val="20"/>
        </w:rPr>
      </w:pPr>
      <w:r w:rsidRPr="00F7245E">
        <w:rPr>
          <w:rFonts w:cs="Times New Roman"/>
          <w:sz w:val="20"/>
          <w:vertAlign w:val="superscript"/>
        </w:rPr>
        <w:t>¥</w:t>
      </w:r>
      <w:r w:rsidR="00B62AE4" w:rsidRPr="00F7245E">
        <w:rPr>
          <w:rFonts w:cs="Times New Roman"/>
          <w:sz w:val="20"/>
        </w:rPr>
        <w:t>p-érték &lt; 0,0001</w:t>
      </w:r>
    </w:p>
    <w:p w14:paraId="674A3B25" w14:textId="2B625E47" w:rsidR="00B62AE4" w:rsidRPr="00F7245E" w:rsidRDefault="00C72379" w:rsidP="00A21724">
      <w:pPr>
        <w:pStyle w:val="Nincstrkz"/>
        <w:rPr>
          <w:rFonts w:cs="Times New Roman"/>
          <w:sz w:val="20"/>
        </w:rPr>
      </w:pPr>
      <w:r w:rsidRPr="00F7245E">
        <w:rPr>
          <w:rFonts w:cs="Times New Roman"/>
          <w:sz w:val="20"/>
        </w:rPr>
        <w:t>*</w:t>
      </w:r>
      <w:r w:rsidR="00B62AE4" w:rsidRPr="00F7245E">
        <w:rPr>
          <w:rFonts w:cs="Times New Roman"/>
          <w:sz w:val="20"/>
        </w:rPr>
        <w:t>Azoknál</w:t>
      </w:r>
      <w:r w:rsidR="00B62AE4" w:rsidRPr="00F7245E">
        <w:rPr>
          <w:rFonts w:cs="Times New Roman"/>
          <w:spacing w:val="-7"/>
          <w:sz w:val="20"/>
        </w:rPr>
        <w:t xml:space="preserve"> </w:t>
      </w:r>
      <w:r w:rsidR="00B62AE4" w:rsidRPr="00F7245E">
        <w:rPr>
          <w:rFonts w:cs="Times New Roman"/>
          <w:sz w:val="20"/>
        </w:rPr>
        <w:t>a</w:t>
      </w:r>
      <w:r w:rsidR="00A1416D" w:rsidRPr="00F7245E">
        <w:rPr>
          <w:rFonts w:cs="Times New Roman"/>
          <w:spacing w:val="-8"/>
          <w:sz w:val="20"/>
        </w:rPr>
        <w:t> beteg</w:t>
      </w:r>
      <w:r w:rsidR="00B62AE4" w:rsidRPr="00F7245E">
        <w:rPr>
          <w:rFonts w:cs="Times New Roman"/>
          <w:sz w:val="20"/>
        </w:rPr>
        <w:t>eknél,</w:t>
      </w:r>
      <w:r w:rsidR="00B62AE4" w:rsidRPr="00F7245E">
        <w:rPr>
          <w:rFonts w:cs="Times New Roman"/>
          <w:spacing w:val="-8"/>
          <w:sz w:val="20"/>
        </w:rPr>
        <w:t xml:space="preserve"> </w:t>
      </w:r>
      <w:r w:rsidR="00B62AE4" w:rsidRPr="00F7245E">
        <w:rPr>
          <w:rFonts w:cs="Times New Roman"/>
          <w:sz w:val="20"/>
        </w:rPr>
        <w:t>akiknél</w:t>
      </w:r>
      <w:r w:rsidR="00B62AE4" w:rsidRPr="00F7245E">
        <w:rPr>
          <w:rFonts w:cs="Times New Roman"/>
          <w:spacing w:val="-7"/>
          <w:sz w:val="20"/>
        </w:rPr>
        <w:t xml:space="preserve"> </w:t>
      </w:r>
      <w:r w:rsidR="00B62AE4" w:rsidRPr="00F7245E">
        <w:rPr>
          <w:rFonts w:cs="Times New Roman"/>
          <w:sz w:val="20"/>
        </w:rPr>
        <w:t>az</w:t>
      </w:r>
      <w:r w:rsidR="00B62AE4" w:rsidRPr="00F7245E">
        <w:rPr>
          <w:rFonts w:cs="Times New Roman"/>
          <w:spacing w:val="-7"/>
          <w:sz w:val="20"/>
        </w:rPr>
        <w:t xml:space="preserve"> </w:t>
      </w:r>
      <w:r w:rsidR="00B62AE4" w:rsidRPr="00F7245E">
        <w:rPr>
          <w:rFonts w:cs="Times New Roman"/>
          <w:sz w:val="20"/>
        </w:rPr>
        <w:t>összetett</w:t>
      </w:r>
      <w:r w:rsidR="00B62AE4" w:rsidRPr="00F7245E">
        <w:rPr>
          <w:rFonts w:cs="Times New Roman"/>
          <w:spacing w:val="-8"/>
          <w:sz w:val="20"/>
        </w:rPr>
        <w:t xml:space="preserve"> </w:t>
      </w:r>
      <w:r w:rsidR="00B62AE4" w:rsidRPr="00F7245E">
        <w:rPr>
          <w:rFonts w:cs="Times New Roman"/>
          <w:sz w:val="20"/>
        </w:rPr>
        <w:t>végponthoz</w:t>
      </w:r>
      <w:r w:rsidR="00B62AE4" w:rsidRPr="00F7245E">
        <w:rPr>
          <w:rFonts w:cs="Times New Roman"/>
          <w:spacing w:val="-7"/>
          <w:sz w:val="20"/>
        </w:rPr>
        <w:t xml:space="preserve"> </w:t>
      </w:r>
      <w:r w:rsidR="00B62AE4" w:rsidRPr="00F7245E">
        <w:rPr>
          <w:rFonts w:cs="Times New Roman"/>
          <w:sz w:val="20"/>
        </w:rPr>
        <w:t>számított</w:t>
      </w:r>
      <w:r w:rsidR="00B62AE4" w:rsidRPr="00F7245E">
        <w:rPr>
          <w:rFonts w:cs="Times New Roman"/>
          <w:spacing w:val="-7"/>
          <w:sz w:val="20"/>
        </w:rPr>
        <w:t xml:space="preserve"> </w:t>
      </w:r>
      <w:r w:rsidR="00B62AE4" w:rsidRPr="00F7245E">
        <w:rPr>
          <w:rFonts w:cs="Times New Roman"/>
          <w:sz w:val="20"/>
        </w:rPr>
        <w:t>események</w:t>
      </w:r>
      <w:r w:rsidR="00B62AE4" w:rsidRPr="00F7245E">
        <w:rPr>
          <w:rFonts w:cs="Times New Roman"/>
          <w:spacing w:val="-8"/>
          <w:sz w:val="20"/>
        </w:rPr>
        <w:t xml:space="preserve"> </w:t>
      </w:r>
      <w:r w:rsidR="00B62AE4" w:rsidRPr="00F7245E">
        <w:rPr>
          <w:rFonts w:cs="Times New Roman"/>
          <w:sz w:val="20"/>
        </w:rPr>
        <w:t>közül</w:t>
      </w:r>
      <w:r w:rsidR="00B62AE4" w:rsidRPr="00F7245E">
        <w:rPr>
          <w:rFonts w:cs="Times New Roman"/>
          <w:spacing w:val="-8"/>
          <w:sz w:val="20"/>
        </w:rPr>
        <w:t xml:space="preserve"> </w:t>
      </w:r>
      <w:r w:rsidR="00B62AE4" w:rsidRPr="00F7245E">
        <w:rPr>
          <w:rFonts w:cs="Times New Roman"/>
          <w:sz w:val="20"/>
        </w:rPr>
        <w:t>több</w:t>
      </w:r>
      <w:r w:rsidR="00B62AE4" w:rsidRPr="00F7245E">
        <w:rPr>
          <w:rFonts w:cs="Times New Roman"/>
          <w:spacing w:val="-7"/>
          <w:sz w:val="20"/>
        </w:rPr>
        <w:t xml:space="preserve"> </w:t>
      </w:r>
      <w:r w:rsidR="00B62AE4" w:rsidRPr="00F7245E">
        <w:rPr>
          <w:rFonts w:cs="Times New Roman"/>
          <w:sz w:val="20"/>
        </w:rPr>
        <w:t>is</w:t>
      </w:r>
      <w:r w:rsidR="00B62AE4" w:rsidRPr="00F7245E">
        <w:rPr>
          <w:rFonts w:cs="Times New Roman"/>
          <w:spacing w:val="-9"/>
          <w:sz w:val="20"/>
        </w:rPr>
        <w:t xml:space="preserve"> </w:t>
      </w:r>
      <w:r w:rsidR="00B62AE4" w:rsidRPr="00F7245E">
        <w:rPr>
          <w:rFonts w:cs="Times New Roman"/>
          <w:sz w:val="20"/>
        </w:rPr>
        <w:t>előfordult,</w:t>
      </w:r>
      <w:r w:rsidR="00B62AE4" w:rsidRPr="00F7245E">
        <w:rPr>
          <w:rFonts w:cs="Times New Roman"/>
          <w:spacing w:val="-6"/>
          <w:sz w:val="20"/>
        </w:rPr>
        <w:t xml:space="preserve"> </w:t>
      </w:r>
      <w:r w:rsidR="00B62AE4" w:rsidRPr="00F7245E">
        <w:rPr>
          <w:rFonts w:cs="Times New Roman"/>
          <w:sz w:val="20"/>
        </w:rPr>
        <w:t>csak</w:t>
      </w:r>
      <w:r w:rsidR="00B62AE4" w:rsidRPr="00F7245E">
        <w:rPr>
          <w:rFonts w:cs="Times New Roman"/>
          <w:spacing w:val="-7"/>
          <w:sz w:val="20"/>
        </w:rPr>
        <w:t xml:space="preserve"> </w:t>
      </w:r>
      <w:r w:rsidR="00B62AE4" w:rsidRPr="00F7245E">
        <w:rPr>
          <w:rFonts w:cs="Times New Roman"/>
          <w:sz w:val="20"/>
        </w:rPr>
        <w:t>az első eseményt jelentették (ha például egy</w:t>
      </w:r>
      <w:r w:rsidR="00A1416D" w:rsidRPr="00F7245E">
        <w:rPr>
          <w:rFonts w:cs="Times New Roman"/>
          <w:sz w:val="20"/>
        </w:rPr>
        <w:t> beteg</w:t>
      </w:r>
      <w:r w:rsidR="00B62AE4" w:rsidRPr="00F7245E">
        <w:rPr>
          <w:rFonts w:cs="Times New Roman"/>
          <w:sz w:val="20"/>
        </w:rPr>
        <w:t>nél MVT, majd egy PE is előfordult, akkor csak az MVT-t jelentették).</w:t>
      </w:r>
    </w:p>
    <w:p w14:paraId="25CBDDE0" w14:textId="7D6B330E" w:rsidR="00B62AE4" w:rsidRPr="00F7245E" w:rsidRDefault="00C72379" w:rsidP="00A21724">
      <w:pPr>
        <w:pStyle w:val="Nincstrkz"/>
        <w:rPr>
          <w:rFonts w:cs="Times New Roman"/>
          <w:sz w:val="20"/>
        </w:rPr>
      </w:pPr>
      <w:r w:rsidRPr="00F7245E">
        <w:rPr>
          <w:rFonts w:cs="Times New Roman"/>
          <w:sz w:val="20"/>
        </w:rPr>
        <w:t>†</w:t>
      </w:r>
      <w:r w:rsidR="00B62AE4" w:rsidRPr="00F7245E">
        <w:rPr>
          <w:rFonts w:cs="Times New Roman"/>
          <w:sz w:val="20"/>
        </w:rPr>
        <w:t>Az egyes</w:t>
      </w:r>
      <w:r w:rsidRPr="00F7245E">
        <w:rPr>
          <w:rFonts w:cs="Times New Roman"/>
          <w:sz w:val="20"/>
        </w:rPr>
        <w:t xml:space="preserve"> </w:t>
      </w:r>
      <w:r w:rsidR="00A1416D" w:rsidRPr="00F7245E">
        <w:rPr>
          <w:rFonts w:cs="Times New Roman"/>
          <w:sz w:val="20"/>
        </w:rPr>
        <w:t>beteg</w:t>
      </w:r>
      <w:r w:rsidR="00B62AE4" w:rsidRPr="00F7245E">
        <w:rPr>
          <w:rFonts w:cs="Times New Roman"/>
          <w:sz w:val="20"/>
        </w:rPr>
        <w:t>eknél több esemény is bekövetkezhetett, ezért mindkét kateg</w:t>
      </w:r>
      <w:r w:rsidR="0071046D" w:rsidRPr="00F7245E">
        <w:rPr>
          <w:rFonts w:cs="Times New Roman"/>
          <w:sz w:val="20"/>
        </w:rPr>
        <w:t>ór</w:t>
      </w:r>
      <w:r w:rsidR="00B62AE4" w:rsidRPr="00F7245E">
        <w:rPr>
          <w:rFonts w:cs="Times New Roman"/>
          <w:sz w:val="20"/>
        </w:rPr>
        <w:t>iába be lehetett sorolni őket.</w:t>
      </w:r>
    </w:p>
    <w:p w14:paraId="190B8F47" w14:textId="77777777" w:rsidR="00B62AE4" w:rsidRPr="00F7245E" w:rsidRDefault="00B62AE4" w:rsidP="00A21724">
      <w:pPr>
        <w:pStyle w:val="Nincstrkz"/>
        <w:rPr>
          <w:rFonts w:cs="Times New Roman"/>
        </w:rPr>
      </w:pPr>
    </w:p>
    <w:p w14:paraId="4E80BAF6" w14:textId="4C84079E" w:rsidR="00B62AE4" w:rsidRPr="00F7245E" w:rsidRDefault="00B62AE4" w:rsidP="00A21724">
      <w:pPr>
        <w:pStyle w:val="Nincstrkz"/>
        <w:rPr>
          <w:rFonts w:cs="Times New Roman"/>
        </w:rPr>
      </w:pPr>
      <w:r w:rsidRPr="00F7245E">
        <w:rPr>
          <w:rFonts w:cs="Times New Roman"/>
        </w:rPr>
        <w:t xml:space="preserve">Az </w:t>
      </w:r>
      <w:r w:rsidR="00CA2919" w:rsidRPr="00F7245E">
        <w:rPr>
          <w:rFonts w:cs="Times New Roman"/>
        </w:rPr>
        <w:t xml:space="preserve">apixabán </w:t>
      </w:r>
      <w:r w:rsidRPr="00F7245E">
        <w:rPr>
          <w:rFonts w:cs="Times New Roman"/>
        </w:rPr>
        <w:t>megtartotta a kiújuló VTE prevenciójában mutatott hatásosságát az egyes alcsoportokban</w:t>
      </w:r>
      <w:r w:rsidR="00C72379" w:rsidRPr="00F7245E">
        <w:rPr>
          <w:rFonts w:cs="Times New Roman"/>
        </w:rPr>
        <w:t xml:space="preserve">, </w:t>
      </w:r>
      <w:r w:rsidRPr="00F7245E">
        <w:rPr>
          <w:rFonts w:cs="Times New Roman"/>
        </w:rPr>
        <w:t>így az életkor, a nem, a testtömegindex (BMI) vagy a vesefunkció szerinti alcsoportokban.</w:t>
      </w:r>
    </w:p>
    <w:p w14:paraId="3B9144B6" w14:textId="77777777" w:rsidR="00B62AE4" w:rsidRPr="00F7245E" w:rsidRDefault="00B62AE4" w:rsidP="00A21724">
      <w:pPr>
        <w:pStyle w:val="Nincstrkz"/>
        <w:rPr>
          <w:rFonts w:cs="Times New Roman"/>
        </w:rPr>
      </w:pPr>
    </w:p>
    <w:p w14:paraId="4F05CFAF" w14:textId="0257CE74" w:rsidR="00B62AE4" w:rsidRPr="00F7245E" w:rsidRDefault="00B62AE4" w:rsidP="00A21724">
      <w:pPr>
        <w:pStyle w:val="Nincstrkz"/>
        <w:rPr>
          <w:rFonts w:cs="Times New Roman"/>
        </w:rPr>
      </w:pPr>
      <w:r w:rsidRPr="00F7245E">
        <w:rPr>
          <w:rFonts w:cs="Times New Roman"/>
        </w:rPr>
        <w:t xml:space="preserve">Az elsődleges biztonságossági végpont a kezelési időszak alatti nagyfokú vérzés volt. A vizsgálatban a nagyfokú vérzés előfordulási gyakorisága egyik </w:t>
      </w:r>
      <w:r w:rsidR="00CA2919" w:rsidRPr="00F7245E">
        <w:rPr>
          <w:rFonts w:cs="Times New Roman"/>
        </w:rPr>
        <w:t xml:space="preserve">apixabán </w:t>
      </w:r>
      <w:r w:rsidRPr="00F7245E">
        <w:rPr>
          <w:rFonts w:cs="Times New Roman"/>
        </w:rPr>
        <w:t>dózis esetén sem különbözött statisztikailag a placebo esetén észlelttől. Nem volt statisztikailag szignifikáns különbség a nagyfokú + klinikailag jelentős, de nem nagyfokú (CRNM), továbbá a kisfokú és az összes vérzés előfordulási gyakorisága között a</w:t>
      </w:r>
      <w:r w:rsidR="003B67D5" w:rsidRPr="00F7245E">
        <w:rPr>
          <w:rFonts w:cs="Times New Roman"/>
        </w:rPr>
        <w:t> nap</w:t>
      </w:r>
      <w:r w:rsidRPr="00F7245E">
        <w:rPr>
          <w:rFonts w:cs="Times New Roman"/>
        </w:rPr>
        <w:t>onta kétszer 2,5</w:t>
      </w:r>
      <w:r w:rsidR="004C106B" w:rsidRPr="00F7245E">
        <w:rPr>
          <w:rFonts w:cs="Times New Roman"/>
        </w:rPr>
        <w:t> mg</w:t>
      </w:r>
      <w:r w:rsidRPr="00F7245E">
        <w:rPr>
          <w:rFonts w:cs="Times New Roman"/>
        </w:rPr>
        <w:t xml:space="preserve"> </w:t>
      </w:r>
      <w:r w:rsidR="00CA2919" w:rsidRPr="00F7245E">
        <w:rPr>
          <w:rFonts w:cs="Times New Roman"/>
        </w:rPr>
        <w:t xml:space="preserve">apixabán </w:t>
      </w:r>
      <w:r w:rsidRPr="00F7245E">
        <w:rPr>
          <w:rFonts w:cs="Times New Roman"/>
        </w:rPr>
        <w:t>és a placebo terápiás csoportok között (lásd 1</w:t>
      </w:r>
      <w:r w:rsidR="001F3456" w:rsidRPr="00F7245E">
        <w:rPr>
          <w:rFonts w:cs="Times New Roman"/>
        </w:rPr>
        <w:t>4</w:t>
      </w:r>
      <w:r w:rsidRPr="00F7245E">
        <w:rPr>
          <w:rFonts w:cs="Times New Roman"/>
        </w:rPr>
        <w:t>. táblázat).</w:t>
      </w:r>
    </w:p>
    <w:p w14:paraId="2CFD570C" w14:textId="77777777" w:rsidR="00B62AE4" w:rsidRPr="00F7245E" w:rsidRDefault="00B62AE4" w:rsidP="00A21724">
      <w:pPr>
        <w:pStyle w:val="Nincstrkz"/>
        <w:rPr>
          <w:rFonts w:cs="Times New Roman"/>
        </w:rPr>
      </w:pPr>
    </w:p>
    <w:p w14:paraId="0E014579" w14:textId="7D97E7CB" w:rsidR="00B62AE4" w:rsidRPr="00F7245E" w:rsidRDefault="00EA6112" w:rsidP="00A21724">
      <w:pPr>
        <w:pStyle w:val="Cmsor1"/>
        <w:tabs>
          <w:tab w:val="left" w:pos="284"/>
          <w:tab w:val="left" w:pos="426"/>
        </w:tabs>
        <w:ind w:left="0"/>
        <w:rPr>
          <w:sz w:val="22"/>
          <w:szCs w:val="22"/>
        </w:rPr>
      </w:pPr>
      <w:r w:rsidRPr="00F7245E">
        <w:rPr>
          <w:w w:val="105"/>
          <w:sz w:val="22"/>
          <w:szCs w:val="22"/>
        </w:rPr>
        <w:t>1</w:t>
      </w:r>
      <w:r w:rsidR="001F3456" w:rsidRPr="00F7245E">
        <w:rPr>
          <w:w w:val="105"/>
          <w:sz w:val="22"/>
          <w:szCs w:val="22"/>
        </w:rPr>
        <w:t>4</w:t>
      </w:r>
      <w:r w:rsidRPr="00F7245E">
        <w:rPr>
          <w:w w:val="105"/>
          <w:sz w:val="22"/>
          <w:szCs w:val="22"/>
        </w:rPr>
        <w:t>. T</w:t>
      </w:r>
      <w:r w:rsidR="00B62AE4" w:rsidRPr="00F7245E">
        <w:rPr>
          <w:w w:val="105"/>
          <w:sz w:val="22"/>
          <w:szCs w:val="22"/>
        </w:rPr>
        <w:t>áblázat: Az AMPLIFY-EXT vizsgálat vérzési</w:t>
      </w:r>
      <w:r w:rsidR="00B62AE4" w:rsidRPr="00F7245E">
        <w:rPr>
          <w:spacing w:val="-10"/>
          <w:w w:val="105"/>
          <w:sz w:val="22"/>
          <w:szCs w:val="22"/>
        </w:rPr>
        <w:t xml:space="preserve"> </w:t>
      </w:r>
      <w:r w:rsidR="00B62AE4" w:rsidRPr="00F7245E">
        <w:rPr>
          <w:w w:val="105"/>
          <w:sz w:val="22"/>
          <w:szCs w:val="22"/>
        </w:rPr>
        <w:t>eredményei</w:t>
      </w:r>
    </w:p>
    <w:tbl>
      <w:tblPr>
        <w:tblStyle w:val="TableNormal1"/>
        <w:tblW w:w="91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5"/>
        <w:gridCol w:w="1134"/>
        <w:gridCol w:w="1417"/>
        <w:gridCol w:w="1276"/>
        <w:gridCol w:w="1701"/>
        <w:gridCol w:w="1601"/>
      </w:tblGrid>
      <w:tr w:rsidR="00B62AE4" w:rsidRPr="00F7245E" w14:paraId="6852E8CA" w14:textId="77777777" w:rsidTr="00EA6112">
        <w:trPr>
          <w:trHeight w:val="342"/>
        </w:trPr>
        <w:tc>
          <w:tcPr>
            <w:tcW w:w="1985" w:type="dxa"/>
          </w:tcPr>
          <w:p w14:paraId="61D2EBD3" w14:textId="77777777" w:rsidR="00B62AE4" w:rsidRPr="00F7245E" w:rsidRDefault="00B62AE4" w:rsidP="00A21724">
            <w:pPr>
              <w:pStyle w:val="TableParagraph"/>
              <w:rPr>
                <w:lang w:val="hu-HU"/>
              </w:rPr>
            </w:pPr>
          </w:p>
        </w:tc>
        <w:tc>
          <w:tcPr>
            <w:tcW w:w="1134" w:type="dxa"/>
          </w:tcPr>
          <w:p w14:paraId="73ADF8AF" w14:textId="0FA0C279" w:rsidR="00B62AE4" w:rsidRPr="00F7245E" w:rsidRDefault="00B62AE4" w:rsidP="00A21724">
            <w:pPr>
              <w:pStyle w:val="Nincstrkz"/>
              <w:jc w:val="center"/>
              <w:rPr>
                <w:rFonts w:cs="Times New Roman"/>
                <w:b/>
                <w:bCs/>
                <w:lang w:val="hu-HU"/>
              </w:rPr>
            </w:pPr>
            <w:r w:rsidRPr="00F7245E">
              <w:rPr>
                <w:rFonts w:cs="Times New Roman"/>
                <w:b/>
                <w:bCs/>
                <w:w w:val="105"/>
              </w:rPr>
              <w:t>Apixab</w:t>
            </w:r>
            <w:r w:rsidR="00851E6B" w:rsidRPr="00F7245E">
              <w:rPr>
                <w:rFonts w:cs="Times New Roman"/>
                <w:b/>
                <w:bCs/>
                <w:w w:val="105"/>
              </w:rPr>
              <w:t>á</w:t>
            </w:r>
            <w:r w:rsidRPr="00F7245E">
              <w:rPr>
                <w:rFonts w:cs="Times New Roman"/>
                <w:b/>
                <w:bCs/>
                <w:w w:val="105"/>
              </w:rPr>
              <w:t>n</w:t>
            </w:r>
          </w:p>
        </w:tc>
        <w:tc>
          <w:tcPr>
            <w:tcW w:w="1417" w:type="dxa"/>
          </w:tcPr>
          <w:p w14:paraId="742A3527" w14:textId="25514385" w:rsidR="00B62AE4" w:rsidRPr="00F7245E" w:rsidRDefault="00851E6B" w:rsidP="00A21724">
            <w:pPr>
              <w:pStyle w:val="Nincstrkz"/>
              <w:jc w:val="center"/>
              <w:rPr>
                <w:rFonts w:cs="Times New Roman"/>
                <w:b/>
                <w:bCs/>
                <w:lang w:val="hu-HU"/>
              </w:rPr>
            </w:pPr>
            <w:r w:rsidRPr="00F7245E">
              <w:rPr>
                <w:rFonts w:cs="Times New Roman"/>
                <w:b/>
                <w:bCs/>
                <w:w w:val="105"/>
              </w:rPr>
              <w:t>Apixabán</w:t>
            </w:r>
          </w:p>
        </w:tc>
        <w:tc>
          <w:tcPr>
            <w:tcW w:w="1276" w:type="dxa"/>
          </w:tcPr>
          <w:p w14:paraId="12460272" w14:textId="77777777" w:rsidR="00B62AE4" w:rsidRPr="00F7245E" w:rsidRDefault="00B62AE4" w:rsidP="00A21724">
            <w:pPr>
              <w:pStyle w:val="Nincstrkz"/>
              <w:jc w:val="center"/>
              <w:rPr>
                <w:rFonts w:cs="Times New Roman"/>
                <w:b/>
                <w:bCs/>
                <w:lang w:val="hu-HU"/>
              </w:rPr>
            </w:pPr>
            <w:r w:rsidRPr="00F7245E">
              <w:rPr>
                <w:rFonts w:cs="Times New Roman"/>
                <w:b/>
                <w:bCs/>
                <w:w w:val="105"/>
              </w:rPr>
              <w:t>Placebo</w:t>
            </w:r>
          </w:p>
        </w:tc>
        <w:tc>
          <w:tcPr>
            <w:tcW w:w="3302" w:type="dxa"/>
            <w:gridSpan w:val="2"/>
          </w:tcPr>
          <w:p w14:paraId="22D88AD6" w14:textId="77777777" w:rsidR="00B62AE4" w:rsidRPr="00F7245E" w:rsidRDefault="00B62AE4" w:rsidP="00A21724">
            <w:pPr>
              <w:pStyle w:val="Nincstrkz"/>
              <w:jc w:val="center"/>
              <w:rPr>
                <w:rFonts w:cs="Times New Roman"/>
                <w:b/>
                <w:bCs/>
                <w:lang w:val="hu-HU"/>
              </w:rPr>
            </w:pPr>
            <w:r w:rsidRPr="00F7245E">
              <w:rPr>
                <w:rFonts w:cs="Times New Roman"/>
                <w:b/>
                <w:bCs/>
                <w:w w:val="105"/>
              </w:rPr>
              <w:t>Relatív kockázat (95%-os CI)</w:t>
            </w:r>
          </w:p>
        </w:tc>
      </w:tr>
      <w:tr w:rsidR="00B62AE4" w:rsidRPr="00F7245E" w14:paraId="62C5FF76" w14:textId="77777777" w:rsidTr="00EA6112">
        <w:trPr>
          <w:trHeight w:val="682"/>
        </w:trPr>
        <w:tc>
          <w:tcPr>
            <w:tcW w:w="1985" w:type="dxa"/>
          </w:tcPr>
          <w:p w14:paraId="4FB97E4D" w14:textId="77777777" w:rsidR="00B62AE4" w:rsidRPr="00F7245E" w:rsidRDefault="00B62AE4" w:rsidP="00A21724">
            <w:pPr>
              <w:pStyle w:val="TableParagraph"/>
              <w:rPr>
                <w:lang w:val="hu-HU"/>
              </w:rPr>
            </w:pPr>
          </w:p>
        </w:tc>
        <w:tc>
          <w:tcPr>
            <w:tcW w:w="1134" w:type="dxa"/>
          </w:tcPr>
          <w:p w14:paraId="1A2F1F8D" w14:textId="09C9FDD1" w:rsidR="00B62AE4" w:rsidRPr="00F7245E" w:rsidRDefault="00B62AE4" w:rsidP="00A21724">
            <w:pPr>
              <w:pStyle w:val="Nincstrkz"/>
              <w:jc w:val="center"/>
              <w:rPr>
                <w:rFonts w:cs="Times New Roman"/>
                <w:b/>
                <w:bCs/>
                <w:lang w:val="hu-HU"/>
              </w:rPr>
            </w:pPr>
            <w:r w:rsidRPr="00F7245E">
              <w:rPr>
                <w:rFonts w:cs="Times New Roman"/>
                <w:b/>
                <w:bCs/>
                <w:w w:val="105"/>
              </w:rPr>
              <w:t>2,5</w:t>
            </w:r>
            <w:r w:rsidR="004C106B" w:rsidRPr="00F7245E">
              <w:rPr>
                <w:rFonts w:cs="Times New Roman"/>
                <w:b/>
                <w:bCs/>
                <w:w w:val="105"/>
              </w:rPr>
              <w:t> mg</w:t>
            </w:r>
          </w:p>
          <w:p w14:paraId="1CDA13F4" w14:textId="5CB37D44" w:rsidR="00B62AE4" w:rsidRPr="00F7245E" w:rsidRDefault="00B62AE4" w:rsidP="00A21724">
            <w:pPr>
              <w:pStyle w:val="Nincstrkz"/>
              <w:jc w:val="center"/>
              <w:rPr>
                <w:rFonts w:cs="Times New Roman"/>
                <w:lang w:val="hu-HU"/>
              </w:rPr>
            </w:pPr>
            <w:r w:rsidRPr="00F7245E">
              <w:rPr>
                <w:rFonts w:cs="Times New Roman"/>
                <w:w w:val="105"/>
              </w:rPr>
              <w:t>(</w:t>
            </w:r>
            <w:r w:rsidR="007D4C4D" w:rsidRPr="00F7245E">
              <w:rPr>
                <w:rFonts w:cs="Times New Roman"/>
                <w:w w:val="105"/>
              </w:rPr>
              <w:t>N = </w:t>
            </w:r>
            <w:r w:rsidRPr="00F7245E">
              <w:rPr>
                <w:rFonts w:cs="Times New Roman"/>
                <w:w w:val="105"/>
              </w:rPr>
              <w:t>840)</w:t>
            </w:r>
          </w:p>
        </w:tc>
        <w:tc>
          <w:tcPr>
            <w:tcW w:w="1417" w:type="dxa"/>
          </w:tcPr>
          <w:p w14:paraId="753C462A" w14:textId="164CAAAD" w:rsidR="00B62AE4" w:rsidRPr="00F7245E" w:rsidRDefault="00B62AE4" w:rsidP="00A21724">
            <w:pPr>
              <w:pStyle w:val="Nincstrkz"/>
              <w:jc w:val="center"/>
              <w:rPr>
                <w:rFonts w:cs="Times New Roman"/>
                <w:b/>
                <w:bCs/>
                <w:lang w:val="hu-HU"/>
              </w:rPr>
            </w:pPr>
            <w:r w:rsidRPr="00F7245E">
              <w:rPr>
                <w:rFonts w:cs="Times New Roman"/>
                <w:b/>
                <w:bCs/>
                <w:w w:val="105"/>
              </w:rPr>
              <w:t>5,0</w:t>
            </w:r>
            <w:r w:rsidR="004C106B" w:rsidRPr="00F7245E">
              <w:rPr>
                <w:rFonts w:cs="Times New Roman"/>
                <w:b/>
                <w:bCs/>
                <w:w w:val="105"/>
              </w:rPr>
              <w:t> mg</w:t>
            </w:r>
          </w:p>
          <w:p w14:paraId="245CA0E3" w14:textId="6D29CD8E" w:rsidR="00B62AE4" w:rsidRPr="00F7245E" w:rsidRDefault="00B62AE4" w:rsidP="00A21724">
            <w:pPr>
              <w:pStyle w:val="Nincstrkz"/>
              <w:jc w:val="center"/>
              <w:rPr>
                <w:rFonts w:cs="Times New Roman"/>
                <w:lang w:val="hu-HU"/>
              </w:rPr>
            </w:pPr>
            <w:r w:rsidRPr="00F7245E">
              <w:rPr>
                <w:rFonts w:cs="Times New Roman"/>
                <w:w w:val="105"/>
              </w:rPr>
              <w:t>(</w:t>
            </w:r>
            <w:r w:rsidR="007D4C4D" w:rsidRPr="00F7245E">
              <w:rPr>
                <w:rFonts w:cs="Times New Roman"/>
                <w:w w:val="105"/>
              </w:rPr>
              <w:t>N = </w:t>
            </w:r>
            <w:r w:rsidRPr="00F7245E">
              <w:rPr>
                <w:rFonts w:cs="Times New Roman"/>
                <w:w w:val="105"/>
              </w:rPr>
              <w:t>811)</w:t>
            </w:r>
          </w:p>
        </w:tc>
        <w:tc>
          <w:tcPr>
            <w:tcW w:w="1276" w:type="dxa"/>
          </w:tcPr>
          <w:p w14:paraId="1094E009" w14:textId="77777777" w:rsidR="00B62AE4" w:rsidRPr="00F7245E" w:rsidRDefault="00B62AE4" w:rsidP="00A21724">
            <w:pPr>
              <w:pStyle w:val="Nincstrkz"/>
              <w:jc w:val="center"/>
              <w:rPr>
                <w:rFonts w:cs="Times New Roman"/>
                <w:lang w:val="hu-HU"/>
              </w:rPr>
            </w:pPr>
          </w:p>
          <w:p w14:paraId="3A637C42" w14:textId="0E6004A8" w:rsidR="00B62AE4" w:rsidRPr="00F7245E" w:rsidRDefault="00B62AE4" w:rsidP="00A21724">
            <w:pPr>
              <w:pStyle w:val="Nincstrkz"/>
              <w:jc w:val="center"/>
              <w:rPr>
                <w:rFonts w:cs="Times New Roman"/>
                <w:lang w:val="hu-HU"/>
              </w:rPr>
            </w:pPr>
            <w:r w:rsidRPr="00F7245E">
              <w:rPr>
                <w:rFonts w:cs="Times New Roman"/>
                <w:w w:val="105"/>
              </w:rPr>
              <w:t>(</w:t>
            </w:r>
            <w:r w:rsidR="007D4C4D" w:rsidRPr="00F7245E">
              <w:rPr>
                <w:rFonts w:cs="Times New Roman"/>
                <w:w w:val="105"/>
              </w:rPr>
              <w:t>N = </w:t>
            </w:r>
            <w:r w:rsidRPr="00F7245E">
              <w:rPr>
                <w:rFonts w:cs="Times New Roman"/>
                <w:w w:val="105"/>
              </w:rPr>
              <w:t>826)</w:t>
            </w:r>
          </w:p>
        </w:tc>
        <w:tc>
          <w:tcPr>
            <w:tcW w:w="1701" w:type="dxa"/>
          </w:tcPr>
          <w:p w14:paraId="15A2B24A" w14:textId="29776F14" w:rsidR="00B62AE4" w:rsidRPr="00F7245E" w:rsidRDefault="00B62AE4" w:rsidP="00A21724">
            <w:pPr>
              <w:pStyle w:val="Nincstrkz"/>
              <w:jc w:val="center"/>
              <w:rPr>
                <w:rFonts w:cs="Times New Roman"/>
                <w:b/>
                <w:bCs/>
                <w:lang w:val="hu-HU"/>
              </w:rPr>
            </w:pPr>
            <w:r w:rsidRPr="00F7245E">
              <w:rPr>
                <w:rFonts w:cs="Times New Roman"/>
                <w:b/>
                <w:bCs/>
                <w:w w:val="105"/>
              </w:rPr>
              <w:t>Apix 2,5</w:t>
            </w:r>
            <w:r w:rsidR="004C106B" w:rsidRPr="00F7245E">
              <w:rPr>
                <w:rFonts w:cs="Times New Roman"/>
                <w:b/>
                <w:bCs/>
                <w:w w:val="105"/>
              </w:rPr>
              <w:t> mg</w:t>
            </w:r>
          </w:p>
          <w:p w14:paraId="1D9E9135" w14:textId="77777777" w:rsidR="00B62AE4" w:rsidRPr="00F7245E" w:rsidRDefault="00B62AE4" w:rsidP="00A21724">
            <w:pPr>
              <w:pStyle w:val="Nincstrkz"/>
              <w:jc w:val="center"/>
              <w:rPr>
                <w:rFonts w:cs="Times New Roman"/>
                <w:lang w:val="hu-HU"/>
              </w:rPr>
            </w:pPr>
            <w:r w:rsidRPr="00F7245E">
              <w:rPr>
                <w:rFonts w:cs="Times New Roman"/>
                <w:w w:val="105"/>
              </w:rPr>
              <w:t>vs. Placebo</w:t>
            </w:r>
          </w:p>
        </w:tc>
        <w:tc>
          <w:tcPr>
            <w:tcW w:w="1601" w:type="dxa"/>
          </w:tcPr>
          <w:p w14:paraId="67356D4D" w14:textId="55B96561" w:rsidR="00B62AE4" w:rsidRPr="00F7245E" w:rsidRDefault="00B62AE4" w:rsidP="00A21724">
            <w:pPr>
              <w:pStyle w:val="Nincstrkz"/>
              <w:jc w:val="center"/>
              <w:rPr>
                <w:rFonts w:cs="Times New Roman"/>
                <w:b/>
                <w:bCs/>
                <w:lang w:val="hu-HU"/>
              </w:rPr>
            </w:pPr>
            <w:r w:rsidRPr="00F7245E">
              <w:rPr>
                <w:rFonts w:cs="Times New Roman"/>
                <w:b/>
                <w:bCs/>
                <w:w w:val="105"/>
              </w:rPr>
              <w:t>Apix 5,0</w:t>
            </w:r>
            <w:r w:rsidR="004C106B" w:rsidRPr="00F7245E">
              <w:rPr>
                <w:rFonts w:cs="Times New Roman"/>
                <w:b/>
                <w:bCs/>
                <w:w w:val="105"/>
              </w:rPr>
              <w:t> mg</w:t>
            </w:r>
          </w:p>
          <w:p w14:paraId="07AF1504" w14:textId="77777777" w:rsidR="00B62AE4" w:rsidRPr="00F7245E" w:rsidRDefault="00B62AE4" w:rsidP="00A21724">
            <w:pPr>
              <w:pStyle w:val="Nincstrkz"/>
              <w:jc w:val="center"/>
              <w:rPr>
                <w:rFonts w:cs="Times New Roman"/>
                <w:lang w:val="hu-HU"/>
              </w:rPr>
            </w:pPr>
            <w:r w:rsidRPr="00F7245E">
              <w:rPr>
                <w:rFonts w:cs="Times New Roman"/>
                <w:w w:val="105"/>
              </w:rPr>
              <w:t>vs. Placebo</w:t>
            </w:r>
          </w:p>
        </w:tc>
      </w:tr>
      <w:tr w:rsidR="00B62AE4" w:rsidRPr="00F7245E" w14:paraId="408B9428" w14:textId="77777777" w:rsidTr="00EA6112">
        <w:trPr>
          <w:trHeight w:val="341"/>
        </w:trPr>
        <w:tc>
          <w:tcPr>
            <w:tcW w:w="1985" w:type="dxa"/>
          </w:tcPr>
          <w:p w14:paraId="60E636DE" w14:textId="77777777" w:rsidR="00B62AE4" w:rsidRPr="00F7245E" w:rsidRDefault="00B62AE4" w:rsidP="00A21724">
            <w:pPr>
              <w:pStyle w:val="TableParagraph"/>
              <w:jc w:val="center"/>
              <w:rPr>
                <w:lang w:val="hu-HU"/>
              </w:rPr>
            </w:pPr>
          </w:p>
        </w:tc>
        <w:tc>
          <w:tcPr>
            <w:tcW w:w="1134" w:type="dxa"/>
          </w:tcPr>
          <w:p w14:paraId="7AD3DD27" w14:textId="77777777" w:rsidR="00B62AE4" w:rsidRPr="00F7245E" w:rsidRDefault="00B62AE4" w:rsidP="00A21724">
            <w:pPr>
              <w:pStyle w:val="TableParagraph"/>
              <w:jc w:val="center"/>
              <w:rPr>
                <w:lang w:val="hu-HU"/>
              </w:rPr>
            </w:pPr>
          </w:p>
        </w:tc>
        <w:tc>
          <w:tcPr>
            <w:tcW w:w="1417" w:type="dxa"/>
          </w:tcPr>
          <w:p w14:paraId="2CD820B3" w14:textId="77777777" w:rsidR="00B62AE4" w:rsidRPr="00F7245E" w:rsidRDefault="00B62AE4" w:rsidP="00A21724">
            <w:pPr>
              <w:pStyle w:val="TableParagraph"/>
              <w:ind w:left="-1" w:right="175" w:firstLine="1"/>
              <w:jc w:val="center"/>
              <w:rPr>
                <w:lang w:val="hu-HU"/>
              </w:rPr>
            </w:pPr>
            <w:r w:rsidRPr="00F7245E">
              <w:rPr>
                <w:w w:val="105"/>
              </w:rPr>
              <w:t>n (%)</w:t>
            </w:r>
          </w:p>
        </w:tc>
        <w:tc>
          <w:tcPr>
            <w:tcW w:w="1276" w:type="dxa"/>
          </w:tcPr>
          <w:p w14:paraId="7A6B2C7E" w14:textId="77777777" w:rsidR="00B62AE4" w:rsidRPr="00F7245E" w:rsidRDefault="00B62AE4" w:rsidP="00A21724">
            <w:pPr>
              <w:pStyle w:val="TableParagraph"/>
              <w:jc w:val="center"/>
              <w:rPr>
                <w:lang w:val="hu-HU"/>
              </w:rPr>
            </w:pPr>
          </w:p>
        </w:tc>
        <w:tc>
          <w:tcPr>
            <w:tcW w:w="1701" w:type="dxa"/>
          </w:tcPr>
          <w:p w14:paraId="7C96EA30" w14:textId="77777777" w:rsidR="00B62AE4" w:rsidRPr="00F7245E" w:rsidRDefault="00B62AE4" w:rsidP="00A21724">
            <w:pPr>
              <w:pStyle w:val="TableParagraph"/>
              <w:jc w:val="center"/>
              <w:rPr>
                <w:lang w:val="hu-HU"/>
              </w:rPr>
            </w:pPr>
          </w:p>
        </w:tc>
        <w:tc>
          <w:tcPr>
            <w:tcW w:w="1601" w:type="dxa"/>
          </w:tcPr>
          <w:p w14:paraId="44A31C90" w14:textId="77777777" w:rsidR="00B62AE4" w:rsidRPr="00F7245E" w:rsidRDefault="00B62AE4" w:rsidP="00A21724">
            <w:pPr>
              <w:pStyle w:val="TableParagraph"/>
              <w:jc w:val="center"/>
              <w:rPr>
                <w:lang w:val="hu-HU"/>
              </w:rPr>
            </w:pPr>
          </w:p>
        </w:tc>
      </w:tr>
      <w:tr w:rsidR="00B62AE4" w:rsidRPr="00F7245E" w14:paraId="53A57C17" w14:textId="77777777" w:rsidTr="00EA6112">
        <w:trPr>
          <w:trHeight w:val="684"/>
        </w:trPr>
        <w:tc>
          <w:tcPr>
            <w:tcW w:w="1985" w:type="dxa"/>
          </w:tcPr>
          <w:p w14:paraId="45BFA630" w14:textId="77777777" w:rsidR="00B62AE4" w:rsidRPr="00F7245E" w:rsidRDefault="00B62AE4" w:rsidP="00A21724">
            <w:pPr>
              <w:pStyle w:val="TableParagraph"/>
              <w:ind w:left="100"/>
              <w:rPr>
                <w:lang w:val="hu-HU"/>
              </w:rPr>
            </w:pPr>
            <w:r w:rsidRPr="00F7245E">
              <w:rPr>
                <w:w w:val="105"/>
              </w:rPr>
              <w:t>Nagyfokú</w:t>
            </w:r>
          </w:p>
        </w:tc>
        <w:tc>
          <w:tcPr>
            <w:tcW w:w="1134" w:type="dxa"/>
          </w:tcPr>
          <w:p w14:paraId="6457493D" w14:textId="77777777" w:rsidR="00B62AE4" w:rsidRPr="00F7245E" w:rsidRDefault="00B62AE4" w:rsidP="00A21724">
            <w:pPr>
              <w:pStyle w:val="TableParagraph"/>
              <w:ind w:left="182" w:right="174"/>
              <w:jc w:val="center"/>
              <w:rPr>
                <w:lang w:val="hu-HU"/>
              </w:rPr>
            </w:pPr>
            <w:r w:rsidRPr="00F7245E">
              <w:rPr>
                <w:w w:val="105"/>
              </w:rPr>
              <w:t>2 (0,2)</w:t>
            </w:r>
          </w:p>
        </w:tc>
        <w:tc>
          <w:tcPr>
            <w:tcW w:w="1417" w:type="dxa"/>
          </w:tcPr>
          <w:p w14:paraId="03A1A625" w14:textId="77777777" w:rsidR="00B62AE4" w:rsidRPr="00F7245E" w:rsidRDefault="00B62AE4" w:rsidP="00A21724">
            <w:pPr>
              <w:pStyle w:val="TableParagraph"/>
              <w:ind w:left="-1" w:right="176" w:firstLine="1"/>
              <w:jc w:val="center"/>
              <w:rPr>
                <w:lang w:val="hu-HU"/>
              </w:rPr>
            </w:pPr>
            <w:r w:rsidRPr="00F7245E">
              <w:rPr>
                <w:w w:val="105"/>
              </w:rPr>
              <w:t>1 (0,1)</w:t>
            </w:r>
          </w:p>
        </w:tc>
        <w:tc>
          <w:tcPr>
            <w:tcW w:w="1276" w:type="dxa"/>
          </w:tcPr>
          <w:p w14:paraId="6B6F8C04" w14:textId="77777777" w:rsidR="00B62AE4" w:rsidRPr="00F7245E" w:rsidRDefault="00B62AE4" w:rsidP="00A21724">
            <w:pPr>
              <w:pStyle w:val="TableParagraph"/>
              <w:ind w:right="176"/>
              <w:jc w:val="center"/>
              <w:rPr>
                <w:lang w:val="hu-HU"/>
              </w:rPr>
            </w:pPr>
            <w:r w:rsidRPr="00F7245E">
              <w:rPr>
                <w:w w:val="105"/>
              </w:rPr>
              <w:t>4 (0,5)</w:t>
            </w:r>
          </w:p>
        </w:tc>
        <w:tc>
          <w:tcPr>
            <w:tcW w:w="1701" w:type="dxa"/>
          </w:tcPr>
          <w:p w14:paraId="315B6699" w14:textId="77777777" w:rsidR="00B62AE4" w:rsidRPr="00F7245E" w:rsidRDefault="00B62AE4" w:rsidP="00A21724">
            <w:pPr>
              <w:pStyle w:val="Nincstrkz"/>
              <w:jc w:val="center"/>
              <w:rPr>
                <w:rFonts w:cs="Times New Roman"/>
                <w:lang w:val="hu-HU"/>
              </w:rPr>
            </w:pPr>
            <w:r w:rsidRPr="00F7245E">
              <w:rPr>
                <w:rFonts w:cs="Times New Roman"/>
                <w:w w:val="105"/>
              </w:rPr>
              <w:t>0,49</w:t>
            </w:r>
          </w:p>
          <w:p w14:paraId="1A7BB9DA" w14:textId="77777777" w:rsidR="00B62AE4" w:rsidRPr="00F7245E" w:rsidRDefault="00B62AE4" w:rsidP="00A21724">
            <w:pPr>
              <w:pStyle w:val="Nincstrkz"/>
              <w:jc w:val="center"/>
              <w:rPr>
                <w:rFonts w:cs="Times New Roman"/>
                <w:lang w:val="hu-HU"/>
              </w:rPr>
            </w:pPr>
            <w:r w:rsidRPr="00F7245E">
              <w:rPr>
                <w:rFonts w:cs="Times New Roman"/>
                <w:w w:val="105"/>
              </w:rPr>
              <w:t>(0,09; 2,64)</w:t>
            </w:r>
          </w:p>
        </w:tc>
        <w:tc>
          <w:tcPr>
            <w:tcW w:w="1601" w:type="dxa"/>
          </w:tcPr>
          <w:p w14:paraId="17959180" w14:textId="77777777" w:rsidR="00B62AE4" w:rsidRPr="00F7245E" w:rsidRDefault="00B62AE4" w:rsidP="00A21724">
            <w:pPr>
              <w:pStyle w:val="Nincstrkz"/>
              <w:jc w:val="center"/>
              <w:rPr>
                <w:rFonts w:cs="Times New Roman"/>
                <w:lang w:val="hu-HU"/>
              </w:rPr>
            </w:pPr>
            <w:r w:rsidRPr="00F7245E">
              <w:rPr>
                <w:rFonts w:cs="Times New Roman"/>
                <w:w w:val="105"/>
              </w:rPr>
              <w:t>0,25</w:t>
            </w:r>
          </w:p>
          <w:p w14:paraId="5FFBA2E8" w14:textId="77777777" w:rsidR="00B62AE4" w:rsidRPr="00F7245E" w:rsidRDefault="00B62AE4" w:rsidP="00A21724">
            <w:pPr>
              <w:pStyle w:val="Nincstrkz"/>
              <w:jc w:val="center"/>
              <w:rPr>
                <w:rFonts w:cs="Times New Roman"/>
                <w:lang w:val="hu-HU"/>
              </w:rPr>
            </w:pPr>
            <w:r w:rsidRPr="00F7245E">
              <w:rPr>
                <w:rFonts w:cs="Times New Roman"/>
                <w:w w:val="105"/>
              </w:rPr>
              <w:t>(0,03; 2,24)</w:t>
            </w:r>
          </w:p>
        </w:tc>
      </w:tr>
      <w:tr w:rsidR="00B62AE4" w:rsidRPr="00F7245E" w14:paraId="5952B902" w14:textId="77777777" w:rsidTr="00EA6112">
        <w:trPr>
          <w:trHeight w:val="683"/>
        </w:trPr>
        <w:tc>
          <w:tcPr>
            <w:tcW w:w="1985" w:type="dxa"/>
          </w:tcPr>
          <w:p w14:paraId="0E966815" w14:textId="77777777" w:rsidR="00B62AE4" w:rsidRPr="00F7245E" w:rsidRDefault="00B62AE4" w:rsidP="00A21724">
            <w:pPr>
              <w:pStyle w:val="TableParagraph"/>
              <w:ind w:left="100"/>
              <w:rPr>
                <w:lang w:val="hu-HU"/>
              </w:rPr>
            </w:pPr>
            <w:r w:rsidRPr="00F7245E">
              <w:rPr>
                <w:w w:val="105"/>
              </w:rPr>
              <w:t>Nagyfokú + CRNM</w:t>
            </w:r>
          </w:p>
        </w:tc>
        <w:tc>
          <w:tcPr>
            <w:tcW w:w="1134" w:type="dxa"/>
          </w:tcPr>
          <w:p w14:paraId="3B23AC6B" w14:textId="77777777" w:rsidR="00B62AE4" w:rsidRPr="00F7245E" w:rsidRDefault="00B62AE4" w:rsidP="00A21724">
            <w:pPr>
              <w:pStyle w:val="TableParagraph"/>
              <w:ind w:left="182" w:right="174"/>
              <w:jc w:val="center"/>
              <w:rPr>
                <w:lang w:val="hu-HU"/>
              </w:rPr>
            </w:pPr>
            <w:r w:rsidRPr="00F7245E">
              <w:rPr>
                <w:w w:val="105"/>
              </w:rPr>
              <w:t>27 (3,2)</w:t>
            </w:r>
          </w:p>
        </w:tc>
        <w:tc>
          <w:tcPr>
            <w:tcW w:w="1417" w:type="dxa"/>
          </w:tcPr>
          <w:p w14:paraId="629A66F3" w14:textId="77777777" w:rsidR="00B62AE4" w:rsidRPr="00F7245E" w:rsidRDefault="00B62AE4" w:rsidP="00A21724">
            <w:pPr>
              <w:pStyle w:val="TableParagraph"/>
              <w:ind w:left="-1" w:right="175" w:firstLine="1"/>
              <w:jc w:val="center"/>
              <w:rPr>
                <w:lang w:val="hu-HU"/>
              </w:rPr>
            </w:pPr>
            <w:r w:rsidRPr="00F7245E">
              <w:rPr>
                <w:w w:val="105"/>
              </w:rPr>
              <w:t>35 (4,3)</w:t>
            </w:r>
          </w:p>
        </w:tc>
        <w:tc>
          <w:tcPr>
            <w:tcW w:w="1276" w:type="dxa"/>
          </w:tcPr>
          <w:p w14:paraId="586C6F90" w14:textId="77777777" w:rsidR="00B62AE4" w:rsidRPr="00F7245E" w:rsidRDefault="00B62AE4" w:rsidP="00A21724">
            <w:pPr>
              <w:pStyle w:val="TableParagraph"/>
              <w:ind w:right="172"/>
              <w:jc w:val="center"/>
              <w:rPr>
                <w:lang w:val="hu-HU"/>
              </w:rPr>
            </w:pPr>
            <w:r w:rsidRPr="00F7245E">
              <w:rPr>
                <w:w w:val="105"/>
              </w:rPr>
              <w:t>22 (2,7)</w:t>
            </w:r>
          </w:p>
        </w:tc>
        <w:tc>
          <w:tcPr>
            <w:tcW w:w="1701" w:type="dxa"/>
          </w:tcPr>
          <w:p w14:paraId="5300C7BF" w14:textId="77777777" w:rsidR="00B62AE4" w:rsidRPr="00F7245E" w:rsidRDefault="00B62AE4" w:rsidP="00A21724">
            <w:pPr>
              <w:pStyle w:val="Nincstrkz"/>
              <w:jc w:val="center"/>
              <w:rPr>
                <w:rFonts w:cs="Times New Roman"/>
                <w:lang w:val="hu-HU"/>
              </w:rPr>
            </w:pPr>
            <w:r w:rsidRPr="00F7245E">
              <w:rPr>
                <w:rFonts w:cs="Times New Roman"/>
                <w:w w:val="105"/>
              </w:rPr>
              <w:t>1,20</w:t>
            </w:r>
          </w:p>
          <w:p w14:paraId="5FFBBB75" w14:textId="77777777" w:rsidR="00B62AE4" w:rsidRPr="00F7245E" w:rsidRDefault="00B62AE4" w:rsidP="00A21724">
            <w:pPr>
              <w:pStyle w:val="Nincstrkz"/>
              <w:jc w:val="center"/>
              <w:rPr>
                <w:rFonts w:cs="Times New Roman"/>
                <w:lang w:val="hu-HU"/>
              </w:rPr>
            </w:pPr>
            <w:r w:rsidRPr="00F7245E">
              <w:rPr>
                <w:rFonts w:cs="Times New Roman"/>
                <w:w w:val="105"/>
              </w:rPr>
              <w:t>(0,69; 2,10)</w:t>
            </w:r>
          </w:p>
        </w:tc>
        <w:tc>
          <w:tcPr>
            <w:tcW w:w="1601" w:type="dxa"/>
          </w:tcPr>
          <w:p w14:paraId="575365DF" w14:textId="77777777" w:rsidR="00B62AE4" w:rsidRPr="00F7245E" w:rsidRDefault="00B62AE4" w:rsidP="00A21724">
            <w:pPr>
              <w:pStyle w:val="Nincstrkz"/>
              <w:jc w:val="center"/>
              <w:rPr>
                <w:rFonts w:cs="Times New Roman"/>
                <w:lang w:val="hu-HU"/>
              </w:rPr>
            </w:pPr>
            <w:r w:rsidRPr="00F7245E">
              <w:rPr>
                <w:rFonts w:cs="Times New Roman"/>
                <w:w w:val="105"/>
              </w:rPr>
              <w:t>1,62</w:t>
            </w:r>
          </w:p>
          <w:p w14:paraId="35780B35" w14:textId="77777777" w:rsidR="00B62AE4" w:rsidRPr="00F7245E" w:rsidRDefault="00B62AE4" w:rsidP="00A21724">
            <w:pPr>
              <w:pStyle w:val="Nincstrkz"/>
              <w:jc w:val="center"/>
              <w:rPr>
                <w:rFonts w:cs="Times New Roman"/>
                <w:lang w:val="hu-HU"/>
              </w:rPr>
            </w:pPr>
            <w:r w:rsidRPr="00F7245E">
              <w:rPr>
                <w:rFonts w:cs="Times New Roman"/>
                <w:w w:val="105"/>
              </w:rPr>
              <w:t>(0,96; 2,73)</w:t>
            </w:r>
          </w:p>
        </w:tc>
      </w:tr>
      <w:tr w:rsidR="00B62AE4" w:rsidRPr="00F7245E" w14:paraId="1CCF2601" w14:textId="77777777" w:rsidTr="00EA6112">
        <w:trPr>
          <w:trHeight w:val="682"/>
        </w:trPr>
        <w:tc>
          <w:tcPr>
            <w:tcW w:w="1985" w:type="dxa"/>
          </w:tcPr>
          <w:p w14:paraId="559069E0" w14:textId="77777777" w:rsidR="00B62AE4" w:rsidRPr="00F7245E" w:rsidRDefault="00B62AE4" w:rsidP="00A21724">
            <w:pPr>
              <w:pStyle w:val="TableParagraph"/>
              <w:ind w:left="100"/>
              <w:rPr>
                <w:lang w:val="hu-HU"/>
              </w:rPr>
            </w:pPr>
            <w:r w:rsidRPr="00F7245E">
              <w:rPr>
                <w:w w:val="105"/>
              </w:rPr>
              <w:t>Kisfokú</w:t>
            </w:r>
          </w:p>
        </w:tc>
        <w:tc>
          <w:tcPr>
            <w:tcW w:w="1134" w:type="dxa"/>
          </w:tcPr>
          <w:p w14:paraId="203AA2A6" w14:textId="77777777" w:rsidR="00B62AE4" w:rsidRPr="00F7245E" w:rsidRDefault="00B62AE4" w:rsidP="00A21724">
            <w:pPr>
              <w:pStyle w:val="TableParagraph"/>
              <w:ind w:left="182" w:right="174"/>
              <w:jc w:val="center"/>
              <w:rPr>
                <w:lang w:val="hu-HU"/>
              </w:rPr>
            </w:pPr>
            <w:r w:rsidRPr="00F7245E">
              <w:rPr>
                <w:w w:val="105"/>
              </w:rPr>
              <w:t>75 (8,9)</w:t>
            </w:r>
          </w:p>
        </w:tc>
        <w:tc>
          <w:tcPr>
            <w:tcW w:w="1417" w:type="dxa"/>
          </w:tcPr>
          <w:p w14:paraId="047E7FD8" w14:textId="77777777" w:rsidR="00B62AE4" w:rsidRPr="00F7245E" w:rsidRDefault="00B62AE4" w:rsidP="00A21724">
            <w:pPr>
              <w:pStyle w:val="TableParagraph"/>
              <w:ind w:left="-1" w:right="173" w:firstLine="1"/>
              <w:jc w:val="center"/>
              <w:rPr>
                <w:lang w:val="hu-HU"/>
              </w:rPr>
            </w:pPr>
            <w:r w:rsidRPr="00F7245E">
              <w:rPr>
                <w:w w:val="105"/>
              </w:rPr>
              <w:t>98 (12,1)</w:t>
            </w:r>
          </w:p>
        </w:tc>
        <w:tc>
          <w:tcPr>
            <w:tcW w:w="1276" w:type="dxa"/>
          </w:tcPr>
          <w:p w14:paraId="03FB242A" w14:textId="77777777" w:rsidR="00B62AE4" w:rsidRPr="00F7245E" w:rsidRDefault="00B62AE4" w:rsidP="00A21724">
            <w:pPr>
              <w:pStyle w:val="TableParagraph"/>
              <w:ind w:right="173"/>
              <w:jc w:val="center"/>
              <w:rPr>
                <w:lang w:val="hu-HU"/>
              </w:rPr>
            </w:pPr>
            <w:r w:rsidRPr="00F7245E">
              <w:rPr>
                <w:w w:val="105"/>
              </w:rPr>
              <w:t>58 (7,0)</w:t>
            </w:r>
          </w:p>
        </w:tc>
        <w:tc>
          <w:tcPr>
            <w:tcW w:w="1701" w:type="dxa"/>
          </w:tcPr>
          <w:p w14:paraId="54A7168E" w14:textId="77777777" w:rsidR="00B62AE4" w:rsidRPr="00F7245E" w:rsidRDefault="00B62AE4" w:rsidP="00A21724">
            <w:pPr>
              <w:pStyle w:val="Nincstrkz"/>
              <w:jc w:val="center"/>
              <w:rPr>
                <w:rFonts w:cs="Times New Roman"/>
                <w:lang w:val="hu-HU"/>
              </w:rPr>
            </w:pPr>
            <w:r w:rsidRPr="00F7245E">
              <w:rPr>
                <w:rFonts w:cs="Times New Roman"/>
                <w:w w:val="105"/>
              </w:rPr>
              <w:t>1,26</w:t>
            </w:r>
          </w:p>
          <w:p w14:paraId="29192160" w14:textId="77777777" w:rsidR="00B62AE4" w:rsidRPr="00F7245E" w:rsidRDefault="00B62AE4" w:rsidP="00A21724">
            <w:pPr>
              <w:pStyle w:val="Nincstrkz"/>
              <w:jc w:val="center"/>
              <w:rPr>
                <w:rFonts w:cs="Times New Roman"/>
                <w:lang w:val="hu-HU"/>
              </w:rPr>
            </w:pPr>
            <w:r w:rsidRPr="00F7245E">
              <w:rPr>
                <w:rFonts w:cs="Times New Roman"/>
                <w:w w:val="105"/>
              </w:rPr>
              <w:t>(0,91; 1,75)</w:t>
            </w:r>
          </w:p>
        </w:tc>
        <w:tc>
          <w:tcPr>
            <w:tcW w:w="1601" w:type="dxa"/>
          </w:tcPr>
          <w:p w14:paraId="442226E8" w14:textId="77777777" w:rsidR="00B62AE4" w:rsidRPr="00F7245E" w:rsidRDefault="00B62AE4" w:rsidP="00A21724">
            <w:pPr>
              <w:pStyle w:val="Nincstrkz"/>
              <w:jc w:val="center"/>
              <w:rPr>
                <w:rFonts w:cs="Times New Roman"/>
                <w:lang w:val="hu-HU"/>
              </w:rPr>
            </w:pPr>
            <w:r w:rsidRPr="00F7245E">
              <w:rPr>
                <w:rFonts w:cs="Times New Roman"/>
                <w:w w:val="105"/>
              </w:rPr>
              <w:t>1,70</w:t>
            </w:r>
          </w:p>
          <w:p w14:paraId="6D3B739C" w14:textId="77777777" w:rsidR="00B62AE4" w:rsidRPr="00F7245E" w:rsidRDefault="00B62AE4" w:rsidP="00A21724">
            <w:pPr>
              <w:pStyle w:val="Nincstrkz"/>
              <w:jc w:val="center"/>
              <w:rPr>
                <w:rFonts w:cs="Times New Roman"/>
                <w:lang w:val="hu-HU"/>
              </w:rPr>
            </w:pPr>
            <w:r w:rsidRPr="00F7245E">
              <w:rPr>
                <w:rFonts w:cs="Times New Roman"/>
                <w:w w:val="105"/>
              </w:rPr>
              <w:t>(1,25; 2,31)</w:t>
            </w:r>
          </w:p>
        </w:tc>
      </w:tr>
      <w:tr w:rsidR="00B62AE4" w:rsidRPr="00F7245E" w14:paraId="6DD4A0C2" w14:textId="77777777" w:rsidTr="00EA6112">
        <w:trPr>
          <w:trHeight w:val="684"/>
        </w:trPr>
        <w:tc>
          <w:tcPr>
            <w:tcW w:w="1985" w:type="dxa"/>
          </w:tcPr>
          <w:p w14:paraId="51F1B16E" w14:textId="77777777" w:rsidR="00B62AE4" w:rsidRPr="00F7245E" w:rsidRDefault="00B62AE4" w:rsidP="00A21724">
            <w:pPr>
              <w:pStyle w:val="TableParagraph"/>
              <w:ind w:left="100"/>
              <w:rPr>
                <w:lang w:val="hu-HU"/>
              </w:rPr>
            </w:pPr>
            <w:r w:rsidRPr="00F7245E">
              <w:rPr>
                <w:w w:val="105"/>
              </w:rPr>
              <w:t>Összes</w:t>
            </w:r>
          </w:p>
        </w:tc>
        <w:tc>
          <w:tcPr>
            <w:tcW w:w="1134" w:type="dxa"/>
          </w:tcPr>
          <w:p w14:paraId="4030A439" w14:textId="77777777" w:rsidR="00B62AE4" w:rsidRPr="00F7245E" w:rsidRDefault="00B62AE4" w:rsidP="00A21724">
            <w:pPr>
              <w:pStyle w:val="TableParagraph"/>
              <w:ind w:right="177"/>
              <w:jc w:val="center"/>
              <w:rPr>
                <w:lang w:val="hu-HU"/>
              </w:rPr>
            </w:pPr>
            <w:r w:rsidRPr="00F7245E">
              <w:rPr>
                <w:w w:val="105"/>
              </w:rPr>
              <w:t>94 (11,2)</w:t>
            </w:r>
          </w:p>
        </w:tc>
        <w:tc>
          <w:tcPr>
            <w:tcW w:w="1417" w:type="dxa"/>
          </w:tcPr>
          <w:p w14:paraId="251901B0" w14:textId="77777777" w:rsidR="00B62AE4" w:rsidRPr="00F7245E" w:rsidRDefault="00B62AE4" w:rsidP="00A21724">
            <w:pPr>
              <w:pStyle w:val="TableParagraph"/>
              <w:ind w:left="-1" w:right="177" w:firstLine="1"/>
              <w:jc w:val="center"/>
              <w:rPr>
                <w:lang w:val="hu-HU"/>
              </w:rPr>
            </w:pPr>
            <w:r w:rsidRPr="00F7245E">
              <w:rPr>
                <w:w w:val="105"/>
              </w:rPr>
              <w:t>121 (14,9)</w:t>
            </w:r>
          </w:p>
        </w:tc>
        <w:tc>
          <w:tcPr>
            <w:tcW w:w="1276" w:type="dxa"/>
          </w:tcPr>
          <w:p w14:paraId="4B6294C1" w14:textId="77777777" w:rsidR="00B62AE4" w:rsidRPr="00F7245E" w:rsidRDefault="00B62AE4" w:rsidP="00A21724">
            <w:pPr>
              <w:pStyle w:val="TableParagraph"/>
              <w:ind w:right="175"/>
              <w:jc w:val="center"/>
              <w:rPr>
                <w:lang w:val="hu-HU"/>
              </w:rPr>
            </w:pPr>
            <w:r w:rsidRPr="00F7245E">
              <w:rPr>
                <w:w w:val="105"/>
              </w:rPr>
              <w:t>74 (9,0)</w:t>
            </w:r>
          </w:p>
        </w:tc>
        <w:tc>
          <w:tcPr>
            <w:tcW w:w="1701" w:type="dxa"/>
          </w:tcPr>
          <w:p w14:paraId="1FF18575" w14:textId="77777777" w:rsidR="00B62AE4" w:rsidRPr="00F7245E" w:rsidRDefault="00B62AE4" w:rsidP="00A21724">
            <w:pPr>
              <w:pStyle w:val="Nincstrkz"/>
              <w:jc w:val="center"/>
              <w:rPr>
                <w:rFonts w:cs="Times New Roman"/>
                <w:lang w:val="hu-HU"/>
              </w:rPr>
            </w:pPr>
            <w:r w:rsidRPr="00F7245E">
              <w:rPr>
                <w:rFonts w:cs="Times New Roman"/>
                <w:w w:val="105"/>
              </w:rPr>
              <w:t>1,24</w:t>
            </w:r>
          </w:p>
          <w:p w14:paraId="0F99AF13" w14:textId="77777777" w:rsidR="00B62AE4" w:rsidRPr="00F7245E" w:rsidRDefault="00B62AE4" w:rsidP="00A21724">
            <w:pPr>
              <w:pStyle w:val="Nincstrkz"/>
              <w:jc w:val="center"/>
              <w:rPr>
                <w:rFonts w:cs="Times New Roman"/>
                <w:lang w:val="hu-HU"/>
              </w:rPr>
            </w:pPr>
            <w:r w:rsidRPr="00F7245E">
              <w:rPr>
                <w:rFonts w:cs="Times New Roman"/>
                <w:w w:val="105"/>
              </w:rPr>
              <w:t>(0,93; 1,65)</w:t>
            </w:r>
          </w:p>
        </w:tc>
        <w:tc>
          <w:tcPr>
            <w:tcW w:w="1601" w:type="dxa"/>
          </w:tcPr>
          <w:p w14:paraId="15DE3004" w14:textId="77777777" w:rsidR="00B62AE4" w:rsidRPr="00F7245E" w:rsidRDefault="00B62AE4" w:rsidP="00A21724">
            <w:pPr>
              <w:pStyle w:val="Nincstrkz"/>
              <w:jc w:val="center"/>
              <w:rPr>
                <w:rFonts w:cs="Times New Roman"/>
                <w:lang w:val="hu-HU"/>
              </w:rPr>
            </w:pPr>
            <w:r w:rsidRPr="00F7245E">
              <w:rPr>
                <w:rFonts w:cs="Times New Roman"/>
                <w:w w:val="105"/>
              </w:rPr>
              <w:t>1,65</w:t>
            </w:r>
          </w:p>
          <w:p w14:paraId="07E4C134" w14:textId="77777777" w:rsidR="00B62AE4" w:rsidRPr="00F7245E" w:rsidRDefault="00B62AE4" w:rsidP="00A21724">
            <w:pPr>
              <w:pStyle w:val="Nincstrkz"/>
              <w:jc w:val="center"/>
              <w:rPr>
                <w:rFonts w:cs="Times New Roman"/>
                <w:lang w:val="hu-HU"/>
              </w:rPr>
            </w:pPr>
            <w:r w:rsidRPr="00F7245E">
              <w:rPr>
                <w:rFonts w:cs="Times New Roman"/>
                <w:w w:val="105"/>
              </w:rPr>
              <w:t>(1,26; 2,16)</w:t>
            </w:r>
          </w:p>
        </w:tc>
      </w:tr>
    </w:tbl>
    <w:p w14:paraId="11282D83" w14:textId="77777777" w:rsidR="00B62AE4" w:rsidRPr="00F7245E" w:rsidRDefault="00B62AE4" w:rsidP="00A21724">
      <w:pPr>
        <w:pStyle w:val="Nincstrkz"/>
        <w:rPr>
          <w:rFonts w:cs="Times New Roman"/>
        </w:rPr>
      </w:pPr>
    </w:p>
    <w:p w14:paraId="4D66B7F5" w14:textId="1B66196A" w:rsidR="00B62AE4" w:rsidRPr="00F7245E" w:rsidRDefault="00B62AE4" w:rsidP="00A21724">
      <w:pPr>
        <w:pStyle w:val="Nincstrkz"/>
        <w:rPr>
          <w:rFonts w:cs="Times New Roman"/>
        </w:rPr>
      </w:pPr>
      <w:r w:rsidRPr="00F7245E">
        <w:rPr>
          <w:rFonts w:cs="Times New Roman"/>
        </w:rPr>
        <w:t>Igazolt, ISTH szerinti nagyfokú gastrointestinalis vérzés a</w:t>
      </w:r>
      <w:r w:rsidR="007D4C4D" w:rsidRPr="00F7245E">
        <w:rPr>
          <w:rFonts w:cs="Times New Roman"/>
        </w:rPr>
        <w:t xml:space="preserve"> </w:t>
      </w:r>
      <w:r w:rsidR="003B67D5" w:rsidRPr="00F7245E">
        <w:rPr>
          <w:rFonts w:cs="Times New Roman"/>
        </w:rPr>
        <w:t>nap</w:t>
      </w:r>
      <w:r w:rsidRPr="00F7245E">
        <w:rPr>
          <w:rFonts w:cs="Times New Roman"/>
        </w:rPr>
        <w:t>onta kétszer 5</w:t>
      </w:r>
      <w:r w:rsidR="004C106B" w:rsidRPr="00F7245E">
        <w:rPr>
          <w:rFonts w:cs="Times New Roman"/>
        </w:rPr>
        <w:t> mg</w:t>
      </w:r>
      <w:r w:rsidRPr="00F7245E">
        <w:rPr>
          <w:rFonts w:cs="Times New Roman"/>
        </w:rPr>
        <w:t xml:space="preserve"> </w:t>
      </w:r>
      <w:r w:rsidR="002C0B56" w:rsidRPr="00F7245E">
        <w:rPr>
          <w:rFonts w:cs="Times New Roman"/>
        </w:rPr>
        <w:t>apixabán</w:t>
      </w:r>
      <w:r w:rsidRPr="00F7245E">
        <w:rPr>
          <w:rFonts w:cs="Times New Roman"/>
        </w:rPr>
        <w:t>nal kezelt</w:t>
      </w:r>
      <w:r w:rsidR="00A1416D" w:rsidRPr="00F7245E">
        <w:rPr>
          <w:rFonts w:cs="Times New Roman"/>
        </w:rPr>
        <w:t> beteg</w:t>
      </w:r>
      <w:r w:rsidRPr="00F7245E">
        <w:rPr>
          <w:rFonts w:cs="Times New Roman"/>
        </w:rPr>
        <w:t>ek közül 1-nél (0,1%), a</w:t>
      </w:r>
      <w:r w:rsidR="007D4C4D" w:rsidRPr="00F7245E">
        <w:rPr>
          <w:rFonts w:cs="Times New Roman"/>
        </w:rPr>
        <w:t xml:space="preserve"> </w:t>
      </w:r>
      <w:r w:rsidR="003B67D5" w:rsidRPr="00F7245E">
        <w:rPr>
          <w:rFonts w:cs="Times New Roman"/>
        </w:rPr>
        <w:t>nap</w:t>
      </w:r>
      <w:r w:rsidRPr="00F7245E">
        <w:rPr>
          <w:rFonts w:cs="Times New Roman"/>
        </w:rPr>
        <w:t>onta kétszer 2,5</w:t>
      </w:r>
      <w:r w:rsidR="004C106B" w:rsidRPr="00F7245E">
        <w:rPr>
          <w:rFonts w:cs="Times New Roman"/>
        </w:rPr>
        <w:t> mg</w:t>
      </w:r>
      <w:r w:rsidRPr="00F7245E">
        <w:rPr>
          <w:rFonts w:cs="Times New Roman"/>
        </w:rPr>
        <w:t xml:space="preserve"> </w:t>
      </w:r>
      <w:r w:rsidR="002C0B56" w:rsidRPr="00F7245E">
        <w:rPr>
          <w:rFonts w:cs="Times New Roman"/>
        </w:rPr>
        <w:t>apixabán</w:t>
      </w:r>
      <w:r w:rsidRPr="00F7245E">
        <w:rPr>
          <w:rFonts w:cs="Times New Roman"/>
        </w:rPr>
        <w:t>nal kezelt</w:t>
      </w:r>
      <w:r w:rsidR="007D4C4D" w:rsidRPr="00F7245E">
        <w:rPr>
          <w:rFonts w:cs="Times New Roman"/>
        </w:rPr>
        <w:t xml:space="preserve"> </w:t>
      </w:r>
      <w:r w:rsidR="00A1416D" w:rsidRPr="00F7245E">
        <w:rPr>
          <w:rFonts w:cs="Times New Roman"/>
        </w:rPr>
        <w:t>beteg</w:t>
      </w:r>
      <w:r w:rsidRPr="00F7245E">
        <w:rPr>
          <w:rFonts w:cs="Times New Roman"/>
        </w:rPr>
        <w:t>ek közül egynél sem, a placebóval kezelt</w:t>
      </w:r>
      <w:r w:rsidR="00A1416D" w:rsidRPr="00F7245E">
        <w:rPr>
          <w:rFonts w:cs="Times New Roman"/>
        </w:rPr>
        <w:t> beteg</w:t>
      </w:r>
      <w:r w:rsidRPr="00F7245E">
        <w:rPr>
          <w:rFonts w:cs="Times New Roman"/>
        </w:rPr>
        <w:t>ek közül pedig 1-nél (0,1%) fordult elő.</w:t>
      </w:r>
    </w:p>
    <w:p w14:paraId="78AC02C6" w14:textId="77777777" w:rsidR="00B62AE4" w:rsidRPr="00F7245E" w:rsidRDefault="00B62AE4" w:rsidP="00A21724">
      <w:pPr>
        <w:pStyle w:val="Nincstrkz"/>
        <w:rPr>
          <w:rFonts w:cs="Times New Roman"/>
        </w:rPr>
      </w:pPr>
    </w:p>
    <w:p w14:paraId="79F35EC9" w14:textId="4F63A880" w:rsidR="00B62AE4" w:rsidRPr="00F7245E" w:rsidRDefault="00B62AE4" w:rsidP="00A21724">
      <w:pPr>
        <w:pStyle w:val="Nincstrkz"/>
        <w:rPr>
          <w:rFonts w:cs="Times New Roman"/>
          <w:u w:val="single"/>
        </w:rPr>
      </w:pPr>
      <w:r w:rsidRPr="00F7245E">
        <w:rPr>
          <w:rFonts w:cs="Times New Roman"/>
          <w:u w:val="single"/>
        </w:rPr>
        <w:t>Gyermekek</w:t>
      </w:r>
      <w:r w:rsidR="0047354C" w:rsidRPr="00F7245E">
        <w:rPr>
          <w:rFonts w:cs="Times New Roman"/>
          <w:u w:val="single"/>
        </w:rPr>
        <w:t xml:space="preserve"> és serdülők</w:t>
      </w:r>
    </w:p>
    <w:p w14:paraId="088844C7" w14:textId="77777777" w:rsidR="00B62AE4" w:rsidRPr="00F7245E" w:rsidRDefault="00B62AE4" w:rsidP="00A21724">
      <w:pPr>
        <w:pStyle w:val="Nincstrkz"/>
        <w:rPr>
          <w:rFonts w:cs="Times New Roman"/>
        </w:rPr>
      </w:pPr>
    </w:p>
    <w:p w14:paraId="5EB215C0" w14:textId="77777777" w:rsidR="001F3456" w:rsidRPr="00F7245E" w:rsidRDefault="001F3456" w:rsidP="001F3456">
      <w:pPr>
        <w:adjustRightInd w:val="0"/>
        <w:rPr>
          <w:i/>
          <w:szCs w:val="24"/>
          <w:u w:val="single"/>
          <w:lang w:eastAsia="en-GB"/>
        </w:rPr>
      </w:pPr>
      <w:bookmarkStart w:id="8" w:name="OLE_LINK147"/>
      <w:bookmarkStart w:id="9" w:name="OLE_LINK38"/>
      <w:r w:rsidRPr="00F7245E">
        <w:rPr>
          <w:i/>
          <w:szCs w:val="24"/>
          <w:u w:val="single"/>
          <w:lang w:eastAsia="en-GB"/>
        </w:rPr>
        <w:t>A vénás thromboembolia (VTE) kezelése és a VTE kiújulásának megelőzése gyermekeknél és serdülőknél (28 napos kortól betöltött</w:t>
      </w:r>
      <w:r w:rsidRPr="00F7245E">
        <w:rPr>
          <w:szCs w:val="24"/>
          <w:u w:val="single"/>
          <w:lang w:eastAsia="en-GB"/>
        </w:rPr>
        <w:t> </w:t>
      </w:r>
      <w:r w:rsidRPr="00F7245E">
        <w:rPr>
          <w:i/>
          <w:szCs w:val="24"/>
          <w:u w:val="single"/>
          <w:lang w:eastAsia="en-GB"/>
        </w:rPr>
        <w:t>18</w:t>
      </w:r>
      <w:r w:rsidRPr="00F7245E">
        <w:rPr>
          <w:szCs w:val="24"/>
          <w:u w:val="single"/>
          <w:lang w:eastAsia="en-GB"/>
        </w:rPr>
        <w:t> </w:t>
      </w:r>
      <w:r w:rsidRPr="00F7245E">
        <w:rPr>
          <w:i/>
          <w:szCs w:val="24"/>
          <w:u w:val="single"/>
          <w:lang w:eastAsia="en-GB"/>
        </w:rPr>
        <w:t>éves életkorig)</w:t>
      </w:r>
    </w:p>
    <w:bookmarkEnd w:id="8"/>
    <w:p w14:paraId="70F951D2" w14:textId="77777777" w:rsidR="001F3456" w:rsidRPr="00F7245E" w:rsidRDefault="001F3456" w:rsidP="001F3456">
      <w:pPr>
        <w:rPr>
          <w:szCs w:val="24"/>
          <w:lang w:eastAsia="en-GB"/>
        </w:rPr>
      </w:pPr>
      <w:r w:rsidRPr="00F7245E">
        <w:rPr>
          <w:szCs w:val="24"/>
          <w:lang w:eastAsia="en-GB"/>
        </w:rPr>
        <w:t>A CV185325 az apixabán randomizált, aktív kontrollos, nyílt elrendezésű, multicentrikus vizsgálata volt a VTE kezelésére gyermekeknél és serdülőknél. Ebbe a leíró hatásossági és biztonságossági vizsgálatba 217 gyermeket és serdülőt vontak be, akik véralvadásgátló kezelést igényeltek VTE kezelése vagy a VTE kiújulásának megelőzése céljából; 137 beteg az 1. korcsoportba (12 – &lt; 18 év), 44 beteg a 2. korcsoportba (2 – &lt; 12 év), 32 beteg a 3. korcsoportba (28 nap – &lt; 2 év) és 4 beteg a 4. korcsoportba (születés – &lt; 28 nap) tartozott. A beválasztást indokló VTE</w:t>
      </w:r>
      <w:r w:rsidRPr="00F7245E">
        <w:rPr>
          <w:szCs w:val="24"/>
          <w:lang w:eastAsia="en-GB"/>
        </w:rPr>
        <w:noBreakHyphen/>
        <w:t>t képalkotással igazolták és függetlenül értékelték. A randomizálás előtt a betegeket a szokásos ellátás szerinti véralvadásgátló kezelésben részesítették legfeljebb 14 napig (a vizsgálati gyógyszer alkalmazása előtt, a szokásos antikoaguláns-kezelés átlagos időtartama (SD) 4,8 (2,5) nap volt, és a betegek 92,3%</w:t>
      </w:r>
      <w:r w:rsidRPr="00F7245E">
        <w:rPr>
          <w:szCs w:val="24"/>
          <w:lang w:eastAsia="en-GB"/>
        </w:rPr>
        <w:noBreakHyphen/>
        <w:t>a kezdte meg a kezelést ≤ 7 napon belül). A betegeket 2:1 arányban randomizálták, és az életkornak megfelelő gyógyszerformában kaptak apixabánt (testtömeg alapján korrigált dózisban, ami megfelelt a felnőtteknél alkalmazott napi kétszer 10 mg feltöltő dózisnak 7 napig, amit napi kétszer 5 mg követett) vagy a szokásos ellátás szerinti kezelést. A 2 – &lt; 18 éves betegeknél a szokásos ellátás szerinti kezelés kis molekulatömegű heparinokból (LMWH), nem frakcionált heparinokból (UFH) vagy K</w:t>
      </w:r>
      <w:r w:rsidRPr="00F7245E">
        <w:rPr>
          <w:szCs w:val="24"/>
          <w:lang w:eastAsia="en-GB"/>
        </w:rPr>
        <w:noBreakHyphen/>
        <w:t>vitamin</w:t>
      </w:r>
      <w:r w:rsidRPr="00F7245E">
        <w:rPr>
          <w:szCs w:val="24"/>
          <w:lang w:eastAsia="en-GB"/>
        </w:rPr>
        <w:noBreakHyphen/>
        <w:t>antagonistákból (VKA) állt. A 28 napos – &lt; 2 éves betegeknél a szokásos ellátás csak heparinokból állt (UFH vagy LMWH). A fő kezelési időszak 42</w:t>
      </w:r>
      <w:r w:rsidRPr="00F7245E">
        <w:rPr>
          <w:szCs w:val="24"/>
          <w:lang w:eastAsia="en-GB"/>
        </w:rPr>
        <w:noBreakHyphen/>
        <w:t>84 napig tartott a &lt; 2 éves betegeknél, és 84 napig a &gt; 2 éves betegeknél. A 28 napos – &lt; 18 éves, apixabán-kezelésre randomizált betegeknek lehetőségük volt az apixabán</w:t>
      </w:r>
      <w:r w:rsidRPr="00F7245E">
        <w:rPr>
          <w:szCs w:val="24"/>
          <w:lang w:eastAsia="en-GB"/>
        </w:rPr>
        <w:noBreakHyphen/>
        <w:t>kezelést további 6</w:t>
      </w:r>
      <w:r w:rsidRPr="00F7245E">
        <w:rPr>
          <w:szCs w:val="24"/>
          <w:lang w:eastAsia="en-GB"/>
        </w:rPr>
        <w:noBreakHyphen/>
        <w:t>12 hétig folytatni a kiterjesztett vizsgálati szakaszban.</w:t>
      </w:r>
    </w:p>
    <w:p w14:paraId="27C4D4C9" w14:textId="77777777" w:rsidR="001F3456" w:rsidRPr="00F7245E" w:rsidRDefault="001F3456" w:rsidP="001F3456">
      <w:pPr>
        <w:rPr>
          <w:szCs w:val="24"/>
          <w:lang w:eastAsia="en-GB"/>
        </w:rPr>
      </w:pPr>
    </w:p>
    <w:p w14:paraId="4523E149" w14:textId="77777777" w:rsidR="001F3456" w:rsidRPr="00F7245E" w:rsidRDefault="001F3456" w:rsidP="001F3456">
      <w:pPr>
        <w:rPr>
          <w:lang w:eastAsia="en-GB"/>
        </w:rPr>
      </w:pPr>
      <w:r w:rsidRPr="00F7245E">
        <w:rPr>
          <w:szCs w:val="24"/>
          <w:lang w:eastAsia="en-GB"/>
        </w:rPr>
        <w:t>Az elsődleges hatásossági végpont a képalkotással megerősített és elbírált összes tünetet okozó vagy tünetmentes, VTE kiújulása és VTE</w:t>
      </w:r>
      <w:r w:rsidRPr="00F7245E">
        <w:rPr>
          <w:szCs w:val="24"/>
          <w:lang w:eastAsia="en-GB"/>
        </w:rPr>
        <w:noBreakHyphen/>
        <w:t>vel összefüggő halálozás összetett végpontja volt. Egyik kezelési csoportban sem fordult elő VTE</w:t>
      </w:r>
      <w:r w:rsidRPr="00F7245E">
        <w:rPr>
          <w:szCs w:val="24"/>
          <w:lang w:eastAsia="en-GB"/>
        </w:rPr>
        <w:noBreakHyphen/>
        <w:t>vel összefüggő halálozás egy betegnél sem. Összesen 4 (2,8%) beteg az apixabán-csoportban és 2 (2,8%) beteg a szokásos ellátás szerinti kezelést kapó csoportban tapasztalt legalább 1 elbírált, tünetet okozó vagy tünetmentes, VTE kiújulás eseményt.</w:t>
      </w:r>
    </w:p>
    <w:p w14:paraId="0C868530" w14:textId="77777777" w:rsidR="001F3456" w:rsidRPr="00F7245E" w:rsidRDefault="001F3456" w:rsidP="001F3456">
      <w:pPr>
        <w:tabs>
          <w:tab w:val="left" w:pos="567"/>
        </w:tabs>
        <w:rPr>
          <w:rFonts w:ascii="TimesNewRoman" w:eastAsia="TimesNewRoman" w:hAnsi="TimesNewRoman"/>
          <w:sz w:val="20"/>
          <w:lang w:eastAsia="x-none"/>
        </w:rPr>
      </w:pPr>
    </w:p>
    <w:p w14:paraId="1FB049D9" w14:textId="77777777" w:rsidR="001F3456" w:rsidRPr="00F7245E" w:rsidRDefault="001F3456" w:rsidP="001F3456">
      <w:pPr>
        <w:rPr>
          <w:szCs w:val="24"/>
          <w:lang w:eastAsia="en-GB"/>
        </w:rPr>
      </w:pPr>
      <w:bookmarkStart w:id="10" w:name="OLE_LINK73"/>
      <w:r w:rsidRPr="00F7245E">
        <w:rPr>
          <w:szCs w:val="24"/>
          <w:lang w:eastAsia="en-GB"/>
        </w:rPr>
        <w:t>Az expozíció medián időtartama az apixabán</w:t>
      </w:r>
      <w:r w:rsidRPr="00F7245E">
        <w:rPr>
          <w:szCs w:val="24"/>
          <w:lang w:eastAsia="en-GB"/>
        </w:rPr>
        <w:noBreakHyphen/>
        <w:t>karon kezelt 143 betegnél 84,0 nap volt. Az expozíció 67 (46,9%) betegnél haladta meg a 84 napot. Az elsődleges biztonságossági végpontot, a major és a CRNM vérzést 2 (1,4%) betegnél tapasztalták az apixabán</w:t>
      </w:r>
      <w:r w:rsidRPr="00F7245E">
        <w:rPr>
          <w:szCs w:val="24"/>
          <w:lang w:eastAsia="en-GB"/>
        </w:rPr>
        <w:noBreakHyphen/>
        <w:t>karon és 1 (1,4%) betegnél a szokásos ellátás szerinti kezelést alkalmazó karon, a relatív kockázat 0,99 volt (95%</w:t>
      </w:r>
      <w:r w:rsidRPr="00F7245E">
        <w:rPr>
          <w:szCs w:val="24"/>
          <w:lang w:eastAsia="en-GB"/>
        </w:rPr>
        <w:noBreakHyphen/>
        <w:t>os CI: 0,1; 10,8). Ez minden esetben CRNM vérzést jelentett. Minor vérzést 51 (35,7%) betegnél jelentettek az apixabán-csoportban és 21 (29,6%) betegnél a szokásos ellátás szerinti kezelést kapó csoportban; a relatív kockázat 1,19 volt (95%</w:t>
      </w:r>
      <w:r w:rsidRPr="00F7245E">
        <w:rPr>
          <w:szCs w:val="24"/>
          <w:lang w:eastAsia="en-GB"/>
        </w:rPr>
        <w:noBreakHyphen/>
        <w:t>os CI: 0,8; 1,8).</w:t>
      </w:r>
    </w:p>
    <w:p w14:paraId="490DC147" w14:textId="77777777" w:rsidR="001F3456" w:rsidRPr="00F7245E" w:rsidRDefault="001F3456" w:rsidP="001F3456">
      <w:pPr>
        <w:rPr>
          <w:szCs w:val="24"/>
          <w:lang w:eastAsia="en-GB"/>
        </w:rPr>
      </w:pPr>
    </w:p>
    <w:p w14:paraId="2FBCAA85" w14:textId="77777777" w:rsidR="001F3456" w:rsidRPr="00F7245E" w:rsidRDefault="001F3456" w:rsidP="001F3456">
      <w:r w:rsidRPr="00F7245E">
        <w:t>Major vérzést olyan vérzésként határoztak meg, amely a következő kritériumok közül egynek vagy többnek megfelel: (1) halálos vérzés; (2) klinikailag nyilvánvaló vérzés, amely a Hgb-szint legalább 20 g/l-es (2 g/dl) csökkenésével jár 24 órás időszak alatt; (3) retroperitoneális, pulmonális, intrakraniális vagy más módon a központi idegrendszert érintő vérzés; valamint (4) műtőben végzett sebészi beavatkozást (beleértve az intervenciós radiológiát) igénylő vérzés.</w:t>
      </w:r>
    </w:p>
    <w:p w14:paraId="73E66F1A" w14:textId="77777777" w:rsidR="001F3456" w:rsidRPr="00F7245E" w:rsidRDefault="001F3456" w:rsidP="001F3456">
      <w:pPr>
        <w:rPr>
          <w:szCs w:val="24"/>
          <w:lang w:eastAsia="en-GB"/>
        </w:rPr>
      </w:pPr>
    </w:p>
    <w:p w14:paraId="6A4140E3" w14:textId="77777777" w:rsidR="001F3456" w:rsidRPr="00F7245E" w:rsidRDefault="001F3456" w:rsidP="001F3456">
      <w:pPr>
        <w:rPr>
          <w:lang w:eastAsia="en-US"/>
        </w:rPr>
      </w:pPr>
      <w:r w:rsidRPr="00F7245E">
        <w:t>A CRNM vérzést olyan vérzésként határozták meg, amely a következő kritériumok egyikének vagy mind a kettőnek megfelel: (1) nyilvánvaló vérzés, amelynek kezelésére vérkészítményt adnak be, és amely nem közvetlenül az alany alapbetegségének tulajdonítható, valamint (2) olyan nem műtét során jelentkező vérzés, amely a vérzéscsillapításhoz orvosi vagy sebészi beavatkozást igényel.</w:t>
      </w:r>
    </w:p>
    <w:p w14:paraId="64633BD3" w14:textId="77777777" w:rsidR="001F3456" w:rsidRPr="00F7245E" w:rsidRDefault="001F3456" w:rsidP="001F3456">
      <w:pPr>
        <w:rPr>
          <w:szCs w:val="24"/>
          <w:lang w:eastAsia="en-GB"/>
        </w:rPr>
      </w:pPr>
    </w:p>
    <w:p w14:paraId="4DFAF50E" w14:textId="77777777" w:rsidR="001F3456" w:rsidRPr="00F7245E" w:rsidRDefault="001F3456" w:rsidP="001F3456">
      <w:pPr>
        <w:rPr>
          <w:lang w:eastAsia="en-US"/>
        </w:rPr>
      </w:pPr>
      <w:r w:rsidRPr="00F7245E">
        <w:t>Minor vérzésnek minősült a vérzés minden olyan nyilvánvaló vagy makroszkópos bizonyítéka, amely nem felel meg sem a súlyos, sem a klinikailag jelentős, nem súlyos vérzés fenti kritériumainak. A menstruációs vérzést minor vérzéses eseménynek minősítették, nem pedig klinikailag jelentős, nem major vérzésnek.</w:t>
      </w:r>
    </w:p>
    <w:p w14:paraId="2F97E70A" w14:textId="77777777" w:rsidR="001F3456" w:rsidRPr="00F7245E" w:rsidRDefault="001F3456" w:rsidP="001F3456">
      <w:pPr>
        <w:rPr>
          <w:szCs w:val="24"/>
          <w:lang w:eastAsia="en-GB"/>
        </w:rPr>
      </w:pPr>
    </w:p>
    <w:p w14:paraId="71873303" w14:textId="77777777" w:rsidR="001F3456" w:rsidRPr="00F7245E" w:rsidRDefault="001F3456" w:rsidP="001F3456">
      <w:pPr>
        <w:rPr>
          <w:szCs w:val="24"/>
          <w:lang w:eastAsia="en-GB"/>
        </w:rPr>
      </w:pPr>
      <w:r w:rsidRPr="00F7245E">
        <w:rPr>
          <w:szCs w:val="24"/>
          <w:lang w:eastAsia="en-GB"/>
        </w:rPr>
        <w:t>Az 53 azon beteg esetén, aki belépett a kiterjesztett szakaszba és apixabán</w:t>
      </w:r>
      <w:r w:rsidRPr="00F7245E">
        <w:rPr>
          <w:szCs w:val="24"/>
          <w:lang w:eastAsia="en-GB"/>
        </w:rPr>
        <w:noBreakHyphen/>
        <w:t>kezelést kapott, nem jelentkezett tünetet okozó vagy tünetmentes, VTE kiújulása esemény és nem jelentettek VTE</w:t>
      </w:r>
      <w:r w:rsidRPr="00F7245E">
        <w:rPr>
          <w:szCs w:val="24"/>
          <w:lang w:eastAsia="en-GB"/>
        </w:rPr>
        <w:noBreakHyphen/>
        <w:t>vel összefüggő halálozást. A kiterjesztett szakaszban egy betegnél sem jelentkezett súlyos vagy CRNM vérzésnek megítélt esemény. A kiterjesztett szakaszban 8 (8/53; 15,1%) beteg tapasztalt minor vérzéses eseményeket.</w:t>
      </w:r>
    </w:p>
    <w:p w14:paraId="6ABCE5C2" w14:textId="77777777" w:rsidR="001F3456" w:rsidRPr="00F7245E" w:rsidRDefault="001F3456" w:rsidP="001F3456">
      <w:pPr>
        <w:rPr>
          <w:szCs w:val="24"/>
          <w:lang w:eastAsia="en-GB"/>
        </w:rPr>
      </w:pPr>
    </w:p>
    <w:p w14:paraId="6BC7446D" w14:textId="77777777" w:rsidR="001F3456" w:rsidRPr="00F7245E" w:rsidRDefault="001F3456" w:rsidP="001F3456">
      <w:pPr>
        <w:numPr>
          <w:ilvl w:val="12"/>
          <w:numId w:val="0"/>
        </w:numPr>
        <w:ind w:right="-2"/>
        <w:rPr>
          <w:iCs/>
          <w:noProof/>
        </w:rPr>
      </w:pPr>
      <w:r w:rsidRPr="00F7245E">
        <w:rPr>
          <w:szCs w:val="24"/>
          <w:lang w:eastAsia="en-GB"/>
        </w:rPr>
        <w:t>Az apixabán</w:t>
      </w:r>
      <w:r w:rsidRPr="00F7245E">
        <w:rPr>
          <w:szCs w:val="24"/>
          <w:lang w:eastAsia="en-GB"/>
        </w:rPr>
        <w:noBreakHyphen/>
        <w:t>csoportban 3 halálozás és a szokásos ellátás szerinti kezelést alkalmazó csoportban 1 halálozás fordult elő, melyek mindegyikét a kezeléssel nem összefüggőnek ítélte meg a vizsgáló. A független eseményértékelő bizottság megítélése szerint ezen halálesetek egyike sem a VTE vagy vérzéses esemény miatt következett be.</w:t>
      </w:r>
      <w:bookmarkEnd w:id="9"/>
      <w:bookmarkEnd w:id="10"/>
    </w:p>
    <w:p w14:paraId="5698FA97" w14:textId="77777777" w:rsidR="001F3456" w:rsidRPr="00F7245E" w:rsidRDefault="001F3456" w:rsidP="001F3456">
      <w:pPr>
        <w:numPr>
          <w:ilvl w:val="12"/>
          <w:numId w:val="0"/>
        </w:numPr>
        <w:ind w:right="-2"/>
        <w:rPr>
          <w:iCs/>
          <w:noProof/>
          <w:u w:val="single"/>
        </w:rPr>
      </w:pPr>
    </w:p>
    <w:p w14:paraId="45D24966" w14:textId="77777777" w:rsidR="001F3456" w:rsidRPr="00F7245E" w:rsidRDefault="001F3456" w:rsidP="001F3456">
      <w:pPr>
        <w:numPr>
          <w:ilvl w:val="12"/>
          <w:numId w:val="0"/>
        </w:numPr>
        <w:ind w:right="-2"/>
        <w:rPr>
          <w:rFonts w:eastAsia="DengXian Light"/>
          <w:szCs w:val="24"/>
          <w:lang w:eastAsia="en-US"/>
        </w:rPr>
      </w:pPr>
      <w:r w:rsidRPr="00F7245E">
        <w:rPr>
          <w:rFonts w:eastAsia="Calibri"/>
          <w:kern w:val="2"/>
          <w:lang w:eastAsia="en-US"/>
          <w14:ligatures w14:val="standardContextual"/>
        </w:rPr>
        <w:t>Az apixabán gyermekekre és serdülőkre vonatkozó biztonságossági adatbázisa a VTE kezelésére és a VTE kiújulásának megelőzésére vonatkozó CV185325 vizsgálaton alapul, amit a PREVAPIX-ALL vizsgálat és a SAXOPHONE vizsgálat egészített ki a VTE elsődleges prophylaxisára vonatkozóan, valamint az egyetlen dózist vizsgáló CV185118 vizsgálat. 970 gyermeket és serdülőt vontak be, közülük 568 beteg kapott apixabánt.</w:t>
      </w:r>
    </w:p>
    <w:p w14:paraId="2F56A007" w14:textId="77777777" w:rsidR="001F3456" w:rsidRPr="00F7245E" w:rsidRDefault="001F3456" w:rsidP="001F3456">
      <w:pPr>
        <w:numPr>
          <w:ilvl w:val="12"/>
          <w:numId w:val="0"/>
        </w:numPr>
        <w:ind w:right="-2"/>
        <w:rPr>
          <w:iCs/>
          <w:noProof/>
          <w:u w:val="single"/>
        </w:rPr>
      </w:pPr>
    </w:p>
    <w:p w14:paraId="2945FB72" w14:textId="77777777" w:rsidR="001F3456" w:rsidRPr="00F7245E" w:rsidRDefault="001F3456" w:rsidP="001F3456">
      <w:pPr>
        <w:numPr>
          <w:ilvl w:val="12"/>
          <w:numId w:val="0"/>
        </w:numPr>
        <w:ind w:right="-2"/>
        <w:rPr>
          <w:iCs/>
          <w:noProof/>
          <w:u w:val="single"/>
        </w:rPr>
      </w:pPr>
      <w:r w:rsidRPr="00F7245E">
        <w:t>Gyermekek és serdülők esetén nincs engedélyezett javallat VTE elsődleges prophylaxisában.</w:t>
      </w:r>
    </w:p>
    <w:p w14:paraId="7CCC0227" w14:textId="77777777" w:rsidR="001F3456" w:rsidRPr="00F7245E" w:rsidRDefault="001F3456" w:rsidP="001F3456">
      <w:pPr>
        <w:numPr>
          <w:ilvl w:val="12"/>
          <w:numId w:val="0"/>
        </w:numPr>
        <w:ind w:right="-2"/>
        <w:rPr>
          <w:iCs/>
          <w:noProof/>
          <w:u w:val="single"/>
        </w:rPr>
      </w:pPr>
    </w:p>
    <w:p w14:paraId="397B85C8" w14:textId="77777777" w:rsidR="001F3456" w:rsidRPr="00F7245E" w:rsidRDefault="001F3456" w:rsidP="001F3456">
      <w:pPr>
        <w:rPr>
          <w:i/>
          <w:iCs/>
          <w:u w:val="single"/>
        </w:rPr>
      </w:pPr>
      <w:r w:rsidRPr="00F7245E">
        <w:rPr>
          <w:i/>
          <w:u w:val="single"/>
        </w:rPr>
        <w:t>A VTE megelőzése akut lymphoblastos leukaemiában (ALL) vagy lymphoblastos lymphomában (LL) szenvedő gyermekeknél és serdülőknél</w:t>
      </w:r>
    </w:p>
    <w:p w14:paraId="52C82DFC" w14:textId="77777777" w:rsidR="001F3456" w:rsidRPr="00F7245E" w:rsidRDefault="001F3456" w:rsidP="001F3456">
      <w:r w:rsidRPr="00F7245E">
        <w:t>A PREVAPIX-ALL vizsgálatban összesen 512, ≥ 1 és &lt; 18 év közötti életkorú, ALL-lel vagy LL-lel újonnan diagnosztizált, egy centrális vénás hozzáférést biztosító beültetett eszközön keresztül, aszparaginázt tartalmazó indukciós kemoterápiát kapó beteget randomizáltak 1:1 arányban, nyílt elrendezésben, thromboprofilaktikus kezelésre apixabánnal vagy a szokásos ellátás szerint (szisztémás antikoaguláns-kezelés nélkül). Az apixabánt fix dózisban, a testtömeghez igazított adagolási rend szerint kapták, amelyet úgy hoztak létre, hogy az a napi kétszer 2,5 mg</w:t>
      </w:r>
      <w:r w:rsidRPr="00F7245E">
        <w:noBreakHyphen/>
        <w:t>ot kapó felnőtteknél megfigyelt expozícióval hasonló expozíciót eredményezzen (lásd 15. táblázat). A vizsgálatban 2,5 mg</w:t>
      </w:r>
      <w:r w:rsidRPr="00F7245E">
        <w:noBreakHyphen/>
        <w:t>os és 0,5 mg</w:t>
      </w:r>
      <w:r w:rsidRPr="00F7245E">
        <w:noBreakHyphen/>
        <w:t>os tablettát vagy 0,4 mg/ml</w:t>
      </w:r>
      <w:r w:rsidRPr="00F7245E">
        <w:noBreakHyphen/>
        <w:t>es belsőleges oldatot alkalmaztak. Az expozíció medián időtartama az apixabán</w:t>
      </w:r>
      <w:r w:rsidRPr="00F7245E">
        <w:noBreakHyphen/>
        <w:t>karon 25 nap volt.</w:t>
      </w:r>
    </w:p>
    <w:p w14:paraId="6498FEB3" w14:textId="77777777" w:rsidR="001F3456" w:rsidRPr="00F7245E" w:rsidRDefault="001F3456" w:rsidP="001F3456"/>
    <w:p w14:paraId="5C701748" w14:textId="77777777" w:rsidR="001F3456" w:rsidRPr="00F7245E" w:rsidRDefault="001F3456" w:rsidP="001F3456">
      <w:pPr>
        <w:rPr>
          <w:sz w:val="24"/>
        </w:rPr>
      </w:pPr>
      <w:r w:rsidRPr="00F7245E">
        <w:rPr>
          <w:b/>
        </w:rPr>
        <w:t>15. táblázat: Az apixabán adagolása a PREVAPIX-ALL vizsgálatban</w:t>
      </w:r>
    </w:p>
    <w:tbl>
      <w:tblPr>
        <w:tblW w:w="6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47"/>
        <w:gridCol w:w="3333"/>
      </w:tblGrid>
      <w:tr w:rsidR="001F3456" w:rsidRPr="00F7245E" w14:paraId="71F4AC7A" w14:textId="77777777" w:rsidTr="00015928">
        <w:trPr>
          <w:trHeight w:val="283"/>
          <w:tblHeader/>
        </w:trPr>
        <w:tc>
          <w:tcPr>
            <w:tcW w:w="3147" w:type="dxa"/>
            <w:tcBorders>
              <w:top w:val="single" w:sz="4" w:space="0" w:color="auto"/>
              <w:left w:val="single" w:sz="4" w:space="0" w:color="auto"/>
              <w:bottom w:val="single" w:sz="4" w:space="0" w:color="auto"/>
              <w:right w:val="single" w:sz="4" w:space="0" w:color="auto"/>
            </w:tcBorders>
            <w:hideMark/>
          </w:tcPr>
          <w:p w14:paraId="533A0178" w14:textId="77777777" w:rsidR="001F3456" w:rsidRPr="00F7245E" w:rsidRDefault="001F3456" w:rsidP="00015928">
            <w:pPr>
              <w:pStyle w:val="BMSTableHeader"/>
              <w:keepNext/>
              <w:rPr>
                <w:sz w:val="22"/>
                <w:szCs w:val="22"/>
              </w:rPr>
            </w:pPr>
            <w:bookmarkStart w:id="11" w:name="_Hlk113446619"/>
            <w:r w:rsidRPr="00F7245E">
              <w:rPr>
                <w:sz w:val="22"/>
                <w:lang w:val="hu-HU"/>
              </w:rPr>
              <w:t>Testt</w:t>
            </w:r>
            <w:r w:rsidRPr="00F7245E">
              <w:rPr>
                <w:sz w:val="22"/>
              </w:rPr>
              <w:t>ömegtartomány</w:t>
            </w:r>
          </w:p>
        </w:tc>
        <w:tc>
          <w:tcPr>
            <w:tcW w:w="3333" w:type="dxa"/>
            <w:tcBorders>
              <w:top w:val="single" w:sz="4" w:space="0" w:color="auto"/>
              <w:left w:val="single" w:sz="4" w:space="0" w:color="auto"/>
              <w:bottom w:val="single" w:sz="4" w:space="0" w:color="auto"/>
              <w:right w:val="single" w:sz="4" w:space="0" w:color="auto"/>
            </w:tcBorders>
            <w:hideMark/>
          </w:tcPr>
          <w:p w14:paraId="73572A0A" w14:textId="77777777" w:rsidR="001F3456" w:rsidRPr="00F7245E" w:rsidRDefault="001F3456" w:rsidP="00015928">
            <w:pPr>
              <w:pStyle w:val="BMSTableHeader"/>
              <w:keepNext/>
              <w:rPr>
                <w:sz w:val="22"/>
                <w:szCs w:val="22"/>
              </w:rPr>
            </w:pPr>
            <w:r w:rsidRPr="00F7245E">
              <w:rPr>
                <w:sz w:val="22"/>
              </w:rPr>
              <w:t>Adagolási rend</w:t>
            </w:r>
          </w:p>
        </w:tc>
      </w:tr>
      <w:tr w:rsidR="001F3456" w:rsidRPr="00F7245E" w14:paraId="43609EA5" w14:textId="77777777" w:rsidTr="00015928">
        <w:trPr>
          <w:trHeight w:val="283"/>
        </w:trPr>
        <w:tc>
          <w:tcPr>
            <w:tcW w:w="3147" w:type="dxa"/>
            <w:tcBorders>
              <w:top w:val="single" w:sz="4" w:space="0" w:color="auto"/>
              <w:left w:val="single" w:sz="4" w:space="0" w:color="auto"/>
              <w:bottom w:val="single" w:sz="4" w:space="0" w:color="auto"/>
              <w:right w:val="single" w:sz="4" w:space="0" w:color="auto"/>
            </w:tcBorders>
            <w:hideMark/>
          </w:tcPr>
          <w:p w14:paraId="5289C56C" w14:textId="77777777" w:rsidR="001F3456" w:rsidRPr="00F7245E" w:rsidRDefault="001F3456" w:rsidP="00015928">
            <w:pPr>
              <w:pStyle w:val="BMSTableText"/>
              <w:rPr>
                <w:sz w:val="22"/>
                <w:szCs w:val="22"/>
              </w:rPr>
            </w:pPr>
            <w:bookmarkStart w:id="12" w:name="OLE_LINK8"/>
            <w:r w:rsidRPr="00F7245E">
              <w:rPr>
                <w:sz w:val="22"/>
              </w:rPr>
              <w:t>6 – &lt; 10,5 kg</w:t>
            </w:r>
            <w:bookmarkEnd w:id="12"/>
          </w:p>
        </w:tc>
        <w:tc>
          <w:tcPr>
            <w:tcW w:w="3333" w:type="dxa"/>
            <w:tcBorders>
              <w:top w:val="single" w:sz="4" w:space="0" w:color="auto"/>
              <w:left w:val="single" w:sz="4" w:space="0" w:color="auto"/>
              <w:bottom w:val="single" w:sz="4" w:space="0" w:color="auto"/>
              <w:right w:val="single" w:sz="4" w:space="0" w:color="auto"/>
            </w:tcBorders>
            <w:hideMark/>
          </w:tcPr>
          <w:p w14:paraId="0A6798E1" w14:textId="77777777" w:rsidR="001F3456" w:rsidRPr="00F7245E" w:rsidRDefault="001F3456" w:rsidP="00015928">
            <w:pPr>
              <w:pStyle w:val="BMSTableText"/>
              <w:rPr>
                <w:sz w:val="22"/>
                <w:szCs w:val="22"/>
              </w:rPr>
            </w:pPr>
            <w:bookmarkStart w:id="13" w:name="OLE_LINK7"/>
            <w:r w:rsidRPr="00F7245E">
              <w:rPr>
                <w:sz w:val="22"/>
              </w:rPr>
              <w:t>0,5 mg naponta kétszer</w:t>
            </w:r>
            <w:bookmarkEnd w:id="13"/>
          </w:p>
        </w:tc>
      </w:tr>
      <w:tr w:rsidR="001F3456" w:rsidRPr="00F7245E" w14:paraId="77B9474D" w14:textId="77777777" w:rsidTr="00015928">
        <w:trPr>
          <w:trHeight w:val="283"/>
        </w:trPr>
        <w:tc>
          <w:tcPr>
            <w:tcW w:w="3147" w:type="dxa"/>
            <w:tcBorders>
              <w:top w:val="single" w:sz="4" w:space="0" w:color="auto"/>
              <w:left w:val="single" w:sz="4" w:space="0" w:color="auto"/>
              <w:bottom w:val="single" w:sz="4" w:space="0" w:color="auto"/>
              <w:right w:val="single" w:sz="4" w:space="0" w:color="auto"/>
            </w:tcBorders>
            <w:hideMark/>
          </w:tcPr>
          <w:p w14:paraId="6CB2EE8A" w14:textId="77777777" w:rsidR="001F3456" w:rsidRPr="00F7245E" w:rsidRDefault="001F3456" w:rsidP="00015928">
            <w:pPr>
              <w:pStyle w:val="BMSTableText"/>
              <w:rPr>
                <w:sz w:val="22"/>
                <w:szCs w:val="22"/>
              </w:rPr>
            </w:pPr>
            <w:r w:rsidRPr="00F7245E">
              <w:rPr>
                <w:sz w:val="22"/>
              </w:rPr>
              <w:t>10,5 – &lt; 18 kg</w:t>
            </w:r>
          </w:p>
        </w:tc>
        <w:tc>
          <w:tcPr>
            <w:tcW w:w="3333" w:type="dxa"/>
            <w:tcBorders>
              <w:top w:val="single" w:sz="4" w:space="0" w:color="auto"/>
              <w:left w:val="single" w:sz="4" w:space="0" w:color="auto"/>
              <w:bottom w:val="single" w:sz="4" w:space="0" w:color="auto"/>
              <w:right w:val="single" w:sz="4" w:space="0" w:color="auto"/>
            </w:tcBorders>
            <w:hideMark/>
          </w:tcPr>
          <w:p w14:paraId="277612BB" w14:textId="77777777" w:rsidR="001F3456" w:rsidRPr="00F7245E" w:rsidRDefault="001F3456" w:rsidP="00015928">
            <w:pPr>
              <w:pStyle w:val="BMSTableText"/>
              <w:rPr>
                <w:sz w:val="22"/>
                <w:szCs w:val="22"/>
              </w:rPr>
            </w:pPr>
            <w:r w:rsidRPr="00F7245E">
              <w:rPr>
                <w:sz w:val="22"/>
              </w:rPr>
              <w:t>1 mg naponta kétszer</w:t>
            </w:r>
          </w:p>
        </w:tc>
      </w:tr>
      <w:tr w:rsidR="001F3456" w:rsidRPr="00F7245E" w14:paraId="10869EF0" w14:textId="77777777" w:rsidTr="00015928">
        <w:trPr>
          <w:trHeight w:val="283"/>
        </w:trPr>
        <w:tc>
          <w:tcPr>
            <w:tcW w:w="3147" w:type="dxa"/>
            <w:tcBorders>
              <w:top w:val="single" w:sz="4" w:space="0" w:color="auto"/>
              <w:left w:val="single" w:sz="4" w:space="0" w:color="auto"/>
              <w:bottom w:val="single" w:sz="4" w:space="0" w:color="auto"/>
              <w:right w:val="single" w:sz="4" w:space="0" w:color="auto"/>
            </w:tcBorders>
            <w:hideMark/>
          </w:tcPr>
          <w:p w14:paraId="19F15E18" w14:textId="77777777" w:rsidR="001F3456" w:rsidRPr="00F7245E" w:rsidRDefault="001F3456" w:rsidP="00015928">
            <w:pPr>
              <w:pStyle w:val="BMSTableText"/>
              <w:rPr>
                <w:sz w:val="22"/>
                <w:szCs w:val="22"/>
              </w:rPr>
            </w:pPr>
            <w:r w:rsidRPr="00F7245E">
              <w:rPr>
                <w:sz w:val="22"/>
              </w:rPr>
              <w:t>18 – &lt; 25 kg</w:t>
            </w:r>
          </w:p>
        </w:tc>
        <w:tc>
          <w:tcPr>
            <w:tcW w:w="3333" w:type="dxa"/>
            <w:tcBorders>
              <w:top w:val="single" w:sz="4" w:space="0" w:color="auto"/>
              <w:left w:val="single" w:sz="4" w:space="0" w:color="auto"/>
              <w:bottom w:val="single" w:sz="4" w:space="0" w:color="auto"/>
              <w:right w:val="single" w:sz="4" w:space="0" w:color="auto"/>
            </w:tcBorders>
            <w:hideMark/>
          </w:tcPr>
          <w:p w14:paraId="5BB381C7" w14:textId="77777777" w:rsidR="001F3456" w:rsidRPr="00F7245E" w:rsidRDefault="001F3456" w:rsidP="00015928">
            <w:pPr>
              <w:pStyle w:val="BMSTableText"/>
              <w:rPr>
                <w:sz w:val="22"/>
                <w:szCs w:val="22"/>
              </w:rPr>
            </w:pPr>
            <w:r w:rsidRPr="00F7245E">
              <w:rPr>
                <w:sz w:val="22"/>
              </w:rPr>
              <w:t>1,5 mg naponta kétszer</w:t>
            </w:r>
          </w:p>
        </w:tc>
      </w:tr>
      <w:tr w:rsidR="001F3456" w:rsidRPr="00F7245E" w14:paraId="22B5A445" w14:textId="77777777" w:rsidTr="00015928">
        <w:trPr>
          <w:trHeight w:val="283"/>
        </w:trPr>
        <w:tc>
          <w:tcPr>
            <w:tcW w:w="3147" w:type="dxa"/>
            <w:tcBorders>
              <w:top w:val="single" w:sz="4" w:space="0" w:color="auto"/>
              <w:left w:val="single" w:sz="4" w:space="0" w:color="auto"/>
              <w:bottom w:val="single" w:sz="4" w:space="0" w:color="auto"/>
              <w:right w:val="single" w:sz="4" w:space="0" w:color="auto"/>
            </w:tcBorders>
            <w:hideMark/>
          </w:tcPr>
          <w:p w14:paraId="178C2964" w14:textId="77777777" w:rsidR="001F3456" w:rsidRPr="00F7245E" w:rsidRDefault="001F3456" w:rsidP="00015928">
            <w:pPr>
              <w:pStyle w:val="BMSTableText"/>
              <w:rPr>
                <w:sz w:val="22"/>
                <w:szCs w:val="22"/>
              </w:rPr>
            </w:pPr>
            <w:r w:rsidRPr="00F7245E">
              <w:rPr>
                <w:sz w:val="22"/>
              </w:rPr>
              <w:t>25 – &lt; 35 kg</w:t>
            </w:r>
          </w:p>
        </w:tc>
        <w:tc>
          <w:tcPr>
            <w:tcW w:w="3333" w:type="dxa"/>
            <w:tcBorders>
              <w:top w:val="single" w:sz="4" w:space="0" w:color="auto"/>
              <w:left w:val="single" w:sz="4" w:space="0" w:color="auto"/>
              <w:bottom w:val="single" w:sz="4" w:space="0" w:color="auto"/>
              <w:right w:val="single" w:sz="4" w:space="0" w:color="auto"/>
            </w:tcBorders>
            <w:hideMark/>
          </w:tcPr>
          <w:p w14:paraId="771CB0C0" w14:textId="77777777" w:rsidR="001F3456" w:rsidRPr="00F7245E" w:rsidRDefault="001F3456" w:rsidP="00015928">
            <w:pPr>
              <w:pStyle w:val="BMSTableText"/>
              <w:rPr>
                <w:sz w:val="22"/>
                <w:szCs w:val="22"/>
              </w:rPr>
            </w:pPr>
            <w:r w:rsidRPr="00F7245E">
              <w:rPr>
                <w:sz w:val="22"/>
              </w:rPr>
              <w:t>2 mg naponta kétszer</w:t>
            </w:r>
          </w:p>
        </w:tc>
      </w:tr>
      <w:tr w:rsidR="001F3456" w:rsidRPr="00F7245E" w14:paraId="45E8E367" w14:textId="77777777" w:rsidTr="00015928">
        <w:trPr>
          <w:trHeight w:val="283"/>
        </w:trPr>
        <w:tc>
          <w:tcPr>
            <w:tcW w:w="3147" w:type="dxa"/>
            <w:tcBorders>
              <w:top w:val="single" w:sz="4" w:space="0" w:color="auto"/>
              <w:left w:val="single" w:sz="4" w:space="0" w:color="auto"/>
              <w:bottom w:val="single" w:sz="4" w:space="0" w:color="auto"/>
              <w:right w:val="single" w:sz="4" w:space="0" w:color="auto"/>
            </w:tcBorders>
            <w:hideMark/>
          </w:tcPr>
          <w:p w14:paraId="2D6BC1E9" w14:textId="77777777" w:rsidR="001F3456" w:rsidRPr="00F7245E" w:rsidRDefault="001F3456" w:rsidP="00015928">
            <w:pPr>
              <w:pStyle w:val="BMSTableText"/>
              <w:rPr>
                <w:sz w:val="22"/>
                <w:szCs w:val="22"/>
              </w:rPr>
            </w:pPr>
            <w:r w:rsidRPr="00F7245E">
              <w:rPr>
                <w:sz w:val="22"/>
                <w:szCs w:val="22"/>
              </w:rPr>
              <w:t>≥</w:t>
            </w:r>
            <w:r w:rsidRPr="00F7245E">
              <w:t> </w:t>
            </w:r>
            <w:r w:rsidRPr="00F7245E">
              <w:rPr>
                <w:sz w:val="22"/>
              </w:rPr>
              <w:t>35 kg</w:t>
            </w:r>
          </w:p>
        </w:tc>
        <w:tc>
          <w:tcPr>
            <w:tcW w:w="3333" w:type="dxa"/>
            <w:tcBorders>
              <w:top w:val="single" w:sz="4" w:space="0" w:color="auto"/>
              <w:left w:val="single" w:sz="4" w:space="0" w:color="auto"/>
              <w:bottom w:val="single" w:sz="4" w:space="0" w:color="auto"/>
              <w:right w:val="single" w:sz="4" w:space="0" w:color="auto"/>
            </w:tcBorders>
            <w:hideMark/>
          </w:tcPr>
          <w:p w14:paraId="19FACF21" w14:textId="77777777" w:rsidR="001F3456" w:rsidRPr="00F7245E" w:rsidRDefault="001F3456" w:rsidP="00015928">
            <w:pPr>
              <w:pStyle w:val="BMSTableText"/>
              <w:rPr>
                <w:sz w:val="22"/>
                <w:szCs w:val="22"/>
              </w:rPr>
            </w:pPr>
            <w:r w:rsidRPr="00F7245E">
              <w:rPr>
                <w:sz w:val="22"/>
              </w:rPr>
              <w:t>2,5 mg naponta kétszer</w:t>
            </w:r>
          </w:p>
        </w:tc>
      </w:tr>
      <w:bookmarkEnd w:id="11"/>
    </w:tbl>
    <w:p w14:paraId="1268CC06" w14:textId="77777777" w:rsidR="001F3456" w:rsidRPr="00F7245E" w:rsidRDefault="001F3456" w:rsidP="001F3456">
      <w:pPr>
        <w:rPr>
          <w:b/>
          <w:bCs/>
        </w:rPr>
      </w:pPr>
    </w:p>
    <w:p w14:paraId="5967C158" w14:textId="77777777" w:rsidR="001F3456" w:rsidRPr="00F7245E" w:rsidRDefault="001F3456" w:rsidP="001F3456">
      <w:r w:rsidRPr="00F7245E">
        <w:t>Az elsődleges hatásossági végpont az igazolt, tünetekkel járó és tünetmentes, nem halálos mélyvénás thrombosis, tüdőembolia, cerebralis vénás sinus thrombosis és vénás thromboemboliával összefüggő halálozás összetett végpontja volt. Az elsődleges hatásossági végpont incidenciája 31 (12,1%) volt az apixabán</w:t>
      </w:r>
      <w:r w:rsidRPr="00F7245E">
        <w:noBreakHyphen/>
        <w:t>karon és 45 (17,6%) a szokásos ellátást alkalmazó karon. A relatív kockázatcsökkenés nem ért el szignifikáns szintet.</w:t>
      </w:r>
    </w:p>
    <w:p w14:paraId="7C712B86" w14:textId="77777777" w:rsidR="001F3456" w:rsidRPr="00F7245E" w:rsidRDefault="001F3456" w:rsidP="001F3456">
      <w:pPr>
        <w:pStyle w:val="Jegyzetszveg"/>
        <w:rPr>
          <w:sz w:val="22"/>
          <w:szCs w:val="22"/>
        </w:rPr>
      </w:pPr>
      <w:bookmarkStart w:id="14" w:name="OLE_LINK17"/>
    </w:p>
    <w:bookmarkEnd w:id="14"/>
    <w:p w14:paraId="1C9FBCBA" w14:textId="77777777" w:rsidR="001F3456" w:rsidRPr="00F7245E" w:rsidRDefault="001F3456" w:rsidP="001F3456">
      <w:pPr>
        <w:numPr>
          <w:ilvl w:val="12"/>
          <w:numId w:val="0"/>
        </w:numPr>
        <w:ind w:right="-2"/>
      </w:pPr>
      <w:r w:rsidRPr="00F7245E">
        <w:t>A biztonságossági végpontokat az ISTH kritériumai szerint ítélték meg. Az elsődleges biztonságossági végpont, a nagyfokú vérzés az egyes kezelési karokon a betegek 0,8%</w:t>
      </w:r>
      <w:r w:rsidRPr="00F7245E">
        <w:noBreakHyphen/>
        <w:t>ánál jelentkezett. CRNM vérzés 11 betegnél jelentkezett (4,3%) az apixabán</w:t>
      </w:r>
      <w:r w:rsidRPr="00F7245E">
        <w:noBreakHyphen/>
        <w:t>karon és 3 betegnél (1,2%) a szokásos ellátást alkalmazó karon. A kezelési különbséghez hozzájáruló leggyakoribb CRNM vérzéses esemény enyhe vagy mérsékelt intenzitású epistaxis volt. Kisfokú vérzéses események 37 betegnél fordultak elő az apixabán-karon (14,5%) és 20 betegnél (7,8%) a szokásos ellátást alkalmazó karon.</w:t>
      </w:r>
    </w:p>
    <w:p w14:paraId="3717E797" w14:textId="77777777" w:rsidR="001F3456" w:rsidRPr="00F7245E" w:rsidRDefault="001F3456" w:rsidP="001F3456">
      <w:pPr>
        <w:numPr>
          <w:ilvl w:val="12"/>
          <w:numId w:val="0"/>
        </w:numPr>
        <w:ind w:right="-2"/>
        <w:rPr>
          <w:iCs/>
          <w:noProof/>
          <w:u w:val="single"/>
        </w:rPr>
      </w:pPr>
    </w:p>
    <w:p w14:paraId="2B1C524A" w14:textId="77777777" w:rsidR="001F3456" w:rsidRPr="00F7245E" w:rsidRDefault="001F3456" w:rsidP="001F3456">
      <w:pPr>
        <w:keepNext/>
        <w:rPr>
          <w:i/>
          <w:iCs/>
          <w:u w:val="single"/>
        </w:rPr>
      </w:pPr>
      <w:r w:rsidRPr="00F7245E">
        <w:rPr>
          <w:i/>
          <w:u w:val="single"/>
        </w:rPr>
        <w:t>A thromboembolia (TE) megelőzése veleszületett vagy szerzett szívbetegséggel élő gyermekeknél és serdülőknél</w:t>
      </w:r>
    </w:p>
    <w:p w14:paraId="788DB0D4" w14:textId="77777777" w:rsidR="001F3456" w:rsidRPr="00F7245E" w:rsidRDefault="001F3456" w:rsidP="001F3456">
      <w:pPr>
        <w:keepNext/>
      </w:pPr>
      <w:r w:rsidRPr="00F7245E">
        <w:t>A SAXOPHONE egy 2:1 arányban randomizált, nyílt elrendezésű, multicentrikus, összehasonlító vizsgálat volt 28 nap - betöltött 18 év közötti életkorú, veleszületett vagy szerzett szívbetegségben szenvedő, antikoagulálást igénylő betegeknél. A betegek apixabánt vagy a szokásos thromboprofilaktikus ellátást kapták egy K</w:t>
      </w:r>
      <w:r w:rsidRPr="00F7245E">
        <w:noBreakHyphen/>
        <w:t>vitamin</w:t>
      </w:r>
      <w:r w:rsidRPr="00F7245E">
        <w:noBreakHyphen/>
        <w:t>antagonistával vagy kis molekulatömegű heparinnal. Az apixabánt fix dózisban, a testtömeghez igazított adagolási rend szerint kapták, amelyet úgy hoztak létre, hogy az a napi kétszer 5 mg</w:t>
      </w:r>
      <w:r w:rsidRPr="00F7245E">
        <w:noBreakHyphen/>
        <w:t>os adagot kapó felnőtteknél megfigyelt expozícióval hasonló expozíciót eredményezzen (lásd 16. táblázat). A vizsgálatban 5 mg</w:t>
      </w:r>
      <w:r w:rsidRPr="00F7245E">
        <w:noBreakHyphen/>
        <w:t>os és 0,5 mg</w:t>
      </w:r>
      <w:r w:rsidRPr="00F7245E">
        <w:noBreakHyphen/>
        <w:t>os tablettát vagy 0,4 mg/ml</w:t>
      </w:r>
      <w:r w:rsidRPr="00F7245E">
        <w:noBreakHyphen/>
        <w:t>es belsőleges oldatot alkalmaztak. Az expozíció átlagos időtartama az apixabán</w:t>
      </w:r>
      <w:r w:rsidRPr="00F7245E">
        <w:noBreakHyphen/>
        <w:t>karon 331 nap volt.</w:t>
      </w:r>
    </w:p>
    <w:p w14:paraId="6EC5ADF3" w14:textId="77777777" w:rsidR="001F3456" w:rsidRPr="00F7245E" w:rsidRDefault="001F3456" w:rsidP="001F3456"/>
    <w:p w14:paraId="30AF23B6" w14:textId="77777777" w:rsidR="001F3456" w:rsidRPr="00F7245E" w:rsidRDefault="001F3456" w:rsidP="001F3456">
      <w:pPr>
        <w:keepNext/>
        <w:rPr>
          <w:sz w:val="24"/>
        </w:rPr>
      </w:pPr>
      <w:r w:rsidRPr="00F7245E">
        <w:rPr>
          <w:b/>
        </w:rPr>
        <w:t>16. táblázat: Az apixabán adagolása a SAXOPHONE vizsgálatban</w:t>
      </w:r>
    </w:p>
    <w:tbl>
      <w:tblPr>
        <w:tblW w:w="6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47"/>
        <w:gridCol w:w="3333"/>
      </w:tblGrid>
      <w:tr w:rsidR="001F3456" w:rsidRPr="00F7245E" w14:paraId="109438EC" w14:textId="77777777" w:rsidTr="00015928">
        <w:trPr>
          <w:tblHeader/>
        </w:trPr>
        <w:tc>
          <w:tcPr>
            <w:tcW w:w="3147" w:type="dxa"/>
            <w:tcBorders>
              <w:top w:val="single" w:sz="4" w:space="0" w:color="auto"/>
              <w:left w:val="single" w:sz="4" w:space="0" w:color="auto"/>
              <w:bottom w:val="single" w:sz="4" w:space="0" w:color="auto"/>
              <w:right w:val="single" w:sz="4" w:space="0" w:color="auto"/>
            </w:tcBorders>
            <w:hideMark/>
          </w:tcPr>
          <w:p w14:paraId="49F9CE44" w14:textId="77777777" w:rsidR="001F3456" w:rsidRPr="00F7245E" w:rsidRDefault="001F3456" w:rsidP="00015928">
            <w:pPr>
              <w:pStyle w:val="BMSTableHeader"/>
              <w:keepNext/>
              <w:rPr>
                <w:sz w:val="22"/>
                <w:szCs w:val="22"/>
              </w:rPr>
            </w:pPr>
            <w:r w:rsidRPr="00F7245E">
              <w:rPr>
                <w:sz w:val="22"/>
                <w:lang w:val="hu-HU"/>
              </w:rPr>
              <w:t>Testt</w:t>
            </w:r>
            <w:r w:rsidRPr="00F7245E">
              <w:rPr>
                <w:sz w:val="22"/>
              </w:rPr>
              <w:t>ömegtartomány</w:t>
            </w:r>
          </w:p>
        </w:tc>
        <w:tc>
          <w:tcPr>
            <w:tcW w:w="3333" w:type="dxa"/>
            <w:tcBorders>
              <w:top w:val="single" w:sz="4" w:space="0" w:color="auto"/>
              <w:left w:val="single" w:sz="4" w:space="0" w:color="auto"/>
              <w:bottom w:val="single" w:sz="4" w:space="0" w:color="auto"/>
              <w:right w:val="single" w:sz="4" w:space="0" w:color="auto"/>
            </w:tcBorders>
            <w:hideMark/>
          </w:tcPr>
          <w:p w14:paraId="0F6AD5AE" w14:textId="77777777" w:rsidR="001F3456" w:rsidRPr="00F7245E" w:rsidRDefault="001F3456" w:rsidP="00015928">
            <w:pPr>
              <w:pStyle w:val="BMSTableHeader"/>
              <w:keepNext/>
              <w:rPr>
                <w:sz w:val="22"/>
                <w:szCs w:val="22"/>
              </w:rPr>
            </w:pPr>
            <w:r w:rsidRPr="00F7245E">
              <w:rPr>
                <w:sz w:val="22"/>
              </w:rPr>
              <w:t>Adagolási rend</w:t>
            </w:r>
          </w:p>
        </w:tc>
      </w:tr>
      <w:tr w:rsidR="001F3456" w:rsidRPr="00F7245E" w14:paraId="54B390AC" w14:textId="77777777" w:rsidTr="00015928">
        <w:tc>
          <w:tcPr>
            <w:tcW w:w="3147" w:type="dxa"/>
            <w:tcBorders>
              <w:top w:val="single" w:sz="4" w:space="0" w:color="auto"/>
              <w:left w:val="single" w:sz="4" w:space="0" w:color="auto"/>
              <w:bottom w:val="single" w:sz="4" w:space="0" w:color="auto"/>
              <w:right w:val="single" w:sz="4" w:space="0" w:color="auto"/>
            </w:tcBorders>
            <w:hideMark/>
          </w:tcPr>
          <w:p w14:paraId="21587EDE" w14:textId="77777777" w:rsidR="001F3456" w:rsidRPr="00F7245E" w:rsidRDefault="001F3456" w:rsidP="00015928">
            <w:pPr>
              <w:pStyle w:val="BMSTableText"/>
              <w:rPr>
                <w:sz w:val="22"/>
                <w:szCs w:val="22"/>
              </w:rPr>
            </w:pPr>
            <w:r w:rsidRPr="00F7245E">
              <w:rPr>
                <w:sz w:val="22"/>
              </w:rPr>
              <w:t>6 – &lt; 9 kg</w:t>
            </w:r>
          </w:p>
        </w:tc>
        <w:tc>
          <w:tcPr>
            <w:tcW w:w="3333" w:type="dxa"/>
            <w:tcBorders>
              <w:top w:val="single" w:sz="4" w:space="0" w:color="auto"/>
              <w:left w:val="single" w:sz="4" w:space="0" w:color="auto"/>
              <w:bottom w:val="single" w:sz="4" w:space="0" w:color="auto"/>
              <w:right w:val="single" w:sz="4" w:space="0" w:color="auto"/>
            </w:tcBorders>
            <w:hideMark/>
          </w:tcPr>
          <w:p w14:paraId="5B07C8EA" w14:textId="77777777" w:rsidR="001F3456" w:rsidRPr="00F7245E" w:rsidRDefault="001F3456" w:rsidP="00015928">
            <w:pPr>
              <w:pStyle w:val="BMSTableText"/>
              <w:rPr>
                <w:sz w:val="22"/>
                <w:szCs w:val="22"/>
              </w:rPr>
            </w:pPr>
            <w:r w:rsidRPr="00F7245E">
              <w:rPr>
                <w:sz w:val="22"/>
              </w:rPr>
              <w:t>1 mg naponta kétszer</w:t>
            </w:r>
          </w:p>
        </w:tc>
      </w:tr>
      <w:tr w:rsidR="001F3456" w:rsidRPr="00F7245E" w14:paraId="1D9E8BF6" w14:textId="77777777" w:rsidTr="00015928">
        <w:tc>
          <w:tcPr>
            <w:tcW w:w="3147" w:type="dxa"/>
            <w:tcBorders>
              <w:top w:val="single" w:sz="4" w:space="0" w:color="auto"/>
              <w:left w:val="single" w:sz="4" w:space="0" w:color="auto"/>
              <w:bottom w:val="single" w:sz="4" w:space="0" w:color="auto"/>
              <w:right w:val="single" w:sz="4" w:space="0" w:color="auto"/>
            </w:tcBorders>
            <w:hideMark/>
          </w:tcPr>
          <w:p w14:paraId="07C20442" w14:textId="77777777" w:rsidR="001F3456" w:rsidRPr="00F7245E" w:rsidRDefault="001F3456" w:rsidP="00015928">
            <w:pPr>
              <w:pStyle w:val="BMSTableText"/>
              <w:rPr>
                <w:sz w:val="22"/>
                <w:szCs w:val="22"/>
              </w:rPr>
            </w:pPr>
            <w:r w:rsidRPr="00F7245E">
              <w:rPr>
                <w:sz w:val="22"/>
              </w:rPr>
              <w:t>9 – &lt; 12 kg</w:t>
            </w:r>
          </w:p>
        </w:tc>
        <w:tc>
          <w:tcPr>
            <w:tcW w:w="3333" w:type="dxa"/>
            <w:tcBorders>
              <w:top w:val="single" w:sz="4" w:space="0" w:color="auto"/>
              <w:left w:val="single" w:sz="4" w:space="0" w:color="auto"/>
              <w:bottom w:val="single" w:sz="4" w:space="0" w:color="auto"/>
              <w:right w:val="single" w:sz="4" w:space="0" w:color="auto"/>
            </w:tcBorders>
            <w:hideMark/>
          </w:tcPr>
          <w:p w14:paraId="392A0F6D" w14:textId="77777777" w:rsidR="001F3456" w:rsidRPr="00F7245E" w:rsidRDefault="001F3456" w:rsidP="00015928">
            <w:pPr>
              <w:pStyle w:val="BMSTableText"/>
              <w:rPr>
                <w:sz w:val="22"/>
                <w:szCs w:val="22"/>
              </w:rPr>
            </w:pPr>
            <w:r w:rsidRPr="00F7245E">
              <w:rPr>
                <w:sz w:val="22"/>
              </w:rPr>
              <w:t>1,5 mg naponta kétszer</w:t>
            </w:r>
          </w:p>
        </w:tc>
      </w:tr>
      <w:tr w:rsidR="001F3456" w:rsidRPr="00F7245E" w14:paraId="1E0FEAF6" w14:textId="77777777" w:rsidTr="00015928">
        <w:tc>
          <w:tcPr>
            <w:tcW w:w="3147" w:type="dxa"/>
            <w:tcBorders>
              <w:top w:val="single" w:sz="4" w:space="0" w:color="auto"/>
              <w:left w:val="single" w:sz="4" w:space="0" w:color="auto"/>
              <w:bottom w:val="single" w:sz="4" w:space="0" w:color="auto"/>
              <w:right w:val="single" w:sz="4" w:space="0" w:color="auto"/>
            </w:tcBorders>
            <w:hideMark/>
          </w:tcPr>
          <w:p w14:paraId="666C1B28" w14:textId="77777777" w:rsidR="001F3456" w:rsidRPr="00F7245E" w:rsidRDefault="001F3456" w:rsidP="00015928">
            <w:pPr>
              <w:pStyle w:val="BMSTableText"/>
              <w:rPr>
                <w:sz w:val="22"/>
                <w:szCs w:val="22"/>
              </w:rPr>
            </w:pPr>
            <w:r w:rsidRPr="00F7245E">
              <w:rPr>
                <w:sz w:val="22"/>
              </w:rPr>
              <w:t>12 – &lt; 18 kg</w:t>
            </w:r>
          </w:p>
        </w:tc>
        <w:tc>
          <w:tcPr>
            <w:tcW w:w="3333" w:type="dxa"/>
            <w:tcBorders>
              <w:top w:val="single" w:sz="4" w:space="0" w:color="auto"/>
              <w:left w:val="single" w:sz="4" w:space="0" w:color="auto"/>
              <w:bottom w:val="single" w:sz="4" w:space="0" w:color="auto"/>
              <w:right w:val="single" w:sz="4" w:space="0" w:color="auto"/>
            </w:tcBorders>
            <w:hideMark/>
          </w:tcPr>
          <w:p w14:paraId="5C5AAF9C" w14:textId="77777777" w:rsidR="001F3456" w:rsidRPr="00F7245E" w:rsidRDefault="001F3456" w:rsidP="00015928">
            <w:pPr>
              <w:pStyle w:val="BMSTableText"/>
              <w:rPr>
                <w:sz w:val="22"/>
                <w:szCs w:val="22"/>
              </w:rPr>
            </w:pPr>
            <w:r w:rsidRPr="00F7245E">
              <w:rPr>
                <w:sz w:val="22"/>
              </w:rPr>
              <w:t>2 mg naponta kétszer</w:t>
            </w:r>
          </w:p>
        </w:tc>
      </w:tr>
      <w:tr w:rsidR="001F3456" w:rsidRPr="00F7245E" w14:paraId="5C2AB6D8" w14:textId="77777777" w:rsidTr="00015928">
        <w:tc>
          <w:tcPr>
            <w:tcW w:w="3147" w:type="dxa"/>
            <w:tcBorders>
              <w:top w:val="single" w:sz="4" w:space="0" w:color="auto"/>
              <w:left w:val="single" w:sz="4" w:space="0" w:color="auto"/>
              <w:bottom w:val="single" w:sz="4" w:space="0" w:color="auto"/>
              <w:right w:val="single" w:sz="4" w:space="0" w:color="auto"/>
            </w:tcBorders>
            <w:hideMark/>
          </w:tcPr>
          <w:p w14:paraId="63B5996F" w14:textId="77777777" w:rsidR="001F3456" w:rsidRPr="00F7245E" w:rsidRDefault="001F3456" w:rsidP="00015928">
            <w:pPr>
              <w:pStyle w:val="BMSTableText"/>
              <w:rPr>
                <w:sz w:val="22"/>
                <w:szCs w:val="22"/>
              </w:rPr>
            </w:pPr>
            <w:r w:rsidRPr="00F7245E">
              <w:rPr>
                <w:sz w:val="22"/>
              </w:rPr>
              <w:t>18 – &lt; 25 kg</w:t>
            </w:r>
          </w:p>
        </w:tc>
        <w:tc>
          <w:tcPr>
            <w:tcW w:w="3333" w:type="dxa"/>
            <w:tcBorders>
              <w:top w:val="single" w:sz="4" w:space="0" w:color="auto"/>
              <w:left w:val="single" w:sz="4" w:space="0" w:color="auto"/>
              <w:bottom w:val="single" w:sz="4" w:space="0" w:color="auto"/>
              <w:right w:val="single" w:sz="4" w:space="0" w:color="auto"/>
            </w:tcBorders>
            <w:hideMark/>
          </w:tcPr>
          <w:p w14:paraId="48CC2EC2" w14:textId="77777777" w:rsidR="001F3456" w:rsidRPr="00F7245E" w:rsidRDefault="001F3456" w:rsidP="00015928">
            <w:pPr>
              <w:pStyle w:val="BMSTableText"/>
              <w:rPr>
                <w:sz w:val="22"/>
                <w:szCs w:val="22"/>
              </w:rPr>
            </w:pPr>
            <w:r w:rsidRPr="00F7245E">
              <w:rPr>
                <w:sz w:val="22"/>
              </w:rPr>
              <w:t>3 mg naponta kétszer</w:t>
            </w:r>
          </w:p>
        </w:tc>
      </w:tr>
      <w:tr w:rsidR="001F3456" w:rsidRPr="00F7245E" w14:paraId="0E4286D2" w14:textId="77777777" w:rsidTr="00015928">
        <w:tc>
          <w:tcPr>
            <w:tcW w:w="3147" w:type="dxa"/>
            <w:tcBorders>
              <w:top w:val="single" w:sz="4" w:space="0" w:color="auto"/>
              <w:left w:val="single" w:sz="4" w:space="0" w:color="auto"/>
              <w:bottom w:val="single" w:sz="4" w:space="0" w:color="auto"/>
              <w:right w:val="single" w:sz="4" w:space="0" w:color="auto"/>
            </w:tcBorders>
            <w:hideMark/>
          </w:tcPr>
          <w:p w14:paraId="6DB56BA9" w14:textId="77777777" w:rsidR="001F3456" w:rsidRPr="00F7245E" w:rsidRDefault="001F3456" w:rsidP="00015928">
            <w:pPr>
              <w:pStyle w:val="BMSTableText"/>
              <w:rPr>
                <w:sz w:val="22"/>
                <w:szCs w:val="22"/>
              </w:rPr>
            </w:pPr>
            <w:bookmarkStart w:id="15" w:name="OLE_LINK14"/>
            <w:r w:rsidRPr="00F7245E">
              <w:rPr>
                <w:sz w:val="22"/>
              </w:rPr>
              <w:t>25 – &lt; 35 kg</w:t>
            </w:r>
            <w:bookmarkEnd w:id="15"/>
          </w:p>
        </w:tc>
        <w:tc>
          <w:tcPr>
            <w:tcW w:w="3333" w:type="dxa"/>
            <w:tcBorders>
              <w:top w:val="single" w:sz="4" w:space="0" w:color="auto"/>
              <w:left w:val="single" w:sz="4" w:space="0" w:color="auto"/>
              <w:bottom w:val="single" w:sz="4" w:space="0" w:color="auto"/>
              <w:right w:val="single" w:sz="4" w:space="0" w:color="auto"/>
            </w:tcBorders>
            <w:hideMark/>
          </w:tcPr>
          <w:p w14:paraId="63F02183" w14:textId="77777777" w:rsidR="001F3456" w:rsidRPr="00F7245E" w:rsidRDefault="001F3456" w:rsidP="00015928">
            <w:pPr>
              <w:pStyle w:val="BMSTableText"/>
              <w:rPr>
                <w:sz w:val="22"/>
                <w:szCs w:val="22"/>
              </w:rPr>
            </w:pPr>
            <w:r w:rsidRPr="00F7245E">
              <w:rPr>
                <w:sz w:val="22"/>
              </w:rPr>
              <w:t>4 mg naponta kétszer</w:t>
            </w:r>
          </w:p>
        </w:tc>
      </w:tr>
      <w:tr w:rsidR="001F3456" w:rsidRPr="00F7245E" w14:paraId="6F75ACAD" w14:textId="77777777" w:rsidTr="00015928">
        <w:tc>
          <w:tcPr>
            <w:tcW w:w="3147" w:type="dxa"/>
            <w:tcBorders>
              <w:top w:val="single" w:sz="4" w:space="0" w:color="auto"/>
              <w:left w:val="single" w:sz="4" w:space="0" w:color="auto"/>
              <w:bottom w:val="single" w:sz="4" w:space="0" w:color="auto"/>
              <w:right w:val="single" w:sz="4" w:space="0" w:color="auto"/>
            </w:tcBorders>
            <w:hideMark/>
          </w:tcPr>
          <w:p w14:paraId="293ACCCE" w14:textId="77777777" w:rsidR="001F3456" w:rsidRPr="00F7245E" w:rsidRDefault="001F3456" w:rsidP="00015928">
            <w:pPr>
              <w:pStyle w:val="BMSTableText"/>
              <w:rPr>
                <w:sz w:val="22"/>
                <w:szCs w:val="22"/>
                <w:u w:val="single"/>
              </w:rPr>
            </w:pPr>
            <w:r w:rsidRPr="00F7245E">
              <w:rPr>
                <w:sz w:val="22"/>
              </w:rPr>
              <w:t>≥ 35 kg</w:t>
            </w:r>
          </w:p>
        </w:tc>
        <w:tc>
          <w:tcPr>
            <w:tcW w:w="3333" w:type="dxa"/>
            <w:tcBorders>
              <w:top w:val="single" w:sz="4" w:space="0" w:color="auto"/>
              <w:left w:val="single" w:sz="4" w:space="0" w:color="auto"/>
              <w:bottom w:val="single" w:sz="4" w:space="0" w:color="auto"/>
              <w:right w:val="single" w:sz="4" w:space="0" w:color="auto"/>
            </w:tcBorders>
            <w:hideMark/>
          </w:tcPr>
          <w:p w14:paraId="4FCFBC3F" w14:textId="77777777" w:rsidR="001F3456" w:rsidRPr="00F7245E" w:rsidRDefault="001F3456" w:rsidP="00015928">
            <w:pPr>
              <w:pStyle w:val="BMSTableText"/>
              <w:rPr>
                <w:sz w:val="22"/>
                <w:szCs w:val="22"/>
              </w:rPr>
            </w:pPr>
            <w:r w:rsidRPr="00F7245E">
              <w:rPr>
                <w:sz w:val="22"/>
              </w:rPr>
              <w:t>5 mg naponta kétszer</w:t>
            </w:r>
          </w:p>
        </w:tc>
      </w:tr>
    </w:tbl>
    <w:p w14:paraId="106E695A" w14:textId="77777777" w:rsidR="001F3456" w:rsidRPr="00F7245E" w:rsidRDefault="001F3456" w:rsidP="001F3456">
      <w:pPr>
        <w:rPr>
          <w:b/>
          <w:bCs/>
        </w:rPr>
      </w:pPr>
    </w:p>
    <w:p w14:paraId="76CC68F3" w14:textId="77777777" w:rsidR="001F3456" w:rsidRPr="00F7245E" w:rsidRDefault="001F3456" w:rsidP="001F3456">
      <w:pPr>
        <w:adjustRightInd w:val="0"/>
        <w:rPr>
          <w:iCs/>
          <w:noProof/>
          <w:u w:val="single"/>
        </w:rPr>
      </w:pPr>
      <w:r w:rsidRPr="00F7245E">
        <w:t>Az elsődleges biztonságossági végpont, az ISTH által meghatározott, igazolt súlyos és CRNM vérzés összetett végpontja 126 beteg közül 1</w:t>
      </w:r>
      <w:r w:rsidRPr="00F7245E">
        <w:noBreakHyphen/>
        <w:t>nél (0,8%) fordult elő az apixabán</w:t>
      </w:r>
      <w:r w:rsidRPr="00F7245E">
        <w:noBreakHyphen/>
        <w:t>karon és 62 beteg közül 3</w:t>
      </w:r>
      <w:r w:rsidRPr="00F7245E">
        <w:noBreakHyphen/>
        <w:t>nál (4,8%) a szokásos ellátást alkalmazó karon. A másodlagos biztonságossági végpontokat jelentő igazolt súlyos, CRNM és összes vérzéses események incidenciája hasonló volt a két kezelési karon. A nemkívánatos esemény, intolerancia vagy vérzés miatti kezelésleállítás másodlagos biztonságossági végpontot 7 alanynál (5,6%) jelentették az apixabán</w:t>
      </w:r>
      <w:r w:rsidRPr="00F7245E">
        <w:noBreakHyphen/>
        <w:t>karon és 1 alanynál (1,6%) a szokásos ellátást alkalmazó karon. Egyik kar egyik betege sem tapasztalt thromboemboliás eseményt. Egyik kezelési karon sem fordult elő halálozás.</w:t>
      </w:r>
    </w:p>
    <w:p w14:paraId="1AE32884" w14:textId="77777777" w:rsidR="001F3456" w:rsidRPr="00F7245E" w:rsidRDefault="001F3456" w:rsidP="001F3456">
      <w:pPr>
        <w:numPr>
          <w:ilvl w:val="12"/>
          <w:numId w:val="0"/>
        </w:numPr>
        <w:ind w:right="-2"/>
        <w:rPr>
          <w:iCs/>
          <w:noProof/>
          <w:u w:val="single"/>
        </w:rPr>
      </w:pPr>
    </w:p>
    <w:p w14:paraId="17961BB5" w14:textId="77777777" w:rsidR="001F3456" w:rsidRPr="00F7245E" w:rsidRDefault="001F3456" w:rsidP="001F3456">
      <w:pPr>
        <w:numPr>
          <w:ilvl w:val="12"/>
          <w:numId w:val="0"/>
        </w:numPr>
        <w:ind w:right="-2"/>
        <w:rPr>
          <w:iCs/>
          <w:noProof/>
        </w:rPr>
      </w:pPr>
      <w:r w:rsidRPr="00F7245E">
        <w:t>Ezt a vizsgálatot prospektíven tervezték meg a leíró hatásosság és biztonságosság tekintetében, mivel ebben a populációban a TE és vérzéses események incidenciája várhatóan alacsony. A TE események vizsgálatban megfigyelt alacsony incidenciája miatt végső előny/kockázat elemzést nem lehetett végezni.</w:t>
      </w:r>
    </w:p>
    <w:p w14:paraId="74B1BABA" w14:textId="77777777" w:rsidR="001F3456" w:rsidRPr="00F7245E" w:rsidRDefault="001F3456" w:rsidP="001F3456">
      <w:pPr>
        <w:adjustRightInd w:val="0"/>
        <w:rPr>
          <w:iCs/>
          <w:u w:val="single"/>
        </w:rPr>
      </w:pPr>
    </w:p>
    <w:p w14:paraId="615578D0" w14:textId="5B495943" w:rsidR="001F3456" w:rsidRPr="00F7245E" w:rsidRDefault="001F3456" w:rsidP="001F3456">
      <w:pPr>
        <w:outlineLvl w:val="0"/>
        <w:rPr>
          <w:rFonts w:eastAsia="SimSun"/>
        </w:rPr>
      </w:pPr>
      <w:r w:rsidRPr="00F7245E">
        <w:rPr>
          <w:rFonts w:eastAsia="SimSun"/>
        </w:rPr>
        <w:t xml:space="preserve">Az Európai Gyógyszerügynökség a gyermekek és serdülők esetén egy vagy több korosztálynál </w:t>
      </w:r>
      <w:r w:rsidR="007F5FF9">
        <w:rPr>
          <w:rFonts w:eastAsia="SimSun"/>
        </w:rPr>
        <w:t>halasztást engedélyez az apixabán</w:t>
      </w:r>
      <w:r w:rsidRPr="00F7245E">
        <w:rPr>
          <w:rFonts w:eastAsia="SimSun"/>
        </w:rPr>
        <w:t xml:space="preserve"> vizsgálati eredményeinek benyújtási kötelezettségét illetően a vénás thromboembolia kezelése indikációban (lásd 4.2 pont, gyermekgyógyászati </w:t>
      </w:r>
      <w:r w:rsidRPr="00F7245E">
        <w:rPr>
          <w:noProof/>
          <w:lang w:eastAsia="en-US"/>
        </w:rPr>
        <w:t xml:space="preserve">alkalmazásra vonatkozó </w:t>
      </w:r>
      <w:r w:rsidRPr="00F7245E">
        <w:rPr>
          <w:rFonts w:eastAsia="SimSun"/>
        </w:rPr>
        <w:t>információk).</w:t>
      </w:r>
    </w:p>
    <w:p w14:paraId="50D16027" w14:textId="77777777" w:rsidR="00B62AE4" w:rsidRPr="00F7245E" w:rsidRDefault="00B62AE4" w:rsidP="00A21724">
      <w:pPr>
        <w:pStyle w:val="Nincstrkz"/>
        <w:rPr>
          <w:rFonts w:cs="Times New Roman"/>
        </w:rPr>
      </w:pPr>
    </w:p>
    <w:p w14:paraId="0B62A664" w14:textId="6C936B37" w:rsidR="00B62AE4" w:rsidRPr="00F7245E" w:rsidRDefault="004F20CF" w:rsidP="0027640E">
      <w:pPr>
        <w:pStyle w:val="Nincstrkz"/>
        <w:keepNext/>
        <w:tabs>
          <w:tab w:val="left" w:pos="567"/>
        </w:tabs>
        <w:rPr>
          <w:rFonts w:cs="Times New Roman"/>
          <w:b/>
          <w:bCs/>
        </w:rPr>
      </w:pPr>
      <w:r w:rsidRPr="00F7245E">
        <w:rPr>
          <w:rFonts w:cs="Times New Roman"/>
          <w:b/>
          <w:bCs/>
          <w:w w:val="105"/>
        </w:rPr>
        <w:t>5.2</w:t>
      </w:r>
      <w:r w:rsidRPr="00F7245E">
        <w:rPr>
          <w:rFonts w:cs="Times New Roman"/>
          <w:b/>
          <w:bCs/>
          <w:w w:val="105"/>
        </w:rPr>
        <w:tab/>
      </w:r>
      <w:r w:rsidR="00B62AE4" w:rsidRPr="00F7245E">
        <w:rPr>
          <w:rFonts w:cs="Times New Roman"/>
          <w:b/>
          <w:bCs/>
          <w:w w:val="105"/>
        </w:rPr>
        <w:t>Farmakokinetikai tulajdonságok</w:t>
      </w:r>
    </w:p>
    <w:p w14:paraId="62960538" w14:textId="77777777" w:rsidR="00B62AE4" w:rsidRPr="00F7245E" w:rsidRDefault="00B62AE4" w:rsidP="0027640E">
      <w:pPr>
        <w:pStyle w:val="Nincstrkz"/>
        <w:keepNext/>
        <w:rPr>
          <w:rFonts w:cs="Times New Roman"/>
        </w:rPr>
      </w:pPr>
    </w:p>
    <w:p w14:paraId="30532CB5" w14:textId="77777777" w:rsidR="00B62AE4" w:rsidRPr="00F7245E" w:rsidRDefault="00B62AE4" w:rsidP="0027640E">
      <w:pPr>
        <w:pStyle w:val="Nincstrkz"/>
        <w:keepNext/>
        <w:rPr>
          <w:rFonts w:cs="Times New Roman"/>
          <w:u w:val="single"/>
        </w:rPr>
      </w:pPr>
      <w:r w:rsidRPr="00F7245E">
        <w:rPr>
          <w:rFonts w:cs="Times New Roman"/>
          <w:u w:val="single"/>
        </w:rPr>
        <w:t>Felszívódás</w:t>
      </w:r>
    </w:p>
    <w:p w14:paraId="01E6DCCC" w14:textId="13F9D520" w:rsidR="00B62AE4" w:rsidRPr="00F7245E" w:rsidRDefault="00B62AE4" w:rsidP="00A21724">
      <w:pPr>
        <w:pStyle w:val="Nincstrkz"/>
        <w:rPr>
          <w:rFonts w:cs="Times New Roman"/>
        </w:rPr>
      </w:pPr>
      <w:r w:rsidRPr="00F7245E">
        <w:rPr>
          <w:rFonts w:cs="Times New Roman"/>
        </w:rPr>
        <w:t xml:space="preserve">Az </w:t>
      </w:r>
      <w:r w:rsidR="00CA2919" w:rsidRPr="00F7245E">
        <w:rPr>
          <w:rFonts w:cs="Times New Roman"/>
        </w:rPr>
        <w:t xml:space="preserve">apixabán </w:t>
      </w:r>
      <w:r w:rsidRPr="00F7245E">
        <w:rPr>
          <w:rFonts w:cs="Times New Roman"/>
        </w:rPr>
        <w:t xml:space="preserve">abszolút biohasznosulása </w:t>
      </w:r>
      <w:r w:rsidR="00CA4AE9">
        <w:rPr>
          <w:rFonts w:cs="Times New Roman"/>
        </w:rPr>
        <w:t xml:space="preserve">felnőtteknél </w:t>
      </w:r>
      <w:r w:rsidRPr="00F7245E">
        <w:rPr>
          <w:rFonts w:cs="Times New Roman"/>
        </w:rPr>
        <w:t>10</w:t>
      </w:r>
      <w:r w:rsidR="004C106B" w:rsidRPr="00F7245E">
        <w:rPr>
          <w:rFonts w:cs="Times New Roman"/>
        </w:rPr>
        <w:t> mg</w:t>
      </w:r>
      <w:r w:rsidR="00C21019" w:rsidRPr="00F7245E">
        <w:rPr>
          <w:rFonts w:cs="Times New Roman"/>
        </w:rPr>
        <w:noBreakHyphen/>
      </w:r>
      <w:r w:rsidRPr="00F7245E">
        <w:rPr>
          <w:rFonts w:cs="Times New Roman"/>
        </w:rPr>
        <w:t xml:space="preserve">os dózisig körülbelül 50%. Az </w:t>
      </w:r>
      <w:r w:rsidR="00CA2919" w:rsidRPr="00F7245E">
        <w:rPr>
          <w:rFonts w:cs="Times New Roman"/>
        </w:rPr>
        <w:t xml:space="preserve">apixabán </w:t>
      </w:r>
      <w:r w:rsidRPr="00F7245E">
        <w:rPr>
          <w:rFonts w:cs="Times New Roman"/>
        </w:rPr>
        <w:t>gyorsan felszívódik, csúcskoncentrációját (C</w:t>
      </w:r>
      <w:r w:rsidRPr="00F7245E">
        <w:rPr>
          <w:rFonts w:cs="Times New Roman"/>
          <w:vertAlign w:val="subscript"/>
        </w:rPr>
        <w:t>max</w:t>
      </w:r>
      <w:r w:rsidRPr="00F7245E">
        <w:rPr>
          <w:rFonts w:cs="Times New Roman"/>
        </w:rPr>
        <w:t>) 3–4</w:t>
      </w:r>
      <w:r w:rsidR="0071046D" w:rsidRPr="00F7245E">
        <w:rPr>
          <w:rFonts w:cs="Times New Roman"/>
        </w:rPr>
        <w:t> ór</w:t>
      </w:r>
      <w:r w:rsidRPr="00F7245E">
        <w:rPr>
          <w:rFonts w:cs="Times New Roman"/>
        </w:rPr>
        <w:t>ával a tabletta bevétele után éri el. Az ét</w:t>
      </w:r>
      <w:r w:rsidR="00F7245E" w:rsidRPr="00F7245E">
        <w:rPr>
          <w:rFonts w:cs="Times New Roman"/>
        </w:rPr>
        <w:t xml:space="preserve">kezés közben </w:t>
      </w:r>
      <w:r w:rsidRPr="00F7245E">
        <w:rPr>
          <w:rFonts w:cs="Times New Roman"/>
        </w:rPr>
        <w:t>történő bevétel 10</w:t>
      </w:r>
      <w:r w:rsidR="004C106B" w:rsidRPr="00F7245E">
        <w:rPr>
          <w:rFonts w:cs="Times New Roman"/>
        </w:rPr>
        <w:t> mg</w:t>
      </w:r>
      <w:r w:rsidR="00C21019" w:rsidRPr="00F7245E">
        <w:rPr>
          <w:rFonts w:cs="Times New Roman"/>
        </w:rPr>
        <w:noBreakHyphen/>
      </w:r>
      <w:r w:rsidRPr="00F7245E">
        <w:rPr>
          <w:rFonts w:cs="Times New Roman"/>
        </w:rPr>
        <w:t xml:space="preserve">os dózis mellett nem befolyásolja az </w:t>
      </w:r>
      <w:r w:rsidR="00CA2919" w:rsidRPr="00F7245E">
        <w:rPr>
          <w:rFonts w:cs="Times New Roman"/>
        </w:rPr>
        <w:t xml:space="preserve">apixabán </w:t>
      </w:r>
      <w:r w:rsidRPr="00F7245E">
        <w:rPr>
          <w:rFonts w:cs="Times New Roman"/>
        </w:rPr>
        <w:t>AUC</w:t>
      </w:r>
      <w:r w:rsidR="0047354C" w:rsidRPr="00F7245E">
        <w:rPr>
          <w:rFonts w:cs="Times New Roman"/>
        </w:rPr>
        <w:noBreakHyphen/>
      </w:r>
      <w:r w:rsidRPr="00F7245E">
        <w:rPr>
          <w:rFonts w:cs="Times New Roman"/>
        </w:rPr>
        <w:t xml:space="preserve"> vagy C</w:t>
      </w:r>
      <w:r w:rsidR="00C77F20" w:rsidRPr="00F7245E">
        <w:rPr>
          <w:rFonts w:cs="Times New Roman"/>
          <w:vertAlign w:val="subscript"/>
        </w:rPr>
        <w:t>max</w:t>
      </w:r>
      <w:r w:rsidR="00C77F20" w:rsidRPr="00F7245E">
        <w:rPr>
          <w:rFonts w:cs="Times New Roman"/>
        </w:rPr>
        <w:noBreakHyphen/>
      </w:r>
      <w:r w:rsidRPr="00F7245E">
        <w:rPr>
          <w:rFonts w:cs="Times New Roman"/>
        </w:rPr>
        <w:t xml:space="preserve">értékeket. Az </w:t>
      </w:r>
      <w:r w:rsidR="00CA2919" w:rsidRPr="00F7245E">
        <w:rPr>
          <w:rFonts w:cs="Times New Roman"/>
        </w:rPr>
        <w:t xml:space="preserve">apixabán </w:t>
      </w:r>
      <w:r w:rsidRPr="00F7245E">
        <w:rPr>
          <w:rFonts w:cs="Times New Roman"/>
        </w:rPr>
        <w:t>étkezés alatt vagy étkezéstől függetlenül is bevehető.</w:t>
      </w:r>
    </w:p>
    <w:p w14:paraId="10B124B3" w14:textId="77777777" w:rsidR="00B62AE4" w:rsidRPr="00F7245E" w:rsidRDefault="00B62AE4" w:rsidP="00A21724">
      <w:pPr>
        <w:pStyle w:val="Nincstrkz"/>
        <w:rPr>
          <w:rFonts w:cs="Times New Roman"/>
        </w:rPr>
      </w:pPr>
    </w:p>
    <w:p w14:paraId="76D9AF68" w14:textId="6A43C67E" w:rsidR="00B62AE4" w:rsidRPr="00F7245E" w:rsidRDefault="00B62AE4" w:rsidP="00A21724">
      <w:pPr>
        <w:pStyle w:val="Nincstrkz"/>
        <w:rPr>
          <w:rFonts w:cs="Times New Roman"/>
        </w:rPr>
      </w:pPr>
      <w:r w:rsidRPr="00F7245E">
        <w:rPr>
          <w:rFonts w:cs="Times New Roman"/>
        </w:rPr>
        <w:t xml:space="preserve">Az </w:t>
      </w:r>
      <w:r w:rsidR="00CA2919" w:rsidRPr="00F7245E">
        <w:rPr>
          <w:rFonts w:cs="Times New Roman"/>
        </w:rPr>
        <w:t xml:space="preserve">apixabán </w:t>
      </w:r>
      <w:r w:rsidR="003B67D5" w:rsidRPr="00F7245E">
        <w:rPr>
          <w:rFonts w:cs="Times New Roman"/>
        </w:rPr>
        <w:t>nap</w:t>
      </w:r>
      <w:r w:rsidRPr="00F7245E">
        <w:rPr>
          <w:rFonts w:cs="Times New Roman"/>
        </w:rPr>
        <w:t>onta 10</w:t>
      </w:r>
      <w:r w:rsidR="004C106B" w:rsidRPr="00F7245E">
        <w:rPr>
          <w:rFonts w:cs="Times New Roman"/>
        </w:rPr>
        <w:t> mg</w:t>
      </w:r>
      <w:r w:rsidR="00C21019" w:rsidRPr="00F7245E">
        <w:rPr>
          <w:rFonts w:cs="Times New Roman"/>
        </w:rPr>
        <w:noBreakHyphen/>
      </w:r>
      <w:r w:rsidRPr="00F7245E">
        <w:rPr>
          <w:rFonts w:cs="Times New Roman"/>
        </w:rPr>
        <w:t>ig növekvő, szájon át történő adagolás mellett a dózissal arányos, lineáris farmakokinetikát mutat. A 25</w:t>
      </w:r>
      <w:r w:rsidR="004C106B" w:rsidRPr="00F7245E">
        <w:rPr>
          <w:rFonts w:cs="Times New Roman"/>
        </w:rPr>
        <w:t> mg</w:t>
      </w:r>
      <w:r w:rsidR="00C21019" w:rsidRPr="00F7245E">
        <w:rPr>
          <w:rFonts w:cs="Times New Roman"/>
        </w:rPr>
        <w:noBreakHyphen/>
      </w:r>
      <w:r w:rsidRPr="00F7245E">
        <w:rPr>
          <w:rFonts w:cs="Times New Roman"/>
        </w:rPr>
        <w:t xml:space="preserve">os vagy annál nagyobb adagokban az </w:t>
      </w:r>
      <w:r w:rsidR="00CA2919" w:rsidRPr="00F7245E">
        <w:rPr>
          <w:rFonts w:cs="Times New Roman"/>
        </w:rPr>
        <w:t xml:space="preserve">apixabán </w:t>
      </w:r>
      <w:r w:rsidRPr="00F7245E">
        <w:rPr>
          <w:rFonts w:cs="Times New Roman"/>
        </w:rPr>
        <w:t xml:space="preserve">az oldódás által korlátozott felszívódást mutat, csökkent biohasznosulással. Az </w:t>
      </w:r>
      <w:r w:rsidR="002C0B56" w:rsidRPr="00F7245E">
        <w:rPr>
          <w:rFonts w:cs="Times New Roman"/>
        </w:rPr>
        <w:t>apixabán</w:t>
      </w:r>
      <w:r w:rsidRPr="00F7245E">
        <w:rPr>
          <w:rFonts w:cs="Times New Roman"/>
        </w:rPr>
        <w:t>-expozíciós paraméterek alacsony, illetve közepes mértékű variabilitást mutatnak, amit az egyénen belül</w:t>
      </w:r>
      <w:r w:rsidR="00CA4AE9">
        <w:rPr>
          <w:rFonts w:cs="Times New Roman"/>
        </w:rPr>
        <w:t xml:space="preserve">i variabilitás kb. </w:t>
      </w:r>
      <w:r w:rsidR="00CA4AE9" w:rsidRPr="00656FD5">
        <w:rPr>
          <w:rFonts w:cs="Times New Roman"/>
        </w:rPr>
        <w:t>20</w:t>
      </w:r>
      <w:r w:rsidRPr="00656FD5">
        <w:rPr>
          <w:rFonts w:cs="Times New Roman"/>
        </w:rPr>
        <w:t>%</w:t>
      </w:r>
      <w:r w:rsidR="00C21019" w:rsidRPr="00656FD5">
        <w:rPr>
          <w:rFonts w:cs="Times New Roman"/>
        </w:rPr>
        <w:noBreakHyphen/>
      </w:r>
      <w:r w:rsidRPr="00656FD5">
        <w:rPr>
          <w:rFonts w:cs="Times New Roman"/>
        </w:rPr>
        <w:t>os</w:t>
      </w:r>
      <w:r w:rsidRPr="00F7245E">
        <w:rPr>
          <w:rFonts w:cs="Times New Roman"/>
        </w:rPr>
        <w:t xml:space="preserve"> variációs együtthatója, míg az egyének közötti variabilitás kb. 30%</w:t>
      </w:r>
      <w:r w:rsidR="00C21019" w:rsidRPr="00F7245E">
        <w:rPr>
          <w:rFonts w:cs="Times New Roman"/>
        </w:rPr>
        <w:noBreakHyphen/>
      </w:r>
      <w:r w:rsidRPr="00F7245E">
        <w:rPr>
          <w:rFonts w:cs="Times New Roman"/>
        </w:rPr>
        <w:t>os variációs együtthatója jelez.</w:t>
      </w:r>
    </w:p>
    <w:p w14:paraId="182B2B75" w14:textId="77777777" w:rsidR="00B62AE4" w:rsidRPr="00F7245E" w:rsidRDefault="00B62AE4" w:rsidP="00A21724">
      <w:pPr>
        <w:pStyle w:val="Nincstrkz"/>
        <w:rPr>
          <w:rFonts w:cs="Times New Roman"/>
        </w:rPr>
      </w:pPr>
    </w:p>
    <w:p w14:paraId="4B2EF8F3" w14:textId="17D5DB0B" w:rsidR="00B62AE4" w:rsidRPr="00F7245E" w:rsidRDefault="00B62AE4" w:rsidP="00A21724">
      <w:pPr>
        <w:pStyle w:val="Nincstrkz"/>
        <w:rPr>
          <w:rFonts w:cs="Times New Roman"/>
        </w:rPr>
      </w:pPr>
      <w:r w:rsidRPr="00F7245E">
        <w:rPr>
          <w:rFonts w:cs="Times New Roman"/>
        </w:rPr>
        <w:t>10</w:t>
      </w:r>
      <w:r w:rsidR="004C106B" w:rsidRPr="00F7245E">
        <w:rPr>
          <w:rFonts w:cs="Times New Roman"/>
        </w:rPr>
        <w:t> mg</w:t>
      </w:r>
      <w:r w:rsidRPr="00F7245E">
        <w:rPr>
          <w:rFonts w:cs="Times New Roman"/>
        </w:rPr>
        <w:t xml:space="preserve"> </w:t>
      </w:r>
      <w:r w:rsidR="00CA2919" w:rsidRPr="00F7245E">
        <w:rPr>
          <w:rFonts w:cs="Times New Roman"/>
        </w:rPr>
        <w:t xml:space="preserve">apixabán </w:t>
      </w:r>
      <w:r w:rsidRPr="00F7245E">
        <w:rPr>
          <w:rFonts w:cs="Times New Roman"/>
        </w:rPr>
        <w:t>2 db porrá tört, 30</w:t>
      </w:r>
      <w:r w:rsidR="00A6130C" w:rsidRPr="00F7245E">
        <w:rPr>
          <w:rFonts w:cs="Times New Roman"/>
        </w:rPr>
        <w:t> ml</w:t>
      </w:r>
      <w:r w:rsidRPr="00F7245E">
        <w:rPr>
          <w:rFonts w:cs="Times New Roman"/>
        </w:rPr>
        <w:t xml:space="preserve"> vízben szuszpendált 5</w:t>
      </w:r>
      <w:r w:rsidR="004C106B" w:rsidRPr="00F7245E">
        <w:rPr>
          <w:rFonts w:cs="Times New Roman"/>
        </w:rPr>
        <w:t> mg</w:t>
      </w:r>
      <w:r w:rsidR="00C21019" w:rsidRPr="00F7245E">
        <w:rPr>
          <w:rFonts w:cs="Times New Roman"/>
        </w:rPr>
        <w:noBreakHyphen/>
      </w:r>
      <w:r w:rsidRPr="00F7245E">
        <w:rPr>
          <w:rFonts w:cs="Times New Roman"/>
        </w:rPr>
        <w:t xml:space="preserve">os tabletta formájában, szájon át történő bevétele után az expozíció </w:t>
      </w:r>
      <w:r w:rsidR="00C21019" w:rsidRPr="00F7245E">
        <w:rPr>
          <w:rFonts w:cs="Times New Roman"/>
        </w:rPr>
        <w:t>hasonló</w:t>
      </w:r>
      <w:r w:rsidRPr="00F7245E">
        <w:rPr>
          <w:rFonts w:cs="Times New Roman"/>
        </w:rPr>
        <w:t xml:space="preserve"> volt</w:t>
      </w:r>
      <w:r w:rsidR="00C21019" w:rsidRPr="00F7245E">
        <w:rPr>
          <w:rFonts w:cs="Times New Roman"/>
        </w:rPr>
        <w:t xml:space="preserve">, a </w:t>
      </w:r>
      <w:r w:rsidRPr="00F7245E">
        <w:rPr>
          <w:rFonts w:cs="Times New Roman"/>
        </w:rPr>
        <w:t>2 db 5</w:t>
      </w:r>
      <w:r w:rsidR="004C106B" w:rsidRPr="00F7245E">
        <w:rPr>
          <w:rFonts w:cs="Times New Roman"/>
        </w:rPr>
        <w:t> mg</w:t>
      </w:r>
      <w:r w:rsidR="00C21019" w:rsidRPr="00F7245E">
        <w:rPr>
          <w:rFonts w:cs="Times New Roman"/>
        </w:rPr>
        <w:noBreakHyphen/>
      </w:r>
      <w:r w:rsidRPr="00F7245E">
        <w:rPr>
          <w:rFonts w:cs="Times New Roman"/>
        </w:rPr>
        <w:t>os tabletta szájon át, egészben történő bevétele után mért expozíció</w:t>
      </w:r>
      <w:r w:rsidR="00C21019" w:rsidRPr="00F7245E">
        <w:rPr>
          <w:rFonts w:cs="Times New Roman"/>
        </w:rPr>
        <w:t>hoz</w:t>
      </w:r>
      <w:r w:rsidRPr="00F7245E">
        <w:rPr>
          <w:rFonts w:cs="Times New Roman"/>
        </w:rPr>
        <w:t>. 10</w:t>
      </w:r>
      <w:r w:rsidR="004C106B" w:rsidRPr="00F7245E">
        <w:rPr>
          <w:rFonts w:cs="Times New Roman"/>
        </w:rPr>
        <w:t> mg</w:t>
      </w:r>
      <w:r w:rsidRPr="00F7245E">
        <w:rPr>
          <w:rFonts w:cs="Times New Roman"/>
        </w:rPr>
        <w:t xml:space="preserve"> </w:t>
      </w:r>
      <w:r w:rsidR="00CA2919" w:rsidRPr="00F7245E">
        <w:rPr>
          <w:rFonts w:cs="Times New Roman"/>
        </w:rPr>
        <w:t xml:space="preserve">apixabán </w:t>
      </w:r>
      <w:r w:rsidRPr="00F7245E">
        <w:rPr>
          <w:rFonts w:cs="Times New Roman"/>
        </w:rPr>
        <w:t>2 db porrá tört, 30</w:t>
      </w:r>
      <w:r w:rsidR="00C21019" w:rsidRPr="00F7245E">
        <w:rPr>
          <w:rFonts w:cs="Times New Roman"/>
        </w:rPr>
        <w:t> </w:t>
      </w:r>
      <w:r w:rsidRPr="00F7245E">
        <w:rPr>
          <w:rFonts w:cs="Times New Roman"/>
        </w:rPr>
        <w:t>g almapüréhez kevert 5</w:t>
      </w:r>
      <w:r w:rsidR="004C106B" w:rsidRPr="00F7245E">
        <w:rPr>
          <w:rFonts w:cs="Times New Roman"/>
        </w:rPr>
        <w:t> mg</w:t>
      </w:r>
      <w:r w:rsidR="00C21019" w:rsidRPr="00F7245E">
        <w:rPr>
          <w:rFonts w:cs="Times New Roman"/>
        </w:rPr>
        <w:noBreakHyphen/>
      </w:r>
      <w:r w:rsidRPr="00F7245E">
        <w:rPr>
          <w:rFonts w:cs="Times New Roman"/>
        </w:rPr>
        <w:t>os tabletta formájában, szájon át történő beadása után a C</w:t>
      </w:r>
      <w:r w:rsidR="0047354C" w:rsidRPr="00F7245E">
        <w:rPr>
          <w:rFonts w:cs="Times New Roman"/>
          <w:vertAlign w:val="subscript"/>
        </w:rPr>
        <w:t>max</w:t>
      </w:r>
      <w:r w:rsidRPr="00F7245E">
        <w:rPr>
          <w:rFonts w:cs="Times New Roman"/>
        </w:rPr>
        <w:t xml:space="preserve"> 21%</w:t>
      </w:r>
      <w:r w:rsidR="00C21019" w:rsidRPr="00F7245E">
        <w:rPr>
          <w:rFonts w:cs="Times New Roman"/>
        </w:rPr>
        <w:noBreakHyphen/>
      </w:r>
      <w:r w:rsidRPr="00F7245E">
        <w:rPr>
          <w:rFonts w:cs="Times New Roman"/>
        </w:rPr>
        <w:t>kal, az AUC pedig 16%</w:t>
      </w:r>
      <w:r w:rsidR="00C21019" w:rsidRPr="00F7245E">
        <w:rPr>
          <w:rFonts w:cs="Times New Roman"/>
        </w:rPr>
        <w:noBreakHyphen/>
      </w:r>
      <w:r w:rsidRPr="00F7245E">
        <w:rPr>
          <w:rFonts w:cs="Times New Roman"/>
        </w:rPr>
        <w:t>kal alacsonyabb volt, mint amit 2 db egészben bevett 5</w:t>
      </w:r>
      <w:r w:rsidR="004C106B" w:rsidRPr="00F7245E">
        <w:rPr>
          <w:rFonts w:cs="Times New Roman"/>
        </w:rPr>
        <w:t> mg</w:t>
      </w:r>
      <w:r w:rsidR="00C21019" w:rsidRPr="00F7245E">
        <w:rPr>
          <w:rFonts w:cs="Times New Roman"/>
        </w:rPr>
        <w:noBreakHyphen/>
      </w:r>
      <w:r w:rsidRPr="00F7245E">
        <w:rPr>
          <w:rFonts w:cs="Times New Roman"/>
        </w:rPr>
        <w:t>os tabletta után mértek. Az expozíció csökkenése nem minősül klinikailag jelentősnek.</w:t>
      </w:r>
    </w:p>
    <w:p w14:paraId="64116D20" w14:textId="77777777" w:rsidR="00B62AE4" w:rsidRPr="00F7245E" w:rsidRDefault="00B62AE4" w:rsidP="00A21724">
      <w:pPr>
        <w:pStyle w:val="Nincstrkz"/>
        <w:rPr>
          <w:rFonts w:cs="Times New Roman"/>
        </w:rPr>
      </w:pPr>
    </w:p>
    <w:p w14:paraId="0B943F38" w14:textId="5F8F4D26" w:rsidR="00B62AE4" w:rsidRPr="00F7245E" w:rsidRDefault="00B62AE4" w:rsidP="00A21724">
      <w:pPr>
        <w:pStyle w:val="Nincstrkz"/>
        <w:rPr>
          <w:rFonts w:cs="Times New Roman"/>
        </w:rPr>
      </w:pPr>
      <w:r w:rsidRPr="00F7245E">
        <w:rPr>
          <w:rFonts w:cs="Times New Roman"/>
        </w:rPr>
        <w:t>Egy porrá tört, 60</w:t>
      </w:r>
      <w:r w:rsidR="00A6130C" w:rsidRPr="00F7245E">
        <w:rPr>
          <w:rFonts w:cs="Times New Roman"/>
        </w:rPr>
        <w:t> ml</w:t>
      </w:r>
      <w:r w:rsidRPr="00F7245E">
        <w:rPr>
          <w:rFonts w:cs="Times New Roman"/>
        </w:rPr>
        <w:t xml:space="preserve"> 5%</w:t>
      </w:r>
      <w:r w:rsidR="00C21019" w:rsidRPr="00F7245E">
        <w:rPr>
          <w:rFonts w:cs="Times New Roman"/>
        </w:rPr>
        <w:noBreakHyphen/>
      </w:r>
      <w:r w:rsidR="005D26DB">
        <w:rPr>
          <w:rFonts w:cs="Times New Roman"/>
        </w:rPr>
        <w:t>os glükóz</w:t>
      </w:r>
      <w:r w:rsidRPr="00F7245E">
        <w:rPr>
          <w:rFonts w:cs="Times New Roman"/>
        </w:rPr>
        <w:t>oldatban szuszpendált 5</w:t>
      </w:r>
      <w:r w:rsidR="004C106B" w:rsidRPr="00F7245E">
        <w:rPr>
          <w:rFonts w:cs="Times New Roman"/>
        </w:rPr>
        <w:t> mg</w:t>
      </w:r>
      <w:r w:rsidR="00C21019" w:rsidRPr="00F7245E">
        <w:rPr>
          <w:rFonts w:cs="Times New Roman"/>
        </w:rPr>
        <w:noBreakHyphen/>
      </w:r>
      <w:r w:rsidRPr="00F7245E">
        <w:rPr>
          <w:rFonts w:cs="Times New Roman"/>
        </w:rPr>
        <w:t xml:space="preserve">os </w:t>
      </w:r>
      <w:r w:rsidR="00CA2919" w:rsidRPr="00F7245E">
        <w:rPr>
          <w:rFonts w:cs="Times New Roman"/>
        </w:rPr>
        <w:t xml:space="preserve">apixabán </w:t>
      </w:r>
      <w:r w:rsidRPr="00F7245E">
        <w:rPr>
          <w:rFonts w:cs="Times New Roman"/>
        </w:rPr>
        <w:t>tabletta nasogastricus szondán át történő beadása után az expozíció hasonló volt olyan, más klinikai vizsgálatokban mért expozícióhoz, ahol egészséges alanyok egy 5</w:t>
      </w:r>
      <w:r w:rsidR="004C106B" w:rsidRPr="00F7245E">
        <w:rPr>
          <w:rFonts w:cs="Times New Roman"/>
        </w:rPr>
        <w:t> mg</w:t>
      </w:r>
      <w:r w:rsidR="00C21019" w:rsidRPr="00F7245E">
        <w:rPr>
          <w:rFonts w:cs="Times New Roman"/>
        </w:rPr>
        <w:noBreakHyphen/>
      </w:r>
      <w:r w:rsidRPr="00F7245E">
        <w:rPr>
          <w:rFonts w:cs="Times New Roman"/>
        </w:rPr>
        <w:t xml:space="preserve">os </w:t>
      </w:r>
      <w:r w:rsidR="00CA2919" w:rsidRPr="00F7245E">
        <w:rPr>
          <w:rFonts w:cs="Times New Roman"/>
        </w:rPr>
        <w:t xml:space="preserve">apixabán </w:t>
      </w:r>
      <w:r w:rsidRPr="00F7245E">
        <w:rPr>
          <w:rFonts w:cs="Times New Roman"/>
        </w:rPr>
        <w:t>tablettát kaptak szájon át.</w:t>
      </w:r>
    </w:p>
    <w:p w14:paraId="5149EB9C" w14:textId="77777777" w:rsidR="00B62AE4" w:rsidRPr="00F7245E" w:rsidRDefault="00B62AE4" w:rsidP="00A21724">
      <w:pPr>
        <w:pStyle w:val="Nincstrkz"/>
        <w:rPr>
          <w:rFonts w:cs="Times New Roman"/>
        </w:rPr>
      </w:pPr>
    </w:p>
    <w:p w14:paraId="1BE09637" w14:textId="1F2AC7E2" w:rsidR="00B62AE4" w:rsidRPr="00F7245E" w:rsidRDefault="00B62AE4" w:rsidP="00A21724">
      <w:pPr>
        <w:pStyle w:val="Nincstrkz"/>
        <w:rPr>
          <w:rFonts w:cs="Times New Roman"/>
        </w:rPr>
      </w:pPr>
      <w:r w:rsidRPr="00F7245E">
        <w:rPr>
          <w:rFonts w:cs="Times New Roman"/>
        </w:rPr>
        <w:t xml:space="preserve">Az </w:t>
      </w:r>
      <w:r w:rsidR="00CA2919" w:rsidRPr="00F7245E">
        <w:rPr>
          <w:rFonts w:cs="Times New Roman"/>
        </w:rPr>
        <w:t xml:space="preserve">apixabán </w:t>
      </w:r>
      <w:r w:rsidRPr="00F7245E">
        <w:rPr>
          <w:rFonts w:cs="Times New Roman"/>
        </w:rPr>
        <w:t xml:space="preserve">előre jelezhető, dózisarányos farmakokinetikai profilja miatt az elvégzett klinikai vizsgálatokból származó biohasznosulási eredmények alacsonyabb </w:t>
      </w:r>
      <w:r w:rsidR="00CA2919" w:rsidRPr="00F7245E">
        <w:rPr>
          <w:rFonts w:cs="Times New Roman"/>
        </w:rPr>
        <w:t xml:space="preserve">apixabán </w:t>
      </w:r>
      <w:r w:rsidRPr="00F7245E">
        <w:rPr>
          <w:rFonts w:cs="Times New Roman"/>
        </w:rPr>
        <w:t>dózisokra is érvényesek.</w:t>
      </w:r>
    </w:p>
    <w:p w14:paraId="11EF8DF5" w14:textId="77777777" w:rsidR="00B62AE4" w:rsidRPr="00F7245E" w:rsidRDefault="00B62AE4" w:rsidP="00A21724">
      <w:pPr>
        <w:pStyle w:val="Nincstrkz"/>
        <w:rPr>
          <w:rFonts w:cs="Times New Roman"/>
        </w:rPr>
      </w:pPr>
    </w:p>
    <w:p w14:paraId="4AB53763" w14:textId="77777777" w:rsidR="001F3456" w:rsidRPr="00F7245E" w:rsidRDefault="001F3456" w:rsidP="001F3456">
      <w:pPr>
        <w:adjustRightInd w:val="0"/>
        <w:rPr>
          <w:iCs/>
          <w:u w:val="single"/>
        </w:rPr>
      </w:pPr>
      <w:r w:rsidRPr="00F7245E">
        <w:rPr>
          <w:iCs/>
          <w:u w:val="single"/>
        </w:rPr>
        <w:t>Gyermekek és serdülők</w:t>
      </w:r>
    </w:p>
    <w:p w14:paraId="251ABA3E" w14:textId="77777777" w:rsidR="001F3456" w:rsidRPr="00F7245E" w:rsidRDefault="001F3456" w:rsidP="001F3456">
      <w:pPr>
        <w:adjustRightInd w:val="0"/>
        <w:rPr>
          <w:iCs/>
          <w:u w:val="single"/>
        </w:rPr>
      </w:pPr>
    </w:p>
    <w:p w14:paraId="0D6797DF" w14:textId="77777777" w:rsidR="001F3456" w:rsidRPr="00F7245E" w:rsidRDefault="001F3456" w:rsidP="001F3456">
      <w:pPr>
        <w:adjustRightInd w:val="0"/>
        <w:rPr>
          <w:iCs/>
        </w:rPr>
      </w:pPr>
      <w:r w:rsidRPr="00F7245E">
        <w:rPr>
          <w:iCs/>
        </w:rPr>
        <w:t>Az apixabán felszívódása gyors, egyetlen adag alkalmazása után körülbelül 2 órával éri el a csúcskoncentrációját (C</w:t>
      </w:r>
      <w:r w:rsidRPr="00F7245E">
        <w:rPr>
          <w:iCs/>
          <w:vertAlign w:val="subscript"/>
        </w:rPr>
        <w:t>max</w:t>
      </w:r>
      <w:r w:rsidRPr="00F7245E">
        <w:rPr>
          <w:iCs/>
        </w:rPr>
        <w:t>).</w:t>
      </w:r>
    </w:p>
    <w:p w14:paraId="63CA19B8" w14:textId="77777777" w:rsidR="001F3456" w:rsidRPr="00F7245E" w:rsidRDefault="001F3456" w:rsidP="00A21724">
      <w:pPr>
        <w:pStyle w:val="Nincstrkz"/>
        <w:rPr>
          <w:rFonts w:cs="Times New Roman"/>
        </w:rPr>
      </w:pPr>
    </w:p>
    <w:p w14:paraId="2E25988B" w14:textId="77777777" w:rsidR="00B62AE4" w:rsidRPr="00F7245E" w:rsidRDefault="00B62AE4" w:rsidP="00A21724">
      <w:pPr>
        <w:pStyle w:val="Nincstrkz"/>
        <w:rPr>
          <w:rFonts w:cs="Times New Roman"/>
          <w:u w:val="single"/>
        </w:rPr>
      </w:pPr>
      <w:r w:rsidRPr="00F7245E">
        <w:rPr>
          <w:rFonts w:cs="Times New Roman"/>
          <w:u w:val="single"/>
        </w:rPr>
        <w:t>Eloszlás</w:t>
      </w:r>
    </w:p>
    <w:p w14:paraId="1671B07E" w14:textId="77777777" w:rsidR="001F3456" w:rsidRPr="00F7245E" w:rsidRDefault="001F3456" w:rsidP="00A21724">
      <w:pPr>
        <w:pStyle w:val="Nincstrkz"/>
        <w:rPr>
          <w:rFonts w:cs="Times New Roman"/>
          <w:u w:val="single"/>
        </w:rPr>
      </w:pPr>
    </w:p>
    <w:p w14:paraId="7359CA3C" w14:textId="771D9FDC" w:rsidR="00B62AE4" w:rsidRPr="00F7245E" w:rsidRDefault="00B62AE4" w:rsidP="00A21724">
      <w:pPr>
        <w:pStyle w:val="Nincstrkz"/>
        <w:rPr>
          <w:rFonts w:cs="Times New Roman"/>
        </w:rPr>
      </w:pPr>
      <w:r w:rsidRPr="00F7245E">
        <w:rPr>
          <w:rFonts w:cs="Times New Roman"/>
        </w:rPr>
        <w:t>A plazmafehérjékhez való kötődése</w:t>
      </w:r>
      <w:r w:rsidR="00421D91">
        <w:rPr>
          <w:rFonts w:cs="Times New Roman"/>
        </w:rPr>
        <w:t xml:space="preserve"> felnőtteknél</w:t>
      </w:r>
      <w:r w:rsidRPr="00F7245E">
        <w:rPr>
          <w:rFonts w:cs="Times New Roman"/>
        </w:rPr>
        <w:t xml:space="preserve"> hozzávetőlegesen 87%. Megoszlási térfogata (Vss) hozzávetőlegesen 21</w:t>
      </w:r>
      <w:r w:rsidR="0047354C" w:rsidRPr="00F7245E">
        <w:rPr>
          <w:rFonts w:cs="Times New Roman"/>
        </w:rPr>
        <w:t> </w:t>
      </w:r>
      <w:r w:rsidRPr="00F7245E">
        <w:rPr>
          <w:rFonts w:cs="Times New Roman"/>
        </w:rPr>
        <w:t>liter.</w:t>
      </w:r>
    </w:p>
    <w:p w14:paraId="56B05369" w14:textId="77777777" w:rsidR="00B62AE4" w:rsidRPr="00F7245E" w:rsidRDefault="00B62AE4" w:rsidP="00A21724">
      <w:pPr>
        <w:pStyle w:val="Nincstrkz"/>
        <w:rPr>
          <w:rFonts w:cs="Times New Roman"/>
        </w:rPr>
      </w:pPr>
    </w:p>
    <w:p w14:paraId="2060FD1C" w14:textId="77777777" w:rsidR="00D72679" w:rsidRPr="00F7245E" w:rsidRDefault="00D72679" w:rsidP="00D72679">
      <w:pPr>
        <w:pStyle w:val="Nincstrkz"/>
        <w:rPr>
          <w:rFonts w:cs="Times New Roman"/>
        </w:rPr>
      </w:pPr>
      <w:r w:rsidRPr="00F7245E">
        <w:rPr>
          <w:rFonts w:cs="Times New Roman"/>
        </w:rPr>
        <w:t>Az apixaban plazmafehérje-kötődésére vonatkozó, gyermekpopulációra specifikus adatok nem állnak rendelkezésre.</w:t>
      </w:r>
    </w:p>
    <w:p w14:paraId="7537DE5B" w14:textId="77777777" w:rsidR="00D72679" w:rsidRPr="00F7245E" w:rsidRDefault="00D72679" w:rsidP="00A21724">
      <w:pPr>
        <w:pStyle w:val="Nincstrkz"/>
        <w:rPr>
          <w:rFonts w:cs="Times New Roman"/>
        </w:rPr>
      </w:pPr>
    </w:p>
    <w:p w14:paraId="457CC779" w14:textId="77777777" w:rsidR="00B62AE4" w:rsidRPr="00F7245E" w:rsidRDefault="00B62AE4" w:rsidP="00A21724">
      <w:pPr>
        <w:pStyle w:val="Nincstrkz"/>
        <w:rPr>
          <w:rFonts w:cs="Times New Roman"/>
          <w:u w:val="single"/>
        </w:rPr>
      </w:pPr>
      <w:r w:rsidRPr="00F7245E">
        <w:rPr>
          <w:rFonts w:cs="Times New Roman"/>
          <w:u w:val="single"/>
        </w:rPr>
        <w:t>Biotranszformáció és elimináció</w:t>
      </w:r>
    </w:p>
    <w:p w14:paraId="5EFD4F1D" w14:textId="0F5EAA51" w:rsidR="00B62AE4" w:rsidRPr="00F7245E" w:rsidRDefault="00B62AE4" w:rsidP="00A21724">
      <w:pPr>
        <w:pStyle w:val="Nincstrkz"/>
        <w:rPr>
          <w:rFonts w:cs="Times New Roman"/>
        </w:rPr>
      </w:pPr>
      <w:r w:rsidRPr="00F7245E">
        <w:rPr>
          <w:rFonts w:cs="Times New Roman"/>
        </w:rPr>
        <w:t xml:space="preserve">Az </w:t>
      </w:r>
      <w:r w:rsidR="00CA2919" w:rsidRPr="00F7245E">
        <w:rPr>
          <w:rFonts w:cs="Times New Roman"/>
        </w:rPr>
        <w:t xml:space="preserve">apixabán </w:t>
      </w:r>
      <w:r w:rsidRPr="00F7245E">
        <w:rPr>
          <w:rFonts w:cs="Times New Roman"/>
        </w:rPr>
        <w:t>több útvonalon ker</w:t>
      </w:r>
      <w:r w:rsidR="00537837">
        <w:rPr>
          <w:rFonts w:cs="Times New Roman"/>
        </w:rPr>
        <w:t xml:space="preserve">esztül eliminálódik. Felnőtteknél </w:t>
      </w:r>
      <w:r w:rsidRPr="00F7245E">
        <w:rPr>
          <w:rFonts w:cs="Times New Roman"/>
        </w:rPr>
        <w:t xml:space="preserve">a bejuttatott </w:t>
      </w:r>
      <w:r w:rsidR="00CA2919" w:rsidRPr="00F7245E">
        <w:rPr>
          <w:rFonts w:cs="Times New Roman"/>
        </w:rPr>
        <w:t xml:space="preserve">apixabán </w:t>
      </w:r>
      <w:r w:rsidRPr="00F7245E">
        <w:rPr>
          <w:rFonts w:cs="Times New Roman"/>
        </w:rPr>
        <w:t>dózis mintegy 25%</w:t>
      </w:r>
      <w:r w:rsidR="00FB0C88" w:rsidRPr="00F7245E">
        <w:rPr>
          <w:rFonts w:cs="Times New Roman"/>
        </w:rPr>
        <w:noBreakHyphen/>
      </w:r>
      <w:r w:rsidRPr="00F7245E">
        <w:rPr>
          <w:rFonts w:cs="Times New Roman"/>
        </w:rPr>
        <w:t xml:space="preserve">-a volt visszanyerhető metabolitok formájában, melynek nagyobbik hányada a székletből volt </w:t>
      </w:r>
      <w:r w:rsidR="00FB0C88" w:rsidRPr="00F7245E">
        <w:rPr>
          <w:rFonts w:cs="Times New Roman"/>
        </w:rPr>
        <w:t>v</w:t>
      </w:r>
      <w:r w:rsidRPr="00F7245E">
        <w:rPr>
          <w:rFonts w:cs="Times New Roman"/>
        </w:rPr>
        <w:t xml:space="preserve">isszanyerhető. Az </w:t>
      </w:r>
      <w:r w:rsidR="00CA2919" w:rsidRPr="00F7245E">
        <w:rPr>
          <w:rFonts w:cs="Times New Roman"/>
        </w:rPr>
        <w:t xml:space="preserve">apixabán </w:t>
      </w:r>
      <w:r w:rsidRPr="00F7245E">
        <w:rPr>
          <w:rFonts w:cs="Times New Roman"/>
        </w:rPr>
        <w:t>renális kiválasztódása</w:t>
      </w:r>
      <w:r w:rsidR="00537837">
        <w:rPr>
          <w:rFonts w:cs="Times New Roman"/>
        </w:rPr>
        <w:t xml:space="preserve"> felnőtteknél</w:t>
      </w:r>
      <w:r w:rsidRPr="00F7245E">
        <w:rPr>
          <w:rFonts w:cs="Times New Roman"/>
        </w:rPr>
        <w:t xml:space="preserve"> a teljes clearance körülbelül 27%</w:t>
      </w:r>
      <w:r w:rsidR="00FB0C88" w:rsidRPr="00F7245E">
        <w:rPr>
          <w:rFonts w:cs="Times New Roman"/>
        </w:rPr>
        <w:noBreakHyphen/>
      </w:r>
      <w:r w:rsidRPr="00F7245E">
        <w:rPr>
          <w:rFonts w:cs="Times New Roman"/>
        </w:rPr>
        <w:t>át teszi ki. Klinikai vizsgálatok során biliáris, illetve nem klinikai vizsgálatok során közvetlen intestinális kiválasztódást is megfigyeltek.</w:t>
      </w:r>
    </w:p>
    <w:p w14:paraId="36D0E36D" w14:textId="77777777" w:rsidR="00B62AE4" w:rsidRPr="00F7245E" w:rsidRDefault="00B62AE4" w:rsidP="00A21724">
      <w:pPr>
        <w:pStyle w:val="Nincstrkz"/>
        <w:rPr>
          <w:rFonts w:cs="Times New Roman"/>
        </w:rPr>
      </w:pPr>
    </w:p>
    <w:p w14:paraId="06B1A8EA" w14:textId="49A7176E" w:rsidR="00B62AE4" w:rsidRPr="00F7245E" w:rsidRDefault="00537837" w:rsidP="00A21724">
      <w:pPr>
        <w:pStyle w:val="Nincstrkz"/>
        <w:rPr>
          <w:rFonts w:cs="Times New Roman"/>
        </w:rPr>
      </w:pPr>
      <w:r>
        <w:rPr>
          <w:rFonts w:cs="Times New Roman"/>
        </w:rPr>
        <w:t>Felnőtteknél a</w:t>
      </w:r>
      <w:r w:rsidR="00B62AE4" w:rsidRPr="00F7245E">
        <w:rPr>
          <w:rFonts w:cs="Times New Roman"/>
        </w:rPr>
        <w:t xml:space="preserve">z </w:t>
      </w:r>
      <w:r w:rsidR="00CA2919" w:rsidRPr="00F7245E">
        <w:rPr>
          <w:rFonts w:cs="Times New Roman"/>
        </w:rPr>
        <w:t xml:space="preserve">apixabán </w:t>
      </w:r>
      <w:r w:rsidR="00B62AE4" w:rsidRPr="00F7245E">
        <w:rPr>
          <w:rFonts w:cs="Times New Roman"/>
        </w:rPr>
        <w:t>teljes clearance</w:t>
      </w:r>
      <w:r w:rsidR="00FB0C88" w:rsidRPr="00F7245E">
        <w:rPr>
          <w:rFonts w:cs="Times New Roman"/>
        </w:rPr>
        <w:noBreakHyphen/>
      </w:r>
      <w:r w:rsidR="00B62AE4" w:rsidRPr="00F7245E">
        <w:rPr>
          <w:rFonts w:cs="Times New Roman"/>
        </w:rPr>
        <w:t>e 3,3</w:t>
      </w:r>
      <w:r w:rsidR="00FB0C88" w:rsidRPr="00F7245E">
        <w:rPr>
          <w:rFonts w:cs="Times New Roman"/>
        </w:rPr>
        <w:t> </w:t>
      </w:r>
      <w:r w:rsidR="00B62AE4" w:rsidRPr="00F7245E">
        <w:rPr>
          <w:rFonts w:cs="Times New Roman"/>
        </w:rPr>
        <w:t>l/</w:t>
      </w:r>
      <w:r w:rsidR="0071046D" w:rsidRPr="00F7245E">
        <w:rPr>
          <w:rFonts w:cs="Times New Roman"/>
        </w:rPr>
        <w:t>ór</w:t>
      </w:r>
      <w:r w:rsidR="00B62AE4" w:rsidRPr="00F7245E">
        <w:rPr>
          <w:rFonts w:cs="Times New Roman"/>
        </w:rPr>
        <w:t>a, felezési ideje körülbelül 12</w:t>
      </w:r>
      <w:r w:rsidR="0071046D" w:rsidRPr="00F7245E">
        <w:rPr>
          <w:rFonts w:cs="Times New Roman"/>
        </w:rPr>
        <w:t> ór</w:t>
      </w:r>
      <w:r w:rsidR="00B62AE4" w:rsidRPr="00F7245E">
        <w:rPr>
          <w:rFonts w:cs="Times New Roman"/>
        </w:rPr>
        <w:t>a.</w:t>
      </w:r>
    </w:p>
    <w:p w14:paraId="68A9C417" w14:textId="77777777" w:rsidR="00B62AE4" w:rsidRPr="00F7245E" w:rsidRDefault="00B62AE4" w:rsidP="00A21724">
      <w:pPr>
        <w:pStyle w:val="Nincstrkz"/>
        <w:rPr>
          <w:rFonts w:cs="Times New Roman"/>
        </w:rPr>
      </w:pPr>
    </w:p>
    <w:p w14:paraId="3C079E41" w14:textId="77777777" w:rsidR="001F3456" w:rsidRPr="00F7245E" w:rsidRDefault="001F3456" w:rsidP="001F3456">
      <w:pPr>
        <w:adjustRightInd w:val="0"/>
        <w:ind w:right="503"/>
      </w:pPr>
      <w:r w:rsidRPr="00F7245E">
        <w:t>Gyermekeknél és serdülőknél az apixabán teljes látszólagos clearance</w:t>
      </w:r>
      <w:r w:rsidRPr="00F7245E">
        <w:noBreakHyphen/>
        <w:t>e körülbelül 3,0 l/óra.</w:t>
      </w:r>
    </w:p>
    <w:p w14:paraId="0158DD36" w14:textId="77777777" w:rsidR="001F3456" w:rsidRPr="00F7245E" w:rsidRDefault="001F3456" w:rsidP="00A21724">
      <w:pPr>
        <w:pStyle w:val="Nincstrkz"/>
        <w:rPr>
          <w:rFonts w:cs="Times New Roman"/>
        </w:rPr>
      </w:pPr>
    </w:p>
    <w:p w14:paraId="53D49134" w14:textId="2E8597E2" w:rsidR="00B62AE4" w:rsidRPr="00F7245E" w:rsidRDefault="00B62AE4" w:rsidP="00A21724">
      <w:pPr>
        <w:pStyle w:val="Nincstrkz"/>
        <w:rPr>
          <w:rFonts w:cs="Times New Roman"/>
        </w:rPr>
      </w:pPr>
      <w:r w:rsidRPr="00F7245E">
        <w:rPr>
          <w:rFonts w:cs="Times New Roman"/>
        </w:rPr>
        <w:t>A biotranszformáció fő támadáspontjai a 3</w:t>
      </w:r>
      <w:r w:rsidR="00FB0C88" w:rsidRPr="00F7245E">
        <w:rPr>
          <w:rFonts w:cs="Times New Roman"/>
        </w:rPr>
        <w:noBreakHyphen/>
      </w:r>
      <w:r w:rsidRPr="00F7245E">
        <w:rPr>
          <w:rFonts w:cs="Times New Roman"/>
        </w:rPr>
        <w:t>oxopiperidinil csoport O</w:t>
      </w:r>
      <w:r w:rsidR="009F3769" w:rsidRPr="00F7245E">
        <w:rPr>
          <w:rFonts w:cs="Times New Roman"/>
        </w:rPr>
        <w:noBreakHyphen/>
      </w:r>
      <w:r w:rsidRPr="00F7245E">
        <w:rPr>
          <w:rFonts w:cs="Times New Roman"/>
        </w:rPr>
        <w:t xml:space="preserve">demetilációja és hidroxilációja. Az </w:t>
      </w:r>
      <w:r w:rsidR="00CA2919" w:rsidRPr="00F7245E">
        <w:rPr>
          <w:rFonts w:cs="Times New Roman"/>
        </w:rPr>
        <w:t xml:space="preserve">apixabán </w:t>
      </w:r>
      <w:r w:rsidRPr="00F7245E">
        <w:rPr>
          <w:rFonts w:cs="Times New Roman"/>
        </w:rPr>
        <w:t xml:space="preserve">főként a CYP3A4/5 enzim útján metabolizálódik, a CYP1A2, 2C8, 2C9, 2C19 és 2J2 kisebb fokú részvételével. A változatlan formájú </w:t>
      </w:r>
      <w:r w:rsidR="00CA2919" w:rsidRPr="00F7245E">
        <w:rPr>
          <w:rFonts w:cs="Times New Roman"/>
        </w:rPr>
        <w:t xml:space="preserve">apixabán </w:t>
      </w:r>
      <w:r w:rsidR="00537837">
        <w:rPr>
          <w:rFonts w:cs="Times New Roman"/>
        </w:rPr>
        <w:t xml:space="preserve">a legfontosabb, hatóanyaggal </w:t>
      </w:r>
      <w:r w:rsidRPr="00F7245E">
        <w:rPr>
          <w:rFonts w:cs="Times New Roman"/>
        </w:rPr>
        <w:t xml:space="preserve">összefüggő vegyület a humán plazmában, aktív keringő metabolitok jelenléte nélkül. Az </w:t>
      </w:r>
      <w:r w:rsidR="00CA2919" w:rsidRPr="00F7245E">
        <w:rPr>
          <w:rFonts w:cs="Times New Roman"/>
        </w:rPr>
        <w:t xml:space="preserve">apixabán </w:t>
      </w:r>
      <w:r w:rsidRPr="00F7245E">
        <w:rPr>
          <w:rFonts w:cs="Times New Roman"/>
        </w:rPr>
        <w:t>szubsztrátja a transzport fehérjéknek, a P</w:t>
      </w:r>
      <w:r w:rsidR="00FB0C88" w:rsidRPr="00F7245E">
        <w:rPr>
          <w:rFonts w:cs="Times New Roman"/>
        </w:rPr>
        <w:noBreakHyphen/>
      </w:r>
      <w:r w:rsidRPr="00F7245E">
        <w:rPr>
          <w:rFonts w:cs="Times New Roman"/>
        </w:rPr>
        <w:t>gp</w:t>
      </w:r>
      <w:r w:rsidR="00FB0C88" w:rsidRPr="00F7245E">
        <w:rPr>
          <w:rFonts w:cs="Times New Roman"/>
        </w:rPr>
        <w:noBreakHyphen/>
      </w:r>
      <w:r w:rsidRPr="00F7245E">
        <w:rPr>
          <w:rFonts w:cs="Times New Roman"/>
        </w:rPr>
        <w:t>nek és az emlő</w:t>
      </w:r>
      <w:r w:rsidR="00FB0C88" w:rsidRPr="00F7245E">
        <w:rPr>
          <w:rFonts w:cs="Times New Roman"/>
        </w:rPr>
        <w:t>k</w:t>
      </w:r>
      <w:r w:rsidRPr="00F7245E">
        <w:rPr>
          <w:rFonts w:cs="Times New Roman"/>
        </w:rPr>
        <w:t>arcinoma rezisztencia proteinnek (BCRP</w:t>
      </w:r>
      <w:r w:rsidR="00FB0C88" w:rsidRPr="00F7245E">
        <w:rPr>
          <w:rFonts w:cs="Times New Roman"/>
        </w:rPr>
        <w:t>, breast cancer resistance protein</w:t>
      </w:r>
      <w:r w:rsidRPr="00F7245E">
        <w:rPr>
          <w:rFonts w:cs="Times New Roman"/>
        </w:rPr>
        <w:t>).</w:t>
      </w:r>
    </w:p>
    <w:p w14:paraId="1CD3527B" w14:textId="33EDE87F" w:rsidR="00B62AE4" w:rsidRPr="00F7245E" w:rsidRDefault="00B62AE4" w:rsidP="00A21724">
      <w:pPr>
        <w:pStyle w:val="Nincstrkz"/>
        <w:rPr>
          <w:rFonts w:cs="Times New Roman"/>
        </w:rPr>
      </w:pPr>
    </w:p>
    <w:p w14:paraId="383055F9" w14:textId="77777777" w:rsidR="00D72679" w:rsidRPr="00F7245E" w:rsidRDefault="00D72679" w:rsidP="00A21724">
      <w:pPr>
        <w:pStyle w:val="Nincstrkz"/>
        <w:rPr>
          <w:rFonts w:cs="Times New Roman"/>
        </w:rPr>
      </w:pPr>
    </w:p>
    <w:p w14:paraId="31E17D45" w14:textId="77777777" w:rsidR="00EA6112" w:rsidRPr="00F7245E" w:rsidRDefault="00EA6112" w:rsidP="00A21724">
      <w:pPr>
        <w:pStyle w:val="Nincstrkz"/>
        <w:widowControl w:val="0"/>
        <w:rPr>
          <w:rFonts w:cs="Times New Roman"/>
          <w:u w:val="single"/>
        </w:rPr>
      </w:pPr>
      <w:r w:rsidRPr="00F7245E">
        <w:rPr>
          <w:rFonts w:cs="Times New Roman"/>
          <w:u w:val="single"/>
        </w:rPr>
        <w:t>Idősek</w:t>
      </w:r>
    </w:p>
    <w:p w14:paraId="031C2E64" w14:textId="77777777" w:rsidR="001F3456" w:rsidRPr="00F7245E" w:rsidRDefault="001F3456" w:rsidP="00A21724">
      <w:pPr>
        <w:pStyle w:val="Nincstrkz"/>
        <w:widowControl w:val="0"/>
        <w:rPr>
          <w:rFonts w:cs="Times New Roman"/>
          <w:u w:val="single"/>
        </w:rPr>
      </w:pPr>
    </w:p>
    <w:p w14:paraId="328F9D81" w14:textId="77777777" w:rsidR="00EA6112" w:rsidRPr="00F7245E" w:rsidRDefault="00EA6112" w:rsidP="00A21724">
      <w:pPr>
        <w:pStyle w:val="Nincstrkz"/>
        <w:widowControl w:val="0"/>
        <w:rPr>
          <w:rFonts w:cs="Times New Roman"/>
        </w:rPr>
      </w:pPr>
      <w:r w:rsidRPr="00F7245E">
        <w:rPr>
          <w:rFonts w:cs="Times New Roman"/>
        </w:rPr>
        <w:t>Idős betegeknél (65 év felett) magasabb plazmakoncentrációk fordultak elő, mint a fiatal betegeknél, az átlagos AUC-értékek körülbelül 32%</w:t>
      </w:r>
      <w:r w:rsidRPr="00F7245E">
        <w:rPr>
          <w:rFonts w:cs="Times New Roman"/>
        </w:rPr>
        <w:noBreakHyphen/>
        <w:t>kal voltak magasabbak és nem volt különbség a C</w:t>
      </w:r>
      <w:r w:rsidRPr="00F7245E">
        <w:rPr>
          <w:rFonts w:cs="Times New Roman"/>
          <w:vertAlign w:val="subscript"/>
        </w:rPr>
        <w:t>max</w:t>
      </w:r>
      <w:r w:rsidRPr="00F7245E">
        <w:rPr>
          <w:rFonts w:cs="Times New Roman"/>
        </w:rPr>
        <w:t>-ban.</w:t>
      </w:r>
    </w:p>
    <w:p w14:paraId="48FD20D6" w14:textId="77777777" w:rsidR="00EA6112" w:rsidRPr="00F7245E" w:rsidRDefault="00EA6112" w:rsidP="00A21724">
      <w:pPr>
        <w:pStyle w:val="Nincstrkz"/>
        <w:rPr>
          <w:rFonts w:cs="Times New Roman"/>
        </w:rPr>
      </w:pPr>
    </w:p>
    <w:p w14:paraId="7210034F" w14:textId="77777777" w:rsidR="00B62AE4" w:rsidRPr="00F7245E" w:rsidRDefault="00B62AE4" w:rsidP="00A21724">
      <w:pPr>
        <w:pStyle w:val="Nincstrkz"/>
        <w:rPr>
          <w:rFonts w:cs="Times New Roman"/>
          <w:u w:val="single"/>
        </w:rPr>
      </w:pPr>
      <w:r w:rsidRPr="00F7245E">
        <w:rPr>
          <w:rFonts w:cs="Times New Roman"/>
          <w:u w:val="single"/>
        </w:rPr>
        <w:t>Vesekárosodás</w:t>
      </w:r>
    </w:p>
    <w:p w14:paraId="56615FB4" w14:textId="77777777" w:rsidR="001F3456" w:rsidRPr="00F7245E" w:rsidRDefault="001F3456" w:rsidP="00A21724">
      <w:pPr>
        <w:pStyle w:val="Nincstrkz"/>
        <w:rPr>
          <w:rFonts w:cs="Times New Roman"/>
          <w:u w:val="single"/>
        </w:rPr>
      </w:pPr>
    </w:p>
    <w:p w14:paraId="40440E5B" w14:textId="4A9A24BF" w:rsidR="00B62AE4" w:rsidRPr="00F7245E" w:rsidRDefault="00B62AE4" w:rsidP="00A21724">
      <w:pPr>
        <w:pStyle w:val="Nincstrkz"/>
        <w:rPr>
          <w:rFonts w:cs="Times New Roman"/>
        </w:rPr>
      </w:pPr>
      <w:r w:rsidRPr="00F7245E">
        <w:rPr>
          <w:rFonts w:cs="Times New Roman"/>
        </w:rPr>
        <w:t xml:space="preserve">A vesekárosodás nem volt hatással az </w:t>
      </w:r>
      <w:r w:rsidR="00CA2919" w:rsidRPr="00F7245E">
        <w:rPr>
          <w:rFonts w:cs="Times New Roman"/>
        </w:rPr>
        <w:t xml:space="preserve">apixabán </w:t>
      </w:r>
      <w:r w:rsidRPr="00F7245E">
        <w:rPr>
          <w:rFonts w:cs="Times New Roman"/>
        </w:rPr>
        <w:t>csúcskoncentrációjára. A vesefunkció</w:t>
      </w:r>
      <w:r w:rsidR="009F3769" w:rsidRPr="00F7245E">
        <w:rPr>
          <w:rFonts w:cs="Times New Roman"/>
        </w:rPr>
        <w:t xml:space="preserve"> </w:t>
      </w:r>
      <w:r w:rsidRPr="00F7245E">
        <w:rPr>
          <w:rFonts w:cs="Times New Roman"/>
        </w:rPr>
        <w:t>kreatinin</w:t>
      </w:r>
      <w:r w:rsidR="00FB0C88" w:rsidRPr="00F7245E">
        <w:rPr>
          <w:rFonts w:cs="Times New Roman"/>
        </w:rPr>
        <w:noBreakHyphen/>
      </w:r>
      <w:r w:rsidRPr="00F7245E">
        <w:rPr>
          <w:rFonts w:cs="Times New Roman"/>
        </w:rPr>
        <w:t>clearance</w:t>
      </w:r>
      <w:r w:rsidR="00FB0C88" w:rsidRPr="00F7245E">
        <w:rPr>
          <w:rFonts w:cs="Times New Roman"/>
        </w:rPr>
        <w:noBreakHyphen/>
      </w:r>
      <w:r w:rsidRPr="00F7245E">
        <w:rPr>
          <w:rFonts w:cs="Times New Roman"/>
        </w:rPr>
        <w:t xml:space="preserve">szel mért csökkenésével összefüggő, megnövekedett </w:t>
      </w:r>
      <w:r w:rsidR="002C0B56" w:rsidRPr="00F7245E">
        <w:rPr>
          <w:rFonts w:cs="Times New Roman"/>
        </w:rPr>
        <w:t>apixabán</w:t>
      </w:r>
      <w:r w:rsidRPr="00F7245E">
        <w:rPr>
          <w:rFonts w:cs="Times New Roman"/>
        </w:rPr>
        <w:t>-expozíciót figyeltek meg. A normál kreatinin</w:t>
      </w:r>
      <w:r w:rsidR="00FB0C88" w:rsidRPr="00F7245E">
        <w:rPr>
          <w:rFonts w:cs="Times New Roman"/>
        </w:rPr>
        <w:noBreakHyphen/>
      </w:r>
      <w:r w:rsidRPr="00F7245E">
        <w:rPr>
          <w:rFonts w:cs="Times New Roman"/>
        </w:rPr>
        <w:t>clearance</w:t>
      </w:r>
      <w:r w:rsidR="00FB0C88" w:rsidRPr="00F7245E">
        <w:rPr>
          <w:rFonts w:cs="Times New Roman"/>
        </w:rPr>
        <w:noBreakHyphen/>
      </w:r>
      <w:r w:rsidRPr="00F7245E">
        <w:rPr>
          <w:rFonts w:cs="Times New Roman"/>
        </w:rPr>
        <w:t>ű</w:t>
      </w:r>
      <w:r w:rsidR="00FB0C88" w:rsidRPr="00F7245E">
        <w:rPr>
          <w:rFonts w:cs="Times New Roman"/>
        </w:rPr>
        <w:t xml:space="preserve"> </w:t>
      </w:r>
      <w:r w:rsidR="00A1416D" w:rsidRPr="00F7245E">
        <w:rPr>
          <w:rFonts w:cs="Times New Roman"/>
        </w:rPr>
        <w:t>beteg</w:t>
      </w:r>
      <w:r w:rsidRPr="00F7245E">
        <w:rPr>
          <w:rFonts w:cs="Times New Roman"/>
        </w:rPr>
        <w:t xml:space="preserve">ekhez képest az </w:t>
      </w:r>
      <w:r w:rsidR="00CA2919" w:rsidRPr="00F7245E">
        <w:rPr>
          <w:rFonts w:cs="Times New Roman"/>
        </w:rPr>
        <w:t xml:space="preserve">apixabán </w:t>
      </w:r>
      <w:r w:rsidRPr="00F7245E">
        <w:rPr>
          <w:rFonts w:cs="Times New Roman"/>
        </w:rPr>
        <w:t>plazmakoncentrációjának (AUC) növekedése enyhe vesekárosodás (kreatinin</w:t>
      </w:r>
      <w:r w:rsidR="00075CE0" w:rsidRPr="00F7245E">
        <w:rPr>
          <w:rFonts w:cs="Times New Roman"/>
        </w:rPr>
        <w:noBreakHyphen/>
      </w:r>
      <w:r w:rsidRPr="00F7245E">
        <w:rPr>
          <w:rFonts w:cs="Times New Roman"/>
        </w:rPr>
        <w:t>clearance 51</w:t>
      </w:r>
      <w:r w:rsidR="00075CE0" w:rsidRPr="00F7245E">
        <w:rPr>
          <w:rFonts w:cs="Times New Roman"/>
        </w:rPr>
        <w:noBreakHyphen/>
      </w:r>
      <w:r w:rsidRPr="00F7245E">
        <w:rPr>
          <w:rFonts w:cs="Times New Roman"/>
        </w:rPr>
        <w:t>80</w:t>
      </w:r>
      <w:r w:rsidR="00A6130C" w:rsidRPr="00F7245E">
        <w:rPr>
          <w:rFonts w:cs="Times New Roman"/>
        </w:rPr>
        <w:t> ml</w:t>
      </w:r>
      <w:r w:rsidRPr="00F7245E">
        <w:rPr>
          <w:rFonts w:cs="Times New Roman"/>
        </w:rPr>
        <w:t>/</w:t>
      </w:r>
      <w:r w:rsidR="00AF1601" w:rsidRPr="00F7245E">
        <w:rPr>
          <w:rFonts w:cs="Times New Roman"/>
        </w:rPr>
        <w:t> perc</w:t>
      </w:r>
      <w:r w:rsidRPr="00F7245E">
        <w:rPr>
          <w:rFonts w:cs="Times New Roman"/>
        </w:rPr>
        <w:t>) esetén 16%</w:t>
      </w:r>
      <w:r w:rsidR="00FB0C88" w:rsidRPr="00F7245E">
        <w:rPr>
          <w:rFonts w:cs="Times New Roman"/>
        </w:rPr>
        <w:noBreakHyphen/>
      </w:r>
      <w:r w:rsidRPr="00F7245E">
        <w:rPr>
          <w:rFonts w:cs="Times New Roman"/>
        </w:rPr>
        <w:t>os, közepesen súlyos vesekárosodás</w:t>
      </w:r>
      <w:r w:rsidR="00FB0C88" w:rsidRPr="00F7245E">
        <w:rPr>
          <w:rFonts w:cs="Times New Roman"/>
        </w:rPr>
        <w:t>ban</w:t>
      </w:r>
      <w:r w:rsidRPr="00F7245E">
        <w:rPr>
          <w:rFonts w:cs="Times New Roman"/>
        </w:rPr>
        <w:t xml:space="preserve"> (kreatinin</w:t>
      </w:r>
      <w:r w:rsidR="00FB0C88" w:rsidRPr="00F7245E">
        <w:rPr>
          <w:rFonts w:cs="Times New Roman"/>
        </w:rPr>
        <w:noBreakHyphen/>
      </w:r>
      <w:r w:rsidRPr="00F7245E">
        <w:rPr>
          <w:rFonts w:cs="Times New Roman"/>
        </w:rPr>
        <w:t>clearance 30-50</w:t>
      </w:r>
      <w:r w:rsidR="00A6130C" w:rsidRPr="00F7245E">
        <w:rPr>
          <w:rFonts w:cs="Times New Roman"/>
        </w:rPr>
        <w:t> ml</w:t>
      </w:r>
      <w:r w:rsidRPr="00F7245E">
        <w:rPr>
          <w:rFonts w:cs="Times New Roman"/>
        </w:rPr>
        <w:t>/</w:t>
      </w:r>
      <w:r w:rsidR="00AF1601" w:rsidRPr="00F7245E">
        <w:rPr>
          <w:rFonts w:cs="Times New Roman"/>
        </w:rPr>
        <w:t> perc</w:t>
      </w:r>
      <w:r w:rsidRPr="00F7245E">
        <w:rPr>
          <w:rFonts w:cs="Times New Roman"/>
        </w:rPr>
        <w:t>) 29%-os, súlyos vesekárosodás (kreatinin</w:t>
      </w:r>
      <w:r w:rsidR="00FB0C88" w:rsidRPr="00F7245E">
        <w:rPr>
          <w:rFonts w:cs="Times New Roman"/>
        </w:rPr>
        <w:noBreakHyphen/>
      </w:r>
      <w:r w:rsidRPr="00F7245E">
        <w:rPr>
          <w:rFonts w:cs="Times New Roman"/>
        </w:rPr>
        <w:t>clearance 15</w:t>
      </w:r>
      <w:r w:rsidR="00075CE0" w:rsidRPr="00F7245E">
        <w:rPr>
          <w:rFonts w:cs="Times New Roman"/>
        </w:rPr>
        <w:noBreakHyphen/>
      </w:r>
      <w:r w:rsidRPr="00F7245E">
        <w:rPr>
          <w:rFonts w:cs="Times New Roman"/>
        </w:rPr>
        <w:t>29</w:t>
      </w:r>
      <w:r w:rsidR="00A6130C" w:rsidRPr="00F7245E">
        <w:rPr>
          <w:rFonts w:cs="Times New Roman"/>
        </w:rPr>
        <w:t> ml</w:t>
      </w:r>
      <w:r w:rsidRPr="00F7245E">
        <w:rPr>
          <w:rFonts w:cs="Times New Roman"/>
        </w:rPr>
        <w:t>/</w:t>
      </w:r>
      <w:r w:rsidR="00AF1601" w:rsidRPr="00F7245E">
        <w:rPr>
          <w:rFonts w:cs="Times New Roman"/>
        </w:rPr>
        <w:t>perc</w:t>
      </w:r>
      <w:r w:rsidRPr="00F7245E">
        <w:rPr>
          <w:rFonts w:cs="Times New Roman"/>
        </w:rPr>
        <w:t xml:space="preserve">) esetén pedig 44%-os volt. A vesekárosodás nincs bizonyított hatással az </w:t>
      </w:r>
      <w:r w:rsidR="00CA2919" w:rsidRPr="00F7245E">
        <w:rPr>
          <w:rFonts w:cs="Times New Roman"/>
        </w:rPr>
        <w:t xml:space="preserve">apixabán </w:t>
      </w:r>
      <w:r w:rsidRPr="00F7245E">
        <w:rPr>
          <w:rFonts w:cs="Times New Roman"/>
        </w:rPr>
        <w:t>plazmakoncentrációja és a Xa faktor-ellen</w:t>
      </w:r>
      <w:r w:rsidR="00FB0C88" w:rsidRPr="00F7245E">
        <w:rPr>
          <w:rFonts w:cs="Times New Roman"/>
        </w:rPr>
        <w:t>i</w:t>
      </w:r>
      <w:r w:rsidRPr="00F7245E">
        <w:rPr>
          <w:rFonts w:cs="Times New Roman"/>
        </w:rPr>
        <w:t xml:space="preserve"> aktivitás közti összefüggésre.</w:t>
      </w:r>
    </w:p>
    <w:p w14:paraId="0DE78F01" w14:textId="77777777" w:rsidR="00B62AE4" w:rsidRPr="00F7245E" w:rsidRDefault="00B62AE4" w:rsidP="00A21724">
      <w:pPr>
        <w:pStyle w:val="Nincstrkz"/>
        <w:rPr>
          <w:rFonts w:cs="Times New Roman"/>
        </w:rPr>
      </w:pPr>
    </w:p>
    <w:p w14:paraId="69672F25" w14:textId="1283BCE8" w:rsidR="00B62AE4" w:rsidRPr="00F7245E" w:rsidRDefault="00B62AE4" w:rsidP="00A21724">
      <w:pPr>
        <w:pStyle w:val="Nincstrkz"/>
        <w:rPr>
          <w:rFonts w:cs="Times New Roman"/>
        </w:rPr>
      </w:pPr>
      <w:r w:rsidRPr="00F7245E">
        <w:rPr>
          <w:rFonts w:cs="Times New Roman"/>
        </w:rPr>
        <w:t xml:space="preserve">Végstádiumú vesebetegségben szenvedőknél az </w:t>
      </w:r>
      <w:r w:rsidR="00CA2919" w:rsidRPr="00F7245E">
        <w:rPr>
          <w:rFonts w:cs="Times New Roman"/>
        </w:rPr>
        <w:t xml:space="preserve">apixabán </w:t>
      </w:r>
      <w:r w:rsidRPr="00F7245E">
        <w:rPr>
          <w:rFonts w:cs="Times New Roman"/>
        </w:rPr>
        <w:t>AUC értéke a normál veseműködésű egyéneknél megfigyeltekhez képest 36%</w:t>
      </w:r>
      <w:r w:rsidR="00FB0C88" w:rsidRPr="00F7245E">
        <w:rPr>
          <w:rFonts w:cs="Times New Roman"/>
        </w:rPr>
        <w:noBreakHyphen/>
      </w:r>
      <w:r w:rsidRPr="00F7245E">
        <w:rPr>
          <w:rFonts w:cs="Times New Roman"/>
        </w:rPr>
        <w:t>kal nőtt, amikor közvetlenül hemodial</w:t>
      </w:r>
      <w:r w:rsidR="00430FA3" w:rsidRPr="00F7245E">
        <w:rPr>
          <w:rFonts w:cs="Times New Roman"/>
        </w:rPr>
        <w:t>ízis</w:t>
      </w:r>
      <w:r w:rsidRPr="00F7245E">
        <w:rPr>
          <w:rFonts w:cs="Times New Roman"/>
        </w:rPr>
        <w:t xml:space="preserve"> után egyszeri 5</w:t>
      </w:r>
      <w:r w:rsidR="004C106B" w:rsidRPr="00F7245E">
        <w:rPr>
          <w:rFonts w:cs="Times New Roman"/>
        </w:rPr>
        <w:t> mg</w:t>
      </w:r>
      <w:r w:rsidRPr="00F7245E">
        <w:rPr>
          <w:rFonts w:cs="Times New Roman"/>
        </w:rPr>
        <w:t xml:space="preserve"> </w:t>
      </w:r>
      <w:r w:rsidR="00CA2919" w:rsidRPr="00F7245E">
        <w:rPr>
          <w:rFonts w:cs="Times New Roman"/>
        </w:rPr>
        <w:t xml:space="preserve">apixabán </w:t>
      </w:r>
      <w:r w:rsidRPr="00F7245E">
        <w:rPr>
          <w:rFonts w:cs="Times New Roman"/>
        </w:rPr>
        <w:t xml:space="preserve">adagot alkalmaztak. Az </w:t>
      </w:r>
      <w:r w:rsidR="00CA2919" w:rsidRPr="00F7245E">
        <w:rPr>
          <w:rFonts w:cs="Times New Roman"/>
        </w:rPr>
        <w:t xml:space="preserve">apixabán </w:t>
      </w:r>
      <w:r w:rsidRPr="00F7245E">
        <w:rPr>
          <w:rFonts w:cs="Times New Roman"/>
        </w:rPr>
        <w:t>egyszeri, 5</w:t>
      </w:r>
      <w:r w:rsidR="004C106B" w:rsidRPr="00F7245E">
        <w:rPr>
          <w:rFonts w:cs="Times New Roman"/>
        </w:rPr>
        <w:t> mg</w:t>
      </w:r>
      <w:r w:rsidRPr="00F7245E">
        <w:rPr>
          <w:rFonts w:cs="Times New Roman"/>
        </w:rPr>
        <w:t>-os adagjának alkalmazása után két</w:t>
      </w:r>
      <w:r w:rsidR="009F3769" w:rsidRPr="00F7245E">
        <w:rPr>
          <w:rFonts w:cs="Times New Roman"/>
        </w:rPr>
        <w:t xml:space="preserve"> </w:t>
      </w:r>
      <w:r w:rsidR="0071046D" w:rsidRPr="00F7245E">
        <w:rPr>
          <w:rFonts w:cs="Times New Roman"/>
        </w:rPr>
        <w:t>ór</w:t>
      </w:r>
      <w:r w:rsidRPr="00F7245E">
        <w:rPr>
          <w:rFonts w:cs="Times New Roman"/>
        </w:rPr>
        <w:t>ával megkezdett hemodial</w:t>
      </w:r>
      <w:r w:rsidR="00075CE0" w:rsidRPr="00F7245E">
        <w:rPr>
          <w:rFonts w:cs="Times New Roman"/>
        </w:rPr>
        <w:t>íz</w:t>
      </w:r>
      <w:r w:rsidRPr="00F7245E">
        <w:rPr>
          <w:rFonts w:cs="Times New Roman"/>
        </w:rPr>
        <w:t xml:space="preserve">is 14%-kal csökkentette az </w:t>
      </w:r>
      <w:r w:rsidR="00CA2919" w:rsidRPr="00F7245E">
        <w:rPr>
          <w:rFonts w:cs="Times New Roman"/>
        </w:rPr>
        <w:t xml:space="preserve">apixabán </w:t>
      </w:r>
      <w:r w:rsidRPr="00F7245E">
        <w:rPr>
          <w:rFonts w:cs="Times New Roman"/>
        </w:rPr>
        <w:t>AUC értékét ezeknél a</w:t>
      </w:r>
      <w:r w:rsidR="00C77F20" w:rsidRPr="00F7245E">
        <w:rPr>
          <w:rFonts w:cs="Times New Roman"/>
        </w:rPr>
        <w:t xml:space="preserve"> </w:t>
      </w:r>
      <w:r w:rsidRPr="00F7245E">
        <w:rPr>
          <w:rFonts w:cs="Times New Roman"/>
        </w:rPr>
        <w:t xml:space="preserve">végstádiumú vesebetegeknél, ami az </w:t>
      </w:r>
      <w:r w:rsidR="00CA2919" w:rsidRPr="00F7245E">
        <w:rPr>
          <w:rFonts w:cs="Times New Roman"/>
        </w:rPr>
        <w:t xml:space="preserve">apixabán </w:t>
      </w:r>
      <w:r w:rsidRPr="00F7245E">
        <w:rPr>
          <w:rFonts w:cs="Times New Roman"/>
        </w:rPr>
        <w:t>esetében 18</w:t>
      </w:r>
      <w:r w:rsidR="00A6130C" w:rsidRPr="00F7245E">
        <w:rPr>
          <w:rFonts w:cs="Times New Roman"/>
        </w:rPr>
        <w:t> ml</w:t>
      </w:r>
      <w:r w:rsidRPr="00F7245E">
        <w:rPr>
          <w:rFonts w:cs="Times New Roman"/>
        </w:rPr>
        <w:t>/</w:t>
      </w:r>
      <w:r w:rsidR="00AF1601" w:rsidRPr="00F7245E">
        <w:rPr>
          <w:rFonts w:cs="Times New Roman"/>
        </w:rPr>
        <w:t> perc</w:t>
      </w:r>
      <w:r w:rsidRPr="00F7245E">
        <w:rPr>
          <w:rFonts w:cs="Times New Roman"/>
        </w:rPr>
        <w:t xml:space="preserve"> dial</w:t>
      </w:r>
      <w:r w:rsidR="00FB0C88" w:rsidRPr="00F7245E">
        <w:rPr>
          <w:rFonts w:cs="Times New Roman"/>
        </w:rPr>
        <w:t>ízis</w:t>
      </w:r>
      <w:r w:rsidRPr="00F7245E">
        <w:rPr>
          <w:rFonts w:cs="Times New Roman"/>
        </w:rPr>
        <w:t>-clearance</w:t>
      </w:r>
      <w:r w:rsidR="00FB0C88" w:rsidRPr="00F7245E">
        <w:rPr>
          <w:rFonts w:cs="Times New Roman"/>
        </w:rPr>
        <w:noBreakHyphen/>
      </w:r>
      <w:r w:rsidRPr="00F7245E">
        <w:rPr>
          <w:rFonts w:cs="Times New Roman"/>
        </w:rPr>
        <w:t>nek felel meg. Ezért a hemodial</w:t>
      </w:r>
      <w:r w:rsidR="00FB0C88" w:rsidRPr="00F7245E">
        <w:rPr>
          <w:rFonts w:cs="Times New Roman"/>
        </w:rPr>
        <w:t>ízis</w:t>
      </w:r>
      <w:r w:rsidRPr="00F7245E">
        <w:rPr>
          <w:rFonts w:cs="Times New Roman"/>
        </w:rPr>
        <w:t xml:space="preserve"> valószínűleg nem hatékony módszer az </w:t>
      </w:r>
      <w:r w:rsidR="00CA2919" w:rsidRPr="00F7245E">
        <w:rPr>
          <w:rFonts w:cs="Times New Roman"/>
        </w:rPr>
        <w:t>apixabán</w:t>
      </w:r>
      <w:r w:rsidR="001F3456" w:rsidRPr="00F7245E">
        <w:rPr>
          <w:rFonts w:cs="Times New Roman"/>
        </w:rPr>
        <w:t>-</w:t>
      </w:r>
      <w:r w:rsidRPr="00F7245E">
        <w:rPr>
          <w:rFonts w:cs="Times New Roman"/>
        </w:rPr>
        <w:t>túladagolás kezelésére.</w:t>
      </w:r>
    </w:p>
    <w:p w14:paraId="36887F8D" w14:textId="77777777" w:rsidR="00B62AE4" w:rsidRPr="00F7245E" w:rsidRDefault="00B62AE4" w:rsidP="00A21724">
      <w:pPr>
        <w:pStyle w:val="Nincstrkz"/>
        <w:rPr>
          <w:rFonts w:cs="Times New Roman"/>
        </w:rPr>
      </w:pPr>
    </w:p>
    <w:p w14:paraId="2E76A875" w14:textId="77777777" w:rsidR="001F3456" w:rsidRPr="00F7245E" w:rsidRDefault="001F3456" w:rsidP="001F3456">
      <w:pPr>
        <w:adjustRightInd w:val="0"/>
        <w:contextualSpacing/>
        <w:rPr>
          <w:szCs w:val="24"/>
          <w:lang w:eastAsia="en-US"/>
        </w:rPr>
      </w:pPr>
      <w:r w:rsidRPr="00F7245E">
        <w:rPr>
          <w:rFonts w:eastAsia="Calibri"/>
          <w:kern w:val="2"/>
          <w:lang w:eastAsia="en-US"/>
          <w14:ligatures w14:val="standardContextual"/>
        </w:rPr>
        <w:t>A ≥ 2 éves korú gyermekeknél és serdülőknél a súlyos vesekárosodást 30 ml/perc/1,73 m</w:t>
      </w:r>
      <w:r w:rsidRPr="00F7245E">
        <w:rPr>
          <w:rFonts w:eastAsia="Calibri"/>
          <w:kern w:val="2"/>
          <w:vertAlign w:val="superscript"/>
          <w:lang w:eastAsia="en-US"/>
          <w14:ligatures w14:val="standardContextual"/>
        </w:rPr>
        <w:t>2</w:t>
      </w:r>
      <w:r w:rsidRPr="00F7245E">
        <w:rPr>
          <w:rFonts w:eastAsia="Calibri"/>
          <w:kern w:val="2"/>
          <w:lang w:eastAsia="en-US"/>
          <w14:ligatures w14:val="standardContextual"/>
        </w:rPr>
        <w:t xml:space="preserve"> testfelület (BSA) alatti becsült glomerulusfiltrációs rátaként (eGFR) határozták meg. A CV185325 vizsgálatban a 2 évesnél fiatalabb betegeknél a súlyos vesekárosodás küszöbértékének nemenkénti és születés utáni életkoronkénti meghatározása alább a 17. táblázatban található; mind egyenértékű a ≥ 2 éves korúak eGFR &lt; 30 ml/perc/1,73 m</w:t>
      </w:r>
      <w:r w:rsidRPr="00F7245E">
        <w:rPr>
          <w:rFonts w:eastAsia="Calibri"/>
          <w:kern w:val="2"/>
          <w:vertAlign w:val="superscript"/>
          <w:lang w:eastAsia="en-US"/>
          <w14:ligatures w14:val="standardContextual"/>
        </w:rPr>
        <w:t>2</w:t>
      </w:r>
      <w:r w:rsidRPr="00F7245E">
        <w:rPr>
          <w:rFonts w:eastAsia="Calibri"/>
          <w:kern w:val="2"/>
          <w:lang w:eastAsia="en-US"/>
          <w14:ligatures w14:val="standardContextual"/>
        </w:rPr>
        <w:t> BSA értékével.</w:t>
      </w:r>
    </w:p>
    <w:p w14:paraId="192953F1" w14:textId="77777777" w:rsidR="001F3456" w:rsidRPr="00F7245E" w:rsidRDefault="001F3456" w:rsidP="001F3456">
      <w:pPr>
        <w:adjustRightInd w:val="0"/>
        <w:contextualSpacing/>
        <w:rPr>
          <w:szCs w:val="24"/>
          <w:lang w:eastAsia="en-GB"/>
        </w:rPr>
      </w:pPr>
    </w:p>
    <w:p w14:paraId="61860A4F" w14:textId="77777777" w:rsidR="001F3456" w:rsidRPr="00F7245E" w:rsidRDefault="001F3456" w:rsidP="001F3456">
      <w:pPr>
        <w:contextualSpacing/>
        <w:rPr>
          <w:b/>
          <w:bCs/>
          <w:lang w:eastAsia="en-US"/>
        </w:rPr>
      </w:pPr>
      <w:r w:rsidRPr="00F7245E">
        <w:rPr>
          <w:rFonts w:eastAsia="Calibri"/>
          <w:b/>
          <w:kern w:val="2"/>
          <w:lang w:eastAsia="en-US"/>
          <w14:ligatures w14:val="standardContextual"/>
        </w:rPr>
        <w:t>17. táblázat: A CV185325 vizsgálat eGFR alkalmassági küszöbértékei</w:t>
      </w:r>
    </w:p>
    <w:tbl>
      <w:tblPr>
        <w:tblStyle w:val="Rcsostblzat"/>
        <w:tblW w:w="0" w:type="auto"/>
        <w:tblLook w:val="04A0" w:firstRow="1" w:lastRow="0" w:firstColumn="1" w:lastColumn="0" w:noHBand="0" w:noVBand="1"/>
      </w:tblPr>
      <w:tblGrid>
        <w:gridCol w:w="3749"/>
        <w:gridCol w:w="2284"/>
        <w:gridCol w:w="3017"/>
      </w:tblGrid>
      <w:tr w:rsidR="001F3456" w:rsidRPr="00F7245E" w14:paraId="5407E68C" w14:textId="77777777" w:rsidTr="00015928">
        <w:trPr>
          <w:trHeight w:val="300"/>
        </w:trPr>
        <w:tc>
          <w:tcPr>
            <w:tcW w:w="376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E4656A8" w14:textId="77777777" w:rsidR="001F3456" w:rsidRPr="00F7245E" w:rsidRDefault="001F3456" w:rsidP="00015928">
            <w:pPr>
              <w:ind w:left="-20" w:right="-20"/>
              <w:jc w:val="center"/>
              <w:rPr>
                <w:b/>
                <w:lang w:eastAsia="en-GB"/>
              </w:rPr>
            </w:pPr>
            <w:r w:rsidRPr="00F7245E">
              <w:rPr>
                <w:b/>
                <w:lang w:eastAsia="en-GB"/>
              </w:rPr>
              <w:t>Születés utáni életkor (nem)</w:t>
            </w:r>
          </w:p>
        </w:tc>
        <w:tc>
          <w:tcPr>
            <w:tcW w:w="22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B7762B2" w14:textId="77777777" w:rsidR="001F3456" w:rsidRPr="00F7245E" w:rsidRDefault="001F3456" w:rsidP="00015928">
            <w:pPr>
              <w:ind w:left="-20" w:right="-20"/>
              <w:jc w:val="center"/>
              <w:rPr>
                <w:b/>
                <w:lang w:eastAsia="en-GB"/>
              </w:rPr>
            </w:pPr>
            <w:r w:rsidRPr="00F7245E">
              <w:rPr>
                <w:b/>
                <w:lang w:eastAsia="en-GB"/>
              </w:rPr>
              <w:t xml:space="preserve">GFR referenciatartomány </w:t>
            </w:r>
          </w:p>
          <w:p w14:paraId="4E11FD49" w14:textId="77777777" w:rsidR="001F3456" w:rsidRPr="00F7245E" w:rsidRDefault="001F3456" w:rsidP="00015928">
            <w:pPr>
              <w:ind w:left="-20" w:right="-20"/>
              <w:jc w:val="center"/>
              <w:rPr>
                <w:b/>
                <w:lang w:eastAsia="en-GB"/>
              </w:rPr>
            </w:pPr>
            <w:r w:rsidRPr="00F7245E">
              <w:rPr>
                <w:b/>
                <w:lang w:eastAsia="en-GB"/>
              </w:rPr>
              <w:t>(ml/perc/1,73 m</w:t>
            </w:r>
            <w:r w:rsidRPr="00F7245E">
              <w:rPr>
                <w:b/>
                <w:vertAlign w:val="superscript"/>
                <w:lang w:eastAsia="en-GB"/>
              </w:rPr>
              <w:t>2</w:t>
            </w:r>
            <w:r w:rsidRPr="00F7245E">
              <w:rPr>
                <w:b/>
                <w:lang w:eastAsia="en-GB"/>
              </w:rPr>
              <w:t>)</w:t>
            </w:r>
          </w:p>
        </w:tc>
        <w:tc>
          <w:tcPr>
            <w:tcW w:w="30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32EC352" w14:textId="77777777" w:rsidR="001F3456" w:rsidRPr="00F7245E" w:rsidRDefault="001F3456" w:rsidP="00015928">
            <w:pPr>
              <w:ind w:left="-20" w:right="-20"/>
              <w:jc w:val="center"/>
              <w:rPr>
                <w:b/>
                <w:lang w:eastAsia="en-GB"/>
              </w:rPr>
            </w:pPr>
            <w:r w:rsidRPr="00F7245E">
              <w:rPr>
                <w:b/>
                <w:lang w:eastAsia="en-GB"/>
              </w:rPr>
              <w:t>eGFR alkalmassági küszöbértéke*</w:t>
            </w:r>
          </w:p>
        </w:tc>
      </w:tr>
      <w:tr w:rsidR="001F3456" w:rsidRPr="00F7245E" w14:paraId="3CED3C40" w14:textId="77777777" w:rsidTr="00015928">
        <w:trPr>
          <w:trHeight w:val="300"/>
        </w:trPr>
        <w:tc>
          <w:tcPr>
            <w:tcW w:w="376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E2466D2" w14:textId="77777777" w:rsidR="001F3456" w:rsidRPr="00F7245E" w:rsidRDefault="001F3456" w:rsidP="00015928">
            <w:pPr>
              <w:ind w:left="-20" w:right="-20"/>
              <w:rPr>
                <w:lang w:eastAsia="en-GB"/>
              </w:rPr>
            </w:pPr>
            <w:r w:rsidRPr="00F7245E">
              <w:rPr>
                <w:lang w:eastAsia="en-GB"/>
              </w:rPr>
              <w:t>1 hét (fiúk és lányok)</w:t>
            </w:r>
          </w:p>
        </w:tc>
        <w:tc>
          <w:tcPr>
            <w:tcW w:w="22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5895796" w14:textId="77777777" w:rsidR="001F3456" w:rsidRPr="00F7245E" w:rsidRDefault="001F3456" w:rsidP="00015928">
            <w:pPr>
              <w:ind w:left="-20" w:right="-20"/>
              <w:jc w:val="center"/>
              <w:rPr>
                <w:lang w:eastAsia="en-GB"/>
              </w:rPr>
            </w:pPr>
            <w:r w:rsidRPr="00F7245E">
              <w:rPr>
                <w:lang w:eastAsia="en-GB"/>
              </w:rPr>
              <w:t>41 ± 15</w:t>
            </w:r>
          </w:p>
        </w:tc>
        <w:tc>
          <w:tcPr>
            <w:tcW w:w="30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0F1F267" w14:textId="77777777" w:rsidR="001F3456" w:rsidRPr="00F7245E" w:rsidRDefault="001F3456" w:rsidP="00015928">
            <w:pPr>
              <w:ind w:left="-20" w:right="-20"/>
              <w:jc w:val="center"/>
              <w:rPr>
                <w:lang w:eastAsia="en-GB"/>
              </w:rPr>
            </w:pPr>
            <w:r w:rsidRPr="00F7245E">
              <w:rPr>
                <w:lang w:eastAsia="en-GB"/>
              </w:rPr>
              <w:t>≥ 8</w:t>
            </w:r>
          </w:p>
        </w:tc>
      </w:tr>
      <w:tr w:rsidR="001F3456" w:rsidRPr="00F7245E" w14:paraId="224289BC" w14:textId="77777777" w:rsidTr="00015928">
        <w:trPr>
          <w:trHeight w:val="300"/>
        </w:trPr>
        <w:tc>
          <w:tcPr>
            <w:tcW w:w="376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42D2D20" w14:textId="77777777" w:rsidR="001F3456" w:rsidRPr="00F7245E" w:rsidRDefault="001F3456" w:rsidP="00015928">
            <w:pPr>
              <w:ind w:left="-20" w:right="-20"/>
              <w:rPr>
                <w:lang w:eastAsia="en-GB"/>
              </w:rPr>
            </w:pPr>
            <w:r w:rsidRPr="00F7245E">
              <w:rPr>
                <w:lang w:eastAsia="en-GB"/>
              </w:rPr>
              <w:t>2–8 hét (fiúk és lányok)</w:t>
            </w:r>
          </w:p>
        </w:tc>
        <w:tc>
          <w:tcPr>
            <w:tcW w:w="22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4292894" w14:textId="77777777" w:rsidR="001F3456" w:rsidRPr="00F7245E" w:rsidRDefault="001F3456" w:rsidP="00015928">
            <w:pPr>
              <w:ind w:left="-20" w:right="-20"/>
              <w:jc w:val="center"/>
              <w:rPr>
                <w:lang w:eastAsia="en-GB"/>
              </w:rPr>
            </w:pPr>
            <w:r w:rsidRPr="00F7245E">
              <w:rPr>
                <w:lang w:eastAsia="en-GB"/>
              </w:rPr>
              <w:t>66 ± 25</w:t>
            </w:r>
          </w:p>
        </w:tc>
        <w:tc>
          <w:tcPr>
            <w:tcW w:w="30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A06644C" w14:textId="77777777" w:rsidR="001F3456" w:rsidRPr="00F7245E" w:rsidRDefault="001F3456" w:rsidP="00015928">
            <w:pPr>
              <w:ind w:left="-20" w:right="-20"/>
              <w:jc w:val="center"/>
              <w:rPr>
                <w:lang w:eastAsia="en-GB"/>
              </w:rPr>
            </w:pPr>
            <w:r w:rsidRPr="00F7245E">
              <w:rPr>
                <w:lang w:eastAsia="en-GB"/>
              </w:rPr>
              <w:t>≥ 12</w:t>
            </w:r>
          </w:p>
        </w:tc>
      </w:tr>
      <w:tr w:rsidR="001F3456" w:rsidRPr="00F7245E" w14:paraId="66616B51" w14:textId="77777777" w:rsidTr="00015928">
        <w:trPr>
          <w:trHeight w:val="300"/>
        </w:trPr>
        <w:tc>
          <w:tcPr>
            <w:tcW w:w="376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DAAA7C4" w14:textId="77777777" w:rsidR="001F3456" w:rsidRPr="00F7245E" w:rsidRDefault="001F3456" w:rsidP="00015928">
            <w:pPr>
              <w:ind w:left="-20" w:right="-20"/>
              <w:rPr>
                <w:lang w:eastAsia="en-GB"/>
              </w:rPr>
            </w:pPr>
            <w:r w:rsidRPr="00F7245E">
              <w:rPr>
                <w:lang w:eastAsia="en-GB"/>
              </w:rPr>
              <w:t>&gt;</w:t>
            </w:r>
            <w:bookmarkStart w:id="16" w:name="_Int_IutDoEDB"/>
            <w:r w:rsidRPr="00F7245E">
              <w:rPr>
                <w:lang w:eastAsia="en-GB"/>
              </w:rPr>
              <w:t> 8 hét</w:t>
            </w:r>
            <w:bookmarkEnd w:id="16"/>
            <w:r w:rsidRPr="00F7245E">
              <w:rPr>
                <w:lang w:eastAsia="en-GB"/>
              </w:rPr>
              <w:t xml:space="preserve"> – &lt; 2 év (fiúk és lányok)</w:t>
            </w:r>
          </w:p>
        </w:tc>
        <w:tc>
          <w:tcPr>
            <w:tcW w:w="22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6F30C6E" w14:textId="77777777" w:rsidR="001F3456" w:rsidRPr="00F7245E" w:rsidRDefault="001F3456" w:rsidP="00015928">
            <w:pPr>
              <w:ind w:left="-20" w:right="-20"/>
              <w:jc w:val="center"/>
              <w:rPr>
                <w:lang w:eastAsia="en-GB"/>
              </w:rPr>
            </w:pPr>
            <w:r w:rsidRPr="00F7245E">
              <w:rPr>
                <w:lang w:eastAsia="en-GB"/>
              </w:rPr>
              <w:t>96 ± 22</w:t>
            </w:r>
          </w:p>
        </w:tc>
        <w:tc>
          <w:tcPr>
            <w:tcW w:w="30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530A61C" w14:textId="77777777" w:rsidR="001F3456" w:rsidRPr="00F7245E" w:rsidRDefault="001F3456" w:rsidP="00015928">
            <w:pPr>
              <w:ind w:left="-20" w:right="-20"/>
              <w:jc w:val="center"/>
              <w:rPr>
                <w:lang w:eastAsia="en-GB"/>
              </w:rPr>
            </w:pPr>
            <w:r w:rsidRPr="00F7245E">
              <w:rPr>
                <w:lang w:eastAsia="en-GB"/>
              </w:rPr>
              <w:t>≥ 22</w:t>
            </w:r>
          </w:p>
        </w:tc>
      </w:tr>
      <w:tr w:rsidR="001F3456" w:rsidRPr="00F7245E" w14:paraId="6CA0F6CA" w14:textId="77777777" w:rsidTr="00015928">
        <w:trPr>
          <w:trHeight w:val="300"/>
        </w:trPr>
        <w:tc>
          <w:tcPr>
            <w:tcW w:w="376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25EF90A" w14:textId="77777777" w:rsidR="001F3456" w:rsidRPr="00F7245E" w:rsidRDefault="001F3456" w:rsidP="00015928">
            <w:pPr>
              <w:ind w:left="-20" w:right="-20"/>
              <w:rPr>
                <w:lang w:eastAsia="en-GB"/>
              </w:rPr>
            </w:pPr>
            <w:r w:rsidRPr="00F7245E">
              <w:rPr>
                <w:lang w:eastAsia="en-GB"/>
              </w:rPr>
              <w:t>2–12 év (fiúk és lányok)</w:t>
            </w:r>
          </w:p>
        </w:tc>
        <w:tc>
          <w:tcPr>
            <w:tcW w:w="22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084BCB7" w14:textId="77777777" w:rsidR="001F3456" w:rsidRPr="00F7245E" w:rsidRDefault="001F3456" w:rsidP="00015928">
            <w:pPr>
              <w:ind w:left="-20" w:right="-20"/>
              <w:jc w:val="center"/>
              <w:rPr>
                <w:lang w:eastAsia="en-GB"/>
              </w:rPr>
            </w:pPr>
            <w:r w:rsidRPr="00F7245E">
              <w:rPr>
                <w:lang w:eastAsia="en-GB"/>
              </w:rPr>
              <w:t>133 ± 27</w:t>
            </w:r>
          </w:p>
        </w:tc>
        <w:tc>
          <w:tcPr>
            <w:tcW w:w="30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F488848" w14:textId="77777777" w:rsidR="001F3456" w:rsidRPr="00F7245E" w:rsidRDefault="001F3456" w:rsidP="00015928">
            <w:pPr>
              <w:ind w:left="-20" w:right="-20"/>
              <w:jc w:val="center"/>
              <w:rPr>
                <w:lang w:eastAsia="en-GB"/>
              </w:rPr>
            </w:pPr>
            <w:r w:rsidRPr="00F7245E">
              <w:rPr>
                <w:lang w:eastAsia="en-GB"/>
              </w:rPr>
              <w:t>≥ 30</w:t>
            </w:r>
          </w:p>
        </w:tc>
      </w:tr>
      <w:tr w:rsidR="001F3456" w:rsidRPr="00F7245E" w14:paraId="1D7DE738" w14:textId="77777777" w:rsidTr="00015928">
        <w:trPr>
          <w:trHeight w:val="300"/>
        </w:trPr>
        <w:tc>
          <w:tcPr>
            <w:tcW w:w="376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6288BE8" w14:textId="77777777" w:rsidR="001F3456" w:rsidRPr="00F7245E" w:rsidRDefault="001F3456" w:rsidP="00015928">
            <w:pPr>
              <w:ind w:left="-20" w:right="-20"/>
              <w:rPr>
                <w:lang w:eastAsia="en-GB"/>
              </w:rPr>
            </w:pPr>
            <w:r w:rsidRPr="00F7245E">
              <w:rPr>
                <w:lang w:eastAsia="en-GB"/>
              </w:rPr>
              <w:t>13–17 év (fiúk)</w:t>
            </w:r>
          </w:p>
        </w:tc>
        <w:tc>
          <w:tcPr>
            <w:tcW w:w="22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C8C2C1C" w14:textId="77777777" w:rsidR="001F3456" w:rsidRPr="00F7245E" w:rsidRDefault="001F3456" w:rsidP="00015928">
            <w:pPr>
              <w:ind w:left="-20" w:right="-20"/>
              <w:jc w:val="center"/>
              <w:rPr>
                <w:lang w:eastAsia="en-GB"/>
              </w:rPr>
            </w:pPr>
            <w:r w:rsidRPr="00F7245E">
              <w:rPr>
                <w:lang w:eastAsia="en-GB"/>
              </w:rPr>
              <w:t>140 ± 30</w:t>
            </w:r>
          </w:p>
        </w:tc>
        <w:tc>
          <w:tcPr>
            <w:tcW w:w="30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884E624" w14:textId="77777777" w:rsidR="001F3456" w:rsidRPr="00F7245E" w:rsidRDefault="001F3456" w:rsidP="00015928">
            <w:pPr>
              <w:ind w:left="-20" w:right="-20"/>
              <w:jc w:val="center"/>
              <w:rPr>
                <w:lang w:eastAsia="en-GB"/>
              </w:rPr>
            </w:pPr>
            <w:r w:rsidRPr="00F7245E">
              <w:rPr>
                <w:lang w:eastAsia="en-GB"/>
              </w:rPr>
              <w:t>≥ 30</w:t>
            </w:r>
          </w:p>
        </w:tc>
      </w:tr>
      <w:tr w:rsidR="001F3456" w:rsidRPr="00F7245E" w14:paraId="097B2979" w14:textId="77777777" w:rsidTr="00015928">
        <w:trPr>
          <w:trHeight w:val="300"/>
        </w:trPr>
        <w:tc>
          <w:tcPr>
            <w:tcW w:w="376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21C17CE" w14:textId="77777777" w:rsidR="001F3456" w:rsidRPr="00F7245E" w:rsidRDefault="001F3456" w:rsidP="00015928">
            <w:pPr>
              <w:ind w:left="-20" w:right="-20"/>
              <w:rPr>
                <w:lang w:eastAsia="en-GB"/>
              </w:rPr>
            </w:pPr>
            <w:r w:rsidRPr="00F7245E">
              <w:rPr>
                <w:lang w:eastAsia="en-GB"/>
              </w:rPr>
              <w:t>13–17 év (lányok)</w:t>
            </w:r>
          </w:p>
        </w:tc>
        <w:tc>
          <w:tcPr>
            <w:tcW w:w="22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AC9DFC1" w14:textId="77777777" w:rsidR="001F3456" w:rsidRPr="00F7245E" w:rsidRDefault="001F3456" w:rsidP="00015928">
            <w:pPr>
              <w:ind w:left="-20" w:right="-20"/>
              <w:jc w:val="center"/>
              <w:rPr>
                <w:lang w:eastAsia="en-GB"/>
              </w:rPr>
            </w:pPr>
            <w:r w:rsidRPr="00F7245E">
              <w:rPr>
                <w:lang w:eastAsia="en-GB"/>
              </w:rPr>
              <w:t>126 ± 22</w:t>
            </w:r>
          </w:p>
        </w:tc>
        <w:tc>
          <w:tcPr>
            <w:tcW w:w="30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D999F24" w14:textId="77777777" w:rsidR="001F3456" w:rsidRPr="00F7245E" w:rsidRDefault="001F3456" w:rsidP="00015928">
            <w:pPr>
              <w:ind w:left="-20" w:right="-20"/>
              <w:jc w:val="center"/>
              <w:rPr>
                <w:lang w:eastAsia="en-GB"/>
              </w:rPr>
            </w:pPr>
            <w:r w:rsidRPr="00F7245E">
              <w:rPr>
                <w:lang w:eastAsia="en-GB"/>
              </w:rPr>
              <w:t>≥ 30</w:t>
            </w:r>
          </w:p>
        </w:tc>
      </w:tr>
      <w:tr w:rsidR="001F3456" w:rsidRPr="00F7245E" w14:paraId="009BF258" w14:textId="77777777" w:rsidTr="00015928">
        <w:trPr>
          <w:trHeight w:val="300"/>
        </w:trPr>
        <w:tc>
          <w:tcPr>
            <w:tcW w:w="9075"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4F2C5D2" w14:textId="77777777" w:rsidR="001F3456" w:rsidRPr="00F7245E" w:rsidRDefault="001F3456" w:rsidP="00015928">
            <w:pPr>
              <w:ind w:left="-20" w:right="-20"/>
              <w:rPr>
                <w:sz w:val="18"/>
                <w:szCs w:val="18"/>
                <w:lang w:eastAsia="en-GB"/>
              </w:rPr>
            </w:pPr>
            <w:r w:rsidRPr="00F7245E">
              <w:rPr>
                <w:sz w:val="18"/>
                <w:lang w:eastAsia="en-GB"/>
              </w:rPr>
              <w:t>*A CV185325 vizsgálatban való részvétel alkalmassági küszöbértéke, amelyben a becsült glomerulusfiltrációs rátát (eGFR) az ágy melletti, frissített Schwartz-egyenlettel számították ki (Schwartz, GJ et al., CJASN 2009). Ez a protokoll szerinti küszöbérték megfelelt azon eGFR-nek, amely alatt a jelölt beteget „elégtelen vesefunkciójúnak” ítéltek, ami miatt nem vehetett részt a CV185325 vizsgálatban. Minden küszöbértéket eGFR &lt; 30% értékeként adtak meg a kornak és nemnek megfelelő GFR referenciatartomány alatt 1 szórással (SD) lévő értékből számolva. A &lt; 2 éves korú betegek küszöbértékei egyenértékűek az eGFR &lt; 30 ml/perc/1,73 m</w:t>
            </w:r>
            <w:r w:rsidRPr="00F7245E">
              <w:rPr>
                <w:sz w:val="18"/>
                <w:vertAlign w:val="superscript"/>
                <w:lang w:eastAsia="en-GB"/>
              </w:rPr>
              <w:t>2</w:t>
            </w:r>
            <w:r w:rsidRPr="00F7245E">
              <w:rPr>
                <w:sz w:val="18"/>
                <w:lang w:eastAsia="en-GB"/>
              </w:rPr>
              <w:t xml:space="preserve"> értékkel, ami a súlyos vesekárosodás szokásos meghatározása 2 éves kor felett.</w:t>
            </w:r>
          </w:p>
        </w:tc>
      </w:tr>
    </w:tbl>
    <w:p w14:paraId="79ACC067" w14:textId="77777777" w:rsidR="001F3456" w:rsidRPr="00F7245E" w:rsidRDefault="001F3456" w:rsidP="001F3456">
      <w:pPr>
        <w:rPr>
          <w:szCs w:val="24"/>
          <w:lang w:eastAsia="en-US"/>
        </w:rPr>
      </w:pPr>
    </w:p>
    <w:p w14:paraId="735E3696" w14:textId="77777777" w:rsidR="001F3456" w:rsidRPr="00F7245E" w:rsidRDefault="001F3456" w:rsidP="001F3456">
      <w:pPr>
        <w:rPr>
          <w:iCs/>
          <w:u w:val="single"/>
        </w:rPr>
      </w:pPr>
      <w:r w:rsidRPr="00F7245E">
        <w:rPr>
          <w:rFonts w:eastAsia="Calibri"/>
          <w:kern w:val="2"/>
          <w:lang w:eastAsia="en-US"/>
          <w14:ligatures w14:val="standardContextual"/>
        </w:rPr>
        <w:t>≤ 55 ml/perc/1,73 m</w:t>
      </w:r>
      <w:r w:rsidRPr="00F7245E">
        <w:rPr>
          <w:rFonts w:eastAsia="Calibri"/>
          <w:kern w:val="2"/>
          <w:vertAlign w:val="superscript"/>
          <w:lang w:eastAsia="en-US"/>
          <w14:ligatures w14:val="standardContextual"/>
        </w:rPr>
        <w:t>2</w:t>
      </w:r>
      <w:r w:rsidRPr="00F7245E">
        <w:rPr>
          <w:rFonts w:eastAsia="Calibri"/>
          <w:kern w:val="2"/>
          <w:lang w:eastAsia="en-US"/>
          <w14:ligatures w14:val="standardContextual"/>
        </w:rPr>
        <w:t xml:space="preserve"> glomerulusfiltrációs rátával rendelkező betegek nem vettek részt a CV185325 vizsgálatban, noha az enyhe és közepesen súlyos vesekárosodás (eGFR ≥ 30 – &lt; 60 ml/perc/1,73 m</w:t>
      </w:r>
      <w:r w:rsidRPr="00F7245E">
        <w:rPr>
          <w:rFonts w:eastAsia="Calibri"/>
          <w:kern w:val="2"/>
          <w:vertAlign w:val="superscript"/>
          <w:lang w:eastAsia="en-US"/>
          <w14:ligatures w14:val="standardContextual"/>
        </w:rPr>
        <w:t>2</w:t>
      </w:r>
      <w:r w:rsidRPr="00F7245E">
        <w:rPr>
          <w:rFonts w:eastAsia="Calibri"/>
          <w:kern w:val="2"/>
          <w:lang w:eastAsia="en-US"/>
          <w14:ligatures w14:val="standardContextual"/>
        </w:rPr>
        <w:t> BSA) alapján alkalmasak lettek volna. A felnőttekre vonatkozó adatok, valamint az összes apixabánnal kezelt gyermek és serdülő korlátozott mennyiségű adatai alapján nincs szükség dózismódosításra gyermekeknél és serdülőknél enyhe vagy közepesen súlyos vesekárosodás esetén. Az apixabán nem javasolt súlyos vesekárosodásban szenvedő gyermekeknél és serdülőknél (lásd 4.2 és 4.4 pont).</w:t>
      </w:r>
    </w:p>
    <w:p w14:paraId="66DE5B6A" w14:textId="77777777" w:rsidR="001F3456" w:rsidRPr="00F7245E" w:rsidRDefault="001F3456" w:rsidP="00A21724">
      <w:pPr>
        <w:pStyle w:val="Nincstrkz"/>
        <w:rPr>
          <w:rFonts w:cs="Times New Roman"/>
        </w:rPr>
      </w:pPr>
    </w:p>
    <w:p w14:paraId="2D920749" w14:textId="77777777" w:rsidR="00B62AE4" w:rsidRPr="00F7245E" w:rsidRDefault="00B62AE4" w:rsidP="00A21724">
      <w:pPr>
        <w:pStyle w:val="Nincstrkz"/>
        <w:rPr>
          <w:rFonts w:cs="Times New Roman"/>
          <w:u w:val="single"/>
        </w:rPr>
      </w:pPr>
      <w:r w:rsidRPr="00F7245E">
        <w:rPr>
          <w:rFonts w:cs="Times New Roman"/>
          <w:u w:val="single"/>
        </w:rPr>
        <w:t>Májkárosodás</w:t>
      </w:r>
    </w:p>
    <w:p w14:paraId="245EFC2E" w14:textId="77777777" w:rsidR="001F3456" w:rsidRPr="00F7245E" w:rsidRDefault="001F3456" w:rsidP="00A21724">
      <w:pPr>
        <w:pStyle w:val="Nincstrkz"/>
        <w:rPr>
          <w:rFonts w:cs="Times New Roman"/>
          <w:u w:val="single"/>
        </w:rPr>
      </w:pPr>
    </w:p>
    <w:p w14:paraId="481238AD" w14:textId="004F7DCD" w:rsidR="00B62AE4" w:rsidRPr="00F7245E" w:rsidRDefault="00B62AE4" w:rsidP="00A21724">
      <w:pPr>
        <w:pStyle w:val="Nincstrkz"/>
        <w:rPr>
          <w:rFonts w:cs="Times New Roman"/>
        </w:rPr>
      </w:pPr>
      <w:r w:rsidRPr="00F7245E">
        <w:rPr>
          <w:rFonts w:cs="Times New Roman"/>
        </w:rPr>
        <w:t xml:space="preserve">Egy vizsgálat során, ami 8, enyhe </w:t>
      </w:r>
      <w:r w:rsidR="009F3769" w:rsidRPr="00F7245E">
        <w:rPr>
          <w:rFonts w:cs="Times New Roman"/>
        </w:rPr>
        <w:t xml:space="preserve">fokú </w:t>
      </w:r>
      <w:r w:rsidRPr="00F7245E">
        <w:rPr>
          <w:rFonts w:cs="Times New Roman"/>
        </w:rPr>
        <w:t>májkárosodásban szenvedő</w:t>
      </w:r>
      <w:r w:rsidR="009F3769" w:rsidRPr="00F7245E">
        <w:rPr>
          <w:rFonts w:cs="Times New Roman"/>
        </w:rPr>
        <w:t xml:space="preserve"> </w:t>
      </w:r>
      <w:r w:rsidR="00A1416D" w:rsidRPr="00F7245E">
        <w:rPr>
          <w:rFonts w:cs="Times New Roman"/>
        </w:rPr>
        <w:t>beteg</w:t>
      </w:r>
      <w:r w:rsidRPr="00F7245E">
        <w:rPr>
          <w:rFonts w:cs="Times New Roman"/>
        </w:rPr>
        <w:t>et (Child Pugh A stádium,</w:t>
      </w:r>
      <w:r w:rsidR="00C77F20" w:rsidRPr="00F7245E">
        <w:rPr>
          <w:rFonts w:cs="Times New Roman"/>
        </w:rPr>
        <w:t xml:space="preserve"> </w:t>
      </w:r>
      <w:r w:rsidRPr="00F7245E">
        <w:rPr>
          <w:rFonts w:cs="Times New Roman"/>
        </w:rPr>
        <w:t>5</w:t>
      </w:r>
      <w:r w:rsidR="00430FA3" w:rsidRPr="00F7245E">
        <w:rPr>
          <w:rFonts w:cs="Times New Roman"/>
        </w:rPr>
        <w:noBreakHyphen/>
      </w:r>
      <w:r w:rsidRPr="00F7245E">
        <w:rPr>
          <w:rFonts w:cs="Times New Roman"/>
        </w:rPr>
        <w:t>ös</w:t>
      </w:r>
      <w:r w:rsidR="00430FA3" w:rsidRPr="00F7245E">
        <w:rPr>
          <w:rFonts w:cs="Times New Roman"/>
        </w:rPr>
        <w:t xml:space="preserve"> </w:t>
      </w:r>
      <w:r w:rsidR="004C106B" w:rsidRPr="00F7245E">
        <w:rPr>
          <w:rFonts w:cs="Times New Roman"/>
        </w:rPr>
        <w:t>pont</w:t>
      </w:r>
      <w:r w:rsidRPr="00F7245E">
        <w:rPr>
          <w:rFonts w:cs="Times New Roman"/>
        </w:rPr>
        <w:t>szám [n</w:t>
      </w:r>
      <w:r w:rsidR="00430FA3" w:rsidRPr="00F7245E">
        <w:rPr>
          <w:rFonts w:cs="Times New Roman"/>
        </w:rPr>
        <w:t> </w:t>
      </w:r>
      <w:r w:rsidRPr="00F7245E">
        <w:rPr>
          <w:rFonts w:cs="Times New Roman"/>
        </w:rPr>
        <w:t>=</w:t>
      </w:r>
      <w:r w:rsidR="00430FA3" w:rsidRPr="00F7245E">
        <w:rPr>
          <w:rFonts w:cs="Times New Roman"/>
        </w:rPr>
        <w:t> </w:t>
      </w:r>
      <w:r w:rsidRPr="00F7245E">
        <w:rPr>
          <w:rFonts w:cs="Times New Roman"/>
        </w:rPr>
        <w:t>6] és 6-os</w:t>
      </w:r>
      <w:r w:rsidR="004C106B" w:rsidRPr="00F7245E">
        <w:rPr>
          <w:rFonts w:cs="Times New Roman"/>
        </w:rPr>
        <w:t> pont</w:t>
      </w:r>
      <w:r w:rsidRPr="00F7245E">
        <w:rPr>
          <w:rFonts w:cs="Times New Roman"/>
        </w:rPr>
        <w:t>szám [n</w:t>
      </w:r>
      <w:r w:rsidR="00430FA3" w:rsidRPr="00F7245E">
        <w:rPr>
          <w:rFonts w:cs="Times New Roman"/>
        </w:rPr>
        <w:t> </w:t>
      </w:r>
      <w:r w:rsidRPr="00F7245E">
        <w:rPr>
          <w:rFonts w:cs="Times New Roman"/>
        </w:rPr>
        <w:t>=</w:t>
      </w:r>
      <w:r w:rsidR="00430FA3" w:rsidRPr="00F7245E">
        <w:rPr>
          <w:rFonts w:cs="Times New Roman"/>
        </w:rPr>
        <w:t> </w:t>
      </w:r>
      <w:r w:rsidRPr="00F7245E">
        <w:rPr>
          <w:rFonts w:cs="Times New Roman"/>
        </w:rPr>
        <w:t>2]) és 8, közepesen súlyos májkárosodásban szenvedő</w:t>
      </w:r>
      <w:r w:rsidR="009F3769" w:rsidRPr="00F7245E">
        <w:rPr>
          <w:rFonts w:cs="Times New Roman"/>
        </w:rPr>
        <w:t xml:space="preserve"> </w:t>
      </w:r>
      <w:r w:rsidR="00A1416D" w:rsidRPr="00F7245E">
        <w:rPr>
          <w:rFonts w:cs="Times New Roman"/>
        </w:rPr>
        <w:t>beteg</w:t>
      </w:r>
      <w:r w:rsidRPr="00F7245E">
        <w:rPr>
          <w:rFonts w:cs="Times New Roman"/>
        </w:rPr>
        <w:t>et (Child Pugh B stádium, 7-es</w:t>
      </w:r>
      <w:r w:rsidR="00430FA3" w:rsidRPr="00F7245E">
        <w:rPr>
          <w:rFonts w:cs="Times New Roman"/>
        </w:rPr>
        <w:t xml:space="preserve"> </w:t>
      </w:r>
      <w:r w:rsidR="004C106B" w:rsidRPr="00F7245E">
        <w:rPr>
          <w:rFonts w:cs="Times New Roman"/>
        </w:rPr>
        <w:t>pont</w:t>
      </w:r>
      <w:r w:rsidRPr="00F7245E">
        <w:rPr>
          <w:rFonts w:cs="Times New Roman"/>
        </w:rPr>
        <w:t>szám [n</w:t>
      </w:r>
      <w:r w:rsidR="00430FA3" w:rsidRPr="00F7245E">
        <w:rPr>
          <w:rFonts w:cs="Times New Roman"/>
        </w:rPr>
        <w:t> </w:t>
      </w:r>
      <w:r w:rsidRPr="00F7245E">
        <w:rPr>
          <w:rFonts w:cs="Times New Roman"/>
        </w:rPr>
        <w:t>=</w:t>
      </w:r>
      <w:r w:rsidR="00430FA3" w:rsidRPr="00F7245E">
        <w:rPr>
          <w:rFonts w:cs="Times New Roman"/>
        </w:rPr>
        <w:t> </w:t>
      </w:r>
      <w:r w:rsidRPr="00F7245E">
        <w:rPr>
          <w:rFonts w:cs="Times New Roman"/>
        </w:rPr>
        <w:t>6] és 8</w:t>
      </w:r>
      <w:r w:rsidR="00430FA3" w:rsidRPr="00F7245E">
        <w:rPr>
          <w:rFonts w:cs="Times New Roman"/>
        </w:rPr>
        <w:noBreakHyphen/>
      </w:r>
      <w:r w:rsidRPr="00F7245E">
        <w:rPr>
          <w:rFonts w:cs="Times New Roman"/>
        </w:rPr>
        <w:t>as</w:t>
      </w:r>
      <w:r w:rsidR="009F3769" w:rsidRPr="00F7245E">
        <w:rPr>
          <w:rFonts w:cs="Times New Roman"/>
        </w:rPr>
        <w:t xml:space="preserve"> </w:t>
      </w:r>
      <w:r w:rsidR="004C106B" w:rsidRPr="00F7245E">
        <w:rPr>
          <w:rFonts w:cs="Times New Roman"/>
        </w:rPr>
        <w:t>pont</w:t>
      </w:r>
      <w:r w:rsidRPr="00F7245E">
        <w:rPr>
          <w:rFonts w:cs="Times New Roman"/>
        </w:rPr>
        <w:t>szám [n</w:t>
      </w:r>
      <w:r w:rsidR="00430FA3" w:rsidRPr="00F7245E">
        <w:rPr>
          <w:rFonts w:cs="Times New Roman"/>
        </w:rPr>
        <w:t> </w:t>
      </w:r>
      <w:r w:rsidRPr="00F7245E">
        <w:rPr>
          <w:rFonts w:cs="Times New Roman"/>
        </w:rPr>
        <w:t>=</w:t>
      </w:r>
      <w:r w:rsidR="00430FA3" w:rsidRPr="00F7245E">
        <w:rPr>
          <w:rFonts w:cs="Times New Roman"/>
        </w:rPr>
        <w:t> </w:t>
      </w:r>
      <w:r w:rsidRPr="00F7245E">
        <w:rPr>
          <w:rFonts w:cs="Times New Roman"/>
        </w:rPr>
        <w:t>2]) 16, egészséges kontrollszeméllyel hasonlított össze, az egyszeri dózisú 5</w:t>
      </w:r>
      <w:r w:rsidR="004C106B" w:rsidRPr="00F7245E">
        <w:rPr>
          <w:rFonts w:cs="Times New Roman"/>
        </w:rPr>
        <w:t> mg</w:t>
      </w:r>
      <w:r w:rsidRPr="00F7245E">
        <w:rPr>
          <w:rFonts w:cs="Times New Roman"/>
        </w:rPr>
        <w:t xml:space="preserve"> </w:t>
      </w:r>
      <w:r w:rsidR="00CA2919" w:rsidRPr="00F7245E">
        <w:rPr>
          <w:rFonts w:cs="Times New Roman"/>
        </w:rPr>
        <w:t xml:space="preserve">apixabán </w:t>
      </w:r>
      <w:r w:rsidRPr="00F7245E">
        <w:rPr>
          <w:rFonts w:cs="Times New Roman"/>
        </w:rPr>
        <w:t>farmakokinetikája és farmakodinámiája nem mutatott eltérést a májkárosodásban szenvedő</w:t>
      </w:r>
      <w:r w:rsidR="00430FA3" w:rsidRPr="00F7245E">
        <w:rPr>
          <w:rFonts w:cs="Times New Roman"/>
        </w:rPr>
        <w:t xml:space="preserve"> </w:t>
      </w:r>
      <w:r w:rsidR="00A1416D" w:rsidRPr="00F7245E">
        <w:rPr>
          <w:rFonts w:cs="Times New Roman"/>
        </w:rPr>
        <w:t>beteg</w:t>
      </w:r>
      <w:r w:rsidRPr="00F7245E">
        <w:rPr>
          <w:rFonts w:cs="Times New Roman"/>
        </w:rPr>
        <w:t>eknél. A Xa faktor</w:t>
      </w:r>
      <w:r w:rsidR="00430FA3" w:rsidRPr="00F7245E">
        <w:rPr>
          <w:rFonts w:cs="Times New Roman"/>
        </w:rPr>
        <w:noBreakHyphen/>
      </w:r>
      <w:r w:rsidRPr="00F7245E">
        <w:rPr>
          <w:rFonts w:cs="Times New Roman"/>
        </w:rPr>
        <w:t>ellen</w:t>
      </w:r>
      <w:r w:rsidR="00430FA3" w:rsidRPr="00F7245E">
        <w:rPr>
          <w:rFonts w:cs="Times New Roman"/>
        </w:rPr>
        <w:t>i</w:t>
      </w:r>
      <w:r w:rsidRPr="00F7245E">
        <w:rPr>
          <w:rFonts w:cs="Times New Roman"/>
        </w:rPr>
        <w:t xml:space="preserve"> aktivitás és az INR az egészséges, illetve az enyhe és közepesen súlyos májkárosodásban szenvedő</w:t>
      </w:r>
      <w:r w:rsidR="00A1416D" w:rsidRPr="00F7245E">
        <w:rPr>
          <w:rFonts w:cs="Times New Roman"/>
        </w:rPr>
        <w:t> beteg</w:t>
      </w:r>
      <w:r w:rsidRPr="00F7245E">
        <w:rPr>
          <w:rFonts w:cs="Times New Roman"/>
        </w:rPr>
        <w:t>eknél hasonló volt.</w:t>
      </w:r>
    </w:p>
    <w:p w14:paraId="0D33A8BA" w14:textId="77777777" w:rsidR="00B62AE4" w:rsidRPr="00F7245E" w:rsidRDefault="00B62AE4" w:rsidP="00A21724">
      <w:pPr>
        <w:pStyle w:val="Nincstrkz"/>
        <w:rPr>
          <w:rFonts w:cs="Times New Roman"/>
        </w:rPr>
      </w:pPr>
    </w:p>
    <w:p w14:paraId="0F47EB26" w14:textId="77777777" w:rsidR="001F3456" w:rsidRPr="00F7245E" w:rsidRDefault="001F3456" w:rsidP="001F3456">
      <w:pPr>
        <w:adjustRightInd w:val="0"/>
        <w:rPr>
          <w:iCs/>
        </w:rPr>
      </w:pPr>
      <w:r w:rsidRPr="00F7245E">
        <w:rPr>
          <w:iCs/>
        </w:rPr>
        <w:t>Az apixabánt nem vizsgálták májkárosodásban szenvedő gyermekeknél és serdülőknél.</w:t>
      </w:r>
    </w:p>
    <w:p w14:paraId="66250208" w14:textId="77777777" w:rsidR="001F3456" w:rsidRPr="00F7245E" w:rsidRDefault="001F3456" w:rsidP="00A21724">
      <w:pPr>
        <w:pStyle w:val="Nincstrkz"/>
        <w:rPr>
          <w:rFonts w:cs="Times New Roman"/>
        </w:rPr>
      </w:pPr>
    </w:p>
    <w:p w14:paraId="11DCA5FD" w14:textId="77777777" w:rsidR="00B62AE4" w:rsidRPr="00F7245E" w:rsidRDefault="00B62AE4" w:rsidP="00A21724">
      <w:pPr>
        <w:pStyle w:val="Nincstrkz"/>
        <w:keepNext/>
        <w:rPr>
          <w:rFonts w:cs="Times New Roman"/>
          <w:u w:val="single"/>
        </w:rPr>
      </w:pPr>
      <w:r w:rsidRPr="00F7245E">
        <w:rPr>
          <w:rFonts w:cs="Times New Roman"/>
          <w:u w:val="single"/>
        </w:rPr>
        <w:t>Nemek közötti különbségek</w:t>
      </w:r>
    </w:p>
    <w:p w14:paraId="7FB89D7D" w14:textId="77777777" w:rsidR="001F3456" w:rsidRPr="00F7245E" w:rsidRDefault="001F3456" w:rsidP="00A21724">
      <w:pPr>
        <w:pStyle w:val="Nincstrkz"/>
        <w:keepNext/>
        <w:rPr>
          <w:rFonts w:cs="Times New Roman"/>
          <w:u w:val="single"/>
        </w:rPr>
      </w:pPr>
    </w:p>
    <w:p w14:paraId="58D89A26" w14:textId="0499C657" w:rsidR="00B62AE4" w:rsidRPr="00F7245E" w:rsidRDefault="00B62AE4" w:rsidP="00A21724">
      <w:pPr>
        <w:pStyle w:val="Nincstrkz"/>
        <w:keepNext/>
        <w:rPr>
          <w:rFonts w:cs="Times New Roman"/>
        </w:rPr>
      </w:pPr>
      <w:r w:rsidRPr="00F7245E">
        <w:rPr>
          <w:rFonts w:cs="Times New Roman"/>
        </w:rPr>
        <w:t xml:space="preserve">A nőknél az </w:t>
      </w:r>
      <w:r w:rsidR="00CA2919" w:rsidRPr="00F7245E">
        <w:rPr>
          <w:rFonts w:cs="Times New Roman"/>
        </w:rPr>
        <w:t xml:space="preserve">apixabán </w:t>
      </w:r>
      <w:r w:rsidRPr="00F7245E">
        <w:rPr>
          <w:rFonts w:cs="Times New Roman"/>
        </w:rPr>
        <w:t>expozíciója 18%</w:t>
      </w:r>
      <w:r w:rsidR="00430FA3" w:rsidRPr="00F7245E">
        <w:rPr>
          <w:rFonts w:cs="Times New Roman"/>
        </w:rPr>
        <w:noBreakHyphen/>
      </w:r>
      <w:r w:rsidRPr="00F7245E">
        <w:rPr>
          <w:rFonts w:cs="Times New Roman"/>
        </w:rPr>
        <w:t>kal magasabb volt, mint férfiaknál.</w:t>
      </w:r>
    </w:p>
    <w:p w14:paraId="089E8956" w14:textId="77777777" w:rsidR="00B62AE4" w:rsidRPr="00F7245E" w:rsidRDefault="00B62AE4" w:rsidP="00A21724">
      <w:pPr>
        <w:pStyle w:val="Nincstrkz"/>
        <w:keepNext/>
        <w:rPr>
          <w:rFonts w:cs="Times New Roman"/>
        </w:rPr>
      </w:pPr>
    </w:p>
    <w:p w14:paraId="5DFC748E" w14:textId="77777777" w:rsidR="001F3456" w:rsidRPr="00F7245E" w:rsidRDefault="001F3456" w:rsidP="001F3456">
      <w:pPr>
        <w:adjustRightInd w:val="0"/>
        <w:rPr>
          <w:iCs/>
        </w:rPr>
      </w:pPr>
      <w:r w:rsidRPr="00F7245E">
        <w:rPr>
          <w:iCs/>
        </w:rPr>
        <w:t>A farmakokinetikai tulajdonságokat nem vizsgálták nemenként a gyermekeknél és serdülőknél.</w:t>
      </w:r>
    </w:p>
    <w:p w14:paraId="39105742" w14:textId="77777777" w:rsidR="001F3456" w:rsidRPr="00F7245E" w:rsidRDefault="001F3456" w:rsidP="001F3456">
      <w:pPr>
        <w:adjustRightInd w:val="0"/>
        <w:ind w:right="964"/>
      </w:pPr>
    </w:p>
    <w:p w14:paraId="4D57CE0B" w14:textId="77777777" w:rsidR="001F3456" w:rsidRPr="00F7245E" w:rsidRDefault="001F3456" w:rsidP="00A21724">
      <w:pPr>
        <w:pStyle w:val="Nincstrkz"/>
        <w:keepNext/>
        <w:rPr>
          <w:rFonts w:cs="Times New Roman"/>
        </w:rPr>
      </w:pPr>
    </w:p>
    <w:p w14:paraId="45076070" w14:textId="77777777" w:rsidR="00B62AE4" w:rsidRPr="00F7245E" w:rsidRDefault="00B62AE4" w:rsidP="00A21724">
      <w:pPr>
        <w:pStyle w:val="Nincstrkz"/>
        <w:rPr>
          <w:rFonts w:cs="Times New Roman"/>
          <w:u w:val="single"/>
        </w:rPr>
      </w:pPr>
      <w:r w:rsidRPr="00F7245E">
        <w:rPr>
          <w:rFonts w:cs="Times New Roman"/>
          <w:u w:val="single"/>
        </w:rPr>
        <w:t>Etnikai hovatartozás és rassz</w:t>
      </w:r>
    </w:p>
    <w:p w14:paraId="66CE076A" w14:textId="77777777" w:rsidR="001F3456" w:rsidRPr="00F7245E" w:rsidRDefault="001F3456" w:rsidP="00A21724">
      <w:pPr>
        <w:pStyle w:val="Nincstrkz"/>
        <w:rPr>
          <w:rFonts w:cs="Times New Roman"/>
          <w:u w:val="single"/>
        </w:rPr>
      </w:pPr>
    </w:p>
    <w:p w14:paraId="470B8B5E" w14:textId="257E8C5D" w:rsidR="00B62AE4" w:rsidRPr="00F7245E" w:rsidRDefault="00B62AE4" w:rsidP="00A21724">
      <w:pPr>
        <w:pStyle w:val="Nincstrkz"/>
        <w:rPr>
          <w:rFonts w:cs="Times New Roman"/>
        </w:rPr>
      </w:pPr>
      <w:r w:rsidRPr="00F7245E">
        <w:rPr>
          <w:rFonts w:cs="Times New Roman"/>
        </w:rPr>
        <w:t>A</w:t>
      </w:r>
      <w:r w:rsidR="009F3769" w:rsidRPr="00F7245E">
        <w:rPr>
          <w:rFonts w:cs="Times New Roman"/>
        </w:rPr>
        <w:t>z</w:t>
      </w:r>
      <w:r w:rsidRPr="00F7245E">
        <w:rPr>
          <w:rFonts w:cs="Times New Roman"/>
        </w:rPr>
        <w:t xml:space="preserve"> </w:t>
      </w:r>
      <w:r w:rsidR="009F3769" w:rsidRPr="00F7245E">
        <w:rPr>
          <w:rFonts w:cs="Times New Roman"/>
        </w:rPr>
        <w:t>I</w:t>
      </w:r>
      <w:r w:rsidR="00AB6489" w:rsidRPr="00F7245E">
        <w:rPr>
          <w:rFonts w:cs="Times New Roman"/>
        </w:rPr>
        <w:t>.</w:t>
      </w:r>
      <w:r w:rsidR="009F3769" w:rsidRPr="00F7245E">
        <w:rPr>
          <w:rFonts w:cs="Times New Roman"/>
        </w:rPr>
        <w:t xml:space="preserve"> </w:t>
      </w:r>
      <w:r w:rsidRPr="00F7245E">
        <w:rPr>
          <w:rFonts w:cs="Times New Roman"/>
        </w:rPr>
        <w:t>fázis</w:t>
      </w:r>
      <w:r w:rsidR="009F3769" w:rsidRPr="00F7245E">
        <w:rPr>
          <w:rFonts w:cs="Times New Roman"/>
        </w:rPr>
        <w:t>ú</w:t>
      </w:r>
      <w:r w:rsidRPr="00F7245E">
        <w:rPr>
          <w:rFonts w:cs="Times New Roman"/>
        </w:rPr>
        <w:t xml:space="preserve"> vizsgálatok eredményei nem mutattak észrevehető különbséget az </w:t>
      </w:r>
      <w:r w:rsidR="00CA2919" w:rsidRPr="00F7245E">
        <w:rPr>
          <w:rFonts w:cs="Times New Roman"/>
        </w:rPr>
        <w:t xml:space="preserve">apixabán </w:t>
      </w:r>
      <w:r w:rsidRPr="00F7245E">
        <w:rPr>
          <w:rFonts w:cs="Times New Roman"/>
        </w:rPr>
        <w:t xml:space="preserve">farmakokinetikájában a fehér/kaukázusi, az ázsiai és a feketebőrű/afrikai és amerikai alanyok között. Egy </w:t>
      </w:r>
      <w:r w:rsidR="002C0B56" w:rsidRPr="00F7245E">
        <w:rPr>
          <w:rFonts w:cs="Times New Roman"/>
        </w:rPr>
        <w:t>apixabán</w:t>
      </w:r>
      <w:r w:rsidRPr="00F7245E">
        <w:rPr>
          <w:rFonts w:cs="Times New Roman"/>
        </w:rPr>
        <w:t>t kapó</w:t>
      </w:r>
      <w:r w:rsidR="009F3769" w:rsidRPr="00F7245E">
        <w:rPr>
          <w:rFonts w:cs="Times New Roman"/>
        </w:rPr>
        <w:t xml:space="preserve"> </w:t>
      </w:r>
      <w:r w:rsidR="00A1416D" w:rsidRPr="00F7245E">
        <w:rPr>
          <w:rFonts w:cs="Times New Roman"/>
        </w:rPr>
        <w:t>beteg</w:t>
      </w:r>
      <w:r w:rsidRPr="00F7245E">
        <w:rPr>
          <w:rFonts w:cs="Times New Roman"/>
        </w:rPr>
        <w:t>ek körében végzett populációs farmakokinetikai elemzés eredményei általánosságban azonosak voltak a</w:t>
      </w:r>
      <w:r w:rsidR="009F3769" w:rsidRPr="00F7245E">
        <w:rPr>
          <w:rFonts w:cs="Times New Roman"/>
        </w:rPr>
        <w:t>z I</w:t>
      </w:r>
      <w:r w:rsidR="0017716B" w:rsidRPr="00F7245E">
        <w:rPr>
          <w:rFonts w:cs="Times New Roman"/>
        </w:rPr>
        <w:t>.</w:t>
      </w:r>
      <w:r w:rsidR="009F3769" w:rsidRPr="00F7245E">
        <w:rPr>
          <w:rFonts w:cs="Times New Roman"/>
        </w:rPr>
        <w:t xml:space="preserve"> fázisú</w:t>
      </w:r>
      <w:r w:rsidRPr="00F7245E">
        <w:rPr>
          <w:rFonts w:cs="Times New Roman"/>
        </w:rPr>
        <w:t xml:space="preserve"> vizsgálat eredményeivel.</w:t>
      </w:r>
    </w:p>
    <w:p w14:paraId="20EE7775" w14:textId="77777777" w:rsidR="00B62AE4" w:rsidRPr="00F7245E" w:rsidRDefault="00B62AE4" w:rsidP="00A21724">
      <w:pPr>
        <w:pStyle w:val="Nincstrkz"/>
        <w:rPr>
          <w:rFonts w:cs="Times New Roman"/>
        </w:rPr>
      </w:pPr>
    </w:p>
    <w:p w14:paraId="3C8D529F" w14:textId="77777777" w:rsidR="001F3456" w:rsidRPr="00F7245E" w:rsidRDefault="001F3456" w:rsidP="001F3456">
      <w:pPr>
        <w:adjustRightInd w:val="0"/>
        <w:rPr>
          <w:iCs/>
        </w:rPr>
      </w:pPr>
      <w:r w:rsidRPr="00F7245E">
        <w:rPr>
          <w:iCs/>
        </w:rPr>
        <w:t>A farmakokinetikai tulajdonságokat nem vizsgálták az etnikai hovatartozással és a rasszal összefüggésben a gyermekeknél és serdülőknél.</w:t>
      </w:r>
    </w:p>
    <w:p w14:paraId="2D583E24" w14:textId="77777777" w:rsidR="001F3456" w:rsidRPr="00F7245E" w:rsidRDefault="001F3456" w:rsidP="00A21724">
      <w:pPr>
        <w:pStyle w:val="Nincstrkz"/>
        <w:rPr>
          <w:rFonts w:cs="Times New Roman"/>
        </w:rPr>
      </w:pPr>
    </w:p>
    <w:p w14:paraId="776982F7" w14:textId="77777777" w:rsidR="00B62AE4" w:rsidRPr="00F7245E" w:rsidRDefault="00B62AE4" w:rsidP="00A21724">
      <w:pPr>
        <w:pStyle w:val="Nincstrkz"/>
        <w:rPr>
          <w:rFonts w:cs="Times New Roman"/>
          <w:u w:val="single"/>
        </w:rPr>
      </w:pPr>
      <w:r w:rsidRPr="00F7245E">
        <w:rPr>
          <w:rFonts w:cs="Times New Roman"/>
          <w:u w:val="single"/>
        </w:rPr>
        <w:t>Testtömeg</w:t>
      </w:r>
    </w:p>
    <w:p w14:paraId="359B0397" w14:textId="77777777" w:rsidR="001F3456" w:rsidRPr="00F7245E" w:rsidRDefault="001F3456" w:rsidP="00A21724">
      <w:pPr>
        <w:pStyle w:val="Nincstrkz"/>
        <w:rPr>
          <w:rFonts w:cs="Times New Roman"/>
          <w:u w:val="single"/>
        </w:rPr>
      </w:pPr>
    </w:p>
    <w:p w14:paraId="25D2382A" w14:textId="02DB8200" w:rsidR="00B62AE4" w:rsidRPr="00F7245E" w:rsidRDefault="00B62AE4" w:rsidP="00A21724">
      <w:pPr>
        <w:pStyle w:val="Nincstrkz"/>
        <w:rPr>
          <w:rFonts w:cs="Times New Roman"/>
        </w:rPr>
      </w:pPr>
      <w:r w:rsidRPr="00F7245E">
        <w:rPr>
          <w:rFonts w:cs="Times New Roman"/>
        </w:rPr>
        <w:t>A 65-85</w:t>
      </w:r>
      <w:r w:rsidR="00B75CD6" w:rsidRPr="00F7245E">
        <w:rPr>
          <w:rFonts w:cs="Times New Roman"/>
        </w:rPr>
        <w:t> kg</w:t>
      </w:r>
      <w:r w:rsidRPr="00F7245E">
        <w:rPr>
          <w:rFonts w:cs="Times New Roman"/>
        </w:rPr>
        <w:t xml:space="preserve"> testtömegű</w:t>
      </w:r>
      <w:r w:rsidR="00A1416D" w:rsidRPr="00F7245E">
        <w:rPr>
          <w:rFonts w:cs="Times New Roman"/>
        </w:rPr>
        <w:t> beteg</w:t>
      </w:r>
      <w:r w:rsidRPr="00F7245E">
        <w:rPr>
          <w:rFonts w:cs="Times New Roman"/>
        </w:rPr>
        <w:t xml:space="preserve">eknél tapasztalt </w:t>
      </w:r>
      <w:r w:rsidR="002C0B56" w:rsidRPr="00F7245E">
        <w:rPr>
          <w:rFonts w:cs="Times New Roman"/>
        </w:rPr>
        <w:t>apixabán</w:t>
      </w:r>
      <w:r w:rsidRPr="00F7245E">
        <w:rPr>
          <w:rFonts w:cs="Times New Roman"/>
        </w:rPr>
        <w:t>-expozícióhoz képest, a 120</w:t>
      </w:r>
      <w:r w:rsidR="00B75CD6" w:rsidRPr="00F7245E">
        <w:rPr>
          <w:rFonts w:cs="Times New Roman"/>
        </w:rPr>
        <w:t> kg</w:t>
      </w:r>
      <w:r w:rsidR="00430FA3" w:rsidRPr="00F7245E">
        <w:rPr>
          <w:rFonts w:cs="Times New Roman"/>
        </w:rPr>
        <w:noBreakHyphen/>
      </w:r>
      <w:r w:rsidRPr="00F7245E">
        <w:rPr>
          <w:rFonts w:cs="Times New Roman"/>
        </w:rPr>
        <w:t>nál nagyobb testtömeg körülbelül 30%</w:t>
      </w:r>
      <w:r w:rsidR="00430FA3" w:rsidRPr="00F7245E">
        <w:rPr>
          <w:rFonts w:cs="Times New Roman"/>
        </w:rPr>
        <w:noBreakHyphen/>
      </w:r>
      <w:r w:rsidRPr="00F7245E">
        <w:rPr>
          <w:rFonts w:cs="Times New Roman"/>
        </w:rPr>
        <w:t>kal alacsonyabb, míg az 50</w:t>
      </w:r>
      <w:r w:rsidR="00B75CD6" w:rsidRPr="00F7245E">
        <w:rPr>
          <w:rFonts w:cs="Times New Roman"/>
        </w:rPr>
        <w:t> kg</w:t>
      </w:r>
      <w:r w:rsidR="00430FA3" w:rsidRPr="00F7245E">
        <w:rPr>
          <w:rFonts w:cs="Times New Roman"/>
        </w:rPr>
        <w:noBreakHyphen/>
      </w:r>
      <w:r w:rsidRPr="00F7245E">
        <w:rPr>
          <w:rFonts w:cs="Times New Roman"/>
        </w:rPr>
        <w:t>nál kisebb testtömeg körülbelül 30%</w:t>
      </w:r>
      <w:r w:rsidR="00430FA3" w:rsidRPr="00F7245E">
        <w:rPr>
          <w:rFonts w:cs="Times New Roman"/>
        </w:rPr>
        <w:noBreakHyphen/>
      </w:r>
      <w:r w:rsidRPr="00F7245E">
        <w:rPr>
          <w:rFonts w:cs="Times New Roman"/>
        </w:rPr>
        <w:t>kal magasabb expozíciót eredményezett.</w:t>
      </w:r>
    </w:p>
    <w:p w14:paraId="0CC1759C" w14:textId="77777777" w:rsidR="00B62AE4" w:rsidRPr="00F7245E" w:rsidRDefault="00B62AE4" w:rsidP="00A21724">
      <w:pPr>
        <w:pStyle w:val="Nincstrkz"/>
        <w:rPr>
          <w:rFonts w:cs="Times New Roman"/>
        </w:rPr>
      </w:pPr>
    </w:p>
    <w:p w14:paraId="14021015" w14:textId="77777777" w:rsidR="001F3456" w:rsidRPr="00F7245E" w:rsidRDefault="001F3456" w:rsidP="001F3456">
      <w:pPr>
        <w:keepNext/>
        <w:keepLines/>
        <w:adjustRightInd w:val="0"/>
        <w:ind w:right="336"/>
      </w:pPr>
      <w:r w:rsidRPr="00F7245E">
        <w:rPr>
          <w:noProof/>
        </w:rPr>
        <w:t xml:space="preserve">Az apixabán gyermekeknél és serdülőknél történő alkalmazása a </w:t>
      </w:r>
      <w:r w:rsidRPr="00F7245E">
        <w:t>testtömeg alapján meghatározott fix dózison alapul.</w:t>
      </w:r>
    </w:p>
    <w:p w14:paraId="49311ABD" w14:textId="77777777" w:rsidR="001F3456" w:rsidRPr="00F7245E" w:rsidRDefault="001F3456" w:rsidP="00A21724">
      <w:pPr>
        <w:pStyle w:val="Nincstrkz"/>
        <w:rPr>
          <w:rFonts w:cs="Times New Roman"/>
        </w:rPr>
      </w:pPr>
    </w:p>
    <w:p w14:paraId="74C986AF" w14:textId="29B7F599" w:rsidR="00B62AE4" w:rsidRPr="00F7245E" w:rsidRDefault="00430FA3" w:rsidP="00A21724">
      <w:pPr>
        <w:pStyle w:val="Nincstrkz"/>
        <w:rPr>
          <w:rFonts w:cs="Times New Roman"/>
          <w:u w:val="single"/>
        </w:rPr>
      </w:pPr>
      <w:r w:rsidRPr="00F7245E">
        <w:rPr>
          <w:rFonts w:cs="Times New Roman"/>
          <w:u w:val="single"/>
        </w:rPr>
        <w:t>F</w:t>
      </w:r>
      <w:r w:rsidR="00B62AE4" w:rsidRPr="00F7245E">
        <w:rPr>
          <w:rFonts w:cs="Times New Roman"/>
          <w:u w:val="single"/>
        </w:rPr>
        <w:t>armakokinetikai/farmakodinámiás összefüggés</w:t>
      </w:r>
    </w:p>
    <w:p w14:paraId="1ABCAC1C" w14:textId="77777777" w:rsidR="001F3456" w:rsidRPr="00F7245E" w:rsidRDefault="001F3456" w:rsidP="00A21724">
      <w:pPr>
        <w:pStyle w:val="Nincstrkz"/>
        <w:rPr>
          <w:rFonts w:cs="Times New Roman"/>
          <w:u w:val="single"/>
        </w:rPr>
      </w:pPr>
    </w:p>
    <w:p w14:paraId="3D7BE0E3" w14:textId="151EF9C9" w:rsidR="00B62AE4" w:rsidRPr="00F7245E" w:rsidRDefault="00B62AE4" w:rsidP="00A21724">
      <w:pPr>
        <w:pStyle w:val="Nincstrkz"/>
        <w:rPr>
          <w:rFonts w:cs="Times New Roman"/>
        </w:rPr>
      </w:pPr>
      <w:r w:rsidRPr="00F7245E">
        <w:rPr>
          <w:rFonts w:cs="Times New Roman"/>
        </w:rPr>
        <w:t xml:space="preserve">Az </w:t>
      </w:r>
      <w:r w:rsidR="00CA2919" w:rsidRPr="00F7245E">
        <w:rPr>
          <w:rFonts w:cs="Times New Roman"/>
        </w:rPr>
        <w:t xml:space="preserve">apixabán </w:t>
      </w:r>
      <w:r w:rsidRPr="00F7245E">
        <w:rPr>
          <w:rFonts w:cs="Times New Roman"/>
        </w:rPr>
        <w:t>plazmakoncentrációja és különböző farmakodinámiás (</w:t>
      </w:r>
      <w:r w:rsidR="00C175EC" w:rsidRPr="00F7245E">
        <w:rPr>
          <w:rFonts w:cs="Times New Roman"/>
        </w:rPr>
        <w:t>P</w:t>
      </w:r>
      <w:r w:rsidRPr="00F7245E">
        <w:rPr>
          <w:rFonts w:cs="Times New Roman"/>
        </w:rPr>
        <w:t>D) végpontok (Xa faktor-ellen</w:t>
      </w:r>
      <w:r w:rsidR="00430FA3" w:rsidRPr="00F7245E">
        <w:rPr>
          <w:rFonts w:cs="Times New Roman"/>
        </w:rPr>
        <w:t>i</w:t>
      </w:r>
      <w:r w:rsidRPr="00F7245E">
        <w:rPr>
          <w:rFonts w:cs="Times New Roman"/>
        </w:rPr>
        <w:t xml:space="preserve"> aktivitás, INR, PI, aPTI) farmakokinetikai/farmakodinámiás (</w:t>
      </w:r>
      <w:r w:rsidR="00C175EC" w:rsidRPr="00F7245E">
        <w:rPr>
          <w:rFonts w:cs="Times New Roman"/>
        </w:rPr>
        <w:t>P</w:t>
      </w:r>
      <w:r w:rsidRPr="00F7245E">
        <w:rPr>
          <w:rFonts w:cs="Times New Roman"/>
        </w:rPr>
        <w:t>K/</w:t>
      </w:r>
      <w:r w:rsidR="00C175EC" w:rsidRPr="00F7245E">
        <w:rPr>
          <w:rFonts w:cs="Times New Roman"/>
        </w:rPr>
        <w:t>P</w:t>
      </w:r>
      <w:r w:rsidRPr="00F7245E">
        <w:rPr>
          <w:rFonts w:cs="Times New Roman"/>
        </w:rPr>
        <w:t>D) összefüggéseit széles tartományt felölelő adagok (0,5-50</w:t>
      </w:r>
      <w:r w:rsidR="004C106B" w:rsidRPr="00F7245E">
        <w:rPr>
          <w:rFonts w:cs="Times New Roman"/>
        </w:rPr>
        <w:t> mg</w:t>
      </w:r>
      <w:r w:rsidRPr="00F7245E">
        <w:rPr>
          <w:rFonts w:cs="Times New Roman"/>
        </w:rPr>
        <w:t>) beadását követően vizsgálták</w:t>
      </w:r>
      <w:r w:rsidR="00537837">
        <w:rPr>
          <w:rFonts w:cs="Times New Roman"/>
        </w:rPr>
        <w:t xml:space="preserve"> felnőtteknél</w:t>
      </w:r>
      <w:r w:rsidRPr="00F7245E">
        <w:rPr>
          <w:rFonts w:cs="Times New Roman"/>
        </w:rPr>
        <w:t xml:space="preserve">. Az </w:t>
      </w:r>
      <w:r w:rsidR="00CA2919" w:rsidRPr="00F7245E">
        <w:rPr>
          <w:rFonts w:cs="Times New Roman"/>
        </w:rPr>
        <w:t xml:space="preserve">apixabán </w:t>
      </w:r>
      <w:r w:rsidRPr="00F7245E">
        <w:rPr>
          <w:rFonts w:cs="Times New Roman"/>
        </w:rPr>
        <w:t>plazmakoncentrációja és a</w:t>
      </w:r>
      <w:r w:rsidR="009F3769" w:rsidRPr="00F7245E">
        <w:rPr>
          <w:rFonts w:cs="Times New Roman"/>
        </w:rPr>
        <w:t xml:space="preserve"> </w:t>
      </w:r>
      <w:r w:rsidRPr="00F7245E">
        <w:rPr>
          <w:rFonts w:cs="Times New Roman"/>
        </w:rPr>
        <w:t>Xa faktor-ellenes aktivitása közötti kapcsolat legjobban egy lineáris modellel írható le. A</w:t>
      </w:r>
      <w:r w:rsidR="00430FA3" w:rsidRPr="00F7245E">
        <w:rPr>
          <w:rFonts w:cs="Times New Roman"/>
        </w:rPr>
        <w:t xml:space="preserve"> </w:t>
      </w:r>
      <w:r w:rsidR="00A1416D" w:rsidRPr="00F7245E">
        <w:rPr>
          <w:rFonts w:cs="Times New Roman"/>
        </w:rPr>
        <w:t>beteg</w:t>
      </w:r>
      <w:r w:rsidRPr="00F7245E">
        <w:rPr>
          <w:rFonts w:cs="Times New Roman"/>
        </w:rPr>
        <w:t xml:space="preserve">eknél észlelt </w:t>
      </w:r>
      <w:r w:rsidR="00430FA3" w:rsidRPr="00F7245E">
        <w:rPr>
          <w:rFonts w:cs="Times New Roman"/>
        </w:rPr>
        <w:t>farmakokinetikai/farmakodinámiás</w:t>
      </w:r>
      <w:r w:rsidR="00430FA3" w:rsidRPr="00F7245E">
        <w:rPr>
          <w:rFonts w:cs="Times New Roman"/>
          <w:u w:val="single"/>
        </w:rPr>
        <w:t xml:space="preserve"> </w:t>
      </w:r>
      <w:r w:rsidRPr="00F7245E">
        <w:rPr>
          <w:rFonts w:cs="Times New Roman"/>
        </w:rPr>
        <w:t>összefüggés az egészséges alanyoknál tapasztalttal azonos volt.</w:t>
      </w:r>
    </w:p>
    <w:p w14:paraId="546F3E27" w14:textId="77777777" w:rsidR="00B62AE4" w:rsidRPr="00F7245E" w:rsidRDefault="00B62AE4" w:rsidP="00A21724">
      <w:pPr>
        <w:pStyle w:val="Nincstrkz"/>
        <w:rPr>
          <w:rFonts w:cs="Times New Roman"/>
        </w:rPr>
      </w:pPr>
    </w:p>
    <w:p w14:paraId="1BA5C9D3" w14:textId="77777777" w:rsidR="001F3456" w:rsidRPr="00F7245E" w:rsidRDefault="001F3456" w:rsidP="001F3456">
      <w:pPr>
        <w:adjustRightInd w:val="0"/>
        <w:rPr>
          <w:iCs/>
        </w:rPr>
      </w:pPr>
      <w:r w:rsidRPr="00F7245E">
        <w:rPr>
          <w:iCs/>
        </w:rPr>
        <w:t>Hasonlóképpen, a gyermekeknél és serdülőknél végzett FK/FD felmérés lineáris összefüggést mutatott az apixabán koncentrációja és az AXA között. Ez konzisztens a korábban felnőtteknél dokumentált összefüggéssel.</w:t>
      </w:r>
    </w:p>
    <w:p w14:paraId="3DA686A4" w14:textId="77777777" w:rsidR="001F3456" w:rsidRPr="00F7245E" w:rsidRDefault="001F3456" w:rsidP="00A21724">
      <w:pPr>
        <w:pStyle w:val="Nincstrkz"/>
        <w:rPr>
          <w:rFonts w:cs="Times New Roman"/>
        </w:rPr>
      </w:pPr>
    </w:p>
    <w:p w14:paraId="4AB04844" w14:textId="0CF6193E" w:rsidR="00B62AE4" w:rsidRPr="00F7245E" w:rsidRDefault="0077456F" w:rsidP="00A21724">
      <w:pPr>
        <w:pStyle w:val="Nincstrkz"/>
        <w:tabs>
          <w:tab w:val="left" w:pos="567"/>
        </w:tabs>
        <w:rPr>
          <w:rFonts w:cs="Times New Roman"/>
          <w:b/>
          <w:bCs/>
        </w:rPr>
      </w:pPr>
      <w:r w:rsidRPr="00F7245E">
        <w:rPr>
          <w:rFonts w:cs="Times New Roman"/>
          <w:b/>
          <w:bCs/>
          <w:w w:val="105"/>
        </w:rPr>
        <w:t>5.3</w:t>
      </w:r>
      <w:r w:rsidRPr="00F7245E">
        <w:rPr>
          <w:rFonts w:cs="Times New Roman"/>
          <w:b/>
          <w:bCs/>
          <w:w w:val="105"/>
        </w:rPr>
        <w:tab/>
      </w:r>
      <w:r w:rsidR="00B62AE4" w:rsidRPr="00F7245E">
        <w:rPr>
          <w:rFonts w:cs="Times New Roman"/>
          <w:b/>
          <w:bCs/>
          <w:w w:val="105"/>
        </w:rPr>
        <w:t>A preklinikai biztonságossági vizsgálatok</w:t>
      </w:r>
      <w:r w:rsidR="00B62AE4" w:rsidRPr="00F7245E">
        <w:rPr>
          <w:rFonts w:cs="Times New Roman"/>
          <w:b/>
          <w:bCs/>
          <w:spacing w:val="-6"/>
          <w:w w:val="105"/>
        </w:rPr>
        <w:t xml:space="preserve"> </w:t>
      </w:r>
      <w:r w:rsidR="00B62AE4" w:rsidRPr="00F7245E">
        <w:rPr>
          <w:rFonts w:cs="Times New Roman"/>
          <w:b/>
          <w:bCs/>
          <w:w w:val="105"/>
        </w:rPr>
        <w:t>eredményei</w:t>
      </w:r>
    </w:p>
    <w:p w14:paraId="67D13A55" w14:textId="77777777" w:rsidR="00B62AE4" w:rsidRPr="00F7245E" w:rsidRDefault="00B62AE4" w:rsidP="00A21724">
      <w:pPr>
        <w:pStyle w:val="Nincstrkz"/>
        <w:rPr>
          <w:rFonts w:cs="Times New Roman"/>
        </w:rPr>
      </w:pPr>
    </w:p>
    <w:p w14:paraId="60B7C2B7" w14:textId="044CE8F5" w:rsidR="00B62AE4" w:rsidRPr="00F7245E" w:rsidRDefault="00B62AE4" w:rsidP="00A21724">
      <w:pPr>
        <w:pStyle w:val="Nincstrkz"/>
        <w:rPr>
          <w:rFonts w:cs="Times New Roman"/>
        </w:rPr>
      </w:pPr>
      <w:r w:rsidRPr="00F7245E">
        <w:rPr>
          <w:rFonts w:cs="Times New Roman"/>
        </w:rPr>
        <w:t>A hagyományos – farmakológiai biztonságossági, ismételt dózistoxicitási, genotoxicitási, karcinogenitási, reprodukci</w:t>
      </w:r>
      <w:r w:rsidR="0071046D" w:rsidRPr="00F7245E">
        <w:rPr>
          <w:rFonts w:cs="Times New Roman"/>
        </w:rPr>
        <w:t>ór</w:t>
      </w:r>
      <w:r w:rsidRPr="00F7245E">
        <w:rPr>
          <w:rFonts w:cs="Times New Roman"/>
        </w:rPr>
        <w:t>a- és embrio-foetalis fejlődésre kifejtett és juvenilis toxicitási – vizsgálatokból származó preklinikai jellegű adatok azt igazolták, hogy a készítmény alkalmazásakor humán vonatkozásban különleges kockázat nem várható.</w:t>
      </w:r>
    </w:p>
    <w:p w14:paraId="04B5DFA5" w14:textId="77777777" w:rsidR="00B62AE4" w:rsidRPr="00F7245E" w:rsidRDefault="00B62AE4" w:rsidP="00A21724">
      <w:pPr>
        <w:pStyle w:val="Nincstrkz"/>
        <w:rPr>
          <w:rFonts w:cs="Times New Roman"/>
        </w:rPr>
      </w:pPr>
    </w:p>
    <w:p w14:paraId="50516567" w14:textId="0F4965A1" w:rsidR="00B62AE4" w:rsidRPr="00F7245E" w:rsidRDefault="00B62AE4" w:rsidP="00A21724">
      <w:pPr>
        <w:pStyle w:val="Nincstrkz"/>
        <w:rPr>
          <w:rFonts w:cs="Times New Roman"/>
        </w:rPr>
      </w:pPr>
      <w:r w:rsidRPr="00F7245E">
        <w:rPr>
          <w:rFonts w:cs="Times New Roman"/>
        </w:rPr>
        <w:t xml:space="preserve">Az ismételt dózistoxicitási vizsgálatok során megfigyelt jelentősebb hatások az </w:t>
      </w:r>
      <w:r w:rsidR="00CA2919" w:rsidRPr="00F7245E">
        <w:rPr>
          <w:rFonts w:cs="Times New Roman"/>
        </w:rPr>
        <w:t xml:space="preserve">apixabán </w:t>
      </w:r>
      <w:r w:rsidRPr="00F7245E">
        <w:rPr>
          <w:rFonts w:cs="Times New Roman"/>
        </w:rPr>
        <w:t>véralvadásgátlási paraméterekre gyakorolt farmakodinámiás hatásával voltak összefüggésben. A toxicitási vizsgálatokban a vérzési hajlam nem változott, vagy csak kis mértékben növekedett. Mivel ez a nem klinikai vizsgálatokhoz használt fajok emberekhez képest kisebb fokú érzékenységével magyarázható, ezt az eredményt az emberekre történő extrapoláláskor óvatosan kell interpretálni.</w:t>
      </w:r>
    </w:p>
    <w:p w14:paraId="0DCC91DB" w14:textId="7C043328" w:rsidR="00517F25" w:rsidRPr="00F7245E" w:rsidRDefault="00517F25" w:rsidP="00A21724">
      <w:pPr>
        <w:pStyle w:val="Nincstrkz"/>
        <w:rPr>
          <w:rFonts w:cs="Times New Roman"/>
        </w:rPr>
      </w:pPr>
    </w:p>
    <w:p w14:paraId="7BD6563D" w14:textId="77777777" w:rsidR="00A82F5D" w:rsidRPr="00F7245E" w:rsidRDefault="00A82F5D" w:rsidP="00A82F5D">
      <w:pPr>
        <w:rPr>
          <w:lang w:eastAsia="en-US" w:bidi="ar-SA"/>
        </w:rPr>
      </w:pPr>
      <w:r w:rsidRPr="00F7245E">
        <w:rPr>
          <w:lang w:eastAsia="en-US" w:bidi="ar-SA"/>
        </w:rPr>
        <w:t>Patkányok anyatejében – feltehetően a tejbe történő aktív transzportnak köszönhetően – magas tej/maternális plazma-arányt találtak (C</w:t>
      </w:r>
      <w:r w:rsidRPr="00F7245E">
        <w:rPr>
          <w:vertAlign w:val="subscript"/>
          <w:lang w:eastAsia="en-US" w:bidi="ar-SA"/>
        </w:rPr>
        <w:t>max</w:t>
      </w:r>
      <w:r w:rsidRPr="00F7245E">
        <w:rPr>
          <w:lang w:eastAsia="en-US" w:bidi="ar-SA"/>
        </w:rPr>
        <w:t>-érték kb. 8, AUC-érték kb. 30).</w:t>
      </w:r>
    </w:p>
    <w:p w14:paraId="5DABFD8D" w14:textId="77777777" w:rsidR="00B62AE4" w:rsidRPr="00F7245E" w:rsidRDefault="00B62AE4" w:rsidP="00A21724">
      <w:pPr>
        <w:pStyle w:val="Nincstrkz"/>
        <w:rPr>
          <w:rFonts w:cs="Times New Roman"/>
        </w:rPr>
      </w:pPr>
    </w:p>
    <w:p w14:paraId="2A2B01F6" w14:textId="77777777" w:rsidR="00B62AE4" w:rsidRPr="00F7245E" w:rsidRDefault="00B62AE4" w:rsidP="00A21724">
      <w:pPr>
        <w:pStyle w:val="Nincstrkz"/>
        <w:rPr>
          <w:rFonts w:cs="Times New Roman"/>
        </w:rPr>
      </w:pPr>
    </w:p>
    <w:p w14:paraId="4EF6F7E2" w14:textId="569E8A87" w:rsidR="00B62AE4" w:rsidRPr="00F7245E" w:rsidRDefault="0077456F" w:rsidP="00A21724">
      <w:pPr>
        <w:pStyle w:val="Nincstrkz"/>
        <w:tabs>
          <w:tab w:val="left" w:pos="567"/>
        </w:tabs>
        <w:rPr>
          <w:rFonts w:cs="Times New Roman"/>
          <w:b/>
          <w:bCs/>
        </w:rPr>
      </w:pPr>
      <w:r w:rsidRPr="00F7245E">
        <w:rPr>
          <w:rFonts w:cs="Times New Roman"/>
          <w:b/>
          <w:bCs/>
          <w:w w:val="105"/>
        </w:rPr>
        <w:t>6.</w:t>
      </w:r>
      <w:r w:rsidRPr="00F7245E">
        <w:rPr>
          <w:rFonts w:cs="Times New Roman"/>
          <w:b/>
          <w:bCs/>
          <w:w w:val="105"/>
        </w:rPr>
        <w:tab/>
      </w:r>
      <w:r w:rsidR="00B62AE4" w:rsidRPr="00F7245E">
        <w:rPr>
          <w:rFonts w:cs="Times New Roman"/>
          <w:b/>
          <w:bCs/>
          <w:w w:val="105"/>
        </w:rPr>
        <w:t>GYÓGYSZERÉSZETI</w:t>
      </w:r>
      <w:r w:rsidR="00B62AE4" w:rsidRPr="00F7245E">
        <w:rPr>
          <w:rFonts w:cs="Times New Roman"/>
          <w:b/>
          <w:bCs/>
          <w:spacing w:val="-2"/>
          <w:w w:val="105"/>
        </w:rPr>
        <w:t xml:space="preserve"> </w:t>
      </w:r>
      <w:r w:rsidR="00B62AE4" w:rsidRPr="00F7245E">
        <w:rPr>
          <w:rFonts w:cs="Times New Roman"/>
          <w:b/>
          <w:bCs/>
          <w:w w:val="105"/>
        </w:rPr>
        <w:t>JELLEMZŐK</w:t>
      </w:r>
    </w:p>
    <w:p w14:paraId="739077CF" w14:textId="77777777" w:rsidR="00B62AE4" w:rsidRPr="00F7245E" w:rsidRDefault="00B62AE4" w:rsidP="00A21724">
      <w:pPr>
        <w:pStyle w:val="Nincstrkz"/>
        <w:rPr>
          <w:rFonts w:cs="Times New Roman"/>
          <w:bCs/>
        </w:rPr>
      </w:pPr>
    </w:p>
    <w:p w14:paraId="085130D2" w14:textId="4C507626" w:rsidR="00B62AE4" w:rsidRPr="00F7245E" w:rsidRDefault="0077456F" w:rsidP="00A21724">
      <w:pPr>
        <w:pStyle w:val="Nincstrkz"/>
        <w:tabs>
          <w:tab w:val="left" w:pos="567"/>
        </w:tabs>
        <w:rPr>
          <w:rFonts w:cs="Times New Roman"/>
          <w:b/>
        </w:rPr>
      </w:pPr>
      <w:r w:rsidRPr="00F7245E">
        <w:rPr>
          <w:rFonts w:cs="Times New Roman"/>
          <w:b/>
          <w:w w:val="105"/>
        </w:rPr>
        <w:t>6.1</w:t>
      </w:r>
      <w:r w:rsidRPr="00F7245E">
        <w:rPr>
          <w:rFonts w:cs="Times New Roman"/>
          <w:b/>
          <w:w w:val="105"/>
        </w:rPr>
        <w:tab/>
      </w:r>
      <w:r w:rsidR="00B62AE4" w:rsidRPr="00F7245E">
        <w:rPr>
          <w:rFonts w:cs="Times New Roman"/>
          <w:b/>
          <w:w w:val="105"/>
        </w:rPr>
        <w:t>Segédanyagok</w:t>
      </w:r>
      <w:r w:rsidR="00B62AE4" w:rsidRPr="00F7245E">
        <w:rPr>
          <w:rFonts w:cs="Times New Roman"/>
          <w:b/>
          <w:spacing w:val="-1"/>
          <w:w w:val="105"/>
        </w:rPr>
        <w:t xml:space="preserve"> </w:t>
      </w:r>
      <w:r w:rsidR="00B62AE4" w:rsidRPr="00F7245E">
        <w:rPr>
          <w:rFonts w:cs="Times New Roman"/>
          <w:b/>
          <w:w w:val="105"/>
        </w:rPr>
        <w:t>felsorolása</w:t>
      </w:r>
    </w:p>
    <w:p w14:paraId="2DCA9C11" w14:textId="77777777" w:rsidR="00B62AE4" w:rsidRPr="00F7245E" w:rsidRDefault="00B62AE4" w:rsidP="00A21724">
      <w:pPr>
        <w:pStyle w:val="Nincstrkz"/>
        <w:rPr>
          <w:rFonts w:cs="Times New Roman"/>
        </w:rPr>
      </w:pPr>
    </w:p>
    <w:p w14:paraId="50D1FF5B" w14:textId="77777777" w:rsidR="00B62AE4" w:rsidRPr="00F7245E" w:rsidRDefault="00B62AE4" w:rsidP="00A21724">
      <w:pPr>
        <w:pStyle w:val="Nincstrkz"/>
        <w:rPr>
          <w:rFonts w:cs="Times New Roman"/>
        </w:rPr>
      </w:pPr>
      <w:r w:rsidRPr="00F7245E">
        <w:rPr>
          <w:rFonts w:cs="Times New Roman"/>
          <w:w w:val="105"/>
          <w:u w:val="single"/>
        </w:rPr>
        <w:t>Tablettamag</w:t>
      </w:r>
      <w:r w:rsidRPr="00F7245E">
        <w:rPr>
          <w:rFonts w:cs="Times New Roman"/>
          <w:w w:val="105"/>
        </w:rPr>
        <w:t>:</w:t>
      </w:r>
    </w:p>
    <w:p w14:paraId="55B2306A" w14:textId="67965B7E" w:rsidR="00963A3B" w:rsidRPr="00F7245E" w:rsidRDefault="00963A3B" w:rsidP="00A21724">
      <w:pPr>
        <w:pStyle w:val="Nincstrkz"/>
        <w:rPr>
          <w:rFonts w:cs="Times New Roman"/>
        </w:rPr>
      </w:pPr>
      <w:r w:rsidRPr="00F7245E">
        <w:rPr>
          <w:rFonts w:cs="Times New Roman"/>
        </w:rPr>
        <w:t>laktóz</w:t>
      </w:r>
      <w:r w:rsidR="00912933" w:rsidRPr="00F7245E">
        <w:rPr>
          <w:rFonts w:cs="Times New Roman"/>
        </w:rPr>
        <w:t>-monohidrát</w:t>
      </w:r>
      <w:r w:rsidRPr="00F7245E">
        <w:rPr>
          <w:rFonts w:cs="Times New Roman"/>
        </w:rPr>
        <w:t xml:space="preserve"> </w:t>
      </w:r>
    </w:p>
    <w:p w14:paraId="2FF82BF9" w14:textId="17AD3574" w:rsidR="00963A3B" w:rsidRPr="00F7245E" w:rsidRDefault="00963A3B" w:rsidP="00A21724">
      <w:pPr>
        <w:pStyle w:val="Nincstrkz"/>
        <w:rPr>
          <w:rFonts w:cs="Times New Roman"/>
        </w:rPr>
      </w:pPr>
      <w:r w:rsidRPr="00F7245E">
        <w:rPr>
          <w:rFonts w:cs="Times New Roman"/>
        </w:rPr>
        <w:t xml:space="preserve">mikrokristályos cellulóz </w:t>
      </w:r>
      <w:r w:rsidR="00517F25" w:rsidRPr="00F7245E">
        <w:rPr>
          <w:rFonts w:cs="Times New Roman"/>
        </w:rPr>
        <w:t>(E460)</w:t>
      </w:r>
    </w:p>
    <w:p w14:paraId="5EBBC4A6" w14:textId="020E3976" w:rsidR="00963A3B" w:rsidRPr="00F7245E" w:rsidRDefault="00963A3B" w:rsidP="00A21724">
      <w:pPr>
        <w:pStyle w:val="Nincstrkz"/>
        <w:rPr>
          <w:rFonts w:cs="Times New Roman"/>
        </w:rPr>
      </w:pPr>
      <w:r w:rsidRPr="00F7245E">
        <w:rPr>
          <w:rFonts w:cs="Times New Roman"/>
        </w:rPr>
        <w:t>kroszkarmellóz</w:t>
      </w:r>
      <w:r w:rsidRPr="00F7245E">
        <w:rPr>
          <w:rFonts w:cs="Times New Roman"/>
        </w:rPr>
        <w:noBreakHyphen/>
        <w:t xml:space="preserve">nátrium </w:t>
      </w:r>
    </w:p>
    <w:p w14:paraId="6474024C" w14:textId="3162B412" w:rsidR="00963A3B" w:rsidRPr="00F7245E" w:rsidRDefault="00963A3B" w:rsidP="00A21724">
      <w:pPr>
        <w:pStyle w:val="Nincstrkz"/>
        <w:rPr>
          <w:rFonts w:cs="Times New Roman"/>
        </w:rPr>
      </w:pPr>
      <w:r w:rsidRPr="00F7245E">
        <w:rPr>
          <w:rFonts w:cs="Times New Roman"/>
        </w:rPr>
        <w:t>nátrium</w:t>
      </w:r>
      <w:r w:rsidRPr="00F7245E">
        <w:rPr>
          <w:rFonts w:cs="Times New Roman"/>
        </w:rPr>
        <w:noBreakHyphen/>
        <w:t>lauril</w:t>
      </w:r>
      <w:r w:rsidR="00C175EC" w:rsidRPr="00F7245E">
        <w:rPr>
          <w:rFonts w:cs="Times New Roman"/>
        </w:rPr>
        <w:t>-</w:t>
      </w:r>
      <w:r w:rsidRPr="00F7245E">
        <w:rPr>
          <w:rFonts w:cs="Times New Roman"/>
        </w:rPr>
        <w:t xml:space="preserve">szulfát </w:t>
      </w:r>
    </w:p>
    <w:p w14:paraId="51891053" w14:textId="5B19CC8D" w:rsidR="00963A3B" w:rsidRPr="00F7245E" w:rsidRDefault="00963A3B" w:rsidP="00A21724">
      <w:pPr>
        <w:pStyle w:val="Nincstrkz"/>
        <w:rPr>
          <w:rFonts w:cs="Times New Roman"/>
        </w:rPr>
      </w:pPr>
      <w:r w:rsidRPr="00F7245E">
        <w:rPr>
          <w:rFonts w:cs="Times New Roman"/>
        </w:rPr>
        <w:t>magnézium</w:t>
      </w:r>
      <w:r w:rsidR="001D2D28" w:rsidRPr="00F7245E">
        <w:rPr>
          <w:rFonts w:cs="Times New Roman"/>
        </w:rPr>
        <w:t>-</w:t>
      </w:r>
      <w:r w:rsidRPr="00F7245E">
        <w:rPr>
          <w:rFonts w:cs="Times New Roman"/>
        </w:rPr>
        <w:t xml:space="preserve">sztearát </w:t>
      </w:r>
      <w:r w:rsidR="00517F25" w:rsidRPr="00F7245E">
        <w:rPr>
          <w:rFonts w:cs="Times New Roman"/>
        </w:rPr>
        <w:t>(E470b)</w:t>
      </w:r>
    </w:p>
    <w:p w14:paraId="2490A73E" w14:textId="77777777" w:rsidR="00B62AE4" w:rsidRPr="00F7245E" w:rsidRDefault="00B62AE4" w:rsidP="00A21724">
      <w:pPr>
        <w:pStyle w:val="Nincstrkz"/>
        <w:rPr>
          <w:rFonts w:cs="Times New Roman"/>
        </w:rPr>
      </w:pPr>
    </w:p>
    <w:p w14:paraId="5C6CB330" w14:textId="77777777" w:rsidR="00B62AE4" w:rsidRPr="00F7245E" w:rsidRDefault="00B62AE4" w:rsidP="00A21724">
      <w:pPr>
        <w:pStyle w:val="Nincstrkz"/>
        <w:rPr>
          <w:rFonts w:cs="Times New Roman"/>
        </w:rPr>
      </w:pPr>
      <w:r w:rsidRPr="00F7245E">
        <w:rPr>
          <w:rFonts w:cs="Times New Roman"/>
          <w:w w:val="105"/>
          <w:u w:val="single"/>
        </w:rPr>
        <w:t>Filmbevonat</w:t>
      </w:r>
      <w:r w:rsidRPr="00F7245E">
        <w:rPr>
          <w:rFonts w:cs="Times New Roman"/>
          <w:w w:val="105"/>
        </w:rPr>
        <w:t>:</w:t>
      </w:r>
    </w:p>
    <w:p w14:paraId="26365848" w14:textId="77777777" w:rsidR="00963A3B" w:rsidRPr="00F7245E" w:rsidRDefault="00B62AE4" w:rsidP="00A21724">
      <w:pPr>
        <w:pStyle w:val="Nincstrkz"/>
        <w:rPr>
          <w:rFonts w:cs="Times New Roman"/>
        </w:rPr>
      </w:pPr>
      <w:r w:rsidRPr="00F7245E">
        <w:rPr>
          <w:rFonts w:cs="Times New Roman"/>
        </w:rPr>
        <w:t xml:space="preserve">laktóz-monohidrát </w:t>
      </w:r>
    </w:p>
    <w:p w14:paraId="3B9BA2F3" w14:textId="77777777" w:rsidR="00963A3B" w:rsidRPr="00F7245E" w:rsidRDefault="00B62AE4" w:rsidP="00A21724">
      <w:pPr>
        <w:pStyle w:val="Nincstrkz"/>
        <w:rPr>
          <w:rFonts w:cs="Times New Roman"/>
        </w:rPr>
      </w:pPr>
      <w:r w:rsidRPr="00F7245E">
        <w:rPr>
          <w:rFonts w:cs="Times New Roman"/>
        </w:rPr>
        <w:t xml:space="preserve">hipromellóz (E464) </w:t>
      </w:r>
    </w:p>
    <w:p w14:paraId="5BE14D55" w14:textId="77777777" w:rsidR="00963A3B" w:rsidRPr="00F7245E" w:rsidRDefault="00B62AE4" w:rsidP="00A21724">
      <w:pPr>
        <w:pStyle w:val="Nincstrkz"/>
        <w:rPr>
          <w:rFonts w:cs="Times New Roman"/>
        </w:rPr>
      </w:pPr>
      <w:r w:rsidRPr="00F7245E">
        <w:rPr>
          <w:rFonts w:cs="Times New Roman"/>
        </w:rPr>
        <w:t xml:space="preserve">titán-dioxid (E171) </w:t>
      </w:r>
    </w:p>
    <w:p w14:paraId="51232515" w14:textId="6D608BAB" w:rsidR="00B62AE4" w:rsidRPr="00F7245E" w:rsidRDefault="00B62AE4" w:rsidP="00A21724">
      <w:pPr>
        <w:pStyle w:val="Nincstrkz"/>
        <w:rPr>
          <w:rFonts w:cs="Times New Roman"/>
        </w:rPr>
      </w:pPr>
      <w:r w:rsidRPr="00F7245E">
        <w:rPr>
          <w:rFonts w:cs="Times New Roman"/>
        </w:rPr>
        <w:t>triacetin</w:t>
      </w:r>
    </w:p>
    <w:p w14:paraId="658F8A9D" w14:textId="1DE5A5C3" w:rsidR="00963A3B" w:rsidRPr="00F7245E" w:rsidRDefault="00963A3B" w:rsidP="00A21724">
      <w:pPr>
        <w:pStyle w:val="Nincstrkz"/>
        <w:rPr>
          <w:rFonts w:cs="Times New Roman"/>
        </w:rPr>
      </w:pPr>
      <w:r w:rsidRPr="00F7245E">
        <w:rPr>
          <w:rFonts w:cs="Times New Roman"/>
        </w:rPr>
        <w:t>vörös vas-oxid (E172)</w:t>
      </w:r>
    </w:p>
    <w:p w14:paraId="13DF242E" w14:textId="77777777" w:rsidR="00B62AE4" w:rsidRPr="00F7245E" w:rsidRDefault="00B62AE4" w:rsidP="00A21724">
      <w:pPr>
        <w:pStyle w:val="Nincstrkz"/>
        <w:rPr>
          <w:rFonts w:cs="Times New Roman"/>
        </w:rPr>
      </w:pPr>
    </w:p>
    <w:p w14:paraId="727BB1E1" w14:textId="13398E06" w:rsidR="00B62AE4" w:rsidRPr="00F7245E" w:rsidRDefault="0077456F" w:rsidP="00A21724">
      <w:pPr>
        <w:pStyle w:val="Nincstrkz"/>
        <w:keepNext/>
        <w:tabs>
          <w:tab w:val="left" w:pos="567"/>
        </w:tabs>
        <w:rPr>
          <w:rFonts w:cs="Times New Roman"/>
          <w:b/>
          <w:bCs/>
        </w:rPr>
      </w:pPr>
      <w:r w:rsidRPr="00F7245E">
        <w:rPr>
          <w:rFonts w:cs="Times New Roman"/>
          <w:b/>
          <w:bCs/>
          <w:w w:val="105"/>
        </w:rPr>
        <w:t>6.2</w:t>
      </w:r>
      <w:r w:rsidRPr="00F7245E">
        <w:rPr>
          <w:rFonts w:cs="Times New Roman"/>
          <w:b/>
          <w:bCs/>
          <w:w w:val="105"/>
        </w:rPr>
        <w:tab/>
      </w:r>
      <w:r w:rsidR="00B62AE4" w:rsidRPr="00F7245E">
        <w:rPr>
          <w:rFonts w:cs="Times New Roman"/>
          <w:b/>
          <w:bCs/>
          <w:w w:val="105"/>
        </w:rPr>
        <w:t>Inkompatibilitások</w:t>
      </w:r>
    </w:p>
    <w:p w14:paraId="0E63F549" w14:textId="77777777" w:rsidR="00B62AE4" w:rsidRPr="00F7245E" w:rsidRDefault="00B62AE4" w:rsidP="00A21724">
      <w:pPr>
        <w:pStyle w:val="Nincstrkz"/>
        <w:keepNext/>
        <w:rPr>
          <w:rFonts w:cs="Times New Roman"/>
          <w:bCs/>
        </w:rPr>
      </w:pPr>
    </w:p>
    <w:p w14:paraId="2BC59E67" w14:textId="77777777" w:rsidR="00B62AE4" w:rsidRPr="00F7245E" w:rsidRDefault="00B62AE4" w:rsidP="00A21724">
      <w:pPr>
        <w:pStyle w:val="Nincstrkz"/>
        <w:keepNext/>
        <w:rPr>
          <w:rFonts w:cs="Times New Roman"/>
        </w:rPr>
      </w:pPr>
      <w:r w:rsidRPr="00F7245E">
        <w:rPr>
          <w:rFonts w:cs="Times New Roman"/>
          <w:w w:val="105"/>
        </w:rPr>
        <w:t>Nem értelmezhető.</w:t>
      </w:r>
    </w:p>
    <w:p w14:paraId="575AA7B0" w14:textId="77777777" w:rsidR="00B62AE4" w:rsidRPr="00F7245E" w:rsidRDefault="00B62AE4" w:rsidP="00A21724">
      <w:pPr>
        <w:pStyle w:val="Nincstrkz"/>
        <w:rPr>
          <w:rFonts w:cs="Times New Roman"/>
        </w:rPr>
      </w:pPr>
    </w:p>
    <w:p w14:paraId="4BDFF5B6" w14:textId="79E1032A" w:rsidR="00B62AE4" w:rsidRPr="00F7245E" w:rsidRDefault="0077456F" w:rsidP="00A21724">
      <w:pPr>
        <w:pStyle w:val="Nincstrkz"/>
        <w:tabs>
          <w:tab w:val="left" w:pos="567"/>
        </w:tabs>
        <w:rPr>
          <w:rFonts w:cs="Times New Roman"/>
          <w:b/>
          <w:bCs/>
        </w:rPr>
      </w:pPr>
      <w:r w:rsidRPr="00F7245E">
        <w:rPr>
          <w:rFonts w:cs="Times New Roman"/>
          <w:b/>
          <w:bCs/>
          <w:w w:val="105"/>
        </w:rPr>
        <w:t>6.3</w:t>
      </w:r>
      <w:r w:rsidRPr="00F7245E">
        <w:rPr>
          <w:rFonts w:cs="Times New Roman"/>
          <w:b/>
          <w:bCs/>
          <w:w w:val="105"/>
        </w:rPr>
        <w:tab/>
      </w:r>
      <w:r w:rsidR="00B62AE4" w:rsidRPr="00F7245E">
        <w:rPr>
          <w:rFonts w:cs="Times New Roman"/>
          <w:b/>
          <w:bCs/>
          <w:w w:val="105"/>
        </w:rPr>
        <w:t>Felhasználhatósági időtartam</w:t>
      </w:r>
    </w:p>
    <w:p w14:paraId="69E21ABC" w14:textId="77777777" w:rsidR="00B62AE4" w:rsidRPr="00F7245E" w:rsidRDefault="00B62AE4" w:rsidP="00A21724">
      <w:pPr>
        <w:pStyle w:val="Nincstrkz"/>
        <w:rPr>
          <w:rFonts w:cs="Times New Roman"/>
          <w:bCs/>
        </w:rPr>
      </w:pPr>
    </w:p>
    <w:p w14:paraId="2988242E" w14:textId="41BBCDD4" w:rsidR="00F12ECE" w:rsidRPr="00F7245E" w:rsidRDefault="00517F25" w:rsidP="00A21724">
      <w:pPr>
        <w:pStyle w:val="Nincstrkz"/>
        <w:rPr>
          <w:rFonts w:cs="Times New Roman"/>
          <w:w w:val="105"/>
        </w:rPr>
      </w:pPr>
      <w:r w:rsidRPr="00F7245E">
        <w:rPr>
          <w:rFonts w:cs="Times New Roman"/>
          <w:w w:val="105"/>
        </w:rPr>
        <w:t>3 év.</w:t>
      </w:r>
    </w:p>
    <w:p w14:paraId="67A00EC1" w14:textId="77777777" w:rsidR="00F12ECE" w:rsidRPr="00F7245E" w:rsidRDefault="00F12ECE" w:rsidP="00A21724">
      <w:pPr>
        <w:pStyle w:val="Nincstrkz"/>
        <w:rPr>
          <w:rFonts w:cs="Times New Roman"/>
          <w:w w:val="105"/>
        </w:rPr>
      </w:pPr>
    </w:p>
    <w:p w14:paraId="2588478F" w14:textId="278740E5" w:rsidR="00B62AE4" w:rsidRPr="00F7245E" w:rsidRDefault="0077456F" w:rsidP="00A21724">
      <w:pPr>
        <w:pStyle w:val="Nincstrkz"/>
        <w:tabs>
          <w:tab w:val="left" w:pos="567"/>
        </w:tabs>
        <w:rPr>
          <w:rFonts w:cs="Times New Roman"/>
          <w:b/>
          <w:bCs/>
        </w:rPr>
      </w:pPr>
      <w:r w:rsidRPr="00F7245E">
        <w:rPr>
          <w:rFonts w:cs="Times New Roman"/>
          <w:b/>
          <w:bCs/>
          <w:w w:val="105"/>
        </w:rPr>
        <w:t>6.4</w:t>
      </w:r>
      <w:r w:rsidRPr="00F7245E">
        <w:rPr>
          <w:rFonts w:cs="Times New Roman"/>
          <w:b/>
          <w:bCs/>
          <w:w w:val="105"/>
        </w:rPr>
        <w:tab/>
      </w:r>
      <w:r w:rsidR="00B62AE4" w:rsidRPr="00F7245E">
        <w:rPr>
          <w:rFonts w:cs="Times New Roman"/>
          <w:b/>
          <w:bCs/>
          <w:w w:val="105"/>
        </w:rPr>
        <w:t>Különleges tárolási</w:t>
      </w:r>
      <w:r w:rsidR="00B62AE4" w:rsidRPr="00F7245E">
        <w:rPr>
          <w:rFonts w:cs="Times New Roman"/>
          <w:b/>
          <w:bCs/>
          <w:spacing w:val="-2"/>
          <w:w w:val="105"/>
        </w:rPr>
        <w:t xml:space="preserve"> </w:t>
      </w:r>
      <w:r w:rsidR="00B62AE4" w:rsidRPr="00F7245E">
        <w:rPr>
          <w:rFonts w:cs="Times New Roman"/>
          <w:b/>
          <w:bCs/>
          <w:w w:val="105"/>
        </w:rPr>
        <w:t>előírások</w:t>
      </w:r>
    </w:p>
    <w:p w14:paraId="782DF616" w14:textId="77777777" w:rsidR="00B62AE4" w:rsidRPr="00F7245E" w:rsidRDefault="00B62AE4" w:rsidP="00A21724">
      <w:pPr>
        <w:pStyle w:val="Nincstrkz"/>
        <w:rPr>
          <w:rFonts w:cs="Times New Roman"/>
          <w:bCs/>
        </w:rPr>
      </w:pPr>
    </w:p>
    <w:p w14:paraId="1646B297" w14:textId="77777777" w:rsidR="00B62AE4" w:rsidRPr="00F7245E" w:rsidRDefault="00B62AE4" w:rsidP="00A21724">
      <w:pPr>
        <w:pStyle w:val="Nincstrkz"/>
        <w:rPr>
          <w:rFonts w:cs="Times New Roman"/>
        </w:rPr>
      </w:pPr>
      <w:r w:rsidRPr="00F7245E">
        <w:rPr>
          <w:rFonts w:cs="Times New Roman"/>
          <w:w w:val="105"/>
        </w:rPr>
        <w:t>Ez a gyógyszer nem igényel különleges tárolást.</w:t>
      </w:r>
    </w:p>
    <w:p w14:paraId="313E036D" w14:textId="77777777" w:rsidR="00B62AE4" w:rsidRPr="00F7245E" w:rsidRDefault="00B62AE4" w:rsidP="00A21724">
      <w:pPr>
        <w:pStyle w:val="Nincstrkz"/>
        <w:rPr>
          <w:rFonts w:cs="Times New Roman"/>
        </w:rPr>
      </w:pPr>
    </w:p>
    <w:p w14:paraId="33164BC2" w14:textId="230B6C99" w:rsidR="00B62AE4" w:rsidRPr="00F7245E" w:rsidRDefault="0077456F" w:rsidP="00A21724">
      <w:pPr>
        <w:pStyle w:val="Nincstrkz"/>
        <w:tabs>
          <w:tab w:val="left" w:pos="567"/>
        </w:tabs>
        <w:rPr>
          <w:rFonts w:cs="Times New Roman"/>
          <w:b/>
          <w:bCs/>
        </w:rPr>
      </w:pPr>
      <w:r w:rsidRPr="00F7245E">
        <w:rPr>
          <w:rFonts w:cs="Times New Roman"/>
          <w:b/>
          <w:bCs/>
          <w:w w:val="105"/>
        </w:rPr>
        <w:t>6.5</w:t>
      </w:r>
      <w:r w:rsidRPr="00F7245E">
        <w:rPr>
          <w:rFonts w:cs="Times New Roman"/>
          <w:b/>
          <w:bCs/>
          <w:w w:val="105"/>
        </w:rPr>
        <w:tab/>
      </w:r>
      <w:r w:rsidR="00B62AE4" w:rsidRPr="00F7245E">
        <w:rPr>
          <w:rFonts w:cs="Times New Roman"/>
          <w:b/>
          <w:bCs/>
          <w:w w:val="105"/>
        </w:rPr>
        <w:t>Csomagolás típusa és</w:t>
      </w:r>
      <w:r w:rsidR="00B62AE4" w:rsidRPr="00F7245E">
        <w:rPr>
          <w:rFonts w:cs="Times New Roman"/>
          <w:b/>
          <w:bCs/>
          <w:spacing w:val="-5"/>
          <w:w w:val="105"/>
        </w:rPr>
        <w:t xml:space="preserve"> </w:t>
      </w:r>
      <w:r w:rsidR="00B62AE4" w:rsidRPr="00F7245E">
        <w:rPr>
          <w:rFonts w:cs="Times New Roman"/>
          <w:b/>
          <w:bCs/>
          <w:w w:val="105"/>
        </w:rPr>
        <w:t>kiszerelése</w:t>
      </w:r>
    </w:p>
    <w:p w14:paraId="79651F2D" w14:textId="5585F8B2" w:rsidR="00B62AE4" w:rsidRPr="00F7245E" w:rsidRDefault="00B62AE4" w:rsidP="00A21724">
      <w:pPr>
        <w:pStyle w:val="Nincstrkz"/>
        <w:rPr>
          <w:rFonts w:cs="Times New Roman"/>
          <w:bCs/>
        </w:rPr>
      </w:pPr>
    </w:p>
    <w:p w14:paraId="6D94A453" w14:textId="6C66DE71" w:rsidR="00912933" w:rsidRPr="00F7245E" w:rsidRDefault="00912933" w:rsidP="00A21724">
      <w:pPr>
        <w:pStyle w:val="Nincstrkz"/>
        <w:rPr>
          <w:rFonts w:cs="Times New Roman"/>
          <w:bCs/>
        </w:rPr>
      </w:pPr>
      <w:r w:rsidRPr="00F7245E">
        <w:rPr>
          <w:rFonts w:cs="Times New Roman"/>
          <w:bCs/>
          <w:u w:val="single"/>
        </w:rPr>
        <w:t>PVC/PVdC//Al buborékcsomagolás dobozban</w:t>
      </w:r>
      <w:r w:rsidRPr="00F7245E" w:rsidDel="00912933">
        <w:rPr>
          <w:rFonts w:cs="Times New Roman"/>
          <w:bCs/>
          <w:u w:val="single"/>
        </w:rPr>
        <w:t xml:space="preserve"> </w:t>
      </w:r>
    </w:p>
    <w:p w14:paraId="527EA80F" w14:textId="338AC42C" w:rsidR="00517F25" w:rsidRPr="00F7245E" w:rsidRDefault="00517F25" w:rsidP="00A21724">
      <w:pPr>
        <w:pStyle w:val="Nincstrkz"/>
        <w:rPr>
          <w:rFonts w:cs="Times New Roman"/>
          <w:bCs/>
        </w:rPr>
      </w:pPr>
      <w:r w:rsidRPr="00F7245E">
        <w:rPr>
          <w:rFonts w:cs="Times New Roman"/>
          <w:bCs/>
        </w:rPr>
        <w:t>10, 20, 60,</w:t>
      </w:r>
      <w:r w:rsidR="00F665F7" w:rsidRPr="00F7245E">
        <w:rPr>
          <w:rFonts w:cs="Times New Roman"/>
          <w:bCs/>
        </w:rPr>
        <w:t xml:space="preserve"> </w:t>
      </w:r>
      <w:r w:rsidRPr="00F7245E">
        <w:rPr>
          <w:rFonts w:cs="Times New Roman"/>
          <w:bCs/>
        </w:rPr>
        <w:t>168, illetve 200 filmtabletta.</w:t>
      </w:r>
    </w:p>
    <w:p w14:paraId="72D2D7A5" w14:textId="77777777" w:rsidR="0077456F" w:rsidRPr="00F7245E" w:rsidRDefault="0077456F" w:rsidP="00A21724">
      <w:pPr>
        <w:pStyle w:val="Nincstrkz"/>
        <w:rPr>
          <w:rFonts w:cs="Times New Roman"/>
          <w:w w:val="105"/>
        </w:rPr>
      </w:pPr>
    </w:p>
    <w:p w14:paraId="6931F932" w14:textId="0917D855" w:rsidR="00B62AE4" w:rsidRPr="00F7245E" w:rsidRDefault="00B62AE4" w:rsidP="00A21724">
      <w:pPr>
        <w:pStyle w:val="Nincstrkz"/>
        <w:rPr>
          <w:rFonts w:cs="Times New Roman"/>
        </w:rPr>
      </w:pPr>
      <w:r w:rsidRPr="00F7245E">
        <w:rPr>
          <w:rFonts w:cs="Times New Roman"/>
          <w:w w:val="105"/>
        </w:rPr>
        <w:t>Nem feltétlenül mindegyik kiszerelés kerül kereskedelmi forgalomba.</w:t>
      </w:r>
    </w:p>
    <w:p w14:paraId="3D31F3E4" w14:textId="77777777" w:rsidR="00B62AE4" w:rsidRPr="00F7245E" w:rsidRDefault="00B62AE4" w:rsidP="00A21724">
      <w:pPr>
        <w:pStyle w:val="Nincstrkz"/>
        <w:rPr>
          <w:rFonts w:cs="Times New Roman"/>
        </w:rPr>
      </w:pPr>
    </w:p>
    <w:p w14:paraId="40664DEA" w14:textId="58672C35" w:rsidR="00B62AE4" w:rsidRPr="00F7245E" w:rsidRDefault="0077456F" w:rsidP="00A21724">
      <w:pPr>
        <w:pStyle w:val="Nincstrkz"/>
        <w:tabs>
          <w:tab w:val="left" w:pos="567"/>
        </w:tabs>
        <w:rPr>
          <w:rFonts w:cs="Times New Roman"/>
          <w:b/>
          <w:bCs/>
        </w:rPr>
      </w:pPr>
      <w:r w:rsidRPr="00F7245E">
        <w:rPr>
          <w:rFonts w:cs="Times New Roman"/>
          <w:b/>
          <w:bCs/>
          <w:w w:val="105"/>
        </w:rPr>
        <w:t>6.6</w:t>
      </w:r>
      <w:r w:rsidRPr="00F7245E">
        <w:rPr>
          <w:rFonts w:cs="Times New Roman"/>
          <w:b/>
          <w:bCs/>
          <w:w w:val="105"/>
        </w:rPr>
        <w:tab/>
      </w:r>
      <w:r w:rsidR="00B62AE4" w:rsidRPr="00F7245E">
        <w:rPr>
          <w:rFonts w:cs="Times New Roman"/>
          <w:b/>
          <w:bCs/>
          <w:w w:val="105"/>
        </w:rPr>
        <w:t>A megsemmisítésre vonatkozó különleges</w:t>
      </w:r>
      <w:r w:rsidR="00B62AE4" w:rsidRPr="00F7245E">
        <w:rPr>
          <w:rFonts w:cs="Times New Roman"/>
          <w:b/>
          <w:bCs/>
          <w:spacing w:val="-10"/>
          <w:w w:val="105"/>
        </w:rPr>
        <w:t xml:space="preserve"> </w:t>
      </w:r>
      <w:r w:rsidR="00B62AE4" w:rsidRPr="00F7245E">
        <w:rPr>
          <w:rFonts w:cs="Times New Roman"/>
          <w:b/>
          <w:bCs/>
          <w:w w:val="105"/>
        </w:rPr>
        <w:t>óvintézkedések</w:t>
      </w:r>
    </w:p>
    <w:p w14:paraId="2FC7ECEA" w14:textId="15B3DEB6" w:rsidR="00B62AE4" w:rsidRPr="00F7245E" w:rsidRDefault="00B62AE4" w:rsidP="00A21724">
      <w:pPr>
        <w:pStyle w:val="Nincstrkz"/>
        <w:rPr>
          <w:rFonts w:cs="Times New Roman"/>
          <w:bCs/>
        </w:rPr>
      </w:pPr>
    </w:p>
    <w:p w14:paraId="53C07D78" w14:textId="77777777" w:rsidR="00BA55AA" w:rsidRPr="00F7245E" w:rsidRDefault="00BA55AA" w:rsidP="00BA55AA">
      <w:pPr>
        <w:pStyle w:val="Nincstrkz"/>
        <w:rPr>
          <w:rFonts w:cs="Times New Roman"/>
        </w:rPr>
      </w:pPr>
      <w:r w:rsidRPr="00F7245E">
        <w:rPr>
          <w:rFonts w:cs="Times New Roman"/>
          <w:b/>
        </w:rPr>
        <w:t>Megjegyzés</w:t>
      </w:r>
      <w:r w:rsidRPr="00F7245E">
        <w:rPr>
          <w:rFonts w:cs="Times New Roman"/>
        </w:rPr>
        <w:t xml:space="preserve">: </w:t>
      </w:r>
      <w:r w:rsidRPr="00F7245E">
        <w:rPr>
          <w:rFonts w:cs="Times New Roman"/>
          <w:lang w:val="en-GB"/>
        </w:rPr>
        <w:sym w:font="Wingdings" w:char="F058"/>
      </w:r>
      <w:r w:rsidRPr="00F7245E">
        <w:rPr>
          <w:rFonts w:cs="Times New Roman"/>
        </w:rPr>
        <w:t xml:space="preserve"> (egy keresztes)</w:t>
      </w:r>
    </w:p>
    <w:p w14:paraId="1A9A421B" w14:textId="77777777" w:rsidR="00BA55AA" w:rsidRPr="00F7245E" w:rsidRDefault="00BA55AA" w:rsidP="00BA55AA">
      <w:pPr>
        <w:pStyle w:val="Nincstrkz"/>
        <w:rPr>
          <w:rFonts w:cs="Times New Roman"/>
        </w:rPr>
      </w:pPr>
      <w:r w:rsidRPr="00F7245E">
        <w:rPr>
          <w:rFonts w:cs="Times New Roman"/>
          <w:b/>
        </w:rPr>
        <w:t>Osztályozás:</w:t>
      </w:r>
      <w:r w:rsidRPr="00F7245E">
        <w:rPr>
          <w:rFonts w:cs="Times New Roman"/>
        </w:rPr>
        <w:t xml:space="preserve"> </w:t>
      </w:r>
      <w:r w:rsidRPr="00F7245E">
        <w:rPr>
          <w:rFonts w:cs="Times New Roman"/>
          <w:b/>
        </w:rPr>
        <w:t>II./1 csoport</w:t>
      </w:r>
    </w:p>
    <w:p w14:paraId="2AE6D3A9" w14:textId="3EB22CC1" w:rsidR="00BA55AA" w:rsidRPr="00F7245E" w:rsidRDefault="00BA55AA" w:rsidP="00BA55AA">
      <w:pPr>
        <w:pStyle w:val="Nincstrkz"/>
        <w:rPr>
          <w:rFonts w:cs="Times New Roman"/>
        </w:rPr>
      </w:pPr>
      <w:r w:rsidRPr="00F7245E">
        <w:rPr>
          <w:rFonts w:cs="Times New Roman"/>
        </w:rPr>
        <w:t>Korlátozott érvényű orvosi r</w:t>
      </w:r>
      <w:r w:rsidR="0059282B" w:rsidRPr="00F7245E">
        <w:rPr>
          <w:rFonts w:cs="Times New Roman"/>
        </w:rPr>
        <w:t>endelvényhez kötött, szakorvosi/</w:t>
      </w:r>
      <w:r w:rsidRPr="00F7245E">
        <w:rPr>
          <w:rFonts w:cs="Times New Roman"/>
        </w:rPr>
        <w:t>kórházi diagnózist követő járóbeteg-ellátásban alkalmazható gyógyszer (J).</w:t>
      </w:r>
    </w:p>
    <w:p w14:paraId="3073B10D" w14:textId="77777777" w:rsidR="00BA55AA" w:rsidRPr="00F7245E" w:rsidRDefault="00BA55AA" w:rsidP="00A21724">
      <w:pPr>
        <w:pStyle w:val="Nincstrkz"/>
        <w:rPr>
          <w:rFonts w:cs="Times New Roman"/>
          <w:bCs/>
        </w:rPr>
      </w:pPr>
    </w:p>
    <w:p w14:paraId="76031F5F" w14:textId="77777777" w:rsidR="00B62AE4" w:rsidRPr="00F7245E" w:rsidRDefault="00B62AE4" w:rsidP="00A21724">
      <w:pPr>
        <w:pStyle w:val="Nincstrkz"/>
        <w:rPr>
          <w:rFonts w:cs="Times New Roman"/>
        </w:rPr>
      </w:pPr>
      <w:r w:rsidRPr="00F7245E">
        <w:rPr>
          <w:rFonts w:cs="Times New Roman"/>
          <w:w w:val="105"/>
        </w:rPr>
        <w:t>Bármilyen</w:t>
      </w:r>
      <w:r w:rsidRPr="00F7245E">
        <w:rPr>
          <w:rFonts w:cs="Times New Roman"/>
          <w:spacing w:val="-17"/>
          <w:w w:val="105"/>
        </w:rPr>
        <w:t xml:space="preserve"> </w:t>
      </w:r>
      <w:r w:rsidRPr="00F7245E">
        <w:rPr>
          <w:rFonts w:cs="Times New Roman"/>
          <w:w w:val="105"/>
        </w:rPr>
        <w:t>fel</w:t>
      </w:r>
      <w:r w:rsidRPr="00F7245E">
        <w:rPr>
          <w:rFonts w:cs="Times New Roman"/>
          <w:spacing w:val="-15"/>
          <w:w w:val="105"/>
        </w:rPr>
        <w:t xml:space="preserve"> </w:t>
      </w:r>
      <w:r w:rsidRPr="00F7245E">
        <w:rPr>
          <w:rFonts w:cs="Times New Roman"/>
          <w:w w:val="105"/>
        </w:rPr>
        <w:t>nem</w:t>
      </w:r>
      <w:r w:rsidRPr="00F7245E">
        <w:rPr>
          <w:rFonts w:cs="Times New Roman"/>
          <w:spacing w:val="-16"/>
          <w:w w:val="105"/>
        </w:rPr>
        <w:t xml:space="preserve"> </w:t>
      </w:r>
      <w:r w:rsidRPr="00F7245E">
        <w:rPr>
          <w:rFonts w:cs="Times New Roman"/>
          <w:w w:val="105"/>
        </w:rPr>
        <w:t>használt</w:t>
      </w:r>
      <w:r w:rsidRPr="00F7245E">
        <w:rPr>
          <w:rFonts w:cs="Times New Roman"/>
          <w:spacing w:val="-14"/>
          <w:w w:val="105"/>
        </w:rPr>
        <w:t xml:space="preserve"> </w:t>
      </w:r>
      <w:r w:rsidRPr="00F7245E">
        <w:rPr>
          <w:rFonts w:cs="Times New Roman"/>
          <w:w w:val="105"/>
        </w:rPr>
        <w:t>gyógyszer,</w:t>
      </w:r>
      <w:r w:rsidRPr="00F7245E">
        <w:rPr>
          <w:rFonts w:cs="Times New Roman"/>
          <w:spacing w:val="-15"/>
          <w:w w:val="105"/>
        </w:rPr>
        <w:t xml:space="preserve"> </w:t>
      </w:r>
      <w:r w:rsidRPr="00F7245E">
        <w:rPr>
          <w:rFonts w:cs="Times New Roman"/>
          <w:w w:val="105"/>
        </w:rPr>
        <w:t>illetve</w:t>
      </w:r>
      <w:r w:rsidRPr="00F7245E">
        <w:rPr>
          <w:rFonts w:cs="Times New Roman"/>
          <w:spacing w:val="-14"/>
          <w:w w:val="105"/>
        </w:rPr>
        <w:t xml:space="preserve"> </w:t>
      </w:r>
      <w:r w:rsidRPr="00F7245E">
        <w:rPr>
          <w:rFonts w:cs="Times New Roman"/>
          <w:w w:val="105"/>
        </w:rPr>
        <w:t>hulladékanyag</w:t>
      </w:r>
      <w:r w:rsidRPr="00F7245E">
        <w:rPr>
          <w:rFonts w:cs="Times New Roman"/>
          <w:spacing w:val="-15"/>
          <w:w w:val="105"/>
        </w:rPr>
        <w:t xml:space="preserve"> </w:t>
      </w:r>
      <w:r w:rsidRPr="00F7245E">
        <w:rPr>
          <w:rFonts w:cs="Times New Roman"/>
          <w:w w:val="105"/>
        </w:rPr>
        <w:t>megsemmisítését</w:t>
      </w:r>
      <w:r w:rsidRPr="00F7245E">
        <w:rPr>
          <w:rFonts w:cs="Times New Roman"/>
          <w:spacing w:val="-15"/>
          <w:w w:val="105"/>
        </w:rPr>
        <w:t xml:space="preserve"> </w:t>
      </w:r>
      <w:r w:rsidRPr="00F7245E">
        <w:rPr>
          <w:rFonts w:cs="Times New Roman"/>
          <w:w w:val="105"/>
        </w:rPr>
        <w:t>a</w:t>
      </w:r>
      <w:r w:rsidRPr="00F7245E">
        <w:rPr>
          <w:rFonts w:cs="Times New Roman"/>
          <w:spacing w:val="-15"/>
          <w:w w:val="105"/>
        </w:rPr>
        <w:t xml:space="preserve"> </w:t>
      </w:r>
      <w:r w:rsidRPr="00F7245E">
        <w:rPr>
          <w:rFonts w:cs="Times New Roman"/>
          <w:w w:val="105"/>
        </w:rPr>
        <w:t>gyógyszerekre vonatkozó előírások szerint kell</w:t>
      </w:r>
      <w:r w:rsidRPr="00F7245E">
        <w:rPr>
          <w:rFonts w:cs="Times New Roman"/>
          <w:spacing w:val="-10"/>
          <w:w w:val="105"/>
        </w:rPr>
        <w:t xml:space="preserve"> </w:t>
      </w:r>
      <w:r w:rsidRPr="00F7245E">
        <w:rPr>
          <w:rFonts w:cs="Times New Roman"/>
          <w:w w:val="105"/>
        </w:rPr>
        <w:t>végrehajtani.</w:t>
      </w:r>
    </w:p>
    <w:p w14:paraId="70D76D81" w14:textId="77777777" w:rsidR="00B62AE4" w:rsidRPr="00F7245E" w:rsidRDefault="00B62AE4" w:rsidP="00A21724">
      <w:pPr>
        <w:pStyle w:val="Nincstrkz"/>
        <w:rPr>
          <w:rFonts w:cs="Times New Roman"/>
        </w:rPr>
      </w:pPr>
    </w:p>
    <w:p w14:paraId="28790149" w14:textId="77777777" w:rsidR="00EB0006" w:rsidRPr="00F7245E" w:rsidRDefault="00EB0006" w:rsidP="00A21724">
      <w:pPr>
        <w:pStyle w:val="Nincstrkz"/>
        <w:rPr>
          <w:rFonts w:cs="Times New Roman"/>
        </w:rPr>
      </w:pPr>
    </w:p>
    <w:p w14:paraId="40EE72F2" w14:textId="77777777" w:rsidR="0083746D" w:rsidRPr="00F7245E" w:rsidRDefault="0083746D" w:rsidP="00A21724">
      <w:pPr>
        <w:pStyle w:val="Nincstrkz"/>
        <w:rPr>
          <w:rFonts w:cs="Times New Roman"/>
        </w:rPr>
      </w:pPr>
    </w:p>
    <w:p w14:paraId="38046B34" w14:textId="6C19A878" w:rsidR="00B62AE4" w:rsidRPr="00F7245E" w:rsidRDefault="00B62AE4" w:rsidP="00A21724">
      <w:pPr>
        <w:pStyle w:val="Nincstrkz"/>
        <w:numPr>
          <w:ilvl w:val="0"/>
          <w:numId w:val="17"/>
        </w:numPr>
        <w:ind w:left="567" w:hanging="567"/>
        <w:rPr>
          <w:rFonts w:cs="Times New Roman"/>
          <w:b/>
          <w:bCs/>
        </w:rPr>
      </w:pPr>
      <w:r w:rsidRPr="00F7245E">
        <w:rPr>
          <w:rFonts w:cs="Times New Roman"/>
          <w:b/>
          <w:bCs/>
          <w:w w:val="105"/>
        </w:rPr>
        <w:t>A FORGALOMBA HOZATALI ENGEDÉLY</w:t>
      </w:r>
      <w:r w:rsidRPr="00F7245E">
        <w:rPr>
          <w:rFonts w:cs="Times New Roman"/>
          <w:b/>
          <w:bCs/>
          <w:spacing w:val="-12"/>
          <w:w w:val="105"/>
        </w:rPr>
        <w:t xml:space="preserve"> </w:t>
      </w:r>
      <w:r w:rsidRPr="00F7245E">
        <w:rPr>
          <w:rFonts w:cs="Times New Roman"/>
          <w:b/>
          <w:bCs/>
          <w:w w:val="105"/>
        </w:rPr>
        <w:t>JOGOSULTJA</w:t>
      </w:r>
    </w:p>
    <w:p w14:paraId="123BBD57" w14:textId="77777777" w:rsidR="00771091" w:rsidRPr="00F7245E" w:rsidRDefault="00771091" w:rsidP="00A21724">
      <w:pPr>
        <w:pStyle w:val="Nincstrkz"/>
        <w:rPr>
          <w:rFonts w:cs="Times New Roman"/>
        </w:rPr>
      </w:pPr>
    </w:p>
    <w:p w14:paraId="1E993C79" w14:textId="77777777" w:rsidR="00BD5F1A" w:rsidRPr="00F7245E" w:rsidRDefault="00BD5F1A" w:rsidP="00BD5F1A">
      <w:r w:rsidRPr="00F7245E">
        <w:t xml:space="preserve">MSN Labs Europe Limited, </w:t>
      </w:r>
    </w:p>
    <w:p w14:paraId="77B19FEE" w14:textId="77777777" w:rsidR="00BD5F1A" w:rsidRPr="00F7245E" w:rsidRDefault="00BD5F1A" w:rsidP="00BD5F1A">
      <w:r w:rsidRPr="00F7245E">
        <w:t xml:space="preserve">KW20A, Corradino Park, Paola PLA 3000, </w:t>
      </w:r>
    </w:p>
    <w:p w14:paraId="74517394" w14:textId="77777777" w:rsidR="00BD5F1A" w:rsidRPr="00F7245E" w:rsidRDefault="00BD5F1A" w:rsidP="00BD5F1A">
      <w:r w:rsidRPr="00F7245E">
        <w:t>Málta</w:t>
      </w:r>
    </w:p>
    <w:p w14:paraId="23DA1DCC" w14:textId="77777777" w:rsidR="00B62AE4" w:rsidRPr="00F7245E" w:rsidRDefault="00B62AE4" w:rsidP="00A21724">
      <w:pPr>
        <w:pStyle w:val="Nincstrkz"/>
        <w:rPr>
          <w:rFonts w:cs="Times New Roman"/>
        </w:rPr>
      </w:pPr>
    </w:p>
    <w:p w14:paraId="01B5EE6F" w14:textId="66E67DBB" w:rsidR="00B62AE4" w:rsidRPr="00F7245E" w:rsidRDefault="00B62AE4" w:rsidP="00A21724">
      <w:pPr>
        <w:pStyle w:val="Nincstrkz"/>
        <w:numPr>
          <w:ilvl w:val="0"/>
          <w:numId w:val="11"/>
        </w:numPr>
        <w:ind w:left="567" w:hanging="567"/>
        <w:rPr>
          <w:rFonts w:cs="Times New Roman"/>
          <w:b/>
          <w:bCs/>
        </w:rPr>
      </w:pPr>
      <w:r w:rsidRPr="00F7245E">
        <w:rPr>
          <w:rFonts w:cs="Times New Roman"/>
          <w:b/>
          <w:bCs/>
          <w:w w:val="105"/>
        </w:rPr>
        <w:t>A FORGALOMBA HOZATALI ENGEDÉLY</w:t>
      </w:r>
      <w:r w:rsidRPr="00F7245E">
        <w:rPr>
          <w:rFonts w:cs="Times New Roman"/>
          <w:b/>
          <w:bCs/>
          <w:spacing w:val="-11"/>
          <w:w w:val="105"/>
        </w:rPr>
        <w:t xml:space="preserve"> </w:t>
      </w:r>
      <w:r w:rsidRPr="00F7245E">
        <w:rPr>
          <w:rFonts w:cs="Times New Roman"/>
          <w:b/>
          <w:bCs/>
          <w:w w:val="105"/>
        </w:rPr>
        <w:t>SZÁMA(I)</w:t>
      </w:r>
    </w:p>
    <w:p w14:paraId="3B88CB33" w14:textId="77777777" w:rsidR="00B62AE4" w:rsidRPr="00F7245E" w:rsidRDefault="00B62AE4" w:rsidP="00A21724">
      <w:pPr>
        <w:pStyle w:val="Nincstrkz"/>
        <w:rPr>
          <w:rFonts w:cs="Times New Roman"/>
          <w:bCs/>
        </w:rPr>
      </w:pPr>
    </w:p>
    <w:p w14:paraId="367D69DF" w14:textId="0768065D" w:rsidR="005E0569" w:rsidRPr="005E0569" w:rsidRDefault="005E0569" w:rsidP="005E0569">
      <w:pPr>
        <w:pStyle w:val="Nincstrkz"/>
        <w:rPr>
          <w:rFonts w:cs="Times New Roman"/>
        </w:rPr>
      </w:pPr>
      <w:r>
        <w:rPr>
          <w:rFonts w:cs="Times New Roman"/>
        </w:rPr>
        <w:t>OGYI-T-24724/</w:t>
      </w:r>
      <w:proofErr w:type="gramStart"/>
      <w:r>
        <w:rPr>
          <w:rFonts w:cs="Times New Roman"/>
        </w:rPr>
        <w:t>01    10</w:t>
      </w:r>
      <w:proofErr w:type="gramEnd"/>
      <w:r>
        <w:rPr>
          <w:rFonts w:cs="Times New Roman"/>
        </w:rPr>
        <w:t>×</w:t>
      </w:r>
      <w:r w:rsidRPr="005E0569">
        <w:rPr>
          <w:rFonts w:cs="Times New Roman"/>
        </w:rPr>
        <w:t xml:space="preserve">      PVC/PVdC//Al buborékcsomagolásban</w:t>
      </w:r>
    </w:p>
    <w:p w14:paraId="0453534D" w14:textId="33DE99D6" w:rsidR="005E0569" w:rsidRPr="005E0569" w:rsidRDefault="005E0569" w:rsidP="005E0569">
      <w:pPr>
        <w:pStyle w:val="Nincstrkz"/>
        <w:rPr>
          <w:rFonts w:cs="Times New Roman"/>
        </w:rPr>
      </w:pPr>
      <w:r>
        <w:rPr>
          <w:rFonts w:cs="Times New Roman"/>
        </w:rPr>
        <w:t>OGYI-T-24724/</w:t>
      </w:r>
      <w:proofErr w:type="gramStart"/>
      <w:r>
        <w:rPr>
          <w:rFonts w:cs="Times New Roman"/>
        </w:rPr>
        <w:t>02    20</w:t>
      </w:r>
      <w:proofErr w:type="gramEnd"/>
      <w:r>
        <w:rPr>
          <w:rFonts w:cs="Times New Roman"/>
        </w:rPr>
        <w:t>×</w:t>
      </w:r>
      <w:r w:rsidRPr="005E0569">
        <w:rPr>
          <w:rFonts w:cs="Times New Roman"/>
        </w:rPr>
        <w:t xml:space="preserve">      PVC/PVdC//Al buborékcsomagolásban</w:t>
      </w:r>
    </w:p>
    <w:p w14:paraId="0BAF68CC" w14:textId="181D586A" w:rsidR="005E0569" w:rsidRPr="005E0569" w:rsidRDefault="005E0569" w:rsidP="005E0569">
      <w:pPr>
        <w:pStyle w:val="Nincstrkz"/>
        <w:rPr>
          <w:rFonts w:cs="Times New Roman"/>
        </w:rPr>
      </w:pPr>
      <w:r w:rsidRPr="005E0569">
        <w:rPr>
          <w:rFonts w:cs="Times New Roman"/>
        </w:rPr>
        <w:t>OGYI-T-247</w:t>
      </w:r>
      <w:r>
        <w:rPr>
          <w:rFonts w:cs="Times New Roman"/>
        </w:rPr>
        <w:t>24/</w:t>
      </w:r>
      <w:proofErr w:type="gramStart"/>
      <w:r>
        <w:rPr>
          <w:rFonts w:cs="Times New Roman"/>
        </w:rPr>
        <w:t>03    60</w:t>
      </w:r>
      <w:proofErr w:type="gramEnd"/>
      <w:r>
        <w:rPr>
          <w:rFonts w:cs="Times New Roman"/>
        </w:rPr>
        <w:t>×</w:t>
      </w:r>
      <w:r w:rsidRPr="005E0569">
        <w:rPr>
          <w:rFonts w:cs="Times New Roman"/>
        </w:rPr>
        <w:t xml:space="preserve">      PVC/PVdC//Al buborékcsomagolásban</w:t>
      </w:r>
    </w:p>
    <w:p w14:paraId="635419F2" w14:textId="2BF82A40" w:rsidR="005E0569" w:rsidRPr="005E0569" w:rsidRDefault="005E0569" w:rsidP="005E0569">
      <w:pPr>
        <w:pStyle w:val="Nincstrkz"/>
        <w:rPr>
          <w:rFonts w:cs="Times New Roman"/>
        </w:rPr>
      </w:pPr>
      <w:r>
        <w:rPr>
          <w:rFonts w:cs="Times New Roman"/>
        </w:rPr>
        <w:t>OGYI-T-24724/</w:t>
      </w:r>
      <w:proofErr w:type="gramStart"/>
      <w:r>
        <w:rPr>
          <w:rFonts w:cs="Times New Roman"/>
        </w:rPr>
        <w:t>04    168</w:t>
      </w:r>
      <w:proofErr w:type="gramEnd"/>
      <w:r>
        <w:rPr>
          <w:rFonts w:cs="Times New Roman"/>
        </w:rPr>
        <w:t>×</w:t>
      </w:r>
      <w:r w:rsidRPr="005E0569">
        <w:rPr>
          <w:rFonts w:cs="Times New Roman"/>
        </w:rPr>
        <w:t xml:space="preserve">    PVC/PVdC//Al buborékcsomagolásban</w:t>
      </w:r>
    </w:p>
    <w:p w14:paraId="5E185547" w14:textId="65782317" w:rsidR="00B62AE4" w:rsidRDefault="005E0569" w:rsidP="00A21724">
      <w:pPr>
        <w:pStyle w:val="Nincstrkz"/>
        <w:rPr>
          <w:rFonts w:cs="Times New Roman"/>
        </w:rPr>
      </w:pPr>
      <w:r>
        <w:rPr>
          <w:rFonts w:cs="Times New Roman"/>
        </w:rPr>
        <w:t>OGYI-T-24724/</w:t>
      </w:r>
      <w:proofErr w:type="gramStart"/>
      <w:r>
        <w:rPr>
          <w:rFonts w:cs="Times New Roman"/>
        </w:rPr>
        <w:t>05    200</w:t>
      </w:r>
      <w:proofErr w:type="gramEnd"/>
      <w:r>
        <w:rPr>
          <w:rFonts w:cs="Times New Roman"/>
        </w:rPr>
        <w:t>×</w:t>
      </w:r>
      <w:r w:rsidRPr="005E0569">
        <w:rPr>
          <w:rFonts w:cs="Times New Roman"/>
        </w:rPr>
        <w:t xml:space="preserve">    PVC/PVdC//Al buborékcsomagolásban</w:t>
      </w:r>
    </w:p>
    <w:p w14:paraId="3B72361F" w14:textId="77777777" w:rsidR="005E0569" w:rsidRPr="00F7245E" w:rsidRDefault="005E0569" w:rsidP="00A21724">
      <w:pPr>
        <w:pStyle w:val="Nincstrkz"/>
        <w:rPr>
          <w:rFonts w:cs="Times New Roman"/>
        </w:rPr>
      </w:pPr>
    </w:p>
    <w:p w14:paraId="668C6D8A" w14:textId="1D239620" w:rsidR="00B62AE4" w:rsidRPr="00F7245E" w:rsidRDefault="0077456F" w:rsidP="00A21724">
      <w:pPr>
        <w:pStyle w:val="Nincstrkz"/>
        <w:tabs>
          <w:tab w:val="left" w:pos="567"/>
        </w:tabs>
        <w:ind w:left="567" w:hanging="567"/>
        <w:rPr>
          <w:rFonts w:cs="Times New Roman"/>
          <w:b/>
          <w:bCs/>
        </w:rPr>
      </w:pPr>
      <w:r w:rsidRPr="00F7245E">
        <w:rPr>
          <w:rFonts w:cs="Times New Roman"/>
          <w:b/>
          <w:bCs/>
          <w:w w:val="105"/>
        </w:rPr>
        <w:t>9.</w:t>
      </w:r>
      <w:r w:rsidRPr="00F7245E">
        <w:rPr>
          <w:rFonts w:cs="Times New Roman"/>
          <w:b/>
          <w:bCs/>
          <w:w w:val="105"/>
        </w:rPr>
        <w:tab/>
      </w:r>
      <w:r w:rsidR="00B62AE4" w:rsidRPr="00F7245E">
        <w:rPr>
          <w:rFonts w:cs="Times New Roman"/>
          <w:b/>
          <w:bCs/>
          <w:w w:val="105"/>
        </w:rPr>
        <w:t>A</w:t>
      </w:r>
      <w:r w:rsidR="00B62AE4" w:rsidRPr="00F7245E">
        <w:rPr>
          <w:rFonts w:cs="Times New Roman"/>
          <w:b/>
          <w:bCs/>
          <w:spacing w:val="-22"/>
          <w:w w:val="105"/>
        </w:rPr>
        <w:t xml:space="preserve"> </w:t>
      </w:r>
      <w:r w:rsidR="00B62AE4" w:rsidRPr="00F7245E">
        <w:rPr>
          <w:rFonts w:cs="Times New Roman"/>
          <w:b/>
          <w:bCs/>
          <w:w w:val="105"/>
        </w:rPr>
        <w:t>FORGALOMBA</w:t>
      </w:r>
      <w:r w:rsidR="00B62AE4" w:rsidRPr="00F7245E">
        <w:rPr>
          <w:rFonts w:cs="Times New Roman"/>
          <w:b/>
          <w:bCs/>
          <w:spacing w:val="-20"/>
          <w:w w:val="105"/>
        </w:rPr>
        <w:t xml:space="preserve"> </w:t>
      </w:r>
      <w:r w:rsidR="00B62AE4" w:rsidRPr="00F7245E">
        <w:rPr>
          <w:rFonts w:cs="Times New Roman"/>
          <w:b/>
          <w:bCs/>
          <w:w w:val="105"/>
        </w:rPr>
        <w:t>HOZATALI</w:t>
      </w:r>
      <w:r w:rsidR="00B62AE4" w:rsidRPr="00F7245E">
        <w:rPr>
          <w:rFonts w:cs="Times New Roman"/>
          <w:b/>
          <w:bCs/>
          <w:spacing w:val="-22"/>
          <w:w w:val="105"/>
        </w:rPr>
        <w:t xml:space="preserve"> </w:t>
      </w:r>
      <w:r w:rsidR="00B62AE4" w:rsidRPr="00F7245E">
        <w:rPr>
          <w:rFonts w:cs="Times New Roman"/>
          <w:b/>
          <w:bCs/>
          <w:w w:val="105"/>
        </w:rPr>
        <w:t>ENGEDÉLY</w:t>
      </w:r>
      <w:r w:rsidR="00B62AE4" w:rsidRPr="00F7245E">
        <w:rPr>
          <w:rFonts w:cs="Times New Roman"/>
          <w:b/>
          <w:bCs/>
          <w:spacing w:val="-21"/>
          <w:w w:val="105"/>
        </w:rPr>
        <w:t xml:space="preserve"> </w:t>
      </w:r>
      <w:r w:rsidR="00B62AE4" w:rsidRPr="00F7245E">
        <w:rPr>
          <w:rFonts w:cs="Times New Roman"/>
          <w:b/>
          <w:bCs/>
          <w:w w:val="105"/>
        </w:rPr>
        <w:t>ELSŐ</w:t>
      </w:r>
      <w:r w:rsidR="00B62AE4" w:rsidRPr="00F7245E">
        <w:rPr>
          <w:rFonts w:cs="Times New Roman"/>
          <w:b/>
          <w:bCs/>
          <w:spacing w:val="-21"/>
          <w:w w:val="105"/>
        </w:rPr>
        <w:t xml:space="preserve"> </w:t>
      </w:r>
      <w:r w:rsidR="00B62AE4" w:rsidRPr="00F7245E">
        <w:rPr>
          <w:rFonts w:cs="Times New Roman"/>
          <w:b/>
          <w:bCs/>
          <w:w w:val="105"/>
        </w:rPr>
        <w:t>KIADÁSÁNAK/ MEGÚJÍTÁSÁNAK</w:t>
      </w:r>
      <w:r w:rsidR="00B62AE4" w:rsidRPr="00F7245E">
        <w:rPr>
          <w:rFonts w:cs="Times New Roman"/>
          <w:b/>
          <w:bCs/>
          <w:spacing w:val="-3"/>
          <w:w w:val="105"/>
        </w:rPr>
        <w:t xml:space="preserve"> </w:t>
      </w:r>
      <w:r w:rsidR="00B62AE4" w:rsidRPr="00F7245E">
        <w:rPr>
          <w:rFonts w:cs="Times New Roman"/>
          <w:b/>
          <w:bCs/>
          <w:w w:val="105"/>
        </w:rPr>
        <w:t>DÁTUMA</w:t>
      </w:r>
    </w:p>
    <w:p w14:paraId="345344CA" w14:textId="77777777" w:rsidR="00B62AE4" w:rsidRPr="00F7245E" w:rsidRDefault="00B62AE4" w:rsidP="00A21724">
      <w:pPr>
        <w:pStyle w:val="Nincstrkz"/>
        <w:rPr>
          <w:rFonts w:cs="Times New Roman"/>
          <w:bCs/>
        </w:rPr>
      </w:pPr>
    </w:p>
    <w:p w14:paraId="7982C44F" w14:textId="202B4C64" w:rsidR="00B62AE4" w:rsidRPr="00F7245E" w:rsidRDefault="00622CF3" w:rsidP="00A21724">
      <w:pPr>
        <w:pStyle w:val="Nincstrkz"/>
        <w:rPr>
          <w:rFonts w:cs="Times New Roman"/>
        </w:rPr>
      </w:pPr>
      <w:r w:rsidRPr="00F7245E">
        <w:rPr>
          <w:rFonts w:cs="Times New Roman"/>
        </w:rPr>
        <w:t>A forgalomba hozatali engedély első kiadásának dátuma:</w:t>
      </w:r>
      <w:r w:rsidR="00C53EC1" w:rsidRPr="00F7245E">
        <w:rPr>
          <w:rFonts w:cs="Times New Roman"/>
        </w:rPr>
        <w:t xml:space="preserve"> </w:t>
      </w:r>
      <w:r w:rsidR="005E0569">
        <w:rPr>
          <w:rFonts w:cs="Times New Roman"/>
        </w:rPr>
        <w:t>2026. március 30.</w:t>
      </w:r>
    </w:p>
    <w:p w14:paraId="4F482976" w14:textId="77777777" w:rsidR="00B62AE4" w:rsidRPr="00F7245E" w:rsidRDefault="00B62AE4" w:rsidP="00A21724">
      <w:pPr>
        <w:pStyle w:val="Nincstrkz"/>
        <w:rPr>
          <w:rFonts w:cs="Times New Roman"/>
        </w:rPr>
      </w:pPr>
    </w:p>
    <w:p w14:paraId="1E6B6B3C" w14:textId="77777777" w:rsidR="00B62AE4" w:rsidRPr="00F7245E" w:rsidRDefault="00B62AE4" w:rsidP="00A21724">
      <w:pPr>
        <w:pStyle w:val="Nincstrkz"/>
        <w:rPr>
          <w:rFonts w:cs="Times New Roman"/>
        </w:rPr>
      </w:pPr>
    </w:p>
    <w:p w14:paraId="19FDAEB2" w14:textId="427DF0B5" w:rsidR="00B62AE4" w:rsidRPr="00A21724" w:rsidRDefault="00F14D76" w:rsidP="00A21724">
      <w:pPr>
        <w:pStyle w:val="Nincstrkz"/>
        <w:tabs>
          <w:tab w:val="left" w:pos="567"/>
        </w:tabs>
        <w:rPr>
          <w:rFonts w:cs="Times New Roman"/>
          <w:b/>
          <w:bCs/>
        </w:rPr>
      </w:pPr>
      <w:r w:rsidRPr="00F7245E">
        <w:rPr>
          <w:rFonts w:cs="Times New Roman"/>
          <w:b/>
          <w:bCs/>
          <w:w w:val="105"/>
        </w:rPr>
        <w:t>10</w:t>
      </w:r>
      <w:r w:rsidRPr="00F7245E">
        <w:rPr>
          <w:rFonts w:cs="Times New Roman"/>
          <w:b/>
          <w:bCs/>
          <w:w w:val="105"/>
        </w:rPr>
        <w:tab/>
      </w:r>
      <w:r w:rsidR="00B62AE4" w:rsidRPr="00F7245E">
        <w:rPr>
          <w:rFonts w:cs="Times New Roman"/>
          <w:b/>
          <w:bCs/>
          <w:w w:val="105"/>
        </w:rPr>
        <w:t>A SZÖVEG ELLENŐRZÉSÉNEK</w:t>
      </w:r>
      <w:r w:rsidR="00B62AE4" w:rsidRPr="00F7245E">
        <w:rPr>
          <w:rFonts w:cs="Times New Roman"/>
          <w:b/>
          <w:bCs/>
          <w:spacing w:val="-7"/>
          <w:w w:val="105"/>
        </w:rPr>
        <w:t xml:space="preserve"> </w:t>
      </w:r>
      <w:r w:rsidR="00B62AE4" w:rsidRPr="00F7245E">
        <w:rPr>
          <w:rFonts w:cs="Times New Roman"/>
          <w:b/>
          <w:bCs/>
          <w:w w:val="105"/>
        </w:rPr>
        <w:t>DÁTUMA</w:t>
      </w:r>
    </w:p>
    <w:p w14:paraId="3423AA99" w14:textId="77777777" w:rsidR="00B62AE4" w:rsidRPr="00A21724" w:rsidRDefault="00B62AE4" w:rsidP="00A21724">
      <w:pPr>
        <w:pStyle w:val="Nincstrkz"/>
        <w:rPr>
          <w:rFonts w:cs="Times New Roman"/>
          <w:bCs/>
        </w:rPr>
      </w:pPr>
    </w:p>
    <w:p w14:paraId="4E925D79" w14:textId="78488193" w:rsidR="002D64FD" w:rsidRPr="00C968C6" w:rsidRDefault="005E0569">
      <w:r>
        <w:t xml:space="preserve">2026. </w:t>
      </w:r>
      <w:r w:rsidR="00814AFC">
        <w:t>április 27.</w:t>
      </w:r>
      <w:bookmarkStart w:id="17" w:name="_GoBack"/>
      <w:bookmarkEnd w:id="17"/>
    </w:p>
    <w:sectPr w:rsidR="002D64FD" w:rsidRPr="00C968C6" w:rsidSect="008E276B">
      <w:headerReference w:type="default" r:id="rId10"/>
      <w:footerReference w:type="first" r:id="rId11"/>
      <w:pgSz w:w="11906" w:h="16838" w:code="9"/>
      <w:pgMar w:top="1134" w:right="1418" w:bottom="1134" w:left="1418" w:header="737" w:footer="737"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95C83FF" w16cid:durableId="195C83FF"/>
  <w16cid:commentId w16cid:paraId="031BCAFA" w16cid:durableId="031BCAFA"/>
  <w16cid:commentId w16cid:paraId="757728BA" w16cid:durableId="757728BA"/>
  <w16cid:commentId w16cid:paraId="2F510DB8" w16cid:durableId="2F510DB8"/>
  <w16cid:commentId w16cid:paraId="627DBD12" w16cid:durableId="627DBD12"/>
  <w16cid:commentId w16cid:paraId="5DD81DFB" w16cid:durableId="5DD81DFB"/>
  <w16cid:commentId w16cid:paraId="38EA4CE5" w16cid:durableId="38EA4CE5"/>
  <w16cid:commentId w16cid:paraId="69640FC5" w16cid:durableId="69640FC5"/>
  <w16cid:commentId w16cid:paraId="7EACCCC9" w16cid:durableId="7EACCCC9"/>
  <w16cid:commentId w16cid:paraId="73F2F2F1" w16cid:durableId="73F2F2F1"/>
  <w16cid:commentId w16cid:paraId="747A77AB" w16cid:durableId="747A77AB"/>
  <w16cid:commentId w16cid:paraId="3665F122" w16cid:durableId="3665F122"/>
  <w16cid:commentId w16cid:paraId="33209843" w16cid:durableId="33209843"/>
  <w16cid:commentId w16cid:paraId="45BC6FFD" w16cid:durableId="45BC6FFD"/>
  <w16cid:commentId w16cid:paraId="13B1D5AB" w16cid:durableId="13B1D5A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AF818E" w14:textId="77777777" w:rsidR="00843E5D" w:rsidRDefault="00843E5D" w:rsidP="00023B78">
      <w:r>
        <w:separator/>
      </w:r>
    </w:p>
  </w:endnote>
  <w:endnote w:type="continuationSeparator" w:id="0">
    <w:p w14:paraId="127AB5DD" w14:textId="77777777" w:rsidR="00843E5D" w:rsidRDefault="00843E5D" w:rsidP="00023B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DengXian Light">
    <w:altName w:val="Microsoft YaHei"/>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9D37EF" w14:textId="614BBBB3" w:rsidR="007210A2" w:rsidRPr="00F7245E" w:rsidRDefault="007210A2" w:rsidP="00A65681">
    <w:pPr>
      <w:pStyle w:val="llb"/>
      <w:rPr>
        <w:sz w:val="18"/>
        <w:szCs w:val="18"/>
      </w:rPr>
    </w:pPr>
    <w:r>
      <w:rPr>
        <w:sz w:val="18"/>
        <w:szCs w:val="18"/>
      </w:rPr>
      <w:t>NNGYK/ETGY/8497</w:t>
    </w:r>
    <w:r w:rsidRPr="007210A2">
      <w:rPr>
        <w:sz w:val="18"/>
        <w:szCs w:val="18"/>
      </w:rPr>
      <w:t>/2026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828416" w14:textId="77777777" w:rsidR="00843E5D" w:rsidRDefault="00843E5D" w:rsidP="00023B78">
      <w:r>
        <w:separator/>
      </w:r>
    </w:p>
  </w:footnote>
  <w:footnote w:type="continuationSeparator" w:id="0">
    <w:p w14:paraId="0763B96E" w14:textId="77777777" w:rsidR="00843E5D" w:rsidRDefault="00843E5D" w:rsidP="00023B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D21563" w14:textId="669065D0" w:rsidR="00843E5D" w:rsidRPr="00A65681" w:rsidRDefault="00843E5D" w:rsidP="00A6130C">
    <w:pPr>
      <w:pStyle w:val="lfej"/>
      <w:tabs>
        <w:tab w:val="clear" w:pos="4536"/>
        <w:tab w:val="center" w:pos="4535"/>
        <w:tab w:val="left" w:pos="5190"/>
      </w:tabs>
      <w:rPr>
        <w:sz w:val="18"/>
        <w:szCs w:val="18"/>
      </w:rPr>
    </w:pPr>
    <w:r>
      <w:tab/>
    </w:r>
    <w:sdt>
      <w:sdtPr>
        <w:rPr>
          <w:sz w:val="18"/>
          <w:szCs w:val="18"/>
        </w:rPr>
        <w:id w:val="213934889"/>
        <w:docPartObj>
          <w:docPartGallery w:val="Page Numbers (Top of Page)"/>
          <w:docPartUnique/>
        </w:docPartObj>
      </w:sdtPr>
      <w:sdtEndPr/>
      <w:sdtContent>
        <w:r w:rsidRPr="00A65681">
          <w:rPr>
            <w:sz w:val="18"/>
            <w:szCs w:val="18"/>
          </w:rPr>
          <w:fldChar w:fldCharType="begin"/>
        </w:r>
        <w:r w:rsidRPr="00A65681">
          <w:rPr>
            <w:sz w:val="18"/>
            <w:szCs w:val="18"/>
          </w:rPr>
          <w:instrText>PAGE   \* MERGEFORMAT</w:instrText>
        </w:r>
        <w:r w:rsidRPr="00A65681">
          <w:rPr>
            <w:sz w:val="18"/>
            <w:szCs w:val="18"/>
          </w:rPr>
          <w:fldChar w:fldCharType="separate"/>
        </w:r>
        <w:r w:rsidR="00814AFC">
          <w:rPr>
            <w:noProof/>
            <w:sz w:val="18"/>
            <w:szCs w:val="18"/>
          </w:rPr>
          <w:t>35</w:t>
        </w:r>
        <w:r w:rsidRPr="00A65681">
          <w:rPr>
            <w:sz w:val="18"/>
            <w:szCs w:val="18"/>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27A37"/>
    <w:multiLevelType w:val="hybridMultilevel"/>
    <w:tmpl w:val="C4160078"/>
    <w:lvl w:ilvl="0" w:tplc="482E6016">
      <w:start w:val="7"/>
      <w:numFmt w:val="decimal"/>
      <w:lvlText w:val="%1."/>
      <w:lvlJc w:val="left"/>
      <w:pPr>
        <w:ind w:left="419" w:hanging="207"/>
      </w:pPr>
      <w:rPr>
        <w:rFonts w:ascii="Times New Roman" w:eastAsia="Times New Roman" w:hAnsi="Times New Roman" w:cs="Times New Roman" w:hint="default"/>
        <w:b/>
        <w:bCs/>
        <w:spacing w:val="-1"/>
        <w:w w:val="103"/>
        <w:sz w:val="20"/>
        <w:szCs w:val="20"/>
        <w:lang w:val="hu-HU" w:eastAsia="hu-HU" w:bidi="hu-HU"/>
      </w:rPr>
    </w:lvl>
    <w:lvl w:ilvl="1" w:tplc="A844D174">
      <w:numFmt w:val="bullet"/>
      <w:lvlText w:val="•"/>
      <w:lvlJc w:val="left"/>
      <w:pPr>
        <w:ind w:left="1302" w:hanging="207"/>
      </w:pPr>
      <w:rPr>
        <w:rFonts w:hint="default"/>
        <w:lang w:val="hu-HU" w:eastAsia="hu-HU" w:bidi="hu-HU"/>
      </w:rPr>
    </w:lvl>
    <w:lvl w:ilvl="2" w:tplc="0230674A">
      <w:numFmt w:val="bullet"/>
      <w:lvlText w:val="•"/>
      <w:lvlJc w:val="left"/>
      <w:pPr>
        <w:ind w:left="2184" w:hanging="207"/>
      </w:pPr>
      <w:rPr>
        <w:rFonts w:hint="default"/>
        <w:lang w:val="hu-HU" w:eastAsia="hu-HU" w:bidi="hu-HU"/>
      </w:rPr>
    </w:lvl>
    <w:lvl w:ilvl="3" w:tplc="0A8258B8">
      <w:numFmt w:val="bullet"/>
      <w:lvlText w:val="•"/>
      <w:lvlJc w:val="left"/>
      <w:pPr>
        <w:ind w:left="3066" w:hanging="207"/>
      </w:pPr>
      <w:rPr>
        <w:rFonts w:hint="default"/>
        <w:lang w:val="hu-HU" w:eastAsia="hu-HU" w:bidi="hu-HU"/>
      </w:rPr>
    </w:lvl>
    <w:lvl w:ilvl="4" w:tplc="E53A5EEE">
      <w:numFmt w:val="bullet"/>
      <w:lvlText w:val="•"/>
      <w:lvlJc w:val="left"/>
      <w:pPr>
        <w:ind w:left="3948" w:hanging="207"/>
      </w:pPr>
      <w:rPr>
        <w:rFonts w:hint="default"/>
        <w:lang w:val="hu-HU" w:eastAsia="hu-HU" w:bidi="hu-HU"/>
      </w:rPr>
    </w:lvl>
    <w:lvl w:ilvl="5" w:tplc="4E64D2DE">
      <w:numFmt w:val="bullet"/>
      <w:lvlText w:val="•"/>
      <w:lvlJc w:val="left"/>
      <w:pPr>
        <w:ind w:left="4830" w:hanging="207"/>
      </w:pPr>
      <w:rPr>
        <w:rFonts w:hint="default"/>
        <w:lang w:val="hu-HU" w:eastAsia="hu-HU" w:bidi="hu-HU"/>
      </w:rPr>
    </w:lvl>
    <w:lvl w:ilvl="6" w:tplc="1C00AE2E">
      <w:numFmt w:val="bullet"/>
      <w:lvlText w:val="•"/>
      <w:lvlJc w:val="left"/>
      <w:pPr>
        <w:ind w:left="5712" w:hanging="207"/>
      </w:pPr>
      <w:rPr>
        <w:rFonts w:hint="default"/>
        <w:lang w:val="hu-HU" w:eastAsia="hu-HU" w:bidi="hu-HU"/>
      </w:rPr>
    </w:lvl>
    <w:lvl w:ilvl="7" w:tplc="8940DD34">
      <w:numFmt w:val="bullet"/>
      <w:lvlText w:val="•"/>
      <w:lvlJc w:val="left"/>
      <w:pPr>
        <w:ind w:left="6594" w:hanging="207"/>
      </w:pPr>
      <w:rPr>
        <w:rFonts w:hint="default"/>
        <w:lang w:val="hu-HU" w:eastAsia="hu-HU" w:bidi="hu-HU"/>
      </w:rPr>
    </w:lvl>
    <w:lvl w:ilvl="8" w:tplc="D70CA7D2">
      <w:numFmt w:val="bullet"/>
      <w:lvlText w:val="•"/>
      <w:lvlJc w:val="left"/>
      <w:pPr>
        <w:ind w:left="7476" w:hanging="207"/>
      </w:pPr>
      <w:rPr>
        <w:rFonts w:hint="default"/>
        <w:lang w:val="hu-HU" w:eastAsia="hu-HU" w:bidi="hu-HU"/>
      </w:rPr>
    </w:lvl>
  </w:abstractNum>
  <w:abstractNum w:abstractNumId="1" w15:restartNumberingAfterBreak="0">
    <w:nsid w:val="0C2215EB"/>
    <w:multiLevelType w:val="hybridMultilevel"/>
    <w:tmpl w:val="27069A6E"/>
    <w:lvl w:ilvl="0" w:tplc="82440554">
      <w:start w:val="1"/>
      <w:numFmt w:val="bullet"/>
      <w:lvlText w:val="-"/>
      <w:lvlJc w:val="left"/>
      <w:pPr>
        <w:ind w:left="720"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0E324E69"/>
    <w:multiLevelType w:val="hybridMultilevel"/>
    <w:tmpl w:val="BCDAAF12"/>
    <w:lvl w:ilvl="0" w:tplc="BE9CFA2A">
      <w:start w:val="3"/>
      <w:numFmt w:val="decimal"/>
      <w:lvlText w:val="%1."/>
      <w:lvlJc w:val="left"/>
      <w:pPr>
        <w:ind w:left="2487" w:hanging="360"/>
      </w:pPr>
      <w:rPr>
        <w:rFonts w:cstheme="minorBidi" w:hint="default"/>
        <w:w w:val="105"/>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1C0777AA"/>
    <w:multiLevelType w:val="hybridMultilevel"/>
    <w:tmpl w:val="FE78C56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1D4D3AB4"/>
    <w:multiLevelType w:val="hybridMultilevel"/>
    <w:tmpl w:val="9FCE3B06"/>
    <w:lvl w:ilvl="0" w:tplc="D1D2EFF4">
      <w:start w:val="3"/>
      <w:numFmt w:val="decimal"/>
      <w:lvlText w:val="%1."/>
      <w:lvlJc w:val="left"/>
      <w:pPr>
        <w:ind w:left="1625" w:hanging="207"/>
      </w:pPr>
      <w:rPr>
        <w:rFonts w:hint="default"/>
        <w:b/>
        <w:bCs/>
        <w:spacing w:val="-1"/>
        <w:w w:val="103"/>
        <w:lang w:val="hu-HU" w:eastAsia="hu-HU" w:bidi="hu-HU"/>
      </w:rPr>
    </w:lvl>
    <w:lvl w:ilvl="1" w:tplc="1C121ED2">
      <w:numFmt w:val="bullet"/>
      <w:lvlText w:val="•"/>
      <w:lvlJc w:val="left"/>
      <w:pPr>
        <w:ind w:left="2501" w:hanging="207"/>
      </w:pPr>
      <w:rPr>
        <w:rFonts w:hint="default"/>
        <w:lang w:val="hu-HU" w:eastAsia="hu-HU" w:bidi="hu-HU"/>
      </w:rPr>
    </w:lvl>
    <w:lvl w:ilvl="2" w:tplc="E74253D8">
      <w:numFmt w:val="bullet"/>
      <w:lvlText w:val="•"/>
      <w:lvlJc w:val="left"/>
      <w:pPr>
        <w:ind w:left="3377" w:hanging="207"/>
      </w:pPr>
      <w:rPr>
        <w:rFonts w:hint="default"/>
        <w:lang w:val="hu-HU" w:eastAsia="hu-HU" w:bidi="hu-HU"/>
      </w:rPr>
    </w:lvl>
    <w:lvl w:ilvl="3" w:tplc="0EB4594E">
      <w:numFmt w:val="bullet"/>
      <w:lvlText w:val="•"/>
      <w:lvlJc w:val="left"/>
      <w:pPr>
        <w:ind w:left="4253" w:hanging="207"/>
      </w:pPr>
      <w:rPr>
        <w:rFonts w:hint="default"/>
        <w:lang w:val="hu-HU" w:eastAsia="hu-HU" w:bidi="hu-HU"/>
      </w:rPr>
    </w:lvl>
    <w:lvl w:ilvl="4" w:tplc="565C8ADA">
      <w:numFmt w:val="bullet"/>
      <w:lvlText w:val="•"/>
      <w:lvlJc w:val="left"/>
      <w:pPr>
        <w:ind w:left="5129" w:hanging="207"/>
      </w:pPr>
      <w:rPr>
        <w:rFonts w:hint="default"/>
        <w:lang w:val="hu-HU" w:eastAsia="hu-HU" w:bidi="hu-HU"/>
      </w:rPr>
    </w:lvl>
    <w:lvl w:ilvl="5" w:tplc="6A5A9610">
      <w:numFmt w:val="bullet"/>
      <w:lvlText w:val="•"/>
      <w:lvlJc w:val="left"/>
      <w:pPr>
        <w:ind w:left="6005" w:hanging="207"/>
      </w:pPr>
      <w:rPr>
        <w:rFonts w:hint="default"/>
        <w:lang w:val="hu-HU" w:eastAsia="hu-HU" w:bidi="hu-HU"/>
      </w:rPr>
    </w:lvl>
    <w:lvl w:ilvl="6" w:tplc="58DC808E">
      <w:numFmt w:val="bullet"/>
      <w:lvlText w:val="•"/>
      <w:lvlJc w:val="left"/>
      <w:pPr>
        <w:ind w:left="6881" w:hanging="207"/>
      </w:pPr>
      <w:rPr>
        <w:rFonts w:hint="default"/>
        <w:lang w:val="hu-HU" w:eastAsia="hu-HU" w:bidi="hu-HU"/>
      </w:rPr>
    </w:lvl>
    <w:lvl w:ilvl="7" w:tplc="4906C484">
      <w:numFmt w:val="bullet"/>
      <w:lvlText w:val="•"/>
      <w:lvlJc w:val="left"/>
      <w:pPr>
        <w:ind w:left="7757" w:hanging="207"/>
      </w:pPr>
      <w:rPr>
        <w:rFonts w:hint="default"/>
        <w:lang w:val="hu-HU" w:eastAsia="hu-HU" w:bidi="hu-HU"/>
      </w:rPr>
    </w:lvl>
    <w:lvl w:ilvl="8" w:tplc="A8C29026">
      <w:numFmt w:val="bullet"/>
      <w:lvlText w:val="•"/>
      <w:lvlJc w:val="left"/>
      <w:pPr>
        <w:ind w:left="8633" w:hanging="207"/>
      </w:pPr>
      <w:rPr>
        <w:rFonts w:hint="default"/>
        <w:lang w:val="hu-HU" w:eastAsia="hu-HU" w:bidi="hu-HU"/>
      </w:rPr>
    </w:lvl>
  </w:abstractNum>
  <w:abstractNum w:abstractNumId="5" w15:restartNumberingAfterBreak="0">
    <w:nsid w:val="1D52102A"/>
    <w:multiLevelType w:val="hybridMultilevel"/>
    <w:tmpl w:val="817CD412"/>
    <w:lvl w:ilvl="0" w:tplc="2F183414">
      <w:numFmt w:val="bullet"/>
      <w:lvlText w:val="*"/>
      <w:lvlJc w:val="left"/>
      <w:pPr>
        <w:ind w:left="2113" w:hanging="128"/>
      </w:pPr>
      <w:rPr>
        <w:rFonts w:hint="default"/>
        <w:w w:val="99"/>
        <w:lang w:val="hu-HU" w:eastAsia="hu-HU" w:bidi="hu-HU"/>
      </w:rPr>
    </w:lvl>
    <w:lvl w:ilvl="1" w:tplc="4530BB76">
      <w:numFmt w:val="bullet"/>
      <w:lvlText w:val="•"/>
      <w:lvlJc w:val="left"/>
      <w:pPr>
        <w:ind w:left="3023" w:hanging="128"/>
      </w:pPr>
      <w:rPr>
        <w:rFonts w:hint="default"/>
        <w:lang w:val="hu-HU" w:eastAsia="hu-HU" w:bidi="hu-HU"/>
      </w:rPr>
    </w:lvl>
    <w:lvl w:ilvl="2" w:tplc="17125516">
      <w:numFmt w:val="bullet"/>
      <w:lvlText w:val="•"/>
      <w:lvlJc w:val="left"/>
      <w:pPr>
        <w:ind w:left="3925" w:hanging="128"/>
      </w:pPr>
      <w:rPr>
        <w:rFonts w:hint="default"/>
        <w:lang w:val="hu-HU" w:eastAsia="hu-HU" w:bidi="hu-HU"/>
      </w:rPr>
    </w:lvl>
    <w:lvl w:ilvl="3" w:tplc="C4A44C00">
      <w:numFmt w:val="bullet"/>
      <w:lvlText w:val="•"/>
      <w:lvlJc w:val="left"/>
      <w:pPr>
        <w:ind w:left="4827" w:hanging="128"/>
      </w:pPr>
      <w:rPr>
        <w:rFonts w:hint="default"/>
        <w:lang w:val="hu-HU" w:eastAsia="hu-HU" w:bidi="hu-HU"/>
      </w:rPr>
    </w:lvl>
    <w:lvl w:ilvl="4" w:tplc="F480676A">
      <w:numFmt w:val="bullet"/>
      <w:lvlText w:val="•"/>
      <w:lvlJc w:val="left"/>
      <w:pPr>
        <w:ind w:left="5729" w:hanging="128"/>
      </w:pPr>
      <w:rPr>
        <w:rFonts w:hint="default"/>
        <w:lang w:val="hu-HU" w:eastAsia="hu-HU" w:bidi="hu-HU"/>
      </w:rPr>
    </w:lvl>
    <w:lvl w:ilvl="5" w:tplc="D3F870C4">
      <w:numFmt w:val="bullet"/>
      <w:lvlText w:val="•"/>
      <w:lvlJc w:val="left"/>
      <w:pPr>
        <w:ind w:left="6631" w:hanging="128"/>
      </w:pPr>
      <w:rPr>
        <w:rFonts w:hint="default"/>
        <w:lang w:val="hu-HU" w:eastAsia="hu-HU" w:bidi="hu-HU"/>
      </w:rPr>
    </w:lvl>
    <w:lvl w:ilvl="6" w:tplc="B0B6C80A">
      <w:numFmt w:val="bullet"/>
      <w:lvlText w:val="•"/>
      <w:lvlJc w:val="left"/>
      <w:pPr>
        <w:ind w:left="7533" w:hanging="128"/>
      </w:pPr>
      <w:rPr>
        <w:rFonts w:hint="default"/>
        <w:lang w:val="hu-HU" w:eastAsia="hu-HU" w:bidi="hu-HU"/>
      </w:rPr>
    </w:lvl>
    <w:lvl w:ilvl="7" w:tplc="AF54C1C2">
      <w:numFmt w:val="bullet"/>
      <w:lvlText w:val="•"/>
      <w:lvlJc w:val="left"/>
      <w:pPr>
        <w:ind w:left="8435" w:hanging="128"/>
      </w:pPr>
      <w:rPr>
        <w:rFonts w:hint="default"/>
        <w:lang w:val="hu-HU" w:eastAsia="hu-HU" w:bidi="hu-HU"/>
      </w:rPr>
    </w:lvl>
    <w:lvl w:ilvl="8" w:tplc="CDE8CE7E">
      <w:numFmt w:val="bullet"/>
      <w:lvlText w:val="•"/>
      <w:lvlJc w:val="left"/>
      <w:pPr>
        <w:ind w:left="9337" w:hanging="128"/>
      </w:pPr>
      <w:rPr>
        <w:rFonts w:hint="default"/>
        <w:lang w:val="hu-HU" w:eastAsia="hu-HU" w:bidi="hu-HU"/>
      </w:rPr>
    </w:lvl>
  </w:abstractNum>
  <w:abstractNum w:abstractNumId="6" w15:restartNumberingAfterBreak="0">
    <w:nsid w:val="261E7475"/>
    <w:multiLevelType w:val="hybridMultilevel"/>
    <w:tmpl w:val="8E8053A6"/>
    <w:lvl w:ilvl="0" w:tplc="5A8644C0">
      <w:start w:val="1"/>
      <w:numFmt w:val="decimal"/>
      <w:lvlText w:val="%1."/>
      <w:lvlJc w:val="left"/>
      <w:pPr>
        <w:ind w:left="1778" w:hanging="360"/>
      </w:pPr>
      <w:rPr>
        <w:rFonts w:hint="default"/>
        <w:w w:val="105"/>
        <w:u w:val="none"/>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70C2BA0"/>
    <w:multiLevelType w:val="hybridMultilevel"/>
    <w:tmpl w:val="B178F51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29F60BD4"/>
    <w:multiLevelType w:val="hybridMultilevel"/>
    <w:tmpl w:val="D49AA8B8"/>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2E2E5C61"/>
    <w:multiLevelType w:val="hybridMultilevel"/>
    <w:tmpl w:val="9AC03E6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2F603312"/>
    <w:multiLevelType w:val="hybridMultilevel"/>
    <w:tmpl w:val="1D04AAB8"/>
    <w:lvl w:ilvl="0" w:tplc="A468CC2A">
      <w:start w:val="7"/>
      <w:numFmt w:val="decimal"/>
      <w:lvlText w:val="%1."/>
      <w:lvlJc w:val="left"/>
      <w:pPr>
        <w:ind w:left="720" w:hanging="360"/>
      </w:pPr>
      <w:rPr>
        <w:rFonts w:hint="default"/>
        <w:w w:val="105"/>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337144C2"/>
    <w:multiLevelType w:val="hybridMultilevel"/>
    <w:tmpl w:val="187CC79E"/>
    <w:lvl w:ilvl="0" w:tplc="56F8CA86">
      <w:start w:val="8"/>
      <w:numFmt w:val="decimal"/>
      <w:lvlText w:val="%1."/>
      <w:lvlJc w:val="left"/>
      <w:pPr>
        <w:ind w:left="720" w:hanging="360"/>
      </w:pPr>
      <w:rPr>
        <w:rFonts w:hint="default"/>
        <w:w w:val="105"/>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4A056B2F"/>
    <w:multiLevelType w:val="hybridMultilevel"/>
    <w:tmpl w:val="89F6377A"/>
    <w:lvl w:ilvl="0" w:tplc="6C86ADD6">
      <w:numFmt w:val="bullet"/>
      <w:lvlText w:val="-"/>
      <w:lvlJc w:val="left"/>
      <w:pPr>
        <w:ind w:left="720" w:hanging="360"/>
      </w:pPr>
      <w:rPr>
        <w:rFonts w:ascii="Times New Roman" w:eastAsia="Times New Roman" w:hAnsi="Times New Roman" w:cs="Times New Roman" w:hint="default"/>
        <w:w w:val="99"/>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4F6A672D"/>
    <w:multiLevelType w:val="hybridMultilevel"/>
    <w:tmpl w:val="0FC09BC4"/>
    <w:lvl w:ilvl="0" w:tplc="1E90BE3C">
      <w:start w:val="6"/>
      <w:numFmt w:val="decimal"/>
      <w:lvlText w:val="%1."/>
      <w:lvlJc w:val="left"/>
      <w:pPr>
        <w:ind w:left="6728" w:hanging="207"/>
      </w:pPr>
      <w:rPr>
        <w:rFonts w:hint="default"/>
        <w:b/>
        <w:bCs/>
        <w:spacing w:val="-1"/>
        <w:w w:val="103"/>
        <w:lang w:val="hu-HU" w:eastAsia="hu-HU" w:bidi="hu-HU"/>
      </w:rPr>
    </w:lvl>
    <w:lvl w:ilvl="1" w:tplc="9DFEBEA4">
      <w:numFmt w:val="bullet"/>
      <w:lvlText w:val="•"/>
      <w:lvlJc w:val="left"/>
      <w:pPr>
        <w:ind w:left="1302" w:hanging="207"/>
      </w:pPr>
      <w:rPr>
        <w:rFonts w:hint="default"/>
        <w:lang w:val="hu-HU" w:eastAsia="hu-HU" w:bidi="hu-HU"/>
      </w:rPr>
    </w:lvl>
    <w:lvl w:ilvl="2" w:tplc="28804218">
      <w:numFmt w:val="bullet"/>
      <w:lvlText w:val="•"/>
      <w:lvlJc w:val="left"/>
      <w:pPr>
        <w:ind w:left="2184" w:hanging="207"/>
      </w:pPr>
      <w:rPr>
        <w:rFonts w:hint="default"/>
        <w:lang w:val="hu-HU" w:eastAsia="hu-HU" w:bidi="hu-HU"/>
      </w:rPr>
    </w:lvl>
    <w:lvl w:ilvl="3" w:tplc="1D1E8C9C">
      <w:numFmt w:val="bullet"/>
      <w:lvlText w:val="•"/>
      <w:lvlJc w:val="left"/>
      <w:pPr>
        <w:ind w:left="3066" w:hanging="207"/>
      </w:pPr>
      <w:rPr>
        <w:rFonts w:hint="default"/>
        <w:lang w:val="hu-HU" w:eastAsia="hu-HU" w:bidi="hu-HU"/>
      </w:rPr>
    </w:lvl>
    <w:lvl w:ilvl="4" w:tplc="DAB842A6">
      <w:numFmt w:val="bullet"/>
      <w:lvlText w:val="•"/>
      <w:lvlJc w:val="left"/>
      <w:pPr>
        <w:ind w:left="3948" w:hanging="207"/>
      </w:pPr>
      <w:rPr>
        <w:rFonts w:hint="default"/>
        <w:lang w:val="hu-HU" w:eastAsia="hu-HU" w:bidi="hu-HU"/>
      </w:rPr>
    </w:lvl>
    <w:lvl w:ilvl="5" w:tplc="2DB879A8">
      <w:numFmt w:val="bullet"/>
      <w:lvlText w:val="•"/>
      <w:lvlJc w:val="left"/>
      <w:pPr>
        <w:ind w:left="4830" w:hanging="207"/>
      </w:pPr>
      <w:rPr>
        <w:rFonts w:hint="default"/>
        <w:lang w:val="hu-HU" w:eastAsia="hu-HU" w:bidi="hu-HU"/>
      </w:rPr>
    </w:lvl>
    <w:lvl w:ilvl="6" w:tplc="B498A702">
      <w:numFmt w:val="bullet"/>
      <w:lvlText w:val="•"/>
      <w:lvlJc w:val="left"/>
      <w:pPr>
        <w:ind w:left="5712" w:hanging="207"/>
      </w:pPr>
      <w:rPr>
        <w:rFonts w:hint="default"/>
        <w:lang w:val="hu-HU" w:eastAsia="hu-HU" w:bidi="hu-HU"/>
      </w:rPr>
    </w:lvl>
    <w:lvl w:ilvl="7" w:tplc="85544ED0">
      <w:numFmt w:val="bullet"/>
      <w:lvlText w:val="•"/>
      <w:lvlJc w:val="left"/>
      <w:pPr>
        <w:ind w:left="6594" w:hanging="207"/>
      </w:pPr>
      <w:rPr>
        <w:rFonts w:hint="default"/>
        <w:lang w:val="hu-HU" w:eastAsia="hu-HU" w:bidi="hu-HU"/>
      </w:rPr>
    </w:lvl>
    <w:lvl w:ilvl="8" w:tplc="D32CC3D4">
      <w:numFmt w:val="bullet"/>
      <w:lvlText w:val="•"/>
      <w:lvlJc w:val="left"/>
      <w:pPr>
        <w:ind w:left="7476" w:hanging="207"/>
      </w:pPr>
      <w:rPr>
        <w:rFonts w:hint="default"/>
        <w:lang w:val="hu-HU" w:eastAsia="hu-HU" w:bidi="hu-HU"/>
      </w:rPr>
    </w:lvl>
  </w:abstractNum>
  <w:abstractNum w:abstractNumId="14" w15:restartNumberingAfterBreak="0">
    <w:nsid w:val="507C5847"/>
    <w:multiLevelType w:val="hybridMultilevel"/>
    <w:tmpl w:val="C8867B9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64154ADD"/>
    <w:multiLevelType w:val="hybridMultilevel"/>
    <w:tmpl w:val="6E1EEB04"/>
    <w:lvl w:ilvl="0" w:tplc="6C86ADD6">
      <w:numFmt w:val="bullet"/>
      <w:lvlText w:val="-"/>
      <w:lvlJc w:val="left"/>
      <w:pPr>
        <w:ind w:left="720" w:hanging="360"/>
      </w:pPr>
      <w:rPr>
        <w:rFonts w:ascii="Times New Roman" w:eastAsia="Times New Roman" w:hAnsi="Times New Roman" w:cs="Times New Roman" w:hint="default"/>
        <w:w w:val="99"/>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77926335"/>
    <w:multiLevelType w:val="hybridMultilevel"/>
    <w:tmpl w:val="6DBC2D6E"/>
    <w:lvl w:ilvl="0" w:tplc="39062BCC">
      <w:start w:val="1"/>
      <w:numFmt w:val="decimal"/>
      <w:lvlText w:val="%1."/>
      <w:lvlJc w:val="left"/>
      <w:pPr>
        <w:ind w:left="419" w:hanging="207"/>
      </w:pPr>
      <w:rPr>
        <w:rFonts w:ascii="Times New Roman" w:eastAsia="Times New Roman" w:hAnsi="Times New Roman" w:cs="Times New Roman" w:hint="default"/>
        <w:b/>
        <w:bCs/>
        <w:w w:val="103"/>
        <w:sz w:val="20"/>
        <w:szCs w:val="20"/>
        <w:lang w:val="hu-HU" w:eastAsia="hu-HU" w:bidi="hu-HU"/>
      </w:rPr>
    </w:lvl>
    <w:lvl w:ilvl="1" w:tplc="911C5B5A">
      <w:numFmt w:val="bullet"/>
      <w:lvlText w:val="•"/>
      <w:lvlJc w:val="left"/>
      <w:pPr>
        <w:ind w:left="1302" w:hanging="207"/>
      </w:pPr>
      <w:rPr>
        <w:rFonts w:hint="default"/>
        <w:lang w:val="hu-HU" w:eastAsia="hu-HU" w:bidi="hu-HU"/>
      </w:rPr>
    </w:lvl>
    <w:lvl w:ilvl="2" w:tplc="237EFDD4">
      <w:numFmt w:val="bullet"/>
      <w:lvlText w:val="•"/>
      <w:lvlJc w:val="left"/>
      <w:pPr>
        <w:ind w:left="2184" w:hanging="207"/>
      </w:pPr>
      <w:rPr>
        <w:rFonts w:hint="default"/>
        <w:lang w:val="hu-HU" w:eastAsia="hu-HU" w:bidi="hu-HU"/>
      </w:rPr>
    </w:lvl>
    <w:lvl w:ilvl="3" w:tplc="560C88CE">
      <w:numFmt w:val="bullet"/>
      <w:lvlText w:val="•"/>
      <w:lvlJc w:val="left"/>
      <w:pPr>
        <w:ind w:left="3066" w:hanging="207"/>
      </w:pPr>
      <w:rPr>
        <w:rFonts w:hint="default"/>
        <w:lang w:val="hu-HU" w:eastAsia="hu-HU" w:bidi="hu-HU"/>
      </w:rPr>
    </w:lvl>
    <w:lvl w:ilvl="4" w:tplc="CD2ED456">
      <w:numFmt w:val="bullet"/>
      <w:lvlText w:val="•"/>
      <w:lvlJc w:val="left"/>
      <w:pPr>
        <w:ind w:left="3948" w:hanging="207"/>
      </w:pPr>
      <w:rPr>
        <w:rFonts w:hint="default"/>
        <w:lang w:val="hu-HU" w:eastAsia="hu-HU" w:bidi="hu-HU"/>
      </w:rPr>
    </w:lvl>
    <w:lvl w:ilvl="5" w:tplc="5DAAAC4C">
      <w:numFmt w:val="bullet"/>
      <w:lvlText w:val="•"/>
      <w:lvlJc w:val="left"/>
      <w:pPr>
        <w:ind w:left="4830" w:hanging="207"/>
      </w:pPr>
      <w:rPr>
        <w:rFonts w:hint="default"/>
        <w:lang w:val="hu-HU" w:eastAsia="hu-HU" w:bidi="hu-HU"/>
      </w:rPr>
    </w:lvl>
    <w:lvl w:ilvl="6" w:tplc="85CED06A">
      <w:numFmt w:val="bullet"/>
      <w:lvlText w:val="•"/>
      <w:lvlJc w:val="left"/>
      <w:pPr>
        <w:ind w:left="5712" w:hanging="207"/>
      </w:pPr>
      <w:rPr>
        <w:rFonts w:hint="default"/>
        <w:lang w:val="hu-HU" w:eastAsia="hu-HU" w:bidi="hu-HU"/>
      </w:rPr>
    </w:lvl>
    <w:lvl w:ilvl="7" w:tplc="1C96FC54">
      <w:numFmt w:val="bullet"/>
      <w:lvlText w:val="•"/>
      <w:lvlJc w:val="left"/>
      <w:pPr>
        <w:ind w:left="6594" w:hanging="207"/>
      </w:pPr>
      <w:rPr>
        <w:rFonts w:hint="default"/>
        <w:lang w:val="hu-HU" w:eastAsia="hu-HU" w:bidi="hu-HU"/>
      </w:rPr>
    </w:lvl>
    <w:lvl w:ilvl="8" w:tplc="AECC6C00">
      <w:numFmt w:val="bullet"/>
      <w:lvlText w:val="•"/>
      <w:lvlJc w:val="left"/>
      <w:pPr>
        <w:ind w:left="7476" w:hanging="207"/>
      </w:pPr>
      <w:rPr>
        <w:rFonts w:hint="default"/>
        <w:lang w:val="hu-HU" w:eastAsia="hu-HU" w:bidi="hu-HU"/>
      </w:rPr>
    </w:lvl>
  </w:abstractNum>
  <w:abstractNum w:abstractNumId="17" w15:restartNumberingAfterBreak="0">
    <w:nsid w:val="7AF73B60"/>
    <w:multiLevelType w:val="hybridMultilevel"/>
    <w:tmpl w:val="2E06147E"/>
    <w:lvl w:ilvl="0" w:tplc="823812F6">
      <w:numFmt w:val="bullet"/>
      <w:lvlText w:val="-"/>
      <w:lvlJc w:val="left"/>
      <w:pPr>
        <w:ind w:left="236" w:hanging="562"/>
      </w:pPr>
      <w:rPr>
        <w:rFonts w:ascii="Times New Roman" w:eastAsia="Times New Roman" w:hAnsi="Times New Roman" w:cs="Times New Roman" w:hint="default"/>
        <w:b w:val="0"/>
        <w:bCs w:val="0"/>
        <w:i w:val="0"/>
        <w:iCs w:val="0"/>
        <w:w w:val="100"/>
        <w:sz w:val="22"/>
        <w:szCs w:val="22"/>
      </w:rPr>
    </w:lvl>
    <w:lvl w:ilvl="1" w:tplc="EBD4AB7A">
      <w:numFmt w:val="bullet"/>
      <w:lvlText w:val="•"/>
      <w:lvlJc w:val="left"/>
      <w:pPr>
        <w:ind w:left="1198" w:hanging="562"/>
      </w:pPr>
      <w:rPr>
        <w:rFonts w:hint="default"/>
      </w:rPr>
    </w:lvl>
    <w:lvl w:ilvl="2" w:tplc="DAC2CE68">
      <w:numFmt w:val="bullet"/>
      <w:lvlText w:val="•"/>
      <w:lvlJc w:val="left"/>
      <w:pPr>
        <w:ind w:left="2157" w:hanging="562"/>
      </w:pPr>
      <w:rPr>
        <w:rFonts w:hint="default"/>
      </w:rPr>
    </w:lvl>
    <w:lvl w:ilvl="3" w:tplc="103050A6">
      <w:numFmt w:val="bullet"/>
      <w:lvlText w:val="•"/>
      <w:lvlJc w:val="left"/>
      <w:pPr>
        <w:ind w:left="3115" w:hanging="562"/>
      </w:pPr>
      <w:rPr>
        <w:rFonts w:hint="default"/>
      </w:rPr>
    </w:lvl>
    <w:lvl w:ilvl="4" w:tplc="5DA610FA">
      <w:numFmt w:val="bullet"/>
      <w:lvlText w:val="•"/>
      <w:lvlJc w:val="left"/>
      <w:pPr>
        <w:ind w:left="4074" w:hanging="562"/>
      </w:pPr>
      <w:rPr>
        <w:rFonts w:hint="default"/>
      </w:rPr>
    </w:lvl>
    <w:lvl w:ilvl="5" w:tplc="B54A7024">
      <w:numFmt w:val="bullet"/>
      <w:lvlText w:val="•"/>
      <w:lvlJc w:val="left"/>
      <w:pPr>
        <w:ind w:left="5032" w:hanging="562"/>
      </w:pPr>
      <w:rPr>
        <w:rFonts w:hint="default"/>
      </w:rPr>
    </w:lvl>
    <w:lvl w:ilvl="6" w:tplc="8C46D224">
      <w:numFmt w:val="bullet"/>
      <w:lvlText w:val="•"/>
      <w:lvlJc w:val="left"/>
      <w:pPr>
        <w:ind w:left="5991" w:hanging="562"/>
      </w:pPr>
      <w:rPr>
        <w:rFonts w:hint="default"/>
      </w:rPr>
    </w:lvl>
    <w:lvl w:ilvl="7" w:tplc="4E629E4A">
      <w:numFmt w:val="bullet"/>
      <w:lvlText w:val="•"/>
      <w:lvlJc w:val="left"/>
      <w:pPr>
        <w:ind w:left="6949" w:hanging="562"/>
      </w:pPr>
      <w:rPr>
        <w:rFonts w:hint="default"/>
      </w:rPr>
    </w:lvl>
    <w:lvl w:ilvl="8" w:tplc="0A9A338A">
      <w:numFmt w:val="bullet"/>
      <w:lvlText w:val="•"/>
      <w:lvlJc w:val="left"/>
      <w:pPr>
        <w:ind w:left="7908" w:hanging="562"/>
      </w:pPr>
      <w:rPr>
        <w:rFonts w:hint="default"/>
      </w:rPr>
    </w:lvl>
  </w:abstractNum>
  <w:num w:numId="1">
    <w:abstractNumId w:val="0"/>
  </w:num>
  <w:num w:numId="2">
    <w:abstractNumId w:val="13"/>
  </w:num>
  <w:num w:numId="3">
    <w:abstractNumId w:val="4"/>
  </w:num>
  <w:num w:numId="4">
    <w:abstractNumId w:val="5"/>
  </w:num>
  <w:num w:numId="5">
    <w:abstractNumId w:val="16"/>
  </w:num>
  <w:num w:numId="6">
    <w:abstractNumId w:val="6"/>
  </w:num>
  <w:num w:numId="7">
    <w:abstractNumId w:val="1"/>
  </w:num>
  <w:num w:numId="8">
    <w:abstractNumId w:val="8"/>
  </w:num>
  <w:num w:numId="9">
    <w:abstractNumId w:val="9"/>
  </w:num>
  <w:num w:numId="10">
    <w:abstractNumId w:val="14"/>
  </w:num>
  <w:num w:numId="11">
    <w:abstractNumId w:val="11"/>
  </w:num>
  <w:num w:numId="12">
    <w:abstractNumId w:val="15"/>
  </w:num>
  <w:num w:numId="13">
    <w:abstractNumId w:val="2"/>
  </w:num>
  <w:num w:numId="14">
    <w:abstractNumId w:val="3"/>
  </w:num>
  <w:num w:numId="15">
    <w:abstractNumId w:val="12"/>
  </w:num>
  <w:num w:numId="16">
    <w:abstractNumId w:val="7"/>
  </w:num>
  <w:num w:numId="17">
    <w:abstractNumId w:val="10"/>
  </w:num>
  <w:num w:numId="18">
    <w:abstractNumId w:val="1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AE4"/>
    <w:rsid w:val="00015928"/>
    <w:rsid w:val="00023B78"/>
    <w:rsid w:val="00030E4B"/>
    <w:rsid w:val="0003285B"/>
    <w:rsid w:val="00041290"/>
    <w:rsid w:val="00045408"/>
    <w:rsid w:val="0005010D"/>
    <w:rsid w:val="00052B39"/>
    <w:rsid w:val="00053112"/>
    <w:rsid w:val="000535F0"/>
    <w:rsid w:val="00075CE0"/>
    <w:rsid w:val="000767AE"/>
    <w:rsid w:val="000825C0"/>
    <w:rsid w:val="000A4396"/>
    <w:rsid w:val="000B0C84"/>
    <w:rsid w:val="000B2230"/>
    <w:rsid w:val="000C40E6"/>
    <w:rsid w:val="000C41B3"/>
    <w:rsid w:val="000C6360"/>
    <w:rsid w:val="000C72B0"/>
    <w:rsid w:val="000D391F"/>
    <w:rsid w:val="000D5AC5"/>
    <w:rsid w:val="000E4128"/>
    <w:rsid w:val="000F60B3"/>
    <w:rsid w:val="00107E00"/>
    <w:rsid w:val="0011564D"/>
    <w:rsid w:val="001209AF"/>
    <w:rsid w:val="001222C3"/>
    <w:rsid w:val="00124B2C"/>
    <w:rsid w:val="001307B4"/>
    <w:rsid w:val="00134AB9"/>
    <w:rsid w:val="001366BB"/>
    <w:rsid w:val="00140690"/>
    <w:rsid w:val="00141DDB"/>
    <w:rsid w:val="001503A2"/>
    <w:rsid w:val="00155D20"/>
    <w:rsid w:val="00156430"/>
    <w:rsid w:val="00156D2D"/>
    <w:rsid w:val="001605B1"/>
    <w:rsid w:val="00161D38"/>
    <w:rsid w:val="001706DF"/>
    <w:rsid w:val="00171644"/>
    <w:rsid w:val="00172644"/>
    <w:rsid w:val="001754BC"/>
    <w:rsid w:val="0017716B"/>
    <w:rsid w:val="001821BE"/>
    <w:rsid w:val="00182AA6"/>
    <w:rsid w:val="001831E1"/>
    <w:rsid w:val="0018600E"/>
    <w:rsid w:val="00190E11"/>
    <w:rsid w:val="00191871"/>
    <w:rsid w:val="001A49A0"/>
    <w:rsid w:val="001B11AF"/>
    <w:rsid w:val="001B6608"/>
    <w:rsid w:val="001C1AD6"/>
    <w:rsid w:val="001C3C30"/>
    <w:rsid w:val="001D2D28"/>
    <w:rsid w:val="001D2D35"/>
    <w:rsid w:val="001D499A"/>
    <w:rsid w:val="001E2378"/>
    <w:rsid w:val="001E2C32"/>
    <w:rsid w:val="001F048A"/>
    <w:rsid w:val="001F3291"/>
    <w:rsid w:val="001F3456"/>
    <w:rsid w:val="00200436"/>
    <w:rsid w:val="00202C59"/>
    <w:rsid w:val="00205DB7"/>
    <w:rsid w:val="002065AE"/>
    <w:rsid w:val="00217E02"/>
    <w:rsid w:val="0022418A"/>
    <w:rsid w:val="00245D5B"/>
    <w:rsid w:val="00254D7F"/>
    <w:rsid w:val="002600EB"/>
    <w:rsid w:val="00262327"/>
    <w:rsid w:val="00265C86"/>
    <w:rsid w:val="0027640E"/>
    <w:rsid w:val="00276A6E"/>
    <w:rsid w:val="00286291"/>
    <w:rsid w:val="00286E89"/>
    <w:rsid w:val="00297A29"/>
    <w:rsid w:val="002A2AFA"/>
    <w:rsid w:val="002C0B56"/>
    <w:rsid w:val="002C53F6"/>
    <w:rsid w:val="002D0E06"/>
    <w:rsid w:val="002D64FD"/>
    <w:rsid w:val="002E16CA"/>
    <w:rsid w:val="002E5D40"/>
    <w:rsid w:val="002F1A68"/>
    <w:rsid w:val="002F39B0"/>
    <w:rsid w:val="003029C8"/>
    <w:rsid w:val="00306806"/>
    <w:rsid w:val="003251C0"/>
    <w:rsid w:val="00332D0C"/>
    <w:rsid w:val="00333671"/>
    <w:rsid w:val="00335D89"/>
    <w:rsid w:val="00343228"/>
    <w:rsid w:val="00344422"/>
    <w:rsid w:val="00345F89"/>
    <w:rsid w:val="00350B9F"/>
    <w:rsid w:val="00352CD3"/>
    <w:rsid w:val="00357495"/>
    <w:rsid w:val="0036253B"/>
    <w:rsid w:val="003746CF"/>
    <w:rsid w:val="0037685F"/>
    <w:rsid w:val="00381107"/>
    <w:rsid w:val="00387C2D"/>
    <w:rsid w:val="00396DD5"/>
    <w:rsid w:val="003A131B"/>
    <w:rsid w:val="003A2C82"/>
    <w:rsid w:val="003A7EA3"/>
    <w:rsid w:val="003B3FD6"/>
    <w:rsid w:val="003B556C"/>
    <w:rsid w:val="003B67D5"/>
    <w:rsid w:val="003C1FF5"/>
    <w:rsid w:val="003C57F2"/>
    <w:rsid w:val="003C5E73"/>
    <w:rsid w:val="003D17A4"/>
    <w:rsid w:val="003D56B9"/>
    <w:rsid w:val="003D5FDF"/>
    <w:rsid w:val="003D6212"/>
    <w:rsid w:val="003D7383"/>
    <w:rsid w:val="003E23E3"/>
    <w:rsid w:val="003E2B05"/>
    <w:rsid w:val="00403AAD"/>
    <w:rsid w:val="00403F49"/>
    <w:rsid w:val="0040501A"/>
    <w:rsid w:val="00415DC7"/>
    <w:rsid w:val="00421D91"/>
    <w:rsid w:val="00425521"/>
    <w:rsid w:val="00430258"/>
    <w:rsid w:val="00430FA3"/>
    <w:rsid w:val="004400C9"/>
    <w:rsid w:val="00441DDC"/>
    <w:rsid w:val="004506AF"/>
    <w:rsid w:val="00451F5E"/>
    <w:rsid w:val="0045461C"/>
    <w:rsid w:val="00463B31"/>
    <w:rsid w:val="0047354C"/>
    <w:rsid w:val="00473715"/>
    <w:rsid w:val="004859CB"/>
    <w:rsid w:val="004A1510"/>
    <w:rsid w:val="004A1F84"/>
    <w:rsid w:val="004B45F8"/>
    <w:rsid w:val="004B5E4F"/>
    <w:rsid w:val="004C106B"/>
    <w:rsid w:val="004C4646"/>
    <w:rsid w:val="004C63AE"/>
    <w:rsid w:val="004D219C"/>
    <w:rsid w:val="004D3967"/>
    <w:rsid w:val="004D7C22"/>
    <w:rsid w:val="004E05D7"/>
    <w:rsid w:val="004E4005"/>
    <w:rsid w:val="004F20CF"/>
    <w:rsid w:val="005014E3"/>
    <w:rsid w:val="00506289"/>
    <w:rsid w:val="00517956"/>
    <w:rsid w:val="00517F25"/>
    <w:rsid w:val="00522CA0"/>
    <w:rsid w:val="00523F8D"/>
    <w:rsid w:val="00527894"/>
    <w:rsid w:val="00530BAD"/>
    <w:rsid w:val="005346CC"/>
    <w:rsid w:val="00537837"/>
    <w:rsid w:val="005379F6"/>
    <w:rsid w:val="00546409"/>
    <w:rsid w:val="0054792A"/>
    <w:rsid w:val="00550344"/>
    <w:rsid w:val="00551850"/>
    <w:rsid w:val="00565CC6"/>
    <w:rsid w:val="005702BC"/>
    <w:rsid w:val="00570997"/>
    <w:rsid w:val="005716D0"/>
    <w:rsid w:val="00584814"/>
    <w:rsid w:val="00590472"/>
    <w:rsid w:val="005909BE"/>
    <w:rsid w:val="0059282B"/>
    <w:rsid w:val="005A6B5B"/>
    <w:rsid w:val="005A7AEB"/>
    <w:rsid w:val="005D26DB"/>
    <w:rsid w:val="005E0569"/>
    <w:rsid w:val="005F3367"/>
    <w:rsid w:val="005F71B8"/>
    <w:rsid w:val="005F7FFE"/>
    <w:rsid w:val="00600B60"/>
    <w:rsid w:val="00605BDC"/>
    <w:rsid w:val="006163CF"/>
    <w:rsid w:val="00621D02"/>
    <w:rsid w:val="00622CF3"/>
    <w:rsid w:val="00626CAD"/>
    <w:rsid w:val="006462CC"/>
    <w:rsid w:val="00650A8D"/>
    <w:rsid w:val="00656FD5"/>
    <w:rsid w:val="0066282E"/>
    <w:rsid w:val="00663148"/>
    <w:rsid w:val="00663538"/>
    <w:rsid w:val="00666BD9"/>
    <w:rsid w:val="00674797"/>
    <w:rsid w:val="006771F7"/>
    <w:rsid w:val="00677AC6"/>
    <w:rsid w:val="00684207"/>
    <w:rsid w:val="00684F45"/>
    <w:rsid w:val="0069068F"/>
    <w:rsid w:val="00693603"/>
    <w:rsid w:val="006A4200"/>
    <w:rsid w:val="006A6490"/>
    <w:rsid w:val="006A666D"/>
    <w:rsid w:val="006A76F5"/>
    <w:rsid w:val="006B24F6"/>
    <w:rsid w:val="006D1177"/>
    <w:rsid w:val="006D1B28"/>
    <w:rsid w:val="006D5680"/>
    <w:rsid w:val="006D7294"/>
    <w:rsid w:val="006D72A7"/>
    <w:rsid w:val="006E59EE"/>
    <w:rsid w:val="006E6839"/>
    <w:rsid w:val="006F1B7F"/>
    <w:rsid w:val="007015D3"/>
    <w:rsid w:val="0071046D"/>
    <w:rsid w:val="0071156E"/>
    <w:rsid w:val="0072037C"/>
    <w:rsid w:val="007210A2"/>
    <w:rsid w:val="00723634"/>
    <w:rsid w:val="00726D70"/>
    <w:rsid w:val="007314A3"/>
    <w:rsid w:val="007332A2"/>
    <w:rsid w:val="00741DD5"/>
    <w:rsid w:val="0074305A"/>
    <w:rsid w:val="00745F22"/>
    <w:rsid w:val="00752FDA"/>
    <w:rsid w:val="00754341"/>
    <w:rsid w:val="0075596E"/>
    <w:rsid w:val="00757152"/>
    <w:rsid w:val="007622B9"/>
    <w:rsid w:val="00771091"/>
    <w:rsid w:val="007711FF"/>
    <w:rsid w:val="00771F32"/>
    <w:rsid w:val="00771FF4"/>
    <w:rsid w:val="00772C8E"/>
    <w:rsid w:val="0077456F"/>
    <w:rsid w:val="00776893"/>
    <w:rsid w:val="00782B1D"/>
    <w:rsid w:val="00783915"/>
    <w:rsid w:val="0078582D"/>
    <w:rsid w:val="007A5E8C"/>
    <w:rsid w:val="007A5F56"/>
    <w:rsid w:val="007D450E"/>
    <w:rsid w:val="007D4C4D"/>
    <w:rsid w:val="007D61A0"/>
    <w:rsid w:val="007D7A48"/>
    <w:rsid w:val="007E03AF"/>
    <w:rsid w:val="007E5354"/>
    <w:rsid w:val="007E58EC"/>
    <w:rsid w:val="007E7461"/>
    <w:rsid w:val="007F0C98"/>
    <w:rsid w:val="007F24BF"/>
    <w:rsid w:val="007F3244"/>
    <w:rsid w:val="007F50A9"/>
    <w:rsid w:val="007F5FF9"/>
    <w:rsid w:val="008039D0"/>
    <w:rsid w:val="00806124"/>
    <w:rsid w:val="00814AFC"/>
    <w:rsid w:val="00822B30"/>
    <w:rsid w:val="00827D3D"/>
    <w:rsid w:val="008326BE"/>
    <w:rsid w:val="00832B9F"/>
    <w:rsid w:val="0083746D"/>
    <w:rsid w:val="00843E5D"/>
    <w:rsid w:val="00847342"/>
    <w:rsid w:val="00851E6B"/>
    <w:rsid w:val="008537EF"/>
    <w:rsid w:val="00856E35"/>
    <w:rsid w:val="008646A2"/>
    <w:rsid w:val="00870E03"/>
    <w:rsid w:val="00877B3C"/>
    <w:rsid w:val="00890FED"/>
    <w:rsid w:val="00895EA9"/>
    <w:rsid w:val="00897B11"/>
    <w:rsid w:val="008A238A"/>
    <w:rsid w:val="008A41E6"/>
    <w:rsid w:val="008A4962"/>
    <w:rsid w:val="008A4D7E"/>
    <w:rsid w:val="008A7BFE"/>
    <w:rsid w:val="008B31CD"/>
    <w:rsid w:val="008D1883"/>
    <w:rsid w:val="008D3D74"/>
    <w:rsid w:val="008D7580"/>
    <w:rsid w:val="008E1640"/>
    <w:rsid w:val="008E276B"/>
    <w:rsid w:val="008F3AA8"/>
    <w:rsid w:val="00900F79"/>
    <w:rsid w:val="00910C1F"/>
    <w:rsid w:val="00910D0F"/>
    <w:rsid w:val="00912933"/>
    <w:rsid w:val="00914201"/>
    <w:rsid w:val="00942FD4"/>
    <w:rsid w:val="009443CC"/>
    <w:rsid w:val="00956D6F"/>
    <w:rsid w:val="00962629"/>
    <w:rsid w:val="00963A3B"/>
    <w:rsid w:val="00965147"/>
    <w:rsid w:val="0097069C"/>
    <w:rsid w:val="009716A8"/>
    <w:rsid w:val="009806D5"/>
    <w:rsid w:val="009864BA"/>
    <w:rsid w:val="00987180"/>
    <w:rsid w:val="00995269"/>
    <w:rsid w:val="009A6370"/>
    <w:rsid w:val="009B2EAC"/>
    <w:rsid w:val="009B5E6F"/>
    <w:rsid w:val="009D73DD"/>
    <w:rsid w:val="009E33F0"/>
    <w:rsid w:val="009E7B2D"/>
    <w:rsid w:val="009F3769"/>
    <w:rsid w:val="009F643B"/>
    <w:rsid w:val="009F6BB8"/>
    <w:rsid w:val="00A1416D"/>
    <w:rsid w:val="00A20060"/>
    <w:rsid w:val="00A21724"/>
    <w:rsid w:val="00A233CB"/>
    <w:rsid w:val="00A25E6A"/>
    <w:rsid w:val="00A31F4B"/>
    <w:rsid w:val="00A3772C"/>
    <w:rsid w:val="00A52167"/>
    <w:rsid w:val="00A52A56"/>
    <w:rsid w:val="00A6130C"/>
    <w:rsid w:val="00A6302D"/>
    <w:rsid w:val="00A63A50"/>
    <w:rsid w:val="00A6523A"/>
    <w:rsid w:val="00A65681"/>
    <w:rsid w:val="00A732A4"/>
    <w:rsid w:val="00A763FA"/>
    <w:rsid w:val="00A82F5D"/>
    <w:rsid w:val="00A935AA"/>
    <w:rsid w:val="00AA465D"/>
    <w:rsid w:val="00AB6489"/>
    <w:rsid w:val="00AB77EB"/>
    <w:rsid w:val="00AB7F26"/>
    <w:rsid w:val="00AD265A"/>
    <w:rsid w:val="00AD5B8D"/>
    <w:rsid w:val="00AE0D16"/>
    <w:rsid w:val="00AE17AA"/>
    <w:rsid w:val="00AE4C7B"/>
    <w:rsid w:val="00AE6A47"/>
    <w:rsid w:val="00AF1601"/>
    <w:rsid w:val="00B02230"/>
    <w:rsid w:val="00B0566A"/>
    <w:rsid w:val="00B0648F"/>
    <w:rsid w:val="00B1313A"/>
    <w:rsid w:val="00B20E30"/>
    <w:rsid w:val="00B221E1"/>
    <w:rsid w:val="00B22E28"/>
    <w:rsid w:val="00B35F4F"/>
    <w:rsid w:val="00B40417"/>
    <w:rsid w:val="00B44192"/>
    <w:rsid w:val="00B6039A"/>
    <w:rsid w:val="00B62AE4"/>
    <w:rsid w:val="00B72AA5"/>
    <w:rsid w:val="00B75CD6"/>
    <w:rsid w:val="00B84428"/>
    <w:rsid w:val="00B84E11"/>
    <w:rsid w:val="00B8657F"/>
    <w:rsid w:val="00B95635"/>
    <w:rsid w:val="00BA55AA"/>
    <w:rsid w:val="00BA5797"/>
    <w:rsid w:val="00BB3C5B"/>
    <w:rsid w:val="00BD1287"/>
    <w:rsid w:val="00BD5F1A"/>
    <w:rsid w:val="00BF53F5"/>
    <w:rsid w:val="00C01267"/>
    <w:rsid w:val="00C10062"/>
    <w:rsid w:val="00C175EC"/>
    <w:rsid w:val="00C21019"/>
    <w:rsid w:val="00C24EC8"/>
    <w:rsid w:val="00C25667"/>
    <w:rsid w:val="00C43B7E"/>
    <w:rsid w:val="00C502F7"/>
    <w:rsid w:val="00C516C0"/>
    <w:rsid w:val="00C53EC1"/>
    <w:rsid w:val="00C56BB0"/>
    <w:rsid w:val="00C57CEA"/>
    <w:rsid w:val="00C66976"/>
    <w:rsid w:val="00C72379"/>
    <w:rsid w:val="00C77F20"/>
    <w:rsid w:val="00C828D1"/>
    <w:rsid w:val="00C863B0"/>
    <w:rsid w:val="00C87B7D"/>
    <w:rsid w:val="00C944A7"/>
    <w:rsid w:val="00C968C6"/>
    <w:rsid w:val="00CA0AA6"/>
    <w:rsid w:val="00CA21AA"/>
    <w:rsid w:val="00CA2919"/>
    <w:rsid w:val="00CA4AE9"/>
    <w:rsid w:val="00CB19A2"/>
    <w:rsid w:val="00CB29ED"/>
    <w:rsid w:val="00CB2D30"/>
    <w:rsid w:val="00CD0E70"/>
    <w:rsid w:val="00CD3CE1"/>
    <w:rsid w:val="00CD641B"/>
    <w:rsid w:val="00CD71F8"/>
    <w:rsid w:val="00CE0D81"/>
    <w:rsid w:val="00CE7650"/>
    <w:rsid w:val="00D04A35"/>
    <w:rsid w:val="00D066D9"/>
    <w:rsid w:val="00D12581"/>
    <w:rsid w:val="00D126EC"/>
    <w:rsid w:val="00D13102"/>
    <w:rsid w:val="00D42AFE"/>
    <w:rsid w:val="00D44774"/>
    <w:rsid w:val="00D4726C"/>
    <w:rsid w:val="00D51CDC"/>
    <w:rsid w:val="00D60484"/>
    <w:rsid w:val="00D60609"/>
    <w:rsid w:val="00D66612"/>
    <w:rsid w:val="00D6697A"/>
    <w:rsid w:val="00D67737"/>
    <w:rsid w:val="00D7098D"/>
    <w:rsid w:val="00D70E9C"/>
    <w:rsid w:val="00D71ED3"/>
    <w:rsid w:val="00D72566"/>
    <w:rsid w:val="00D72679"/>
    <w:rsid w:val="00D72B51"/>
    <w:rsid w:val="00D73F6B"/>
    <w:rsid w:val="00D8613F"/>
    <w:rsid w:val="00D86A27"/>
    <w:rsid w:val="00D86AA7"/>
    <w:rsid w:val="00D93737"/>
    <w:rsid w:val="00D972E8"/>
    <w:rsid w:val="00D97BA0"/>
    <w:rsid w:val="00DA3F3C"/>
    <w:rsid w:val="00DA64FD"/>
    <w:rsid w:val="00DA7304"/>
    <w:rsid w:val="00DC2731"/>
    <w:rsid w:val="00DC2802"/>
    <w:rsid w:val="00DC2DF9"/>
    <w:rsid w:val="00DC6B8F"/>
    <w:rsid w:val="00DE471E"/>
    <w:rsid w:val="00DE5910"/>
    <w:rsid w:val="00DF1EE2"/>
    <w:rsid w:val="00DF5655"/>
    <w:rsid w:val="00DF7574"/>
    <w:rsid w:val="00E00829"/>
    <w:rsid w:val="00E02A7B"/>
    <w:rsid w:val="00E032BF"/>
    <w:rsid w:val="00E0512C"/>
    <w:rsid w:val="00E0660D"/>
    <w:rsid w:val="00E149FF"/>
    <w:rsid w:val="00E211D0"/>
    <w:rsid w:val="00E3204F"/>
    <w:rsid w:val="00E34FA1"/>
    <w:rsid w:val="00E500F2"/>
    <w:rsid w:val="00E5577F"/>
    <w:rsid w:val="00E55F3F"/>
    <w:rsid w:val="00E627FA"/>
    <w:rsid w:val="00E65EE3"/>
    <w:rsid w:val="00E70E17"/>
    <w:rsid w:val="00E72F27"/>
    <w:rsid w:val="00E73A6C"/>
    <w:rsid w:val="00E76409"/>
    <w:rsid w:val="00E9620D"/>
    <w:rsid w:val="00EA24F2"/>
    <w:rsid w:val="00EA5134"/>
    <w:rsid w:val="00EA6112"/>
    <w:rsid w:val="00EB0006"/>
    <w:rsid w:val="00EB066D"/>
    <w:rsid w:val="00EB26D3"/>
    <w:rsid w:val="00EC1580"/>
    <w:rsid w:val="00EC2711"/>
    <w:rsid w:val="00EC3393"/>
    <w:rsid w:val="00EC3759"/>
    <w:rsid w:val="00EC4D02"/>
    <w:rsid w:val="00ED2BDE"/>
    <w:rsid w:val="00ED5274"/>
    <w:rsid w:val="00EE0924"/>
    <w:rsid w:val="00EE65B3"/>
    <w:rsid w:val="00EF43A8"/>
    <w:rsid w:val="00F00454"/>
    <w:rsid w:val="00F026BF"/>
    <w:rsid w:val="00F11A29"/>
    <w:rsid w:val="00F12ECE"/>
    <w:rsid w:val="00F14D76"/>
    <w:rsid w:val="00F3552E"/>
    <w:rsid w:val="00F36278"/>
    <w:rsid w:val="00F454CE"/>
    <w:rsid w:val="00F553B3"/>
    <w:rsid w:val="00F60CDB"/>
    <w:rsid w:val="00F6175C"/>
    <w:rsid w:val="00F665F7"/>
    <w:rsid w:val="00F66BCD"/>
    <w:rsid w:val="00F7245E"/>
    <w:rsid w:val="00F74813"/>
    <w:rsid w:val="00F7572B"/>
    <w:rsid w:val="00F825B3"/>
    <w:rsid w:val="00F83F0A"/>
    <w:rsid w:val="00F96022"/>
    <w:rsid w:val="00FA2868"/>
    <w:rsid w:val="00FA4CB5"/>
    <w:rsid w:val="00FA6282"/>
    <w:rsid w:val="00FB0C88"/>
    <w:rsid w:val="00FB7E26"/>
    <w:rsid w:val="00FC4D26"/>
    <w:rsid w:val="00FD2360"/>
    <w:rsid w:val="00FD57B5"/>
    <w:rsid w:val="00FE3006"/>
    <w:rsid w:val="00FE4D85"/>
    <w:rsid w:val="00FF3805"/>
    <w:rsid w:val="00FF397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9B8843"/>
  <w15:docId w15:val="{ED900A10-C5BF-4710-ACA1-56562A50F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B62AE4"/>
    <w:pPr>
      <w:widowControl w:val="0"/>
      <w:autoSpaceDE w:val="0"/>
      <w:autoSpaceDN w:val="0"/>
      <w:spacing w:after="0" w:line="240" w:lineRule="auto"/>
    </w:pPr>
    <w:rPr>
      <w:rFonts w:ascii="Times New Roman" w:eastAsia="Times New Roman" w:hAnsi="Times New Roman" w:cs="Times New Roman"/>
      <w:lang w:eastAsia="hu-HU" w:bidi="hu-HU"/>
    </w:rPr>
  </w:style>
  <w:style w:type="paragraph" w:styleId="Cmsor1">
    <w:name w:val="heading 1"/>
    <w:basedOn w:val="Norml"/>
    <w:link w:val="Cmsor1Char"/>
    <w:uiPriority w:val="9"/>
    <w:qFormat/>
    <w:rsid w:val="00B62AE4"/>
    <w:pPr>
      <w:ind w:left="212"/>
      <w:outlineLvl w:val="0"/>
    </w:pPr>
    <w:rPr>
      <w:b/>
      <w:bCs/>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character" w:customStyle="1" w:styleId="Cmsor1Char">
    <w:name w:val="Címsor 1 Char"/>
    <w:basedOn w:val="Bekezdsalapbettpusa"/>
    <w:link w:val="Cmsor1"/>
    <w:uiPriority w:val="9"/>
    <w:rsid w:val="00B62AE4"/>
    <w:rPr>
      <w:rFonts w:ascii="Times New Roman" w:eastAsia="Times New Roman" w:hAnsi="Times New Roman" w:cs="Times New Roman"/>
      <w:b/>
      <w:bCs/>
      <w:sz w:val="20"/>
      <w:szCs w:val="20"/>
      <w:lang w:eastAsia="hu-HU" w:bidi="hu-HU"/>
    </w:rPr>
  </w:style>
  <w:style w:type="table" w:customStyle="1" w:styleId="TableNormal1">
    <w:name w:val="Table Normal1"/>
    <w:uiPriority w:val="2"/>
    <w:semiHidden/>
    <w:unhideWhenUsed/>
    <w:qFormat/>
    <w:rsid w:val="00B62AE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zvegtrzs">
    <w:name w:val="Body Text"/>
    <w:basedOn w:val="Norml"/>
    <w:link w:val="SzvegtrzsChar"/>
    <w:uiPriority w:val="1"/>
    <w:qFormat/>
    <w:rsid w:val="00B62AE4"/>
    <w:rPr>
      <w:sz w:val="20"/>
      <w:szCs w:val="20"/>
    </w:rPr>
  </w:style>
  <w:style w:type="character" w:customStyle="1" w:styleId="SzvegtrzsChar">
    <w:name w:val="Szövegtörzs Char"/>
    <w:basedOn w:val="Bekezdsalapbettpusa"/>
    <w:link w:val="Szvegtrzs"/>
    <w:uiPriority w:val="1"/>
    <w:rsid w:val="00B62AE4"/>
    <w:rPr>
      <w:rFonts w:ascii="Times New Roman" w:eastAsia="Times New Roman" w:hAnsi="Times New Roman" w:cs="Times New Roman"/>
      <w:sz w:val="20"/>
      <w:szCs w:val="20"/>
      <w:lang w:eastAsia="hu-HU" w:bidi="hu-HU"/>
    </w:rPr>
  </w:style>
  <w:style w:type="paragraph" w:styleId="Listaszerbekezds">
    <w:name w:val="List Paragraph"/>
    <w:basedOn w:val="Norml"/>
    <w:uiPriority w:val="1"/>
    <w:qFormat/>
    <w:rsid w:val="00B62AE4"/>
    <w:pPr>
      <w:ind w:left="746" w:hanging="535"/>
    </w:pPr>
  </w:style>
  <w:style w:type="paragraph" w:customStyle="1" w:styleId="TableParagraph">
    <w:name w:val="Table Paragraph"/>
    <w:basedOn w:val="Norml"/>
    <w:uiPriority w:val="1"/>
    <w:qFormat/>
    <w:rsid w:val="00B62AE4"/>
  </w:style>
  <w:style w:type="paragraph" w:styleId="Buborkszveg">
    <w:name w:val="Balloon Text"/>
    <w:basedOn w:val="Norml"/>
    <w:link w:val="BuborkszvegChar"/>
    <w:uiPriority w:val="99"/>
    <w:semiHidden/>
    <w:unhideWhenUsed/>
    <w:rsid w:val="00B62AE4"/>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B62AE4"/>
    <w:rPr>
      <w:rFonts w:ascii="Segoe UI" w:eastAsia="Times New Roman" w:hAnsi="Segoe UI" w:cs="Segoe UI"/>
      <w:sz w:val="18"/>
      <w:szCs w:val="18"/>
      <w:lang w:eastAsia="hu-HU" w:bidi="hu-HU"/>
    </w:rPr>
  </w:style>
  <w:style w:type="paragraph" w:styleId="lfej">
    <w:name w:val="header"/>
    <w:basedOn w:val="Norml"/>
    <w:link w:val="lfejChar"/>
    <w:uiPriority w:val="99"/>
    <w:unhideWhenUsed/>
    <w:rsid w:val="00023B78"/>
    <w:pPr>
      <w:tabs>
        <w:tab w:val="center" w:pos="4536"/>
        <w:tab w:val="right" w:pos="9072"/>
      </w:tabs>
    </w:pPr>
  </w:style>
  <w:style w:type="character" w:customStyle="1" w:styleId="lfejChar">
    <w:name w:val="Élőfej Char"/>
    <w:basedOn w:val="Bekezdsalapbettpusa"/>
    <w:link w:val="lfej"/>
    <w:uiPriority w:val="99"/>
    <w:rsid w:val="00023B78"/>
    <w:rPr>
      <w:rFonts w:ascii="Times New Roman" w:eastAsia="Times New Roman" w:hAnsi="Times New Roman" w:cs="Times New Roman"/>
      <w:lang w:eastAsia="hu-HU" w:bidi="hu-HU"/>
    </w:rPr>
  </w:style>
  <w:style w:type="paragraph" w:styleId="llb">
    <w:name w:val="footer"/>
    <w:basedOn w:val="Norml"/>
    <w:link w:val="llbChar"/>
    <w:uiPriority w:val="99"/>
    <w:unhideWhenUsed/>
    <w:rsid w:val="00023B78"/>
    <w:pPr>
      <w:tabs>
        <w:tab w:val="center" w:pos="4536"/>
        <w:tab w:val="right" w:pos="9072"/>
      </w:tabs>
    </w:pPr>
  </w:style>
  <w:style w:type="character" w:customStyle="1" w:styleId="llbChar">
    <w:name w:val="Élőláb Char"/>
    <w:basedOn w:val="Bekezdsalapbettpusa"/>
    <w:link w:val="llb"/>
    <w:uiPriority w:val="99"/>
    <w:rsid w:val="00023B78"/>
    <w:rPr>
      <w:rFonts w:ascii="Times New Roman" w:eastAsia="Times New Roman" w:hAnsi="Times New Roman" w:cs="Times New Roman"/>
      <w:lang w:eastAsia="hu-HU" w:bidi="hu-HU"/>
    </w:rPr>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uiPriority w:val="99"/>
    <w:rsid w:val="00134AB9"/>
    <w:pPr>
      <w:widowControl/>
      <w:tabs>
        <w:tab w:val="left" w:pos="567"/>
        <w:tab w:val="center" w:pos="4536"/>
        <w:tab w:val="right" w:pos="8306"/>
      </w:tabs>
      <w:autoSpaceDE/>
      <w:autoSpaceDN/>
      <w:spacing w:line="260" w:lineRule="exact"/>
    </w:pPr>
    <w:rPr>
      <w:lang w:val="en-GB" w:bidi="ar-SA"/>
    </w:rPr>
  </w:style>
  <w:style w:type="table" w:styleId="Rcsostblzat">
    <w:name w:val="Table Grid"/>
    <w:basedOn w:val="Normltblzat"/>
    <w:uiPriority w:val="59"/>
    <w:rsid w:val="004F20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ltozat">
    <w:name w:val="Revision"/>
    <w:hidden/>
    <w:uiPriority w:val="99"/>
    <w:semiHidden/>
    <w:rsid w:val="00530BAD"/>
    <w:pPr>
      <w:spacing w:after="0" w:line="240" w:lineRule="auto"/>
    </w:pPr>
    <w:rPr>
      <w:rFonts w:ascii="Times New Roman" w:eastAsia="Times New Roman" w:hAnsi="Times New Roman" w:cs="Times New Roman"/>
      <w:lang w:eastAsia="hu-HU" w:bidi="hu-HU"/>
    </w:rPr>
  </w:style>
  <w:style w:type="paragraph" w:styleId="NormlWeb">
    <w:name w:val="Normal (Web)"/>
    <w:basedOn w:val="Norml"/>
    <w:uiPriority w:val="99"/>
    <w:semiHidden/>
    <w:unhideWhenUsed/>
    <w:rsid w:val="00D72679"/>
    <w:rPr>
      <w:sz w:val="24"/>
      <w:szCs w:val="24"/>
    </w:rPr>
  </w:style>
  <w:style w:type="character" w:styleId="Jegyzethivatkozs">
    <w:name w:val="annotation reference"/>
    <w:basedOn w:val="Bekezdsalapbettpusa"/>
    <w:uiPriority w:val="99"/>
    <w:semiHidden/>
    <w:unhideWhenUsed/>
    <w:rsid w:val="00987180"/>
    <w:rPr>
      <w:sz w:val="16"/>
      <w:szCs w:val="16"/>
    </w:rPr>
  </w:style>
  <w:style w:type="paragraph" w:styleId="Jegyzetszveg">
    <w:name w:val="annotation text"/>
    <w:aliases w:val=" Car17, Car17 Car, Char,Annotationtext,Char Char Char,Char Char1,Comment Text Char Char,Comment Text Char Char Char Char,Comment Text Char Char1,Comment Text Char1,Comment Text Char1 Char,Comment Text Char1 Char Char,Car17,Car17 Car"/>
    <w:basedOn w:val="Norml"/>
    <w:link w:val="JegyzetszvegChar"/>
    <w:unhideWhenUsed/>
    <w:qFormat/>
    <w:rsid w:val="00987180"/>
    <w:rPr>
      <w:sz w:val="20"/>
      <w:szCs w:val="20"/>
    </w:rPr>
  </w:style>
  <w:style w:type="character" w:customStyle="1" w:styleId="JegyzetszvegChar">
    <w:name w:val="Jegyzetszöveg Char"/>
    <w:aliases w:val=" Car17 Char, Car17 Car Char, Char Char,Annotationtext Char,Char Char Char Char,Char Char1 Char,Comment Text Char Char Char,Comment Text Char Char Char Char Char,Comment Text Char Char1 Char,Comment Text Char1 Char1,Car17 Char"/>
    <w:basedOn w:val="Bekezdsalapbettpusa"/>
    <w:link w:val="Jegyzetszveg"/>
    <w:qFormat/>
    <w:rsid w:val="00987180"/>
    <w:rPr>
      <w:rFonts w:ascii="Times New Roman" w:eastAsia="Times New Roman" w:hAnsi="Times New Roman" w:cs="Times New Roman"/>
      <w:sz w:val="20"/>
      <w:szCs w:val="20"/>
      <w:lang w:eastAsia="hu-HU" w:bidi="hu-HU"/>
    </w:rPr>
  </w:style>
  <w:style w:type="paragraph" w:styleId="Megjegyzstrgya">
    <w:name w:val="annotation subject"/>
    <w:basedOn w:val="Jegyzetszveg"/>
    <w:next w:val="Jegyzetszveg"/>
    <w:link w:val="MegjegyzstrgyaChar"/>
    <w:uiPriority w:val="99"/>
    <w:semiHidden/>
    <w:unhideWhenUsed/>
    <w:rsid w:val="00987180"/>
    <w:rPr>
      <w:b/>
      <w:bCs/>
    </w:rPr>
  </w:style>
  <w:style w:type="character" w:customStyle="1" w:styleId="MegjegyzstrgyaChar">
    <w:name w:val="Megjegyzés tárgya Char"/>
    <w:basedOn w:val="JegyzetszvegChar"/>
    <w:link w:val="Megjegyzstrgya"/>
    <w:uiPriority w:val="99"/>
    <w:semiHidden/>
    <w:rsid w:val="00987180"/>
    <w:rPr>
      <w:rFonts w:ascii="Times New Roman" w:eastAsia="Times New Roman" w:hAnsi="Times New Roman" w:cs="Times New Roman"/>
      <w:b/>
      <w:bCs/>
      <w:sz w:val="20"/>
      <w:szCs w:val="20"/>
      <w:lang w:eastAsia="hu-HU" w:bidi="hu-HU"/>
    </w:rPr>
  </w:style>
  <w:style w:type="character" w:styleId="Hiperhivatkozs">
    <w:name w:val="Hyperlink"/>
    <w:basedOn w:val="Bekezdsalapbettpusa"/>
    <w:uiPriority w:val="99"/>
    <w:unhideWhenUsed/>
    <w:rsid w:val="00987180"/>
    <w:rPr>
      <w:color w:val="0563C1" w:themeColor="hyperlink"/>
      <w:u w:val="single"/>
    </w:rPr>
  </w:style>
  <w:style w:type="paragraph" w:customStyle="1" w:styleId="EMEABodyText">
    <w:name w:val="EMEA Body Text"/>
    <w:basedOn w:val="Norml"/>
    <w:link w:val="EMEABodyTextChar"/>
    <w:uiPriority w:val="99"/>
    <w:rsid w:val="00265C86"/>
    <w:pPr>
      <w:widowControl/>
      <w:autoSpaceDE/>
      <w:autoSpaceDN/>
    </w:pPr>
    <w:rPr>
      <w:szCs w:val="20"/>
      <w:lang w:val="en-GB" w:eastAsia="en-US" w:bidi="ar-SA"/>
    </w:rPr>
  </w:style>
  <w:style w:type="character" w:customStyle="1" w:styleId="EMEABodyTextChar">
    <w:name w:val="EMEA Body Text Char"/>
    <w:link w:val="EMEABodyText"/>
    <w:uiPriority w:val="99"/>
    <w:rsid w:val="00265C86"/>
    <w:rPr>
      <w:rFonts w:ascii="Times New Roman" w:eastAsia="Times New Roman" w:hAnsi="Times New Roman" w:cs="Times New Roman"/>
      <w:szCs w:val="20"/>
      <w:lang w:val="en-GB"/>
    </w:rPr>
  </w:style>
  <w:style w:type="paragraph" w:customStyle="1" w:styleId="BMSBodyText">
    <w:name w:val="BMS Body Text"/>
    <w:link w:val="BMSBodyTextChar"/>
    <w:qFormat/>
    <w:rsid w:val="001F3456"/>
    <w:pPr>
      <w:spacing w:before="120" w:after="120" w:line="300" w:lineRule="auto"/>
      <w:jc w:val="both"/>
    </w:pPr>
    <w:rPr>
      <w:rFonts w:ascii="Times New Roman" w:eastAsia="Times New Roman" w:hAnsi="Times New Roman" w:cs="Times New Roman"/>
      <w:color w:val="000000"/>
      <w:sz w:val="24"/>
      <w:szCs w:val="20"/>
    </w:rPr>
  </w:style>
  <w:style w:type="character" w:customStyle="1" w:styleId="BMSBodyTextChar">
    <w:name w:val="BMS Body Text Char"/>
    <w:link w:val="BMSBodyText"/>
    <w:locked/>
    <w:rsid w:val="001F3456"/>
    <w:rPr>
      <w:rFonts w:ascii="Times New Roman" w:eastAsia="Times New Roman" w:hAnsi="Times New Roman" w:cs="Times New Roman"/>
      <w:color w:val="000000"/>
      <w:sz w:val="24"/>
      <w:szCs w:val="20"/>
    </w:rPr>
  </w:style>
  <w:style w:type="paragraph" w:customStyle="1" w:styleId="BMSTableText">
    <w:name w:val="BMS Table Text"/>
    <w:link w:val="BMSTableTextChar"/>
    <w:uiPriority w:val="99"/>
    <w:rsid w:val="001F3456"/>
    <w:pPr>
      <w:tabs>
        <w:tab w:val="left" w:pos="360"/>
      </w:tabs>
      <w:spacing w:before="60" w:after="60" w:line="240" w:lineRule="auto"/>
      <w:jc w:val="center"/>
    </w:pPr>
    <w:rPr>
      <w:rFonts w:ascii="Times New Roman" w:eastAsia="Times New Roman" w:hAnsi="Times New Roman" w:cs="Times New Roman"/>
      <w:sz w:val="20"/>
      <w:szCs w:val="20"/>
      <w:lang w:eastAsia="hu-HU"/>
    </w:rPr>
  </w:style>
  <w:style w:type="character" w:customStyle="1" w:styleId="BMSTableTextChar">
    <w:name w:val="BMS Table Text Char"/>
    <w:link w:val="BMSTableText"/>
    <w:uiPriority w:val="99"/>
    <w:locked/>
    <w:rsid w:val="001F3456"/>
    <w:rPr>
      <w:rFonts w:ascii="Times New Roman" w:eastAsia="Times New Roman" w:hAnsi="Times New Roman" w:cs="Times New Roman"/>
      <w:sz w:val="20"/>
      <w:szCs w:val="20"/>
      <w:lang w:eastAsia="hu-HU"/>
    </w:rPr>
  </w:style>
  <w:style w:type="paragraph" w:customStyle="1" w:styleId="BMSTableHeader">
    <w:name w:val="BMS Table Header"/>
    <w:basedOn w:val="BMSTableText"/>
    <w:link w:val="BMSTableHeaderChar"/>
    <w:uiPriority w:val="99"/>
    <w:rsid w:val="001F3456"/>
    <w:rPr>
      <w:b/>
      <w:lang w:val="x-none" w:eastAsia="x-none"/>
    </w:rPr>
  </w:style>
  <w:style w:type="character" w:customStyle="1" w:styleId="BMSTableHeaderChar">
    <w:name w:val="BMS Table Header Char"/>
    <w:link w:val="BMSTableHeader"/>
    <w:uiPriority w:val="99"/>
    <w:locked/>
    <w:rsid w:val="001F3456"/>
    <w:rPr>
      <w:rFonts w:ascii="Times New Roman" w:eastAsia="Times New Roman" w:hAnsi="Times New Roman" w:cs="Times New Roman"/>
      <w:b/>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690636">
      <w:bodyDiv w:val="1"/>
      <w:marLeft w:val="0"/>
      <w:marRight w:val="0"/>
      <w:marTop w:val="0"/>
      <w:marBottom w:val="0"/>
      <w:divBdr>
        <w:top w:val="none" w:sz="0" w:space="0" w:color="auto"/>
        <w:left w:val="none" w:sz="0" w:space="0" w:color="auto"/>
        <w:bottom w:val="none" w:sz="0" w:space="0" w:color="auto"/>
        <w:right w:val="none" w:sz="0" w:space="0" w:color="auto"/>
      </w:divBdr>
    </w:div>
    <w:div w:id="57097441">
      <w:bodyDiv w:val="1"/>
      <w:marLeft w:val="0"/>
      <w:marRight w:val="0"/>
      <w:marTop w:val="0"/>
      <w:marBottom w:val="0"/>
      <w:divBdr>
        <w:top w:val="none" w:sz="0" w:space="0" w:color="auto"/>
        <w:left w:val="none" w:sz="0" w:space="0" w:color="auto"/>
        <w:bottom w:val="none" w:sz="0" w:space="0" w:color="auto"/>
        <w:right w:val="none" w:sz="0" w:space="0" w:color="auto"/>
      </w:divBdr>
    </w:div>
    <w:div w:id="522474202">
      <w:bodyDiv w:val="1"/>
      <w:marLeft w:val="0"/>
      <w:marRight w:val="0"/>
      <w:marTop w:val="0"/>
      <w:marBottom w:val="0"/>
      <w:divBdr>
        <w:top w:val="none" w:sz="0" w:space="0" w:color="auto"/>
        <w:left w:val="none" w:sz="0" w:space="0" w:color="auto"/>
        <w:bottom w:val="none" w:sz="0" w:space="0" w:color="auto"/>
        <w:right w:val="none" w:sz="0" w:space="0" w:color="auto"/>
      </w:divBdr>
    </w:div>
    <w:div w:id="654844034">
      <w:bodyDiv w:val="1"/>
      <w:marLeft w:val="0"/>
      <w:marRight w:val="0"/>
      <w:marTop w:val="0"/>
      <w:marBottom w:val="0"/>
      <w:divBdr>
        <w:top w:val="none" w:sz="0" w:space="0" w:color="auto"/>
        <w:left w:val="none" w:sz="0" w:space="0" w:color="auto"/>
        <w:bottom w:val="none" w:sz="0" w:space="0" w:color="auto"/>
        <w:right w:val="none" w:sz="0" w:space="0" w:color="auto"/>
      </w:divBdr>
    </w:div>
    <w:div w:id="764307780">
      <w:bodyDiv w:val="1"/>
      <w:marLeft w:val="0"/>
      <w:marRight w:val="0"/>
      <w:marTop w:val="0"/>
      <w:marBottom w:val="0"/>
      <w:divBdr>
        <w:top w:val="none" w:sz="0" w:space="0" w:color="auto"/>
        <w:left w:val="none" w:sz="0" w:space="0" w:color="auto"/>
        <w:bottom w:val="none" w:sz="0" w:space="0" w:color="auto"/>
        <w:right w:val="none" w:sz="0" w:space="0" w:color="auto"/>
      </w:divBdr>
    </w:div>
    <w:div w:id="814875211">
      <w:bodyDiv w:val="1"/>
      <w:marLeft w:val="0"/>
      <w:marRight w:val="0"/>
      <w:marTop w:val="0"/>
      <w:marBottom w:val="0"/>
      <w:divBdr>
        <w:top w:val="none" w:sz="0" w:space="0" w:color="auto"/>
        <w:left w:val="none" w:sz="0" w:space="0" w:color="auto"/>
        <w:bottom w:val="none" w:sz="0" w:space="0" w:color="auto"/>
        <w:right w:val="none" w:sz="0" w:space="0" w:color="auto"/>
      </w:divBdr>
    </w:div>
    <w:div w:id="1171218485">
      <w:bodyDiv w:val="1"/>
      <w:marLeft w:val="0"/>
      <w:marRight w:val="0"/>
      <w:marTop w:val="0"/>
      <w:marBottom w:val="0"/>
      <w:divBdr>
        <w:top w:val="none" w:sz="0" w:space="0" w:color="auto"/>
        <w:left w:val="none" w:sz="0" w:space="0" w:color="auto"/>
        <w:bottom w:val="none" w:sz="0" w:space="0" w:color="auto"/>
        <w:right w:val="none" w:sz="0" w:space="0" w:color="auto"/>
      </w:divBdr>
    </w:div>
    <w:div w:id="1173764348">
      <w:bodyDiv w:val="1"/>
      <w:marLeft w:val="0"/>
      <w:marRight w:val="0"/>
      <w:marTop w:val="0"/>
      <w:marBottom w:val="0"/>
      <w:divBdr>
        <w:top w:val="none" w:sz="0" w:space="0" w:color="auto"/>
        <w:left w:val="none" w:sz="0" w:space="0" w:color="auto"/>
        <w:bottom w:val="none" w:sz="0" w:space="0" w:color="auto"/>
        <w:right w:val="none" w:sz="0" w:space="0" w:color="auto"/>
      </w:divBdr>
    </w:div>
    <w:div w:id="1188908471">
      <w:bodyDiv w:val="1"/>
      <w:marLeft w:val="0"/>
      <w:marRight w:val="0"/>
      <w:marTop w:val="0"/>
      <w:marBottom w:val="0"/>
      <w:divBdr>
        <w:top w:val="none" w:sz="0" w:space="0" w:color="auto"/>
        <w:left w:val="none" w:sz="0" w:space="0" w:color="auto"/>
        <w:bottom w:val="none" w:sz="0" w:space="0" w:color="auto"/>
        <w:right w:val="none" w:sz="0" w:space="0" w:color="auto"/>
      </w:divBdr>
    </w:div>
    <w:div w:id="1213999863">
      <w:bodyDiv w:val="1"/>
      <w:marLeft w:val="0"/>
      <w:marRight w:val="0"/>
      <w:marTop w:val="0"/>
      <w:marBottom w:val="0"/>
      <w:divBdr>
        <w:top w:val="none" w:sz="0" w:space="0" w:color="auto"/>
        <w:left w:val="none" w:sz="0" w:space="0" w:color="auto"/>
        <w:bottom w:val="none" w:sz="0" w:space="0" w:color="auto"/>
        <w:right w:val="none" w:sz="0" w:space="0" w:color="auto"/>
      </w:divBdr>
    </w:div>
    <w:div w:id="1610431834">
      <w:bodyDiv w:val="1"/>
      <w:marLeft w:val="0"/>
      <w:marRight w:val="0"/>
      <w:marTop w:val="0"/>
      <w:marBottom w:val="0"/>
      <w:divBdr>
        <w:top w:val="none" w:sz="0" w:space="0" w:color="auto"/>
        <w:left w:val="none" w:sz="0" w:space="0" w:color="auto"/>
        <w:bottom w:val="none" w:sz="0" w:space="0" w:color="auto"/>
        <w:right w:val="none" w:sz="0" w:space="0" w:color="auto"/>
      </w:divBdr>
    </w:div>
    <w:div w:id="1632780979">
      <w:bodyDiv w:val="1"/>
      <w:marLeft w:val="0"/>
      <w:marRight w:val="0"/>
      <w:marTop w:val="0"/>
      <w:marBottom w:val="0"/>
      <w:divBdr>
        <w:top w:val="none" w:sz="0" w:space="0" w:color="auto"/>
        <w:left w:val="none" w:sz="0" w:space="0" w:color="auto"/>
        <w:bottom w:val="none" w:sz="0" w:space="0" w:color="auto"/>
        <w:right w:val="none" w:sz="0" w:space="0" w:color="auto"/>
      </w:divBdr>
    </w:div>
    <w:div w:id="2057661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anslate.glosbe.com/en-hu/Apixaban%20paediatric%20administration%20is%20based%20on%20a%20fixed-dose%20by%20weight-tier%20regime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ema.europa.eu/docs/en_GB/document_library/Template_or_form/2013/03/WC500139752.doc" TargetMode="External"/><Relationship Id="rId14" Type="http://schemas.microsoft.com/office/2016/09/relationships/commentsIds" Target="commentsId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1DD7D3-BBAD-479C-936E-22312E743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37</Pages>
  <Words>13895</Words>
  <Characters>95877</Characters>
  <Application>Microsoft Office Word</Application>
  <DocSecurity>0</DocSecurity>
  <Lines>798</Lines>
  <Paragraphs>219</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TEVA</Company>
  <LinksUpToDate>false</LinksUpToDate>
  <CharactersWithSpaces>109553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Ü.J.</dc:creator>
  <cp:lastModifiedBy>HU_OGYI_7.1</cp:lastModifiedBy>
  <cp:revision>26</cp:revision>
  <dcterms:created xsi:type="dcterms:W3CDTF">2026-03-16T07:42:00Z</dcterms:created>
  <dcterms:modified xsi:type="dcterms:W3CDTF">2026-04-26T21:27:00Z</dcterms:modified>
</cp:coreProperties>
</file>