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BBC69" w14:textId="6C2A12C9" w:rsidR="007543BB" w:rsidRDefault="00390A1D" w:rsidP="009F51B8">
      <w:pPr>
        <w:keepNext/>
        <w:ind w:left="567" w:hanging="567"/>
        <w:rPr>
          <w:b/>
          <w:bCs/>
        </w:rPr>
      </w:pPr>
      <w:bookmarkStart w:id="0" w:name="_GoBack"/>
      <w:bookmarkEnd w:id="0"/>
      <w:r w:rsidRPr="009F51B8">
        <w:rPr>
          <w:b/>
          <w:bCs/>
        </w:rPr>
        <w:t>1.</w:t>
      </w:r>
      <w:r w:rsidRPr="009F51B8">
        <w:rPr>
          <w:b/>
          <w:bCs/>
        </w:rPr>
        <w:tab/>
      </w:r>
      <w:r w:rsidR="002D677C" w:rsidRPr="009F51B8">
        <w:rPr>
          <w:b/>
          <w:bCs/>
        </w:rPr>
        <w:t>A GYÓGYSZER NEVE</w:t>
      </w:r>
    </w:p>
    <w:p w14:paraId="0E5ED0F0" w14:textId="77777777" w:rsidR="009F51B8" w:rsidRPr="007404EB" w:rsidRDefault="009F51B8" w:rsidP="007404EB"/>
    <w:p w14:paraId="1207EA9A" w14:textId="69EBC407" w:rsidR="007543BB" w:rsidRDefault="007404EB" w:rsidP="0089574A">
      <w:r w:rsidRPr="007404EB">
        <w:t>Apixaban Viatris Pharma</w:t>
      </w:r>
      <w:r w:rsidR="002D677C" w:rsidRPr="0089574A">
        <w:t xml:space="preserve"> 5</w:t>
      </w:r>
      <w:r w:rsidR="008F72E9">
        <w:t> </w:t>
      </w:r>
      <w:r w:rsidR="002D677C" w:rsidRPr="0089574A">
        <w:t>mg filmtabletta</w:t>
      </w:r>
    </w:p>
    <w:p w14:paraId="45DF5E76" w14:textId="77777777" w:rsidR="0089574A" w:rsidRDefault="0089574A" w:rsidP="0089574A"/>
    <w:p w14:paraId="63EB6AC9" w14:textId="77777777" w:rsidR="0089574A" w:rsidRPr="0089574A" w:rsidRDefault="0089574A" w:rsidP="0089574A"/>
    <w:p w14:paraId="54BFE358" w14:textId="3498FCE1" w:rsidR="007543BB" w:rsidRDefault="00390A1D" w:rsidP="009F51B8">
      <w:pPr>
        <w:keepNext/>
        <w:ind w:left="567" w:hanging="567"/>
        <w:rPr>
          <w:b/>
          <w:bCs/>
        </w:rPr>
      </w:pPr>
      <w:r w:rsidRPr="009F51B8">
        <w:rPr>
          <w:b/>
          <w:bCs/>
        </w:rPr>
        <w:t>2.</w:t>
      </w:r>
      <w:r w:rsidRPr="009F51B8">
        <w:rPr>
          <w:b/>
          <w:bCs/>
        </w:rPr>
        <w:tab/>
      </w:r>
      <w:r w:rsidR="002D677C" w:rsidRPr="009F51B8">
        <w:rPr>
          <w:b/>
          <w:bCs/>
        </w:rPr>
        <w:t>MINŐSÉGI ÉS MENNYISÉGI ÖSSZETÉTEL</w:t>
      </w:r>
    </w:p>
    <w:p w14:paraId="1BB9A07B" w14:textId="77777777" w:rsidR="0089574A" w:rsidRPr="009F51B8" w:rsidRDefault="0089574A" w:rsidP="009F51B8">
      <w:pPr>
        <w:keepNext/>
        <w:ind w:left="567" w:hanging="567"/>
        <w:rPr>
          <w:b/>
          <w:bCs/>
        </w:rPr>
      </w:pPr>
    </w:p>
    <w:p w14:paraId="60819928" w14:textId="6CA51120" w:rsidR="007543BB" w:rsidRDefault="002D677C" w:rsidP="0089574A">
      <w:r w:rsidRPr="0089574A">
        <w:t>5</w:t>
      </w:r>
      <w:r w:rsidR="008F72E9">
        <w:t> </w:t>
      </w:r>
      <w:r w:rsidRPr="0089574A">
        <w:t>mg apixabánt tartalmaz filmtablettánként.</w:t>
      </w:r>
    </w:p>
    <w:p w14:paraId="362FE7DD" w14:textId="77777777" w:rsidR="0089574A" w:rsidRPr="0089574A" w:rsidRDefault="0089574A" w:rsidP="0089574A"/>
    <w:p w14:paraId="66DD8CD7" w14:textId="77777777" w:rsidR="007543BB" w:rsidRDefault="002D677C" w:rsidP="0089574A">
      <w:pPr>
        <w:keepNext/>
        <w:rPr>
          <w:u w:val="single"/>
        </w:rPr>
      </w:pPr>
      <w:r w:rsidRPr="0089574A">
        <w:rPr>
          <w:u w:val="single"/>
        </w:rPr>
        <w:t>Ismert hatású segédanyagok</w:t>
      </w:r>
    </w:p>
    <w:p w14:paraId="0FD8D302" w14:textId="77777777" w:rsidR="0089574A" w:rsidRPr="0089574A" w:rsidRDefault="0089574A" w:rsidP="0089574A">
      <w:pPr>
        <w:keepNext/>
        <w:rPr>
          <w:u w:val="single"/>
        </w:rPr>
      </w:pPr>
    </w:p>
    <w:p w14:paraId="5C70F0DE" w14:textId="6DFE196B" w:rsidR="007543BB" w:rsidRDefault="002D677C" w:rsidP="0089574A">
      <w:r w:rsidRPr="0089574A">
        <w:t>103</w:t>
      </w:r>
      <w:r w:rsidR="008F72E9">
        <w:t>,5</w:t>
      </w:r>
      <w:r w:rsidR="008B7504">
        <w:t> </w:t>
      </w:r>
      <w:r w:rsidRPr="0089574A">
        <w:t>mg laktózt tartalmaz filmtablettánként (lásd 4.4</w:t>
      </w:r>
      <w:r w:rsidR="008F72E9">
        <w:t> </w:t>
      </w:r>
      <w:r w:rsidRPr="0089574A">
        <w:t xml:space="preserve"> pont).</w:t>
      </w:r>
    </w:p>
    <w:p w14:paraId="4E53CD41" w14:textId="77777777" w:rsidR="0089574A" w:rsidRPr="0089574A" w:rsidRDefault="0089574A" w:rsidP="0089574A"/>
    <w:p w14:paraId="73D5498A" w14:textId="48221A67" w:rsidR="007543BB" w:rsidRDefault="002D677C" w:rsidP="0089574A">
      <w:r w:rsidRPr="0089574A">
        <w:t>A segédanyagok teljes listáját lásd a 6.1</w:t>
      </w:r>
      <w:r w:rsidR="008F72E9">
        <w:t> </w:t>
      </w:r>
      <w:r w:rsidRPr="0089574A">
        <w:t>pontban.</w:t>
      </w:r>
    </w:p>
    <w:p w14:paraId="1C3E56B2" w14:textId="77777777" w:rsidR="0089574A" w:rsidRDefault="0089574A" w:rsidP="0089574A"/>
    <w:p w14:paraId="30EC7043" w14:textId="77777777" w:rsidR="0089574A" w:rsidRPr="0089574A" w:rsidRDefault="0089574A" w:rsidP="0089574A"/>
    <w:p w14:paraId="58732B9E" w14:textId="286B39E6" w:rsidR="007543BB" w:rsidRDefault="00390A1D" w:rsidP="009F51B8">
      <w:pPr>
        <w:keepNext/>
        <w:ind w:left="567" w:hanging="567"/>
        <w:rPr>
          <w:b/>
          <w:bCs/>
        </w:rPr>
      </w:pPr>
      <w:r w:rsidRPr="009F51B8">
        <w:rPr>
          <w:b/>
          <w:bCs/>
        </w:rPr>
        <w:t>3.</w:t>
      </w:r>
      <w:r w:rsidRPr="009F51B8">
        <w:rPr>
          <w:b/>
          <w:bCs/>
        </w:rPr>
        <w:tab/>
      </w:r>
      <w:r w:rsidR="002D677C" w:rsidRPr="009F51B8">
        <w:rPr>
          <w:b/>
          <w:bCs/>
        </w:rPr>
        <w:t>GYÓGYSZERFORMA</w:t>
      </w:r>
    </w:p>
    <w:p w14:paraId="60C4380E" w14:textId="77777777" w:rsidR="0089574A" w:rsidRPr="009F51B8" w:rsidRDefault="0089574A" w:rsidP="009F51B8">
      <w:pPr>
        <w:keepNext/>
        <w:ind w:left="567" w:hanging="567"/>
        <w:rPr>
          <w:b/>
          <w:bCs/>
        </w:rPr>
      </w:pPr>
    </w:p>
    <w:p w14:paraId="555D293C" w14:textId="77777777" w:rsidR="007543BB" w:rsidRPr="0089574A" w:rsidRDefault="002D677C" w:rsidP="0089574A">
      <w:r w:rsidRPr="0089574A">
        <w:t>Filmtabletta (tabletta)</w:t>
      </w:r>
    </w:p>
    <w:p w14:paraId="7203BEA8" w14:textId="23B41CE3" w:rsidR="007543BB" w:rsidRDefault="008F72E9" w:rsidP="00156D91">
      <w:r>
        <w:t>Barna</w:t>
      </w:r>
      <w:r w:rsidR="002D677C" w:rsidRPr="0089574A">
        <w:t>, ovális (</w:t>
      </w:r>
      <w:r>
        <w:t>körülbelül 6,2 </w:t>
      </w:r>
      <w:r w:rsidR="008B7504">
        <w:t>×</w:t>
      </w:r>
      <w:r>
        <w:t> </w:t>
      </w:r>
      <w:r w:rsidR="002D677C" w:rsidRPr="0089574A">
        <w:t>10</w:t>
      </w:r>
      <w:r>
        <w:t>,2 </w:t>
      </w:r>
      <w:r w:rsidR="002D677C" w:rsidRPr="0089574A">
        <w:t>mm</w:t>
      </w:r>
      <w:r>
        <w:t xml:space="preserve"> méretű</w:t>
      </w:r>
      <w:r w:rsidR="002D677C" w:rsidRPr="0089574A">
        <w:t xml:space="preserve">), </w:t>
      </w:r>
      <w:r w:rsidR="000616EF">
        <w:t>mindkét oldalán domború</w:t>
      </w:r>
      <w:r>
        <w:t xml:space="preserve">, metszett élű, </w:t>
      </w:r>
      <w:r w:rsidR="002D677C" w:rsidRPr="0089574A">
        <w:t>egyik oldalán „</w:t>
      </w:r>
      <w:r>
        <w:t>X5</w:t>
      </w:r>
      <w:r w:rsidR="002D677C" w:rsidRPr="0089574A">
        <w:t>”, másik oldalán „</w:t>
      </w:r>
      <w:r>
        <w:t>M</w:t>
      </w:r>
      <w:r w:rsidR="002D677C" w:rsidRPr="0089574A">
        <w:t>” mélynyomású jelzéssel ellátott tabletta.</w:t>
      </w:r>
    </w:p>
    <w:p w14:paraId="4742B426" w14:textId="77777777" w:rsidR="0089574A" w:rsidRDefault="0089574A" w:rsidP="0089574A"/>
    <w:p w14:paraId="2FAA9FE8" w14:textId="77777777" w:rsidR="0089574A" w:rsidRPr="0089574A" w:rsidRDefault="0089574A" w:rsidP="0089574A"/>
    <w:p w14:paraId="14B62766" w14:textId="157AF08E" w:rsidR="007543BB" w:rsidRDefault="00390A1D" w:rsidP="009F51B8">
      <w:pPr>
        <w:keepNext/>
        <w:ind w:left="567" w:hanging="567"/>
        <w:rPr>
          <w:b/>
          <w:bCs/>
        </w:rPr>
      </w:pPr>
      <w:r w:rsidRPr="009F51B8">
        <w:rPr>
          <w:b/>
          <w:bCs/>
        </w:rPr>
        <w:t>4.</w:t>
      </w:r>
      <w:r w:rsidRPr="009F51B8">
        <w:rPr>
          <w:b/>
          <w:bCs/>
        </w:rPr>
        <w:tab/>
      </w:r>
      <w:r w:rsidR="002D677C" w:rsidRPr="009F51B8">
        <w:rPr>
          <w:b/>
          <w:bCs/>
        </w:rPr>
        <w:t>KLINIKAI JELLEMZŐK</w:t>
      </w:r>
    </w:p>
    <w:p w14:paraId="1287AFCC" w14:textId="77777777" w:rsidR="0089574A" w:rsidRPr="009F51B8" w:rsidRDefault="0089574A" w:rsidP="009F51B8">
      <w:pPr>
        <w:keepNext/>
        <w:ind w:left="567" w:hanging="567"/>
        <w:rPr>
          <w:b/>
          <w:bCs/>
        </w:rPr>
      </w:pPr>
    </w:p>
    <w:p w14:paraId="2B122AFB" w14:textId="5838C8C4" w:rsidR="007543BB" w:rsidRDefault="00390A1D" w:rsidP="009F51B8">
      <w:pPr>
        <w:keepNext/>
        <w:ind w:left="567" w:hanging="567"/>
        <w:rPr>
          <w:b/>
          <w:bCs/>
        </w:rPr>
      </w:pPr>
      <w:r>
        <w:rPr>
          <w:b/>
          <w:bCs/>
        </w:rPr>
        <w:t>4.1</w:t>
      </w:r>
      <w:r>
        <w:rPr>
          <w:b/>
          <w:bCs/>
        </w:rPr>
        <w:tab/>
      </w:r>
      <w:r w:rsidR="002D677C" w:rsidRPr="009F51B8">
        <w:rPr>
          <w:b/>
          <w:bCs/>
        </w:rPr>
        <w:t>Terápiás javallatok</w:t>
      </w:r>
    </w:p>
    <w:p w14:paraId="4943FFB6" w14:textId="77777777" w:rsidR="0089574A" w:rsidRPr="0089574A" w:rsidRDefault="0089574A" w:rsidP="0089574A">
      <w:pPr>
        <w:keepNext/>
        <w:rPr>
          <w:u w:val="single"/>
        </w:rPr>
      </w:pPr>
    </w:p>
    <w:p w14:paraId="056405A1" w14:textId="4FC4EE82" w:rsidR="007543BB" w:rsidRDefault="002D677C" w:rsidP="0089574A">
      <w:r w:rsidRPr="0089574A">
        <w:t>A stroke és a szisztémás embolizáció megelőzése nem billentyű eredetű pitvarfibrillációban (</w:t>
      </w:r>
      <w:r w:rsidR="000616EF" w:rsidRPr="00071D21">
        <w:t>non-valvular atrial fibrillation</w:t>
      </w:r>
      <w:r w:rsidR="000616EF">
        <w:t xml:space="preserve">, </w:t>
      </w:r>
      <w:r w:rsidRPr="0089574A">
        <w:t>NVPF) szenvedő, egy vagy több kockázati tényezővel rendelkező felnőtt betegeknél, amilyen például a korábbi stroke</w:t>
      </w:r>
      <w:r w:rsidR="00717205">
        <w:t xml:space="preserve">, </w:t>
      </w:r>
      <w:r w:rsidR="00717205" w:rsidRPr="000616EF">
        <w:t>átmeneti agyi keringési zavar</w:t>
      </w:r>
      <w:r w:rsidRPr="0089574A">
        <w:t xml:space="preserve"> vagy tran</w:t>
      </w:r>
      <w:r w:rsidR="000616EF">
        <w:t>z</w:t>
      </w:r>
      <w:r w:rsidRPr="0089574A">
        <w:t>iens ischaemiás attack (TIA), a 75</w:t>
      </w:r>
      <w:r w:rsidR="008F72E9">
        <w:t> </w:t>
      </w:r>
      <w:r w:rsidRPr="0089574A">
        <w:t>év vagy a feletti életkor, a hypertonia, a diabetes mellitus, valamint a tünetekkel járó szívelégtelenség (NYHA stádium</w:t>
      </w:r>
      <w:r w:rsidR="008F72E9">
        <w:t> </w:t>
      </w:r>
      <w:r w:rsidR="0089574A" w:rsidRPr="004311F4">
        <w:t>≥</w:t>
      </w:r>
      <w:r w:rsidR="00A86D32" w:rsidRPr="004311F4">
        <w:t> </w:t>
      </w:r>
      <w:r w:rsidRPr="0089574A">
        <w:t>II).</w:t>
      </w:r>
    </w:p>
    <w:p w14:paraId="668F537C" w14:textId="77777777" w:rsidR="0089574A" w:rsidRPr="0089574A" w:rsidRDefault="0089574A" w:rsidP="0089574A"/>
    <w:p w14:paraId="6938AAA8" w14:textId="580500DD" w:rsidR="007543BB" w:rsidRDefault="000616EF" w:rsidP="0089574A">
      <w:r>
        <w:t>M</w:t>
      </w:r>
      <w:r w:rsidR="002D677C" w:rsidRPr="0089574A">
        <w:t xml:space="preserve">élyvénás thrombosis (MVT) és pulmonalis embolia (PE) kezelése, valamint az MVT és a PE kiújulásának megelőzése felnőtteknél (a hemodinamikailag instabil tüdőembóliás betegeket lásd a 4.4 </w:t>
      </w:r>
      <w:r w:rsidR="008F72E9">
        <w:t> </w:t>
      </w:r>
      <w:r w:rsidR="002D677C" w:rsidRPr="0089574A">
        <w:t>pontban).</w:t>
      </w:r>
    </w:p>
    <w:p w14:paraId="75E2FBA0" w14:textId="77777777" w:rsidR="0089574A" w:rsidRPr="0089574A" w:rsidRDefault="0089574A" w:rsidP="0089574A"/>
    <w:p w14:paraId="2B663BD6" w14:textId="3560A8CE" w:rsidR="007543BB" w:rsidRDefault="00390A1D" w:rsidP="009F51B8">
      <w:pPr>
        <w:keepNext/>
        <w:ind w:left="567" w:hanging="567"/>
        <w:rPr>
          <w:b/>
          <w:bCs/>
        </w:rPr>
      </w:pPr>
      <w:r>
        <w:rPr>
          <w:b/>
          <w:bCs/>
        </w:rPr>
        <w:t>4.2</w:t>
      </w:r>
      <w:r>
        <w:rPr>
          <w:b/>
          <w:bCs/>
        </w:rPr>
        <w:tab/>
      </w:r>
      <w:r w:rsidR="002D677C" w:rsidRPr="009F51B8">
        <w:rPr>
          <w:b/>
          <w:bCs/>
        </w:rPr>
        <w:t>Adagolás és alkalmazás</w:t>
      </w:r>
    </w:p>
    <w:p w14:paraId="5C8C08DD" w14:textId="77777777" w:rsidR="0089574A" w:rsidRPr="009F51B8" w:rsidRDefault="0089574A" w:rsidP="009F51B8">
      <w:pPr>
        <w:keepNext/>
        <w:ind w:left="567" w:hanging="567"/>
        <w:rPr>
          <w:b/>
          <w:bCs/>
        </w:rPr>
      </w:pPr>
    </w:p>
    <w:p w14:paraId="0C124D66" w14:textId="77777777" w:rsidR="007543BB" w:rsidRDefault="002D677C" w:rsidP="0089574A">
      <w:pPr>
        <w:keepNext/>
        <w:rPr>
          <w:u w:val="single"/>
        </w:rPr>
      </w:pPr>
      <w:r w:rsidRPr="0089574A">
        <w:rPr>
          <w:u w:val="single"/>
        </w:rPr>
        <w:t>Adagolás</w:t>
      </w:r>
    </w:p>
    <w:p w14:paraId="5468BB06" w14:textId="77777777" w:rsidR="0089574A" w:rsidRPr="0089574A" w:rsidRDefault="0089574A" w:rsidP="0089574A">
      <w:pPr>
        <w:keepNext/>
        <w:rPr>
          <w:u w:val="single"/>
        </w:rPr>
      </w:pPr>
    </w:p>
    <w:p w14:paraId="19D5B8F7" w14:textId="52FF120C" w:rsidR="0089574A" w:rsidRPr="0089574A" w:rsidRDefault="000616EF" w:rsidP="0089574A">
      <w:pPr>
        <w:keepNext/>
        <w:rPr>
          <w:i/>
          <w:iCs/>
          <w:u w:val="single"/>
        </w:rPr>
      </w:pPr>
      <w:r>
        <w:rPr>
          <w:i/>
          <w:iCs/>
          <w:u w:val="single"/>
        </w:rPr>
        <w:t>S</w:t>
      </w:r>
      <w:r w:rsidR="002D677C" w:rsidRPr="0089574A">
        <w:rPr>
          <w:i/>
          <w:iCs/>
          <w:u w:val="single"/>
        </w:rPr>
        <w:t>troke és a szisztémás embolizáció megelőzése nem billentyű eredetű pitvarfibrillációban (</w:t>
      </w:r>
      <w:r w:rsidRPr="000616EF">
        <w:rPr>
          <w:i/>
          <w:iCs/>
          <w:u w:val="single"/>
        </w:rPr>
        <w:t xml:space="preserve">non-valvular atrial fibrillation, </w:t>
      </w:r>
      <w:r w:rsidR="002D677C" w:rsidRPr="0089574A">
        <w:rPr>
          <w:i/>
          <w:iCs/>
          <w:u w:val="single"/>
        </w:rPr>
        <w:t>NVPF) szenvedő betegeknél</w:t>
      </w:r>
    </w:p>
    <w:p w14:paraId="0ADFE01C" w14:textId="1E64488D" w:rsidR="007543BB" w:rsidRDefault="002D677C" w:rsidP="0089574A">
      <w:r w:rsidRPr="0089574A">
        <w:t xml:space="preserve">Az apixabán javasolt </w:t>
      </w:r>
      <w:r w:rsidR="000616EF">
        <w:t>dózisa</w:t>
      </w:r>
      <w:r w:rsidRPr="0089574A">
        <w:t xml:space="preserve"> naponta kétszer 5</w:t>
      </w:r>
      <w:r w:rsidR="008F72E9">
        <w:t> </w:t>
      </w:r>
      <w:r w:rsidRPr="0089574A">
        <w:t>mg, szájon át alkalmazva.</w:t>
      </w:r>
    </w:p>
    <w:p w14:paraId="407E028D" w14:textId="77777777" w:rsidR="0089574A" w:rsidRPr="0089574A" w:rsidRDefault="0089574A" w:rsidP="0089574A"/>
    <w:p w14:paraId="49A544D3" w14:textId="77777777" w:rsidR="007543BB" w:rsidRPr="0089574A" w:rsidRDefault="002D677C" w:rsidP="0089574A">
      <w:pPr>
        <w:keepNext/>
        <w:rPr>
          <w:i/>
          <w:iCs/>
        </w:rPr>
      </w:pPr>
      <w:r w:rsidRPr="0089574A">
        <w:rPr>
          <w:i/>
          <w:iCs/>
        </w:rPr>
        <w:t>Dóziscsökkentés</w:t>
      </w:r>
    </w:p>
    <w:p w14:paraId="644E2466" w14:textId="08401C2C" w:rsidR="007543BB" w:rsidRDefault="002D677C" w:rsidP="0089574A">
      <w:r w:rsidRPr="0089574A">
        <w:t xml:space="preserve">Az olyan, nem billentyű eredetű pitvarfibrillációban szenvedő betegeknél, akiknél az alábbi jellemzők közül legalább </w:t>
      </w:r>
      <w:r w:rsidR="000616EF">
        <w:t>kettő</w:t>
      </w:r>
      <w:r w:rsidRPr="0089574A">
        <w:t xml:space="preserve"> megtalálható, az apixabán javasolt adagja naponta kétszer 2,5</w:t>
      </w:r>
      <w:r w:rsidR="008F72E9">
        <w:t> </w:t>
      </w:r>
      <w:r w:rsidRPr="0089574A">
        <w:t>mg, szájon át alkalmazva: életkor</w:t>
      </w:r>
      <w:r w:rsidR="008F72E9">
        <w:t> </w:t>
      </w:r>
      <w:r w:rsidR="0089574A" w:rsidRPr="004311F4">
        <w:t>≥</w:t>
      </w:r>
      <w:r w:rsidRPr="0089574A">
        <w:t>80 év, testtömeg</w:t>
      </w:r>
      <w:r w:rsidR="008F72E9">
        <w:t> </w:t>
      </w:r>
      <w:r w:rsidR="0089574A" w:rsidRPr="004311F4">
        <w:t>≤</w:t>
      </w:r>
      <w:r w:rsidR="00A86D32">
        <w:t> </w:t>
      </w:r>
      <w:r w:rsidRPr="0089574A">
        <w:t>60</w:t>
      </w:r>
      <w:r w:rsidR="008F72E9">
        <w:t> </w:t>
      </w:r>
      <w:r w:rsidRPr="0089574A">
        <w:t>kg vagy a szérum-kreatininszint</w:t>
      </w:r>
      <w:r w:rsidR="008F72E9">
        <w:t> </w:t>
      </w:r>
      <w:r w:rsidR="0089574A" w:rsidRPr="004311F4">
        <w:t>≥</w:t>
      </w:r>
      <w:r w:rsidR="00A86D32">
        <w:t> </w:t>
      </w:r>
      <w:r w:rsidRPr="0089574A">
        <w:t>1,5</w:t>
      </w:r>
      <w:r w:rsidR="008F72E9">
        <w:t> </w:t>
      </w:r>
      <w:r w:rsidRPr="0089574A">
        <w:t>mg/dl (133</w:t>
      </w:r>
      <w:r w:rsidR="008F72E9">
        <w:t> </w:t>
      </w:r>
      <w:r w:rsidR="0089574A">
        <w:t>µ</w:t>
      </w:r>
      <w:r w:rsidRPr="0089574A">
        <w:t>mol/l).</w:t>
      </w:r>
    </w:p>
    <w:p w14:paraId="2A5AD541" w14:textId="77777777" w:rsidR="0089574A" w:rsidRPr="0089574A" w:rsidRDefault="0089574A" w:rsidP="0089574A"/>
    <w:p w14:paraId="24D73D6A" w14:textId="77777777" w:rsidR="007543BB" w:rsidRDefault="002D677C" w:rsidP="0089574A">
      <w:r w:rsidRPr="0089574A">
        <w:t>A kezelést hosszú távon kell folytatni.</w:t>
      </w:r>
    </w:p>
    <w:p w14:paraId="1284BE2E" w14:textId="77777777" w:rsidR="0089574A" w:rsidRPr="0089574A" w:rsidRDefault="0089574A" w:rsidP="0089574A"/>
    <w:p w14:paraId="705BD59C" w14:textId="2B02D9D8" w:rsidR="007543BB" w:rsidRPr="0089574A" w:rsidRDefault="002D677C" w:rsidP="0089574A">
      <w:pPr>
        <w:keepNext/>
        <w:rPr>
          <w:i/>
          <w:iCs/>
          <w:u w:val="single"/>
        </w:rPr>
      </w:pPr>
      <w:r w:rsidRPr="0089574A">
        <w:rPr>
          <w:i/>
          <w:iCs/>
          <w:u w:val="single"/>
        </w:rPr>
        <w:t>Az MVT</w:t>
      </w:r>
      <w:r w:rsidR="00156D91">
        <w:rPr>
          <w:i/>
          <w:iCs/>
          <w:u w:val="single"/>
        </w:rPr>
        <w:t xml:space="preserve"> </w:t>
      </w:r>
      <w:r w:rsidRPr="0089574A">
        <w:rPr>
          <w:i/>
          <w:iCs/>
          <w:u w:val="single"/>
        </w:rPr>
        <w:t>kezelése, a PE kezelése és az MVT</w:t>
      </w:r>
      <w:r w:rsidR="00156D91">
        <w:rPr>
          <w:i/>
          <w:iCs/>
          <w:u w:val="single"/>
        </w:rPr>
        <w:t xml:space="preserve"> </w:t>
      </w:r>
      <w:r w:rsidRPr="0089574A">
        <w:rPr>
          <w:i/>
          <w:iCs/>
          <w:u w:val="single"/>
        </w:rPr>
        <w:t>és a PE kiújulásának megelőzése (együtt: VTEt)</w:t>
      </w:r>
    </w:p>
    <w:p w14:paraId="0E1EB42A" w14:textId="11959843" w:rsidR="007543BB" w:rsidRDefault="002D677C" w:rsidP="0089574A">
      <w:r w:rsidRPr="0089574A">
        <w:t xml:space="preserve">Az apixabán javasolt </w:t>
      </w:r>
      <w:r w:rsidR="000616EF">
        <w:t>dózisa</w:t>
      </w:r>
      <w:r w:rsidRPr="0089574A">
        <w:t xml:space="preserve"> akut mélyvénás thrombosis kezelésére és pulmonalis embolia kezelésére az első 7</w:t>
      </w:r>
      <w:r w:rsidR="005C457E">
        <w:t> </w:t>
      </w:r>
      <w:r w:rsidRPr="0089574A">
        <w:t>nap naponta kétszer 10</w:t>
      </w:r>
      <w:r w:rsidR="005C457E">
        <w:t> </w:t>
      </w:r>
      <w:r w:rsidRPr="0089574A">
        <w:t>mg szájon át alkalmazva, majd azt követően naponta kétszer 5</w:t>
      </w:r>
      <w:r w:rsidR="005C457E">
        <w:t> </w:t>
      </w:r>
      <w:r w:rsidRPr="0089574A">
        <w:t xml:space="preserve">mg szájon át alkalmazva. A rendelkezésre álló orvosi irányelvek szerint a rövid </w:t>
      </w:r>
      <w:r w:rsidR="000616EF">
        <w:t>távú</w:t>
      </w:r>
      <w:r w:rsidRPr="0089574A">
        <w:t xml:space="preserve"> terápiának (legalább </w:t>
      </w:r>
      <w:r w:rsidRPr="0089574A">
        <w:lastRenderedPageBreak/>
        <w:t>3</w:t>
      </w:r>
      <w:r w:rsidR="005C457E">
        <w:t> </w:t>
      </w:r>
      <w:r w:rsidRPr="0089574A">
        <w:t>hónap) az átmeneti kockázati tényezőkön (pl. nemrégiben lezajlott műtét, trauma, immobilizáció) kell alapulnia.</w:t>
      </w:r>
    </w:p>
    <w:p w14:paraId="27133FAC" w14:textId="77777777" w:rsidR="0089574A" w:rsidRPr="0089574A" w:rsidRDefault="0089574A" w:rsidP="0089574A"/>
    <w:p w14:paraId="4AF277B7" w14:textId="32FEF8D1" w:rsidR="007543BB" w:rsidRDefault="002D677C" w:rsidP="0089574A">
      <w:r w:rsidRPr="0089574A">
        <w:t xml:space="preserve">Az ismételt MVT és a PE megelőzése esetén az apixabán javasolt </w:t>
      </w:r>
      <w:r w:rsidR="000616EF">
        <w:t>dózisa</w:t>
      </w:r>
      <w:r w:rsidRPr="0089574A">
        <w:t xml:space="preserve"> naponta kétszer 2,5</w:t>
      </w:r>
      <w:r w:rsidR="005C457E">
        <w:t> </w:t>
      </w:r>
      <w:r w:rsidRPr="0089574A">
        <w:t>mg, szájon át alkalmazva. Amikor az MVT és a PE kiújulásának megelőzése javallott, akkor a naponta kétszer 2,5</w:t>
      </w:r>
      <w:r w:rsidR="005C457E">
        <w:t> </w:t>
      </w:r>
      <w:r w:rsidRPr="0089574A">
        <w:t>mg-os dózist a 6</w:t>
      </w:r>
      <w:r w:rsidR="005C457E">
        <w:t> </w:t>
      </w:r>
      <w:r w:rsidRPr="0089574A">
        <w:t>hónapig tartó, naponta kétszer 5</w:t>
      </w:r>
      <w:r w:rsidR="005C457E">
        <w:t> </w:t>
      </w:r>
      <w:r w:rsidRPr="0089574A">
        <w:t>mg apixabánnal vagy más antikoagulánssal végzett kezelés befejezése után kell elkezdeni, amint azt az alábbi, 1.</w:t>
      </w:r>
      <w:r w:rsidR="005C457E">
        <w:t> </w:t>
      </w:r>
      <w:r w:rsidRPr="0089574A">
        <w:t>táblázat mutatja (lásd még 5.1</w:t>
      </w:r>
      <w:r w:rsidR="005C457E">
        <w:t> </w:t>
      </w:r>
      <w:r w:rsidRPr="0089574A">
        <w:t>pont).</w:t>
      </w:r>
    </w:p>
    <w:p w14:paraId="1398B158" w14:textId="77777777" w:rsidR="0089574A" w:rsidRPr="0089574A" w:rsidRDefault="0089574A" w:rsidP="0089574A"/>
    <w:p w14:paraId="52E773C2" w14:textId="699AABE5" w:rsidR="007543BB" w:rsidRPr="0089574A" w:rsidRDefault="002D677C" w:rsidP="0089574A">
      <w:pPr>
        <w:keepNext/>
        <w:rPr>
          <w:b/>
          <w:bCs/>
        </w:rPr>
      </w:pPr>
      <w:r w:rsidRPr="0089574A">
        <w:rPr>
          <w:b/>
          <w:bCs/>
        </w:rPr>
        <w:t>1.</w:t>
      </w:r>
      <w:r w:rsidR="005C457E">
        <w:rPr>
          <w:b/>
          <w:bCs/>
        </w:rPr>
        <w:t> </w:t>
      </w:r>
      <w:r w:rsidRPr="0089574A">
        <w:rPr>
          <w:b/>
          <w:bCs/>
        </w:rPr>
        <w:t>táblázat: Ajánlott adagolás (</w:t>
      </w:r>
      <w:r w:rsidR="000616EF" w:rsidRPr="000616EF">
        <w:rPr>
          <w:b/>
          <w:bCs/>
        </w:rPr>
        <w:t>treatment of VTE</w:t>
      </w:r>
      <w:r w:rsidR="000616EF">
        <w:rPr>
          <w:b/>
          <w:bCs/>
        </w:rPr>
        <w:t>,</w:t>
      </w:r>
      <w:r w:rsidR="000616EF" w:rsidRPr="000616EF">
        <w:rPr>
          <w:b/>
          <w:bCs/>
        </w:rPr>
        <w:t xml:space="preserve"> </w:t>
      </w:r>
      <w:r w:rsidRPr="0089574A">
        <w:rPr>
          <w:b/>
          <w:bCs/>
        </w:rPr>
        <w:t>VTEt)</w:t>
      </w:r>
    </w:p>
    <w:tbl>
      <w:tblPr>
        <w:tblOverlap w:val="never"/>
        <w:tblW w:w="0" w:type="auto"/>
        <w:tblLayout w:type="fixed"/>
        <w:tblCellMar>
          <w:top w:w="28" w:type="dxa"/>
          <w:bottom w:w="28" w:type="dxa"/>
        </w:tblCellMar>
        <w:tblLook w:val="0000" w:firstRow="0" w:lastRow="0" w:firstColumn="0" w:lastColumn="0" w:noHBand="0" w:noVBand="0"/>
      </w:tblPr>
      <w:tblGrid>
        <w:gridCol w:w="3432"/>
        <w:gridCol w:w="3307"/>
        <w:gridCol w:w="2338"/>
      </w:tblGrid>
      <w:tr w:rsidR="007543BB" w14:paraId="47E49AEE" w14:textId="77777777" w:rsidTr="001C693A">
        <w:trPr>
          <w:cantSplit/>
          <w:tblHeader/>
        </w:trPr>
        <w:tc>
          <w:tcPr>
            <w:tcW w:w="3432" w:type="dxa"/>
            <w:tcBorders>
              <w:top w:val="single" w:sz="4" w:space="0" w:color="auto"/>
              <w:left w:val="single" w:sz="4" w:space="0" w:color="auto"/>
            </w:tcBorders>
            <w:shd w:val="clear" w:color="auto" w:fill="auto"/>
          </w:tcPr>
          <w:p w14:paraId="1450AFDF" w14:textId="77777777" w:rsidR="007543BB" w:rsidRPr="0089574A" w:rsidRDefault="007543BB" w:rsidP="001C693A">
            <w:pPr>
              <w:keepNext/>
            </w:pPr>
          </w:p>
        </w:tc>
        <w:tc>
          <w:tcPr>
            <w:tcW w:w="3307" w:type="dxa"/>
            <w:tcBorders>
              <w:top w:val="single" w:sz="4" w:space="0" w:color="auto"/>
              <w:left w:val="single" w:sz="4" w:space="0" w:color="auto"/>
            </w:tcBorders>
            <w:shd w:val="clear" w:color="auto" w:fill="auto"/>
          </w:tcPr>
          <w:p w14:paraId="72843EFA" w14:textId="77777777" w:rsidR="007543BB" w:rsidRDefault="002D677C" w:rsidP="001C693A">
            <w:pPr>
              <w:keepNext/>
            </w:pPr>
            <w:r w:rsidRPr="0089574A">
              <w:t>Adagolási rend</w:t>
            </w:r>
          </w:p>
          <w:p w14:paraId="7677C20B" w14:textId="77777777" w:rsidR="0089574A" w:rsidRPr="0089574A" w:rsidRDefault="0089574A" w:rsidP="001C693A">
            <w:pPr>
              <w:keepNext/>
            </w:pPr>
          </w:p>
        </w:tc>
        <w:tc>
          <w:tcPr>
            <w:tcW w:w="2338" w:type="dxa"/>
            <w:tcBorders>
              <w:top w:val="single" w:sz="4" w:space="0" w:color="auto"/>
              <w:left w:val="single" w:sz="4" w:space="0" w:color="auto"/>
              <w:right w:val="single" w:sz="4" w:space="0" w:color="auto"/>
            </w:tcBorders>
            <w:shd w:val="clear" w:color="auto" w:fill="auto"/>
          </w:tcPr>
          <w:p w14:paraId="6B5C1D80" w14:textId="77777777" w:rsidR="007543BB" w:rsidRPr="0089574A" w:rsidRDefault="002D677C" w:rsidP="001C693A">
            <w:pPr>
              <w:keepNext/>
            </w:pPr>
            <w:r w:rsidRPr="0089574A">
              <w:t>Maximális napi adag</w:t>
            </w:r>
          </w:p>
        </w:tc>
      </w:tr>
      <w:tr w:rsidR="007543BB" w14:paraId="1A80F729" w14:textId="77777777" w:rsidTr="0089574A">
        <w:trPr>
          <w:cantSplit/>
        </w:trPr>
        <w:tc>
          <w:tcPr>
            <w:tcW w:w="3432" w:type="dxa"/>
            <w:vMerge w:val="restart"/>
            <w:tcBorders>
              <w:top w:val="single" w:sz="4" w:space="0" w:color="auto"/>
              <w:left w:val="single" w:sz="4" w:space="0" w:color="auto"/>
            </w:tcBorders>
            <w:shd w:val="clear" w:color="auto" w:fill="auto"/>
          </w:tcPr>
          <w:p w14:paraId="281877CD" w14:textId="77777777" w:rsidR="007543BB" w:rsidRPr="0089574A" w:rsidRDefault="002D677C" w:rsidP="001C693A">
            <w:pPr>
              <w:keepNext/>
            </w:pPr>
            <w:r w:rsidRPr="0089574A">
              <w:t>MVT vagy PE kezelése</w:t>
            </w:r>
          </w:p>
        </w:tc>
        <w:tc>
          <w:tcPr>
            <w:tcW w:w="3307" w:type="dxa"/>
            <w:tcBorders>
              <w:top w:val="single" w:sz="4" w:space="0" w:color="auto"/>
              <w:left w:val="single" w:sz="4" w:space="0" w:color="auto"/>
            </w:tcBorders>
            <w:shd w:val="clear" w:color="auto" w:fill="auto"/>
          </w:tcPr>
          <w:p w14:paraId="4609B38D" w14:textId="4AFB3530" w:rsidR="007543BB" w:rsidRDefault="002D677C" w:rsidP="001C693A">
            <w:pPr>
              <w:keepNext/>
            </w:pPr>
            <w:r w:rsidRPr="0089574A">
              <w:t>naponta 2</w:t>
            </w:r>
            <w:r w:rsidR="005C457E">
              <w:t> </w:t>
            </w:r>
            <w:r w:rsidR="0089574A" w:rsidRPr="0089574A">
              <w:rPr>
                <w:lang w:val="es-ES"/>
              </w:rPr>
              <w:t>×</w:t>
            </w:r>
            <w:r w:rsidR="005C457E">
              <w:rPr>
                <w:lang w:val="es-ES"/>
              </w:rPr>
              <w:t> </w:t>
            </w:r>
            <w:r w:rsidRPr="0089574A">
              <w:t>10</w:t>
            </w:r>
            <w:r w:rsidR="005C457E">
              <w:t> </w:t>
            </w:r>
            <w:r w:rsidRPr="0089574A">
              <w:t>mg az első 7</w:t>
            </w:r>
            <w:r w:rsidR="005C457E">
              <w:t> </w:t>
            </w:r>
            <w:r w:rsidRPr="0089574A">
              <w:t>nap</w:t>
            </w:r>
          </w:p>
          <w:p w14:paraId="4DB8B70F" w14:textId="727D2308" w:rsidR="0089574A" w:rsidRPr="0089574A" w:rsidRDefault="0089574A" w:rsidP="001C693A">
            <w:pPr>
              <w:keepNext/>
            </w:pPr>
          </w:p>
        </w:tc>
        <w:tc>
          <w:tcPr>
            <w:tcW w:w="2338" w:type="dxa"/>
            <w:tcBorders>
              <w:top w:val="single" w:sz="4" w:space="0" w:color="auto"/>
              <w:left w:val="single" w:sz="4" w:space="0" w:color="auto"/>
              <w:right w:val="single" w:sz="4" w:space="0" w:color="auto"/>
            </w:tcBorders>
            <w:shd w:val="clear" w:color="auto" w:fill="auto"/>
          </w:tcPr>
          <w:p w14:paraId="42538E25" w14:textId="223446BC" w:rsidR="007543BB" w:rsidRPr="0089574A" w:rsidRDefault="002D677C" w:rsidP="00EA74B7">
            <w:pPr>
              <w:keepNext/>
            </w:pPr>
            <w:r w:rsidRPr="0089574A">
              <w:t>20</w:t>
            </w:r>
            <w:r w:rsidR="005C457E">
              <w:t> </w:t>
            </w:r>
            <w:r w:rsidRPr="0089574A">
              <w:t>mg</w:t>
            </w:r>
          </w:p>
        </w:tc>
      </w:tr>
      <w:tr w:rsidR="007543BB" w14:paraId="092D2730" w14:textId="77777777" w:rsidTr="0089574A">
        <w:trPr>
          <w:cantSplit/>
        </w:trPr>
        <w:tc>
          <w:tcPr>
            <w:tcW w:w="3432" w:type="dxa"/>
            <w:vMerge/>
            <w:tcBorders>
              <w:left w:val="single" w:sz="4" w:space="0" w:color="auto"/>
            </w:tcBorders>
            <w:shd w:val="clear" w:color="auto" w:fill="auto"/>
          </w:tcPr>
          <w:p w14:paraId="6096B1F0" w14:textId="77777777" w:rsidR="007543BB" w:rsidRPr="0089574A" w:rsidRDefault="007543BB" w:rsidP="001C693A">
            <w:pPr>
              <w:keepNext/>
            </w:pPr>
          </w:p>
        </w:tc>
        <w:tc>
          <w:tcPr>
            <w:tcW w:w="3307" w:type="dxa"/>
            <w:tcBorders>
              <w:top w:val="single" w:sz="4" w:space="0" w:color="auto"/>
              <w:left w:val="single" w:sz="4" w:space="0" w:color="auto"/>
            </w:tcBorders>
            <w:shd w:val="clear" w:color="auto" w:fill="auto"/>
          </w:tcPr>
          <w:p w14:paraId="335A2969" w14:textId="1B4001FC" w:rsidR="007543BB" w:rsidRDefault="002D677C" w:rsidP="001C693A">
            <w:pPr>
              <w:keepNext/>
            </w:pPr>
            <w:r w:rsidRPr="0089574A">
              <w:t>utána naponta 2</w:t>
            </w:r>
            <w:r w:rsidR="005C457E">
              <w:t> </w:t>
            </w:r>
            <w:r w:rsidR="0089574A" w:rsidRPr="0089574A">
              <w:rPr>
                <w:lang w:val="es-ES"/>
              </w:rPr>
              <w:t>×</w:t>
            </w:r>
            <w:r w:rsidR="005C457E">
              <w:rPr>
                <w:lang w:val="es-ES"/>
              </w:rPr>
              <w:t> </w:t>
            </w:r>
            <w:r w:rsidRPr="0089574A">
              <w:t>5</w:t>
            </w:r>
            <w:r w:rsidR="005C457E">
              <w:t> </w:t>
            </w:r>
            <w:r w:rsidRPr="0089574A">
              <w:t>mg</w:t>
            </w:r>
          </w:p>
          <w:p w14:paraId="1035406C" w14:textId="67D702A0" w:rsidR="0089574A" w:rsidRPr="0089574A" w:rsidRDefault="0089574A" w:rsidP="001C693A">
            <w:pPr>
              <w:keepNext/>
            </w:pPr>
          </w:p>
        </w:tc>
        <w:tc>
          <w:tcPr>
            <w:tcW w:w="2338" w:type="dxa"/>
            <w:tcBorders>
              <w:top w:val="single" w:sz="4" w:space="0" w:color="auto"/>
              <w:left w:val="single" w:sz="4" w:space="0" w:color="auto"/>
              <w:right w:val="single" w:sz="4" w:space="0" w:color="auto"/>
            </w:tcBorders>
            <w:shd w:val="clear" w:color="auto" w:fill="auto"/>
          </w:tcPr>
          <w:p w14:paraId="65F528DA" w14:textId="0198E45C" w:rsidR="007543BB" w:rsidRPr="0089574A" w:rsidRDefault="002D677C" w:rsidP="00EA74B7">
            <w:pPr>
              <w:keepNext/>
            </w:pPr>
            <w:r w:rsidRPr="0089574A">
              <w:t>10</w:t>
            </w:r>
            <w:r w:rsidR="005C457E">
              <w:t> </w:t>
            </w:r>
            <w:r w:rsidRPr="0089574A">
              <w:t>mg</w:t>
            </w:r>
          </w:p>
        </w:tc>
      </w:tr>
      <w:tr w:rsidR="007543BB" w14:paraId="45402DD3" w14:textId="77777777" w:rsidTr="0089574A">
        <w:trPr>
          <w:cantSplit/>
        </w:trPr>
        <w:tc>
          <w:tcPr>
            <w:tcW w:w="3432" w:type="dxa"/>
            <w:tcBorders>
              <w:top w:val="single" w:sz="4" w:space="0" w:color="auto"/>
              <w:left w:val="single" w:sz="4" w:space="0" w:color="auto"/>
              <w:bottom w:val="single" w:sz="4" w:space="0" w:color="auto"/>
            </w:tcBorders>
            <w:shd w:val="clear" w:color="auto" w:fill="auto"/>
          </w:tcPr>
          <w:p w14:paraId="244516CF" w14:textId="274126D8" w:rsidR="007543BB" w:rsidRPr="0089574A" w:rsidRDefault="002D677C" w:rsidP="0089574A">
            <w:r w:rsidRPr="0089574A">
              <w:t>Az ismételt MVT és/vagy PE megelőzése az MVT vagy a PE 6</w:t>
            </w:r>
            <w:r w:rsidR="0089574A">
              <w:t> </w:t>
            </w:r>
            <w:r w:rsidRPr="0089574A">
              <w:t>hónapig tartó kezelésének befejezése után</w:t>
            </w:r>
          </w:p>
        </w:tc>
        <w:tc>
          <w:tcPr>
            <w:tcW w:w="3307" w:type="dxa"/>
            <w:tcBorders>
              <w:top w:val="single" w:sz="4" w:space="0" w:color="auto"/>
              <w:left w:val="single" w:sz="4" w:space="0" w:color="auto"/>
              <w:bottom w:val="single" w:sz="4" w:space="0" w:color="auto"/>
            </w:tcBorders>
            <w:shd w:val="clear" w:color="auto" w:fill="auto"/>
          </w:tcPr>
          <w:p w14:paraId="0988C9C9" w14:textId="1BBC6763" w:rsidR="007543BB" w:rsidRPr="0089574A" w:rsidRDefault="002D677C" w:rsidP="00EA74B7">
            <w:r w:rsidRPr="0089574A">
              <w:t>naponta 2</w:t>
            </w:r>
            <w:r w:rsidR="005C457E">
              <w:t> </w:t>
            </w:r>
            <w:r w:rsidR="0089574A" w:rsidRPr="0089574A">
              <w:rPr>
                <w:lang w:val="es-ES"/>
              </w:rPr>
              <w:t>×</w:t>
            </w:r>
            <w:r w:rsidR="005C457E">
              <w:rPr>
                <w:lang w:val="es-ES"/>
              </w:rPr>
              <w:t> </w:t>
            </w:r>
            <w:r w:rsidRPr="0089574A">
              <w:t>2,5</w:t>
            </w:r>
            <w:r w:rsidR="005C457E">
              <w:t> </w:t>
            </w:r>
            <w:r w:rsidRPr="0089574A">
              <w:t>mg</w:t>
            </w:r>
          </w:p>
        </w:tc>
        <w:tc>
          <w:tcPr>
            <w:tcW w:w="2338" w:type="dxa"/>
            <w:tcBorders>
              <w:top w:val="single" w:sz="4" w:space="0" w:color="auto"/>
              <w:left w:val="single" w:sz="4" w:space="0" w:color="auto"/>
              <w:bottom w:val="single" w:sz="4" w:space="0" w:color="auto"/>
              <w:right w:val="single" w:sz="4" w:space="0" w:color="auto"/>
            </w:tcBorders>
            <w:shd w:val="clear" w:color="auto" w:fill="auto"/>
          </w:tcPr>
          <w:p w14:paraId="5FB1DB8A" w14:textId="25D70441" w:rsidR="007543BB" w:rsidRPr="0089574A" w:rsidRDefault="002D677C" w:rsidP="00EA74B7">
            <w:r w:rsidRPr="0089574A">
              <w:t>5</w:t>
            </w:r>
            <w:r w:rsidR="005C457E">
              <w:t> </w:t>
            </w:r>
            <w:r w:rsidRPr="0089574A">
              <w:t>mg</w:t>
            </w:r>
          </w:p>
        </w:tc>
      </w:tr>
    </w:tbl>
    <w:p w14:paraId="4A2AD8AF" w14:textId="77777777" w:rsidR="007543BB" w:rsidRPr="0089574A" w:rsidRDefault="007543BB" w:rsidP="0089574A"/>
    <w:p w14:paraId="68C79407" w14:textId="7A9C366D" w:rsidR="007543BB" w:rsidRDefault="002D677C" w:rsidP="0089574A">
      <w:r w:rsidRPr="0089574A">
        <w:t>A kezelés teljes időtartamát a kezelés előnyének és a vérzés kockázatának gondos mérlegelését követően egyénileg kell meghatározni (lásd 4.4</w:t>
      </w:r>
      <w:r w:rsidR="005C457E">
        <w:t> </w:t>
      </w:r>
      <w:r w:rsidRPr="0089574A">
        <w:t>pont).</w:t>
      </w:r>
    </w:p>
    <w:p w14:paraId="3B1CEC59" w14:textId="77777777" w:rsidR="0089574A" w:rsidRPr="0089574A" w:rsidRDefault="0089574A" w:rsidP="0089574A"/>
    <w:p w14:paraId="5D0D3608" w14:textId="77777777" w:rsidR="00FD3A05" w:rsidRPr="00FD3A05" w:rsidRDefault="00FD3A05" w:rsidP="00FD3A05"/>
    <w:p w14:paraId="5CBE8431" w14:textId="5A952322" w:rsidR="007543BB" w:rsidRPr="00FD3A05" w:rsidRDefault="002D677C" w:rsidP="00FD3A05">
      <w:pPr>
        <w:keepNext/>
        <w:rPr>
          <w:i/>
          <w:iCs/>
          <w:u w:val="single"/>
        </w:rPr>
      </w:pPr>
      <w:r w:rsidRPr="00FD3A05">
        <w:rPr>
          <w:i/>
          <w:iCs/>
          <w:u w:val="single"/>
        </w:rPr>
        <w:t>Kihagyott adag</w:t>
      </w:r>
    </w:p>
    <w:p w14:paraId="13E23BF9" w14:textId="77777777" w:rsidR="007543BB" w:rsidRDefault="002D677C" w:rsidP="00FD3A05">
      <w:r w:rsidRPr="00FD3A05">
        <w:t>A kihagyott reggeli adagot azonnal be kell venni, amint észreveszik, és bevehető az esti adaggal együtt is. A kihagyott esti adagot csak ugyanazon az estén szabad bevenni, a beteg nem vehet be két adagot a következő reggel. A betegnek a következő napon a szokásos, napi kétszeri adagolással kell folytatnia a kezelést.</w:t>
      </w:r>
    </w:p>
    <w:p w14:paraId="230C27BD" w14:textId="77777777" w:rsidR="00FD3A05" w:rsidRPr="00FD3A05" w:rsidRDefault="00FD3A05" w:rsidP="00FD3A05"/>
    <w:p w14:paraId="69236FB5" w14:textId="77777777" w:rsidR="007543BB" w:rsidRPr="00FD3A05" w:rsidRDefault="002D677C" w:rsidP="00FD3A05">
      <w:pPr>
        <w:keepNext/>
        <w:rPr>
          <w:i/>
          <w:iCs/>
          <w:u w:val="single"/>
        </w:rPr>
      </w:pPr>
      <w:r w:rsidRPr="00FD3A05">
        <w:rPr>
          <w:i/>
          <w:iCs/>
          <w:u w:val="single"/>
        </w:rPr>
        <w:t>Átállítás</w:t>
      </w:r>
    </w:p>
    <w:p w14:paraId="0F81720F" w14:textId="28D2A91B" w:rsidR="007543BB" w:rsidRDefault="002D677C" w:rsidP="00FD3A05">
      <w:r w:rsidRPr="00FD3A05">
        <w:t xml:space="preserve">A kezelésnek parenterális antikoagulánsokról történő átállítása </w:t>
      </w:r>
      <w:r w:rsidR="007404EB">
        <w:t>Apixaban Viatris Pharma</w:t>
      </w:r>
      <w:r w:rsidRPr="00FD3A05">
        <w:t>-r</w:t>
      </w:r>
      <w:r w:rsidR="004B2C1D">
        <w:t>a</w:t>
      </w:r>
      <w:r w:rsidRPr="00FD3A05">
        <w:t xml:space="preserve"> (és fordítva) megtörténhet a következő előírt adag időpontjában (lásd 4.5</w:t>
      </w:r>
      <w:r w:rsidR="004B2C1D">
        <w:t> </w:t>
      </w:r>
      <w:r w:rsidRPr="00FD3A05">
        <w:t>pont). Ezeket a gyógyszereket nem szabad egyidejűleg alkalmazni.</w:t>
      </w:r>
    </w:p>
    <w:p w14:paraId="2635BD42" w14:textId="77777777" w:rsidR="00FD3A05" w:rsidRPr="00FD3A05" w:rsidRDefault="00FD3A05" w:rsidP="00FD3A05"/>
    <w:p w14:paraId="7401743A" w14:textId="3E0AFAD4" w:rsidR="007543BB" w:rsidRPr="00FD3A05" w:rsidRDefault="002D677C" w:rsidP="00FD3A05">
      <w:pPr>
        <w:keepNext/>
        <w:rPr>
          <w:i/>
          <w:iCs/>
          <w:u w:val="single"/>
        </w:rPr>
      </w:pPr>
      <w:r w:rsidRPr="00FD3A05">
        <w:rPr>
          <w:i/>
          <w:iCs/>
          <w:u w:val="single"/>
        </w:rPr>
        <w:t>Átállítás K-vitamin-antagonista</w:t>
      </w:r>
      <w:r w:rsidR="00F80CAF" w:rsidRPr="00FD3A05">
        <w:rPr>
          <w:i/>
          <w:iCs/>
          <w:u w:val="single"/>
        </w:rPr>
        <w:t>-</w:t>
      </w:r>
      <w:r w:rsidRPr="00FD3A05">
        <w:rPr>
          <w:i/>
          <w:iCs/>
          <w:u w:val="single"/>
        </w:rPr>
        <w:t xml:space="preserve">kezelésről </w:t>
      </w:r>
      <w:r w:rsidR="007404EB">
        <w:rPr>
          <w:i/>
          <w:iCs/>
          <w:u w:val="single"/>
        </w:rPr>
        <w:t>Apixaban Viatris Pharma</w:t>
      </w:r>
      <w:r w:rsidRPr="00FD3A05">
        <w:rPr>
          <w:i/>
          <w:iCs/>
          <w:u w:val="single"/>
        </w:rPr>
        <w:t>-r</w:t>
      </w:r>
      <w:r w:rsidR="004B2C1D">
        <w:rPr>
          <w:i/>
          <w:iCs/>
          <w:u w:val="single"/>
        </w:rPr>
        <w:t>a</w:t>
      </w:r>
    </w:p>
    <w:p w14:paraId="76D4B98C" w14:textId="46455E7F" w:rsidR="007543BB" w:rsidRDefault="002D677C" w:rsidP="00FD3A05">
      <w:r w:rsidRPr="00FD3A05">
        <w:t>Amikor a betegeket K-vitamin-antagonista</w:t>
      </w:r>
      <w:r w:rsidR="00F80CAF" w:rsidRPr="00FD3A05">
        <w:t>-</w:t>
      </w:r>
      <w:r w:rsidRPr="00FD3A05">
        <w:t xml:space="preserve">kezelésről </w:t>
      </w:r>
      <w:r w:rsidR="007404EB">
        <w:t>Apixaban Viatris Pharma</w:t>
      </w:r>
      <w:r w:rsidRPr="00FD3A05">
        <w:t>-r</w:t>
      </w:r>
      <w:r w:rsidR="004B2C1D">
        <w:t>a</w:t>
      </w:r>
      <w:r w:rsidRPr="00FD3A05">
        <w:t xml:space="preserve"> állítják át, akkor abba kell hagyni a warfarin- vagy más K-vitamin-antagonista-kezelést, és az </w:t>
      </w:r>
      <w:r w:rsidR="007404EB">
        <w:t>Apixaban Viatris Pharma</w:t>
      </w:r>
      <w:r w:rsidRPr="00FD3A05">
        <w:t>-t akkor kell elkezdeni, amikor a nemzetközi normalizált arány (INR)</w:t>
      </w:r>
      <w:r w:rsidR="004B2C1D">
        <w:t> </w:t>
      </w:r>
      <w:r w:rsidRPr="00FD3A05">
        <w:t>&lt;2.</w:t>
      </w:r>
    </w:p>
    <w:p w14:paraId="0187D97E" w14:textId="77777777" w:rsidR="00FD3A05" w:rsidRPr="00FD3A05" w:rsidRDefault="00FD3A05" w:rsidP="00FD3A05"/>
    <w:p w14:paraId="59DF2007" w14:textId="6E4712EA" w:rsidR="007543BB" w:rsidRPr="00FD3A05" w:rsidRDefault="002D677C" w:rsidP="00FD3A05">
      <w:pPr>
        <w:keepNext/>
        <w:rPr>
          <w:i/>
          <w:iCs/>
          <w:u w:val="single"/>
        </w:rPr>
      </w:pPr>
      <w:r w:rsidRPr="00FD3A05">
        <w:rPr>
          <w:i/>
          <w:iCs/>
          <w:u w:val="single"/>
        </w:rPr>
        <w:t xml:space="preserve">Átállítás </w:t>
      </w:r>
      <w:r w:rsidR="007404EB">
        <w:rPr>
          <w:i/>
          <w:iCs/>
          <w:u w:val="single"/>
        </w:rPr>
        <w:t>Apixaban Viatris Pharma</w:t>
      </w:r>
      <w:r w:rsidRPr="00FD3A05">
        <w:rPr>
          <w:i/>
          <w:iCs/>
          <w:u w:val="single"/>
        </w:rPr>
        <w:t>-r</w:t>
      </w:r>
      <w:r w:rsidR="004B2C1D">
        <w:rPr>
          <w:i/>
          <w:iCs/>
          <w:u w:val="single"/>
        </w:rPr>
        <w:t>ó</w:t>
      </w:r>
      <w:r w:rsidRPr="00FD3A05">
        <w:rPr>
          <w:i/>
          <w:iCs/>
          <w:u w:val="single"/>
        </w:rPr>
        <w:t>l K-vitamin-antagonista</w:t>
      </w:r>
      <w:r w:rsidR="00F80CAF" w:rsidRPr="00FD3A05">
        <w:rPr>
          <w:i/>
          <w:iCs/>
          <w:u w:val="single"/>
        </w:rPr>
        <w:t>-</w:t>
      </w:r>
      <w:r w:rsidRPr="00FD3A05">
        <w:rPr>
          <w:i/>
          <w:iCs/>
          <w:u w:val="single"/>
        </w:rPr>
        <w:t>kezelésre</w:t>
      </w:r>
    </w:p>
    <w:p w14:paraId="5FDC833C" w14:textId="162BC634" w:rsidR="007543BB" w:rsidRDefault="002D677C" w:rsidP="00FD3A05">
      <w:r w:rsidRPr="00FD3A05">
        <w:t xml:space="preserve">Amikor a betegeket </w:t>
      </w:r>
      <w:r w:rsidR="007404EB">
        <w:t>Apixaban Viatris Pharma</w:t>
      </w:r>
      <w:r w:rsidRPr="00FD3A05">
        <w:t>-r</w:t>
      </w:r>
      <w:r w:rsidR="004B2C1D">
        <w:t>ó</w:t>
      </w:r>
      <w:r w:rsidRPr="00FD3A05">
        <w:t>l K-vitamin-antagonista</w:t>
      </w:r>
      <w:r w:rsidR="00F80CAF" w:rsidRPr="00FD3A05">
        <w:t>-</w:t>
      </w:r>
      <w:r w:rsidRPr="00FD3A05">
        <w:t>kezelésre állítják át, akkor a K-vitamin-antagonista-kezelés elkezdése után legalább 2</w:t>
      </w:r>
      <w:r w:rsidR="004B2C1D">
        <w:t> </w:t>
      </w:r>
      <w:r w:rsidRPr="00FD3A05">
        <w:t xml:space="preserve">napig folytatni kell az </w:t>
      </w:r>
      <w:r w:rsidR="007404EB">
        <w:t>Apixaban Viatris Pharma</w:t>
      </w:r>
      <w:r w:rsidRPr="00FD3A05">
        <w:t xml:space="preserve"> adását. Az </w:t>
      </w:r>
      <w:r w:rsidR="007404EB">
        <w:t>Apixaban Viatris Pharma</w:t>
      </w:r>
      <w:r w:rsidRPr="00FD3A05">
        <w:t xml:space="preserve"> és a K- vitamin-antagonista-kezelés 2</w:t>
      </w:r>
      <w:r w:rsidR="004B2C1D">
        <w:t> </w:t>
      </w:r>
      <w:r w:rsidRPr="00FD3A05">
        <w:t xml:space="preserve">napos egyidejű alkalmazása után az </w:t>
      </w:r>
      <w:r w:rsidR="007404EB">
        <w:t>Apixaban Viatris Pharma</w:t>
      </w:r>
      <w:r w:rsidRPr="00FD3A05">
        <w:t xml:space="preserve"> következő, tervezett dózisa előtt meg kell mérni az INR-értéket. Az </w:t>
      </w:r>
      <w:r w:rsidR="007404EB">
        <w:t>Apixaban Viatris Pharma</w:t>
      </w:r>
      <w:r w:rsidRPr="00FD3A05">
        <w:t xml:space="preserve"> és K-vitamin-antagonista-kezelés egyidejű alkalmazását addig kell folytatni, amíg az INR</w:t>
      </w:r>
      <w:r w:rsidR="004B2C1D">
        <w:t> </w:t>
      </w:r>
      <w:r w:rsidR="00FD3A05" w:rsidRPr="004311F4">
        <w:t>≥</w:t>
      </w:r>
      <w:r w:rsidR="00A86D32">
        <w:t> </w:t>
      </w:r>
      <w:r w:rsidRPr="00FD3A05">
        <w:t>2,0.</w:t>
      </w:r>
    </w:p>
    <w:p w14:paraId="08EB4930" w14:textId="77777777" w:rsidR="00FD3A05" w:rsidRPr="00FD3A05" w:rsidRDefault="00FD3A05" w:rsidP="00FD3A05"/>
    <w:p w14:paraId="61E79155" w14:textId="77777777" w:rsidR="00FD3A05" w:rsidRPr="00FD3A05" w:rsidRDefault="00FD3A05" w:rsidP="00FD3A05"/>
    <w:p w14:paraId="7EC10A68" w14:textId="77777777" w:rsidR="007543BB" w:rsidRPr="00FD3A05" w:rsidRDefault="002D677C" w:rsidP="00FD3A05">
      <w:pPr>
        <w:keepNext/>
        <w:rPr>
          <w:i/>
          <w:iCs/>
          <w:u w:val="single"/>
        </w:rPr>
      </w:pPr>
      <w:r w:rsidRPr="00FD3A05">
        <w:rPr>
          <w:i/>
          <w:iCs/>
          <w:u w:val="single"/>
        </w:rPr>
        <w:t>Idősek</w:t>
      </w:r>
    </w:p>
    <w:p w14:paraId="4EB942FF" w14:textId="3C948AA1" w:rsidR="007543BB" w:rsidRDefault="002D677C" w:rsidP="00FD3A05">
      <w:r w:rsidRPr="00FD3A05">
        <w:t xml:space="preserve">VTEt </w:t>
      </w:r>
      <w:r w:rsidR="00156D91">
        <w:t>–</w:t>
      </w:r>
      <w:r w:rsidRPr="00FD3A05">
        <w:t xml:space="preserve"> A dózis módosítása nem szükséges (lásd 4.4 és 5.2</w:t>
      </w:r>
      <w:r w:rsidR="004B2C1D">
        <w:t> </w:t>
      </w:r>
      <w:r w:rsidRPr="00FD3A05">
        <w:t>pont).</w:t>
      </w:r>
    </w:p>
    <w:p w14:paraId="4810A7EA" w14:textId="77777777" w:rsidR="00FD3A05" w:rsidRPr="00FD3A05" w:rsidRDefault="00FD3A05" w:rsidP="00FD3A05"/>
    <w:p w14:paraId="344C1D5C" w14:textId="299729D1" w:rsidR="007543BB" w:rsidRDefault="002D677C" w:rsidP="00FD3A05">
      <w:r w:rsidRPr="00FD3A05">
        <w:t xml:space="preserve">NVPF </w:t>
      </w:r>
      <w:r w:rsidR="00156D91">
        <w:t>–</w:t>
      </w:r>
      <w:r w:rsidRPr="00FD3A05">
        <w:t xml:space="preserve"> A dózis módosítása nem szükséges, kivéve, ha a dózis csökkentésének kritériumai teljesülnek (lásd </w:t>
      </w:r>
      <w:r w:rsidRPr="00FD3A05">
        <w:rPr>
          <w:i/>
          <w:iCs/>
        </w:rPr>
        <w:t>Dóziscsökkentés</w:t>
      </w:r>
      <w:r w:rsidRPr="00FD3A05">
        <w:t xml:space="preserve"> a 4.</w:t>
      </w:r>
      <w:r w:rsidR="004B2C1D">
        <w:t> </w:t>
      </w:r>
      <w:r w:rsidRPr="00FD3A05">
        <w:t xml:space="preserve"> pont elején).</w:t>
      </w:r>
    </w:p>
    <w:p w14:paraId="126A4F1A" w14:textId="77777777" w:rsidR="00FD3A05" w:rsidRPr="00FD3A05" w:rsidRDefault="00FD3A05" w:rsidP="00FD3A05"/>
    <w:p w14:paraId="670F1B66" w14:textId="77777777" w:rsidR="007543BB" w:rsidRDefault="002D677C" w:rsidP="00FD3A05">
      <w:pPr>
        <w:keepNext/>
        <w:rPr>
          <w:i/>
          <w:iCs/>
          <w:u w:val="single"/>
        </w:rPr>
      </w:pPr>
      <w:r w:rsidRPr="00FD3A05">
        <w:rPr>
          <w:i/>
          <w:iCs/>
          <w:u w:val="single"/>
        </w:rPr>
        <w:lastRenderedPageBreak/>
        <w:t>Vesekárosodás</w:t>
      </w:r>
    </w:p>
    <w:p w14:paraId="27F507D2" w14:textId="77777777" w:rsidR="00FD3A05" w:rsidRPr="00FD3A05" w:rsidRDefault="00FD3A05" w:rsidP="00FD3A05"/>
    <w:p w14:paraId="5D85B314" w14:textId="70AE3765" w:rsidR="007543BB" w:rsidRDefault="002D677C" w:rsidP="00FD3A05">
      <w:pPr>
        <w:keepNext/>
      </w:pPr>
      <w:r w:rsidRPr="00FD3A05">
        <w:t>Az enyhe, illetve közepes fokú vesekárosodásban szenvedő betegekre az alábbi ajánlások vonatkoznak:</w:t>
      </w:r>
    </w:p>
    <w:p w14:paraId="09335736" w14:textId="77777777" w:rsidR="00FD3A05" w:rsidRPr="00FD3A05" w:rsidRDefault="00FD3A05" w:rsidP="00FD3A05">
      <w:pPr>
        <w:keepNext/>
      </w:pPr>
    </w:p>
    <w:p w14:paraId="7D091C5F" w14:textId="4F3817CA" w:rsidR="007543BB" w:rsidRDefault="002D677C" w:rsidP="00FD3A05">
      <w:pPr>
        <w:pStyle w:val="Listaszerbekezds"/>
        <w:numPr>
          <w:ilvl w:val="0"/>
          <w:numId w:val="7"/>
        </w:numPr>
        <w:ind w:left="567" w:hanging="567"/>
      </w:pPr>
      <w:r w:rsidRPr="00FD3A05">
        <w:t>az MVT kezeléséhez, a PE kezeléséhez és az MVT és a PE kiújulásának megelőzéséhez (VTEt)</w:t>
      </w:r>
      <w:r w:rsidR="00FD3A05" w:rsidRPr="00FD3A05">
        <w:t xml:space="preserve"> </w:t>
      </w:r>
      <w:r w:rsidRPr="00FD3A05">
        <w:t>nincs szükség az adagolás módosítására (lásd 5.2</w:t>
      </w:r>
      <w:r w:rsidR="004B2C1D">
        <w:t> </w:t>
      </w:r>
      <w:r w:rsidRPr="00FD3A05">
        <w:t>pont)</w:t>
      </w:r>
      <w:r w:rsidR="00F80CAF">
        <w:t>;</w:t>
      </w:r>
    </w:p>
    <w:p w14:paraId="60ED5C43" w14:textId="77777777" w:rsidR="00FD3A05" w:rsidRPr="00FD3A05" w:rsidRDefault="00FD3A05" w:rsidP="00FD3A05"/>
    <w:p w14:paraId="45DCA7DA" w14:textId="272A99B0" w:rsidR="007543BB" w:rsidRPr="00FD3A05" w:rsidRDefault="002D677C" w:rsidP="00FD3A05">
      <w:pPr>
        <w:pStyle w:val="Listaszerbekezds"/>
        <w:numPr>
          <w:ilvl w:val="0"/>
          <w:numId w:val="7"/>
        </w:numPr>
        <w:ind w:left="567" w:hanging="567"/>
      </w:pPr>
      <w:r w:rsidRPr="00FD3A05">
        <w:t>a stroke és a szisztémás embolizáció prevenciójára az olyan betegeknél, akik nem billentyű</w:t>
      </w:r>
      <w:r w:rsidR="00FD3A05" w:rsidRPr="00FD3A05">
        <w:t xml:space="preserve"> </w:t>
      </w:r>
      <w:r w:rsidRPr="00FD3A05">
        <w:t>eredetű pitvarfibrillációban szenvednek, és a szérum-kreatininszintjük</w:t>
      </w:r>
      <w:r w:rsidR="00A619AA">
        <w:t> </w:t>
      </w:r>
      <w:r w:rsidR="00FD3A05" w:rsidRPr="004311F4">
        <w:t>≥</w:t>
      </w:r>
      <w:r w:rsidRPr="00FD3A05">
        <w:t>1,5</w:t>
      </w:r>
      <w:r w:rsidR="00A619AA">
        <w:t> </w:t>
      </w:r>
      <w:r w:rsidRPr="00FD3A05">
        <w:t>mg/dl (133</w:t>
      </w:r>
      <w:r w:rsidR="00A619AA">
        <w:t> </w:t>
      </w:r>
      <w:r w:rsidR="00FD3A05">
        <w:t>µ</w:t>
      </w:r>
      <w:r w:rsidRPr="00FD3A05">
        <w:t xml:space="preserve">mol/l), mely </w:t>
      </w:r>
      <w:r w:rsidR="00FD3A05" w:rsidRPr="004311F4">
        <w:t>≥</w:t>
      </w:r>
      <w:r w:rsidR="00A86D32">
        <w:t> </w:t>
      </w:r>
      <w:r w:rsidRPr="00FD3A05">
        <w:t xml:space="preserve">80 éves életkorral vagy </w:t>
      </w:r>
      <w:r w:rsidR="00FD3A05" w:rsidRPr="004311F4">
        <w:t>≤</w:t>
      </w:r>
      <w:r w:rsidR="00A86D32">
        <w:t> </w:t>
      </w:r>
      <w:r w:rsidRPr="00FD3A05">
        <w:t>60</w:t>
      </w:r>
      <w:r w:rsidR="00A619AA">
        <w:t> </w:t>
      </w:r>
      <w:r w:rsidRPr="00FD3A05">
        <w:t>kg-os testtömeggel társul, a</w:t>
      </w:r>
      <w:r w:rsidR="00F80CAF">
        <w:t xml:space="preserve"> dózis</w:t>
      </w:r>
      <w:r w:rsidRPr="00FD3A05">
        <w:t xml:space="preserve"> csökkentésére van szükség (lásd fentebb a Dóziscsökkentés alcímnél). A</w:t>
      </w:r>
      <w:r w:rsidR="00F80CAF">
        <w:t xml:space="preserve"> dózis</w:t>
      </w:r>
      <w:r w:rsidRPr="00FD3A05">
        <w:t>csökkentés egyéb kritériumainak (életkor, testtömeg) hiányában nincs szükség dózismódosításra (lásd 5.2.</w:t>
      </w:r>
      <w:r w:rsidR="00A619AA">
        <w:t> </w:t>
      </w:r>
      <w:r w:rsidRPr="00FD3A05">
        <w:t>pont).</w:t>
      </w:r>
    </w:p>
    <w:p w14:paraId="4FB0C004" w14:textId="77777777" w:rsidR="00FD3A05" w:rsidRDefault="00FD3A05" w:rsidP="00FD3A05"/>
    <w:p w14:paraId="3D2033DB" w14:textId="669006E4" w:rsidR="007543BB" w:rsidRDefault="002D677C" w:rsidP="00FD3A05">
      <w:pPr>
        <w:keepNext/>
      </w:pPr>
      <w:r w:rsidRPr="00FD3A05">
        <w:t xml:space="preserve">A súlyos </w:t>
      </w:r>
      <w:r w:rsidR="00F80CAF">
        <w:t xml:space="preserve">fokú </w:t>
      </w:r>
      <w:r w:rsidRPr="00FD3A05">
        <w:t>vesekárosodásban szenvedő betegekre (kreatinin-clearance 15</w:t>
      </w:r>
      <w:r w:rsidR="00A619AA">
        <w:noBreakHyphen/>
      </w:r>
      <w:r w:rsidRPr="00FD3A05">
        <w:t>29</w:t>
      </w:r>
      <w:r w:rsidR="00A619AA">
        <w:t> </w:t>
      </w:r>
      <w:r w:rsidRPr="00FD3A05">
        <w:t xml:space="preserve"> ml/perc) az alábbi ajánlások vonatkoznak (lásd 4.4 és 5.2</w:t>
      </w:r>
      <w:r w:rsidR="00A619AA">
        <w:t> </w:t>
      </w:r>
      <w:r w:rsidRPr="00FD3A05">
        <w:t>pont):</w:t>
      </w:r>
    </w:p>
    <w:p w14:paraId="3DBBD41C" w14:textId="77777777" w:rsidR="00FD3A05" w:rsidRPr="00FD3A05" w:rsidRDefault="00FD3A05" w:rsidP="00FD3A05">
      <w:pPr>
        <w:keepNext/>
      </w:pPr>
    </w:p>
    <w:p w14:paraId="134F015E" w14:textId="7A990F66" w:rsidR="007543BB" w:rsidRDefault="002D677C" w:rsidP="00FD3A05">
      <w:pPr>
        <w:pStyle w:val="Listaszerbekezds"/>
        <w:numPr>
          <w:ilvl w:val="0"/>
          <w:numId w:val="7"/>
        </w:numPr>
        <w:ind w:left="567" w:hanging="567"/>
      </w:pPr>
      <w:r w:rsidRPr="00FD3A05">
        <w:t>az MVT kezelésére, a PE kezelésére és az MVT és a PE kiújulásának megelőzésére (VTEt) az</w:t>
      </w:r>
      <w:r w:rsidR="00FD3A05" w:rsidRPr="00FD3A05">
        <w:t xml:space="preserve"> </w:t>
      </w:r>
      <w:r w:rsidRPr="00FD3A05">
        <w:t>apixabánt elővigyázatosan kell alkalmazni;</w:t>
      </w:r>
    </w:p>
    <w:p w14:paraId="536347EF" w14:textId="77777777" w:rsidR="00FD3A05" w:rsidRPr="00FD3A05" w:rsidRDefault="00FD3A05" w:rsidP="00FD3A05"/>
    <w:p w14:paraId="2A9A0CDE" w14:textId="4BF81E9A" w:rsidR="007543BB" w:rsidRPr="00FD3A05" w:rsidRDefault="002D677C" w:rsidP="00FD3A05">
      <w:pPr>
        <w:pStyle w:val="Listaszerbekezds"/>
        <w:numPr>
          <w:ilvl w:val="0"/>
          <w:numId w:val="7"/>
        </w:numPr>
        <w:ind w:left="567" w:hanging="567"/>
      </w:pPr>
      <w:r w:rsidRPr="00FD3A05">
        <w:t>a stroke és a szisztémás embolizáció prevenciója esetén a nem billentyű eredetű</w:t>
      </w:r>
      <w:r w:rsidR="00FD3A05" w:rsidRPr="00FD3A05">
        <w:t xml:space="preserve"> </w:t>
      </w:r>
      <w:r w:rsidRPr="00FD3A05">
        <w:t>pitvarfibrillációban szenvedő betegeknél a betegeknek alacsonyabb, naponta kétszer 2,5</w:t>
      </w:r>
      <w:r w:rsidR="00A619AA">
        <w:t> </w:t>
      </w:r>
      <w:r w:rsidRPr="00FD3A05">
        <w:t>mg-os apixabán dózist kell kapniuk.</w:t>
      </w:r>
    </w:p>
    <w:p w14:paraId="7405FA10" w14:textId="77777777" w:rsidR="00FD3A05" w:rsidRDefault="00FD3A05" w:rsidP="00FD3A05"/>
    <w:p w14:paraId="72EC5D90" w14:textId="040224AF" w:rsidR="007543BB" w:rsidRDefault="002D677C" w:rsidP="00FD3A05">
      <w:r w:rsidRPr="00FD3A05">
        <w:t>Nincs klinikai tapasztalat az olyan betegekkel, akiknek a kreatinin-clearence-e &lt;</w:t>
      </w:r>
      <w:r w:rsidR="00A86D32">
        <w:t> </w:t>
      </w:r>
      <w:r w:rsidRPr="00FD3A05">
        <w:t>15</w:t>
      </w:r>
      <w:r w:rsidR="00A619AA">
        <w:t> </w:t>
      </w:r>
      <w:r w:rsidRPr="00FD3A05">
        <w:t xml:space="preserve"> ml/perc, vagy dialízis-kezelés alatt állnak, ezért az apixabán ezeknél a betegeknél nem javasolt (lásd 4.4 és 5.2</w:t>
      </w:r>
      <w:r w:rsidR="00A619AA">
        <w:t> </w:t>
      </w:r>
      <w:r w:rsidRPr="00FD3A05">
        <w:t>pont).</w:t>
      </w:r>
    </w:p>
    <w:p w14:paraId="682A1567" w14:textId="77777777" w:rsidR="00FD3A05" w:rsidRPr="00FD3A05" w:rsidRDefault="00FD3A05" w:rsidP="00FD3A05"/>
    <w:p w14:paraId="2C7359DA" w14:textId="77777777" w:rsidR="007543BB" w:rsidRPr="00FD3A05" w:rsidRDefault="002D677C" w:rsidP="00FD3A05">
      <w:pPr>
        <w:keepNext/>
        <w:rPr>
          <w:i/>
          <w:iCs/>
          <w:u w:val="single"/>
        </w:rPr>
      </w:pPr>
      <w:r w:rsidRPr="00FD3A05">
        <w:rPr>
          <w:i/>
          <w:iCs/>
          <w:u w:val="single"/>
        </w:rPr>
        <w:t>Májkárosodás</w:t>
      </w:r>
    </w:p>
    <w:p w14:paraId="604ABD2F" w14:textId="701C3582" w:rsidR="007543BB" w:rsidRDefault="002D677C" w:rsidP="00FD3A05">
      <w:r w:rsidRPr="00FD3A05">
        <w:t xml:space="preserve">Az </w:t>
      </w:r>
      <w:r w:rsidR="007404EB">
        <w:t>Apixaban Viatris Pharma</w:t>
      </w:r>
      <w:r w:rsidRPr="00FD3A05">
        <w:t xml:space="preserve"> ellenjavallt véralvadási zavarral és klinikailag jelentős vérzési kockázattal járó májbetegségben szenvedő betegeknél (lásd 4.3</w:t>
      </w:r>
      <w:r w:rsidR="00A619AA">
        <w:t> </w:t>
      </w:r>
      <w:r w:rsidRPr="00FD3A05">
        <w:t>pont).</w:t>
      </w:r>
    </w:p>
    <w:p w14:paraId="2F0EDD02" w14:textId="77777777" w:rsidR="00FD3A05" w:rsidRPr="00FD3A05" w:rsidRDefault="00FD3A05" w:rsidP="00FD3A05"/>
    <w:p w14:paraId="2E48AEBC" w14:textId="56C57455" w:rsidR="007543BB" w:rsidRDefault="002D677C" w:rsidP="00FD3A05">
      <w:r w:rsidRPr="00FD3A05">
        <w:t>Súlyos májkárosodásban szenvedő betegeknél nem ajánlott (lásd 4.4 és 5.2</w:t>
      </w:r>
      <w:r w:rsidR="00A619AA">
        <w:t> </w:t>
      </w:r>
      <w:r w:rsidRPr="00FD3A05">
        <w:t>pont).</w:t>
      </w:r>
    </w:p>
    <w:p w14:paraId="3092E8A9" w14:textId="77777777" w:rsidR="00FD3A05" w:rsidRPr="00FD3A05" w:rsidRDefault="00FD3A05" w:rsidP="00FD3A05"/>
    <w:p w14:paraId="35642309" w14:textId="24224728" w:rsidR="007543BB" w:rsidRDefault="002D677C" w:rsidP="00FD3A05">
      <w:r w:rsidRPr="00FD3A05">
        <w:t>Enyhe vagy közepesen súlyos májkárosodásban szenvedő betegeknél (Child</w:t>
      </w:r>
      <w:r w:rsidR="00F80CAF">
        <w:t>‒</w:t>
      </w:r>
      <w:r w:rsidRPr="00FD3A05">
        <w:t>Pugh A vagy B stádium) elővigyázatosan kell alkalmazni. Enyhe vagy közepesen súlyos májkárosodásban szenvedő betegeknél a dózis módosítása nem szükséges (lásd 4.4 és 5.2</w:t>
      </w:r>
      <w:r w:rsidR="00EA74B7">
        <w:t> </w:t>
      </w:r>
      <w:r w:rsidRPr="00FD3A05">
        <w:t>pont).</w:t>
      </w:r>
    </w:p>
    <w:p w14:paraId="51AA22D5" w14:textId="77777777" w:rsidR="00FD3A05" w:rsidRPr="00FD3A05" w:rsidRDefault="00FD3A05" w:rsidP="00FD3A05"/>
    <w:p w14:paraId="5DA0E7B6" w14:textId="327C5DA8" w:rsidR="007543BB" w:rsidRDefault="002D677C" w:rsidP="00FD3A05">
      <w:r w:rsidRPr="00FD3A05">
        <w:t xml:space="preserve">Azokat a betegeket, akiknél a májenzimek szintje emelkedett volt, a glutamát-piruvát-transzamináz- (GPT)/glutamát-oxálacetát-transzamináz- (GOT) szintje 2-szer magasabb, mint a normálérték felső határa, vagy az összbilirubin szintje </w:t>
      </w:r>
      <w:r w:rsidR="00FD3A05" w:rsidRPr="004311F4">
        <w:t>≥</w:t>
      </w:r>
      <w:r w:rsidR="00A86D32">
        <w:t> </w:t>
      </w:r>
      <w:r w:rsidRPr="00FD3A05">
        <w:t xml:space="preserve">1,5-szer magasabb volt, mint a normálérték felső határa, kizárták a klinikai vizsgálatokból. Ezért a </w:t>
      </w:r>
      <w:r w:rsidR="007404EB">
        <w:t>Apixaban Viatris Pharma</w:t>
      </w:r>
      <w:r w:rsidRPr="00FD3A05">
        <w:t>-t ebben a betegcsoportban elővigyázatosan kell alkalmazni (lásd 4.4 és 5.2</w:t>
      </w:r>
      <w:r w:rsidR="00EA74B7">
        <w:t> </w:t>
      </w:r>
      <w:r w:rsidRPr="00FD3A05">
        <w:t xml:space="preserve">pont). Az </w:t>
      </w:r>
      <w:r w:rsidR="007404EB">
        <w:t>Apixaban Viatris Pharma</w:t>
      </w:r>
      <w:r w:rsidRPr="00FD3A05">
        <w:t>-kezelés elkezdése előtt májfunkciós vizsgálatot kell végezni.</w:t>
      </w:r>
    </w:p>
    <w:p w14:paraId="7E06315A" w14:textId="77777777" w:rsidR="00FD3A05" w:rsidRPr="00FD3A05" w:rsidRDefault="00FD3A05" w:rsidP="00FD3A05"/>
    <w:p w14:paraId="1419CC5C" w14:textId="77777777" w:rsidR="007543BB" w:rsidRPr="00FD3A05" w:rsidRDefault="002D677C" w:rsidP="00FD3A05">
      <w:pPr>
        <w:keepNext/>
        <w:rPr>
          <w:i/>
          <w:iCs/>
          <w:u w:val="single"/>
        </w:rPr>
      </w:pPr>
      <w:r w:rsidRPr="00FD3A05">
        <w:rPr>
          <w:i/>
          <w:iCs/>
          <w:u w:val="single"/>
        </w:rPr>
        <w:t>Testtömeg</w:t>
      </w:r>
    </w:p>
    <w:p w14:paraId="6C49D340" w14:textId="5210A146" w:rsidR="007543BB" w:rsidRDefault="002D677C" w:rsidP="003665EB">
      <w:pPr>
        <w:keepNext/>
      </w:pPr>
      <w:r w:rsidRPr="00FD3A05">
        <w:t>VTEt</w:t>
      </w:r>
      <w:r w:rsidR="00C47660" w:rsidRPr="00E72733">
        <w:t xml:space="preserve"> </w:t>
      </w:r>
      <w:r w:rsidR="00F80CAF">
        <w:t>‒</w:t>
      </w:r>
      <w:r w:rsidR="00C47660">
        <w:t xml:space="preserve"> </w:t>
      </w:r>
      <w:r w:rsidRPr="00FD3A05">
        <w:t>A dózis módosítása nem szükséges (lásd 4.4 és 5.2</w:t>
      </w:r>
      <w:r w:rsidR="00EA74B7">
        <w:t> </w:t>
      </w:r>
      <w:r w:rsidRPr="00FD3A05">
        <w:t>pont).</w:t>
      </w:r>
    </w:p>
    <w:p w14:paraId="3BEE8E57" w14:textId="6307C8CE" w:rsidR="007543BB" w:rsidRDefault="002D677C" w:rsidP="00C47660">
      <w:pPr>
        <w:keepNext/>
      </w:pPr>
      <w:r w:rsidRPr="00FD3A05">
        <w:t>NVPF</w:t>
      </w:r>
      <w:r w:rsidR="00C47660" w:rsidRPr="00E72733">
        <w:t xml:space="preserve"> </w:t>
      </w:r>
      <w:r w:rsidR="00F80CAF">
        <w:t>‒</w:t>
      </w:r>
      <w:r w:rsidR="00C47660" w:rsidRPr="00E72733">
        <w:t xml:space="preserve"> </w:t>
      </w:r>
      <w:r w:rsidRPr="00FD3A05">
        <w:t xml:space="preserve">A dózis módosítása nem szükséges, kivéve, ha a dózis csökkentésének kritériumai teljesülnek (lásd </w:t>
      </w:r>
      <w:r w:rsidRPr="00FD3A05">
        <w:rPr>
          <w:i/>
          <w:iCs/>
        </w:rPr>
        <w:t>Dóziscsökkentés</w:t>
      </w:r>
      <w:r w:rsidRPr="00FD3A05">
        <w:t xml:space="preserve"> a 4.2</w:t>
      </w:r>
      <w:r w:rsidR="00EA74B7">
        <w:t> </w:t>
      </w:r>
      <w:r w:rsidRPr="00FD3A05">
        <w:t>pont elején).</w:t>
      </w:r>
    </w:p>
    <w:p w14:paraId="14372218" w14:textId="77777777" w:rsidR="00FD3A05" w:rsidRPr="00FD3A05" w:rsidRDefault="00FD3A05" w:rsidP="00FD3A05"/>
    <w:p w14:paraId="4CEDBADC" w14:textId="77777777" w:rsidR="00FD3A05" w:rsidRPr="00FD3A05" w:rsidRDefault="00FD3A05" w:rsidP="00FD3A05"/>
    <w:p w14:paraId="69890586" w14:textId="77777777" w:rsidR="007543BB" w:rsidRPr="00FD3A05" w:rsidRDefault="002D677C" w:rsidP="00FD3A05">
      <w:pPr>
        <w:keepNext/>
        <w:rPr>
          <w:i/>
          <w:iCs/>
          <w:u w:val="single"/>
        </w:rPr>
      </w:pPr>
      <w:r w:rsidRPr="00FD3A05">
        <w:rPr>
          <w:i/>
          <w:iCs/>
          <w:u w:val="single"/>
        </w:rPr>
        <w:t>Nemek</w:t>
      </w:r>
    </w:p>
    <w:p w14:paraId="48A5DF5D" w14:textId="718D97C2" w:rsidR="007543BB" w:rsidRDefault="002D677C" w:rsidP="00FD3A05">
      <w:r w:rsidRPr="00FD3A05">
        <w:t>A dózis módosítása nem szükséges (lásd 5.2</w:t>
      </w:r>
      <w:r w:rsidR="00EA74B7">
        <w:t> </w:t>
      </w:r>
      <w:r w:rsidRPr="00FD3A05">
        <w:t>pont).</w:t>
      </w:r>
    </w:p>
    <w:p w14:paraId="37ED6D34" w14:textId="77777777" w:rsidR="00FD3A05" w:rsidRPr="00FD3A05" w:rsidRDefault="00FD3A05" w:rsidP="00FD3A05"/>
    <w:p w14:paraId="1E76CC07" w14:textId="77777777" w:rsidR="007543BB" w:rsidRPr="00FD3A05" w:rsidRDefault="002D677C" w:rsidP="00FD3A05">
      <w:pPr>
        <w:keepNext/>
        <w:rPr>
          <w:i/>
          <w:iCs/>
          <w:u w:val="single"/>
        </w:rPr>
      </w:pPr>
      <w:r w:rsidRPr="00FD3A05">
        <w:rPr>
          <w:i/>
          <w:iCs/>
          <w:u w:val="single"/>
        </w:rPr>
        <w:t>Katéteres ablációban részesülő betegek (NVAF)</w:t>
      </w:r>
    </w:p>
    <w:p w14:paraId="4E7DE8D5" w14:textId="6003D0C1" w:rsidR="007543BB" w:rsidRDefault="002D677C" w:rsidP="00FD3A05">
      <w:r w:rsidRPr="00FD3A05">
        <w:t>Az apixabán-kezelés folytatható a katéteres ablációban részesülő betegeknél (lásd 4.3, 4.4 és 4.5</w:t>
      </w:r>
      <w:r w:rsidR="00EA74B7">
        <w:t> </w:t>
      </w:r>
      <w:r w:rsidRPr="00FD3A05">
        <w:t>pont).</w:t>
      </w:r>
    </w:p>
    <w:p w14:paraId="094B5072" w14:textId="77777777" w:rsidR="00FD3A05" w:rsidRPr="00FD3A05" w:rsidRDefault="00FD3A05" w:rsidP="00FD3A05"/>
    <w:p w14:paraId="4F5A075F" w14:textId="3CAF6087" w:rsidR="007543BB" w:rsidRDefault="005E7EE6" w:rsidP="00FD3A05">
      <w:pPr>
        <w:keepNext/>
        <w:rPr>
          <w:i/>
          <w:iCs/>
          <w:u w:val="single"/>
        </w:rPr>
      </w:pPr>
      <w:r w:rsidRPr="005E7EE6">
        <w:rPr>
          <w:i/>
          <w:iCs/>
          <w:u w:val="single"/>
        </w:rPr>
        <w:t>Kardioverzión áteső betegek</w:t>
      </w:r>
    </w:p>
    <w:p w14:paraId="6C1A1F3D" w14:textId="77777777" w:rsidR="005E7EE6" w:rsidRPr="00FD3A05" w:rsidRDefault="005E7EE6" w:rsidP="00FD3A05">
      <w:pPr>
        <w:keepNext/>
        <w:rPr>
          <w:i/>
          <w:iCs/>
          <w:u w:val="single"/>
        </w:rPr>
      </w:pPr>
    </w:p>
    <w:p w14:paraId="4BD9B91A" w14:textId="77777777" w:rsidR="007543BB" w:rsidRDefault="002D677C" w:rsidP="00FD3A05">
      <w:r w:rsidRPr="00FD3A05">
        <w:t>Az apixabán-kezelés megkezdhető vagy folytatható azoknál a felnőtt NVAF-betegeknél, akiknél kardioverzióra lehet szükség.</w:t>
      </w:r>
    </w:p>
    <w:p w14:paraId="745BB198" w14:textId="77777777" w:rsidR="00FD3A05" w:rsidRPr="00FD3A05" w:rsidRDefault="00FD3A05" w:rsidP="00FD3A05"/>
    <w:p w14:paraId="643A1A6E" w14:textId="7053BDA0" w:rsidR="00FD3A05" w:rsidRDefault="005E7EE6" w:rsidP="00FD3A05">
      <w:r w:rsidRPr="0014056B">
        <w:t>A korábban antikoagulánsokkal nem kezelt betegeknél a bal pitvari thrombus kizárása érdekében a kardioverzió előtt meg kell fontolni egy képalkotó eljárással végzett vizsgálat (pl. transoesophagealis echokardiográfia [TEE] vagy komputertomográfia [CT]) elvégzését a megalapozott egészségügyi irányelvekkel összhangban</w:t>
      </w:r>
      <w:r>
        <w:t>.</w:t>
      </w:r>
    </w:p>
    <w:p w14:paraId="52777C16" w14:textId="77777777" w:rsidR="005E7EE6" w:rsidRDefault="005E7EE6" w:rsidP="00FD3A05"/>
    <w:p w14:paraId="464BE6AC" w14:textId="77777777" w:rsidR="005E7EE6" w:rsidRDefault="005E7EE6" w:rsidP="005E7EE6">
      <w:r w:rsidRPr="005460EA">
        <w:t>Azoknak a betegeknek, akik a kezelést apixabánnal kezdik, a megfelelő mértékű antikoagulálás biztosítása érdekében legalább 2,5 napon keresztül, naponta kétszer 5 mg</w:t>
      </w:r>
      <w:r w:rsidRPr="005460EA">
        <w:noBreakHyphen/>
        <w:t xml:space="preserve">ot kell adni (5 egyszeri adag) a kardioverzió előtt (lásd 5.1 pont). A dózist napi kétszer 2,5 mg apixabánra kell csökkenteni és azt legalább 2,5 napon keresztül (5 egyszeri adag) kell alkalmazni, ha a beteg megfelel a dóziscsökkentés feltételeinek (lásd a fenti </w:t>
      </w:r>
      <w:r w:rsidRPr="005460EA">
        <w:rPr>
          <w:i/>
          <w:iCs/>
        </w:rPr>
        <w:t>Dóziscsökkentés</w:t>
      </w:r>
      <w:r w:rsidRPr="005460EA">
        <w:rPr>
          <w:iCs/>
        </w:rPr>
        <w:t xml:space="preserve"> és </w:t>
      </w:r>
      <w:r w:rsidRPr="005460EA">
        <w:rPr>
          <w:i/>
          <w:iCs/>
        </w:rPr>
        <w:t>Vesekárosodás</w:t>
      </w:r>
      <w:r w:rsidRPr="005460EA">
        <w:rPr>
          <w:iCs/>
        </w:rPr>
        <w:t xml:space="preserve"> </w:t>
      </w:r>
      <w:r w:rsidRPr="005460EA">
        <w:t>részt).</w:t>
      </w:r>
    </w:p>
    <w:p w14:paraId="68DD33CA" w14:textId="77777777" w:rsidR="005E7EE6" w:rsidRDefault="005E7EE6" w:rsidP="005E7EE6"/>
    <w:p w14:paraId="0918CE63" w14:textId="77777777" w:rsidR="005E7EE6" w:rsidRPr="005460EA" w:rsidRDefault="005E7EE6" w:rsidP="005E7EE6">
      <w:r w:rsidRPr="005460EA">
        <w:t>Ha azelőtt van szükség kardioverzióra, mielőtt a beteg megkaphatta volna az 5 adag apixabánt, a betegnek 10 mg feltöltő dózist kell kapnia, majd ezt követően naponta kétszer 5 mg</w:t>
      </w:r>
      <w:r w:rsidRPr="005460EA">
        <w:noBreakHyphen/>
        <w:t>ot. A dózist le kell csökkenteni 5 mg feltöltő dózisra, majd naponta kétszer 2,5 mg</w:t>
      </w:r>
      <w:r w:rsidRPr="005460EA">
        <w:noBreakHyphen/>
        <w:t xml:space="preserve">ra, ha a beteg megfelel a dóziscsökkentés feltételeinek (lásd a fenti </w:t>
      </w:r>
      <w:r w:rsidRPr="005460EA">
        <w:rPr>
          <w:i/>
          <w:iCs/>
        </w:rPr>
        <w:t>Dóziscsökkentés</w:t>
      </w:r>
      <w:r w:rsidRPr="005460EA">
        <w:rPr>
          <w:iCs/>
        </w:rPr>
        <w:t xml:space="preserve"> és </w:t>
      </w:r>
      <w:r w:rsidRPr="005460EA">
        <w:rPr>
          <w:i/>
          <w:iCs/>
        </w:rPr>
        <w:t>Vesekárosodás</w:t>
      </w:r>
      <w:r w:rsidRPr="005460EA">
        <w:t xml:space="preserve"> részt). A feltöltő dózist legalább 2 órával a kardioverzió előtt kell beadni (lásd 5.1 pont).</w:t>
      </w:r>
    </w:p>
    <w:p w14:paraId="17B26510" w14:textId="77777777" w:rsidR="005E7EE6" w:rsidRPr="005460EA" w:rsidRDefault="005E7EE6" w:rsidP="005E7EE6"/>
    <w:p w14:paraId="31DBDA06" w14:textId="77777777" w:rsidR="005E7EE6" w:rsidRPr="005460EA" w:rsidRDefault="005E7EE6" w:rsidP="005E7EE6">
      <w:r w:rsidRPr="005460EA">
        <w:t>A kardioverzióban részesülő összes betegnél a kardioverzió előtt meg kell győződni arról, hogy a beteg a felírtak szerint bevette az apixabánt. A kezelés megkezdésére és a kezelés időtartamára vonatkozó döntésnél figyelembe kell venni a kardioverzión áteső betegekre vonatkozó antikoagulációs kezelés érvényben lévő irányelveinek javaslatait.</w:t>
      </w:r>
    </w:p>
    <w:p w14:paraId="7927A980" w14:textId="77777777" w:rsidR="00FD3A05" w:rsidRPr="00FD3A05" w:rsidRDefault="00FD3A05" w:rsidP="00FD3A05"/>
    <w:p w14:paraId="3A89DE3E" w14:textId="6F0F4B06" w:rsidR="00FD3A05" w:rsidRPr="00FD3A05" w:rsidRDefault="002D677C" w:rsidP="00FD3A05">
      <w:pPr>
        <w:keepNext/>
        <w:rPr>
          <w:i/>
          <w:iCs/>
          <w:u w:val="single"/>
        </w:rPr>
      </w:pPr>
      <w:r w:rsidRPr="00FD3A05">
        <w:rPr>
          <w:i/>
          <w:iCs/>
          <w:u w:val="single"/>
        </w:rPr>
        <w:t>NVAF-betegek akut coronaria szindrómával (</w:t>
      </w:r>
      <w:r w:rsidR="00FA7C46" w:rsidRPr="00FA7C46">
        <w:rPr>
          <w:i/>
          <w:iCs/>
          <w:u w:val="single"/>
        </w:rPr>
        <w:t xml:space="preserve">acute coronary syndrome, </w:t>
      </w:r>
      <w:r w:rsidRPr="00FD3A05">
        <w:rPr>
          <w:i/>
          <w:iCs/>
          <w:u w:val="single"/>
        </w:rPr>
        <w:t>ACS) és/vagy perkután coronaria intervencióval (</w:t>
      </w:r>
      <w:r w:rsidR="00FA7C46" w:rsidRPr="00FA7C46">
        <w:rPr>
          <w:i/>
          <w:iCs/>
          <w:u w:val="single"/>
        </w:rPr>
        <w:t>percutaneous coronary intervention</w:t>
      </w:r>
      <w:r w:rsidR="00FA7C46">
        <w:rPr>
          <w:i/>
          <w:iCs/>
          <w:u w:val="single"/>
        </w:rPr>
        <w:t xml:space="preserve">, </w:t>
      </w:r>
      <w:r w:rsidRPr="00FD3A05">
        <w:rPr>
          <w:i/>
          <w:iCs/>
          <w:u w:val="single"/>
        </w:rPr>
        <w:t>PCI)</w:t>
      </w:r>
    </w:p>
    <w:p w14:paraId="70AE1A72" w14:textId="4FBD83C3" w:rsidR="007543BB" w:rsidRDefault="002D677C" w:rsidP="00FD3A05">
      <w:r w:rsidRPr="00FD3A05">
        <w:t>Korlátozottak a rendelkezésre álló tapasztalatok az apixabán NVAF-betegek kezelésében ajánlott dózisáról olyan esetben, amikor thrombocytaaggregáció-gátló szerekkel együttesen alkalmazzák ACS-ben szenvedő betegeknél és/vagy PCI-n átesett betegeknél a haemostasis helyreállása után (lásd 4.4 és 5.1</w:t>
      </w:r>
      <w:r w:rsidR="00EA74B7">
        <w:t> </w:t>
      </w:r>
      <w:r w:rsidRPr="00FD3A05">
        <w:t>pont).</w:t>
      </w:r>
    </w:p>
    <w:p w14:paraId="109A7FF5" w14:textId="77777777" w:rsidR="00FD3A05" w:rsidRPr="00FD3A05" w:rsidRDefault="00FD3A05" w:rsidP="00FD3A05"/>
    <w:p w14:paraId="62397B67" w14:textId="77777777" w:rsidR="007543BB" w:rsidRPr="00FD3A05" w:rsidRDefault="002D677C" w:rsidP="00FD3A05">
      <w:pPr>
        <w:rPr>
          <w:i/>
          <w:iCs/>
          <w:u w:val="single"/>
        </w:rPr>
      </w:pPr>
      <w:r w:rsidRPr="00FD3A05">
        <w:rPr>
          <w:i/>
          <w:iCs/>
          <w:u w:val="single"/>
        </w:rPr>
        <w:t>Gyermekek és serdülők</w:t>
      </w:r>
    </w:p>
    <w:p w14:paraId="7C2C41BF" w14:textId="7D9DCB58" w:rsidR="007543BB" w:rsidRDefault="002D677C" w:rsidP="00FD3A05">
      <w:r w:rsidRPr="00FD3A05">
        <w:t xml:space="preserve">Az </w:t>
      </w:r>
      <w:r w:rsidR="007404EB">
        <w:t>Apixaban Viatris Pharma</w:t>
      </w:r>
      <w:r w:rsidRPr="00FD3A05">
        <w:t xml:space="preserve"> biztonságosságát és hatásosságát 18</w:t>
      </w:r>
      <w:r w:rsidR="00EA74B7">
        <w:t> </w:t>
      </w:r>
      <w:r w:rsidRPr="00FD3A05">
        <w:t>évesnél fiatalabb gyermekek és serdülők esetében thromboembolia megelőzés</w:t>
      </w:r>
      <w:r w:rsidR="00FA7C46">
        <w:t>ére</w:t>
      </w:r>
      <w:r w:rsidRPr="00FD3A05">
        <w:t xml:space="preserve"> nem igazolták. A thromboembolia megelőzésével kapcsolatos jelenleg rendelkezésre álló adatok leírása az 5.1</w:t>
      </w:r>
      <w:r w:rsidR="00173F0C">
        <w:t> </w:t>
      </w:r>
      <w:r w:rsidRPr="00FD3A05">
        <w:t>pontban található, de az adagolásra vonatkozóan nem adható ajánlás.</w:t>
      </w:r>
    </w:p>
    <w:p w14:paraId="0D42AE96" w14:textId="77777777" w:rsidR="00FD3A05" w:rsidRPr="00FD3A05" w:rsidRDefault="00FD3A05" w:rsidP="00FD3A05"/>
    <w:p w14:paraId="48E340A3" w14:textId="710AA2D0" w:rsidR="007543BB" w:rsidRDefault="002D677C" w:rsidP="00FD3A05">
      <w:pPr>
        <w:keepNext/>
        <w:rPr>
          <w:u w:val="single"/>
        </w:rPr>
      </w:pPr>
      <w:r w:rsidRPr="00FD3A05">
        <w:rPr>
          <w:u w:val="single"/>
        </w:rPr>
        <w:t>Az alkalmazás módja</w:t>
      </w:r>
    </w:p>
    <w:p w14:paraId="23B786F1" w14:textId="77777777" w:rsidR="00FD3A05" w:rsidRPr="00FD3A05" w:rsidRDefault="00FD3A05" w:rsidP="00FD3A05">
      <w:pPr>
        <w:keepNext/>
        <w:rPr>
          <w:u w:val="single"/>
        </w:rPr>
      </w:pPr>
    </w:p>
    <w:p w14:paraId="5133779E" w14:textId="77777777" w:rsidR="007543BB" w:rsidRPr="00FD3A05" w:rsidRDefault="002D677C" w:rsidP="00FD3A05">
      <w:r w:rsidRPr="00FD3A05">
        <w:t>Szájon át történő alkalmazásra.</w:t>
      </w:r>
    </w:p>
    <w:p w14:paraId="3E80D066" w14:textId="321429F9" w:rsidR="007543BB" w:rsidRDefault="002D677C" w:rsidP="00FD3A05">
      <w:r w:rsidRPr="00FD3A05">
        <w:t xml:space="preserve">Az </w:t>
      </w:r>
      <w:r w:rsidR="007404EB">
        <w:t>Apixaban Viatris Pharma</w:t>
      </w:r>
      <w:r w:rsidRPr="00FD3A05">
        <w:t>-t étkezés közben vagy attól függetlenül, vízzel kell bevenni.</w:t>
      </w:r>
    </w:p>
    <w:p w14:paraId="42200FD0" w14:textId="77777777" w:rsidR="00FD3A05" w:rsidRPr="00FD3A05" w:rsidRDefault="00FD3A05" w:rsidP="00FD3A05"/>
    <w:p w14:paraId="6EC7B763" w14:textId="7A2EF582" w:rsidR="007543BB" w:rsidRPr="00FD3A05" w:rsidRDefault="002D677C" w:rsidP="00FD3A05">
      <w:r w:rsidRPr="00FD3A05">
        <w:t xml:space="preserve">Az olyan betegek számára, akik nem képesek lenyelni a tablettákat egészben, az </w:t>
      </w:r>
      <w:r w:rsidR="007404EB">
        <w:t>Apixaban Viatris Pharma</w:t>
      </w:r>
      <w:r w:rsidRPr="00FD3A05">
        <w:t xml:space="preserve"> tablettákat porrá lehet törni, és szuszpendálni lehet vízben, glükóz 5%-os vizes oldatában, almalében, vagy hozzá lehet keverni almapüréhez, és azonnal be kell adni szájon át (lásd 5.2</w:t>
      </w:r>
      <w:r w:rsidR="005D7DB3">
        <w:t> </w:t>
      </w:r>
      <w:r w:rsidRPr="00FD3A05">
        <w:t xml:space="preserve">pont). Másik megoldásként az </w:t>
      </w:r>
      <w:r w:rsidR="007404EB">
        <w:t>Apixaban Viatris Pharma</w:t>
      </w:r>
      <w:r w:rsidRPr="00FD3A05">
        <w:t xml:space="preserve"> tablettákat porrá lehet törni és szuszpendálni 60</w:t>
      </w:r>
      <w:r w:rsidR="005D7DB3">
        <w:t> </w:t>
      </w:r>
      <w:r w:rsidRPr="00FD3A05">
        <w:t>ml vízben vagy 5%-os glükózoldatban, majd nasogastricus szondán át azonnal be kell adni (lásd 5.2</w:t>
      </w:r>
      <w:r w:rsidR="005D7DB3">
        <w:t> </w:t>
      </w:r>
      <w:r w:rsidRPr="00FD3A05">
        <w:t>pont).</w:t>
      </w:r>
    </w:p>
    <w:p w14:paraId="7ED3451A" w14:textId="768D7A67" w:rsidR="007543BB" w:rsidRDefault="002D677C" w:rsidP="00FD3A05">
      <w:r w:rsidRPr="00FD3A05">
        <w:t xml:space="preserve">A porrá tört </w:t>
      </w:r>
      <w:r w:rsidR="007404EB">
        <w:t>Apixaban Viatris Pharma</w:t>
      </w:r>
      <w:r w:rsidRPr="00FD3A05">
        <w:t xml:space="preserve"> tabletták vízben, 5%-os glükózoldatban, almalében és almapürében legfeljebb 4</w:t>
      </w:r>
      <w:r w:rsidR="005D7DB3">
        <w:t> </w:t>
      </w:r>
      <w:r w:rsidRPr="00FD3A05">
        <w:t>órán keresztül stabilak.</w:t>
      </w:r>
    </w:p>
    <w:p w14:paraId="49D1DC31" w14:textId="77777777" w:rsidR="00FD3A05" w:rsidRPr="00FD3A05" w:rsidRDefault="00FD3A05" w:rsidP="00FD3A05"/>
    <w:p w14:paraId="0A0EE545" w14:textId="4CE60885" w:rsidR="007543BB" w:rsidRDefault="00390A1D" w:rsidP="009F51B8">
      <w:pPr>
        <w:keepNext/>
        <w:ind w:left="567" w:hanging="567"/>
        <w:rPr>
          <w:b/>
          <w:bCs/>
        </w:rPr>
      </w:pPr>
      <w:r>
        <w:rPr>
          <w:b/>
          <w:bCs/>
        </w:rPr>
        <w:t>4.3</w:t>
      </w:r>
      <w:r>
        <w:rPr>
          <w:b/>
          <w:bCs/>
        </w:rPr>
        <w:tab/>
      </w:r>
      <w:r w:rsidR="002D677C" w:rsidRPr="009F51B8">
        <w:rPr>
          <w:b/>
          <w:bCs/>
        </w:rPr>
        <w:t>Ellenjavallatok</w:t>
      </w:r>
    </w:p>
    <w:p w14:paraId="3B8CA725" w14:textId="77777777" w:rsidR="00D659CA" w:rsidRPr="009F51B8" w:rsidRDefault="00D659CA" w:rsidP="009F51B8">
      <w:pPr>
        <w:keepNext/>
        <w:ind w:left="567" w:hanging="567"/>
        <w:rPr>
          <w:b/>
          <w:bCs/>
        </w:rPr>
      </w:pPr>
    </w:p>
    <w:p w14:paraId="1BB9AC73" w14:textId="2C9DBD20" w:rsidR="007543BB" w:rsidRPr="00D659CA" w:rsidRDefault="002D677C" w:rsidP="00D659CA">
      <w:pPr>
        <w:pStyle w:val="Listaszerbekezds"/>
        <w:numPr>
          <w:ilvl w:val="0"/>
          <w:numId w:val="11"/>
        </w:numPr>
        <w:ind w:left="567" w:hanging="567"/>
      </w:pPr>
      <w:r w:rsidRPr="00D659CA">
        <w:t>A készítmény hatóanyagával vagy a 6.1</w:t>
      </w:r>
      <w:r w:rsidR="00074CBC">
        <w:t> </w:t>
      </w:r>
      <w:r w:rsidRPr="00D659CA">
        <w:t>pontban felsorolt bármely segédanyagával szembeni</w:t>
      </w:r>
      <w:r w:rsidR="00D659CA" w:rsidRPr="00D659CA">
        <w:t xml:space="preserve"> </w:t>
      </w:r>
      <w:r w:rsidRPr="00D659CA">
        <w:t>túlérzékenység.</w:t>
      </w:r>
    </w:p>
    <w:p w14:paraId="3D1977D7" w14:textId="077E8A22" w:rsidR="007543BB" w:rsidRPr="00D659CA" w:rsidRDefault="002D677C" w:rsidP="00D659CA">
      <w:pPr>
        <w:pStyle w:val="Listaszerbekezds"/>
        <w:numPr>
          <w:ilvl w:val="0"/>
          <w:numId w:val="11"/>
        </w:numPr>
        <w:ind w:left="567" w:hanging="567"/>
      </w:pPr>
      <w:r w:rsidRPr="00D659CA">
        <w:t>Aktív, klinikailag jelentős vérzés.</w:t>
      </w:r>
    </w:p>
    <w:p w14:paraId="15175890" w14:textId="3A6D4A45" w:rsidR="007543BB" w:rsidRPr="00D659CA" w:rsidRDefault="002D677C" w:rsidP="00D659CA">
      <w:pPr>
        <w:pStyle w:val="Listaszerbekezds"/>
        <w:numPr>
          <w:ilvl w:val="0"/>
          <w:numId w:val="11"/>
        </w:numPr>
        <w:ind w:left="567" w:hanging="567"/>
      </w:pPr>
      <w:r w:rsidRPr="00D659CA">
        <w:t>Véralvadási zavarral és klinikailag jelentős vérzési kockázattal járó májbetegség (lásd 5.2</w:t>
      </w:r>
      <w:r w:rsidR="00074CBC">
        <w:t> </w:t>
      </w:r>
      <w:r w:rsidRPr="00D659CA">
        <w:t>pont).</w:t>
      </w:r>
    </w:p>
    <w:p w14:paraId="001EBDF0" w14:textId="6DCC8FA1" w:rsidR="007543BB" w:rsidRPr="00D659CA" w:rsidRDefault="002D677C" w:rsidP="00D659CA">
      <w:pPr>
        <w:pStyle w:val="Listaszerbekezds"/>
        <w:numPr>
          <w:ilvl w:val="0"/>
          <w:numId w:val="11"/>
        </w:numPr>
        <w:ind w:left="567" w:hanging="567"/>
      </w:pPr>
      <w:r w:rsidRPr="00D659CA">
        <w:t>Léziók vagy állapotok, melyek a nagyfokú vérzés jelentős rizikófaktorának tekinthetők. Ide</w:t>
      </w:r>
      <w:r w:rsidR="00D659CA" w:rsidRPr="00D659CA">
        <w:t xml:space="preserve"> </w:t>
      </w:r>
      <w:r w:rsidRPr="00D659CA">
        <w:t>tartozhat az aktuálisan fennálló vagy nemrégiben lezajlott gastrointestinalis fekély, a vérzés magasabb kockázatával járó malignus daganatok fennállása, friss agyi vagy gerincsérülés, nemrégiben lezajlott agy-, gerinc- vagy szemműtét, nemrégiben lezajlott intracranialis vérzés, ismert vagy feltételezett oesophagus varicositás, arteriovenosus malformatiók, vascularis aneurysmák vagy nagyobb intraspinalis vagy intracerebralis vascularis rendellenességek.</w:t>
      </w:r>
    </w:p>
    <w:p w14:paraId="02F1E478" w14:textId="298ED7DF" w:rsidR="007543BB" w:rsidRDefault="002D677C" w:rsidP="00D659CA">
      <w:pPr>
        <w:pStyle w:val="Listaszerbekezds"/>
        <w:keepLines/>
        <w:numPr>
          <w:ilvl w:val="0"/>
          <w:numId w:val="11"/>
        </w:numPr>
        <w:ind w:left="567" w:hanging="567"/>
      </w:pPr>
      <w:r w:rsidRPr="00D659CA">
        <w:t>Bármilyen más antikoaguláns szerrel, pl. nem frakcionált heparinnal (UFH), kis</w:t>
      </w:r>
      <w:r w:rsidR="00D659CA" w:rsidRPr="00D659CA">
        <w:t xml:space="preserve"> </w:t>
      </w:r>
      <w:r w:rsidRPr="00D659CA">
        <w:t>molekulatömegű heparinokkal (enoxaparin, dalteparin stb.), heparinszármazékokkal (fondaparinux stb.), oralis antikoagulánsokkal (warfarin, rivaroxabán, dabigatrán-etexilát stb.) történő egyidejű kezelés, kivéve azokat a specifikus körülményeket, amikor a beteget az egyik antikoaguláns-kezelésről egy másikra állítják át (lásd 4.2</w:t>
      </w:r>
      <w:r w:rsidR="00074CBC">
        <w:t> </w:t>
      </w:r>
      <w:r w:rsidRPr="00D659CA">
        <w:t>pont), amikor a nem frakcionált heparint a centrális vénás vagy artériás kanül átjárhatóságának fenntartásához szükséges dózisokban adják vagy amikor nem frakcionált heparint adnak pitvarfibrilláció miatti katéteres abláció alatt (lásd 4.4 és 4.5</w:t>
      </w:r>
      <w:r w:rsidR="00074CBC">
        <w:t> </w:t>
      </w:r>
      <w:r w:rsidRPr="00D659CA">
        <w:t>pont).</w:t>
      </w:r>
    </w:p>
    <w:p w14:paraId="1F9ACC7E" w14:textId="77777777" w:rsidR="00D659CA" w:rsidRPr="00D659CA" w:rsidRDefault="00D659CA" w:rsidP="00D659CA"/>
    <w:p w14:paraId="14D679EE" w14:textId="045EEE31" w:rsidR="007543BB" w:rsidRDefault="00390A1D" w:rsidP="009F51B8">
      <w:pPr>
        <w:keepNext/>
        <w:ind w:left="567" w:hanging="567"/>
        <w:rPr>
          <w:b/>
          <w:bCs/>
        </w:rPr>
      </w:pPr>
      <w:r>
        <w:rPr>
          <w:b/>
          <w:bCs/>
        </w:rPr>
        <w:t>4.4</w:t>
      </w:r>
      <w:r>
        <w:rPr>
          <w:b/>
          <w:bCs/>
        </w:rPr>
        <w:tab/>
      </w:r>
      <w:r w:rsidR="002D677C" w:rsidRPr="009F51B8">
        <w:rPr>
          <w:b/>
          <w:bCs/>
        </w:rPr>
        <w:t>Különleges figyelmeztetések és az alkalmazással kapcsolatos óvintézkedések</w:t>
      </w:r>
    </w:p>
    <w:p w14:paraId="73BF6B50" w14:textId="77777777" w:rsidR="00D659CA" w:rsidRPr="009F51B8" w:rsidRDefault="00D659CA" w:rsidP="009F51B8">
      <w:pPr>
        <w:keepNext/>
        <w:ind w:left="567" w:hanging="567"/>
        <w:rPr>
          <w:b/>
          <w:bCs/>
        </w:rPr>
      </w:pPr>
    </w:p>
    <w:p w14:paraId="03106AFF" w14:textId="77777777" w:rsidR="007543BB" w:rsidRDefault="002D677C" w:rsidP="00D659CA">
      <w:pPr>
        <w:rPr>
          <w:u w:val="single"/>
        </w:rPr>
      </w:pPr>
      <w:r w:rsidRPr="00D659CA">
        <w:rPr>
          <w:u w:val="single"/>
        </w:rPr>
        <w:t>Vérzésveszély</w:t>
      </w:r>
    </w:p>
    <w:p w14:paraId="27E5605A" w14:textId="67003091" w:rsidR="007543BB" w:rsidRDefault="002D677C" w:rsidP="00D659CA">
      <w:r w:rsidRPr="00D659CA">
        <w:t>Más antikoagulánsokhoz hasonlóan az apixabánt szedő betegeknél gondosan figyelni kell a vérzésre utaló jeleket. Elővigyázatos alkalmazása ajánlott fokozott vérzésveszéllyel járó állapotokban. Súlyos vérzés jelentkezésekor az apixabán alkalmazását abba kell hagyni (lásd 4.8 és 4.9</w:t>
      </w:r>
      <w:r w:rsidR="00074CBC">
        <w:t> </w:t>
      </w:r>
      <w:r w:rsidRPr="00D659CA">
        <w:t>pont).</w:t>
      </w:r>
    </w:p>
    <w:p w14:paraId="5399E579" w14:textId="77777777" w:rsidR="00D659CA" w:rsidRPr="00D659CA" w:rsidRDefault="00D659CA" w:rsidP="00D659CA"/>
    <w:p w14:paraId="17E8FAB5" w14:textId="77777777" w:rsidR="00A10AAD" w:rsidRPr="00EB646A" w:rsidRDefault="00A10AAD" w:rsidP="00A10AAD">
      <w:r w:rsidRPr="00EB646A">
        <w:t>Bár az apixabán-kezelés nem teszi szükségessé az expozíció rutinszerű monitorozását, egy kalibrált, mennyiségi meghatározásra alkalmas anti</w:t>
      </w:r>
      <w:r w:rsidRPr="00EB646A">
        <w:noBreakHyphen/>
        <w:t>Xa faktor assay hasznos lehet azokban a kivételes helyzetekben, amikor az apixabán-expozíció ismerete klinikai döntéshez szükséges információkkal szolgálhat például túladagolás és sürgős műtét esetében (lásd 5.1 pont).</w:t>
      </w:r>
    </w:p>
    <w:p w14:paraId="2CB99297" w14:textId="77777777" w:rsidR="00D659CA" w:rsidRPr="00D659CA" w:rsidRDefault="00D659CA" w:rsidP="00D659CA"/>
    <w:p w14:paraId="233BFED0" w14:textId="77777777" w:rsidR="007543BB" w:rsidRDefault="002D677C" w:rsidP="00D659CA">
      <w:r w:rsidRPr="00D659CA">
        <w:t>Felnőttek számára rendelkezésre áll egy specifikus antagonista szer (andexanet-alfa), ami antagonizálja az apixabán farmakodinámiás hatását. Azonban annak biztonságosságát és hatásosságát nem határozták meg gyermekeknél és serdülőknél (lásd az andexanet-alfa alkalmazási előírását). Friss fagyasztott plazma transzfúziója, prothrombinkomplex-koncentrátumok (PCC) alkalmazása vagy rekombináns VIIa faktor alkalmazása is mérlegelhető. Azonban nincs klinikai tapasztalat a 4 faktoros PCC-készítmények alkalmazásával a vérzés megszüntetésére vonatkozóan apixabánt kapó gyermekeknél és serdülőknél, valamint felnőtteknél.</w:t>
      </w:r>
    </w:p>
    <w:p w14:paraId="47D27044" w14:textId="77777777" w:rsidR="00D659CA" w:rsidRPr="00D659CA" w:rsidRDefault="00D659CA" w:rsidP="00D659CA"/>
    <w:p w14:paraId="4FAB48A1" w14:textId="77777777" w:rsidR="007543BB" w:rsidRDefault="002D677C" w:rsidP="00D659CA">
      <w:pPr>
        <w:keepNext/>
        <w:rPr>
          <w:u w:val="single"/>
        </w:rPr>
      </w:pPr>
      <w:r w:rsidRPr="00D659CA">
        <w:rPr>
          <w:u w:val="single"/>
        </w:rPr>
        <w:t>Kölcsönhatás a haemostasist befolyásoló egyéb gyógyszerekkel</w:t>
      </w:r>
    </w:p>
    <w:p w14:paraId="790E24DF" w14:textId="6FB05A69" w:rsidR="007543BB" w:rsidRDefault="002D677C" w:rsidP="00D659CA">
      <w:r w:rsidRPr="00D659CA">
        <w:t>A vérzés fokozott kockázata miatt bármilyen más antikoagulánssal végzett egyidejű kezelés ellenjavallt (lásd 4.3</w:t>
      </w:r>
      <w:r w:rsidR="00BA0808">
        <w:t> </w:t>
      </w:r>
      <w:r w:rsidRPr="00D659CA">
        <w:t>pont).</w:t>
      </w:r>
    </w:p>
    <w:p w14:paraId="276EB44C" w14:textId="77777777" w:rsidR="00D659CA" w:rsidRPr="00D659CA" w:rsidRDefault="00D659CA" w:rsidP="00D659CA"/>
    <w:p w14:paraId="2EA97DCB" w14:textId="5B895937" w:rsidR="007543BB" w:rsidRDefault="002D677C" w:rsidP="00D659CA">
      <w:r w:rsidRPr="00D659CA">
        <w:t>Az apixabán és a thrombocytaaggregáció-gátló szerek egyidejű alkalmazása növeli a vérzés kockázatát (lásd 4.5</w:t>
      </w:r>
      <w:r w:rsidR="00BA0808">
        <w:t> </w:t>
      </w:r>
      <w:r w:rsidRPr="00D659CA">
        <w:t>pont).</w:t>
      </w:r>
    </w:p>
    <w:p w14:paraId="0895CCC8" w14:textId="77777777" w:rsidR="00D659CA" w:rsidRPr="00D659CA" w:rsidRDefault="00D659CA" w:rsidP="00D659CA"/>
    <w:p w14:paraId="374B951C" w14:textId="77777777" w:rsidR="007543BB" w:rsidRDefault="002D677C" w:rsidP="00D659CA">
      <w:r w:rsidRPr="00D659CA">
        <w:t>Elővigyázatosság szükséges, ha a betegeket egyidejűleg szelektív szerotoninvisszavétel-gátló szerekkel (SSRI-k) vagy szerotonin-noradrenalin-visszavétel-gátló szerekkel (SNRI-k) vagy nem-szteroid gyulladáscsökkentőkkel kezelik, beleértve az acetilszalicilsavat is.</w:t>
      </w:r>
    </w:p>
    <w:p w14:paraId="57E09732" w14:textId="77777777" w:rsidR="00D659CA" w:rsidRPr="00D659CA" w:rsidRDefault="00D659CA" w:rsidP="00D659CA"/>
    <w:p w14:paraId="69A42E22" w14:textId="3F30828D" w:rsidR="007543BB" w:rsidRDefault="002D677C" w:rsidP="00D659CA">
      <w:r w:rsidRPr="00D659CA">
        <w:t>A műtét után más thrombocytaaggregáció-gátlók apixabánnal történő egyidejű alkalmazása nem javasolt (lásd 4.5pont).</w:t>
      </w:r>
    </w:p>
    <w:p w14:paraId="6FFBEBE4" w14:textId="77777777" w:rsidR="00D659CA" w:rsidRPr="00D659CA" w:rsidRDefault="00D659CA" w:rsidP="00D659CA"/>
    <w:p w14:paraId="5A8ABBD2" w14:textId="430D2075" w:rsidR="007543BB" w:rsidRDefault="002D677C" w:rsidP="00D659CA">
      <w:r w:rsidRPr="00D659CA">
        <w:t xml:space="preserve">A pitvarfibrillációban és olyan állapotokban szenvedő betegeknél, akiknél ez egy vagy két szerből kombinált thrombocytaaggregáció-gátló kezelést tesz indokolttá, ennek a kezelésnek az </w:t>
      </w:r>
      <w:r w:rsidR="00BA0808" w:rsidRPr="003665EB">
        <w:t>Apixaban Viatris Pharma</w:t>
      </w:r>
      <w:r w:rsidR="00BA0808">
        <w:t>-val</w:t>
      </w:r>
      <w:r w:rsidRPr="00D659CA">
        <w:t xml:space="preserve"> történő kombinálása előtt a kezelés potenciális előnyeit gondosan mérlegelni kell a potenciális kockázatokkal szemben.</w:t>
      </w:r>
    </w:p>
    <w:p w14:paraId="3A6160B4" w14:textId="77777777" w:rsidR="00D659CA" w:rsidRPr="00D659CA" w:rsidRDefault="00D659CA" w:rsidP="00D659CA"/>
    <w:p w14:paraId="17544F98" w14:textId="69A2FC0C" w:rsidR="007543BB" w:rsidRDefault="002D677C" w:rsidP="00D659CA">
      <w:r w:rsidRPr="00D659CA">
        <w:t>Egy pitvarfibrillációban szenvedő felnőtt betegekkel végzett klinikai vizsgálatban az acetilszalicilsav egyidejű alkalmazása az apixabánt kapó betegeknél az évenkénti 1,8%-ról évenként 3,4%-ra növelte a nagyfokú vérzés kockázatát, a warfarint kapó betegeknél az évenkénti 2,7%-ról évenként 4,6%-ra növelte a vérzés kockázatát. Ebben a klinikai vizsgálatban az egyidejűleg alkalmazott kettős thrombocytaaggregáció-gátló kezelés alkalmazása korlátozott volt (2,1%) (lásd 5.1</w:t>
      </w:r>
      <w:r w:rsidR="0091002B">
        <w:t> </w:t>
      </w:r>
      <w:r w:rsidRPr="00D659CA">
        <w:t>pont).</w:t>
      </w:r>
    </w:p>
    <w:p w14:paraId="3D8400FA" w14:textId="77777777" w:rsidR="00D659CA" w:rsidRPr="00D659CA" w:rsidRDefault="00D659CA" w:rsidP="00D659CA"/>
    <w:p w14:paraId="187E27B4" w14:textId="68199D26" w:rsidR="007543BB" w:rsidRDefault="002D677C" w:rsidP="00D659CA">
      <w:r w:rsidRPr="00D659CA">
        <w:t>Egy klinikai vizsgálatba olyan pitvarfibrillációban szenvedő betegeket vontak be, akiknek akut coronaria szindrómájuk volt és/vagy PCI-n estek át, és tervezetten P2Y12-gátló kezelést kaptak acetilszalicilsavval együtt vagy a nélkül, valamint orális antikoagulánst (apixabán vagy K-vitamin-antagonista) 6</w:t>
      </w:r>
      <w:r w:rsidR="0091002B">
        <w:t> </w:t>
      </w:r>
      <w:r w:rsidRPr="00D659CA">
        <w:t>hónapig. Az acetilszalicilsav együttes alkalmazása évente 16,4%-ról évente 33,1%-ra növelte az ISTH (Nemzetközi Thrombosis és Haemostasis Társaság) definíciója szerinti nagyfokú vagy CRNM (klinikailag releváns, nem nagyfokú) vérzés kockázatát az apixabánnal kezelt betegeknél (lásd 5.1</w:t>
      </w:r>
      <w:r w:rsidR="0091002B">
        <w:t> </w:t>
      </w:r>
      <w:r w:rsidRPr="00D659CA">
        <w:t>pont).</w:t>
      </w:r>
    </w:p>
    <w:p w14:paraId="319B7B7A" w14:textId="77777777" w:rsidR="00D659CA" w:rsidRPr="00D659CA" w:rsidRDefault="00D659CA" w:rsidP="00D659CA"/>
    <w:p w14:paraId="3AC5E1AF" w14:textId="77777777" w:rsidR="007543BB" w:rsidRDefault="002D677C" w:rsidP="00D659CA">
      <w:r w:rsidRPr="00D659CA">
        <w:t>Egy nagy kockázatú poszt-akut coronaria szindrómás, pitvarfibrillációban nem szenvedő betegekkel végzett klinikai vizsgálatban, ahol a betegeket többszörös cardialis és nem cardialis kísérőbetegségek jellemezték, és acetilszalicilsavat vagy acetilszalicilsav és klopidogrel kombinációt kaptak, az ISTH definíciója szerinti nagyfokú vérzés kockázatának jelentős emelkedéséről számoltak be az apixabán esetén (5,13% évente) a placebóhoz képest (2,04% évente).</w:t>
      </w:r>
    </w:p>
    <w:p w14:paraId="15B2CAAF" w14:textId="77777777" w:rsidR="00D659CA" w:rsidRPr="00D659CA" w:rsidRDefault="00D659CA" w:rsidP="00D659CA"/>
    <w:p w14:paraId="546FC061" w14:textId="0D3FCC56" w:rsidR="007543BB" w:rsidRDefault="002D677C" w:rsidP="00156D91">
      <w:r w:rsidRPr="00D659CA">
        <w:t>A CV185325 vizsgálatban nem jelentettek klinikailag jelentős vérzéses eseményt a 12</w:t>
      </w:r>
      <w:r w:rsidR="00173F0C">
        <w:t> </w:t>
      </w:r>
      <w:r w:rsidRPr="00D659CA">
        <w:t xml:space="preserve">gyermeknél és serdülőnél, akiket egyidejűleg kezeltek apixabánnal és </w:t>
      </w:r>
      <w:r w:rsidR="00156D91" w:rsidRPr="004311F4">
        <w:t>≤</w:t>
      </w:r>
      <w:r w:rsidR="00A20CC2">
        <w:t> </w:t>
      </w:r>
      <w:r w:rsidRPr="00D659CA">
        <w:t>165</w:t>
      </w:r>
      <w:r w:rsidR="00A20CC2">
        <w:t> </w:t>
      </w:r>
      <w:r w:rsidRPr="00D659CA">
        <w:t>mg/nap dózisú acetilszalicilsavval.</w:t>
      </w:r>
    </w:p>
    <w:p w14:paraId="7D4B1E3F" w14:textId="77777777" w:rsidR="00D659CA" w:rsidRPr="00D659CA" w:rsidRDefault="00D659CA" w:rsidP="00D659CA"/>
    <w:p w14:paraId="5E341FDB" w14:textId="77777777" w:rsidR="007543BB" w:rsidRDefault="002D677C" w:rsidP="00D659CA">
      <w:pPr>
        <w:keepNext/>
        <w:rPr>
          <w:u w:val="single"/>
        </w:rPr>
      </w:pPr>
      <w:r w:rsidRPr="00D659CA">
        <w:rPr>
          <w:u w:val="single"/>
        </w:rPr>
        <w:t>Thrombolyticus szerek alkalmazása az akut ischaemiás stroke kezelésére</w:t>
      </w:r>
    </w:p>
    <w:p w14:paraId="10B6ED80" w14:textId="638EB603" w:rsidR="007543BB" w:rsidRDefault="002D677C" w:rsidP="00D659CA">
      <w:r w:rsidRPr="00D659CA">
        <w:t>Az apixabánt kapó betegeknél az akut ischaemiás stroke kezelése esetén nagyon korlátozott a tapasztalat a thrombolyticus szerek alkalmazásával (lásd 4.5</w:t>
      </w:r>
      <w:r w:rsidR="0091002B">
        <w:t> </w:t>
      </w:r>
      <w:r w:rsidRPr="00D659CA">
        <w:t>pont).</w:t>
      </w:r>
    </w:p>
    <w:p w14:paraId="5D1C5D7C" w14:textId="77777777" w:rsidR="00D659CA" w:rsidRPr="00D659CA" w:rsidRDefault="00D659CA" w:rsidP="00D659CA"/>
    <w:p w14:paraId="54C21247" w14:textId="77777777" w:rsidR="007543BB" w:rsidRDefault="002D677C" w:rsidP="00D659CA">
      <w:pPr>
        <w:rPr>
          <w:u w:val="single"/>
        </w:rPr>
      </w:pPr>
      <w:r w:rsidRPr="00D659CA">
        <w:rPr>
          <w:u w:val="single"/>
        </w:rPr>
        <w:t>Billentyű-protézises betegek</w:t>
      </w:r>
    </w:p>
    <w:p w14:paraId="34441246" w14:textId="77777777" w:rsidR="007543BB" w:rsidRDefault="002D677C" w:rsidP="00D659CA">
      <w:r w:rsidRPr="00D659CA">
        <w:t>Az apixabán biztonságosságát és hatásosságát billentyű-protézises, pitvarfibrilláló, vagy nem pitvarfibrilláló betegeknél nem vizsgálták. Ezért az apixabán alkalmazása ebben az esetben nem javasolt.</w:t>
      </w:r>
    </w:p>
    <w:p w14:paraId="446DB72E" w14:textId="77777777" w:rsidR="00D659CA" w:rsidRPr="00D659CA" w:rsidRDefault="00D659CA" w:rsidP="00D659CA"/>
    <w:p w14:paraId="327DD129" w14:textId="77777777" w:rsidR="007543BB" w:rsidRDefault="002D677C" w:rsidP="00D659CA">
      <w:r w:rsidRPr="00D659CA">
        <w:t>Az apixabánt nem vizsgálták billentyű-protézissel rendelkező gyermekeknél és serdülőknél, ezért az apixabán alkalmazása náluk nem javasolt.</w:t>
      </w:r>
    </w:p>
    <w:p w14:paraId="24EF4ECF" w14:textId="77777777" w:rsidR="00D659CA" w:rsidRPr="00D659CA" w:rsidRDefault="00D659CA" w:rsidP="00D659CA"/>
    <w:p w14:paraId="1FCDE18C" w14:textId="77777777" w:rsidR="007543BB" w:rsidRDefault="002D677C" w:rsidP="00D659CA">
      <w:pPr>
        <w:keepNext/>
        <w:rPr>
          <w:u w:val="single"/>
        </w:rPr>
      </w:pPr>
      <w:r w:rsidRPr="00D659CA">
        <w:rPr>
          <w:u w:val="single"/>
        </w:rPr>
        <w:t>Antifoszfolipid szindrómában szenvedő betegek</w:t>
      </w:r>
    </w:p>
    <w:p w14:paraId="38526E8F" w14:textId="77777777" w:rsidR="007543BB" w:rsidRDefault="002D677C" w:rsidP="00D659CA">
      <w:r w:rsidRPr="00D659CA">
        <w:t>A direkt hatású orális antikoagulánsok (DOAC), köztük az apixabán, nem javasoltak olyan, korábban thrombosison átesett betegeknél, akiknél antifoszfolipid szindrómát diagnosztizáltak. Különösen tripla pozitív betegeknél (lupusz antikoaguláns, antikardiolipin antitestek és anti-béta-2-glikoprotein-I antitestek) a DOAC-kezelés visszatérő thromboticus események magasabb gyakoriságával társulhat a K-vitamin-antagonistákhoz képest.</w:t>
      </w:r>
    </w:p>
    <w:p w14:paraId="034E7C65" w14:textId="77777777" w:rsidR="00D659CA" w:rsidRPr="00D659CA" w:rsidRDefault="00D659CA" w:rsidP="00D659CA"/>
    <w:p w14:paraId="4D682E5A" w14:textId="77777777" w:rsidR="007543BB" w:rsidRDefault="002D677C" w:rsidP="00D659CA">
      <w:pPr>
        <w:keepNext/>
        <w:rPr>
          <w:u w:val="single"/>
        </w:rPr>
      </w:pPr>
      <w:r w:rsidRPr="00D659CA">
        <w:rPr>
          <w:u w:val="single"/>
        </w:rPr>
        <w:t>Műtét és invazív beavatkozások</w:t>
      </w:r>
    </w:p>
    <w:p w14:paraId="30C71AB2" w14:textId="74E988D3" w:rsidR="007543BB" w:rsidRDefault="002D677C" w:rsidP="00D659CA">
      <w:r w:rsidRPr="00D659CA">
        <w:t>Közepes vagy magas vérzési kockázattal járó elektív műtét vagy invazív beavatkozások előtt az apixabán adását legalább 48</w:t>
      </w:r>
      <w:r w:rsidR="0091002B">
        <w:t> </w:t>
      </w:r>
      <w:r w:rsidRPr="00D659CA">
        <w:t>órával korábban abba kell hagyni. Ezek közé olyan beavatkozások tartoznak, amelyeknél a klinikailag jelentős vérzés kockázata nem zárható ki, vagy amelyeknél a vérzés kockázata elfogadhatatlan lehet.</w:t>
      </w:r>
    </w:p>
    <w:p w14:paraId="2C7072EC" w14:textId="77777777" w:rsidR="00D659CA" w:rsidRPr="00D659CA" w:rsidRDefault="00D659CA" w:rsidP="00D659CA"/>
    <w:p w14:paraId="6157FCFF" w14:textId="3E32EA88" w:rsidR="007543BB" w:rsidRDefault="002D677C" w:rsidP="00D659CA">
      <w:r w:rsidRPr="00D659CA">
        <w:t>Alacsony vérzési kockázattal járó elektív műtét vagy invazív beavatkozások előtt az apixabán adását legalább 24</w:t>
      </w:r>
      <w:r w:rsidR="0091002B">
        <w:t> </w:t>
      </w:r>
      <w:r w:rsidRPr="00D659CA">
        <w:t>órával korábban abba kell hagyni. Ezek közé olyan beavatkozások tartoznak, amelyeknél bármilyen előforduló vérzés várhatóan minimális, nem kritikus és könnyen kontrollálható.</w:t>
      </w:r>
    </w:p>
    <w:p w14:paraId="188F69BC" w14:textId="77777777" w:rsidR="00D659CA" w:rsidRPr="00D659CA" w:rsidRDefault="00D659CA" w:rsidP="00D659CA"/>
    <w:p w14:paraId="0791B6C8" w14:textId="77777777" w:rsidR="007543BB" w:rsidRDefault="002D677C" w:rsidP="00D659CA">
      <w:r w:rsidRPr="00D659CA">
        <w:t>Ha a műtét vagy az invazív beavatkozások nem halaszthatók, megfelelő elővigyázatosság szükséges, és a vérzés fokozott kockázatát tekintetbe kell venni. A vérzés kockázatát mérlegelni kell a beavatkozás sürgősségével szemben.</w:t>
      </w:r>
    </w:p>
    <w:p w14:paraId="0C135C65" w14:textId="77777777" w:rsidR="00D659CA" w:rsidRPr="00D659CA" w:rsidRDefault="00D659CA" w:rsidP="00D659CA"/>
    <w:p w14:paraId="7C1DB898" w14:textId="425C4231" w:rsidR="007543BB" w:rsidRDefault="002D677C" w:rsidP="00D659CA">
      <w:r w:rsidRPr="00D659CA">
        <w:t>Az invazív beavatkozás vagy sebészi beavatkozás után az apixabán-kezelést amilyen hamar csak lehet, újra el kell kezdeni, feltételezve, hogy azt a klinikai szituáció lehetővé teszi, és az adekvát haemostasis elérésre került (kardioverzióra vonatkozóan lásd a 4.2</w:t>
      </w:r>
      <w:r w:rsidR="0091002B">
        <w:t> </w:t>
      </w:r>
      <w:r w:rsidRPr="00D659CA">
        <w:t>pontot).</w:t>
      </w:r>
    </w:p>
    <w:p w14:paraId="023564BA" w14:textId="77777777" w:rsidR="00D659CA" w:rsidRPr="00D659CA" w:rsidRDefault="00D659CA" w:rsidP="00D659CA"/>
    <w:p w14:paraId="1B3FAA4A" w14:textId="68642305" w:rsidR="007543BB" w:rsidRDefault="002D677C" w:rsidP="00D659CA">
      <w:r w:rsidRPr="00D659CA">
        <w:t>Pitvarfibrilláció miatt katéteres ablációban részesülő betegeknél nincs szükség az apixabán-kezelés megszakítására (lásd 4.2, 4.3 és 4.5</w:t>
      </w:r>
      <w:r w:rsidR="0091002B">
        <w:t> </w:t>
      </w:r>
      <w:r w:rsidRPr="00D659CA">
        <w:t>pont).</w:t>
      </w:r>
    </w:p>
    <w:p w14:paraId="3EF0A4F8" w14:textId="77777777" w:rsidR="00D659CA" w:rsidRPr="00D659CA" w:rsidRDefault="00D659CA" w:rsidP="00D659CA"/>
    <w:p w14:paraId="74749127" w14:textId="77777777" w:rsidR="007543BB" w:rsidRDefault="002D677C" w:rsidP="00D659CA">
      <w:pPr>
        <w:keepNext/>
        <w:rPr>
          <w:u w:val="single"/>
        </w:rPr>
      </w:pPr>
      <w:r w:rsidRPr="00D659CA">
        <w:rPr>
          <w:u w:val="single"/>
        </w:rPr>
        <w:t>A kezelés átmeneti felfüggesztése</w:t>
      </w:r>
    </w:p>
    <w:p w14:paraId="36F16ED1" w14:textId="77777777" w:rsidR="007543BB" w:rsidRDefault="002D677C" w:rsidP="00D659CA">
      <w:r w:rsidRPr="00D659CA">
        <w:t>Az antikoagulánsok, köztük az apixabán adásának felfüggesztése aktív vérzés, elektív műtét vagy invazív beavatkozások végzésekor fokozott thrombosis-kockázat esetén. A terápiás tévedéseket kerülni kell, és ha az apixabánnal végzett antikoagulálást bármilyen okból átmenetileg fel kell függeszteni, a kezelést amilyen hamar csak lehet, újra el kell kezdeni.</w:t>
      </w:r>
    </w:p>
    <w:p w14:paraId="36C36593" w14:textId="77777777" w:rsidR="00D659CA" w:rsidRPr="00D659CA" w:rsidRDefault="00D659CA" w:rsidP="00D659CA"/>
    <w:p w14:paraId="67352642" w14:textId="77777777" w:rsidR="007543BB" w:rsidRDefault="002D677C" w:rsidP="00D659CA">
      <w:pPr>
        <w:keepNext/>
        <w:rPr>
          <w:u w:val="single"/>
        </w:rPr>
      </w:pPr>
      <w:r w:rsidRPr="00D659CA">
        <w:rPr>
          <w:u w:val="single"/>
        </w:rPr>
        <w:t>Spinal/epiduralis anaesthesia vagy punctio</w:t>
      </w:r>
    </w:p>
    <w:p w14:paraId="7D09A61D" w14:textId="160068D7" w:rsidR="007543BB" w:rsidRDefault="002D677C" w:rsidP="00D659CA">
      <w:r w:rsidRPr="00D659CA">
        <w:t>Neuraxialis anaesthesia (spinal/epiduralis anaesthesia) vagy lumbal/epiduralis punctio esetén a thromboemboliás szövődmények megelőzése érdekében antithromboticus szerekkel kezelt betegeknél fennáll az epiduralis vagy spinalis haematoma kialakulásának kockázata, amely hosszan tartó vagy végleges paralysist eredményezhet. Ezeknek az eseményeknek a kockázata a tartós epiduralis kanül posztoperatív alkalmazásával vagy a haemostasist befolyásoló gyógyszerek egyidejű alkalmazásával növekedhet. A tartós epiduralis vagy intrathecalis kanülöket az apixabán első adagja előtt legalább 5</w:t>
      </w:r>
      <w:r w:rsidR="00D659CA">
        <w:t> </w:t>
      </w:r>
      <w:r w:rsidRPr="00D659CA">
        <w:t xml:space="preserve">órával korábban el kell távolítani. A traumás vagy ismételt epiduralis vagy lumbal punctio szintén növelheti a kockázatot. A betegeknél gyakran kell monitorozni a neurológiai károsodásra utaló </w:t>
      </w:r>
      <w:r w:rsidR="00A10AAD">
        <w:t>jeleket</w:t>
      </w:r>
      <w:r w:rsidRPr="00D659CA">
        <w:t xml:space="preserve"> és tüneteket (pl. az alsó végtagok zsibbadása vagy gyengesége, végbél- vagy húgyhólyag dysfunctio). Neurológiai károsodás detektálása esetén a diagnózis sürgős felállítása és kezelés szükséges. Neuroaxialis beavatkozás előtt az antikoagulált betegeknél vagy a thromboprophylaxis céljából antikoagulálandó betegeknél az orvosnak mérlegelnie kell a potenciális előnyöket a kockázatokkal szemben.</w:t>
      </w:r>
    </w:p>
    <w:p w14:paraId="0500FE86" w14:textId="77777777" w:rsidR="00D659CA" w:rsidRPr="00D659CA" w:rsidRDefault="00D659CA" w:rsidP="00D659CA"/>
    <w:p w14:paraId="76369534" w14:textId="7A6D5336" w:rsidR="007543BB" w:rsidRDefault="002D677C" w:rsidP="00D659CA">
      <w:r w:rsidRPr="00D659CA">
        <w:t>Nincs az apixabán alkalmazásával a tartós intrathecalis vagy epiduralis katétert viselő betegekkel szerzett klinikai tapasztalat. Abban az esetben, ha ilyenre van szükség, akkor az apixabán általános farmakokinetikai jellemzői alapján egy 20-30</w:t>
      </w:r>
      <w:r w:rsidR="00173F0C">
        <w:t> </w:t>
      </w:r>
      <w:r w:rsidRPr="00D659CA">
        <w:t>órás időtartamnak (azaz a felezési idő kétszeresének) el kell telnie az apixabán utolsó dózisa, és a katéter kihúzása között, és legalább egy adagot ki kell hagyni a katéter kihúzása előtt. Az apixabán következő adagját legkorábban 5</w:t>
      </w:r>
      <w:r w:rsidR="00173F0C">
        <w:t> </w:t>
      </w:r>
      <w:r w:rsidRPr="00D659CA">
        <w:t>órával a katéter eltávolítása után lehet adni. Mint minden új antikoaguláns gyógyszer esetén, a neuroaxiális blokáddal szerzett tapasztalat korlátozott, és ezért rendkívüli elővigyázatosság javasolt, ha az apixabánt neuroaxiális blokád jelenlétében alkalmazzák.</w:t>
      </w:r>
    </w:p>
    <w:p w14:paraId="7E0D30CE" w14:textId="77777777" w:rsidR="00D659CA" w:rsidRPr="00D659CA" w:rsidRDefault="00D659CA" w:rsidP="00D659CA"/>
    <w:p w14:paraId="2706D0AC" w14:textId="28C2C1E5" w:rsidR="007543BB" w:rsidRDefault="002D677C" w:rsidP="00D659CA">
      <w:r w:rsidRPr="00D659CA">
        <w:t>Nincsenek rendelkezésre álló adatok a neuroaxiális katéter behelyezésének vagy eltávolításának időzítésével kapcsolatban apixabánt kapó gyermekeknél és serdülőknél. Ilyen esetben meg kell szakítani az apixabán-kezelést, és meg kell fontolni rövid hatás</w:t>
      </w:r>
      <w:r w:rsidR="00A10AAD">
        <w:t>ú</w:t>
      </w:r>
      <w:r w:rsidRPr="00D659CA">
        <w:t xml:space="preserve"> parenterális antikoaguláns alkalmazását.</w:t>
      </w:r>
    </w:p>
    <w:p w14:paraId="00B811D5" w14:textId="77777777" w:rsidR="00D659CA" w:rsidRPr="00D659CA" w:rsidRDefault="00D659CA" w:rsidP="00D659CA"/>
    <w:p w14:paraId="4B8015CC" w14:textId="77777777" w:rsidR="007543BB" w:rsidRDefault="002D677C" w:rsidP="00D659CA">
      <w:pPr>
        <w:keepNext/>
        <w:rPr>
          <w:u w:val="single"/>
        </w:rPr>
      </w:pPr>
      <w:r w:rsidRPr="00D659CA">
        <w:rPr>
          <w:u w:val="single"/>
        </w:rPr>
        <w:t>Hemodinamikailag instabil tüdőembóliás, továbbá thrombolysist vagy pulmonalis embolectomiát igénylő betegek</w:t>
      </w:r>
    </w:p>
    <w:p w14:paraId="0BD11F9C" w14:textId="77777777" w:rsidR="007543BB" w:rsidRDefault="002D677C" w:rsidP="00D659CA">
      <w:r w:rsidRPr="00D659CA">
        <w:t>A hemodinamikailag instabil tüdőembóliás betegeknél, vagy a várhatóan thrombolysissel vagy pulmonalis embolectomiával kezelendő betegeknél az apixabán nem javasolt a nem frakcionált heparin alternatívájaként, mivel az apixabán biztonságosságát és hatásosságát ezekben a klinikai helyzetekben nem igazolták.</w:t>
      </w:r>
    </w:p>
    <w:p w14:paraId="74A95E78" w14:textId="77777777" w:rsidR="00D659CA" w:rsidRPr="00D659CA" w:rsidRDefault="00D659CA" w:rsidP="00D659CA"/>
    <w:p w14:paraId="70B657BF" w14:textId="77777777" w:rsidR="007543BB" w:rsidRDefault="002D677C" w:rsidP="00D659CA">
      <w:pPr>
        <w:keepNext/>
        <w:rPr>
          <w:u w:val="single"/>
        </w:rPr>
      </w:pPr>
      <w:r w:rsidRPr="00D659CA">
        <w:rPr>
          <w:u w:val="single"/>
        </w:rPr>
        <w:t>Aktív tumoros betegek</w:t>
      </w:r>
    </w:p>
    <w:p w14:paraId="1E511D72" w14:textId="4F1E2E7C" w:rsidR="007543BB" w:rsidRDefault="002D677C" w:rsidP="00D659CA">
      <w:r w:rsidRPr="00D659CA">
        <w:t>Aktív tumoros betegek esetében magas lehet mind a vénás thromboembólia, mind a vérzéses események kockázata. Ha az MVT vagy a PE kezelésére apixabán alkalmazását tervezik tumoros betegeknél, az előnyöket és a kockázatokat körültekintően kell mérlegelni (lásd 4.3</w:t>
      </w:r>
      <w:r w:rsidR="0091002B">
        <w:t> </w:t>
      </w:r>
      <w:r w:rsidRPr="00D659CA">
        <w:t>pont).</w:t>
      </w:r>
    </w:p>
    <w:p w14:paraId="2937CD43" w14:textId="77777777" w:rsidR="00D659CA" w:rsidRPr="00D659CA" w:rsidRDefault="00D659CA" w:rsidP="00D659CA"/>
    <w:p w14:paraId="28E356FD" w14:textId="77777777" w:rsidR="007543BB" w:rsidRDefault="002D677C" w:rsidP="00D659CA">
      <w:pPr>
        <w:keepNext/>
        <w:rPr>
          <w:u w:val="single"/>
        </w:rPr>
      </w:pPr>
      <w:r w:rsidRPr="00D659CA">
        <w:rPr>
          <w:u w:val="single"/>
        </w:rPr>
        <w:t>Vesekárosodás</w:t>
      </w:r>
    </w:p>
    <w:p w14:paraId="55C254CB" w14:textId="77777777" w:rsidR="00D659CA" w:rsidRPr="00D659CA" w:rsidRDefault="00D659CA" w:rsidP="00D659CA">
      <w:pPr>
        <w:keepNext/>
        <w:rPr>
          <w:u w:val="single"/>
        </w:rPr>
      </w:pPr>
    </w:p>
    <w:p w14:paraId="348CE0B5" w14:textId="77777777" w:rsidR="007543BB" w:rsidRDefault="002D677C" w:rsidP="00D659CA">
      <w:pPr>
        <w:keepNext/>
      </w:pPr>
      <w:r w:rsidRPr="00B10F8E">
        <w:t>Felnőttek</w:t>
      </w:r>
    </w:p>
    <w:p w14:paraId="73A82B45" w14:textId="77777777" w:rsidR="00121D6A" w:rsidRPr="00B10F8E" w:rsidRDefault="00121D6A" w:rsidP="00D659CA">
      <w:pPr>
        <w:keepNext/>
      </w:pPr>
    </w:p>
    <w:p w14:paraId="1B954D75" w14:textId="36C6332F" w:rsidR="007543BB" w:rsidRDefault="002D677C" w:rsidP="00D659CA">
      <w:r w:rsidRPr="00D659CA">
        <w:t>A korlátozott mennyiségű klinikai adat azt mutatja, hogy az apixabán plazmakoncentrációja a súlyos vesekárosodásban szenvedő betegeknél (kreatinin-clearance 15</w:t>
      </w:r>
      <w:r w:rsidR="0091002B">
        <w:noBreakHyphen/>
      </w:r>
      <w:r w:rsidRPr="00D659CA">
        <w:t>29</w:t>
      </w:r>
      <w:r w:rsidR="0091002B">
        <w:t> </w:t>
      </w:r>
      <w:r w:rsidRPr="00D659CA">
        <w:t>ml/perc) emelkedett, ami megnövekedett vérzési kockázathoz vezethet. A súlyos vesekárosodásban szenvedő betegeknél (kreatinin-clearance 15</w:t>
      </w:r>
      <w:r w:rsidR="0091002B">
        <w:noBreakHyphen/>
      </w:r>
      <w:r w:rsidRPr="00D659CA">
        <w:t>29</w:t>
      </w:r>
      <w:r w:rsidR="0091002B">
        <w:t> </w:t>
      </w:r>
      <w:r w:rsidRPr="00D659CA">
        <w:t>ml/perc) a vénás thromboembolia megelőzésére elektív csípő- vagy térdprotézis műtét esetén (VTEp), valamint az MVT kezelésére, a PE kezelésére és az MVT és a PE kiújulásának megelőzésére (VTEt) az apixabánt elővigyázatosan kell alkalmazni (lásd 4.2 és 5.2</w:t>
      </w:r>
      <w:r w:rsidR="0091002B">
        <w:t> </w:t>
      </w:r>
      <w:r w:rsidRPr="00D659CA">
        <w:t>pont).</w:t>
      </w:r>
    </w:p>
    <w:p w14:paraId="61B999C1" w14:textId="77777777" w:rsidR="00D659CA" w:rsidRPr="00D659CA" w:rsidRDefault="00D659CA" w:rsidP="00D659CA"/>
    <w:p w14:paraId="49C942D7" w14:textId="1B8DB88B" w:rsidR="007543BB" w:rsidRDefault="002D677C" w:rsidP="00D659CA">
      <w:r w:rsidRPr="00D659CA">
        <w:t>A stroke és a szisztémás embolizáció prevenciója esetén a nem billentyű eredetű pitvarfibrillációban szenvedő betegeknek, a súlyos vesekárosodásban szenvedő betegeknek (kreatinin-clearance 15</w:t>
      </w:r>
      <w:r w:rsidR="0091002B">
        <w:noBreakHyphen/>
      </w:r>
      <w:r w:rsidRPr="00D659CA">
        <w:t>29</w:t>
      </w:r>
      <w:r w:rsidR="00D659CA">
        <w:t> </w:t>
      </w:r>
      <w:r w:rsidRPr="00D659CA">
        <w:t>ml/perc), és azoknak a betegeknek, akiknek a szérum-kreatininszintje</w:t>
      </w:r>
      <w:r w:rsidR="0091002B">
        <w:t> </w:t>
      </w:r>
      <w:r w:rsidR="00D659CA" w:rsidRPr="004311F4">
        <w:t>≥</w:t>
      </w:r>
      <w:r w:rsidR="00C47660">
        <w:t> </w:t>
      </w:r>
      <w:r w:rsidRPr="00D659CA">
        <w:t>1,5</w:t>
      </w:r>
      <w:r w:rsidR="0091002B">
        <w:t> </w:t>
      </w:r>
      <w:r w:rsidRPr="00D659CA">
        <w:t>mg/dl (133</w:t>
      </w:r>
      <w:r w:rsidR="0091002B">
        <w:t> </w:t>
      </w:r>
      <w:r w:rsidR="00D659CA">
        <w:t>µ</w:t>
      </w:r>
      <w:r w:rsidRPr="00D659CA">
        <w:t xml:space="preserve">mol/l) és az </w:t>
      </w:r>
      <w:r w:rsidR="00D659CA" w:rsidRPr="004311F4">
        <w:t>≥</w:t>
      </w:r>
      <w:r w:rsidR="00D659CA">
        <w:t> </w:t>
      </w:r>
      <w:r w:rsidRPr="00D659CA">
        <w:t xml:space="preserve">80 éves életkorral vagy </w:t>
      </w:r>
      <w:r w:rsidR="00D659CA" w:rsidRPr="004311F4">
        <w:t>≤</w:t>
      </w:r>
      <w:r w:rsidR="00173F0C">
        <w:t> </w:t>
      </w:r>
      <w:r w:rsidRPr="00D659CA">
        <w:t>60</w:t>
      </w:r>
      <w:r w:rsidR="0091002B">
        <w:t> </w:t>
      </w:r>
      <w:r w:rsidRPr="00D659CA">
        <w:t>kg-os testtömeggel társul, kisebb, naponta kétszer 2,5</w:t>
      </w:r>
      <w:r w:rsidR="0091002B">
        <w:t> </w:t>
      </w:r>
      <w:r w:rsidRPr="00D659CA">
        <w:t>mg-os apixabán dózist kell kapniuk (lásd 4.2</w:t>
      </w:r>
      <w:r w:rsidR="0091002B">
        <w:t> </w:t>
      </w:r>
      <w:r w:rsidRPr="00D659CA">
        <w:t>pont).</w:t>
      </w:r>
    </w:p>
    <w:p w14:paraId="176C103C" w14:textId="77777777" w:rsidR="00D659CA" w:rsidRPr="00D659CA" w:rsidRDefault="00D659CA" w:rsidP="00D659CA"/>
    <w:p w14:paraId="49161AEE" w14:textId="7621DD2D" w:rsidR="007543BB" w:rsidRDefault="002D677C" w:rsidP="00D659CA">
      <w:r w:rsidRPr="00D659CA">
        <w:t>Nincs klinikai tapasztalat az olyan betegekkel, akiknek a kreatinin-clearence-e</w:t>
      </w:r>
      <w:r w:rsidR="0091002B">
        <w:t> </w:t>
      </w:r>
      <w:r w:rsidRPr="00D659CA">
        <w:t>&lt;</w:t>
      </w:r>
      <w:r w:rsidR="00C47660">
        <w:t> </w:t>
      </w:r>
      <w:r w:rsidRPr="00D659CA">
        <w:t>15</w:t>
      </w:r>
      <w:r w:rsidR="0091002B">
        <w:t> </w:t>
      </w:r>
      <w:r w:rsidRPr="00D659CA">
        <w:t>ml/perc, vagy dialízis-kezelés alatt állnak, ezért az apixabán ezeknél a betegeknél nem javasolt (lásd 4.2 és 5.2</w:t>
      </w:r>
      <w:r w:rsidR="0091002B">
        <w:t> </w:t>
      </w:r>
      <w:r w:rsidRPr="00D659CA">
        <w:t>pont).</w:t>
      </w:r>
    </w:p>
    <w:p w14:paraId="67B76E44" w14:textId="77777777" w:rsidR="00D659CA" w:rsidRPr="00D659CA" w:rsidRDefault="00D659CA" w:rsidP="00D659CA"/>
    <w:p w14:paraId="7013FAB8" w14:textId="77777777" w:rsidR="007543BB" w:rsidRPr="00B10F8E" w:rsidRDefault="002D677C" w:rsidP="00D659CA">
      <w:pPr>
        <w:keepNext/>
        <w:rPr>
          <w:u w:val="single"/>
        </w:rPr>
      </w:pPr>
      <w:r w:rsidRPr="00B10F8E">
        <w:rPr>
          <w:u w:val="single"/>
        </w:rPr>
        <w:t>Gyermekek és serdülők</w:t>
      </w:r>
    </w:p>
    <w:p w14:paraId="0F7E5196" w14:textId="77777777" w:rsidR="00C47660" w:rsidRPr="00D659CA" w:rsidRDefault="00C47660" w:rsidP="00D659CA">
      <w:pPr>
        <w:keepNext/>
        <w:rPr>
          <w:i/>
          <w:iCs/>
        </w:rPr>
      </w:pPr>
    </w:p>
    <w:p w14:paraId="49865204" w14:textId="77777777" w:rsidR="007543BB" w:rsidRDefault="002D677C" w:rsidP="00D659CA">
      <w:r w:rsidRPr="00D659CA">
        <w:t>Az apixabánt nem vizsgálták súlyos vesekárosodásban szenvedő gyermekeknél és serdülőknél, ezért ezek a betegek nem kaphatnak apixabánt (lásd 4.2 és 5.2 pont).</w:t>
      </w:r>
    </w:p>
    <w:p w14:paraId="508A3455" w14:textId="77777777" w:rsidR="00D659CA" w:rsidRPr="00D659CA" w:rsidRDefault="00D659CA" w:rsidP="00D659CA"/>
    <w:p w14:paraId="41052FF5" w14:textId="77777777" w:rsidR="007543BB" w:rsidRDefault="002D677C" w:rsidP="00D659CA">
      <w:pPr>
        <w:keepNext/>
        <w:rPr>
          <w:u w:val="single"/>
        </w:rPr>
      </w:pPr>
      <w:r w:rsidRPr="00D659CA">
        <w:rPr>
          <w:u w:val="single"/>
        </w:rPr>
        <w:t>Idősek</w:t>
      </w:r>
    </w:p>
    <w:p w14:paraId="7F0D8EEF" w14:textId="0C2F0E72" w:rsidR="007543BB" w:rsidRPr="00D659CA" w:rsidRDefault="002D677C" w:rsidP="00D659CA">
      <w:r w:rsidRPr="00D659CA">
        <w:t>Az életkor előrehaladásával a vérzési kockázat fokozódhat (lásd 5.2</w:t>
      </w:r>
      <w:r w:rsidR="00E300DF">
        <w:t> </w:t>
      </w:r>
      <w:r w:rsidRPr="00D659CA">
        <w:t>pont).</w:t>
      </w:r>
    </w:p>
    <w:p w14:paraId="46316B39" w14:textId="77777777" w:rsidR="007543BB" w:rsidRDefault="002D677C" w:rsidP="00D659CA">
      <w:r w:rsidRPr="00D659CA">
        <w:t>Ezen kívül a potenciálisan magasabb vérzési kockázat miatt idős betegeknél az apixabán és acetilszalicilsav kombinációt elővigyázatosan kell alkalmazni.</w:t>
      </w:r>
    </w:p>
    <w:p w14:paraId="651C1F3B" w14:textId="77777777" w:rsidR="00D659CA" w:rsidRPr="00D659CA" w:rsidRDefault="00D659CA" w:rsidP="00D659CA"/>
    <w:p w14:paraId="70EB420B" w14:textId="77777777" w:rsidR="007543BB" w:rsidRDefault="002D677C" w:rsidP="00D659CA">
      <w:pPr>
        <w:keepNext/>
        <w:rPr>
          <w:u w:val="single"/>
        </w:rPr>
      </w:pPr>
      <w:r w:rsidRPr="00D659CA">
        <w:rPr>
          <w:u w:val="single"/>
        </w:rPr>
        <w:t>Testtömeg</w:t>
      </w:r>
    </w:p>
    <w:p w14:paraId="0C51A61F" w14:textId="43E8C5E6" w:rsidR="007543BB" w:rsidRDefault="002D677C" w:rsidP="00D659CA">
      <w:r w:rsidRPr="00D659CA">
        <w:t>Felnőtteknél a</w:t>
      </w:r>
      <w:r w:rsidR="00156D91">
        <w:t xml:space="preserve"> </w:t>
      </w:r>
      <w:r w:rsidRPr="00D659CA">
        <w:t>kis testtömeg (&lt;</w:t>
      </w:r>
      <w:r w:rsidR="00C47660">
        <w:t> </w:t>
      </w:r>
      <w:r w:rsidRPr="00D659CA">
        <w:t>60</w:t>
      </w:r>
      <w:r w:rsidR="00E300DF">
        <w:t> </w:t>
      </w:r>
      <w:r w:rsidRPr="00D659CA">
        <w:t>kg) növelheti a vérzési kockázatot (lásd 5.2</w:t>
      </w:r>
      <w:r w:rsidR="00E300DF">
        <w:t> </w:t>
      </w:r>
      <w:r w:rsidRPr="00D659CA">
        <w:t>pont).</w:t>
      </w:r>
    </w:p>
    <w:p w14:paraId="6BE09761" w14:textId="77777777" w:rsidR="00D659CA" w:rsidRPr="00D659CA" w:rsidRDefault="00D659CA" w:rsidP="00D659CA"/>
    <w:p w14:paraId="335EAC22" w14:textId="77777777" w:rsidR="007543BB" w:rsidRDefault="002D677C" w:rsidP="00D659CA">
      <w:pPr>
        <w:keepNext/>
        <w:rPr>
          <w:u w:val="single"/>
        </w:rPr>
      </w:pPr>
      <w:r w:rsidRPr="00D659CA">
        <w:rPr>
          <w:u w:val="single"/>
        </w:rPr>
        <w:t>Májkárosodás</w:t>
      </w:r>
    </w:p>
    <w:p w14:paraId="51FE6905" w14:textId="53FCE9F6" w:rsidR="007543BB" w:rsidRDefault="002D677C" w:rsidP="00D659CA">
      <w:r w:rsidRPr="00D659CA">
        <w:t>Az apixabán ellenjavallt véralvadási zavarral és klinikailag jelentős vérzési kockázattal járó májbetegségben szenvedő betegeknél (lásd 4.3</w:t>
      </w:r>
      <w:r w:rsidR="00EB7140">
        <w:t> </w:t>
      </w:r>
      <w:r w:rsidRPr="00D659CA">
        <w:t>pont).</w:t>
      </w:r>
    </w:p>
    <w:p w14:paraId="626027AD" w14:textId="77777777" w:rsidR="00D659CA" w:rsidRPr="00D659CA" w:rsidRDefault="00D659CA" w:rsidP="00D659CA"/>
    <w:p w14:paraId="280FC866" w14:textId="28A8614E" w:rsidR="007543BB" w:rsidRDefault="002D677C" w:rsidP="00D659CA">
      <w:r w:rsidRPr="00D659CA">
        <w:t>Súlyos májkárosodásban szenvedő betegeknél nem ajánlott (lásd 5.2</w:t>
      </w:r>
      <w:r w:rsidR="00EB7140">
        <w:t> </w:t>
      </w:r>
      <w:r w:rsidRPr="00D659CA">
        <w:t>pont).</w:t>
      </w:r>
    </w:p>
    <w:p w14:paraId="119968AF" w14:textId="77777777" w:rsidR="00D659CA" w:rsidRPr="00D659CA" w:rsidRDefault="00D659CA" w:rsidP="00D659CA"/>
    <w:p w14:paraId="0087B3E5" w14:textId="52953419" w:rsidR="007543BB" w:rsidRDefault="002D677C" w:rsidP="00D659CA">
      <w:r w:rsidRPr="00D659CA">
        <w:t>Enyhe vagy közepesen súlyos májkárosodásban szenvedő betegeknél (Child</w:t>
      </w:r>
      <w:r w:rsidR="008A7E5E">
        <w:t>‒</w:t>
      </w:r>
      <w:r w:rsidRPr="00D659CA">
        <w:t>Pugh A vagy B stádium) elővigyázatosan kell alkalmazni (lásd 4.2 és 5.2</w:t>
      </w:r>
      <w:r w:rsidR="00EB7140">
        <w:t> </w:t>
      </w:r>
      <w:r w:rsidRPr="00D659CA">
        <w:t>pont).</w:t>
      </w:r>
    </w:p>
    <w:p w14:paraId="6BB81897" w14:textId="77777777" w:rsidR="00D659CA" w:rsidRPr="00D659CA" w:rsidRDefault="00D659CA" w:rsidP="00D659CA"/>
    <w:p w14:paraId="710D0C90" w14:textId="6ABA1E0F" w:rsidR="007543BB" w:rsidRDefault="002D677C" w:rsidP="00D659CA">
      <w:r w:rsidRPr="00D659CA">
        <w:t>Azokat a betegeket, akiknél a májenzimek szintje emelkedett volt (GPT/GOT 2-szer magasabb, mint a normálérték felső határa), vagy az összbilirubin szintje</w:t>
      </w:r>
      <w:r w:rsidR="00EB7140">
        <w:t> </w:t>
      </w:r>
      <w:r w:rsidR="00D659CA" w:rsidRPr="004311F4">
        <w:t>≥</w:t>
      </w:r>
      <w:r w:rsidR="00C47660">
        <w:t> </w:t>
      </w:r>
      <w:r w:rsidRPr="00D659CA">
        <w:t>1,5-szer magasabb volt, mint a normálérték felső határa, kizárták a klinikai vizsgálatokból. Ezért az apixabánt ebben a betegcsoportban elővigyázatosan kell alkalmazni (lásd 5.2</w:t>
      </w:r>
      <w:r w:rsidR="00EB7140">
        <w:t> </w:t>
      </w:r>
      <w:r w:rsidRPr="00D659CA">
        <w:t>pont). Az apixabán-kezelés elkezdése előtt májfunkciós vizsgálatot kell végezni.</w:t>
      </w:r>
    </w:p>
    <w:p w14:paraId="1CA7EF3F" w14:textId="77777777" w:rsidR="007543BB" w:rsidRDefault="002D677C" w:rsidP="00D659CA">
      <w:r w:rsidRPr="00D659CA">
        <w:t>Az apixabánt nem vizsgálták májkárosodásban szenvedő gyermekeknél és serdülőknél.</w:t>
      </w:r>
    </w:p>
    <w:p w14:paraId="5ED28716" w14:textId="77777777" w:rsidR="00D659CA" w:rsidRPr="00D659CA" w:rsidRDefault="00D659CA" w:rsidP="00D659CA"/>
    <w:p w14:paraId="7191F75C" w14:textId="77777777" w:rsidR="007543BB" w:rsidRDefault="002D677C" w:rsidP="00D659CA">
      <w:pPr>
        <w:keepNext/>
        <w:rPr>
          <w:u w:val="single"/>
        </w:rPr>
      </w:pPr>
      <w:r w:rsidRPr="00D659CA">
        <w:rPr>
          <w:u w:val="single"/>
        </w:rPr>
        <w:t>Kölcsönhatás a citokróm P450 3A4-et (CYP3A4) és a P-glikoproteint (P-gp) egyaránt gátló inhibitorokkal</w:t>
      </w:r>
    </w:p>
    <w:p w14:paraId="07D02D3C" w14:textId="77777777" w:rsidR="008A7E5E" w:rsidRDefault="002D677C" w:rsidP="00D659CA">
      <w:r w:rsidRPr="00D659CA">
        <w:t xml:space="preserve">Az apixabán alkalmazása nem javasolt olyan betegeknél, akik a CYP3A4-et és a P-gp-t egyaránt erősen gátló szerekkel végzett szisztémás kezelést kapnak egyidejűleg, mint amilyenek az azol-típusú antimikotikumok (pl. ketokonazol, itrakonazol, vorikonazol, valamint a pozakonazol) és a HIV-proteáz-gátlók (pl. ritonavir). Ezek a gyógyszerek az apixabán expozícióját kétszeresére növelhetik (lásd 4.5 </w:t>
      </w:r>
      <w:r w:rsidR="00EB7140">
        <w:t> </w:t>
      </w:r>
      <w:r w:rsidRPr="00D659CA">
        <w:t>ont) vagy egyéb, olyan tényezők jelenlétében, amelyek az apixabán-expozíciót növelik (pl. súlyos vesekárosodás) ennél is nagyobbra.</w:t>
      </w:r>
      <w:r w:rsidR="00C47660">
        <w:t xml:space="preserve"> </w:t>
      </w:r>
    </w:p>
    <w:p w14:paraId="2BC0DE01" w14:textId="77777777" w:rsidR="008A7E5E" w:rsidRDefault="008A7E5E" w:rsidP="00D659CA"/>
    <w:p w14:paraId="24726E0C" w14:textId="35A3FF4C" w:rsidR="007543BB" w:rsidRDefault="002D677C" w:rsidP="00D659CA">
      <w:r w:rsidRPr="00D659CA">
        <w:t xml:space="preserve">Nincsenek rendelkezésre álló </w:t>
      </w:r>
      <w:r w:rsidR="008A7E5E">
        <w:t xml:space="preserve">klinikai </w:t>
      </w:r>
      <w:r w:rsidRPr="00D659CA">
        <w:t xml:space="preserve">adatok olyan gyermekektől és serdülőktől, akik egyidejűleg </w:t>
      </w:r>
      <w:r w:rsidR="008A7E5E">
        <w:t>erős</w:t>
      </w:r>
      <w:r w:rsidRPr="00D659CA">
        <w:t xml:space="preserve"> CYP3A4</w:t>
      </w:r>
      <w:r w:rsidR="008A7E5E">
        <w:t>-</w:t>
      </w:r>
      <w:r w:rsidRPr="00D659CA">
        <w:t xml:space="preserve"> és P-gp-</w:t>
      </w:r>
      <w:r w:rsidR="008A7E5E">
        <w:t>gátló</w:t>
      </w:r>
      <w:r w:rsidRPr="00D659CA">
        <w:t xml:space="preserve"> szisztémás kezelést kapnak (lásd 4.5</w:t>
      </w:r>
      <w:r>
        <w:t> </w:t>
      </w:r>
      <w:r w:rsidRPr="00D659CA">
        <w:t>pont).</w:t>
      </w:r>
    </w:p>
    <w:p w14:paraId="28D33CFC" w14:textId="77777777" w:rsidR="00D659CA" w:rsidRPr="00D659CA" w:rsidRDefault="00D659CA" w:rsidP="00D659CA"/>
    <w:p w14:paraId="54F47828" w14:textId="77777777" w:rsidR="007543BB" w:rsidRDefault="002D677C" w:rsidP="002D677C">
      <w:pPr>
        <w:keepNext/>
        <w:rPr>
          <w:u w:val="single"/>
        </w:rPr>
      </w:pPr>
      <w:r w:rsidRPr="002D677C">
        <w:rPr>
          <w:u w:val="single"/>
        </w:rPr>
        <w:t>Kölcsönhatás a CYP3A4-ra és a P-gp-re egyaránt ható induktorokkal</w:t>
      </w:r>
    </w:p>
    <w:p w14:paraId="19768040" w14:textId="77777777" w:rsidR="002D677C" w:rsidRPr="002D677C" w:rsidRDefault="002D677C" w:rsidP="002D677C">
      <w:pPr>
        <w:keepNext/>
        <w:rPr>
          <w:u w:val="single"/>
        </w:rPr>
      </w:pPr>
    </w:p>
    <w:p w14:paraId="41B28068" w14:textId="77777777" w:rsidR="007543BB" w:rsidRDefault="002D677C" w:rsidP="002D677C">
      <w:r w:rsidRPr="002D677C">
        <w:t>Az apixabán egyidejű alkalmazása a CYP3A4 és P-gp erős induktoraival [pl. rifampicin, fenitoin, karbamazepin, fenobarbitál vagy közönséges orbáncfű (</w:t>
      </w:r>
      <w:r w:rsidRPr="002D677C">
        <w:rPr>
          <w:i/>
          <w:iCs/>
        </w:rPr>
        <w:t>Hypericum perforatum</w:t>
      </w:r>
      <w:r w:rsidRPr="002D677C">
        <w:t>)] az apixabán-expozíció közel 50%-os csökkenéséhez vezethet. Egy pitvarfibrilláló betegekkel végzett klinikai vizsgálatban az önmagában adott apixabánhoz képest csökkent hatásosságot és a vérzés magasabb kockázatát figyelték meg, ha az apixabánt a CYP3A4 és a P-gp egyaránt erős induktoraival együtt adták.</w:t>
      </w:r>
    </w:p>
    <w:p w14:paraId="3C047087" w14:textId="77777777" w:rsidR="002D677C" w:rsidRPr="002D677C" w:rsidRDefault="002D677C" w:rsidP="002D677C"/>
    <w:p w14:paraId="77F4E281" w14:textId="7FD38F78" w:rsidR="007543BB" w:rsidRDefault="002D677C" w:rsidP="002D677C">
      <w:pPr>
        <w:keepNext/>
      </w:pPr>
      <w:r w:rsidRPr="002D677C">
        <w:t>Azoknál a betegeknél, akik a CYP3A4 és a P-gp egyaránt erős induktoraival végzett szisztémás kezelést kapnak egyidejűleg, az alábbi ajánlásokat kell betartani (lásd 4.5</w:t>
      </w:r>
      <w:r w:rsidR="00EB7140">
        <w:t> </w:t>
      </w:r>
      <w:r w:rsidRPr="002D677C">
        <w:t>pont):</w:t>
      </w:r>
    </w:p>
    <w:p w14:paraId="53CFF55C" w14:textId="77777777" w:rsidR="002D677C" w:rsidRPr="002D677C" w:rsidRDefault="002D677C" w:rsidP="002D677C">
      <w:pPr>
        <w:keepNext/>
      </w:pPr>
    </w:p>
    <w:p w14:paraId="5A8BB0EC" w14:textId="04732207" w:rsidR="007543BB" w:rsidRDefault="002D677C" w:rsidP="002D677C">
      <w:pPr>
        <w:pStyle w:val="Listaszerbekezds"/>
        <w:numPr>
          <w:ilvl w:val="0"/>
          <w:numId w:val="7"/>
        </w:numPr>
        <w:ind w:left="567" w:hanging="567"/>
      </w:pPr>
      <w:r w:rsidRPr="002D677C">
        <w:t>vénás thromboembolia megelőzésére elektív csípő- vagy térdprotézis műtét esetén, a stroke és a szisztémás embolizáció prevenciójára a nem billentyű eredetű pitvarfibrillációban szenvedő betegeknél, és az MVT és a PE kiújulásának megelőzésére az apixabánt elővigyázatosan kell alkalmazni;</w:t>
      </w:r>
    </w:p>
    <w:p w14:paraId="540F60A9" w14:textId="77777777" w:rsidR="002D677C" w:rsidRPr="002D677C" w:rsidRDefault="002D677C" w:rsidP="002D677C"/>
    <w:p w14:paraId="2D6818D3" w14:textId="4748CF1F" w:rsidR="007543BB" w:rsidRDefault="002D677C" w:rsidP="002D677C">
      <w:pPr>
        <w:pStyle w:val="Listaszerbekezds"/>
        <w:numPr>
          <w:ilvl w:val="0"/>
          <w:numId w:val="7"/>
        </w:numPr>
        <w:ind w:left="567" w:hanging="567"/>
      </w:pPr>
      <w:r w:rsidRPr="002D677C">
        <w:t>az MVT kezelésére és a pulmonalis embolia kezelésére az apixabán nem alkalmazható, mivel a hatásosság romolhat.</w:t>
      </w:r>
    </w:p>
    <w:p w14:paraId="5D755851" w14:textId="77777777" w:rsidR="002D677C" w:rsidRPr="002D677C" w:rsidRDefault="002D677C" w:rsidP="002D677C"/>
    <w:p w14:paraId="0D8D22C8" w14:textId="04F50B63" w:rsidR="007543BB" w:rsidRDefault="002D677C" w:rsidP="002D677C">
      <w:r w:rsidRPr="002D677C">
        <w:t xml:space="preserve">Nincsenek rendelkezésre álló adatok olyan gyermekektől és serdülőktől, akik egyidejűleg </w:t>
      </w:r>
      <w:r w:rsidR="008A7E5E">
        <w:t>erős</w:t>
      </w:r>
      <w:r w:rsidRPr="002D677C">
        <w:t xml:space="preserve"> CYP3A4</w:t>
      </w:r>
      <w:r w:rsidR="008A7E5E">
        <w:t>-</w:t>
      </w:r>
      <w:r w:rsidRPr="002D677C">
        <w:t xml:space="preserve"> és a P-gp</w:t>
      </w:r>
      <w:r w:rsidR="008A7E5E">
        <w:t>-</w:t>
      </w:r>
      <w:r w:rsidRPr="002D677C">
        <w:t>induktoraival végzett szisztémás kezelést kapnak (lásd 4.5 pont).</w:t>
      </w:r>
    </w:p>
    <w:p w14:paraId="1B0D9A0F" w14:textId="77777777" w:rsidR="002D677C" w:rsidRPr="002D677C" w:rsidRDefault="002D677C" w:rsidP="002D677C"/>
    <w:p w14:paraId="7A7C1B1C" w14:textId="77777777" w:rsidR="007543BB" w:rsidRDefault="002D677C" w:rsidP="002D677C">
      <w:pPr>
        <w:keepNext/>
        <w:rPr>
          <w:u w:val="single"/>
        </w:rPr>
      </w:pPr>
      <w:r w:rsidRPr="002D677C">
        <w:rPr>
          <w:u w:val="single"/>
        </w:rPr>
        <w:t>Laboratóriumi paraméterek</w:t>
      </w:r>
    </w:p>
    <w:p w14:paraId="595F81F0" w14:textId="77777777" w:rsidR="002D677C" w:rsidRPr="002D677C" w:rsidRDefault="002D677C" w:rsidP="002D677C">
      <w:pPr>
        <w:keepNext/>
        <w:rPr>
          <w:u w:val="single"/>
        </w:rPr>
      </w:pPr>
    </w:p>
    <w:p w14:paraId="0628F3D1" w14:textId="7233EF18" w:rsidR="007543BB" w:rsidRDefault="002D677C" w:rsidP="002D677C">
      <w:r w:rsidRPr="002D677C">
        <w:t xml:space="preserve">A véralvadási vizsgálatokat </w:t>
      </w:r>
      <w:r>
        <w:t>–</w:t>
      </w:r>
      <w:r w:rsidRPr="002D677C">
        <w:t xml:space="preserve"> pl. prothrombinidő (PI), INR és aktivált parciális thromboplastinidő (aPTI) </w:t>
      </w:r>
      <w:r>
        <w:t>–</w:t>
      </w:r>
      <w:r w:rsidRPr="002D677C">
        <w:t xml:space="preserve"> az apixabán a hatásmechanizmusa alapján várható módon befolyásolja. A várható terápiás adagolás mellett végzett véralvadási vizsgálatok során tapasztalt változások csekélyek, és nagyfokú variabilitást mutatnak (lásd 5.1</w:t>
      </w:r>
      <w:r w:rsidR="00EB7140">
        <w:t> </w:t>
      </w:r>
      <w:r w:rsidRPr="002D677C">
        <w:t>pont).</w:t>
      </w:r>
    </w:p>
    <w:p w14:paraId="277F1A6D" w14:textId="77777777" w:rsidR="002D677C" w:rsidRPr="002D677C" w:rsidRDefault="002D677C" w:rsidP="002D677C"/>
    <w:p w14:paraId="6C1E491A" w14:textId="77777777" w:rsidR="007543BB" w:rsidRDefault="002D677C" w:rsidP="002D677C">
      <w:pPr>
        <w:keepNext/>
        <w:rPr>
          <w:u w:val="single"/>
        </w:rPr>
      </w:pPr>
      <w:r w:rsidRPr="002D677C">
        <w:rPr>
          <w:u w:val="single"/>
        </w:rPr>
        <w:t>Segédanyagokra vonatkozó információ</w:t>
      </w:r>
    </w:p>
    <w:p w14:paraId="72789791" w14:textId="77777777" w:rsidR="002D677C" w:rsidRPr="002D677C" w:rsidRDefault="002D677C" w:rsidP="002D677C">
      <w:pPr>
        <w:keepNext/>
        <w:rPr>
          <w:u w:val="single"/>
        </w:rPr>
      </w:pPr>
    </w:p>
    <w:p w14:paraId="60E762C7" w14:textId="3FD6119F" w:rsidR="007543BB" w:rsidRDefault="002D677C" w:rsidP="002D677C">
      <w:r w:rsidRPr="002D677C">
        <w:t xml:space="preserve">Az </w:t>
      </w:r>
      <w:r w:rsidR="007404EB">
        <w:t>Apixaban Viatris Pharma</w:t>
      </w:r>
      <w:r w:rsidRPr="002D677C">
        <w:t xml:space="preserve"> laktózt tartalmaz. Ritkán előforduló, örökletes galaktózintoleranciában, teljes laktáz-hiányban vagy a glükóz-galaktóz malabszorpcióban a készítmény nem szedhető.</w:t>
      </w:r>
    </w:p>
    <w:p w14:paraId="126ECFE4" w14:textId="77777777" w:rsidR="00EB7140" w:rsidRPr="002D677C" w:rsidRDefault="00EB7140" w:rsidP="002D677C"/>
    <w:p w14:paraId="27C561B5" w14:textId="4BEBFD6B" w:rsidR="007543BB" w:rsidRDefault="002D677C" w:rsidP="002D677C">
      <w:r w:rsidRPr="002D677C">
        <w:t>A készítmény kevesebb mint 1</w:t>
      </w:r>
      <w:r w:rsidR="00EB7140">
        <w:t> </w:t>
      </w:r>
      <w:r w:rsidRPr="002D677C">
        <w:t>mmol (23</w:t>
      </w:r>
      <w:r w:rsidR="00EB7140">
        <w:t> </w:t>
      </w:r>
      <w:r w:rsidRPr="002D677C">
        <w:t xml:space="preserve">mg) nátriumot </w:t>
      </w:r>
      <w:r w:rsidRPr="0003380E">
        <w:t xml:space="preserve">tartalmaz </w:t>
      </w:r>
      <w:r w:rsidR="00BD02A3">
        <w:t>adagonként</w:t>
      </w:r>
      <w:r w:rsidRPr="0003380E">
        <w:t>,</w:t>
      </w:r>
      <w:r w:rsidRPr="00BD02A3">
        <w:t xml:space="preserve"> azaz</w:t>
      </w:r>
      <w:r w:rsidRPr="002D677C">
        <w:t xml:space="preserve"> gyakorlatilag „nátriummentes”.</w:t>
      </w:r>
    </w:p>
    <w:p w14:paraId="309CFE62" w14:textId="77777777" w:rsidR="002D677C" w:rsidRPr="002D677C" w:rsidRDefault="002D677C" w:rsidP="002D677C"/>
    <w:p w14:paraId="5A42286E" w14:textId="70BF2365" w:rsidR="007543BB" w:rsidRDefault="00390A1D" w:rsidP="009F51B8">
      <w:pPr>
        <w:keepNext/>
        <w:ind w:left="567" w:hanging="567"/>
        <w:rPr>
          <w:b/>
          <w:bCs/>
        </w:rPr>
      </w:pPr>
      <w:r>
        <w:rPr>
          <w:b/>
          <w:bCs/>
        </w:rPr>
        <w:t>4.5</w:t>
      </w:r>
      <w:r>
        <w:rPr>
          <w:b/>
          <w:bCs/>
        </w:rPr>
        <w:tab/>
      </w:r>
      <w:r w:rsidR="002D677C" w:rsidRPr="009F51B8">
        <w:rPr>
          <w:b/>
          <w:bCs/>
        </w:rPr>
        <w:t>Gyógyszerkölcsönhatások és egyéb interakciók</w:t>
      </w:r>
    </w:p>
    <w:p w14:paraId="1F3B13DB" w14:textId="77777777" w:rsidR="002D677C" w:rsidRPr="009F51B8" w:rsidRDefault="002D677C" w:rsidP="009F51B8">
      <w:pPr>
        <w:keepNext/>
        <w:ind w:left="567" w:hanging="567"/>
        <w:rPr>
          <w:b/>
          <w:bCs/>
        </w:rPr>
      </w:pPr>
    </w:p>
    <w:p w14:paraId="3715EF56" w14:textId="6B1C6068" w:rsidR="007543BB" w:rsidRDefault="002D677C" w:rsidP="002D677C">
      <w:pPr>
        <w:keepNext/>
        <w:rPr>
          <w:u w:val="single"/>
        </w:rPr>
      </w:pPr>
      <w:r w:rsidRPr="002D677C">
        <w:rPr>
          <w:u w:val="single"/>
        </w:rPr>
        <w:t>CYP3A4</w:t>
      </w:r>
      <w:r w:rsidR="006413D6">
        <w:rPr>
          <w:u w:val="single"/>
        </w:rPr>
        <w:t>-</w:t>
      </w:r>
      <w:r w:rsidRPr="002D677C">
        <w:rPr>
          <w:u w:val="single"/>
        </w:rPr>
        <w:t xml:space="preserve"> és P-gp</w:t>
      </w:r>
      <w:r w:rsidR="006413D6">
        <w:rPr>
          <w:u w:val="single"/>
        </w:rPr>
        <w:t>-</w:t>
      </w:r>
      <w:r w:rsidRPr="002D677C">
        <w:rPr>
          <w:u w:val="single"/>
        </w:rPr>
        <w:t>inhibitorok</w:t>
      </w:r>
    </w:p>
    <w:p w14:paraId="0C4B409C" w14:textId="77777777" w:rsidR="002D677C" w:rsidRPr="002D677C" w:rsidRDefault="002D677C" w:rsidP="002D677C">
      <w:pPr>
        <w:keepNext/>
        <w:rPr>
          <w:u w:val="single"/>
        </w:rPr>
      </w:pPr>
    </w:p>
    <w:p w14:paraId="5F8B74E1" w14:textId="2D646ED1" w:rsidR="007543BB" w:rsidRDefault="002D677C" w:rsidP="002D677C">
      <w:r w:rsidRPr="002D677C">
        <w:t>Az apixabán együttes adása naponta egyszer 400</w:t>
      </w:r>
      <w:r w:rsidR="00EB7140">
        <w:t> </w:t>
      </w:r>
      <w:r w:rsidRPr="002D677C">
        <w:t>mg ketokonazollal, ami a CYP3A4-nek és a P-gp-nek egyaránt erős inhibitora, az apixabán átlagos AUC-értékének kétszeres és az apixabán átlagos C</w:t>
      </w:r>
      <w:r w:rsidRPr="002D677C">
        <w:rPr>
          <w:vertAlign w:val="subscript"/>
        </w:rPr>
        <w:t>max</w:t>
      </w:r>
      <w:r w:rsidRPr="002D677C">
        <w:t>-értékének 1,6-szeres növekedéséhez vezetett.</w:t>
      </w:r>
    </w:p>
    <w:p w14:paraId="45E5B9B6" w14:textId="77777777" w:rsidR="002D677C" w:rsidRPr="002D677C" w:rsidRDefault="002D677C" w:rsidP="002D677C"/>
    <w:p w14:paraId="040FD640" w14:textId="00FC0B11" w:rsidR="007543BB" w:rsidRDefault="002D677C" w:rsidP="002D677C">
      <w:r w:rsidRPr="002D677C">
        <w:t>Az apixabán alkalmazása nem javasolt olyan betegeknél, akik a CYP3A4-et és a P-gp-t egyaránt erősen gátló szerekkel végzett szisztémás kezelést kapnak egyidejűleg, mint amilyenek az azol-típusú antimikotikumok (pl. ketokonazol, itrakonazol, vorikonazol, valamint a pozakonazol) és a HIV-proteáz-gátlók (pl. ritonavir) (lásd 4.4</w:t>
      </w:r>
      <w:r w:rsidR="00EB7140">
        <w:t> </w:t>
      </w:r>
      <w:r w:rsidRPr="002D677C">
        <w:t>pont).</w:t>
      </w:r>
    </w:p>
    <w:p w14:paraId="701863C0" w14:textId="77777777" w:rsidR="002D677C" w:rsidRPr="002D677C" w:rsidRDefault="002D677C" w:rsidP="002D677C"/>
    <w:p w14:paraId="6E9B080D" w14:textId="11ECA0B6" w:rsidR="007543BB" w:rsidRDefault="002D677C" w:rsidP="002D677C">
      <w:r w:rsidRPr="002D677C">
        <w:t>Azok a hatóanyagok, amelyeket nem tekintenek a CYP3A4 és a P-gp egyaránt erős inhibitorainak (pl. amiodaron, klaritromicin, diltiazem, flukonazol, naproxén, kinidin, verapamil), várhatóan kisebb mértékben emelik az apixabán plazmakoncentrációját. Nincs szükség az apixabán dózismódosítására a CYP3A4 és a P-gp nem erős inhibitoraival végzett egyidejű kezelés esetén. Így például a diltiazem (naponta egyszer 360</w:t>
      </w:r>
      <w:r w:rsidR="00EB7140">
        <w:t> </w:t>
      </w:r>
      <w:r w:rsidRPr="002D677C">
        <w:t>mg), mely a CYP3A4-nek közepesen erős és a P-gp-nek gyenge inhibitora, az apixabán átlagos AUC-értékének 1,4-szeres és a C</w:t>
      </w:r>
      <w:r w:rsidRPr="002D677C">
        <w:rPr>
          <w:vertAlign w:val="subscript"/>
        </w:rPr>
        <w:t>max</w:t>
      </w:r>
      <w:r w:rsidRPr="002D677C">
        <w:t>-értékének 1,3-szeres növekedését okozta. A naproxén, ami csak a P-gp inhibitora, de a CYP3A4-nek nem, egyszeri 500</w:t>
      </w:r>
      <w:r w:rsidR="00EB7140">
        <w:t> </w:t>
      </w:r>
      <w:r w:rsidRPr="002D677C">
        <w:t>mg-os dózisban az apixabán átlagos AUC-értékének 1,5-szeres, a C</w:t>
      </w:r>
      <w:r w:rsidRPr="002D677C">
        <w:rPr>
          <w:vertAlign w:val="subscript"/>
        </w:rPr>
        <w:t>max</w:t>
      </w:r>
      <w:r w:rsidRPr="002D677C">
        <w:t>-értékének 1,6-szeres növekedését idézte elő. A klaritromicin (naponta kétszer 500</w:t>
      </w:r>
      <w:r w:rsidR="00EB7140">
        <w:t> </w:t>
      </w:r>
      <w:r w:rsidRPr="002D677C">
        <w:t>mg), ami a P-gp inhibitora és a CYP3A4 erős inhibitora, az apixabán átlagos AUC-értékének 1,6-szeres, a C</w:t>
      </w:r>
      <w:r w:rsidRPr="002D677C">
        <w:rPr>
          <w:vertAlign w:val="subscript"/>
        </w:rPr>
        <w:t>max</w:t>
      </w:r>
      <w:r w:rsidRPr="002D677C">
        <w:t>-értékének 1,3-szeres növekedését idézte elő.</w:t>
      </w:r>
    </w:p>
    <w:p w14:paraId="52FA09FE" w14:textId="77777777" w:rsidR="002D677C" w:rsidRPr="002D677C" w:rsidRDefault="002D677C" w:rsidP="002D677C"/>
    <w:p w14:paraId="4C90BA68" w14:textId="77777777" w:rsidR="007543BB" w:rsidRDefault="002D677C" w:rsidP="002D677C">
      <w:pPr>
        <w:keepNext/>
        <w:rPr>
          <w:u w:val="single"/>
        </w:rPr>
      </w:pPr>
      <w:r w:rsidRPr="002D677C">
        <w:rPr>
          <w:u w:val="single"/>
        </w:rPr>
        <w:t>CYP3A4 és P-gp induktorok</w:t>
      </w:r>
    </w:p>
    <w:p w14:paraId="04643921" w14:textId="77777777" w:rsidR="002D677C" w:rsidRPr="002D677C" w:rsidRDefault="002D677C" w:rsidP="002D677C">
      <w:pPr>
        <w:keepNext/>
        <w:rPr>
          <w:u w:val="single"/>
        </w:rPr>
      </w:pPr>
    </w:p>
    <w:p w14:paraId="674BFFF8" w14:textId="3DDE262E" w:rsidR="007543BB" w:rsidRDefault="002D677C" w:rsidP="002D677C">
      <w:r w:rsidRPr="002D677C">
        <w:t>Az apixabán egyidejű alkalmazása rifampicinnel, ami a CYP3A4-nek és a P-gp-nek egyaránt erős induktora, az apixabán átlagos AUC-értékének 54%-os és a C</w:t>
      </w:r>
      <w:r w:rsidRPr="002D677C">
        <w:rPr>
          <w:vertAlign w:val="subscript"/>
        </w:rPr>
        <w:t>max</w:t>
      </w:r>
      <w:r w:rsidRPr="002D677C">
        <w:t>-értékének 42%-os csökkenését okozta. Az apixabán együttes alkalmazása más erős CYP3A4 és P-gp induktorokkal [pl. fenitoin, karbamazepin, fenobarbitál vagy közönséges orbáncfű (</w:t>
      </w:r>
      <w:r w:rsidRPr="002D677C">
        <w:rPr>
          <w:i/>
          <w:iCs/>
        </w:rPr>
        <w:t>Hypericum perforatum</w:t>
      </w:r>
      <w:r w:rsidRPr="002D677C">
        <w:t>)] szintén az apixabán plazmakoncentrációjának csökkenéséhez vezethet. Az ilyen gyógyszerekkel való együttes kezelés esetén az apixabán dózismódosítása nem szükséges, ugyanakkor azoknál a betegeknél, akik a CYP3A4 és a P-gp egyaránt erős induktoraival végzett szisztémás kezelést kapnak egyidejűleg, az apixabánt elővigyázatosan kell alkalmazni a vénás thromboembolia megelőzésére elektív csípő- vagy térdprotézis műtét esetén, a stroke és a szisztémás embolizáció prevenciójára a nem billentyű eredetű pitvarfibrillációban szenvedő betegeknél, valamint az MVT és a PE kiújulásának megelőzésére. Az apixabán nem javasolt az MVT és a PE kezelésére azoknál a betegeknél, akik a CYP3A4 és a P-gp egyaránt erős induktoraival végzett szisztémás kezelést kapnak egyidejűleg, mivel a hatásossága csökkenhet (lásd 4.4</w:t>
      </w:r>
      <w:r w:rsidR="00EB7140">
        <w:t> </w:t>
      </w:r>
      <w:r w:rsidRPr="002D677C">
        <w:t>pont).</w:t>
      </w:r>
    </w:p>
    <w:p w14:paraId="06E537BE" w14:textId="77777777" w:rsidR="002D677C" w:rsidRPr="002D677C" w:rsidRDefault="002D677C" w:rsidP="002D677C"/>
    <w:p w14:paraId="69A7C547" w14:textId="77777777" w:rsidR="007543BB" w:rsidRDefault="002D677C" w:rsidP="002D677C">
      <w:pPr>
        <w:keepNext/>
        <w:rPr>
          <w:u w:val="single"/>
        </w:rPr>
      </w:pPr>
      <w:r w:rsidRPr="002D677C">
        <w:rPr>
          <w:u w:val="single"/>
        </w:rPr>
        <w:t>Antikoagulánsok, thrombocytaaggregáció-gátlók, SSRI-k/SNRI-k és nem-szteroid gyulladáscsökkentők</w:t>
      </w:r>
    </w:p>
    <w:p w14:paraId="424FC9C0" w14:textId="77777777" w:rsidR="002D677C" w:rsidRPr="002D677C" w:rsidRDefault="002D677C" w:rsidP="002D677C">
      <w:pPr>
        <w:keepNext/>
        <w:rPr>
          <w:u w:val="single"/>
        </w:rPr>
      </w:pPr>
    </w:p>
    <w:p w14:paraId="64481C1E" w14:textId="0E6B982B" w:rsidR="007543BB" w:rsidRDefault="002D677C" w:rsidP="002D677C">
      <w:r w:rsidRPr="002D677C">
        <w:t>A vérzés fokozott kockázata miatt bármilyen más antikoagulánssal végzett egyidejű kezelés ellenjavallt, kivéve azokat a specifikus körülményeket, amikor a beteget az egyik antikoaguláns-kezelésről állítják át egy másikra, amikor a nem frakcionált heparint a centrális vénás vagy artériás kanül átjárhatóságának fenntartásához szükséges dózisokban adják vagy amikor nem frakcionált heparint adnak pitvarfibrilláció miatti katéteres abláció alatt (lásd 4.3</w:t>
      </w:r>
      <w:r w:rsidR="00EB7140">
        <w:t> </w:t>
      </w:r>
      <w:r w:rsidRPr="002D677C">
        <w:t>pont).</w:t>
      </w:r>
    </w:p>
    <w:p w14:paraId="14C97355" w14:textId="77777777" w:rsidR="002D677C" w:rsidRPr="002D677C" w:rsidRDefault="002D677C" w:rsidP="002D677C"/>
    <w:p w14:paraId="3D6B973F" w14:textId="71DF1DA2" w:rsidR="007543BB" w:rsidRDefault="002D677C" w:rsidP="002D677C">
      <w:r w:rsidRPr="002D677C">
        <w:t>Az enoxaparin (40</w:t>
      </w:r>
      <w:r w:rsidR="00EB7140">
        <w:t> </w:t>
      </w:r>
      <w:r w:rsidRPr="002D677C">
        <w:t>mg egyszeri adag) apixabánnal (5mg egyszeri adag) történő kombinált alkalmazása után az anti-Xa-faktor aktivitásra gyakorolt additív hatást figyeltek meg.</w:t>
      </w:r>
    </w:p>
    <w:p w14:paraId="7C2B2571" w14:textId="77777777" w:rsidR="002D677C" w:rsidRPr="002D677C" w:rsidRDefault="002D677C" w:rsidP="002D677C"/>
    <w:p w14:paraId="63961863" w14:textId="1780B1C9" w:rsidR="007543BB" w:rsidRDefault="002D677C" w:rsidP="002D677C">
      <w:r w:rsidRPr="002D677C">
        <w:t>Naponta egyszeri 325</w:t>
      </w:r>
      <w:r w:rsidR="00EB7140">
        <w:t> </w:t>
      </w:r>
      <w:r w:rsidRPr="002D677C">
        <w:t>mg acetilszalicilsavval való együttes alkalmazás során nem voltak nyilvánvaló farmakokinetikai vagy farmakodinámiás kölcsönhatások.</w:t>
      </w:r>
    </w:p>
    <w:p w14:paraId="588D7BC6" w14:textId="77777777" w:rsidR="002D677C" w:rsidRPr="002D677C" w:rsidRDefault="002D677C" w:rsidP="002D677C"/>
    <w:p w14:paraId="10327944" w14:textId="752A1B21" w:rsidR="007543BB" w:rsidRDefault="002D677C" w:rsidP="002D677C">
      <w:r w:rsidRPr="002D677C">
        <w:t>Az apixabánnal együtt adott klopidogrel (naponta egyszer 75</w:t>
      </w:r>
      <w:r w:rsidR="00EB7140">
        <w:t> </w:t>
      </w:r>
      <w:r w:rsidRPr="002D677C">
        <w:t>mg) vagy a 75</w:t>
      </w:r>
      <w:r w:rsidR="00EB7140">
        <w:t> </w:t>
      </w:r>
      <w:r w:rsidRPr="002D677C">
        <w:t>mg klopidogrel és a naponta egyszer adott 162</w:t>
      </w:r>
      <w:r w:rsidR="00EB7140">
        <w:t> </w:t>
      </w:r>
      <w:r w:rsidRPr="002D677C">
        <w:t>mg acetilszalicilsav vagy a prazugrel (60</w:t>
      </w:r>
      <w:r w:rsidR="00EB7140">
        <w:t> </w:t>
      </w:r>
      <w:r w:rsidRPr="002D677C">
        <w:t>mg, majd naponta egyszer 10</w:t>
      </w:r>
      <w:r w:rsidR="00EB7140">
        <w:t> </w:t>
      </w:r>
      <w:r w:rsidRPr="002D677C">
        <w:t>mg) kombinációja az I. fázisú vizsgálatokban nem járt a mintaként szolgáló vérzési idő, a thrombocyta-aggregáció további gátlásának jelentős növekedésével, ha azokat a thrombocytaaggregáció-gátló szerek apixabán nélküli alkalmazásával hasonlították össze. A véralvadási vizsgálatok (PT, INR és aPTT) csak az apixabán hatásaival voltak összhangban.</w:t>
      </w:r>
    </w:p>
    <w:p w14:paraId="0C053B4C" w14:textId="77777777" w:rsidR="002D677C" w:rsidRPr="002D677C" w:rsidRDefault="002D677C" w:rsidP="002D677C"/>
    <w:p w14:paraId="7B62DD5F" w14:textId="6B5FBE1E" w:rsidR="007543BB" w:rsidRDefault="002D677C" w:rsidP="002D677C">
      <w:r w:rsidRPr="002D677C">
        <w:t>A P-gp-t gátló naproxén (500</w:t>
      </w:r>
      <w:r w:rsidR="00EB7140">
        <w:t> </w:t>
      </w:r>
      <w:r w:rsidRPr="002D677C">
        <w:t>mg) alkalmazása az apixabán átlagos AUC- és C</w:t>
      </w:r>
      <w:r w:rsidRPr="002D677C">
        <w:rPr>
          <w:vertAlign w:val="subscript"/>
        </w:rPr>
        <w:t>max</w:t>
      </w:r>
      <w:r w:rsidRPr="002D677C">
        <w:t>-értékének sorrendben 1,5-szeres, illetve 1,6-szeres növekedéséhez vezetett. A véralvadási vizsgálatok eredményei ennek megfelelő növekedést mutattak az apixabán esetében. Az apixabán és naproxén együttes alkalmazása esetén nem figyeltek meg változást a naproxén arachidonsav indukálta thrombocyta-aggregációra kifejtett hatásában, és a vérzési idő klinikailag releváns meghosszabbodása sem volt kimutatható.</w:t>
      </w:r>
    </w:p>
    <w:p w14:paraId="6B74CF27" w14:textId="77777777" w:rsidR="002D677C" w:rsidRPr="002D677C" w:rsidRDefault="002D677C" w:rsidP="002D677C"/>
    <w:p w14:paraId="1AD38425" w14:textId="530D6BED" w:rsidR="007543BB" w:rsidRDefault="002D677C" w:rsidP="002D677C">
      <w:r w:rsidRPr="002D677C">
        <w:t>A fenti eredmények ellenére lehetnek olyan egyének, akik kifejezettebb farmakodinámiás válasszal reagálnak thrombocytaaggregáció-gátló gyógyszer és apixabán együttes adása esetén. Az apixabánt elővigyázatosan kell alkalmazni, ha SSRI-kel/SNRI-kel, nem-szteroid gyulladáscsökkentőkkel, acetilszalicilsavval és/vagy P2Y12-gátlókkal adják egyidejűleg, mert ezek a gyógyszerek jellemző módon növelik a vérzés kockázatát (lásd 4.4</w:t>
      </w:r>
      <w:r w:rsidR="00EB7140">
        <w:t> </w:t>
      </w:r>
      <w:r w:rsidRPr="002D677C">
        <w:t>pont).</w:t>
      </w:r>
    </w:p>
    <w:p w14:paraId="46AD2E5E" w14:textId="77777777" w:rsidR="002D677C" w:rsidRPr="002D677C" w:rsidRDefault="002D677C" w:rsidP="002D677C"/>
    <w:p w14:paraId="3F813205" w14:textId="44F233A5" w:rsidR="007543BB" w:rsidRDefault="002D677C" w:rsidP="002D677C">
      <w:r w:rsidRPr="002D677C">
        <w:t>Korlátozottan állnak rendelkezésre tapasztalatok más thrombocytaaggregáció-gátlókkal (pl. GPIIb/IIIa-receptor-antagonisták, dipiridamol, dextrán és szulfinpirazon) vagy thrombolyticus szerekkel. Mivel az ilyen gyógyszerek megnövelik a vérzés kockázatát, ezeknek a gyógyszereknek apixabánnal történő egyidejű alkalmazása nem javasolt (lásd 4.4</w:t>
      </w:r>
      <w:r w:rsidR="00EB7140">
        <w:t> </w:t>
      </w:r>
      <w:r w:rsidRPr="002D677C">
        <w:t>pont).</w:t>
      </w:r>
    </w:p>
    <w:p w14:paraId="1C81C250" w14:textId="77777777" w:rsidR="002D677C" w:rsidRPr="002D677C" w:rsidRDefault="002D677C" w:rsidP="002D677C"/>
    <w:p w14:paraId="5A68B498" w14:textId="4F5D1325" w:rsidR="007543BB" w:rsidRDefault="002D677C" w:rsidP="00156D91">
      <w:r w:rsidRPr="002D677C">
        <w:t>A CV185325 vizsgálatban nem jelentettek klinikailag jelentős vérzéses eseményt a 12</w:t>
      </w:r>
      <w:r w:rsidR="000156A3">
        <w:t> </w:t>
      </w:r>
      <w:r w:rsidRPr="002D677C">
        <w:t xml:space="preserve">gyermeknél és serdülőnél, akiket egyidejűleg kezeltek apixabánnal és </w:t>
      </w:r>
      <w:r w:rsidR="00156D91" w:rsidRPr="004311F4">
        <w:t>≤</w:t>
      </w:r>
      <w:r w:rsidR="000156A3">
        <w:t> </w:t>
      </w:r>
      <w:r w:rsidRPr="002D677C">
        <w:t>165</w:t>
      </w:r>
      <w:r w:rsidR="000156A3">
        <w:t> </w:t>
      </w:r>
      <w:r w:rsidRPr="002D677C">
        <w:t>mg/nap dózisú acetilszalicilsavval.</w:t>
      </w:r>
    </w:p>
    <w:p w14:paraId="098E3F39" w14:textId="77777777" w:rsidR="002D677C" w:rsidRPr="002D677C" w:rsidRDefault="002D677C" w:rsidP="002D677C"/>
    <w:p w14:paraId="7DE50FB2" w14:textId="77777777" w:rsidR="007543BB" w:rsidRDefault="002D677C" w:rsidP="002D677C">
      <w:pPr>
        <w:keepNext/>
        <w:rPr>
          <w:u w:val="single"/>
        </w:rPr>
      </w:pPr>
      <w:r w:rsidRPr="002D677C">
        <w:rPr>
          <w:u w:val="single"/>
        </w:rPr>
        <w:t>Egyéb egyidejűleg alkalmazott kezelések</w:t>
      </w:r>
    </w:p>
    <w:p w14:paraId="57980FC1" w14:textId="5E3BFD55" w:rsidR="007543BB" w:rsidRDefault="002D677C" w:rsidP="002D677C">
      <w:r w:rsidRPr="002D677C">
        <w:t xml:space="preserve">Az apixabán atenolollal vagy famotidinnel történő együttes alkalmazásakor nem észleltek klinikailag jelentős farmakokinetikai vagy farmakodinámiás kölcsönhatásokat. </w:t>
      </w:r>
      <w:r w:rsidR="006413D6">
        <w:t>10 </w:t>
      </w:r>
      <w:r w:rsidRPr="002D677C">
        <w:t>milligramm apixabán 100</w:t>
      </w:r>
      <w:r w:rsidR="00EB7140">
        <w:t> </w:t>
      </w:r>
      <w:r w:rsidRPr="002D677C">
        <w:t>mg atenolollal való együttes adásának nem volt klinikailag jelentős hatása az apixabán farmakokinetikai jellemzőire. A két gyógyszer együttes adása után az apixabán átlagos AUC-értéke 15%-kal, a C</w:t>
      </w:r>
      <w:r w:rsidRPr="002D677C">
        <w:rPr>
          <w:vertAlign w:val="subscript"/>
        </w:rPr>
        <w:t>max</w:t>
      </w:r>
      <w:r w:rsidRPr="002D677C">
        <w:t xml:space="preserve">-értéke 18%-kal csökkent a külön-külön történő alkalmazáshoz képest. </w:t>
      </w:r>
      <w:r w:rsidR="006413D6">
        <w:t>10 </w:t>
      </w:r>
      <w:r w:rsidRPr="002D677C">
        <w:t>milligramm apixabán 40</w:t>
      </w:r>
      <w:r w:rsidR="00EB7140">
        <w:t> </w:t>
      </w:r>
      <w:r w:rsidRPr="002D677C">
        <w:t>mg famotidinnel való együttes alkalmazása nem volt hatással az apixabán AUC- és C</w:t>
      </w:r>
      <w:r w:rsidRPr="002D677C">
        <w:rPr>
          <w:vertAlign w:val="subscript"/>
        </w:rPr>
        <w:t>max</w:t>
      </w:r>
      <w:r w:rsidRPr="002D677C">
        <w:t>-értékeire.</w:t>
      </w:r>
    </w:p>
    <w:p w14:paraId="44F1E8E4" w14:textId="77777777" w:rsidR="002D677C" w:rsidRPr="002D677C" w:rsidRDefault="002D677C" w:rsidP="002D677C"/>
    <w:p w14:paraId="7FA1551F" w14:textId="77777777" w:rsidR="007543BB" w:rsidRDefault="002D677C" w:rsidP="002D677C">
      <w:pPr>
        <w:keepNext/>
        <w:rPr>
          <w:u w:val="single"/>
        </w:rPr>
      </w:pPr>
      <w:r w:rsidRPr="002D677C">
        <w:rPr>
          <w:u w:val="single"/>
        </w:rPr>
        <w:t>Az apixabán hatása más gyógyszerekre</w:t>
      </w:r>
    </w:p>
    <w:p w14:paraId="6B4B89AF" w14:textId="7768B7A2" w:rsidR="007543BB" w:rsidRDefault="002D677C" w:rsidP="002D677C">
      <w:r w:rsidRPr="002D677C">
        <w:rPr>
          <w:i/>
          <w:iCs/>
        </w:rPr>
        <w:t>In vitro</w:t>
      </w:r>
      <w:r w:rsidRPr="002D677C">
        <w:t xml:space="preserve"> vizsgálatokban az apixabán a betegeknél észlelt plazma csúcskoncentrációnál lényegesen magasabb koncentrációkban nem mutatott gátló hatást a CYP1A2, CYP2A6, CYP2B6, CYP2C8, CYP2C9, CYP2D6 vagy a CYP3A4 (IC</w:t>
      </w:r>
      <w:r w:rsidRPr="002D677C">
        <w:rPr>
          <w:vertAlign w:val="subscript"/>
        </w:rPr>
        <w:t>50</w:t>
      </w:r>
      <w:r w:rsidR="000156A3">
        <w:t> </w:t>
      </w:r>
      <w:r w:rsidRPr="002D677C">
        <w:t>&gt;</w:t>
      </w:r>
      <w:r w:rsidR="000156A3">
        <w:t> </w:t>
      </w:r>
      <w:r w:rsidRPr="002D677C">
        <w:t>45</w:t>
      </w:r>
      <w:r w:rsidR="001A4D77">
        <w:t> </w:t>
      </w:r>
      <w:r>
        <w:t>µ</w:t>
      </w:r>
      <w:r w:rsidRPr="002D677C">
        <w:t>M) enzimek aktivitására, és gyenge gátló hatást mutatott a CYP2C19 (IC</w:t>
      </w:r>
      <w:r w:rsidRPr="002D677C">
        <w:rPr>
          <w:vertAlign w:val="subscript"/>
        </w:rPr>
        <w:t>50</w:t>
      </w:r>
      <w:r w:rsidR="001A4D77">
        <w:t> </w:t>
      </w:r>
      <w:r w:rsidRPr="002D677C">
        <w:t>&gt;</w:t>
      </w:r>
      <w:r w:rsidR="000156A3">
        <w:t> </w:t>
      </w:r>
      <w:r w:rsidRPr="002D677C">
        <w:t>20</w:t>
      </w:r>
      <w:r w:rsidR="001A4D77">
        <w:t> </w:t>
      </w:r>
      <w:r>
        <w:t>µ</w:t>
      </w:r>
      <w:r w:rsidRPr="002D677C">
        <w:t>M) enzim aktivitására. Az apixabán 20</w:t>
      </w:r>
      <w:r w:rsidR="001A4D77">
        <w:t> </w:t>
      </w:r>
      <w:r>
        <w:t>µ</w:t>
      </w:r>
      <w:r w:rsidRPr="002D677C">
        <w:t>M-os koncentrációig nem indukálta a CYP1A2, CYP2B6, illetve a CYP3A4/5 enzimeket. Következésképpen nem várható, hogy az apixabán megváltoztatja azoknak az együttesen alkalmazott gyógyszereknek a metabolikus clearance-ét, melyeket a fenti enzimek metabolizálnak. Az apixabán nem gátolja jelentős mértékben a P-gp-t.</w:t>
      </w:r>
    </w:p>
    <w:p w14:paraId="22F70392" w14:textId="77777777" w:rsidR="002D677C" w:rsidRPr="002D677C" w:rsidRDefault="002D677C" w:rsidP="002D677C"/>
    <w:p w14:paraId="4BEDEF7E" w14:textId="77777777" w:rsidR="007543BB" w:rsidRDefault="002D677C" w:rsidP="002D677C">
      <w:r w:rsidRPr="002D677C">
        <w:t>Az alábbiakban részletezett, egészséges egyéneken végzett vizsgálatok szerint az apixabán nem változtatta meg számottevően a digoxin, a naproxén vagy az atenolol farmakokinetikáját.</w:t>
      </w:r>
    </w:p>
    <w:p w14:paraId="62A97F60" w14:textId="77777777" w:rsidR="002D677C" w:rsidRPr="002D677C" w:rsidRDefault="002D677C" w:rsidP="002D677C"/>
    <w:p w14:paraId="0209846D" w14:textId="77777777" w:rsidR="007543BB" w:rsidRPr="002D677C" w:rsidRDefault="002D677C" w:rsidP="002D677C">
      <w:pPr>
        <w:keepNext/>
        <w:rPr>
          <w:i/>
          <w:iCs/>
        </w:rPr>
      </w:pPr>
      <w:r w:rsidRPr="002D677C">
        <w:rPr>
          <w:i/>
          <w:iCs/>
        </w:rPr>
        <w:t>Digoxin</w:t>
      </w:r>
    </w:p>
    <w:p w14:paraId="422A004C" w14:textId="176B3C5F" w:rsidR="007543BB" w:rsidRDefault="002D677C" w:rsidP="002D677C">
      <w:r w:rsidRPr="002D677C">
        <w:t>Naponta egyszer 20</w:t>
      </w:r>
      <w:r w:rsidR="001A4D77">
        <w:t> </w:t>
      </w:r>
      <w:r w:rsidRPr="002D677C">
        <w:t>mg apixabán és naponta egyszer 0,25</w:t>
      </w:r>
      <w:r w:rsidR="001A4D77">
        <w:t> </w:t>
      </w:r>
      <w:r w:rsidRPr="002D677C">
        <w:t>mg digoxin (P-gp szubsztrát) együttes alkalmazása nem befolyásolta a digoxin AUC-, illetve C</w:t>
      </w:r>
      <w:r w:rsidRPr="002D677C">
        <w:rPr>
          <w:vertAlign w:val="subscript"/>
        </w:rPr>
        <w:t>max</w:t>
      </w:r>
      <w:r w:rsidRPr="002D677C">
        <w:t>-értékét, következésképpen az apixabán nem gátolja a P-gp mediálta szubsztrát transzportot.</w:t>
      </w:r>
    </w:p>
    <w:p w14:paraId="5DCEF2FB" w14:textId="77777777" w:rsidR="002D677C" w:rsidRPr="002D677C" w:rsidRDefault="002D677C" w:rsidP="002D677C"/>
    <w:p w14:paraId="605A2E04" w14:textId="77777777" w:rsidR="007543BB" w:rsidRPr="002D677C" w:rsidRDefault="002D677C" w:rsidP="002D677C">
      <w:pPr>
        <w:keepNext/>
        <w:rPr>
          <w:i/>
          <w:iCs/>
        </w:rPr>
      </w:pPr>
      <w:r w:rsidRPr="002D677C">
        <w:rPr>
          <w:i/>
          <w:iCs/>
        </w:rPr>
        <w:t>Naproxén</w:t>
      </w:r>
    </w:p>
    <w:p w14:paraId="7EA42817" w14:textId="4A185ADC" w:rsidR="007543BB" w:rsidRDefault="002D677C" w:rsidP="002D677C">
      <w:r w:rsidRPr="002D677C">
        <w:t>Az apixabán (10</w:t>
      </w:r>
      <w:r w:rsidR="001A4D77">
        <w:t> </w:t>
      </w:r>
      <w:r w:rsidRPr="002D677C">
        <w:t>mg) és egy gyakran használt NSAID, a naproxén (500</w:t>
      </w:r>
      <w:r w:rsidR="001A4D77">
        <w:t> </w:t>
      </w:r>
      <w:r w:rsidRPr="002D677C">
        <w:t>mg) egyszeri dózisai együttes alkalmazásának nem volt semmilyen hatása a naproxén AUC-, illetve C</w:t>
      </w:r>
      <w:r w:rsidRPr="002D677C">
        <w:rPr>
          <w:vertAlign w:val="subscript"/>
        </w:rPr>
        <w:t>max</w:t>
      </w:r>
      <w:r w:rsidRPr="002D677C">
        <w:t>-értékére.</w:t>
      </w:r>
    </w:p>
    <w:p w14:paraId="7BDEEA8F" w14:textId="77777777" w:rsidR="002D677C" w:rsidRPr="002D677C" w:rsidRDefault="002D677C" w:rsidP="002D677C"/>
    <w:p w14:paraId="7AA2F5FC" w14:textId="77777777" w:rsidR="007543BB" w:rsidRPr="002D677C" w:rsidRDefault="002D677C" w:rsidP="002D677C">
      <w:pPr>
        <w:keepNext/>
        <w:rPr>
          <w:i/>
          <w:iCs/>
        </w:rPr>
      </w:pPr>
      <w:r w:rsidRPr="002D677C">
        <w:rPr>
          <w:i/>
          <w:iCs/>
        </w:rPr>
        <w:t>Atenolol</w:t>
      </w:r>
    </w:p>
    <w:p w14:paraId="58C3B9A9" w14:textId="17682A5D" w:rsidR="007543BB" w:rsidRDefault="002D677C" w:rsidP="002D677C">
      <w:r w:rsidRPr="002D677C">
        <w:t>Az apixabán (10</w:t>
      </w:r>
      <w:r w:rsidR="001A4D77">
        <w:t> </w:t>
      </w:r>
      <w:r w:rsidRPr="002D677C">
        <w:t>mg) és egy gyakran használt béta-blokkoló, az atenolol (100</w:t>
      </w:r>
      <w:r w:rsidR="001A4D77">
        <w:t> </w:t>
      </w:r>
      <w:r w:rsidRPr="002D677C">
        <w:t>mg) egyszeri dózisainak együttes alkalmazása nem változtatta meg az atenolol farmakokinetikáját.</w:t>
      </w:r>
    </w:p>
    <w:p w14:paraId="7CE44305" w14:textId="77777777" w:rsidR="002D677C" w:rsidRPr="002D677C" w:rsidRDefault="002D677C" w:rsidP="002D677C"/>
    <w:p w14:paraId="67B65EA3" w14:textId="77777777" w:rsidR="007543BB" w:rsidRDefault="002D677C" w:rsidP="002D677C">
      <w:pPr>
        <w:rPr>
          <w:u w:val="single"/>
        </w:rPr>
      </w:pPr>
      <w:r w:rsidRPr="002D677C">
        <w:rPr>
          <w:u w:val="single"/>
        </w:rPr>
        <w:t>Orvosi szén</w:t>
      </w:r>
    </w:p>
    <w:p w14:paraId="5A596FAD" w14:textId="122E0269" w:rsidR="007543BB" w:rsidRDefault="002D677C" w:rsidP="002D677C">
      <w:r w:rsidRPr="002D677C">
        <w:t>Az orvosi szén adása csökkenti az apixabán-expozíciót (lásd 4.9</w:t>
      </w:r>
      <w:r w:rsidR="001A4D77">
        <w:t> </w:t>
      </w:r>
      <w:r w:rsidRPr="002D677C">
        <w:t>pont).</w:t>
      </w:r>
    </w:p>
    <w:p w14:paraId="1BB7B289" w14:textId="77777777" w:rsidR="002D677C" w:rsidRPr="002D677C" w:rsidRDefault="002D677C" w:rsidP="002D677C"/>
    <w:p w14:paraId="341E1F3C" w14:textId="77777777" w:rsidR="007543BB" w:rsidRDefault="002D677C" w:rsidP="002D677C">
      <w:pPr>
        <w:keepNext/>
        <w:rPr>
          <w:u w:val="single"/>
        </w:rPr>
      </w:pPr>
      <w:r w:rsidRPr="002D677C">
        <w:rPr>
          <w:u w:val="single"/>
        </w:rPr>
        <w:t>Gyermekek és serdülők</w:t>
      </w:r>
    </w:p>
    <w:p w14:paraId="751843F8" w14:textId="6B1BECF2" w:rsidR="007543BB" w:rsidRDefault="002D677C" w:rsidP="002D677C">
      <w:r w:rsidRPr="002D677C">
        <w:t>Interakciós vizsgálatokat nem végeztek gyermekeknél és serdülőknél.</w:t>
      </w:r>
      <w:r w:rsidR="000156A3">
        <w:t xml:space="preserve"> </w:t>
      </w:r>
      <w:r w:rsidRPr="002D677C">
        <w:t>A fent említett interakciós adatok felnőttektől származnak, és a 4.4 pontban szereplő figyelmeztetéseket figyelembe kell venni gyermekeknél és serdülőknél is.</w:t>
      </w:r>
    </w:p>
    <w:p w14:paraId="37E94C43" w14:textId="77777777" w:rsidR="002D677C" w:rsidRPr="002D677C" w:rsidRDefault="002D677C" w:rsidP="002D677C"/>
    <w:p w14:paraId="3EF46B0C" w14:textId="5A93BCCE" w:rsidR="007543BB" w:rsidRDefault="00390A1D" w:rsidP="009F51B8">
      <w:pPr>
        <w:keepNext/>
        <w:ind w:left="567" w:hanging="567"/>
        <w:rPr>
          <w:b/>
          <w:bCs/>
        </w:rPr>
      </w:pPr>
      <w:r>
        <w:rPr>
          <w:b/>
          <w:bCs/>
        </w:rPr>
        <w:t>4.6</w:t>
      </w:r>
      <w:r>
        <w:rPr>
          <w:b/>
          <w:bCs/>
        </w:rPr>
        <w:tab/>
      </w:r>
      <w:r w:rsidR="002D677C" w:rsidRPr="009F51B8">
        <w:rPr>
          <w:b/>
          <w:bCs/>
        </w:rPr>
        <w:t>Termékenység, terhesség és szoptatás</w:t>
      </w:r>
    </w:p>
    <w:p w14:paraId="2CA5577E" w14:textId="77777777" w:rsidR="002D677C" w:rsidRPr="009F51B8" w:rsidRDefault="002D677C" w:rsidP="009F51B8">
      <w:pPr>
        <w:keepNext/>
        <w:ind w:left="567" w:hanging="567"/>
        <w:rPr>
          <w:b/>
          <w:bCs/>
        </w:rPr>
      </w:pPr>
    </w:p>
    <w:p w14:paraId="41BB6FC5" w14:textId="77777777" w:rsidR="007543BB" w:rsidRDefault="002D677C" w:rsidP="00F207F5">
      <w:pPr>
        <w:keepNext/>
        <w:rPr>
          <w:u w:val="single"/>
        </w:rPr>
      </w:pPr>
      <w:r w:rsidRPr="00F207F5">
        <w:rPr>
          <w:u w:val="single"/>
        </w:rPr>
        <w:t>Terhesség</w:t>
      </w:r>
    </w:p>
    <w:p w14:paraId="4EBBAC30" w14:textId="4026F282" w:rsidR="007543BB" w:rsidRDefault="002D677C" w:rsidP="00F207F5">
      <w:r w:rsidRPr="00F207F5">
        <w:t xml:space="preserve">Az apixabán terhes nőknél történől alkalmazásáról nincs adat. </w:t>
      </w:r>
      <w:r w:rsidR="00A0729A" w:rsidRPr="004311F4">
        <w:t>Állatokkal végzett vizsgálatok nem igazoltak közvetlen vagy közvetett</w:t>
      </w:r>
      <w:r w:rsidRPr="00F207F5">
        <w:t xml:space="preserve"> káros hatásokat a </w:t>
      </w:r>
      <w:r w:rsidR="000762D0" w:rsidRPr="004311F4">
        <w:t>reprodukciós</w:t>
      </w:r>
      <w:r w:rsidRPr="00F207F5">
        <w:t xml:space="preserve"> toxicitás tekintetében (lásd 5.3</w:t>
      </w:r>
      <w:r w:rsidR="001A4D77">
        <w:t> </w:t>
      </w:r>
      <w:r w:rsidRPr="00F207F5">
        <w:t>pont). Az apixabán alkalmazása elővigyázatosságból kerülendő a terhesség alatt.</w:t>
      </w:r>
    </w:p>
    <w:p w14:paraId="06AB160A" w14:textId="77777777" w:rsidR="00F207F5" w:rsidRPr="00F207F5" w:rsidRDefault="00F207F5" w:rsidP="00F207F5"/>
    <w:p w14:paraId="10C97C31" w14:textId="77777777" w:rsidR="007543BB" w:rsidRDefault="002D677C" w:rsidP="00F207F5">
      <w:pPr>
        <w:keepNext/>
        <w:rPr>
          <w:u w:val="single"/>
        </w:rPr>
      </w:pPr>
      <w:r w:rsidRPr="00F207F5">
        <w:rPr>
          <w:u w:val="single"/>
        </w:rPr>
        <w:t>Szoptatás</w:t>
      </w:r>
    </w:p>
    <w:p w14:paraId="1CAE139C" w14:textId="3E727BBF" w:rsidR="007543BB" w:rsidRDefault="002D677C" w:rsidP="00F207F5">
      <w:r w:rsidRPr="00F207F5">
        <w:t>Nem ismert, hogy az apixabán vagy annak metabolitjai kiválasztódnak-e a humán anyatejbe. A rendelkezésre álló, állatkísérletekből származó adatok az apixabán anyatejbe való kiválasztódását igazolták (lásd 5.3</w:t>
      </w:r>
      <w:r w:rsidR="009F7393">
        <w:t> </w:t>
      </w:r>
      <w:r w:rsidRPr="00F207F5">
        <w:t xml:space="preserve">pont). </w:t>
      </w:r>
      <w:r w:rsidR="00693075" w:rsidRPr="005E0C45">
        <w:t>Az anyatejjel táplált csecsemőre nézve a kockázatot nem lehet kizárni</w:t>
      </w:r>
      <w:r w:rsidR="00693075">
        <w:t>.</w:t>
      </w:r>
    </w:p>
    <w:p w14:paraId="3A46CE3C" w14:textId="77777777" w:rsidR="00F207F5" w:rsidRPr="00F207F5" w:rsidRDefault="00F207F5" w:rsidP="00F207F5"/>
    <w:p w14:paraId="5D32F6CD" w14:textId="344C1D49" w:rsidR="007543BB" w:rsidRDefault="002D677C" w:rsidP="00F207F5">
      <w:r w:rsidRPr="00F207F5">
        <w:t xml:space="preserve">Az apixabán alkalmazása előtt el kell dönteni, hogy a szoptatást függesztik fel, vagy a kezelést szakítják meg/halasztják el </w:t>
      </w:r>
      <w:r w:rsidR="00156D91">
        <w:t>–</w:t>
      </w:r>
      <w:r w:rsidRPr="00F207F5">
        <w:t xml:space="preserve"> figyelembe véve a szoptatás előnyét a gyermek, illetve a kezelés előnyét az anya szempontjából.</w:t>
      </w:r>
    </w:p>
    <w:p w14:paraId="6B1367B8" w14:textId="77777777" w:rsidR="00F207F5" w:rsidRPr="00F207F5" w:rsidRDefault="00F207F5" w:rsidP="00F207F5"/>
    <w:p w14:paraId="0732F9FB" w14:textId="77777777" w:rsidR="007543BB" w:rsidRDefault="002D677C" w:rsidP="00F207F5">
      <w:pPr>
        <w:keepNext/>
        <w:rPr>
          <w:u w:val="single"/>
        </w:rPr>
      </w:pPr>
      <w:r w:rsidRPr="00F207F5">
        <w:rPr>
          <w:u w:val="single"/>
        </w:rPr>
        <w:t>Termékenység</w:t>
      </w:r>
    </w:p>
    <w:p w14:paraId="49ACCE0D" w14:textId="7011BC30" w:rsidR="007543BB" w:rsidRDefault="002D677C" w:rsidP="00F207F5">
      <w:r w:rsidRPr="00F207F5">
        <w:t>Apixabánnal kezelt állatokkal végzett kísérletek során termékenységre gyakorolt hatást nem igazoltak (lásd 5.3</w:t>
      </w:r>
      <w:r w:rsidR="009F7393">
        <w:t> </w:t>
      </w:r>
      <w:r w:rsidRPr="00F207F5">
        <w:t>pont).</w:t>
      </w:r>
    </w:p>
    <w:p w14:paraId="637FE7FE" w14:textId="77777777" w:rsidR="00F207F5" w:rsidRPr="00F207F5" w:rsidRDefault="00F207F5" w:rsidP="00F207F5"/>
    <w:p w14:paraId="0569A796" w14:textId="74FAF4F1" w:rsidR="007543BB" w:rsidRDefault="00390A1D" w:rsidP="009F51B8">
      <w:pPr>
        <w:keepNext/>
        <w:ind w:left="567" w:hanging="567"/>
        <w:rPr>
          <w:b/>
          <w:bCs/>
        </w:rPr>
      </w:pPr>
      <w:r>
        <w:rPr>
          <w:b/>
          <w:bCs/>
        </w:rPr>
        <w:t>4.7</w:t>
      </w:r>
      <w:r>
        <w:rPr>
          <w:b/>
          <w:bCs/>
        </w:rPr>
        <w:tab/>
      </w:r>
      <w:r w:rsidR="002D677C" w:rsidRPr="009F51B8">
        <w:rPr>
          <w:b/>
          <w:bCs/>
        </w:rPr>
        <w:t>A készítmény hatásai a gépjárművezetéshez és a gépek kezeléséhez szükséges képességekre</w:t>
      </w:r>
    </w:p>
    <w:p w14:paraId="7306D6E6" w14:textId="77777777" w:rsidR="00F207F5" w:rsidRPr="009F51B8" w:rsidRDefault="00F207F5" w:rsidP="009F51B8">
      <w:pPr>
        <w:keepNext/>
        <w:ind w:left="567" w:hanging="567"/>
        <w:rPr>
          <w:b/>
          <w:bCs/>
        </w:rPr>
      </w:pPr>
    </w:p>
    <w:p w14:paraId="414ED752" w14:textId="458DA5C9" w:rsidR="007543BB" w:rsidRDefault="002D677C" w:rsidP="00F207F5">
      <w:r w:rsidRPr="00F207F5">
        <w:t xml:space="preserve">Az </w:t>
      </w:r>
      <w:r w:rsidR="007404EB">
        <w:t>Apixaban Viatris Pharma</w:t>
      </w:r>
      <w:r w:rsidRPr="00F207F5">
        <w:t xml:space="preserve"> nem, vagy csak elhanyagolható mértékben befolyásolja a gépjárművezetéshez és a gépek kezeléséhez szükséges képességeket.</w:t>
      </w:r>
    </w:p>
    <w:p w14:paraId="0E233D27" w14:textId="77777777" w:rsidR="00F207F5" w:rsidRPr="00F207F5" w:rsidRDefault="00F207F5" w:rsidP="00F207F5"/>
    <w:p w14:paraId="08A7369D" w14:textId="76E2C70B" w:rsidR="007543BB" w:rsidRDefault="00390A1D" w:rsidP="009F51B8">
      <w:pPr>
        <w:keepNext/>
        <w:ind w:left="567" w:hanging="567"/>
        <w:rPr>
          <w:b/>
          <w:bCs/>
        </w:rPr>
      </w:pPr>
      <w:r>
        <w:rPr>
          <w:b/>
          <w:bCs/>
        </w:rPr>
        <w:t>4.8</w:t>
      </w:r>
      <w:r>
        <w:rPr>
          <w:b/>
          <w:bCs/>
        </w:rPr>
        <w:tab/>
      </w:r>
      <w:r w:rsidR="002D677C" w:rsidRPr="009F51B8">
        <w:rPr>
          <w:b/>
          <w:bCs/>
        </w:rPr>
        <w:t>Nemkívánatos hatások, mellékhatások</w:t>
      </w:r>
    </w:p>
    <w:p w14:paraId="559368F2" w14:textId="77777777" w:rsidR="00F207F5" w:rsidRPr="009F51B8" w:rsidRDefault="00F207F5" w:rsidP="009F51B8">
      <w:pPr>
        <w:keepNext/>
        <w:ind w:left="567" w:hanging="567"/>
        <w:rPr>
          <w:b/>
          <w:bCs/>
        </w:rPr>
      </w:pPr>
    </w:p>
    <w:p w14:paraId="11E6E600" w14:textId="77777777" w:rsidR="007543BB" w:rsidRDefault="002D677C" w:rsidP="00F207F5">
      <w:pPr>
        <w:keepNext/>
        <w:rPr>
          <w:u w:val="single"/>
        </w:rPr>
      </w:pPr>
      <w:r w:rsidRPr="00F207F5">
        <w:rPr>
          <w:u w:val="single"/>
        </w:rPr>
        <w:t>A biztonságossági profil összefoglalása</w:t>
      </w:r>
    </w:p>
    <w:p w14:paraId="62163752" w14:textId="77777777" w:rsidR="00F207F5" w:rsidRPr="00F207F5" w:rsidRDefault="00F207F5" w:rsidP="00F207F5">
      <w:pPr>
        <w:keepNext/>
        <w:rPr>
          <w:u w:val="single"/>
        </w:rPr>
      </w:pPr>
    </w:p>
    <w:p w14:paraId="621253FB" w14:textId="0FCCE34D" w:rsidR="007543BB" w:rsidRDefault="004311F4" w:rsidP="00F207F5">
      <w:r w:rsidRPr="004311F4">
        <w:t>Az apixabán biztonságosságát felnőtteknél 4, III. fázisú klinikai vizsgálatban értékelték, melyekben több mint 15 000 beteg vett részt: több mint 11 000 beteg az NVPF vizsgálatokban és több mint 4000 beteg a VTE-terápiás (VTEt) vizsgálatokban, ebben a sorrendben átlagosan 1,7 éves és 221 napos összexpozícióval (lásd 5.1 pont).</w:t>
      </w:r>
    </w:p>
    <w:p w14:paraId="21F7D2FD" w14:textId="77777777" w:rsidR="00F207F5" w:rsidRPr="00F207F5" w:rsidRDefault="00F207F5" w:rsidP="00F207F5"/>
    <w:p w14:paraId="742CB70C" w14:textId="5D4BC08F" w:rsidR="007543BB" w:rsidRDefault="002D677C" w:rsidP="00F207F5">
      <w:r w:rsidRPr="00F207F5">
        <w:t>Gyakori mellékhatás volt a vérzés, contusio, epistaxis és haematoma (a mellékhatásprofilt és az indikációk szerinti gyakoriságokat lásd a 3.</w:t>
      </w:r>
      <w:r w:rsidR="009F7393">
        <w:t> </w:t>
      </w:r>
      <w:r w:rsidRPr="00F207F5">
        <w:t>táblázatban).</w:t>
      </w:r>
    </w:p>
    <w:p w14:paraId="3652648A" w14:textId="77777777" w:rsidR="00F207F5" w:rsidRPr="00F207F5" w:rsidRDefault="00F207F5" w:rsidP="00F207F5"/>
    <w:p w14:paraId="727732A7" w14:textId="77777777" w:rsidR="007543BB" w:rsidRDefault="002D677C" w:rsidP="00F207F5">
      <w:r w:rsidRPr="00F207F5">
        <w:t>Az NVPF vizsgálatokban az apixabán mellett a vérzéssel összefüggő mellékhatások teljes előfordulási gyakorisága 24,3% volt az apixabánt warfarinnal összehasonlító vizsgálatban, és 9,6% volt az apixabánt acetilszalicilsavval összehasonlító vizsgálatban. Az apixabán vs. warfarin vizsgálatban az ISTH-szerinti jelentős gastrointestinalis vérzések (beleértve a tápcsatorna felső, a tápcsatorna alsó részéről kiinduló, valamint a rectalis vérzést is) előfordulási gyakorisága az apixabán mellett 0,76%/év volt. Az ISTH-szerinti jelentős intraocularis vérzés előfordulási gyakorisága az apixabán mellett 0,18%/év volt.</w:t>
      </w:r>
    </w:p>
    <w:p w14:paraId="03E0D44F" w14:textId="77777777" w:rsidR="00F207F5" w:rsidRPr="00F207F5" w:rsidRDefault="00F207F5" w:rsidP="00F207F5"/>
    <w:p w14:paraId="61DF3511" w14:textId="3E27119B" w:rsidR="007543BB" w:rsidRDefault="002D677C" w:rsidP="00F207F5">
      <w:r w:rsidRPr="00F207F5">
        <w:t>A VTEt vizsgálatokban az apixabán mellett a vérzéssel összefüggő mellékhatások teljes előfordulási gyakorisága 15,6% volt az apixabánt enoxaparinnal/warfarinnal összehasonlító vizsgálatban, és 13,3% volt az apixabánt placebóval összehasonlító vizsgálatban (lásd 5.1</w:t>
      </w:r>
      <w:r w:rsidR="009F7393">
        <w:t> </w:t>
      </w:r>
      <w:r w:rsidRPr="00F207F5">
        <w:t>pont).</w:t>
      </w:r>
    </w:p>
    <w:p w14:paraId="06245FFA" w14:textId="77777777" w:rsidR="00F207F5" w:rsidRPr="00F207F5" w:rsidRDefault="00F207F5" w:rsidP="00F207F5">
      <w:pPr>
        <w:keepNext/>
        <w:rPr>
          <w:u w:val="single"/>
        </w:rPr>
      </w:pPr>
    </w:p>
    <w:p w14:paraId="65F198B6" w14:textId="4014FECC" w:rsidR="007543BB" w:rsidRDefault="002D677C" w:rsidP="00F207F5">
      <w:r w:rsidRPr="00F207F5">
        <w:t xml:space="preserve">A </w:t>
      </w:r>
      <w:r w:rsidR="004B68F9">
        <w:t>2</w:t>
      </w:r>
      <w:r w:rsidRPr="00F207F5">
        <w:t>.</w:t>
      </w:r>
      <w:r w:rsidR="009F7393">
        <w:t> </w:t>
      </w:r>
      <w:r w:rsidRPr="00F207F5">
        <w:t>táblázat szervrendszeri kategóriánként és gyakoriság szerint osztályozva, az alábbi megegyezés szerint mutatja a mellékhatásokat: nagyon gyakori (</w:t>
      </w:r>
      <w:r w:rsidR="00F207F5" w:rsidRPr="004311F4">
        <w:t>≥</w:t>
      </w:r>
      <w:r w:rsidR="00732F84">
        <w:t> </w:t>
      </w:r>
      <w:r w:rsidRPr="00F207F5">
        <w:t>1/10), gyakori (</w:t>
      </w:r>
      <w:r w:rsidR="00F207F5" w:rsidRPr="004311F4">
        <w:t>≥</w:t>
      </w:r>
      <w:r w:rsidR="00732F84">
        <w:t> </w:t>
      </w:r>
      <w:r w:rsidRPr="00F207F5">
        <w:t>1/100 - &lt;1/10), nem gyakori (</w:t>
      </w:r>
      <w:r w:rsidR="00F207F5" w:rsidRPr="004311F4">
        <w:t>≥</w:t>
      </w:r>
      <w:r w:rsidR="00732F84">
        <w:t> </w:t>
      </w:r>
      <w:r w:rsidRPr="00F207F5">
        <w:t>1/1000 - &lt;</w:t>
      </w:r>
      <w:r w:rsidR="00732F84">
        <w:t> </w:t>
      </w:r>
      <w:r w:rsidRPr="00F207F5">
        <w:t>1/100), ritka (</w:t>
      </w:r>
      <w:r w:rsidR="00F207F5" w:rsidRPr="004311F4">
        <w:t>≥</w:t>
      </w:r>
      <w:r w:rsidR="00732F84">
        <w:t> </w:t>
      </w:r>
      <w:r w:rsidRPr="00F207F5">
        <w:t>1/10</w:t>
      </w:r>
      <w:r w:rsidR="009F7393">
        <w:t> </w:t>
      </w:r>
      <w:r w:rsidRPr="00F207F5">
        <w:t>000 - &lt;</w:t>
      </w:r>
      <w:r w:rsidR="00732F84">
        <w:t> </w:t>
      </w:r>
      <w:r w:rsidRPr="00F207F5">
        <w:t>1/1000) és nagyon ritka (&lt;</w:t>
      </w:r>
      <w:r w:rsidR="00732F84">
        <w:t> </w:t>
      </w:r>
      <w:r w:rsidRPr="00F207F5">
        <w:t>1/10</w:t>
      </w:r>
      <w:r w:rsidR="009F7393">
        <w:t> </w:t>
      </w:r>
      <w:r w:rsidRPr="00F207F5">
        <w:t>000), nem ismert (a gyakorisága a rendelkezésre álló adatokból nem állapítható meg) sorrendben az NVPF és a VTEp vagy a VTEt esetén felnőtteknél, illetve VTEt és VTE kiújulásának megelőzése esetén gyermekeknél és serdülőknél (28</w:t>
      </w:r>
      <w:r w:rsidR="00732F84">
        <w:t> </w:t>
      </w:r>
      <w:r w:rsidRPr="00F207F5">
        <w:t>napos kortól betöltött 18</w:t>
      </w:r>
      <w:r w:rsidR="00732F84">
        <w:t> </w:t>
      </w:r>
      <w:r w:rsidRPr="00F207F5">
        <w:t>éves életkorig).</w:t>
      </w:r>
    </w:p>
    <w:p w14:paraId="7BAF54BF" w14:textId="77777777" w:rsidR="00F207F5" w:rsidRPr="00F207F5" w:rsidRDefault="00F207F5" w:rsidP="00F207F5"/>
    <w:p w14:paraId="007C5D35" w14:textId="007FAE0E" w:rsidR="007543BB" w:rsidRDefault="002D677C" w:rsidP="00F207F5">
      <w:r w:rsidRPr="00F207F5">
        <w:t xml:space="preserve">A </w:t>
      </w:r>
      <w:r w:rsidR="004B68F9">
        <w:t>2</w:t>
      </w:r>
      <w:r w:rsidRPr="00F207F5">
        <w:t>.</w:t>
      </w:r>
      <w:r w:rsidR="00732F84">
        <w:t> </w:t>
      </w:r>
      <w:r w:rsidRPr="00F207F5">
        <w:t>táblázatban a gyermekekre és serdülőkre vonatkozóan a mellékhatások gyakorisága a CV185325 vizsgálatból származik, amelyben az apixabánt a VTE kezelésére és a VTE kiújulásának megelőzésére alkalmazták.</w:t>
      </w:r>
    </w:p>
    <w:p w14:paraId="47EC9768" w14:textId="77777777" w:rsidR="00F207F5" w:rsidRPr="00F207F5" w:rsidRDefault="00F207F5" w:rsidP="00F207F5"/>
    <w:p w14:paraId="3E105AA0" w14:textId="3D450FAD" w:rsidR="007543BB" w:rsidRPr="00F207F5" w:rsidRDefault="004B68F9" w:rsidP="00F207F5">
      <w:pPr>
        <w:keepNext/>
        <w:rPr>
          <w:b/>
          <w:bCs/>
        </w:rPr>
      </w:pPr>
      <w:r>
        <w:rPr>
          <w:b/>
          <w:bCs/>
        </w:rPr>
        <w:t>2</w:t>
      </w:r>
      <w:r w:rsidR="002D677C" w:rsidRPr="00F207F5">
        <w:rPr>
          <w:b/>
          <w:bCs/>
        </w:rPr>
        <w:t>.</w:t>
      </w:r>
      <w:r w:rsidR="009F7393">
        <w:rPr>
          <w:b/>
          <w:bCs/>
        </w:rPr>
        <w:t> </w:t>
      </w:r>
      <w:r w:rsidR="002D677C" w:rsidRPr="00F207F5">
        <w:rPr>
          <w:b/>
          <w:bCs/>
        </w:rPr>
        <w:t>táblázat: A mellékhatások táblázatos felsorolása</w:t>
      </w:r>
    </w:p>
    <w:tbl>
      <w:tblPr>
        <w:tblOverlap w:val="never"/>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3062"/>
        <w:gridCol w:w="2155"/>
        <w:gridCol w:w="1987"/>
        <w:gridCol w:w="1876"/>
      </w:tblGrid>
      <w:tr w:rsidR="007543BB" w:rsidRPr="00F207F5" w14:paraId="4E002902" w14:textId="77777777" w:rsidTr="00F207F5">
        <w:trPr>
          <w:cantSplit/>
          <w:tblHeader/>
        </w:trPr>
        <w:tc>
          <w:tcPr>
            <w:tcW w:w="3062" w:type="dxa"/>
            <w:shd w:val="clear" w:color="auto" w:fill="auto"/>
          </w:tcPr>
          <w:p w14:paraId="14717196" w14:textId="77777777" w:rsidR="007543BB" w:rsidRPr="00F207F5" w:rsidRDefault="002D677C" w:rsidP="00F207F5">
            <w:pPr>
              <w:keepNext/>
              <w:jc w:val="center"/>
              <w:rPr>
                <w:b/>
                <w:bCs/>
              </w:rPr>
            </w:pPr>
            <w:r w:rsidRPr="00F207F5">
              <w:rPr>
                <w:b/>
                <w:bCs/>
              </w:rPr>
              <w:t>Szervrendszeri kategóriák</w:t>
            </w:r>
          </w:p>
        </w:tc>
        <w:tc>
          <w:tcPr>
            <w:tcW w:w="2155" w:type="dxa"/>
            <w:shd w:val="clear" w:color="auto" w:fill="auto"/>
          </w:tcPr>
          <w:p w14:paraId="5F1F550B" w14:textId="670C4785" w:rsidR="007543BB" w:rsidRPr="00F207F5" w:rsidRDefault="002D677C" w:rsidP="00F207F5">
            <w:pPr>
              <w:keepNext/>
              <w:jc w:val="center"/>
              <w:rPr>
                <w:b/>
                <w:bCs/>
              </w:rPr>
            </w:pPr>
            <w:r w:rsidRPr="00F207F5">
              <w:rPr>
                <w:b/>
                <w:bCs/>
              </w:rPr>
              <w:t>A stroke és a szisztémás embolizáció megelőzése NVPF- ben szenvedő,</w:t>
            </w:r>
            <w:r w:rsidR="00156D91">
              <w:rPr>
                <w:b/>
                <w:bCs/>
              </w:rPr>
              <w:t xml:space="preserve"> </w:t>
            </w:r>
            <w:r w:rsidRPr="00F207F5">
              <w:rPr>
                <w:b/>
                <w:bCs/>
              </w:rPr>
              <w:t>egy vagy több kockázati tényezővel rendelkező felnőtt betegeknél (NVPF)</w:t>
            </w:r>
          </w:p>
        </w:tc>
        <w:tc>
          <w:tcPr>
            <w:tcW w:w="1987" w:type="dxa"/>
            <w:shd w:val="clear" w:color="auto" w:fill="auto"/>
          </w:tcPr>
          <w:p w14:paraId="500E60C2" w14:textId="48566836" w:rsidR="007543BB" w:rsidRPr="00F207F5" w:rsidRDefault="002D677C" w:rsidP="009F7393">
            <w:pPr>
              <w:keepNext/>
              <w:jc w:val="center"/>
              <w:rPr>
                <w:b/>
                <w:bCs/>
              </w:rPr>
            </w:pPr>
            <w:r w:rsidRPr="00F207F5">
              <w:rPr>
                <w:b/>
                <w:bCs/>
              </w:rPr>
              <w:t xml:space="preserve">Az MVT és a PE kezelése, valamint az MVT és a PE kiújulásának megelőzése (VTEt) </w:t>
            </w:r>
          </w:p>
        </w:tc>
        <w:tc>
          <w:tcPr>
            <w:tcW w:w="1876" w:type="dxa"/>
            <w:shd w:val="clear" w:color="auto" w:fill="auto"/>
          </w:tcPr>
          <w:p w14:paraId="52A2E38B" w14:textId="493EC81B" w:rsidR="007543BB" w:rsidRPr="00F207F5" w:rsidRDefault="002D677C" w:rsidP="00F207F5">
            <w:pPr>
              <w:keepNext/>
              <w:jc w:val="center"/>
              <w:rPr>
                <w:b/>
                <w:bCs/>
              </w:rPr>
            </w:pPr>
            <w:r w:rsidRPr="00F207F5">
              <w:rPr>
                <w:b/>
                <w:bCs/>
              </w:rPr>
              <w:t>VTE kezelése és a VTE kiújulásának megelőzése gyermekeknél és serdülőknél (28</w:t>
            </w:r>
            <w:r w:rsidR="00F207F5">
              <w:rPr>
                <w:b/>
                <w:bCs/>
              </w:rPr>
              <w:t> </w:t>
            </w:r>
            <w:r w:rsidRPr="00F207F5">
              <w:rPr>
                <w:b/>
                <w:bCs/>
              </w:rPr>
              <w:t>napos kortól betöltött 18 éves életkorig)</w:t>
            </w:r>
          </w:p>
        </w:tc>
      </w:tr>
      <w:tr w:rsidR="00F207F5" w:rsidRPr="00F207F5" w14:paraId="08075CBC" w14:textId="77777777" w:rsidTr="007404EB">
        <w:trPr>
          <w:cantSplit/>
        </w:trPr>
        <w:tc>
          <w:tcPr>
            <w:tcW w:w="9080" w:type="dxa"/>
            <w:gridSpan w:val="4"/>
            <w:shd w:val="clear" w:color="auto" w:fill="auto"/>
            <w:vAlign w:val="bottom"/>
          </w:tcPr>
          <w:p w14:paraId="68D6805D" w14:textId="3850D637" w:rsidR="00F207F5" w:rsidRPr="00F207F5" w:rsidRDefault="00F207F5" w:rsidP="00F207F5">
            <w:pPr>
              <w:keepNext/>
              <w:rPr>
                <w:i/>
                <w:iCs/>
              </w:rPr>
            </w:pPr>
            <w:r w:rsidRPr="00F207F5">
              <w:rPr>
                <w:i/>
                <w:iCs/>
              </w:rPr>
              <w:t>Vérképzőszervi és nyirokrendszeri betegségek és tünetek</w:t>
            </w:r>
          </w:p>
        </w:tc>
      </w:tr>
      <w:tr w:rsidR="007543BB" w:rsidRPr="00F207F5" w14:paraId="6ECC2324" w14:textId="77777777" w:rsidTr="00C8605C">
        <w:trPr>
          <w:cantSplit/>
        </w:trPr>
        <w:tc>
          <w:tcPr>
            <w:tcW w:w="3062" w:type="dxa"/>
            <w:shd w:val="clear" w:color="auto" w:fill="auto"/>
            <w:vAlign w:val="bottom"/>
          </w:tcPr>
          <w:p w14:paraId="1D7D4FD2" w14:textId="77777777" w:rsidR="007543BB" w:rsidRPr="00F207F5" w:rsidRDefault="002D677C" w:rsidP="00F207F5">
            <w:pPr>
              <w:keepNext/>
            </w:pPr>
            <w:r w:rsidRPr="00F207F5">
              <w:t>Anaemia</w:t>
            </w:r>
          </w:p>
        </w:tc>
        <w:tc>
          <w:tcPr>
            <w:tcW w:w="2155" w:type="dxa"/>
            <w:shd w:val="clear" w:color="auto" w:fill="auto"/>
          </w:tcPr>
          <w:p w14:paraId="6B6BF59E" w14:textId="77777777" w:rsidR="007543BB" w:rsidRPr="00F207F5" w:rsidRDefault="002D677C" w:rsidP="00C8605C">
            <w:pPr>
              <w:keepNext/>
              <w:jc w:val="center"/>
            </w:pPr>
            <w:r w:rsidRPr="00F207F5">
              <w:t>Gyakori</w:t>
            </w:r>
          </w:p>
        </w:tc>
        <w:tc>
          <w:tcPr>
            <w:tcW w:w="1987" w:type="dxa"/>
            <w:shd w:val="clear" w:color="auto" w:fill="auto"/>
          </w:tcPr>
          <w:p w14:paraId="27BA8F6F" w14:textId="77777777" w:rsidR="007543BB" w:rsidRPr="00F207F5" w:rsidRDefault="002D677C" w:rsidP="00C8605C">
            <w:pPr>
              <w:keepNext/>
              <w:jc w:val="center"/>
            </w:pPr>
            <w:r w:rsidRPr="00F207F5">
              <w:t>Gyakori</w:t>
            </w:r>
          </w:p>
        </w:tc>
        <w:tc>
          <w:tcPr>
            <w:tcW w:w="1876" w:type="dxa"/>
            <w:shd w:val="clear" w:color="auto" w:fill="auto"/>
          </w:tcPr>
          <w:p w14:paraId="3B1D517E" w14:textId="77777777" w:rsidR="007543BB" w:rsidRPr="00F207F5" w:rsidRDefault="002D677C" w:rsidP="00C8605C">
            <w:pPr>
              <w:keepNext/>
              <w:jc w:val="center"/>
            </w:pPr>
            <w:r w:rsidRPr="00F207F5">
              <w:t>Gyakori</w:t>
            </w:r>
          </w:p>
        </w:tc>
      </w:tr>
      <w:tr w:rsidR="007543BB" w:rsidRPr="00F207F5" w14:paraId="340A1663" w14:textId="77777777" w:rsidTr="00C8605C">
        <w:trPr>
          <w:cantSplit/>
        </w:trPr>
        <w:tc>
          <w:tcPr>
            <w:tcW w:w="3062" w:type="dxa"/>
            <w:shd w:val="clear" w:color="auto" w:fill="auto"/>
            <w:vAlign w:val="bottom"/>
          </w:tcPr>
          <w:p w14:paraId="286D0A26" w14:textId="77777777" w:rsidR="007543BB" w:rsidRPr="00F207F5" w:rsidRDefault="002D677C" w:rsidP="00F207F5">
            <w:r w:rsidRPr="00F207F5">
              <w:t>Thrombocytopenia</w:t>
            </w:r>
          </w:p>
        </w:tc>
        <w:tc>
          <w:tcPr>
            <w:tcW w:w="2155" w:type="dxa"/>
            <w:shd w:val="clear" w:color="auto" w:fill="auto"/>
          </w:tcPr>
          <w:p w14:paraId="7A2B2732" w14:textId="77777777" w:rsidR="007543BB" w:rsidRPr="00F207F5" w:rsidRDefault="002D677C" w:rsidP="00C8605C">
            <w:pPr>
              <w:jc w:val="center"/>
            </w:pPr>
            <w:r w:rsidRPr="00F207F5">
              <w:t>Nem gyakori</w:t>
            </w:r>
          </w:p>
        </w:tc>
        <w:tc>
          <w:tcPr>
            <w:tcW w:w="1987" w:type="dxa"/>
            <w:shd w:val="clear" w:color="auto" w:fill="auto"/>
          </w:tcPr>
          <w:p w14:paraId="648BAFBC" w14:textId="77777777" w:rsidR="007543BB" w:rsidRPr="00F207F5" w:rsidRDefault="002D677C" w:rsidP="00C8605C">
            <w:pPr>
              <w:jc w:val="center"/>
            </w:pPr>
            <w:r w:rsidRPr="00F207F5">
              <w:t>Gyakori</w:t>
            </w:r>
          </w:p>
        </w:tc>
        <w:tc>
          <w:tcPr>
            <w:tcW w:w="1876" w:type="dxa"/>
            <w:shd w:val="clear" w:color="auto" w:fill="auto"/>
          </w:tcPr>
          <w:p w14:paraId="5DE1A1D3" w14:textId="77777777" w:rsidR="007543BB" w:rsidRPr="00F207F5" w:rsidRDefault="002D677C" w:rsidP="00C8605C">
            <w:pPr>
              <w:jc w:val="center"/>
            </w:pPr>
            <w:r w:rsidRPr="00F207F5">
              <w:t>Gyakori</w:t>
            </w:r>
          </w:p>
        </w:tc>
      </w:tr>
      <w:tr w:rsidR="00F207F5" w:rsidRPr="00F207F5" w14:paraId="3ACCD68F" w14:textId="77777777" w:rsidTr="007404EB">
        <w:trPr>
          <w:cantSplit/>
        </w:trPr>
        <w:tc>
          <w:tcPr>
            <w:tcW w:w="9080" w:type="dxa"/>
            <w:gridSpan w:val="4"/>
            <w:shd w:val="clear" w:color="auto" w:fill="auto"/>
            <w:vAlign w:val="bottom"/>
          </w:tcPr>
          <w:p w14:paraId="08E10015" w14:textId="724227ED" w:rsidR="00F207F5" w:rsidRPr="00F207F5" w:rsidRDefault="00F207F5" w:rsidP="00F207F5">
            <w:pPr>
              <w:keepNext/>
              <w:rPr>
                <w:i/>
                <w:iCs/>
              </w:rPr>
            </w:pPr>
            <w:r w:rsidRPr="00F207F5">
              <w:rPr>
                <w:i/>
                <w:iCs/>
              </w:rPr>
              <w:t>Immunrendszeri betegségek és tünetek</w:t>
            </w:r>
          </w:p>
        </w:tc>
      </w:tr>
      <w:tr w:rsidR="007543BB" w:rsidRPr="00F207F5" w14:paraId="0A35E42F" w14:textId="77777777" w:rsidTr="00C8605C">
        <w:trPr>
          <w:cantSplit/>
        </w:trPr>
        <w:tc>
          <w:tcPr>
            <w:tcW w:w="3062" w:type="dxa"/>
            <w:shd w:val="clear" w:color="auto" w:fill="auto"/>
            <w:vAlign w:val="bottom"/>
          </w:tcPr>
          <w:p w14:paraId="5F4FF6E0" w14:textId="77777777" w:rsidR="007543BB" w:rsidRPr="00F207F5" w:rsidRDefault="002D677C" w:rsidP="00F207F5">
            <w:pPr>
              <w:keepNext/>
            </w:pPr>
            <w:r w:rsidRPr="00F207F5">
              <w:t>Túlérzékenység, allergiás oedema és anaphylaxia</w:t>
            </w:r>
          </w:p>
        </w:tc>
        <w:tc>
          <w:tcPr>
            <w:tcW w:w="2155" w:type="dxa"/>
            <w:shd w:val="clear" w:color="auto" w:fill="auto"/>
          </w:tcPr>
          <w:p w14:paraId="19BEE1CB" w14:textId="77777777" w:rsidR="007543BB" w:rsidRPr="00F207F5" w:rsidRDefault="002D677C" w:rsidP="00C8605C">
            <w:pPr>
              <w:keepNext/>
              <w:jc w:val="center"/>
            </w:pPr>
            <w:r w:rsidRPr="00F207F5">
              <w:t>Nem gyakori</w:t>
            </w:r>
          </w:p>
        </w:tc>
        <w:tc>
          <w:tcPr>
            <w:tcW w:w="1987" w:type="dxa"/>
            <w:shd w:val="clear" w:color="auto" w:fill="auto"/>
          </w:tcPr>
          <w:p w14:paraId="4AE8EA3C" w14:textId="77777777" w:rsidR="007543BB" w:rsidRPr="00F207F5" w:rsidRDefault="002D677C" w:rsidP="00C8605C">
            <w:pPr>
              <w:keepNext/>
              <w:jc w:val="center"/>
            </w:pPr>
            <w:r w:rsidRPr="00F207F5">
              <w:t>Nem gyakori</w:t>
            </w:r>
          </w:p>
        </w:tc>
        <w:tc>
          <w:tcPr>
            <w:tcW w:w="1876" w:type="dxa"/>
            <w:shd w:val="clear" w:color="auto" w:fill="auto"/>
          </w:tcPr>
          <w:p w14:paraId="646ED031" w14:textId="24CB1B90" w:rsidR="007543BB" w:rsidRPr="00F207F5" w:rsidRDefault="002D677C" w:rsidP="00C8605C">
            <w:pPr>
              <w:keepNext/>
              <w:jc w:val="center"/>
            </w:pPr>
            <w:r w:rsidRPr="00F207F5">
              <w:t>Gyakori</w:t>
            </w:r>
            <w:r w:rsidR="00C8605C" w:rsidRPr="00C8605C">
              <w:rPr>
                <w:vertAlign w:val="superscript"/>
                <w:lang w:val="es-ES"/>
              </w:rPr>
              <w:t>‡</w:t>
            </w:r>
          </w:p>
        </w:tc>
      </w:tr>
      <w:tr w:rsidR="007543BB" w:rsidRPr="00F207F5" w14:paraId="6CF325B3" w14:textId="77777777" w:rsidTr="00C8605C">
        <w:trPr>
          <w:cantSplit/>
        </w:trPr>
        <w:tc>
          <w:tcPr>
            <w:tcW w:w="3062" w:type="dxa"/>
            <w:shd w:val="clear" w:color="auto" w:fill="auto"/>
            <w:vAlign w:val="bottom"/>
          </w:tcPr>
          <w:p w14:paraId="507FA6A1" w14:textId="77777777" w:rsidR="007543BB" w:rsidRPr="00F207F5" w:rsidRDefault="002D677C" w:rsidP="00F207F5">
            <w:pPr>
              <w:keepNext/>
            </w:pPr>
            <w:r w:rsidRPr="00F207F5">
              <w:t>Pruritus</w:t>
            </w:r>
          </w:p>
        </w:tc>
        <w:tc>
          <w:tcPr>
            <w:tcW w:w="2155" w:type="dxa"/>
            <w:shd w:val="clear" w:color="auto" w:fill="auto"/>
          </w:tcPr>
          <w:p w14:paraId="4C285A3C" w14:textId="77777777" w:rsidR="007543BB" w:rsidRPr="00F207F5" w:rsidRDefault="002D677C" w:rsidP="00C8605C">
            <w:pPr>
              <w:keepNext/>
              <w:jc w:val="center"/>
            </w:pPr>
            <w:r w:rsidRPr="00F207F5">
              <w:t>Nem gyakori</w:t>
            </w:r>
          </w:p>
        </w:tc>
        <w:tc>
          <w:tcPr>
            <w:tcW w:w="1987" w:type="dxa"/>
            <w:shd w:val="clear" w:color="auto" w:fill="auto"/>
          </w:tcPr>
          <w:p w14:paraId="431A9147" w14:textId="77777777" w:rsidR="007543BB" w:rsidRPr="00F207F5" w:rsidRDefault="002D677C" w:rsidP="00C8605C">
            <w:pPr>
              <w:keepNext/>
              <w:jc w:val="center"/>
            </w:pPr>
            <w:r w:rsidRPr="00F207F5">
              <w:t>Nem gyakori*</w:t>
            </w:r>
          </w:p>
        </w:tc>
        <w:tc>
          <w:tcPr>
            <w:tcW w:w="1876" w:type="dxa"/>
            <w:shd w:val="clear" w:color="auto" w:fill="auto"/>
          </w:tcPr>
          <w:p w14:paraId="6D4436B1" w14:textId="77777777" w:rsidR="007543BB" w:rsidRPr="00F207F5" w:rsidRDefault="002D677C" w:rsidP="00C8605C">
            <w:pPr>
              <w:keepNext/>
              <w:jc w:val="center"/>
            </w:pPr>
            <w:r w:rsidRPr="00F207F5">
              <w:t>Gyakori</w:t>
            </w:r>
          </w:p>
        </w:tc>
      </w:tr>
      <w:tr w:rsidR="007543BB" w:rsidRPr="00F207F5" w14:paraId="6A42D281" w14:textId="77777777" w:rsidTr="00C8605C">
        <w:trPr>
          <w:cantSplit/>
        </w:trPr>
        <w:tc>
          <w:tcPr>
            <w:tcW w:w="3062" w:type="dxa"/>
            <w:shd w:val="clear" w:color="auto" w:fill="auto"/>
            <w:vAlign w:val="bottom"/>
          </w:tcPr>
          <w:p w14:paraId="46FA388A" w14:textId="77777777" w:rsidR="007543BB" w:rsidRPr="00F207F5" w:rsidRDefault="002D677C" w:rsidP="00F207F5">
            <w:r w:rsidRPr="00F207F5">
              <w:t>Angioedema</w:t>
            </w:r>
          </w:p>
        </w:tc>
        <w:tc>
          <w:tcPr>
            <w:tcW w:w="2155" w:type="dxa"/>
            <w:shd w:val="clear" w:color="auto" w:fill="auto"/>
          </w:tcPr>
          <w:p w14:paraId="0857F15C" w14:textId="77777777" w:rsidR="007543BB" w:rsidRPr="00F207F5" w:rsidRDefault="002D677C" w:rsidP="00C8605C">
            <w:pPr>
              <w:jc w:val="center"/>
            </w:pPr>
            <w:r w:rsidRPr="00F207F5">
              <w:t>Nem ismert</w:t>
            </w:r>
          </w:p>
        </w:tc>
        <w:tc>
          <w:tcPr>
            <w:tcW w:w="1987" w:type="dxa"/>
            <w:shd w:val="clear" w:color="auto" w:fill="auto"/>
          </w:tcPr>
          <w:p w14:paraId="30D30720" w14:textId="77777777" w:rsidR="007543BB" w:rsidRPr="00F207F5" w:rsidRDefault="002D677C" w:rsidP="00C8605C">
            <w:pPr>
              <w:jc w:val="center"/>
            </w:pPr>
            <w:r w:rsidRPr="00F207F5">
              <w:t>Nem ismert</w:t>
            </w:r>
          </w:p>
        </w:tc>
        <w:tc>
          <w:tcPr>
            <w:tcW w:w="1876" w:type="dxa"/>
            <w:shd w:val="clear" w:color="auto" w:fill="auto"/>
          </w:tcPr>
          <w:p w14:paraId="2AC53303" w14:textId="77777777" w:rsidR="007543BB" w:rsidRPr="00F207F5" w:rsidRDefault="002D677C" w:rsidP="00C8605C">
            <w:pPr>
              <w:jc w:val="center"/>
            </w:pPr>
            <w:r w:rsidRPr="00F207F5">
              <w:t>Nem ismert</w:t>
            </w:r>
          </w:p>
        </w:tc>
      </w:tr>
      <w:tr w:rsidR="00F207F5" w:rsidRPr="00F207F5" w14:paraId="0AF819FF" w14:textId="77777777" w:rsidTr="007404EB">
        <w:trPr>
          <w:cantSplit/>
        </w:trPr>
        <w:tc>
          <w:tcPr>
            <w:tcW w:w="9080" w:type="dxa"/>
            <w:gridSpan w:val="4"/>
            <w:shd w:val="clear" w:color="auto" w:fill="auto"/>
            <w:vAlign w:val="bottom"/>
          </w:tcPr>
          <w:p w14:paraId="358D5B66" w14:textId="0BC61FED" w:rsidR="00F207F5" w:rsidRPr="00F207F5" w:rsidRDefault="00F207F5" w:rsidP="00F207F5">
            <w:pPr>
              <w:keepNext/>
              <w:rPr>
                <w:i/>
                <w:iCs/>
              </w:rPr>
            </w:pPr>
            <w:r w:rsidRPr="00F207F5">
              <w:rPr>
                <w:i/>
                <w:iCs/>
              </w:rPr>
              <w:t>Idegrendszeri betegségek és tünetek</w:t>
            </w:r>
          </w:p>
        </w:tc>
      </w:tr>
      <w:tr w:rsidR="007543BB" w:rsidRPr="00F207F5" w14:paraId="7D8EA681" w14:textId="77777777" w:rsidTr="00C8605C">
        <w:trPr>
          <w:cantSplit/>
        </w:trPr>
        <w:tc>
          <w:tcPr>
            <w:tcW w:w="3062" w:type="dxa"/>
            <w:shd w:val="clear" w:color="auto" w:fill="auto"/>
            <w:vAlign w:val="bottom"/>
          </w:tcPr>
          <w:p w14:paraId="6B09F91E" w14:textId="10FCA5B6" w:rsidR="007543BB" w:rsidRPr="00F207F5" w:rsidRDefault="002D677C" w:rsidP="00F207F5">
            <w:r w:rsidRPr="00F207F5">
              <w:t>Agyvérzés</w:t>
            </w:r>
            <w:r w:rsidR="00F207F5" w:rsidRPr="00C8605C">
              <w:rPr>
                <w:vertAlign w:val="superscript"/>
                <w:lang w:val="es-ES"/>
              </w:rPr>
              <w:t>†</w:t>
            </w:r>
          </w:p>
        </w:tc>
        <w:tc>
          <w:tcPr>
            <w:tcW w:w="2155" w:type="dxa"/>
            <w:shd w:val="clear" w:color="auto" w:fill="auto"/>
          </w:tcPr>
          <w:p w14:paraId="78A6D78D" w14:textId="77777777" w:rsidR="007543BB" w:rsidRPr="00F207F5" w:rsidRDefault="002D677C" w:rsidP="00C8605C">
            <w:pPr>
              <w:jc w:val="center"/>
            </w:pPr>
            <w:r w:rsidRPr="00F207F5">
              <w:t>Nem gyakori</w:t>
            </w:r>
          </w:p>
        </w:tc>
        <w:tc>
          <w:tcPr>
            <w:tcW w:w="1987" w:type="dxa"/>
            <w:shd w:val="clear" w:color="auto" w:fill="auto"/>
          </w:tcPr>
          <w:p w14:paraId="33A82C8B" w14:textId="77777777" w:rsidR="007543BB" w:rsidRPr="00F207F5" w:rsidRDefault="002D677C" w:rsidP="00C8605C">
            <w:pPr>
              <w:jc w:val="center"/>
            </w:pPr>
            <w:r w:rsidRPr="00F207F5">
              <w:t>Ritka</w:t>
            </w:r>
          </w:p>
        </w:tc>
        <w:tc>
          <w:tcPr>
            <w:tcW w:w="1876" w:type="dxa"/>
            <w:shd w:val="clear" w:color="auto" w:fill="auto"/>
          </w:tcPr>
          <w:p w14:paraId="55C18EC3" w14:textId="77777777" w:rsidR="007543BB" w:rsidRPr="00F207F5" w:rsidRDefault="002D677C" w:rsidP="00C8605C">
            <w:pPr>
              <w:jc w:val="center"/>
            </w:pPr>
            <w:r w:rsidRPr="00F207F5">
              <w:t>Nem ismert</w:t>
            </w:r>
          </w:p>
        </w:tc>
      </w:tr>
      <w:tr w:rsidR="00F207F5" w:rsidRPr="00F207F5" w14:paraId="72780AF1" w14:textId="77777777" w:rsidTr="007404EB">
        <w:trPr>
          <w:cantSplit/>
        </w:trPr>
        <w:tc>
          <w:tcPr>
            <w:tcW w:w="9080" w:type="dxa"/>
            <w:gridSpan w:val="4"/>
            <w:shd w:val="clear" w:color="auto" w:fill="auto"/>
            <w:vAlign w:val="bottom"/>
          </w:tcPr>
          <w:p w14:paraId="0D8640FE" w14:textId="33F210AC" w:rsidR="00F207F5" w:rsidRPr="00F207F5" w:rsidRDefault="00F207F5" w:rsidP="00F207F5">
            <w:pPr>
              <w:keepNext/>
              <w:rPr>
                <w:i/>
                <w:iCs/>
              </w:rPr>
            </w:pPr>
            <w:r w:rsidRPr="00F207F5">
              <w:rPr>
                <w:i/>
                <w:iCs/>
              </w:rPr>
              <w:t>Szembetegségek és szemészeti tünetek</w:t>
            </w:r>
          </w:p>
        </w:tc>
      </w:tr>
      <w:tr w:rsidR="007543BB" w:rsidRPr="00F207F5" w14:paraId="761C9D79" w14:textId="77777777" w:rsidTr="00C8605C">
        <w:trPr>
          <w:cantSplit/>
        </w:trPr>
        <w:tc>
          <w:tcPr>
            <w:tcW w:w="3062" w:type="dxa"/>
            <w:shd w:val="clear" w:color="auto" w:fill="auto"/>
            <w:vAlign w:val="bottom"/>
          </w:tcPr>
          <w:p w14:paraId="0248A203" w14:textId="77777777" w:rsidR="007543BB" w:rsidRPr="00F207F5" w:rsidRDefault="002D677C" w:rsidP="00F207F5">
            <w:r w:rsidRPr="00F207F5">
              <w:t>Szemvérzés (beleértve a conjunctivális vérzést is)</w:t>
            </w:r>
          </w:p>
        </w:tc>
        <w:tc>
          <w:tcPr>
            <w:tcW w:w="2155" w:type="dxa"/>
            <w:shd w:val="clear" w:color="auto" w:fill="auto"/>
          </w:tcPr>
          <w:p w14:paraId="377BF447" w14:textId="77777777" w:rsidR="007543BB" w:rsidRPr="00F207F5" w:rsidRDefault="002D677C" w:rsidP="00C8605C">
            <w:pPr>
              <w:jc w:val="center"/>
            </w:pPr>
            <w:r w:rsidRPr="00F207F5">
              <w:t>Gyakori</w:t>
            </w:r>
          </w:p>
        </w:tc>
        <w:tc>
          <w:tcPr>
            <w:tcW w:w="1987" w:type="dxa"/>
            <w:shd w:val="clear" w:color="auto" w:fill="auto"/>
          </w:tcPr>
          <w:p w14:paraId="29572190" w14:textId="77777777" w:rsidR="007543BB" w:rsidRPr="00F207F5" w:rsidRDefault="002D677C" w:rsidP="00C8605C">
            <w:pPr>
              <w:jc w:val="center"/>
            </w:pPr>
            <w:r w:rsidRPr="00F207F5">
              <w:t>Nem gyakori</w:t>
            </w:r>
          </w:p>
        </w:tc>
        <w:tc>
          <w:tcPr>
            <w:tcW w:w="1876" w:type="dxa"/>
            <w:shd w:val="clear" w:color="auto" w:fill="auto"/>
          </w:tcPr>
          <w:p w14:paraId="0EAF4CA9" w14:textId="77777777" w:rsidR="007543BB" w:rsidRPr="00F207F5" w:rsidRDefault="002D677C" w:rsidP="00C8605C">
            <w:pPr>
              <w:jc w:val="center"/>
            </w:pPr>
            <w:r w:rsidRPr="00F207F5">
              <w:t>Nem ismert</w:t>
            </w:r>
          </w:p>
        </w:tc>
      </w:tr>
      <w:tr w:rsidR="00F207F5" w:rsidRPr="00F207F5" w14:paraId="45ED40F8" w14:textId="77777777" w:rsidTr="007404EB">
        <w:trPr>
          <w:cantSplit/>
        </w:trPr>
        <w:tc>
          <w:tcPr>
            <w:tcW w:w="9080" w:type="dxa"/>
            <w:gridSpan w:val="4"/>
            <w:shd w:val="clear" w:color="auto" w:fill="auto"/>
            <w:vAlign w:val="bottom"/>
          </w:tcPr>
          <w:p w14:paraId="4856D319" w14:textId="1AA8233B" w:rsidR="00F207F5" w:rsidRPr="00F207F5" w:rsidRDefault="00F207F5" w:rsidP="00F207F5">
            <w:pPr>
              <w:keepNext/>
              <w:rPr>
                <w:i/>
                <w:iCs/>
              </w:rPr>
            </w:pPr>
            <w:r w:rsidRPr="00F207F5">
              <w:rPr>
                <w:i/>
                <w:iCs/>
              </w:rPr>
              <w:t>Érbetegségek és tünetek</w:t>
            </w:r>
          </w:p>
        </w:tc>
      </w:tr>
      <w:tr w:rsidR="007543BB" w:rsidRPr="00F207F5" w14:paraId="28F11B41" w14:textId="77777777" w:rsidTr="00C8605C">
        <w:trPr>
          <w:cantSplit/>
        </w:trPr>
        <w:tc>
          <w:tcPr>
            <w:tcW w:w="3062" w:type="dxa"/>
            <w:shd w:val="clear" w:color="auto" w:fill="auto"/>
            <w:vAlign w:val="bottom"/>
          </w:tcPr>
          <w:p w14:paraId="39E25099" w14:textId="77777777" w:rsidR="007543BB" w:rsidRPr="00F207F5" w:rsidRDefault="002D677C" w:rsidP="00F207F5">
            <w:pPr>
              <w:keepNext/>
            </w:pPr>
            <w:r w:rsidRPr="00F207F5">
              <w:t>Vérzés, haematoma</w:t>
            </w:r>
          </w:p>
        </w:tc>
        <w:tc>
          <w:tcPr>
            <w:tcW w:w="2155" w:type="dxa"/>
            <w:shd w:val="clear" w:color="auto" w:fill="auto"/>
          </w:tcPr>
          <w:p w14:paraId="3A3AC3A4" w14:textId="77777777" w:rsidR="007543BB" w:rsidRPr="00F207F5" w:rsidRDefault="002D677C" w:rsidP="00C8605C">
            <w:pPr>
              <w:keepNext/>
              <w:jc w:val="center"/>
            </w:pPr>
            <w:r w:rsidRPr="00F207F5">
              <w:t>Gyakori</w:t>
            </w:r>
          </w:p>
        </w:tc>
        <w:tc>
          <w:tcPr>
            <w:tcW w:w="1987" w:type="dxa"/>
            <w:shd w:val="clear" w:color="auto" w:fill="auto"/>
          </w:tcPr>
          <w:p w14:paraId="7B703E0C" w14:textId="77777777" w:rsidR="007543BB" w:rsidRPr="00F207F5" w:rsidRDefault="002D677C" w:rsidP="00C8605C">
            <w:pPr>
              <w:keepNext/>
              <w:jc w:val="center"/>
            </w:pPr>
            <w:r w:rsidRPr="00F207F5">
              <w:t>Gyakori</w:t>
            </w:r>
          </w:p>
        </w:tc>
        <w:tc>
          <w:tcPr>
            <w:tcW w:w="1876" w:type="dxa"/>
            <w:shd w:val="clear" w:color="auto" w:fill="auto"/>
          </w:tcPr>
          <w:p w14:paraId="1C09398A" w14:textId="77777777" w:rsidR="007543BB" w:rsidRPr="00F207F5" w:rsidRDefault="002D677C" w:rsidP="00C8605C">
            <w:pPr>
              <w:keepNext/>
              <w:jc w:val="center"/>
            </w:pPr>
            <w:r w:rsidRPr="00F207F5">
              <w:t>Gyakori</w:t>
            </w:r>
          </w:p>
        </w:tc>
      </w:tr>
      <w:tr w:rsidR="007543BB" w:rsidRPr="00F207F5" w14:paraId="53F4A7A0" w14:textId="77777777" w:rsidTr="00C8605C">
        <w:trPr>
          <w:cantSplit/>
        </w:trPr>
        <w:tc>
          <w:tcPr>
            <w:tcW w:w="3062" w:type="dxa"/>
            <w:shd w:val="clear" w:color="auto" w:fill="auto"/>
            <w:vAlign w:val="bottom"/>
          </w:tcPr>
          <w:p w14:paraId="44AF6853" w14:textId="77777777" w:rsidR="007543BB" w:rsidRPr="00F207F5" w:rsidRDefault="002D677C" w:rsidP="00F207F5">
            <w:pPr>
              <w:keepNext/>
            </w:pPr>
            <w:r w:rsidRPr="00F207F5">
              <w:t>Hypotonia (beleértve a beavatkozás okozta hypotensiót is)</w:t>
            </w:r>
          </w:p>
        </w:tc>
        <w:tc>
          <w:tcPr>
            <w:tcW w:w="2155" w:type="dxa"/>
            <w:shd w:val="clear" w:color="auto" w:fill="auto"/>
          </w:tcPr>
          <w:p w14:paraId="18421E95" w14:textId="77777777" w:rsidR="007543BB" w:rsidRPr="00F207F5" w:rsidRDefault="002D677C" w:rsidP="00C8605C">
            <w:pPr>
              <w:keepNext/>
              <w:jc w:val="center"/>
            </w:pPr>
            <w:r w:rsidRPr="00F207F5">
              <w:t>Gyakori</w:t>
            </w:r>
          </w:p>
        </w:tc>
        <w:tc>
          <w:tcPr>
            <w:tcW w:w="1987" w:type="dxa"/>
            <w:shd w:val="clear" w:color="auto" w:fill="auto"/>
          </w:tcPr>
          <w:p w14:paraId="3B9BF938" w14:textId="77777777" w:rsidR="007543BB" w:rsidRPr="00F207F5" w:rsidRDefault="002D677C" w:rsidP="00C8605C">
            <w:pPr>
              <w:keepNext/>
              <w:jc w:val="center"/>
            </w:pPr>
            <w:r w:rsidRPr="00F207F5">
              <w:t>Nem gyakori</w:t>
            </w:r>
          </w:p>
        </w:tc>
        <w:tc>
          <w:tcPr>
            <w:tcW w:w="1876" w:type="dxa"/>
            <w:shd w:val="clear" w:color="auto" w:fill="auto"/>
          </w:tcPr>
          <w:p w14:paraId="69B4B0EF" w14:textId="77777777" w:rsidR="007543BB" w:rsidRPr="00F207F5" w:rsidRDefault="002D677C" w:rsidP="00C8605C">
            <w:pPr>
              <w:keepNext/>
              <w:jc w:val="center"/>
            </w:pPr>
            <w:r w:rsidRPr="00F207F5">
              <w:t>Gyakori</w:t>
            </w:r>
          </w:p>
        </w:tc>
      </w:tr>
      <w:tr w:rsidR="007543BB" w:rsidRPr="00F207F5" w14:paraId="4B9806FC" w14:textId="77777777" w:rsidTr="00C8605C">
        <w:trPr>
          <w:cantSplit/>
        </w:trPr>
        <w:tc>
          <w:tcPr>
            <w:tcW w:w="3062" w:type="dxa"/>
            <w:shd w:val="clear" w:color="auto" w:fill="auto"/>
            <w:vAlign w:val="bottom"/>
          </w:tcPr>
          <w:p w14:paraId="6BCF870E" w14:textId="77777777" w:rsidR="007543BB" w:rsidRPr="00F207F5" w:rsidRDefault="002D677C" w:rsidP="00F207F5">
            <w:r w:rsidRPr="00F207F5">
              <w:t>Intraabdominalis vérzés</w:t>
            </w:r>
          </w:p>
        </w:tc>
        <w:tc>
          <w:tcPr>
            <w:tcW w:w="2155" w:type="dxa"/>
            <w:shd w:val="clear" w:color="auto" w:fill="auto"/>
          </w:tcPr>
          <w:p w14:paraId="137D0D70" w14:textId="77777777" w:rsidR="007543BB" w:rsidRPr="00F207F5" w:rsidRDefault="002D677C" w:rsidP="00C8605C">
            <w:pPr>
              <w:jc w:val="center"/>
            </w:pPr>
            <w:r w:rsidRPr="00F207F5">
              <w:t>Nem gyakori</w:t>
            </w:r>
          </w:p>
        </w:tc>
        <w:tc>
          <w:tcPr>
            <w:tcW w:w="1987" w:type="dxa"/>
            <w:shd w:val="clear" w:color="auto" w:fill="auto"/>
          </w:tcPr>
          <w:p w14:paraId="3F794426" w14:textId="77777777" w:rsidR="007543BB" w:rsidRPr="00F207F5" w:rsidRDefault="002D677C" w:rsidP="00C8605C">
            <w:pPr>
              <w:jc w:val="center"/>
            </w:pPr>
            <w:r w:rsidRPr="00F207F5">
              <w:t>Nem ismert</w:t>
            </w:r>
          </w:p>
        </w:tc>
        <w:tc>
          <w:tcPr>
            <w:tcW w:w="1876" w:type="dxa"/>
            <w:shd w:val="clear" w:color="auto" w:fill="auto"/>
          </w:tcPr>
          <w:p w14:paraId="2A384411" w14:textId="77777777" w:rsidR="007543BB" w:rsidRPr="00F207F5" w:rsidRDefault="002D677C" w:rsidP="00C8605C">
            <w:pPr>
              <w:jc w:val="center"/>
            </w:pPr>
            <w:r w:rsidRPr="00F207F5">
              <w:t>Nem ismert</w:t>
            </w:r>
          </w:p>
        </w:tc>
      </w:tr>
      <w:tr w:rsidR="00F207F5" w:rsidRPr="00F207F5" w14:paraId="18E3783E" w14:textId="77777777" w:rsidTr="007404EB">
        <w:trPr>
          <w:cantSplit/>
        </w:trPr>
        <w:tc>
          <w:tcPr>
            <w:tcW w:w="9080" w:type="dxa"/>
            <w:gridSpan w:val="4"/>
            <w:shd w:val="clear" w:color="auto" w:fill="auto"/>
            <w:vAlign w:val="bottom"/>
          </w:tcPr>
          <w:p w14:paraId="000D4A2E" w14:textId="4B67A892" w:rsidR="00F207F5" w:rsidRPr="00F207F5" w:rsidRDefault="00F207F5" w:rsidP="00F207F5">
            <w:pPr>
              <w:keepNext/>
              <w:rPr>
                <w:i/>
                <w:iCs/>
              </w:rPr>
            </w:pPr>
            <w:r w:rsidRPr="00F207F5">
              <w:rPr>
                <w:i/>
                <w:iCs/>
              </w:rPr>
              <w:t>Légzőrendszeri, mellkasi és mediastinalis betegségek és tünetek</w:t>
            </w:r>
          </w:p>
        </w:tc>
      </w:tr>
      <w:tr w:rsidR="007543BB" w:rsidRPr="00F207F5" w14:paraId="356F065B" w14:textId="77777777" w:rsidTr="00C8605C">
        <w:trPr>
          <w:cantSplit/>
        </w:trPr>
        <w:tc>
          <w:tcPr>
            <w:tcW w:w="3062" w:type="dxa"/>
            <w:shd w:val="clear" w:color="auto" w:fill="auto"/>
            <w:vAlign w:val="bottom"/>
          </w:tcPr>
          <w:p w14:paraId="69889879" w14:textId="77777777" w:rsidR="007543BB" w:rsidRPr="00F207F5" w:rsidRDefault="002D677C" w:rsidP="00F207F5">
            <w:pPr>
              <w:keepNext/>
            </w:pPr>
            <w:r w:rsidRPr="00F207F5">
              <w:t>Epistaxis</w:t>
            </w:r>
          </w:p>
        </w:tc>
        <w:tc>
          <w:tcPr>
            <w:tcW w:w="2155" w:type="dxa"/>
            <w:shd w:val="clear" w:color="auto" w:fill="auto"/>
          </w:tcPr>
          <w:p w14:paraId="384E3910" w14:textId="77777777" w:rsidR="007543BB" w:rsidRPr="00F207F5" w:rsidRDefault="002D677C" w:rsidP="00C8605C">
            <w:pPr>
              <w:keepNext/>
              <w:jc w:val="center"/>
            </w:pPr>
            <w:r w:rsidRPr="00F207F5">
              <w:t>Gyakori</w:t>
            </w:r>
          </w:p>
        </w:tc>
        <w:tc>
          <w:tcPr>
            <w:tcW w:w="1987" w:type="dxa"/>
            <w:shd w:val="clear" w:color="auto" w:fill="auto"/>
          </w:tcPr>
          <w:p w14:paraId="2BEFD9AE" w14:textId="77777777" w:rsidR="007543BB" w:rsidRPr="00F207F5" w:rsidRDefault="002D677C" w:rsidP="00C8605C">
            <w:pPr>
              <w:keepNext/>
              <w:jc w:val="center"/>
            </w:pPr>
            <w:r w:rsidRPr="00F207F5">
              <w:t>Gyakori</w:t>
            </w:r>
          </w:p>
        </w:tc>
        <w:tc>
          <w:tcPr>
            <w:tcW w:w="1876" w:type="dxa"/>
            <w:shd w:val="clear" w:color="auto" w:fill="auto"/>
          </w:tcPr>
          <w:p w14:paraId="2B7EAAE6" w14:textId="77777777" w:rsidR="007543BB" w:rsidRPr="00F207F5" w:rsidRDefault="002D677C" w:rsidP="00C8605C">
            <w:pPr>
              <w:keepNext/>
              <w:jc w:val="center"/>
            </w:pPr>
            <w:r w:rsidRPr="00F207F5">
              <w:t>Nagyon gyakori</w:t>
            </w:r>
          </w:p>
        </w:tc>
      </w:tr>
      <w:tr w:rsidR="007543BB" w:rsidRPr="00F207F5" w14:paraId="73DA05AD" w14:textId="77777777" w:rsidTr="00C8605C">
        <w:trPr>
          <w:cantSplit/>
        </w:trPr>
        <w:tc>
          <w:tcPr>
            <w:tcW w:w="3062" w:type="dxa"/>
            <w:shd w:val="clear" w:color="auto" w:fill="auto"/>
            <w:vAlign w:val="bottom"/>
          </w:tcPr>
          <w:p w14:paraId="7F53B1DD" w14:textId="77777777" w:rsidR="007543BB" w:rsidRPr="00F207F5" w:rsidRDefault="002D677C" w:rsidP="00F207F5">
            <w:pPr>
              <w:keepNext/>
            </w:pPr>
            <w:r w:rsidRPr="00F207F5">
              <w:t>Haemoptoe</w:t>
            </w:r>
          </w:p>
        </w:tc>
        <w:tc>
          <w:tcPr>
            <w:tcW w:w="2155" w:type="dxa"/>
            <w:shd w:val="clear" w:color="auto" w:fill="auto"/>
          </w:tcPr>
          <w:p w14:paraId="48DB5F33" w14:textId="77777777" w:rsidR="007543BB" w:rsidRPr="00F207F5" w:rsidRDefault="002D677C" w:rsidP="00C8605C">
            <w:pPr>
              <w:keepNext/>
              <w:jc w:val="center"/>
            </w:pPr>
            <w:r w:rsidRPr="00F207F5">
              <w:t>Nem gyakori</w:t>
            </w:r>
          </w:p>
        </w:tc>
        <w:tc>
          <w:tcPr>
            <w:tcW w:w="1987" w:type="dxa"/>
            <w:shd w:val="clear" w:color="auto" w:fill="auto"/>
          </w:tcPr>
          <w:p w14:paraId="22E0015E" w14:textId="77777777" w:rsidR="007543BB" w:rsidRPr="00F207F5" w:rsidRDefault="002D677C" w:rsidP="00C8605C">
            <w:pPr>
              <w:keepNext/>
              <w:jc w:val="center"/>
            </w:pPr>
            <w:r w:rsidRPr="00F207F5">
              <w:t>Nem gyakori</w:t>
            </w:r>
          </w:p>
        </w:tc>
        <w:tc>
          <w:tcPr>
            <w:tcW w:w="1876" w:type="dxa"/>
            <w:shd w:val="clear" w:color="auto" w:fill="auto"/>
          </w:tcPr>
          <w:p w14:paraId="06A144D3" w14:textId="77777777" w:rsidR="007543BB" w:rsidRPr="00F207F5" w:rsidRDefault="002D677C" w:rsidP="00C8605C">
            <w:pPr>
              <w:keepNext/>
              <w:jc w:val="center"/>
            </w:pPr>
            <w:r w:rsidRPr="00F207F5">
              <w:t>Nem ismert</w:t>
            </w:r>
          </w:p>
        </w:tc>
      </w:tr>
      <w:tr w:rsidR="007543BB" w:rsidRPr="00F207F5" w14:paraId="13BC4C32" w14:textId="77777777" w:rsidTr="00C8605C">
        <w:trPr>
          <w:cantSplit/>
        </w:trPr>
        <w:tc>
          <w:tcPr>
            <w:tcW w:w="3062" w:type="dxa"/>
            <w:shd w:val="clear" w:color="auto" w:fill="auto"/>
            <w:vAlign w:val="bottom"/>
          </w:tcPr>
          <w:p w14:paraId="0E18B270" w14:textId="77777777" w:rsidR="007543BB" w:rsidRPr="00F207F5" w:rsidRDefault="002D677C" w:rsidP="00F207F5">
            <w:r w:rsidRPr="00F207F5">
              <w:t>Légúti vérzés</w:t>
            </w:r>
          </w:p>
        </w:tc>
        <w:tc>
          <w:tcPr>
            <w:tcW w:w="2155" w:type="dxa"/>
            <w:shd w:val="clear" w:color="auto" w:fill="auto"/>
          </w:tcPr>
          <w:p w14:paraId="64823E70" w14:textId="77777777" w:rsidR="007543BB" w:rsidRPr="00F207F5" w:rsidRDefault="002D677C" w:rsidP="00C8605C">
            <w:pPr>
              <w:jc w:val="center"/>
            </w:pPr>
            <w:r w:rsidRPr="00F207F5">
              <w:t>Ritka</w:t>
            </w:r>
          </w:p>
        </w:tc>
        <w:tc>
          <w:tcPr>
            <w:tcW w:w="1987" w:type="dxa"/>
            <w:shd w:val="clear" w:color="auto" w:fill="auto"/>
          </w:tcPr>
          <w:p w14:paraId="73A24106" w14:textId="77777777" w:rsidR="007543BB" w:rsidRPr="00F207F5" w:rsidRDefault="002D677C" w:rsidP="00C8605C">
            <w:pPr>
              <w:jc w:val="center"/>
            </w:pPr>
            <w:r w:rsidRPr="00F207F5">
              <w:t>Ritka</w:t>
            </w:r>
          </w:p>
        </w:tc>
        <w:tc>
          <w:tcPr>
            <w:tcW w:w="1876" w:type="dxa"/>
            <w:shd w:val="clear" w:color="auto" w:fill="auto"/>
          </w:tcPr>
          <w:p w14:paraId="32A58A6D" w14:textId="77777777" w:rsidR="007543BB" w:rsidRPr="00F207F5" w:rsidRDefault="002D677C" w:rsidP="00C8605C">
            <w:pPr>
              <w:jc w:val="center"/>
            </w:pPr>
            <w:r w:rsidRPr="00F207F5">
              <w:t>Nem ismert</w:t>
            </w:r>
          </w:p>
        </w:tc>
      </w:tr>
      <w:tr w:rsidR="00F207F5" w:rsidRPr="00F207F5" w14:paraId="17DBF74F" w14:textId="77777777" w:rsidTr="007404EB">
        <w:trPr>
          <w:cantSplit/>
        </w:trPr>
        <w:tc>
          <w:tcPr>
            <w:tcW w:w="9080" w:type="dxa"/>
            <w:gridSpan w:val="4"/>
            <w:shd w:val="clear" w:color="auto" w:fill="auto"/>
            <w:vAlign w:val="bottom"/>
          </w:tcPr>
          <w:p w14:paraId="50EC6498" w14:textId="412F7310" w:rsidR="00F207F5" w:rsidRPr="00F207F5" w:rsidRDefault="00F207F5" w:rsidP="00F207F5">
            <w:pPr>
              <w:keepNext/>
              <w:rPr>
                <w:i/>
                <w:iCs/>
              </w:rPr>
            </w:pPr>
            <w:r w:rsidRPr="00F207F5">
              <w:rPr>
                <w:i/>
                <w:iCs/>
              </w:rPr>
              <w:t>Emésztőrendszeri betegségek és tünetek</w:t>
            </w:r>
          </w:p>
        </w:tc>
      </w:tr>
      <w:tr w:rsidR="007543BB" w:rsidRPr="00F207F5" w14:paraId="45692FFA" w14:textId="77777777" w:rsidTr="00C8605C">
        <w:trPr>
          <w:cantSplit/>
        </w:trPr>
        <w:tc>
          <w:tcPr>
            <w:tcW w:w="3062" w:type="dxa"/>
            <w:shd w:val="clear" w:color="auto" w:fill="auto"/>
            <w:vAlign w:val="bottom"/>
          </w:tcPr>
          <w:p w14:paraId="6CAB4E3D" w14:textId="77777777" w:rsidR="007543BB" w:rsidRPr="00F207F5" w:rsidRDefault="002D677C" w:rsidP="00C8605C">
            <w:pPr>
              <w:keepNext/>
            </w:pPr>
            <w:r w:rsidRPr="00F207F5">
              <w:t>Hányinger</w:t>
            </w:r>
          </w:p>
        </w:tc>
        <w:tc>
          <w:tcPr>
            <w:tcW w:w="2155" w:type="dxa"/>
            <w:shd w:val="clear" w:color="auto" w:fill="auto"/>
          </w:tcPr>
          <w:p w14:paraId="02E57160" w14:textId="77777777" w:rsidR="007543BB" w:rsidRPr="00F207F5" w:rsidRDefault="002D677C" w:rsidP="00C8605C">
            <w:pPr>
              <w:keepNext/>
              <w:jc w:val="center"/>
            </w:pPr>
            <w:r w:rsidRPr="00F207F5">
              <w:t>Gyakori</w:t>
            </w:r>
          </w:p>
        </w:tc>
        <w:tc>
          <w:tcPr>
            <w:tcW w:w="1987" w:type="dxa"/>
            <w:shd w:val="clear" w:color="auto" w:fill="auto"/>
          </w:tcPr>
          <w:p w14:paraId="373B230D" w14:textId="77777777" w:rsidR="007543BB" w:rsidRPr="00F207F5" w:rsidRDefault="002D677C" w:rsidP="00C8605C">
            <w:pPr>
              <w:keepNext/>
              <w:jc w:val="center"/>
            </w:pPr>
            <w:r w:rsidRPr="00F207F5">
              <w:t>Gyakori</w:t>
            </w:r>
          </w:p>
        </w:tc>
        <w:tc>
          <w:tcPr>
            <w:tcW w:w="1876" w:type="dxa"/>
            <w:shd w:val="clear" w:color="auto" w:fill="auto"/>
          </w:tcPr>
          <w:p w14:paraId="72BC85E2" w14:textId="77777777" w:rsidR="007543BB" w:rsidRPr="00F207F5" w:rsidRDefault="002D677C" w:rsidP="00C8605C">
            <w:pPr>
              <w:keepNext/>
              <w:jc w:val="center"/>
            </w:pPr>
            <w:r w:rsidRPr="00F207F5">
              <w:t>Gyakori</w:t>
            </w:r>
          </w:p>
        </w:tc>
      </w:tr>
      <w:tr w:rsidR="007543BB" w:rsidRPr="00F207F5" w14:paraId="3BA33628" w14:textId="77777777" w:rsidTr="00C8605C">
        <w:trPr>
          <w:cantSplit/>
        </w:trPr>
        <w:tc>
          <w:tcPr>
            <w:tcW w:w="3062" w:type="dxa"/>
            <w:shd w:val="clear" w:color="auto" w:fill="auto"/>
            <w:vAlign w:val="bottom"/>
          </w:tcPr>
          <w:p w14:paraId="6F6273D7" w14:textId="77777777" w:rsidR="007543BB" w:rsidRPr="00F207F5" w:rsidRDefault="002D677C" w:rsidP="00C8605C">
            <w:pPr>
              <w:keepNext/>
            </w:pPr>
            <w:r w:rsidRPr="00F207F5">
              <w:t>Gastrointestinalis vérzés</w:t>
            </w:r>
          </w:p>
        </w:tc>
        <w:tc>
          <w:tcPr>
            <w:tcW w:w="2155" w:type="dxa"/>
            <w:shd w:val="clear" w:color="auto" w:fill="auto"/>
          </w:tcPr>
          <w:p w14:paraId="2F030022" w14:textId="77777777" w:rsidR="007543BB" w:rsidRPr="00F207F5" w:rsidRDefault="002D677C" w:rsidP="00C8605C">
            <w:pPr>
              <w:keepNext/>
              <w:jc w:val="center"/>
            </w:pPr>
            <w:r w:rsidRPr="00F207F5">
              <w:t>Gyakori</w:t>
            </w:r>
          </w:p>
        </w:tc>
        <w:tc>
          <w:tcPr>
            <w:tcW w:w="1987" w:type="dxa"/>
            <w:shd w:val="clear" w:color="auto" w:fill="auto"/>
          </w:tcPr>
          <w:p w14:paraId="2128EA1A" w14:textId="77777777" w:rsidR="007543BB" w:rsidRPr="00F207F5" w:rsidRDefault="002D677C" w:rsidP="00C8605C">
            <w:pPr>
              <w:keepNext/>
              <w:jc w:val="center"/>
            </w:pPr>
            <w:r w:rsidRPr="00F207F5">
              <w:t>Gyakori</w:t>
            </w:r>
          </w:p>
        </w:tc>
        <w:tc>
          <w:tcPr>
            <w:tcW w:w="1876" w:type="dxa"/>
            <w:shd w:val="clear" w:color="auto" w:fill="auto"/>
          </w:tcPr>
          <w:p w14:paraId="39A9A171" w14:textId="77777777" w:rsidR="007543BB" w:rsidRPr="00F207F5" w:rsidRDefault="002D677C" w:rsidP="00C8605C">
            <w:pPr>
              <w:keepNext/>
              <w:jc w:val="center"/>
            </w:pPr>
            <w:r w:rsidRPr="00F207F5">
              <w:t>Nem ismert</w:t>
            </w:r>
          </w:p>
        </w:tc>
      </w:tr>
      <w:tr w:rsidR="007543BB" w:rsidRPr="00F207F5" w14:paraId="6A32A09E" w14:textId="77777777" w:rsidTr="00C8605C">
        <w:trPr>
          <w:cantSplit/>
        </w:trPr>
        <w:tc>
          <w:tcPr>
            <w:tcW w:w="3062" w:type="dxa"/>
            <w:shd w:val="clear" w:color="auto" w:fill="auto"/>
            <w:vAlign w:val="bottom"/>
          </w:tcPr>
          <w:p w14:paraId="7F6168A8" w14:textId="77777777" w:rsidR="007543BB" w:rsidRPr="00F207F5" w:rsidRDefault="002D677C" w:rsidP="00C8605C">
            <w:pPr>
              <w:keepNext/>
            </w:pPr>
            <w:r w:rsidRPr="00F207F5">
              <w:t>Aranyeres vérzés</w:t>
            </w:r>
          </w:p>
        </w:tc>
        <w:tc>
          <w:tcPr>
            <w:tcW w:w="2155" w:type="dxa"/>
            <w:shd w:val="clear" w:color="auto" w:fill="auto"/>
          </w:tcPr>
          <w:p w14:paraId="56F8E3D9" w14:textId="77777777" w:rsidR="007543BB" w:rsidRPr="00F207F5" w:rsidRDefault="002D677C" w:rsidP="00C8605C">
            <w:pPr>
              <w:keepNext/>
              <w:jc w:val="center"/>
            </w:pPr>
            <w:r w:rsidRPr="00F207F5">
              <w:t>Nem gyakori</w:t>
            </w:r>
          </w:p>
        </w:tc>
        <w:tc>
          <w:tcPr>
            <w:tcW w:w="1987" w:type="dxa"/>
            <w:shd w:val="clear" w:color="auto" w:fill="auto"/>
          </w:tcPr>
          <w:p w14:paraId="2549EE8D" w14:textId="77777777" w:rsidR="007543BB" w:rsidRPr="00F207F5" w:rsidRDefault="002D677C" w:rsidP="00C8605C">
            <w:pPr>
              <w:keepNext/>
              <w:jc w:val="center"/>
            </w:pPr>
            <w:r w:rsidRPr="00F207F5">
              <w:t>Nem gyakori</w:t>
            </w:r>
          </w:p>
        </w:tc>
        <w:tc>
          <w:tcPr>
            <w:tcW w:w="1876" w:type="dxa"/>
            <w:shd w:val="clear" w:color="auto" w:fill="auto"/>
          </w:tcPr>
          <w:p w14:paraId="20514E39" w14:textId="77777777" w:rsidR="007543BB" w:rsidRPr="00F207F5" w:rsidRDefault="002D677C" w:rsidP="00C8605C">
            <w:pPr>
              <w:keepNext/>
              <w:jc w:val="center"/>
            </w:pPr>
            <w:r w:rsidRPr="00F207F5">
              <w:t>Nem ismert</w:t>
            </w:r>
          </w:p>
        </w:tc>
      </w:tr>
      <w:tr w:rsidR="007543BB" w:rsidRPr="00F207F5" w14:paraId="4E0EB0F6" w14:textId="77777777" w:rsidTr="00C8605C">
        <w:trPr>
          <w:cantSplit/>
        </w:trPr>
        <w:tc>
          <w:tcPr>
            <w:tcW w:w="3062" w:type="dxa"/>
            <w:shd w:val="clear" w:color="auto" w:fill="auto"/>
            <w:vAlign w:val="bottom"/>
          </w:tcPr>
          <w:p w14:paraId="767AF792" w14:textId="77777777" w:rsidR="007543BB" w:rsidRPr="00F207F5" w:rsidRDefault="002D677C" w:rsidP="00C8605C">
            <w:pPr>
              <w:keepNext/>
            </w:pPr>
            <w:r w:rsidRPr="00F207F5">
              <w:t>Szájüregi vérzés</w:t>
            </w:r>
          </w:p>
        </w:tc>
        <w:tc>
          <w:tcPr>
            <w:tcW w:w="2155" w:type="dxa"/>
            <w:shd w:val="clear" w:color="auto" w:fill="auto"/>
          </w:tcPr>
          <w:p w14:paraId="6678804B" w14:textId="77777777" w:rsidR="007543BB" w:rsidRPr="00F207F5" w:rsidRDefault="002D677C" w:rsidP="00C8605C">
            <w:pPr>
              <w:keepNext/>
              <w:jc w:val="center"/>
            </w:pPr>
            <w:r w:rsidRPr="00F207F5">
              <w:t>Nem gyakori</w:t>
            </w:r>
          </w:p>
        </w:tc>
        <w:tc>
          <w:tcPr>
            <w:tcW w:w="1987" w:type="dxa"/>
            <w:shd w:val="clear" w:color="auto" w:fill="auto"/>
          </w:tcPr>
          <w:p w14:paraId="37DE9896" w14:textId="77777777" w:rsidR="007543BB" w:rsidRPr="00F207F5" w:rsidRDefault="002D677C" w:rsidP="00C8605C">
            <w:pPr>
              <w:keepNext/>
              <w:jc w:val="center"/>
            </w:pPr>
            <w:r w:rsidRPr="00F207F5">
              <w:t>Gyakori</w:t>
            </w:r>
          </w:p>
        </w:tc>
        <w:tc>
          <w:tcPr>
            <w:tcW w:w="1876" w:type="dxa"/>
            <w:shd w:val="clear" w:color="auto" w:fill="auto"/>
          </w:tcPr>
          <w:p w14:paraId="71907613" w14:textId="77777777" w:rsidR="007543BB" w:rsidRPr="00F207F5" w:rsidRDefault="002D677C" w:rsidP="00C8605C">
            <w:pPr>
              <w:keepNext/>
              <w:jc w:val="center"/>
            </w:pPr>
            <w:r w:rsidRPr="00F207F5">
              <w:t>Nem ismert</w:t>
            </w:r>
          </w:p>
        </w:tc>
      </w:tr>
      <w:tr w:rsidR="007543BB" w:rsidRPr="00F207F5" w14:paraId="14ACB60B" w14:textId="77777777" w:rsidTr="00C8605C">
        <w:trPr>
          <w:cantSplit/>
        </w:trPr>
        <w:tc>
          <w:tcPr>
            <w:tcW w:w="3062" w:type="dxa"/>
            <w:shd w:val="clear" w:color="auto" w:fill="auto"/>
            <w:vAlign w:val="bottom"/>
          </w:tcPr>
          <w:p w14:paraId="24A7A329" w14:textId="77777777" w:rsidR="007543BB" w:rsidRPr="00F207F5" w:rsidRDefault="002D677C" w:rsidP="00C8605C">
            <w:pPr>
              <w:keepNext/>
            </w:pPr>
            <w:r w:rsidRPr="00F207F5">
              <w:t>Haematochezia</w:t>
            </w:r>
          </w:p>
        </w:tc>
        <w:tc>
          <w:tcPr>
            <w:tcW w:w="2155" w:type="dxa"/>
            <w:shd w:val="clear" w:color="auto" w:fill="auto"/>
          </w:tcPr>
          <w:p w14:paraId="4E2B34E9" w14:textId="77777777" w:rsidR="007543BB" w:rsidRPr="00F207F5" w:rsidRDefault="002D677C" w:rsidP="00C8605C">
            <w:pPr>
              <w:keepNext/>
              <w:jc w:val="center"/>
            </w:pPr>
            <w:r w:rsidRPr="00F207F5">
              <w:t>Nem gyakori</w:t>
            </w:r>
          </w:p>
        </w:tc>
        <w:tc>
          <w:tcPr>
            <w:tcW w:w="1987" w:type="dxa"/>
            <w:shd w:val="clear" w:color="auto" w:fill="auto"/>
          </w:tcPr>
          <w:p w14:paraId="6A99A064" w14:textId="77777777" w:rsidR="007543BB" w:rsidRPr="00F207F5" w:rsidRDefault="002D677C" w:rsidP="00C8605C">
            <w:pPr>
              <w:keepNext/>
              <w:jc w:val="center"/>
            </w:pPr>
            <w:r w:rsidRPr="00F207F5">
              <w:t>Nem gyakori</w:t>
            </w:r>
          </w:p>
        </w:tc>
        <w:tc>
          <w:tcPr>
            <w:tcW w:w="1876" w:type="dxa"/>
            <w:shd w:val="clear" w:color="auto" w:fill="auto"/>
          </w:tcPr>
          <w:p w14:paraId="22AAFCB0" w14:textId="77777777" w:rsidR="007543BB" w:rsidRPr="00F207F5" w:rsidRDefault="002D677C" w:rsidP="00C8605C">
            <w:pPr>
              <w:keepNext/>
              <w:jc w:val="center"/>
            </w:pPr>
            <w:r w:rsidRPr="00F207F5">
              <w:t>Gyakori</w:t>
            </w:r>
          </w:p>
        </w:tc>
      </w:tr>
      <w:tr w:rsidR="007543BB" w:rsidRPr="00F207F5" w14:paraId="72EC4FE1" w14:textId="77777777" w:rsidTr="00C8605C">
        <w:trPr>
          <w:cantSplit/>
        </w:trPr>
        <w:tc>
          <w:tcPr>
            <w:tcW w:w="3062" w:type="dxa"/>
            <w:shd w:val="clear" w:color="auto" w:fill="auto"/>
            <w:vAlign w:val="bottom"/>
          </w:tcPr>
          <w:p w14:paraId="40D09020" w14:textId="77777777" w:rsidR="007543BB" w:rsidRPr="00F207F5" w:rsidRDefault="002D677C" w:rsidP="00C8605C">
            <w:pPr>
              <w:keepNext/>
            </w:pPr>
            <w:r w:rsidRPr="00F207F5">
              <w:t>Rectalis vérzés, ínyvérzés</w:t>
            </w:r>
          </w:p>
        </w:tc>
        <w:tc>
          <w:tcPr>
            <w:tcW w:w="2155" w:type="dxa"/>
            <w:shd w:val="clear" w:color="auto" w:fill="auto"/>
          </w:tcPr>
          <w:p w14:paraId="1C35E415" w14:textId="77777777" w:rsidR="007543BB" w:rsidRPr="00F207F5" w:rsidRDefault="002D677C" w:rsidP="00C8605C">
            <w:pPr>
              <w:keepNext/>
              <w:jc w:val="center"/>
            </w:pPr>
            <w:r w:rsidRPr="00F207F5">
              <w:t>Gyakori</w:t>
            </w:r>
          </w:p>
        </w:tc>
        <w:tc>
          <w:tcPr>
            <w:tcW w:w="1987" w:type="dxa"/>
            <w:shd w:val="clear" w:color="auto" w:fill="auto"/>
          </w:tcPr>
          <w:p w14:paraId="5A7BC5E8" w14:textId="77777777" w:rsidR="007543BB" w:rsidRPr="00F207F5" w:rsidRDefault="002D677C" w:rsidP="00C8605C">
            <w:pPr>
              <w:keepNext/>
              <w:jc w:val="center"/>
            </w:pPr>
            <w:r w:rsidRPr="00F207F5">
              <w:t>Gyakori</w:t>
            </w:r>
          </w:p>
        </w:tc>
        <w:tc>
          <w:tcPr>
            <w:tcW w:w="1876" w:type="dxa"/>
            <w:shd w:val="clear" w:color="auto" w:fill="auto"/>
          </w:tcPr>
          <w:p w14:paraId="59642BAC" w14:textId="77777777" w:rsidR="007543BB" w:rsidRPr="00F207F5" w:rsidRDefault="002D677C" w:rsidP="00C8605C">
            <w:pPr>
              <w:keepNext/>
              <w:jc w:val="center"/>
            </w:pPr>
            <w:r w:rsidRPr="00F207F5">
              <w:t>Gyakori</w:t>
            </w:r>
          </w:p>
        </w:tc>
      </w:tr>
      <w:tr w:rsidR="007543BB" w:rsidRPr="00F207F5" w14:paraId="4FD80543" w14:textId="77777777" w:rsidTr="00C8605C">
        <w:trPr>
          <w:cantSplit/>
        </w:trPr>
        <w:tc>
          <w:tcPr>
            <w:tcW w:w="3062" w:type="dxa"/>
            <w:shd w:val="clear" w:color="auto" w:fill="auto"/>
            <w:vAlign w:val="bottom"/>
          </w:tcPr>
          <w:p w14:paraId="6EC1683E" w14:textId="77777777" w:rsidR="007543BB" w:rsidRPr="00F207F5" w:rsidRDefault="002D677C" w:rsidP="00F207F5">
            <w:r w:rsidRPr="00F207F5">
              <w:t>Retroperitonealis vérzés</w:t>
            </w:r>
          </w:p>
        </w:tc>
        <w:tc>
          <w:tcPr>
            <w:tcW w:w="2155" w:type="dxa"/>
            <w:shd w:val="clear" w:color="auto" w:fill="auto"/>
          </w:tcPr>
          <w:p w14:paraId="0CC8F5F5" w14:textId="77777777" w:rsidR="007543BB" w:rsidRPr="00F207F5" w:rsidRDefault="002D677C" w:rsidP="00C8605C">
            <w:pPr>
              <w:jc w:val="center"/>
            </w:pPr>
            <w:r w:rsidRPr="00F207F5">
              <w:t>Ritka</w:t>
            </w:r>
          </w:p>
        </w:tc>
        <w:tc>
          <w:tcPr>
            <w:tcW w:w="1987" w:type="dxa"/>
            <w:shd w:val="clear" w:color="auto" w:fill="auto"/>
          </w:tcPr>
          <w:p w14:paraId="14906CFB" w14:textId="77777777" w:rsidR="007543BB" w:rsidRPr="00F207F5" w:rsidRDefault="002D677C" w:rsidP="00C8605C">
            <w:pPr>
              <w:jc w:val="center"/>
            </w:pPr>
            <w:r w:rsidRPr="00F207F5">
              <w:t>Nem ismert</w:t>
            </w:r>
          </w:p>
        </w:tc>
        <w:tc>
          <w:tcPr>
            <w:tcW w:w="1876" w:type="dxa"/>
            <w:shd w:val="clear" w:color="auto" w:fill="auto"/>
          </w:tcPr>
          <w:p w14:paraId="03B19CC6" w14:textId="77777777" w:rsidR="007543BB" w:rsidRPr="00F207F5" w:rsidRDefault="002D677C" w:rsidP="00C8605C">
            <w:pPr>
              <w:jc w:val="center"/>
            </w:pPr>
            <w:r w:rsidRPr="00F207F5">
              <w:t>Nem ismert</w:t>
            </w:r>
          </w:p>
        </w:tc>
      </w:tr>
      <w:tr w:rsidR="00C8605C" w:rsidRPr="00C8605C" w14:paraId="66950401" w14:textId="77777777" w:rsidTr="007404EB">
        <w:trPr>
          <w:cantSplit/>
        </w:trPr>
        <w:tc>
          <w:tcPr>
            <w:tcW w:w="9080" w:type="dxa"/>
            <w:gridSpan w:val="4"/>
            <w:shd w:val="clear" w:color="auto" w:fill="auto"/>
            <w:vAlign w:val="bottom"/>
          </w:tcPr>
          <w:p w14:paraId="3EEB5E7F" w14:textId="7D975A88" w:rsidR="00C8605C" w:rsidRPr="00C8605C" w:rsidRDefault="00C8605C" w:rsidP="00C8605C">
            <w:pPr>
              <w:keepNext/>
              <w:rPr>
                <w:i/>
                <w:iCs/>
              </w:rPr>
            </w:pPr>
            <w:r w:rsidRPr="00C8605C">
              <w:rPr>
                <w:i/>
                <w:iCs/>
              </w:rPr>
              <w:t>Máj- és epebetegségek, illetve tünetek</w:t>
            </w:r>
          </w:p>
        </w:tc>
      </w:tr>
      <w:tr w:rsidR="007543BB" w:rsidRPr="00F207F5" w14:paraId="2FF01569" w14:textId="77777777" w:rsidTr="00C8605C">
        <w:trPr>
          <w:cantSplit/>
        </w:trPr>
        <w:tc>
          <w:tcPr>
            <w:tcW w:w="3062" w:type="dxa"/>
            <w:shd w:val="clear" w:color="auto" w:fill="auto"/>
            <w:vAlign w:val="center"/>
          </w:tcPr>
          <w:p w14:paraId="7DC77A58" w14:textId="669C5FE7" w:rsidR="007543BB" w:rsidRPr="00F207F5" w:rsidRDefault="002D677C" w:rsidP="00C8605C">
            <w:pPr>
              <w:keepNext/>
            </w:pPr>
            <w:r w:rsidRPr="00F207F5">
              <w:t>Kóros májfunkciós vizsgálati eredmények, emelkedett glutamát-oxálacetát-transzaminázszint, emelkedett szérum-alkalikusfoszfatáz-szint, emelkedett szérum-bilirubinszint</w:t>
            </w:r>
          </w:p>
        </w:tc>
        <w:tc>
          <w:tcPr>
            <w:tcW w:w="2155" w:type="dxa"/>
            <w:shd w:val="clear" w:color="auto" w:fill="auto"/>
          </w:tcPr>
          <w:p w14:paraId="68AD75F5" w14:textId="77777777" w:rsidR="007543BB" w:rsidRPr="00F207F5" w:rsidRDefault="002D677C" w:rsidP="00C8605C">
            <w:pPr>
              <w:keepNext/>
              <w:jc w:val="center"/>
            </w:pPr>
            <w:r w:rsidRPr="00F207F5">
              <w:t>Nem gyakori</w:t>
            </w:r>
          </w:p>
        </w:tc>
        <w:tc>
          <w:tcPr>
            <w:tcW w:w="1987" w:type="dxa"/>
            <w:shd w:val="clear" w:color="auto" w:fill="auto"/>
          </w:tcPr>
          <w:p w14:paraId="619318BC" w14:textId="77777777" w:rsidR="007543BB" w:rsidRPr="00F207F5" w:rsidRDefault="002D677C" w:rsidP="00C8605C">
            <w:pPr>
              <w:keepNext/>
              <w:jc w:val="center"/>
            </w:pPr>
            <w:r w:rsidRPr="00F207F5">
              <w:t>Nem gyakori</w:t>
            </w:r>
          </w:p>
        </w:tc>
        <w:tc>
          <w:tcPr>
            <w:tcW w:w="1876" w:type="dxa"/>
            <w:shd w:val="clear" w:color="auto" w:fill="auto"/>
          </w:tcPr>
          <w:p w14:paraId="6328D13E" w14:textId="77777777" w:rsidR="007543BB" w:rsidRPr="00F207F5" w:rsidRDefault="002D677C" w:rsidP="00C8605C">
            <w:pPr>
              <w:keepNext/>
              <w:jc w:val="center"/>
            </w:pPr>
            <w:r w:rsidRPr="00F207F5">
              <w:t>Gyakori</w:t>
            </w:r>
          </w:p>
        </w:tc>
      </w:tr>
      <w:tr w:rsidR="007543BB" w:rsidRPr="00F207F5" w14:paraId="0011D2AC" w14:textId="77777777" w:rsidTr="00C8605C">
        <w:trPr>
          <w:cantSplit/>
        </w:trPr>
        <w:tc>
          <w:tcPr>
            <w:tcW w:w="3062" w:type="dxa"/>
            <w:shd w:val="clear" w:color="auto" w:fill="auto"/>
            <w:vAlign w:val="bottom"/>
          </w:tcPr>
          <w:p w14:paraId="3E612DFD" w14:textId="007FBBF5" w:rsidR="007543BB" w:rsidRPr="00F207F5" w:rsidRDefault="002D677C" w:rsidP="00C8605C">
            <w:pPr>
              <w:keepNext/>
            </w:pPr>
            <w:r w:rsidRPr="00F207F5">
              <w:t>Emelkedett</w:t>
            </w:r>
            <w:r w:rsidR="00C8605C">
              <w:t xml:space="preserve"> </w:t>
            </w:r>
            <w:r w:rsidRPr="00F207F5">
              <w:t>gamma</w:t>
            </w:r>
            <w:r w:rsidR="00C8605C">
              <w:noBreakHyphen/>
            </w:r>
            <w:r w:rsidRPr="00F207F5">
              <w:t>glutamiltranszferázszint</w:t>
            </w:r>
          </w:p>
        </w:tc>
        <w:tc>
          <w:tcPr>
            <w:tcW w:w="2155" w:type="dxa"/>
            <w:shd w:val="clear" w:color="auto" w:fill="auto"/>
          </w:tcPr>
          <w:p w14:paraId="312E255E" w14:textId="77777777" w:rsidR="007543BB" w:rsidRPr="00F207F5" w:rsidRDefault="002D677C" w:rsidP="00C8605C">
            <w:pPr>
              <w:keepNext/>
              <w:jc w:val="center"/>
            </w:pPr>
            <w:r w:rsidRPr="00F207F5">
              <w:t>Gyakori</w:t>
            </w:r>
          </w:p>
        </w:tc>
        <w:tc>
          <w:tcPr>
            <w:tcW w:w="1987" w:type="dxa"/>
            <w:shd w:val="clear" w:color="auto" w:fill="auto"/>
          </w:tcPr>
          <w:p w14:paraId="525C548C" w14:textId="77777777" w:rsidR="007543BB" w:rsidRPr="00F207F5" w:rsidRDefault="002D677C" w:rsidP="00C8605C">
            <w:pPr>
              <w:keepNext/>
              <w:jc w:val="center"/>
            </w:pPr>
            <w:r w:rsidRPr="00F207F5">
              <w:t>Gyakori</w:t>
            </w:r>
          </w:p>
        </w:tc>
        <w:tc>
          <w:tcPr>
            <w:tcW w:w="1876" w:type="dxa"/>
            <w:shd w:val="clear" w:color="auto" w:fill="auto"/>
          </w:tcPr>
          <w:p w14:paraId="3B24710D" w14:textId="77777777" w:rsidR="007543BB" w:rsidRPr="00F207F5" w:rsidRDefault="002D677C" w:rsidP="00C8605C">
            <w:pPr>
              <w:keepNext/>
              <w:jc w:val="center"/>
            </w:pPr>
            <w:r w:rsidRPr="00F207F5">
              <w:t>Nem ismert</w:t>
            </w:r>
          </w:p>
        </w:tc>
      </w:tr>
      <w:tr w:rsidR="007543BB" w:rsidRPr="00F207F5" w14:paraId="5AD75C06" w14:textId="77777777" w:rsidTr="00C8605C">
        <w:trPr>
          <w:cantSplit/>
        </w:trPr>
        <w:tc>
          <w:tcPr>
            <w:tcW w:w="3062" w:type="dxa"/>
            <w:shd w:val="clear" w:color="auto" w:fill="auto"/>
            <w:vAlign w:val="bottom"/>
          </w:tcPr>
          <w:p w14:paraId="46CBC6E2" w14:textId="3F5A4A6B" w:rsidR="007543BB" w:rsidRPr="00F207F5" w:rsidRDefault="002D677C" w:rsidP="00F207F5">
            <w:r w:rsidRPr="00F207F5">
              <w:t>Emelkedett glutamát-piruvát-transzaminázszint</w:t>
            </w:r>
          </w:p>
        </w:tc>
        <w:tc>
          <w:tcPr>
            <w:tcW w:w="2155" w:type="dxa"/>
            <w:shd w:val="clear" w:color="auto" w:fill="auto"/>
          </w:tcPr>
          <w:p w14:paraId="1299A100" w14:textId="77777777" w:rsidR="007543BB" w:rsidRPr="00F207F5" w:rsidRDefault="002D677C" w:rsidP="00C8605C">
            <w:pPr>
              <w:jc w:val="center"/>
            </w:pPr>
            <w:r w:rsidRPr="00F207F5">
              <w:t>Nem gyakori</w:t>
            </w:r>
          </w:p>
        </w:tc>
        <w:tc>
          <w:tcPr>
            <w:tcW w:w="1987" w:type="dxa"/>
            <w:shd w:val="clear" w:color="auto" w:fill="auto"/>
          </w:tcPr>
          <w:p w14:paraId="2AC23666" w14:textId="77777777" w:rsidR="007543BB" w:rsidRPr="00F207F5" w:rsidRDefault="002D677C" w:rsidP="00C8605C">
            <w:pPr>
              <w:jc w:val="center"/>
            </w:pPr>
            <w:r w:rsidRPr="00F207F5">
              <w:t>Gyakori</w:t>
            </w:r>
          </w:p>
        </w:tc>
        <w:tc>
          <w:tcPr>
            <w:tcW w:w="1876" w:type="dxa"/>
            <w:shd w:val="clear" w:color="auto" w:fill="auto"/>
          </w:tcPr>
          <w:p w14:paraId="77AD9FC6" w14:textId="77777777" w:rsidR="007543BB" w:rsidRPr="00F207F5" w:rsidRDefault="002D677C" w:rsidP="00C8605C">
            <w:pPr>
              <w:jc w:val="center"/>
            </w:pPr>
            <w:r w:rsidRPr="00F207F5">
              <w:t>Gyakori</w:t>
            </w:r>
          </w:p>
        </w:tc>
      </w:tr>
      <w:tr w:rsidR="00C8605C" w:rsidRPr="00C8605C" w14:paraId="02F63071" w14:textId="77777777" w:rsidTr="007404EB">
        <w:trPr>
          <w:cantSplit/>
        </w:trPr>
        <w:tc>
          <w:tcPr>
            <w:tcW w:w="9080" w:type="dxa"/>
            <w:gridSpan w:val="4"/>
            <w:shd w:val="clear" w:color="auto" w:fill="auto"/>
            <w:vAlign w:val="bottom"/>
          </w:tcPr>
          <w:p w14:paraId="5337138F" w14:textId="3445B0A3" w:rsidR="00C8605C" w:rsidRPr="00C8605C" w:rsidRDefault="00C8605C" w:rsidP="00C8605C">
            <w:pPr>
              <w:keepNext/>
              <w:rPr>
                <w:i/>
                <w:iCs/>
              </w:rPr>
            </w:pPr>
            <w:r w:rsidRPr="00C8605C">
              <w:rPr>
                <w:i/>
                <w:iCs/>
              </w:rPr>
              <w:t>A bőr és a bőr alatti szövet betegségei és tünetei</w:t>
            </w:r>
          </w:p>
        </w:tc>
      </w:tr>
      <w:tr w:rsidR="007543BB" w:rsidRPr="00F207F5" w14:paraId="74285A63" w14:textId="77777777" w:rsidTr="00C8605C">
        <w:trPr>
          <w:cantSplit/>
        </w:trPr>
        <w:tc>
          <w:tcPr>
            <w:tcW w:w="3062" w:type="dxa"/>
            <w:shd w:val="clear" w:color="auto" w:fill="auto"/>
            <w:vAlign w:val="bottom"/>
          </w:tcPr>
          <w:p w14:paraId="39AD0A36" w14:textId="77777777" w:rsidR="007543BB" w:rsidRPr="00F207F5" w:rsidRDefault="002D677C" w:rsidP="00C8605C">
            <w:pPr>
              <w:keepNext/>
            </w:pPr>
            <w:r w:rsidRPr="00F207F5">
              <w:t>Bőrkiütés</w:t>
            </w:r>
          </w:p>
        </w:tc>
        <w:tc>
          <w:tcPr>
            <w:tcW w:w="2155" w:type="dxa"/>
            <w:shd w:val="clear" w:color="auto" w:fill="auto"/>
          </w:tcPr>
          <w:p w14:paraId="3E6D8513" w14:textId="77777777" w:rsidR="007543BB" w:rsidRPr="00F207F5" w:rsidRDefault="002D677C" w:rsidP="00C8605C">
            <w:pPr>
              <w:keepNext/>
              <w:jc w:val="center"/>
            </w:pPr>
            <w:r w:rsidRPr="00F207F5">
              <w:t>Nem gyakori</w:t>
            </w:r>
          </w:p>
        </w:tc>
        <w:tc>
          <w:tcPr>
            <w:tcW w:w="1987" w:type="dxa"/>
            <w:shd w:val="clear" w:color="auto" w:fill="auto"/>
          </w:tcPr>
          <w:p w14:paraId="0A96F103" w14:textId="77777777" w:rsidR="007543BB" w:rsidRPr="00F207F5" w:rsidRDefault="002D677C" w:rsidP="00C8605C">
            <w:pPr>
              <w:keepNext/>
              <w:jc w:val="center"/>
            </w:pPr>
            <w:r w:rsidRPr="00F207F5">
              <w:t>Gyakori</w:t>
            </w:r>
          </w:p>
        </w:tc>
        <w:tc>
          <w:tcPr>
            <w:tcW w:w="1876" w:type="dxa"/>
            <w:shd w:val="clear" w:color="auto" w:fill="auto"/>
          </w:tcPr>
          <w:p w14:paraId="5BA8C206" w14:textId="77777777" w:rsidR="007543BB" w:rsidRPr="00F207F5" w:rsidRDefault="002D677C" w:rsidP="00C8605C">
            <w:pPr>
              <w:keepNext/>
              <w:jc w:val="center"/>
            </w:pPr>
            <w:r w:rsidRPr="00F207F5">
              <w:t>Gyakori</w:t>
            </w:r>
          </w:p>
        </w:tc>
      </w:tr>
      <w:tr w:rsidR="007543BB" w:rsidRPr="00F207F5" w14:paraId="58C4DF9F" w14:textId="77777777" w:rsidTr="00C8605C">
        <w:trPr>
          <w:cantSplit/>
        </w:trPr>
        <w:tc>
          <w:tcPr>
            <w:tcW w:w="3062" w:type="dxa"/>
            <w:shd w:val="clear" w:color="auto" w:fill="auto"/>
            <w:vAlign w:val="bottom"/>
          </w:tcPr>
          <w:p w14:paraId="4B206B9E" w14:textId="77777777" w:rsidR="007543BB" w:rsidRPr="00F207F5" w:rsidRDefault="002D677C" w:rsidP="00C8605C">
            <w:pPr>
              <w:keepNext/>
            </w:pPr>
            <w:r w:rsidRPr="00F207F5">
              <w:t>Alopecia</w:t>
            </w:r>
          </w:p>
        </w:tc>
        <w:tc>
          <w:tcPr>
            <w:tcW w:w="2155" w:type="dxa"/>
            <w:shd w:val="clear" w:color="auto" w:fill="auto"/>
          </w:tcPr>
          <w:p w14:paraId="35CD7CB8" w14:textId="77777777" w:rsidR="007543BB" w:rsidRPr="00F207F5" w:rsidRDefault="002D677C" w:rsidP="00C8605C">
            <w:pPr>
              <w:keepNext/>
              <w:jc w:val="center"/>
            </w:pPr>
            <w:r w:rsidRPr="00F207F5">
              <w:t>Nem gyakori</w:t>
            </w:r>
          </w:p>
        </w:tc>
        <w:tc>
          <w:tcPr>
            <w:tcW w:w="1987" w:type="dxa"/>
            <w:shd w:val="clear" w:color="auto" w:fill="auto"/>
          </w:tcPr>
          <w:p w14:paraId="27365D09" w14:textId="77777777" w:rsidR="007543BB" w:rsidRPr="00F207F5" w:rsidRDefault="002D677C" w:rsidP="00C8605C">
            <w:pPr>
              <w:keepNext/>
              <w:jc w:val="center"/>
            </w:pPr>
            <w:r w:rsidRPr="00F207F5">
              <w:t>Nem gyakori</w:t>
            </w:r>
          </w:p>
        </w:tc>
        <w:tc>
          <w:tcPr>
            <w:tcW w:w="1876" w:type="dxa"/>
            <w:shd w:val="clear" w:color="auto" w:fill="auto"/>
          </w:tcPr>
          <w:p w14:paraId="6B9BF2F7" w14:textId="77777777" w:rsidR="007543BB" w:rsidRPr="00F207F5" w:rsidRDefault="002D677C" w:rsidP="00C8605C">
            <w:pPr>
              <w:keepNext/>
              <w:jc w:val="center"/>
            </w:pPr>
            <w:r w:rsidRPr="00F207F5">
              <w:t>Gyakori</w:t>
            </w:r>
          </w:p>
        </w:tc>
      </w:tr>
      <w:tr w:rsidR="007543BB" w:rsidRPr="00F207F5" w14:paraId="0D8DD424" w14:textId="77777777" w:rsidTr="00C8605C">
        <w:trPr>
          <w:cantSplit/>
        </w:trPr>
        <w:tc>
          <w:tcPr>
            <w:tcW w:w="3062" w:type="dxa"/>
            <w:shd w:val="clear" w:color="auto" w:fill="auto"/>
            <w:vAlign w:val="bottom"/>
          </w:tcPr>
          <w:p w14:paraId="13C3B433" w14:textId="77777777" w:rsidR="007543BB" w:rsidRPr="00F207F5" w:rsidRDefault="002D677C" w:rsidP="00C8605C">
            <w:pPr>
              <w:keepNext/>
            </w:pPr>
            <w:r w:rsidRPr="00F207F5">
              <w:t>Erythema multiforme</w:t>
            </w:r>
          </w:p>
        </w:tc>
        <w:tc>
          <w:tcPr>
            <w:tcW w:w="2155" w:type="dxa"/>
            <w:shd w:val="clear" w:color="auto" w:fill="auto"/>
          </w:tcPr>
          <w:p w14:paraId="55E4CF69" w14:textId="77777777" w:rsidR="007543BB" w:rsidRPr="00F207F5" w:rsidRDefault="002D677C" w:rsidP="00C8605C">
            <w:pPr>
              <w:keepNext/>
              <w:jc w:val="center"/>
            </w:pPr>
            <w:r w:rsidRPr="00F207F5">
              <w:t>Nagyon ritka</w:t>
            </w:r>
          </w:p>
        </w:tc>
        <w:tc>
          <w:tcPr>
            <w:tcW w:w="1987" w:type="dxa"/>
            <w:shd w:val="clear" w:color="auto" w:fill="auto"/>
          </w:tcPr>
          <w:p w14:paraId="45F5C28A" w14:textId="77777777" w:rsidR="007543BB" w:rsidRPr="00F207F5" w:rsidRDefault="002D677C" w:rsidP="00C8605C">
            <w:pPr>
              <w:keepNext/>
              <w:jc w:val="center"/>
            </w:pPr>
            <w:r w:rsidRPr="00F207F5">
              <w:t>Nem ismert</w:t>
            </w:r>
          </w:p>
        </w:tc>
        <w:tc>
          <w:tcPr>
            <w:tcW w:w="1876" w:type="dxa"/>
            <w:shd w:val="clear" w:color="auto" w:fill="auto"/>
          </w:tcPr>
          <w:p w14:paraId="00350858" w14:textId="77777777" w:rsidR="007543BB" w:rsidRPr="00F207F5" w:rsidRDefault="002D677C" w:rsidP="00C8605C">
            <w:pPr>
              <w:keepNext/>
              <w:jc w:val="center"/>
            </w:pPr>
            <w:r w:rsidRPr="00F207F5">
              <w:t>Nem ismert</w:t>
            </w:r>
          </w:p>
        </w:tc>
      </w:tr>
      <w:tr w:rsidR="007543BB" w:rsidRPr="00F207F5" w14:paraId="6B452189" w14:textId="77777777" w:rsidTr="00C8605C">
        <w:trPr>
          <w:cantSplit/>
        </w:trPr>
        <w:tc>
          <w:tcPr>
            <w:tcW w:w="3062" w:type="dxa"/>
            <w:shd w:val="clear" w:color="auto" w:fill="auto"/>
            <w:vAlign w:val="bottom"/>
          </w:tcPr>
          <w:p w14:paraId="15101717" w14:textId="77777777" w:rsidR="007543BB" w:rsidRPr="00F207F5" w:rsidRDefault="002D677C" w:rsidP="00F207F5">
            <w:r w:rsidRPr="00F207F5">
              <w:t>Cutan vasculitis</w:t>
            </w:r>
          </w:p>
        </w:tc>
        <w:tc>
          <w:tcPr>
            <w:tcW w:w="2155" w:type="dxa"/>
            <w:shd w:val="clear" w:color="auto" w:fill="auto"/>
          </w:tcPr>
          <w:p w14:paraId="25527D11" w14:textId="77777777" w:rsidR="007543BB" w:rsidRPr="00F207F5" w:rsidRDefault="002D677C" w:rsidP="00C8605C">
            <w:pPr>
              <w:jc w:val="center"/>
            </w:pPr>
            <w:r w:rsidRPr="00F207F5">
              <w:t>Nem ismert</w:t>
            </w:r>
          </w:p>
        </w:tc>
        <w:tc>
          <w:tcPr>
            <w:tcW w:w="1987" w:type="dxa"/>
            <w:shd w:val="clear" w:color="auto" w:fill="auto"/>
          </w:tcPr>
          <w:p w14:paraId="6894CB8C" w14:textId="77777777" w:rsidR="007543BB" w:rsidRPr="00F207F5" w:rsidRDefault="002D677C" w:rsidP="00C8605C">
            <w:pPr>
              <w:jc w:val="center"/>
            </w:pPr>
            <w:r w:rsidRPr="00F207F5">
              <w:t>Nem ismert</w:t>
            </w:r>
          </w:p>
        </w:tc>
        <w:tc>
          <w:tcPr>
            <w:tcW w:w="1876" w:type="dxa"/>
            <w:shd w:val="clear" w:color="auto" w:fill="auto"/>
          </w:tcPr>
          <w:p w14:paraId="2F51AC20" w14:textId="77777777" w:rsidR="007543BB" w:rsidRPr="00F207F5" w:rsidRDefault="002D677C" w:rsidP="00C8605C">
            <w:pPr>
              <w:jc w:val="center"/>
            </w:pPr>
            <w:r w:rsidRPr="00F207F5">
              <w:t>Nem ismert</w:t>
            </w:r>
          </w:p>
        </w:tc>
      </w:tr>
      <w:tr w:rsidR="00C8605C" w:rsidRPr="00C8605C" w14:paraId="0B82C31D" w14:textId="77777777" w:rsidTr="007404EB">
        <w:trPr>
          <w:cantSplit/>
        </w:trPr>
        <w:tc>
          <w:tcPr>
            <w:tcW w:w="9080" w:type="dxa"/>
            <w:gridSpan w:val="4"/>
            <w:shd w:val="clear" w:color="auto" w:fill="auto"/>
            <w:vAlign w:val="bottom"/>
          </w:tcPr>
          <w:p w14:paraId="1D100B00" w14:textId="59CD375C" w:rsidR="00C8605C" w:rsidRPr="00C8605C" w:rsidRDefault="00C8605C" w:rsidP="00C8605C">
            <w:pPr>
              <w:keepNext/>
              <w:rPr>
                <w:i/>
                <w:iCs/>
              </w:rPr>
            </w:pPr>
            <w:r w:rsidRPr="00C8605C">
              <w:rPr>
                <w:i/>
                <w:iCs/>
              </w:rPr>
              <w:t>A csont- és izomrendszer, valamint a kötőszövet betegségei és tünetei</w:t>
            </w:r>
          </w:p>
        </w:tc>
      </w:tr>
      <w:tr w:rsidR="007543BB" w:rsidRPr="00F207F5" w14:paraId="1206CD2F" w14:textId="77777777" w:rsidTr="00C8605C">
        <w:trPr>
          <w:cantSplit/>
        </w:trPr>
        <w:tc>
          <w:tcPr>
            <w:tcW w:w="3062" w:type="dxa"/>
            <w:shd w:val="clear" w:color="auto" w:fill="auto"/>
            <w:vAlign w:val="bottom"/>
          </w:tcPr>
          <w:p w14:paraId="3283E748" w14:textId="77777777" w:rsidR="007543BB" w:rsidRPr="00F207F5" w:rsidRDefault="002D677C" w:rsidP="00F207F5">
            <w:r w:rsidRPr="00F207F5">
              <w:t>Izomvérzés</w:t>
            </w:r>
          </w:p>
        </w:tc>
        <w:tc>
          <w:tcPr>
            <w:tcW w:w="2155" w:type="dxa"/>
            <w:shd w:val="clear" w:color="auto" w:fill="auto"/>
          </w:tcPr>
          <w:p w14:paraId="094C9465" w14:textId="77777777" w:rsidR="007543BB" w:rsidRPr="00F207F5" w:rsidRDefault="002D677C" w:rsidP="00C8605C">
            <w:pPr>
              <w:jc w:val="center"/>
            </w:pPr>
            <w:r w:rsidRPr="00F207F5">
              <w:t>Ritka</w:t>
            </w:r>
          </w:p>
        </w:tc>
        <w:tc>
          <w:tcPr>
            <w:tcW w:w="1987" w:type="dxa"/>
            <w:shd w:val="clear" w:color="auto" w:fill="auto"/>
          </w:tcPr>
          <w:p w14:paraId="59E594FF" w14:textId="77777777" w:rsidR="007543BB" w:rsidRPr="00F207F5" w:rsidRDefault="002D677C" w:rsidP="00C8605C">
            <w:pPr>
              <w:jc w:val="center"/>
            </w:pPr>
            <w:r w:rsidRPr="00F207F5">
              <w:t>Nem gyakori</w:t>
            </w:r>
          </w:p>
        </w:tc>
        <w:tc>
          <w:tcPr>
            <w:tcW w:w="1876" w:type="dxa"/>
            <w:shd w:val="clear" w:color="auto" w:fill="auto"/>
          </w:tcPr>
          <w:p w14:paraId="5791DE37" w14:textId="77777777" w:rsidR="007543BB" w:rsidRPr="00F207F5" w:rsidRDefault="002D677C" w:rsidP="00C8605C">
            <w:pPr>
              <w:jc w:val="center"/>
            </w:pPr>
            <w:r w:rsidRPr="00F207F5">
              <w:t>Nem ismert</w:t>
            </w:r>
          </w:p>
        </w:tc>
      </w:tr>
      <w:tr w:rsidR="00C8605C" w:rsidRPr="00C8605C" w14:paraId="30413BDD" w14:textId="77777777" w:rsidTr="007404EB">
        <w:trPr>
          <w:cantSplit/>
        </w:trPr>
        <w:tc>
          <w:tcPr>
            <w:tcW w:w="9080" w:type="dxa"/>
            <w:gridSpan w:val="4"/>
            <w:shd w:val="clear" w:color="auto" w:fill="auto"/>
            <w:vAlign w:val="bottom"/>
          </w:tcPr>
          <w:p w14:paraId="64CD3A44" w14:textId="13E6E0A2" w:rsidR="00C8605C" w:rsidRPr="00C8605C" w:rsidRDefault="00C8605C" w:rsidP="00C8605C">
            <w:pPr>
              <w:keepNext/>
              <w:rPr>
                <w:i/>
                <w:iCs/>
              </w:rPr>
            </w:pPr>
            <w:r w:rsidRPr="00C8605C">
              <w:rPr>
                <w:i/>
                <w:iCs/>
              </w:rPr>
              <w:t>Vese- és húgyúti betegségek és tünetek</w:t>
            </w:r>
          </w:p>
        </w:tc>
      </w:tr>
      <w:tr w:rsidR="007543BB" w:rsidRPr="00F207F5" w14:paraId="430CB495" w14:textId="77777777" w:rsidTr="00C8605C">
        <w:trPr>
          <w:cantSplit/>
        </w:trPr>
        <w:tc>
          <w:tcPr>
            <w:tcW w:w="3062" w:type="dxa"/>
            <w:shd w:val="clear" w:color="auto" w:fill="auto"/>
            <w:vAlign w:val="bottom"/>
          </w:tcPr>
          <w:p w14:paraId="51A25C1C" w14:textId="77777777" w:rsidR="007543BB" w:rsidRPr="00F207F5" w:rsidRDefault="002D677C" w:rsidP="00C8605C">
            <w:pPr>
              <w:keepNext/>
            </w:pPr>
            <w:r w:rsidRPr="00F207F5">
              <w:t>Haematuria</w:t>
            </w:r>
          </w:p>
        </w:tc>
        <w:tc>
          <w:tcPr>
            <w:tcW w:w="2155" w:type="dxa"/>
            <w:shd w:val="clear" w:color="auto" w:fill="auto"/>
          </w:tcPr>
          <w:p w14:paraId="5CB47B4E" w14:textId="77777777" w:rsidR="007543BB" w:rsidRPr="00F207F5" w:rsidRDefault="002D677C" w:rsidP="00C8605C">
            <w:pPr>
              <w:keepNext/>
              <w:jc w:val="center"/>
            </w:pPr>
            <w:r w:rsidRPr="00F207F5">
              <w:t>Gyakori</w:t>
            </w:r>
          </w:p>
        </w:tc>
        <w:tc>
          <w:tcPr>
            <w:tcW w:w="1987" w:type="dxa"/>
            <w:shd w:val="clear" w:color="auto" w:fill="auto"/>
          </w:tcPr>
          <w:p w14:paraId="12EB5713" w14:textId="77777777" w:rsidR="007543BB" w:rsidRPr="00F207F5" w:rsidRDefault="002D677C" w:rsidP="00C8605C">
            <w:pPr>
              <w:keepNext/>
              <w:jc w:val="center"/>
            </w:pPr>
            <w:r w:rsidRPr="00F207F5">
              <w:t>Gyakori</w:t>
            </w:r>
          </w:p>
        </w:tc>
        <w:tc>
          <w:tcPr>
            <w:tcW w:w="1876" w:type="dxa"/>
            <w:shd w:val="clear" w:color="auto" w:fill="auto"/>
          </w:tcPr>
          <w:p w14:paraId="6978316B" w14:textId="77777777" w:rsidR="007543BB" w:rsidRPr="00F207F5" w:rsidRDefault="002D677C" w:rsidP="00C8605C">
            <w:pPr>
              <w:keepNext/>
              <w:jc w:val="center"/>
            </w:pPr>
            <w:r w:rsidRPr="00F207F5">
              <w:t>Gyakori</w:t>
            </w:r>
          </w:p>
        </w:tc>
      </w:tr>
      <w:tr w:rsidR="005F0151" w:rsidRPr="00F207F5" w14:paraId="46D22549" w14:textId="77777777" w:rsidTr="00FD45A3">
        <w:trPr>
          <w:cantSplit/>
        </w:trPr>
        <w:tc>
          <w:tcPr>
            <w:tcW w:w="3062" w:type="dxa"/>
            <w:shd w:val="clear" w:color="auto" w:fill="auto"/>
          </w:tcPr>
          <w:p w14:paraId="59788262" w14:textId="5D471F2D" w:rsidR="005F0151" w:rsidRPr="00F207F5" w:rsidRDefault="005F0151" w:rsidP="005F0151">
            <w:r w:rsidRPr="00553C8D">
              <w:t>Antikoagulánssal kapcsolatos nephropathia</w:t>
            </w:r>
          </w:p>
        </w:tc>
        <w:tc>
          <w:tcPr>
            <w:tcW w:w="2155" w:type="dxa"/>
            <w:shd w:val="clear" w:color="auto" w:fill="auto"/>
          </w:tcPr>
          <w:p w14:paraId="7F2EC3A9" w14:textId="18697991" w:rsidR="005F0151" w:rsidRPr="00F207F5" w:rsidRDefault="005F0151" w:rsidP="005F0151">
            <w:pPr>
              <w:jc w:val="center"/>
            </w:pPr>
            <w:r w:rsidRPr="00553C8D">
              <w:t>Nem ismert</w:t>
            </w:r>
          </w:p>
        </w:tc>
        <w:tc>
          <w:tcPr>
            <w:tcW w:w="1987" w:type="dxa"/>
            <w:shd w:val="clear" w:color="auto" w:fill="auto"/>
          </w:tcPr>
          <w:p w14:paraId="40153756" w14:textId="42293BAC" w:rsidR="005F0151" w:rsidRPr="00F207F5" w:rsidRDefault="005F0151" w:rsidP="005F0151">
            <w:pPr>
              <w:jc w:val="center"/>
            </w:pPr>
            <w:r w:rsidRPr="00553C8D">
              <w:t>Nem ismert</w:t>
            </w:r>
          </w:p>
        </w:tc>
        <w:tc>
          <w:tcPr>
            <w:tcW w:w="1876" w:type="dxa"/>
            <w:shd w:val="clear" w:color="auto" w:fill="auto"/>
          </w:tcPr>
          <w:p w14:paraId="08F8AB59" w14:textId="0DFD583E" w:rsidR="005F0151" w:rsidRPr="00F207F5" w:rsidRDefault="005F0151" w:rsidP="005F0151">
            <w:pPr>
              <w:jc w:val="center"/>
            </w:pPr>
            <w:r w:rsidRPr="00553C8D">
              <w:t>Nem ismert</w:t>
            </w:r>
          </w:p>
        </w:tc>
      </w:tr>
      <w:tr w:rsidR="005F0151" w:rsidRPr="00C8605C" w14:paraId="322B5E5A" w14:textId="77777777" w:rsidTr="007404EB">
        <w:trPr>
          <w:cantSplit/>
        </w:trPr>
        <w:tc>
          <w:tcPr>
            <w:tcW w:w="9080" w:type="dxa"/>
            <w:gridSpan w:val="4"/>
            <w:shd w:val="clear" w:color="auto" w:fill="auto"/>
            <w:vAlign w:val="bottom"/>
          </w:tcPr>
          <w:p w14:paraId="23C4061D" w14:textId="2D59DC24" w:rsidR="005F0151" w:rsidRPr="00C8605C" w:rsidRDefault="005F0151" w:rsidP="005F0151">
            <w:pPr>
              <w:keepNext/>
              <w:rPr>
                <w:i/>
                <w:iCs/>
              </w:rPr>
            </w:pPr>
            <w:r w:rsidRPr="00C8605C">
              <w:rPr>
                <w:i/>
                <w:iCs/>
              </w:rPr>
              <w:t>A nemi szervekkel és az emlőkkel kapcsolatos betegségek és tünetek</w:t>
            </w:r>
          </w:p>
        </w:tc>
      </w:tr>
      <w:tr w:rsidR="005F0151" w:rsidRPr="00F207F5" w14:paraId="68C19F67" w14:textId="77777777" w:rsidTr="00C8605C">
        <w:trPr>
          <w:cantSplit/>
        </w:trPr>
        <w:tc>
          <w:tcPr>
            <w:tcW w:w="3062" w:type="dxa"/>
            <w:shd w:val="clear" w:color="auto" w:fill="auto"/>
            <w:vAlign w:val="bottom"/>
          </w:tcPr>
          <w:p w14:paraId="44CF780A" w14:textId="77777777" w:rsidR="005F0151" w:rsidRPr="00F207F5" w:rsidRDefault="005F0151" w:rsidP="005F0151">
            <w:r w:rsidRPr="00F207F5">
              <w:t>Kóros hüvelyi vérzés, urogenitalis vérzés</w:t>
            </w:r>
          </w:p>
        </w:tc>
        <w:tc>
          <w:tcPr>
            <w:tcW w:w="2155" w:type="dxa"/>
            <w:shd w:val="clear" w:color="auto" w:fill="auto"/>
          </w:tcPr>
          <w:p w14:paraId="663CED33" w14:textId="77777777" w:rsidR="005F0151" w:rsidRPr="00F207F5" w:rsidRDefault="005F0151" w:rsidP="005F0151">
            <w:pPr>
              <w:jc w:val="center"/>
            </w:pPr>
            <w:r w:rsidRPr="00F207F5">
              <w:t>Nem gyakori</w:t>
            </w:r>
          </w:p>
        </w:tc>
        <w:tc>
          <w:tcPr>
            <w:tcW w:w="1987" w:type="dxa"/>
            <w:shd w:val="clear" w:color="auto" w:fill="auto"/>
          </w:tcPr>
          <w:p w14:paraId="4A64A800" w14:textId="77777777" w:rsidR="005F0151" w:rsidRPr="00F207F5" w:rsidRDefault="005F0151" w:rsidP="005F0151">
            <w:pPr>
              <w:jc w:val="center"/>
            </w:pPr>
            <w:r w:rsidRPr="00F207F5">
              <w:t>Gyakori</w:t>
            </w:r>
          </w:p>
        </w:tc>
        <w:tc>
          <w:tcPr>
            <w:tcW w:w="1876" w:type="dxa"/>
            <w:shd w:val="clear" w:color="auto" w:fill="auto"/>
          </w:tcPr>
          <w:p w14:paraId="128DE61D" w14:textId="77777777" w:rsidR="005F0151" w:rsidRPr="00F207F5" w:rsidRDefault="005F0151" w:rsidP="005F0151">
            <w:pPr>
              <w:jc w:val="center"/>
            </w:pPr>
            <w:r w:rsidRPr="00F207F5">
              <w:t>Nagyon gyakori</w:t>
            </w:r>
            <w:r w:rsidRPr="00C8605C">
              <w:rPr>
                <w:vertAlign w:val="superscript"/>
              </w:rPr>
              <w:t>§</w:t>
            </w:r>
          </w:p>
        </w:tc>
      </w:tr>
      <w:tr w:rsidR="005F0151" w:rsidRPr="00C8605C" w14:paraId="7276D2B6" w14:textId="77777777" w:rsidTr="007404EB">
        <w:trPr>
          <w:cantSplit/>
        </w:trPr>
        <w:tc>
          <w:tcPr>
            <w:tcW w:w="9080" w:type="dxa"/>
            <w:gridSpan w:val="4"/>
            <w:shd w:val="clear" w:color="auto" w:fill="auto"/>
            <w:vAlign w:val="bottom"/>
          </w:tcPr>
          <w:p w14:paraId="24372443" w14:textId="5D209687" w:rsidR="005F0151" w:rsidRPr="00C8605C" w:rsidRDefault="005F0151" w:rsidP="005F0151">
            <w:pPr>
              <w:keepNext/>
              <w:rPr>
                <w:i/>
                <w:iCs/>
              </w:rPr>
            </w:pPr>
            <w:r w:rsidRPr="00C8605C">
              <w:rPr>
                <w:i/>
                <w:iCs/>
              </w:rPr>
              <w:t>Általános tünetek, az alkalmazás helyén fellépő reakciók</w:t>
            </w:r>
          </w:p>
        </w:tc>
      </w:tr>
      <w:tr w:rsidR="005F0151" w:rsidRPr="00F207F5" w14:paraId="2FE372C7" w14:textId="77777777" w:rsidTr="00C8605C">
        <w:trPr>
          <w:cantSplit/>
        </w:trPr>
        <w:tc>
          <w:tcPr>
            <w:tcW w:w="3062" w:type="dxa"/>
            <w:shd w:val="clear" w:color="auto" w:fill="auto"/>
            <w:vAlign w:val="bottom"/>
          </w:tcPr>
          <w:p w14:paraId="537E8F0B" w14:textId="77777777" w:rsidR="005F0151" w:rsidRPr="00F207F5" w:rsidRDefault="005F0151" w:rsidP="005F0151">
            <w:r w:rsidRPr="00F207F5">
              <w:t>Az alkalmazás helyén jelentkező vérzés</w:t>
            </w:r>
          </w:p>
        </w:tc>
        <w:tc>
          <w:tcPr>
            <w:tcW w:w="2155" w:type="dxa"/>
            <w:shd w:val="clear" w:color="auto" w:fill="auto"/>
          </w:tcPr>
          <w:p w14:paraId="39428DCF" w14:textId="77777777" w:rsidR="005F0151" w:rsidRPr="00F207F5" w:rsidRDefault="005F0151" w:rsidP="005F0151">
            <w:pPr>
              <w:jc w:val="center"/>
            </w:pPr>
            <w:r w:rsidRPr="00F207F5">
              <w:t>Nem gyakori</w:t>
            </w:r>
          </w:p>
        </w:tc>
        <w:tc>
          <w:tcPr>
            <w:tcW w:w="1987" w:type="dxa"/>
            <w:shd w:val="clear" w:color="auto" w:fill="auto"/>
          </w:tcPr>
          <w:p w14:paraId="49471EDB" w14:textId="77777777" w:rsidR="005F0151" w:rsidRPr="00F207F5" w:rsidRDefault="005F0151" w:rsidP="005F0151">
            <w:pPr>
              <w:jc w:val="center"/>
            </w:pPr>
            <w:r w:rsidRPr="00F207F5">
              <w:t>Nem gyakori</w:t>
            </w:r>
          </w:p>
        </w:tc>
        <w:tc>
          <w:tcPr>
            <w:tcW w:w="1876" w:type="dxa"/>
            <w:shd w:val="clear" w:color="auto" w:fill="auto"/>
          </w:tcPr>
          <w:p w14:paraId="48779D89" w14:textId="77777777" w:rsidR="005F0151" w:rsidRPr="00F207F5" w:rsidRDefault="005F0151" w:rsidP="005F0151">
            <w:pPr>
              <w:jc w:val="center"/>
            </w:pPr>
            <w:r w:rsidRPr="00F207F5">
              <w:t>Nem ismert</w:t>
            </w:r>
          </w:p>
        </w:tc>
      </w:tr>
      <w:tr w:rsidR="005F0151" w:rsidRPr="00C8605C" w14:paraId="4CDECF47" w14:textId="77777777" w:rsidTr="007404EB">
        <w:trPr>
          <w:cantSplit/>
        </w:trPr>
        <w:tc>
          <w:tcPr>
            <w:tcW w:w="9080" w:type="dxa"/>
            <w:gridSpan w:val="4"/>
            <w:shd w:val="clear" w:color="auto" w:fill="auto"/>
            <w:vAlign w:val="bottom"/>
          </w:tcPr>
          <w:p w14:paraId="06FA56C1" w14:textId="3C22FF5A" w:rsidR="005F0151" w:rsidRPr="00C8605C" w:rsidRDefault="005F0151" w:rsidP="005F0151">
            <w:pPr>
              <w:keepNext/>
              <w:rPr>
                <w:i/>
                <w:iCs/>
              </w:rPr>
            </w:pPr>
            <w:r w:rsidRPr="00C8605C">
              <w:rPr>
                <w:i/>
                <w:iCs/>
              </w:rPr>
              <w:t>Laboratóriumi és egyéb vizsgálatok eredményei</w:t>
            </w:r>
          </w:p>
        </w:tc>
      </w:tr>
      <w:tr w:rsidR="005F0151" w:rsidRPr="00F207F5" w14:paraId="21C012AB" w14:textId="77777777" w:rsidTr="00C8605C">
        <w:trPr>
          <w:cantSplit/>
        </w:trPr>
        <w:tc>
          <w:tcPr>
            <w:tcW w:w="3062" w:type="dxa"/>
            <w:shd w:val="clear" w:color="auto" w:fill="auto"/>
            <w:vAlign w:val="bottom"/>
          </w:tcPr>
          <w:p w14:paraId="1AC2B43B" w14:textId="77777777" w:rsidR="005F0151" w:rsidRPr="00F207F5" w:rsidRDefault="005F0151" w:rsidP="005F0151">
            <w:r w:rsidRPr="00F207F5">
              <w:t>Occult vér pozitivitás</w:t>
            </w:r>
          </w:p>
        </w:tc>
        <w:tc>
          <w:tcPr>
            <w:tcW w:w="2155" w:type="dxa"/>
            <w:shd w:val="clear" w:color="auto" w:fill="auto"/>
          </w:tcPr>
          <w:p w14:paraId="3A890251" w14:textId="77777777" w:rsidR="005F0151" w:rsidRPr="00F207F5" w:rsidRDefault="005F0151" w:rsidP="005F0151">
            <w:pPr>
              <w:jc w:val="center"/>
            </w:pPr>
            <w:r w:rsidRPr="00F207F5">
              <w:t>Nem gyakori</w:t>
            </w:r>
          </w:p>
        </w:tc>
        <w:tc>
          <w:tcPr>
            <w:tcW w:w="1987" w:type="dxa"/>
            <w:shd w:val="clear" w:color="auto" w:fill="auto"/>
          </w:tcPr>
          <w:p w14:paraId="352AB0D2" w14:textId="77777777" w:rsidR="005F0151" w:rsidRPr="00F207F5" w:rsidRDefault="005F0151" w:rsidP="005F0151">
            <w:pPr>
              <w:jc w:val="center"/>
            </w:pPr>
            <w:r w:rsidRPr="00F207F5">
              <w:t>Nem gyakori</w:t>
            </w:r>
          </w:p>
        </w:tc>
        <w:tc>
          <w:tcPr>
            <w:tcW w:w="1876" w:type="dxa"/>
            <w:shd w:val="clear" w:color="auto" w:fill="auto"/>
          </w:tcPr>
          <w:p w14:paraId="41CE487F" w14:textId="77777777" w:rsidR="005F0151" w:rsidRPr="00F207F5" w:rsidRDefault="005F0151" w:rsidP="005F0151">
            <w:pPr>
              <w:jc w:val="center"/>
            </w:pPr>
            <w:r w:rsidRPr="00F207F5">
              <w:t>Nem ismert</w:t>
            </w:r>
          </w:p>
        </w:tc>
      </w:tr>
      <w:tr w:rsidR="005F0151" w:rsidRPr="00C8605C" w14:paraId="2BFA4812" w14:textId="77777777" w:rsidTr="007404EB">
        <w:trPr>
          <w:cantSplit/>
        </w:trPr>
        <w:tc>
          <w:tcPr>
            <w:tcW w:w="9080" w:type="dxa"/>
            <w:gridSpan w:val="4"/>
            <w:shd w:val="clear" w:color="auto" w:fill="auto"/>
            <w:vAlign w:val="bottom"/>
          </w:tcPr>
          <w:p w14:paraId="08472244" w14:textId="234EFA2E" w:rsidR="005F0151" w:rsidRPr="00C8605C" w:rsidRDefault="005F0151" w:rsidP="005F0151">
            <w:pPr>
              <w:keepNext/>
              <w:rPr>
                <w:i/>
                <w:iCs/>
              </w:rPr>
            </w:pPr>
            <w:r w:rsidRPr="00C8605C">
              <w:rPr>
                <w:i/>
                <w:iCs/>
              </w:rPr>
              <w:t>Sérülés, mérgezés és a beavatkozással kapcsolatos szövődmények</w:t>
            </w:r>
          </w:p>
        </w:tc>
      </w:tr>
      <w:tr w:rsidR="005F0151" w:rsidRPr="00F207F5" w14:paraId="1FAFCD3E" w14:textId="77777777" w:rsidTr="00C8605C">
        <w:trPr>
          <w:cantSplit/>
        </w:trPr>
        <w:tc>
          <w:tcPr>
            <w:tcW w:w="3062" w:type="dxa"/>
            <w:shd w:val="clear" w:color="auto" w:fill="auto"/>
            <w:vAlign w:val="bottom"/>
          </w:tcPr>
          <w:p w14:paraId="3BABAB50" w14:textId="77777777" w:rsidR="005F0151" w:rsidRPr="00F207F5" w:rsidRDefault="005F0151" w:rsidP="005F0151">
            <w:pPr>
              <w:keepNext/>
            </w:pPr>
            <w:r w:rsidRPr="00F207F5">
              <w:t>Suffusio</w:t>
            </w:r>
          </w:p>
        </w:tc>
        <w:tc>
          <w:tcPr>
            <w:tcW w:w="2155" w:type="dxa"/>
            <w:shd w:val="clear" w:color="auto" w:fill="auto"/>
          </w:tcPr>
          <w:p w14:paraId="43D7EE8F" w14:textId="77777777" w:rsidR="005F0151" w:rsidRPr="00F207F5" w:rsidRDefault="005F0151" w:rsidP="005F0151">
            <w:pPr>
              <w:keepNext/>
              <w:jc w:val="center"/>
            </w:pPr>
            <w:r w:rsidRPr="00F207F5">
              <w:t>Gyakori</w:t>
            </w:r>
          </w:p>
        </w:tc>
        <w:tc>
          <w:tcPr>
            <w:tcW w:w="1987" w:type="dxa"/>
            <w:shd w:val="clear" w:color="auto" w:fill="auto"/>
          </w:tcPr>
          <w:p w14:paraId="4DE7BD43" w14:textId="77777777" w:rsidR="005F0151" w:rsidRPr="00F207F5" w:rsidRDefault="005F0151" w:rsidP="005F0151">
            <w:pPr>
              <w:keepNext/>
              <w:jc w:val="center"/>
            </w:pPr>
            <w:r w:rsidRPr="00F207F5">
              <w:t>Gyakori</w:t>
            </w:r>
          </w:p>
        </w:tc>
        <w:tc>
          <w:tcPr>
            <w:tcW w:w="1876" w:type="dxa"/>
            <w:shd w:val="clear" w:color="auto" w:fill="auto"/>
          </w:tcPr>
          <w:p w14:paraId="4E54A0F6" w14:textId="77777777" w:rsidR="005F0151" w:rsidRPr="00F207F5" w:rsidRDefault="005F0151" w:rsidP="005F0151">
            <w:pPr>
              <w:keepNext/>
              <w:jc w:val="center"/>
            </w:pPr>
            <w:r w:rsidRPr="00F207F5">
              <w:t>Gyakori</w:t>
            </w:r>
          </w:p>
        </w:tc>
      </w:tr>
      <w:tr w:rsidR="005F0151" w:rsidRPr="00F207F5" w14:paraId="73165AA9" w14:textId="77777777" w:rsidTr="00C8605C">
        <w:trPr>
          <w:cantSplit/>
        </w:trPr>
        <w:tc>
          <w:tcPr>
            <w:tcW w:w="3062" w:type="dxa"/>
            <w:shd w:val="clear" w:color="auto" w:fill="auto"/>
            <w:vAlign w:val="bottom"/>
          </w:tcPr>
          <w:p w14:paraId="36618F21" w14:textId="77777777" w:rsidR="005F0151" w:rsidRPr="00F207F5" w:rsidRDefault="005F0151" w:rsidP="005F0151">
            <w:pPr>
              <w:keepNext/>
            </w:pPr>
            <w:r w:rsidRPr="00F207F5">
              <w:t>Beavatkozás utáni vérzés (beleértve a beavatkozás utáni haematomát, a sebvérzést, a haematomát az érpunkció helyén és a vérzést a katéter bevezetésének a helyén is), sebváladékozás, vérzés az incisio helyén (beleértve a haematomát az incisio helyén), intraoperatív vérzés</w:t>
            </w:r>
          </w:p>
        </w:tc>
        <w:tc>
          <w:tcPr>
            <w:tcW w:w="2155" w:type="dxa"/>
            <w:shd w:val="clear" w:color="auto" w:fill="auto"/>
          </w:tcPr>
          <w:p w14:paraId="57BCA307" w14:textId="77777777" w:rsidR="005F0151" w:rsidRPr="00F207F5" w:rsidRDefault="005F0151" w:rsidP="005F0151">
            <w:pPr>
              <w:keepNext/>
              <w:jc w:val="center"/>
            </w:pPr>
            <w:r w:rsidRPr="00F207F5">
              <w:t>Nem gyakori</w:t>
            </w:r>
          </w:p>
        </w:tc>
        <w:tc>
          <w:tcPr>
            <w:tcW w:w="1987" w:type="dxa"/>
            <w:shd w:val="clear" w:color="auto" w:fill="auto"/>
          </w:tcPr>
          <w:p w14:paraId="7AC72CAA" w14:textId="77777777" w:rsidR="005F0151" w:rsidRPr="00F207F5" w:rsidRDefault="005F0151" w:rsidP="005F0151">
            <w:pPr>
              <w:keepNext/>
              <w:jc w:val="center"/>
            </w:pPr>
            <w:r w:rsidRPr="00F207F5">
              <w:t>Nem gyakori</w:t>
            </w:r>
          </w:p>
        </w:tc>
        <w:tc>
          <w:tcPr>
            <w:tcW w:w="1876" w:type="dxa"/>
            <w:shd w:val="clear" w:color="auto" w:fill="auto"/>
          </w:tcPr>
          <w:p w14:paraId="46096FE4" w14:textId="77777777" w:rsidR="005F0151" w:rsidRPr="00F207F5" w:rsidRDefault="005F0151" w:rsidP="005F0151">
            <w:pPr>
              <w:keepNext/>
              <w:jc w:val="center"/>
            </w:pPr>
            <w:r w:rsidRPr="00F207F5">
              <w:t>Gyakori</w:t>
            </w:r>
          </w:p>
        </w:tc>
      </w:tr>
      <w:tr w:rsidR="005F0151" w:rsidRPr="00F207F5" w14:paraId="2939C6FA" w14:textId="77777777" w:rsidTr="00C8605C">
        <w:trPr>
          <w:cantSplit/>
        </w:trPr>
        <w:tc>
          <w:tcPr>
            <w:tcW w:w="3062" w:type="dxa"/>
            <w:shd w:val="clear" w:color="auto" w:fill="auto"/>
            <w:vAlign w:val="bottom"/>
          </w:tcPr>
          <w:p w14:paraId="3BA1079F" w14:textId="77777777" w:rsidR="005F0151" w:rsidRPr="00F207F5" w:rsidRDefault="005F0151" w:rsidP="005F0151">
            <w:pPr>
              <w:keepNext/>
            </w:pPr>
            <w:r w:rsidRPr="00F207F5">
              <w:t>Traumás vérzés</w:t>
            </w:r>
          </w:p>
        </w:tc>
        <w:tc>
          <w:tcPr>
            <w:tcW w:w="2155" w:type="dxa"/>
            <w:shd w:val="clear" w:color="auto" w:fill="auto"/>
          </w:tcPr>
          <w:p w14:paraId="2BAE2CEA" w14:textId="77777777" w:rsidR="005F0151" w:rsidRPr="00F207F5" w:rsidRDefault="005F0151" w:rsidP="005F0151">
            <w:pPr>
              <w:keepNext/>
              <w:jc w:val="center"/>
            </w:pPr>
            <w:r w:rsidRPr="00F207F5">
              <w:t>Nem gyakori</w:t>
            </w:r>
          </w:p>
        </w:tc>
        <w:tc>
          <w:tcPr>
            <w:tcW w:w="1987" w:type="dxa"/>
            <w:shd w:val="clear" w:color="auto" w:fill="auto"/>
          </w:tcPr>
          <w:p w14:paraId="53FDD1CB" w14:textId="77777777" w:rsidR="005F0151" w:rsidRPr="00F207F5" w:rsidRDefault="005F0151" w:rsidP="005F0151">
            <w:pPr>
              <w:keepNext/>
              <w:jc w:val="center"/>
            </w:pPr>
            <w:r w:rsidRPr="00F207F5">
              <w:t>Nem gyakori</w:t>
            </w:r>
          </w:p>
        </w:tc>
        <w:tc>
          <w:tcPr>
            <w:tcW w:w="1876" w:type="dxa"/>
            <w:shd w:val="clear" w:color="auto" w:fill="auto"/>
          </w:tcPr>
          <w:p w14:paraId="4B6628D8" w14:textId="77777777" w:rsidR="005F0151" w:rsidRPr="00F207F5" w:rsidRDefault="005F0151" w:rsidP="005F0151">
            <w:pPr>
              <w:keepNext/>
              <w:jc w:val="center"/>
            </w:pPr>
            <w:r w:rsidRPr="00F207F5">
              <w:t>Nem ismert</w:t>
            </w:r>
          </w:p>
        </w:tc>
      </w:tr>
    </w:tbl>
    <w:p w14:paraId="28933CDD" w14:textId="77777777" w:rsidR="007543BB" w:rsidRPr="00C8605C" w:rsidRDefault="002D677C" w:rsidP="00C8605C">
      <w:pPr>
        <w:rPr>
          <w:sz w:val="20"/>
          <w:szCs w:val="20"/>
        </w:rPr>
      </w:pPr>
      <w:r w:rsidRPr="00C8605C">
        <w:rPr>
          <w:sz w:val="20"/>
          <w:szCs w:val="20"/>
        </w:rPr>
        <w:t>* A CV185057 vizsgálatban (VTE hosszú távú megelőzése) nem fordult elő egész testre kiterjedő pruritus.</w:t>
      </w:r>
    </w:p>
    <w:p w14:paraId="3392AE2C" w14:textId="344999EA" w:rsidR="007543BB" w:rsidRPr="00C8605C" w:rsidRDefault="00C8605C" w:rsidP="00C8605C">
      <w:pPr>
        <w:rPr>
          <w:sz w:val="20"/>
          <w:szCs w:val="20"/>
        </w:rPr>
      </w:pPr>
      <w:r w:rsidRPr="004311F4">
        <w:rPr>
          <w:sz w:val="20"/>
          <w:szCs w:val="20"/>
          <w:vertAlign w:val="superscript"/>
        </w:rPr>
        <w:t>†</w:t>
      </w:r>
      <w:r w:rsidR="002D677C" w:rsidRPr="00C8605C">
        <w:rPr>
          <w:sz w:val="20"/>
          <w:szCs w:val="20"/>
        </w:rPr>
        <w:t xml:space="preserve"> Az „Agyvérzés” kifejezés minden intracranialis és intraspinalis vérzést magába foglal (azaz a haemorrhagiás stroke-ot, illetve a putamen, cerebellum vérzéseit és az intraventricularis és subduralis vérzéseket).</w:t>
      </w:r>
    </w:p>
    <w:p w14:paraId="1D309731" w14:textId="2F279649" w:rsidR="007543BB" w:rsidRPr="00C8605C" w:rsidRDefault="00C8605C" w:rsidP="00C8605C">
      <w:pPr>
        <w:rPr>
          <w:sz w:val="20"/>
          <w:szCs w:val="20"/>
        </w:rPr>
      </w:pPr>
      <w:r w:rsidRPr="004311F4">
        <w:rPr>
          <w:sz w:val="20"/>
          <w:szCs w:val="20"/>
          <w:vertAlign w:val="superscript"/>
        </w:rPr>
        <w:t>‡</w:t>
      </w:r>
      <w:r w:rsidR="002D677C" w:rsidRPr="00C8605C">
        <w:rPr>
          <w:sz w:val="20"/>
          <w:szCs w:val="20"/>
        </w:rPr>
        <w:t xml:space="preserve"> Magában foglalja az anaphylaxiás reakciót, a gyógyszer-túlérzékenységet és a túlérzékenységet.</w:t>
      </w:r>
    </w:p>
    <w:p w14:paraId="6C24F808" w14:textId="77777777" w:rsidR="007543BB" w:rsidRPr="00C8605C" w:rsidRDefault="002D677C" w:rsidP="00C8605C">
      <w:pPr>
        <w:rPr>
          <w:sz w:val="20"/>
          <w:szCs w:val="20"/>
        </w:rPr>
      </w:pPr>
      <w:r w:rsidRPr="00C8605C">
        <w:rPr>
          <w:sz w:val="20"/>
          <w:szCs w:val="20"/>
          <w:vertAlign w:val="superscript"/>
        </w:rPr>
        <w:t>§</w:t>
      </w:r>
      <w:r w:rsidRPr="00C8605C">
        <w:rPr>
          <w:sz w:val="20"/>
          <w:szCs w:val="20"/>
        </w:rPr>
        <w:t xml:space="preserve"> Magában foglalja az erős menstruációs vérzést, a menstruációs vérzések közötti vérzést és a hüvelyi vérzést.</w:t>
      </w:r>
    </w:p>
    <w:p w14:paraId="614C44D0" w14:textId="77777777" w:rsidR="007543BB" w:rsidRPr="00C8605C" w:rsidRDefault="007543BB" w:rsidP="00C8605C"/>
    <w:p w14:paraId="45F8CDC8" w14:textId="2501C63B" w:rsidR="007543BB" w:rsidRDefault="002D677C" w:rsidP="00C8605C">
      <w:r w:rsidRPr="00C8605C">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w:t>
      </w:r>
      <w:r w:rsidR="006C4656">
        <w:t> </w:t>
      </w:r>
      <w:r w:rsidRPr="00C8605C">
        <w:t>pont).</w:t>
      </w:r>
    </w:p>
    <w:p w14:paraId="2D26A768" w14:textId="77777777" w:rsidR="00C8605C" w:rsidRPr="00C8605C" w:rsidRDefault="00C8605C" w:rsidP="00C8605C"/>
    <w:p w14:paraId="74FB52E9" w14:textId="77777777" w:rsidR="007543BB" w:rsidRDefault="002D677C" w:rsidP="00C8605C">
      <w:pPr>
        <w:keepNext/>
        <w:rPr>
          <w:u w:val="single"/>
        </w:rPr>
      </w:pPr>
      <w:r w:rsidRPr="00C8605C">
        <w:rPr>
          <w:u w:val="single"/>
        </w:rPr>
        <w:t>Gyermekek és serdülők</w:t>
      </w:r>
    </w:p>
    <w:p w14:paraId="3EFF40D1" w14:textId="77777777" w:rsidR="00C8605C" w:rsidRPr="00C8605C" w:rsidRDefault="00C8605C" w:rsidP="00C8605C">
      <w:pPr>
        <w:keepNext/>
        <w:rPr>
          <w:u w:val="single"/>
        </w:rPr>
      </w:pPr>
    </w:p>
    <w:p w14:paraId="68A8AC01" w14:textId="77777777" w:rsidR="007543BB" w:rsidRDefault="002D677C" w:rsidP="00C8605C">
      <w:r w:rsidRPr="00C8605C">
        <w:t>Az apixabán biztonságosságát 1, I. fázisú és 3, II/III. fázisú klinikai vizsgálatban, 970 beteg bevonásával vizsgálták. Közülük 568 beteg kapott egy vagy több dózis apixabánt összesen átlagosan 1, 24, 331 és 80 nap expozícióval (lásd 5.1 pont). A betegek testtömeg alapján korrigált dózisban és életkornak megfelelő gyógyszerformában kapták az apixabánt.</w:t>
      </w:r>
    </w:p>
    <w:p w14:paraId="3357B7D2" w14:textId="77777777" w:rsidR="00C8605C" w:rsidRPr="00C8605C" w:rsidRDefault="00C8605C" w:rsidP="00C8605C"/>
    <w:p w14:paraId="29DB89D7" w14:textId="77777777" w:rsidR="007543BB" w:rsidRDefault="002D677C" w:rsidP="00C8605C">
      <w:r w:rsidRPr="00C8605C">
        <w:t>Összességében az apixabán biztonságossági profilja a gyermekeknél és serdülőknél (28 napos kortól betöltött 18 éves életkorig) hasonló volt a felnőttekéhez, és általánosan konzisztens volt a különböző gyermekgyógyászati korcsoportokban.</w:t>
      </w:r>
    </w:p>
    <w:p w14:paraId="295CBC25" w14:textId="77777777" w:rsidR="00C8605C" w:rsidRPr="00C8605C" w:rsidRDefault="00C8605C" w:rsidP="00C8605C"/>
    <w:p w14:paraId="6643D106" w14:textId="77777777" w:rsidR="007543BB" w:rsidRDefault="002D677C" w:rsidP="00C8605C">
      <w:r w:rsidRPr="00C8605C">
        <w:t>Gyermekeknél és serdülőknél a leggyakrabban jelentett mellékhatás az epistaxis és a kóros hüvelyi vérzés volt (a mellékhatásprofilt és az indikációk szerinti gyakoriságokat lásd a 3. táblázatban).</w:t>
      </w:r>
    </w:p>
    <w:p w14:paraId="5DD6460E" w14:textId="77777777" w:rsidR="00C8605C" w:rsidRPr="00C8605C" w:rsidRDefault="00C8605C" w:rsidP="00C8605C"/>
    <w:p w14:paraId="52B6BDCD" w14:textId="204617FF" w:rsidR="007543BB" w:rsidRDefault="002D677C" w:rsidP="00C8605C">
      <w:r w:rsidRPr="00C8605C">
        <w:t xml:space="preserve">Gyermekeknél és serdülőknél az epistaxist (nagyon gyakori), kóros hüvelyi vérzést (nagyon gyakori), túlérzékenységet és anaphylaxiát (gyakori), pruritust (gyakori), hypotoniát (gyakori), haematocheziát (gyakori), emelkedett glutamát-oxálacetát-transzaminázszintet (gyakori), alopeciát (gyakori) és beavatkozás utáni vérzést (gyakori) gyakrabban jelentették, mint az apixabánnal kezelt felnőtteknél, de azonos gyakorisági kategóriával, mint a szokásos ellátás szerinti kezelést kapó karra beosztott gyermekeknél és serdülőknél; az egyetlen kivételt a kóros hüvelyi vérzés jelentette, amelyet gyakoriként jelentettek a szokásos ellátás szerinti kezelést alkalmazó karon. Emelkedett máj transzaminázszinteket </w:t>
      </w:r>
      <w:r w:rsidR="00156D91">
        <w:t>–</w:t>
      </w:r>
      <w:r w:rsidRPr="00C8605C">
        <w:t xml:space="preserve"> egy eset kivételével </w:t>
      </w:r>
      <w:r w:rsidR="00156D91">
        <w:t>–</w:t>
      </w:r>
      <w:r w:rsidRPr="00C8605C">
        <w:t xml:space="preserve"> olyan gyermekeknél és serdülőknél jelentettek, akik egyidejűleg kemoterápiát kaptak malignus alapbetegség miatt.</w:t>
      </w:r>
    </w:p>
    <w:p w14:paraId="41FC242E" w14:textId="77777777" w:rsidR="00C8605C" w:rsidRPr="00C8605C" w:rsidRDefault="00C8605C" w:rsidP="00C8605C"/>
    <w:p w14:paraId="479C4D85" w14:textId="77777777" w:rsidR="007543BB" w:rsidRDefault="002D677C" w:rsidP="0072626B">
      <w:pPr>
        <w:keepNext/>
        <w:rPr>
          <w:u w:val="single"/>
        </w:rPr>
      </w:pPr>
      <w:r w:rsidRPr="0072626B">
        <w:rPr>
          <w:u w:val="single"/>
        </w:rPr>
        <w:t>Feltételezett mellékhatások bejelentése</w:t>
      </w:r>
    </w:p>
    <w:p w14:paraId="32D7A4DF" w14:textId="77777777" w:rsidR="0072626B" w:rsidRPr="0072626B" w:rsidRDefault="0072626B" w:rsidP="0072626B">
      <w:pPr>
        <w:keepNext/>
        <w:rPr>
          <w:u w:val="single"/>
        </w:rPr>
      </w:pPr>
    </w:p>
    <w:p w14:paraId="5256BE4F" w14:textId="43CB20E4" w:rsidR="007543BB" w:rsidRDefault="002D677C" w:rsidP="0072626B">
      <w:r w:rsidRPr="0072626B">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bookmarkStart w:id="1" w:name="_Hlk198718103"/>
      <w:r w:rsidR="00F740B8">
        <w:fldChar w:fldCharType="begin"/>
      </w:r>
      <w:r w:rsidR="00F740B8">
        <w:instrText>HYPERLINK "https://www.ema.europa.eu/documents/template-form/qrd-appendix-v-adverse-drug-reaction-reporting-details_en.docx"</w:instrText>
      </w:r>
      <w:r w:rsidR="00F740B8">
        <w:fldChar w:fldCharType="separate"/>
      </w:r>
      <w:r w:rsidRPr="0072626B">
        <w:rPr>
          <w:rStyle w:val="Hiperhivatkozs"/>
          <w:highlight w:val="lightGray"/>
        </w:rPr>
        <w:t>V. függelékben</w:t>
      </w:r>
      <w:r w:rsidR="00F740B8">
        <w:rPr>
          <w:rStyle w:val="Hiperhivatkozs"/>
          <w:highlight w:val="lightGray"/>
        </w:rPr>
        <w:fldChar w:fldCharType="end"/>
      </w:r>
      <w:r w:rsidRPr="0072626B">
        <w:rPr>
          <w:highlight w:val="lightGray"/>
        </w:rPr>
        <w:t xml:space="preserve"> található elérhetőségek valamelyikén keresztül</w:t>
      </w:r>
      <w:bookmarkEnd w:id="1"/>
      <w:r w:rsidRPr="0072626B">
        <w:t>.</w:t>
      </w:r>
    </w:p>
    <w:p w14:paraId="549A7350" w14:textId="77777777" w:rsidR="0072626B" w:rsidRPr="0072626B" w:rsidRDefault="0072626B" w:rsidP="0072626B"/>
    <w:p w14:paraId="64CFB21E" w14:textId="6FFA7837" w:rsidR="007543BB" w:rsidRDefault="00390A1D" w:rsidP="0072626B">
      <w:pPr>
        <w:keepNext/>
        <w:ind w:left="567" w:hanging="567"/>
        <w:rPr>
          <w:b/>
          <w:bCs/>
        </w:rPr>
      </w:pPr>
      <w:r w:rsidRPr="0072626B">
        <w:rPr>
          <w:b/>
          <w:bCs/>
        </w:rPr>
        <w:t>4.9</w:t>
      </w:r>
      <w:r w:rsidRPr="0072626B">
        <w:rPr>
          <w:b/>
          <w:bCs/>
        </w:rPr>
        <w:tab/>
      </w:r>
      <w:r w:rsidR="002D677C" w:rsidRPr="0072626B">
        <w:rPr>
          <w:b/>
          <w:bCs/>
        </w:rPr>
        <w:t>Túladagolás</w:t>
      </w:r>
    </w:p>
    <w:p w14:paraId="30FC4BC6" w14:textId="77777777" w:rsidR="0072626B" w:rsidRPr="0072626B" w:rsidRDefault="0072626B" w:rsidP="0072626B">
      <w:pPr>
        <w:keepNext/>
        <w:ind w:left="567" w:hanging="567"/>
        <w:rPr>
          <w:b/>
          <w:bCs/>
        </w:rPr>
      </w:pPr>
    </w:p>
    <w:p w14:paraId="0EF10570" w14:textId="77777777" w:rsidR="007543BB" w:rsidRDefault="002D677C" w:rsidP="0072626B">
      <w:r w:rsidRPr="0072626B">
        <w:t>Az apixabán túladagolása a vérzés kockázatának növekedését eredményezheti. Vérzéses szövődmények esetén a kezelést le kell állítani, és ki kell deríteni a vérzés forrását. Mérlegelni kell a megfelelő kezelés elkezdését, pl. sebészi vérzéscsillapítást, friss fagyasztott plazma transzfúzióját vagy a Xa faktor-gátló hatás reverzióját biztosító szer adását (lásd 4.4 pont).</w:t>
      </w:r>
    </w:p>
    <w:p w14:paraId="74249586" w14:textId="77777777" w:rsidR="0072626B" w:rsidRPr="0072626B" w:rsidRDefault="0072626B" w:rsidP="0072626B"/>
    <w:p w14:paraId="4F6A59AD" w14:textId="0A6905F2" w:rsidR="007543BB" w:rsidRDefault="002D677C" w:rsidP="0072626B">
      <w:r w:rsidRPr="0072626B">
        <w:t>Egészséges felnőtt egyénekkel végzett kontrollos klinikai vizsgálatokban, amelyekben naponta maximum 50</w:t>
      </w:r>
      <w:r w:rsidR="006C4656">
        <w:t> </w:t>
      </w:r>
      <w:r w:rsidRPr="0072626B">
        <w:t>mg apixabánt adtak szájon át 3-7</w:t>
      </w:r>
      <w:r w:rsidR="006C4656">
        <w:t> </w:t>
      </w:r>
      <w:r w:rsidRPr="0072626B">
        <w:t>napig (25</w:t>
      </w:r>
      <w:r w:rsidR="006C4656">
        <w:t> </w:t>
      </w:r>
      <w:r w:rsidRPr="0072626B">
        <w:t>mg naponta kétszer 7</w:t>
      </w:r>
      <w:r w:rsidR="006C4656">
        <w:t xml:space="preserve"> </w:t>
      </w:r>
      <w:r w:rsidRPr="0072626B">
        <w:t>napon át vagy naponta egyszer 50</w:t>
      </w:r>
      <w:r w:rsidR="006C4656">
        <w:t xml:space="preserve"> </w:t>
      </w:r>
      <w:r w:rsidRPr="0072626B">
        <w:t>mg 3</w:t>
      </w:r>
      <w:r w:rsidR="006C4656">
        <w:t> </w:t>
      </w:r>
      <w:r w:rsidRPr="0072626B">
        <w:t>napon át), klinikailag jelentős mellékhatás nem fordult elő.</w:t>
      </w:r>
    </w:p>
    <w:p w14:paraId="3D8E894B" w14:textId="77777777" w:rsidR="0072626B" w:rsidRPr="0072626B" w:rsidRDefault="0072626B" w:rsidP="0072626B"/>
    <w:p w14:paraId="3DFF2055" w14:textId="660BACDD" w:rsidR="007543BB" w:rsidRDefault="002D677C" w:rsidP="0072626B">
      <w:r w:rsidRPr="0072626B">
        <w:t>Egészséges felnőtt alanyoknál 2 és 6</w:t>
      </w:r>
      <w:r w:rsidR="006C4656">
        <w:t> </w:t>
      </w:r>
      <w:r w:rsidRPr="0072626B">
        <w:t>órával egy 20</w:t>
      </w:r>
      <w:r w:rsidR="006C4656">
        <w:t> </w:t>
      </w:r>
      <w:r w:rsidRPr="0072626B">
        <w:t>mg-os apixabán dózis bevétele után az orvosi szén adása az átlagos apixabán AUC-t sorrendben 50%-kal és 27%-kal csökkentette, és nem volt hatással a C</w:t>
      </w:r>
      <w:r w:rsidRPr="0072626B">
        <w:rPr>
          <w:vertAlign w:val="subscript"/>
        </w:rPr>
        <w:t>max</w:t>
      </w:r>
      <w:r w:rsidRPr="0072626B">
        <w:t>-ra. Az apixabán átlagos felezési ideje az önmagában adott apixabán esetén észlelt 13,4</w:t>
      </w:r>
      <w:r w:rsidR="006C4656">
        <w:t> </w:t>
      </w:r>
      <w:r w:rsidRPr="0072626B">
        <w:t>óráról sorrendben 5,3</w:t>
      </w:r>
      <w:r w:rsidR="006C4656">
        <w:t> </w:t>
      </w:r>
      <w:r w:rsidRPr="0072626B">
        <w:t>órára, illetve 4,9</w:t>
      </w:r>
      <w:r w:rsidR="006C4656">
        <w:t xml:space="preserve"> </w:t>
      </w:r>
      <w:r w:rsidRPr="0072626B">
        <w:t>órára csökkent, ha az orvosi szenet 2 és 6</w:t>
      </w:r>
      <w:r w:rsidR="006C4656">
        <w:t> </w:t>
      </w:r>
      <w:r w:rsidRPr="0072626B">
        <w:t>órával az apixabán után adták. Így az orvosi szén alkalmazása az apixabán túladagolásának vagy véletlen lenyelésének kezelése esetén hasznos lehet.</w:t>
      </w:r>
    </w:p>
    <w:p w14:paraId="4D5D28C2" w14:textId="77777777" w:rsidR="0072626B" w:rsidRPr="0072626B" w:rsidRDefault="0072626B" w:rsidP="0072626B"/>
    <w:p w14:paraId="7F883896" w14:textId="68F38A9A" w:rsidR="007543BB" w:rsidRDefault="002D677C" w:rsidP="00390A1D">
      <w:pPr>
        <w:pStyle w:val="Szvegtrzs"/>
        <w:widowControl/>
      </w:pPr>
      <w:r>
        <w:rPr>
          <w:rStyle w:val="SzvegtrzsChar"/>
        </w:rPr>
        <w:t>Az apixabán egyszeri, 5</w:t>
      </w:r>
      <w:r w:rsidR="004058B6">
        <w:rPr>
          <w:rStyle w:val="SzvegtrzsChar"/>
        </w:rPr>
        <w:t> </w:t>
      </w:r>
      <w:r>
        <w:rPr>
          <w:rStyle w:val="SzvegtrzsChar"/>
        </w:rPr>
        <w:t>mg-os adagjának szájon át történő alkalmazása esetén a haemodialysis 14%-kal csökkentette az apixabán AUC értékét végstádiumú vesebetegségben (ESRD) szenvedőknél. Ezért a haemodialysis valószínűleg nem hatékony módszer az apixabán-túladagolás kezelésére.</w:t>
      </w:r>
    </w:p>
    <w:p w14:paraId="27EFDF49" w14:textId="359C5E90" w:rsidR="007543BB" w:rsidRDefault="002D677C" w:rsidP="0072626B">
      <w:r w:rsidRPr="0072626B">
        <w:t>Ha életveszélyes vagy kontrollálatlan vérzés miatt szükség van az antikoagulálás felfüggesztésére, felnőttek számára rendelkezésre áll egy szer (andexanet-alfa) a Xa faktor-inhibitorok aktivitásának felfüggesztésére (lásd 4.4</w:t>
      </w:r>
      <w:r w:rsidR="004058B6">
        <w:t> </w:t>
      </w:r>
      <w:r w:rsidRPr="0072626B">
        <w:t>pont). Prothrombinkomplex-koncentrátumok (PCC-k) vagy rekombináns VIIa faktor alkalmazása is mérlegelhető. Az apixabán farmakodinámiás hatásainak megszűnése, amit a thrombinképződési tesztben beálló változások mutattak, az infúzió beadásának végén nyilvánvaló volt és a 30</w:t>
      </w:r>
      <w:r w:rsidR="004058B6">
        <w:t> </w:t>
      </w:r>
      <w:r w:rsidRPr="0072626B">
        <w:t>perces 4</w:t>
      </w:r>
      <w:r w:rsidR="004058B6">
        <w:t> </w:t>
      </w:r>
      <w:r w:rsidRPr="0072626B">
        <w:t>faktoros PCC-infúzió kezdetétől számított 4</w:t>
      </w:r>
      <w:r w:rsidR="004058B6">
        <w:t> </w:t>
      </w:r>
      <w:r w:rsidRPr="0072626B">
        <w:t>órán belül állt vissza a kiindulási értékekre egészséges alanyoknál. Mindamellett nincs klinikai tapasztalat az apixabánnal kezelt betegek vérzésének leállítására adott 4</w:t>
      </w:r>
      <w:r w:rsidR="004058B6">
        <w:t> </w:t>
      </w:r>
      <w:r w:rsidRPr="0072626B">
        <w:t>faktoros PCC-készítmények alkalmazására vonatkozóan. Jelenleg még nincs tapasztalat a rekombináns VIIa faktor apixabánt szedő betegeknél történő alkalmazásával kapcsolatban. A vérzés csökkenésétől függően megfontolandó a rekombináns VIIa faktor ismételt adása és az adag módosítása.</w:t>
      </w:r>
    </w:p>
    <w:p w14:paraId="1063E974" w14:textId="77777777" w:rsidR="0072626B" w:rsidRPr="0072626B" w:rsidRDefault="0072626B" w:rsidP="0072626B"/>
    <w:p w14:paraId="3855B2AF" w14:textId="77777777" w:rsidR="007543BB" w:rsidRDefault="002D677C" w:rsidP="0072626B">
      <w:r w:rsidRPr="0072626B">
        <w:t>Az apixabán farmakodinámiás hatását antagonizáló specifikus antidótumot (andexanet-alfa) nem vizsgálták gyermekek és serdülők körében (lásd az andexanet-alfa alkalmazási előírását). Friss fagyasztott plazma transzfúziója, PCC-k alkalmazása vagy rekombináns VIIa faktor alkalmazása is mérlegelhető.</w:t>
      </w:r>
    </w:p>
    <w:p w14:paraId="6498B1B7" w14:textId="77777777" w:rsidR="0072626B" w:rsidRPr="0072626B" w:rsidRDefault="0072626B" w:rsidP="0072626B"/>
    <w:p w14:paraId="4AB4C222" w14:textId="77777777" w:rsidR="007543BB" w:rsidRDefault="002D677C" w:rsidP="0072626B">
      <w:r w:rsidRPr="0072626B">
        <w:t>Súlyos vérzés esetén, helyi elérhetőségtől függően, ajánlatos egy véralvadási szakértővel történő konzultáció.</w:t>
      </w:r>
    </w:p>
    <w:p w14:paraId="3BB3BFAC" w14:textId="77777777" w:rsidR="0072626B" w:rsidRDefault="0072626B" w:rsidP="0072626B"/>
    <w:p w14:paraId="498C72BF" w14:textId="77777777" w:rsidR="0072626B" w:rsidRPr="0072626B" w:rsidRDefault="0072626B" w:rsidP="0072626B"/>
    <w:p w14:paraId="13887509" w14:textId="4926C904" w:rsidR="007543BB" w:rsidRDefault="00390A1D" w:rsidP="009F51B8">
      <w:pPr>
        <w:keepNext/>
        <w:ind w:left="567" w:hanging="567"/>
        <w:rPr>
          <w:b/>
          <w:bCs/>
        </w:rPr>
      </w:pPr>
      <w:r w:rsidRPr="009F51B8">
        <w:rPr>
          <w:b/>
          <w:bCs/>
        </w:rPr>
        <w:t>5.</w:t>
      </w:r>
      <w:r w:rsidRPr="009F51B8">
        <w:rPr>
          <w:b/>
          <w:bCs/>
        </w:rPr>
        <w:tab/>
      </w:r>
      <w:r w:rsidR="002D677C" w:rsidRPr="009F51B8">
        <w:rPr>
          <w:b/>
          <w:bCs/>
        </w:rPr>
        <w:t>FARMAKOLÓGIAI TULAJDONSÁGOK</w:t>
      </w:r>
    </w:p>
    <w:p w14:paraId="1E35BDA0" w14:textId="77777777" w:rsidR="0072626B" w:rsidRPr="009F51B8" w:rsidRDefault="0072626B" w:rsidP="009F51B8">
      <w:pPr>
        <w:keepNext/>
        <w:ind w:left="567" w:hanging="567"/>
        <w:rPr>
          <w:b/>
          <w:bCs/>
        </w:rPr>
      </w:pPr>
    </w:p>
    <w:p w14:paraId="74FE9636" w14:textId="258A63E3" w:rsidR="007543BB" w:rsidRDefault="00390A1D" w:rsidP="009F51B8">
      <w:pPr>
        <w:keepNext/>
        <w:ind w:left="567" w:hanging="567"/>
        <w:rPr>
          <w:b/>
          <w:bCs/>
        </w:rPr>
      </w:pPr>
      <w:r>
        <w:rPr>
          <w:b/>
          <w:bCs/>
        </w:rPr>
        <w:t>5.1</w:t>
      </w:r>
      <w:r>
        <w:rPr>
          <w:b/>
          <w:bCs/>
        </w:rPr>
        <w:tab/>
      </w:r>
      <w:r w:rsidR="002D677C" w:rsidRPr="0089574A">
        <w:rPr>
          <w:b/>
          <w:bCs/>
        </w:rPr>
        <w:t>Farmakodinámiás tulajdonságok</w:t>
      </w:r>
    </w:p>
    <w:p w14:paraId="521595A6" w14:textId="77777777" w:rsidR="0072626B" w:rsidRPr="009F51B8" w:rsidRDefault="0072626B" w:rsidP="009F51B8">
      <w:pPr>
        <w:keepNext/>
        <w:ind w:left="567" w:hanging="567"/>
        <w:rPr>
          <w:b/>
          <w:bCs/>
        </w:rPr>
      </w:pPr>
    </w:p>
    <w:p w14:paraId="65D57B71" w14:textId="77777777" w:rsidR="007543BB" w:rsidRDefault="002D677C" w:rsidP="0072626B">
      <w:r w:rsidRPr="0072626B">
        <w:t>Farmakoterápiás csoport: antithrombotikus szerek, direkt Xa faktor inhibitorok, ATC-kód: B01AF02</w:t>
      </w:r>
    </w:p>
    <w:p w14:paraId="208F1282" w14:textId="77777777" w:rsidR="0072626B" w:rsidRPr="0072626B" w:rsidRDefault="0072626B" w:rsidP="0072626B"/>
    <w:p w14:paraId="49ED988F" w14:textId="77777777" w:rsidR="007543BB" w:rsidRDefault="002D677C" w:rsidP="0072626B">
      <w:pPr>
        <w:keepNext/>
        <w:rPr>
          <w:u w:val="single"/>
        </w:rPr>
      </w:pPr>
      <w:r w:rsidRPr="0072626B">
        <w:rPr>
          <w:u w:val="single"/>
        </w:rPr>
        <w:t>Hatásmechanizmus</w:t>
      </w:r>
    </w:p>
    <w:p w14:paraId="5F6D7378" w14:textId="77777777" w:rsidR="0072626B" w:rsidRPr="0072626B" w:rsidRDefault="0072626B" w:rsidP="0072626B">
      <w:pPr>
        <w:keepNext/>
        <w:rPr>
          <w:u w:val="single"/>
        </w:rPr>
      </w:pPr>
    </w:p>
    <w:p w14:paraId="3B027F1D" w14:textId="77777777" w:rsidR="007543BB" w:rsidRDefault="002D677C" w:rsidP="0072626B">
      <w:r w:rsidRPr="0072626B">
        <w:t>Az apixabán a Xa faktor aktív centrumának egy erős, orális, reverzibilis, direkt és nagy szelektivitású inhibitora. Az antithromboticus hatás kifejtéséhez nem igényel antithrombin III-at. Az apixabán gátolja a szabad és a véralvadékhoz kötött Xa faktort és a prothrombináz aktivitást. Az apixabán nincs közvetlen hatással a thrombocyta-aggregációra, de közvetetten gátolja a thrombin indukálta thrombocyta-aggregációt. A Xa faktor gátlásával az apixabán megakadályozza a thrombin képződését és a thrombusok kialakulását. Az állatmodelleken apixabánnal végzett preklinikai vizsgálatok a haemostasist fenntartó dózisok mellett kimutatták az artériás és vénás thrombosis megelőzésére alkalmas antithromboticus hatásosságot.</w:t>
      </w:r>
    </w:p>
    <w:p w14:paraId="1365C1BD" w14:textId="77777777" w:rsidR="0072626B" w:rsidRPr="0072626B" w:rsidRDefault="0072626B" w:rsidP="0072626B"/>
    <w:p w14:paraId="69D35B37" w14:textId="77777777" w:rsidR="007543BB" w:rsidRDefault="002D677C" w:rsidP="0072626B">
      <w:pPr>
        <w:keepNext/>
        <w:rPr>
          <w:u w:val="single"/>
        </w:rPr>
      </w:pPr>
      <w:r w:rsidRPr="0072626B">
        <w:rPr>
          <w:u w:val="single"/>
        </w:rPr>
        <w:t>Farmakodinámiás hatások</w:t>
      </w:r>
    </w:p>
    <w:p w14:paraId="68645137" w14:textId="77777777" w:rsidR="0072626B" w:rsidRPr="0072626B" w:rsidRDefault="0072626B" w:rsidP="0072626B">
      <w:pPr>
        <w:keepNext/>
        <w:rPr>
          <w:u w:val="single"/>
        </w:rPr>
      </w:pPr>
    </w:p>
    <w:p w14:paraId="6C5F4B75" w14:textId="49022E5F" w:rsidR="007543BB" w:rsidRDefault="002D677C" w:rsidP="0072626B">
      <w:r w:rsidRPr="0072626B">
        <w:t>Az apixabán farmakodinámiás hatásai a hatásmechanizmusával (Xa faktor gátlása) vannak összhangban. A Xa faktor gátlás eredményeképpen az apixabán megnyújtja a véralvadási tesztek eredményeit, így a prothrombin időt (PI), az INR-t és az aktivált parciális thromboplastinidőt (aPTI). Felnőtteknél a véralvadási vizsgálatok eredményeiben megfigyelt változások az elvárt terápiás adagolás mellett mérsékeltek és nagy variabilitást mutatnak. Ezek a vizsgálatok nem javasoltak az apixabán farmakodinámiás hatásának értékelésére. A thrombinképződési tesztben az apixabán csökkentette az endogén thrombin potenciált, amely humán plazmában a thrombinképződés mutatója.</w:t>
      </w:r>
    </w:p>
    <w:p w14:paraId="09B073E1" w14:textId="77777777" w:rsidR="0072626B" w:rsidRPr="0072626B" w:rsidRDefault="0072626B" w:rsidP="0072626B"/>
    <w:p w14:paraId="1EDEB8B9" w14:textId="47E1861F" w:rsidR="007543BB" w:rsidRDefault="002D677C" w:rsidP="0072626B">
      <w:r w:rsidRPr="0072626B">
        <w:t>Az apixabán Xa faktor-ellenes aktivitást (anti-Factor Xa activity, AXA) is mutat, ami a Xa faktor enzim aktivitásának csökkenéséből is nyilvánvaló, ami többféle, kereskedelmi forgalomban kapható</w:t>
      </w:r>
      <w:r w:rsidR="0072626B">
        <w:t> </w:t>
      </w:r>
      <w:r w:rsidRPr="0072626B">
        <w:t>Xa faktor-ellenes szett esetén is jelentkezhet, bár az eredmények szettenként változnak. A felnőtteknél végzett klinikai vizsgálatból származó adatok kizárólag a Rotachrom</w:t>
      </w:r>
      <w:r w:rsidRPr="0072626B">
        <w:rPr>
          <w:vertAlign w:val="superscript"/>
        </w:rPr>
        <w:t>®</w:t>
      </w:r>
      <w:r w:rsidRPr="0072626B">
        <w:t xml:space="preserve"> Heparin kromogén teszt esetén állnak rendelkezésre. A Xa faktor-ellenes aktivitás szoros és közvetlen lineáris összefüggést mutat az apixabán plazmakoncentrációjával, maximális értékét az apixabán plazma csúcskoncentrációjának időpontjában éri el. Az apixabán plazmakoncentrációja és Xa faktor-ellenes aktivitása közti összefüggés az apixabán széles dózistartományában megközelítőleg lineáris. A gyermekeknél és serdülőknél végzett vizsgálatok azt mutatják, hogy az apixabán koncentrációja és a Xa faktor-ellenes aktivitás közötti lineáris összefüggés konzisztens a felnőtteknél már korábban dokumentált összefüggéssel. Ez alátámasztja az apixabán szelektív Xa faktor-gátlóként dokumentált hatásmechanizmusát.</w:t>
      </w:r>
    </w:p>
    <w:p w14:paraId="0A065385" w14:textId="77777777" w:rsidR="0072626B" w:rsidRPr="0072626B" w:rsidRDefault="0072626B" w:rsidP="0072626B"/>
    <w:p w14:paraId="6161565D" w14:textId="1D77295B" w:rsidR="007543BB" w:rsidRDefault="002D677C" w:rsidP="0072626B">
      <w:r w:rsidRPr="0072626B">
        <w:t xml:space="preserve">Az alábbi </w:t>
      </w:r>
      <w:r w:rsidR="00804FA6">
        <w:t>3</w:t>
      </w:r>
      <w:r w:rsidRPr="0072626B">
        <w:t>.</w:t>
      </w:r>
      <w:r w:rsidR="004058B6">
        <w:t> </w:t>
      </w:r>
      <w:r w:rsidRPr="0072626B">
        <w:t>táblázat a dinamikus egyensúlyi állapotban várható apixabán koncentrációt és Xa faktor</w:t>
      </w:r>
      <w:r w:rsidRPr="0072626B">
        <w:softHyphen/>
        <w:t>ellenes aktivitást mutatja felnőtteknél, az egyes indikációkban. A nem billentyű eredetű pitvarfibrillációban szenvedő betegeknél, akik az apixabánt a stroke és a szisztémás embolizáció megelőzésére szedik, az eredmények kevesebb mint 1,7-szeres fluktuációt mutatnak a legmagasabb és a legalacsonyabb szintek között. Azoknál a betegeknél, akik az apixabánt az MVT és a PE kezelésére, illetve az MVT és a PE kiújulásának a megelőzésére szedik, az eredmények kevesebb mint 2,2-szeres fluktuációt mutatnak a legmagasabb és a legalacsonyabb szintek között.</w:t>
      </w:r>
    </w:p>
    <w:p w14:paraId="733A90A2" w14:textId="77777777" w:rsidR="0072626B" w:rsidRDefault="0072626B" w:rsidP="0072626B"/>
    <w:p w14:paraId="70252C56" w14:textId="7F7A4E43" w:rsidR="0072626B" w:rsidRPr="0072626B" w:rsidRDefault="00804FA6" w:rsidP="0072626B">
      <w:pPr>
        <w:keepNext/>
        <w:rPr>
          <w:b/>
          <w:bCs/>
        </w:rPr>
      </w:pPr>
      <w:r>
        <w:rPr>
          <w:b/>
          <w:bCs/>
        </w:rPr>
        <w:t>3</w:t>
      </w:r>
      <w:r w:rsidR="0072626B" w:rsidRPr="0072626B">
        <w:rPr>
          <w:b/>
          <w:bCs/>
        </w:rPr>
        <w:t>.</w:t>
      </w:r>
      <w:r w:rsidR="004058B6">
        <w:rPr>
          <w:b/>
          <w:bCs/>
        </w:rPr>
        <w:t> </w:t>
      </w:r>
      <w:r w:rsidR="0072626B" w:rsidRPr="0072626B">
        <w:rPr>
          <w:b/>
          <w:bCs/>
        </w:rPr>
        <w:t xml:space="preserve">táblázat: Dinamikus egyensúlyi állapotban várható apixabán koncentráció és Xa faktor-ellenes </w:t>
      </w:r>
      <w:r w:rsidR="0072626B" w:rsidRPr="004311F4">
        <w:rPr>
          <w:b/>
          <w:bCs/>
          <w:lang w:eastAsia="en-US" w:bidi="en-US"/>
        </w:rPr>
        <w:t>aktivitás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920"/>
        <w:gridCol w:w="1915"/>
        <w:gridCol w:w="1915"/>
        <w:gridCol w:w="1616"/>
        <w:gridCol w:w="1701"/>
      </w:tblGrid>
      <w:tr w:rsidR="0072626B" w:rsidRPr="0072626B" w14:paraId="2FBA4843" w14:textId="77777777" w:rsidTr="00303563">
        <w:trPr>
          <w:cantSplit/>
          <w:tblHeader/>
        </w:trPr>
        <w:tc>
          <w:tcPr>
            <w:tcW w:w="1920" w:type="dxa"/>
            <w:shd w:val="clear" w:color="auto" w:fill="auto"/>
          </w:tcPr>
          <w:p w14:paraId="7AD4B92F" w14:textId="77777777" w:rsidR="0072626B" w:rsidRPr="0072626B" w:rsidRDefault="0072626B" w:rsidP="0072626B">
            <w:pPr>
              <w:keepNext/>
            </w:pPr>
          </w:p>
        </w:tc>
        <w:tc>
          <w:tcPr>
            <w:tcW w:w="1915" w:type="dxa"/>
            <w:shd w:val="clear" w:color="auto" w:fill="auto"/>
          </w:tcPr>
          <w:p w14:paraId="4DD134F6" w14:textId="77777777" w:rsidR="0072626B" w:rsidRPr="0072626B" w:rsidRDefault="0072626B" w:rsidP="0072626B">
            <w:pPr>
              <w:keepNext/>
              <w:jc w:val="center"/>
              <w:rPr>
                <w:b/>
                <w:bCs/>
              </w:rPr>
            </w:pPr>
            <w:r w:rsidRPr="0072626B">
              <w:rPr>
                <w:b/>
                <w:bCs/>
              </w:rPr>
              <w:t>apixabán</w:t>
            </w:r>
          </w:p>
          <w:p w14:paraId="6DE9A8FE" w14:textId="77777777" w:rsidR="0072626B" w:rsidRPr="0072626B" w:rsidRDefault="0072626B" w:rsidP="0072626B">
            <w:pPr>
              <w:keepNext/>
              <w:jc w:val="center"/>
              <w:rPr>
                <w:b/>
                <w:bCs/>
              </w:rPr>
            </w:pPr>
            <w:r w:rsidRPr="0072626B">
              <w:rPr>
                <w:b/>
                <w:bCs/>
              </w:rPr>
              <w:t>C</w:t>
            </w:r>
            <w:r w:rsidRPr="0072626B">
              <w:rPr>
                <w:b/>
                <w:bCs/>
                <w:vertAlign w:val="subscript"/>
              </w:rPr>
              <w:t>max</w:t>
            </w:r>
            <w:r w:rsidRPr="0072626B">
              <w:rPr>
                <w:b/>
                <w:bCs/>
              </w:rPr>
              <w:t xml:space="preserve"> (ng/ml)</w:t>
            </w:r>
          </w:p>
        </w:tc>
        <w:tc>
          <w:tcPr>
            <w:tcW w:w="1915" w:type="dxa"/>
            <w:shd w:val="clear" w:color="auto" w:fill="auto"/>
          </w:tcPr>
          <w:p w14:paraId="3804FA21" w14:textId="77777777" w:rsidR="0072626B" w:rsidRPr="0072626B" w:rsidRDefault="0072626B" w:rsidP="0072626B">
            <w:pPr>
              <w:keepNext/>
              <w:jc w:val="center"/>
              <w:rPr>
                <w:b/>
                <w:bCs/>
              </w:rPr>
            </w:pPr>
            <w:r w:rsidRPr="0072626B">
              <w:rPr>
                <w:b/>
                <w:bCs/>
              </w:rPr>
              <w:t>apixabán</w:t>
            </w:r>
          </w:p>
          <w:p w14:paraId="31FCA685" w14:textId="77777777" w:rsidR="0072626B" w:rsidRPr="0072626B" w:rsidRDefault="0072626B" w:rsidP="0072626B">
            <w:pPr>
              <w:keepNext/>
              <w:jc w:val="center"/>
              <w:rPr>
                <w:b/>
                <w:bCs/>
              </w:rPr>
            </w:pPr>
            <w:r w:rsidRPr="0072626B">
              <w:rPr>
                <w:b/>
                <w:bCs/>
              </w:rPr>
              <w:t>C</w:t>
            </w:r>
            <w:r w:rsidRPr="0072626B">
              <w:rPr>
                <w:b/>
                <w:bCs/>
                <w:vertAlign w:val="subscript"/>
              </w:rPr>
              <w:t>min</w:t>
            </w:r>
            <w:r w:rsidRPr="0072626B">
              <w:rPr>
                <w:b/>
                <w:bCs/>
              </w:rPr>
              <w:t xml:space="preserve"> (ng/ml)</w:t>
            </w:r>
          </w:p>
        </w:tc>
        <w:tc>
          <w:tcPr>
            <w:tcW w:w="1616" w:type="dxa"/>
            <w:shd w:val="clear" w:color="auto" w:fill="auto"/>
          </w:tcPr>
          <w:p w14:paraId="19A0E626" w14:textId="77777777" w:rsidR="004058B6" w:rsidRDefault="0072626B" w:rsidP="0072626B">
            <w:pPr>
              <w:keepNext/>
              <w:jc w:val="center"/>
              <w:rPr>
                <w:b/>
                <w:bCs/>
              </w:rPr>
            </w:pPr>
            <w:r w:rsidRPr="0072626B">
              <w:rPr>
                <w:b/>
                <w:bCs/>
              </w:rPr>
              <w:t xml:space="preserve">apixabán Xa faktor-ellenes </w:t>
            </w:r>
          </w:p>
          <w:p w14:paraId="5756F343" w14:textId="77777777" w:rsidR="004058B6" w:rsidRDefault="0072626B" w:rsidP="0072626B">
            <w:pPr>
              <w:keepNext/>
              <w:jc w:val="center"/>
              <w:rPr>
                <w:b/>
                <w:bCs/>
              </w:rPr>
            </w:pPr>
            <w:r w:rsidRPr="0072626B">
              <w:rPr>
                <w:b/>
                <w:bCs/>
              </w:rPr>
              <w:t xml:space="preserve">aktivitás maximális </w:t>
            </w:r>
          </w:p>
          <w:p w14:paraId="448D10B0" w14:textId="336F7E8F" w:rsidR="0072626B" w:rsidRPr="0072626B" w:rsidRDefault="0072626B" w:rsidP="0072626B">
            <w:pPr>
              <w:keepNext/>
              <w:jc w:val="center"/>
              <w:rPr>
                <w:b/>
                <w:bCs/>
              </w:rPr>
            </w:pPr>
            <w:r w:rsidRPr="0072626B">
              <w:rPr>
                <w:b/>
                <w:bCs/>
              </w:rPr>
              <w:t>(NE/ml)</w:t>
            </w:r>
          </w:p>
        </w:tc>
        <w:tc>
          <w:tcPr>
            <w:tcW w:w="1701" w:type="dxa"/>
            <w:shd w:val="clear" w:color="auto" w:fill="auto"/>
          </w:tcPr>
          <w:p w14:paraId="79C6DC0C" w14:textId="77777777" w:rsidR="004058B6" w:rsidRDefault="0072626B" w:rsidP="0072626B">
            <w:pPr>
              <w:keepNext/>
              <w:jc w:val="center"/>
              <w:rPr>
                <w:b/>
                <w:bCs/>
              </w:rPr>
            </w:pPr>
            <w:r w:rsidRPr="0072626B">
              <w:rPr>
                <w:b/>
                <w:bCs/>
              </w:rPr>
              <w:t xml:space="preserve">apixabán Xa faktor-ellenes </w:t>
            </w:r>
          </w:p>
          <w:p w14:paraId="770C0C6D" w14:textId="77777777" w:rsidR="004058B6" w:rsidRDefault="0072626B" w:rsidP="0072626B">
            <w:pPr>
              <w:keepNext/>
              <w:jc w:val="center"/>
              <w:rPr>
                <w:b/>
                <w:bCs/>
              </w:rPr>
            </w:pPr>
            <w:r w:rsidRPr="0072626B">
              <w:rPr>
                <w:b/>
                <w:bCs/>
              </w:rPr>
              <w:t xml:space="preserve">aktivitás minimális </w:t>
            </w:r>
          </w:p>
          <w:p w14:paraId="72C5F7A4" w14:textId="00BD3E4F" w:rsidR="0072626B" w:rsidRPr="0072626B" w:rsidRDefault="0072626B" w:rsidP="0072626B">
            <w:pPr>
              <w:keepNext/>
              <w:jc w:val="center"/>
              <w:rPr>
                <w:b/>
                <w:bCs/>
              </w:rPr>
            </w:pPr>
            <w:r w:rsidRPr="0072626B">
              <w:rPr>
                <w:b/>
                <w:bCs/>
              </w:rPr>
              <w:t>(NE/ml)</w:t>
            </w:r>
          </w:p>
        </w:tc>
      </w:tr>
      <w:tr w:rsidR="0072626B" w:rsidRPr="0072626B" w14:paraId="0245C3DF" w14:textId="77777777" w:rsidTr="00303563">
        <w:trPr>
          <w:cantSplit/>
          <w:tblHeader/>
        </w:trPr>
        <w:tc>
          <w:tcPr>
            <w:tcW w:w="1920" w:type="dxa"/>
            <w:shd w:val="clear" w:color="auto" w:fill="auto"/>
          </w:tcPr>
          <w:p w14:paraId="18730B95" w14:textId="77777777" w:rsidR="0072626B" w:rsidRPr="0072626B" w:rsidRDefault="0072626B" w:rsidP="0072626B">
            <w:pPr>
              <w:keepNext/>
            </w:pPr>
          </w:p>
        </w:tc>
        <w:tc>
          <w:tcPr>
            <w:tcW w:w="7147" w:type="dxa"/>
            <w:gridSpan w:val="4"/>
            <w:shd w:val="clear" w:color="auto" w:fill="auto"/>
          </w:tcPr>
          <w:p w14:paraId="1090136C" w14:textId="77777777" w:rsidR="0072626B" w:rsidRPr="0072626B" w:rsidRDefault="0072626B" w:rsidP="0072626B">
            <w:pPr>
              <w:keepNext/>
              <w:jc w:val="center"/>
            </w:pPr>
            <w:r w:rsidRPr="0072626B">
              <w:t>medián [5; 95 percentilis]</w:t>
            </w:r>
          </w:p>
        </w:tc>
      </w:tr>
      <w:tr w:rsidR="0072626B" w:rsidRPr="0072626B" w14:paraId="17E1074E" w14:textId="77777777" w:rsidTr="00303563">
        <w:trPr>
          <w:cantSplit/>
        </w:trPr>
        <w:tc>
          <w:tcPr>
            <w:tcW w:w="9067" w:type="dxa"/>
            <w:gridSpan w:val="5"/>
            <w:shd w:val="clear" w:color="auto" w:fill="auto"/>
          </w:tcPr>
          <w:p w14:paraId="4977E6E0" w14:textId="77777777" w:rsidR="0072626B" w:rsidRPr="0072626B" w:rsidRDefault="0072626B" w:rsidP="0072626B">
            <w:pPr>
              <w:keepNext/>
              <w:rPr>
                <w:i/>
                <w:iCs/>
              </w:rPr>
            </w:pPr>
            <w:r w:rsidRPr="0072626B">
              <w:rPr>
                <w:i/>
                <w:iCs/>
              </w:rPr>
              <w:t>A stroke és a szisztémás embolizáció megelőzése: NVPF</w:t>
            </w:r>
          </w:p>
        </w:tc>
      </w:tr>
      <w:tr w:rsidR="0072626B" w:rsidRPr="0072626B" w14:paraId="4EBA67EE" w14:textId="77777777" w:rsidTr="00303563">
        <w:trPr>
          <w:cantSplit/>
        </w:trPr>
        <w:tc>
          <w:tcPr>
            <w:tcW w:w="1920" w:type="dxa"/>
            <w:shd w:val="clear" w:color="auto" w:fill="auto"/>
          </w:tcPr>
          <w:p w14:paraId="2EE20358" w14:textId="251F17E6" w:rsidR="0072626B" w:rsidRPr="0072626B" w:rsidRDefault="0072626B" w:rsidP="004058B6">
            <w:pPr>
              <w:keepNext/>
            </w:pPr>
            <w:r w:rsidRPr="0072626B">
              <w:t>2,5</w:t>
            </w:r>
            <w:r w:rsidR="004058B6">
              <w:t> </w:t>
            </w:r>
            <w:r w:rsidRPr="0072626B">
              <w:t>mg naponta kétszer*</w:t>
            </w:r>
          </w:p>
        </w:tc>
        <w:tc>
          <w:tcPr>
            <w:tcW w:w="1915" w:type="dxa"/>
            <w:shd w:val="clear" w:color="auto" w:fill="auto"/>
          </w:tcPr>
          <w:p w14:paraId="2FA70FCD" w14:textId="77777777" w:rsidR="0072626B" w:rsidRPr="0072626B" w:rsidRDefault="0072626B" w:rsidP="0072626B">
            <w:pPr>
              <w:keepNext/>
              <w:jc w:val="center"/>
            </w:pPr>
            <w:r w:rsidRPr="0072626B">
              <w:t>123 [69; 221]</w:t>
            </w:r>
          </w:p>
        </w:tc>
        <w:tc>
          <w:tcPr>
            <w:tcW w:w="1915" w:type="dxa"/>
            <w:shd w:val="clear" w:color="auto" w:fill="auto"/>
          </w:tcPr>
          <w:p w14:paraId="3715F43B" w14:textId="77777777" w:rsidR="0072626B" w:rsidRPr="0072626B" w:rsidRDefault="0072626B" w:rsidP="0072626B">
            <w:pPr>
              <w:keepNext/>
              <w:jc w:val="center"/>
            </w:pPr>
            <w:r w:rsidRPr="0072626B">
              <w:t>79 [34; 162]</w:t>
            </w:r>
          </w:p>
        </w:tc>
        <w:tc>
          <w:tcPr>
            <w:tcW w:w="1616" w:type="dxa"/>
            <w:shd w:val="clear" w:color="auto" w:fill="auto"/>
          </w:tcPr>
          <w:p w14:paraId="60473D38" w14:textId="77777777" w:rsidR="0072626B" w:rsidRPr="0072626B" w:rsidRDefault="0072626B" w:rsidP="0072626B">
            <w:pPr>
              <w:keepNext/>
              <w:jc w:val="center"/>
            </w:pPr>
            <w:r w:rsidRPr="0072626B">
              <w:t>1,8 [1,0; 3,3]</w:t>
            </w:r>
          </w:p>
        </w:tc>
        <w:tc>
          <w:tcPr>
            <w:tcW w:w="1701" w:type="dxa"/>
            <w:shd w:val="clear" w:color="auto" w:fill="auto"/>
          </w:tcPr>
          <w:p w14:paraId="2804799E" w14:textId="77777777" w:rsidR="0072626B" w:rsidRPr="0072626B" w:rsidRDefault="0072626B" w:rsidP="0072626B">
            <w:pPr>
              <w:keepNext/>
              <w:jc w:val="center"/>
            </w:pPr>
            <w:r w:rsidRPr="0072626B">
              <w:t>1,2 [0,51; 2,4]</w:t>
            </w:r>
          </w:p>
        </w:tc>
      </w:tr>
      <w:tr w:rsidR="0072626B" w:rsidRPr="0072626B" w14:paraId="2BFABA3D" w14:textId="77777777" w:rsidTr="00303563">
        <w:trPr>
          <w:cantSplit/>
        </w:trPr>
        <w:tc>
          <w:tcPr>
            <w:tcW w:w="1920" w:type="dxa"/>
            <w:shd w:val="clear" w:color="auto" w:fill="auto"/>
          </w:tcPr>
          <w:p w14:paraId="603204E1" w14:textId="34E4A6ED" w:rsidR="0072626B" w:rsidRPr="0072626B" w:rsidRDefault="0072626B" w:rsidP="004058B6">
            <w:pPr>
              <w:keepNext/>
            </w:pPr>
            <w:r w:rsidRPr="0072626B">
              <w:t>5</w:t>
            </w:r>
            <w:r w:rsidR="004058B6">
              <w:t> </w:t>
            </w:r>
            <w:r w:rsidRPr="0072626B">
              <w:t>mg naponta kétszer</w:t>
            </w:r>
          </w:p>
        </w:tc>
        <w:tc>
          <w:tcPr>
            <w:tcW w:w="1915" w:type="dxa"/>
            <w:shd w:val="clear" w:color="auto" w:fill="auto"/>
          </w:tcPr>
          <w:p w14:paraId="79F20965" w14:textId="3C134D6E" w:rsidR="0072626B" w:rsidRPr="0072626B" w:rsidRDefault="0072626B" w:rsidP="0072626B">
            <w:pPr>
              <w:keepNext/>
              <w:jc w:val="center"/>
            </w:pPr>
            <w:r w:rsidRPr="0072626B">
              <w:t>171 [91;</w:t>
            </w:r>
            <w:r w:rsidR="00156D91">
              <w:t xml:space="preserve"> </w:t>
            </w:r>
            <w:r w:rsidRPr="0072626B">
              <w:t>321]</w:t>
            </w:r>
          </w:p>
        </w:tc>
        <w:tc>
          <w:tcPr>
            <w:tcW w:w="1915" w:type="dxa"/>
            <w:shd w:val="clear" w:color="auto" w:fill="auto"/>
          </w:tcPr>
          <w:p w14:paraId="555F69D7" w14:textId="77777777" w:rsidR="0072626B" w:rsidRPr="0072626B" w:rsidRDefault="0072626B" w:rsidP="0072626B">
            <w:pPr>
              <w:keepNext/>
              <w:jc w:val="center"/>
            </w:pPr>
            <w:r w:rsidRPr="0072626B">
              <w:t>103 [41; 230]</w:t>
            </w:r>
          </w:p>
        </w:tc>
        <w:tc>
          <w:tcPr>
            <w:tcW w:w="1616" w:type="dxa"/>
            <w:shd w:val="clear" w:color="auto" w:fill="auto"/>
          </w:tcPr>
          <w:p w14:paraId="486C4A93" w14:textId="77777777" w:rsidR="0072626B" w:rsidRPr="0072626B" w:rsidRDefault="0072626B" w:rsidP="0072626B">
            <w:pPr>
              <w:keepNext/>
              <w:jc w:val="center"/>
            </w:pPr>
            <w:r w:rsidRPr="0072626B">
              <w:t>2,6 [1,4; 4,8]</w:t>
            </w:r>
          </w:p>
        </w:tc>
        <w:tc>
          <w:tcPr>
            <w:tcW w:w="1701" w:type="dxa"/>
            <w:shd w:val="clear" w:color="auto" w:fill="auto"/>
          </w:tcPr>
          <w:p w14:paraId="7D75D1B3" w14:textId="77777777" w:rsidR="0072626B" w:rsidRPr="0072626B" w:rsidRDefault="0072626B" w:rsidP="0072626B">
            <w:pPr>
              <w:keepNext/>
              <w:jc w:val="center"/>
            </w:pPr>
            <w:r w:rsidRPr="0072626B">
              <w:t>1,5 [0,61; 3,4]</w:t>
            </w:r>
          </w:p>
        </w:tc>
      </w:tr>
      <w:tr w:rsidR="004058B6" w:rsidRPr="0072626B" w14:paraId="7B24C2AA" w14:textId="77777777" w:rsidTr="00303563">
        <w:trPr>
          <w:cantSplit/>
        </w:trPr>
        <w:tc>
          <w:tcPr>
            <w:tcW w:w="1920" w:type="dxa"/>
            <w:shd w:val="clear" w:color="auto" w:fill="auto"/>
          </w:tcPr>
          <w:p w14:paraId="4CE6F3F2" w14:textId="77777777" w:rsidR="004058B6" w:rsidRPr="0072626B" w:rsidRDefault="004058B6" w:rsidP="004058B6">
            <w:pPr>
              <w:keepNext/>
            </w:pPr>
          </w:p>
        </w:tc>
        <w:tc>
          <w:tcPr>
            <w:tcW w:w="1915" w:type="dxa"/>
            <w:shd w:val="clear" w:color="auto" w:fill="auto"/>
          </w:tcPr>
          <w:p w14:paraId="53297B28" w14:textId="321CD782" w:rsidR="004058B6" w:rsidRPr="0072626B" w:rsidRDefault="004058B6" w:rsidP="004058B6">
            <w:pPr>
              <w:keepNext/>
              <w:jc w:val="center"/>
            </w:pPr>
            <w:r w:rsidRPr="00E44A78">
              <w:rPr>
                <w:b/>
              </w:rPr>
              <w:t>Apix. C</w:t>
            </w:r>
            <w:r w:rsidRPr="00E44A78">
              <w:rPr>
                <w:b/>
                <w:vertAlign w:val="subscript"/>
              </w:rPr>
              <w:t>max</w:t>
            </w:r>
            <w:r w:rsidRPr="00E44A78">
              <w:rPr>
                <w:b/>
              </w:rPr>
              <w:t xml:space="preserve"> (ng/m</w:t>
            </w:r>
            <w:r>
              <w:rPr>
                <w:b/>
              </w:rPr>
              <w:t>l</w:t>
            </w:r>
            <w:r w:rsidRPr="00E44A78">
              <w:rPr>
                <w:b/>
              </w:rPr>
              <w:t>)</w:t>
            </w:r>
          </w:p>
        </w:tc>
        <w:tc>
          <w:tcPr>
            <w:tcW w:w="1915" w:type="dxa"/>
            <w:shd w:val="clear" w:color="auto" w:fill="auto"/>
          </w:tcPr>
          <w:p w14:paraId="79668B1D" w14:textId="3EE78E05" w:rsidR="004058B6" w:rsidRPr="0072626B" w:rsidRDefault="004058B6" w:rsidP="004058B6">
            <w:pPr>
              <w:keepNext/>
              <w:jc w:val="center"/>
            </w:pPr>
            <w:r w:rsidRPr="00E44A78">
              <w:rPr>
                <w:b/>
              </w:rPr>
              <w:t>Apix. C</w:t>
            </w:r>
            <w:r w:rsidRPr="00E44A78">
              <w:rPr>
                <w:b/>
                <w:vertAlign w:val="subscript"/>
              </w:rPr>
              <w:t>min</w:t>
            </w:r>
            <w:r w:rsidRPr="00E44A78">
              <w:rPr>
                <w:b/>
              </w:rPr>
              <w:t xml:space="preserve"> (ng/m</w:t>
            </w:r>
            <w:r>
              <w:rPr>
                <w:b/>
              </w:rPr>
              <w:t>l</w:t>
            </w:r>
            <w:r w:rsidRPr="00E44A78">
              <w:rPr>
                <w:b/>
              </w:rPr>
              <w:t>)</w:t>
            </w:r>
          </w:p>
        </w:tc>
        <w:tc>
          <w:tcPr>
            <w:tcW w:w="1616" w:type="dxa"/>
            <w:shd w:val="clear" w:color="auto" w:fill="auto"/>
          </w:tcPr>
          <w:p w14:paraId="07389764" w14:textId="4994EE33" w:rsidR="004058B6" w:rsidRPr="00E44A78" w:rsidRDefault="004058B6" w:rsidP="004058B6">
            <w:pPr>
              <w:keepNext/>
              <w:ind w:right="40"/>
              <w:jc w:val="center"/>
            </w:pPr>
            <w:r>
              <w:rPr>
                <w:b/>
              </w:rPr>
              <w:t>Apix. anti-fak</w:t>
            </w:r>
            <w:r w:rsidRPr="00E44A78">
              <w:rPr>
                <w:b/>
              </w:rPr>
              <w:t xml:space="preserve">tor </w:t>
            </w:r>
          </w:p>
          <w:p w14:paraId="21149B71" w14:textId="12696483" w:rsidR="004058B6" w:rsidRPr="00E44A78" w:rsidRDefault="004058B6" w:rsidP="004058B6">
            <w:pPr>
              <w:keepNext/>
              <w:ind w:right="40"/>
              <w:jc w:val="center"/>
            </w:pPr>
            <w:r w:rsidRPr="00E44A78">
              <w:rPr>
                <w:b/>
              </w:rPr>
              <w:t>Xa a</w:t>
            </w:r>
            <w:r>
              <w:rPr>
                <w:b/>
              </w:rPr>
              <w:t>ktivitás</w:t>
            </w:r>
            <w:r w:rsidRPr="00E44A78">
              <w:rPr>
                <w:b/>
              </w:rPr>
              <w:t xml:space="preserve"> max </w:t>
            </w:r>
          </w:p>
          <w:p w14:paraId="6DF3D2B7" w14:textId="77CE127A" w:rsidR="004058B6" w:rsidRPr="0072626B" w:rsidRDefault="004058B6" w:rsidP="004058B6">
            <w:pPr>
              <w:keepNext/>
              <w:jc w:val="center"/>
            </w:pPr>
            <w:r w:rsidRPr="00E44A78">
              <w:rPr>
                <w:b/>
              </w:rPr>
              <w:t>(IU/m</w:t>
            </w:r>
            <w:r>
              <w:rPr>
                <w:b/>
              </w:rPr>
              <w:t>l</w:t>
            </w:r>
            <w:r w:rsidRPr="00E44A78">
              <w:rPr>
                <w:b/>
              </w:rPr>
              <w:t>)</w:t>
            </w:r>
          </w:p>
        </w:tc>
        <w:tc>
          <w:tcPr>
            <w:tcW w:w="1701" w:type="dxa"/>
            <w:shd w:val="clear" w:color="auto" w:fill="auto"/>
          </w:tcPr>
          <w:p w14:paraId="30317258" w14:textId="4A4B958A" w:rsidR="004058B6" w:rsidRPr="00E44A78" w:rsidRDefault="004058B6" w:rsidP="004058B6">
            <w:pPr>
              <w:keepNext/>
              <w:ind w:right="37"/>
              <w:jc w:val="center"/>
            </w:pPr>
            <w:r w:rsidRPr="00E44A78">
              <w:rPr>
                <w:b/>
              </w:rPr>
              <w:t>Apix. anti-</w:t>
            </w:r>
            <w:r>
              <w:rPr>
                <w:b/>
              </w:rPr>
              <w:t>fak</w:t>
            </w:r>
            <w:r w:rsidRPr="00E44A78">
              <w:rPr>
                <w:b/>
              </w:rPr>
              <w:t xml:space="preserve">tor </w:t>
            </w:r>
          </w:p>
          <w:p w14:paraId="73FC6EA3" w14:textId="1624589F" w:rsidR="004058B6" w:rsidRPr="00E44A78" w:rsidRDefault="004058B6" w:rsidP="004058B6">
            <w:pPr>
              <w:keepNext/>
              <w:ind w:right="37"/>
              <w:jc w:val="center"/>
            </w:pPr>
            <w:r w:rsidRPr="00E44A78">
              <w:rPr>
                <w:b/>
              </w:rPr>
              <w:t>Xa a</w:t>
            </w:r>
            <w:r>
              <w:rPr>
                <w:b/>
              </w:rPr>
              <w:t>ktivitás</w:t>
            </w:r>
            <w:r w:rsidRPr="00E44A78">
              <w:rPr>
                <w:b/>
              </w:rPr>
              <w:t xml:space="preserve"> min </w:t>
            </w:r>
          </w:p>
          <w:p w14:paraId="3DE7A7FF" w14:textId="0A5BFE32" w:rsidR="004058B6" w:rsidRPr="0072626B" w:rsidRDefault="004058B6" w:rsidP="004058B6">
            <w:pPr>
              <w:keepNext/>
              <w:jc w:val="center"/>
            </w:pPr>
            <w:r w:rsidRPr="00E44A78">
              <w:rPr>
                <w:b/>
              </w:rPr>
              <w:t>(IU/m</w:t>
            </w:r>
            <w:r>
              <w:rPr>
                <w:b/>
              </w:rPr>
              <w:t>l</w:t>
            </w:r>
            <w:r w:rsidRPr="00E44A78">
              <w:rPr>
                <w:b/>
              </w:rPr>
              <w:t>)</w:t>
            </w:r>
          </w:p>
        </w:tc>
      </w:tr>
      <w:tr w:rsidR="004058B6" w:rsidRPr="0072626B" w14:paraId="1AA7D2D1" w14:textId="77777777" w:rsidTr="00303563">
        <w:trPr>
          <w:cantSplit/>
        </w:trPr>
        <w:tc>
          <w:tcPr>
            <w:tcW w:w="9067" w:type="dxa"/>
            <w:gridSpan w:val="5"/>
            <w:shd w:val="clear" w:color="auto" w:fill="auto"/>
          </w:tcPr>
          <w:p w14:paraId="4CC77387" w14:textId="77777777" w:rsidR="004058B6" w:rsidRPr="0072626B" w:rsidRDefault="004058B6" w:rsidP="004058B6">
            <w:pPr>
              <w:keepNext/>
              <w:jc w:val="center"/>
              <w:rPr>
                <w:i/>
                <w:iCs/>
              </w:rPr>
            </w:pPr>
            <w:r w:rsidRPr="0072626B">
              <w:rPr>
                <w:i/>
                <w:iCs/>
              </w:rPr>
              <w:t>Az MVT kezelése, a PE kezelése, valamint az MVT és a PE kiújulásának megelőzése (VTEt)</w:t>
            </w:r>
          </w:p>
        </w:tc>
      </w:tr>
      <w:tr w:rsidR="004058B6" w:rsidRPr="0072626B" w14:paraId="507A4EA0" w14:textId="77777777" w:rsidTr="00303563">
        <w:trPr>
          <w:cantSplit/>
        </w:trPr>
        <w:tc>
          <w:tcPr>
            <w:tcW w:w="1920" w:type="dxa"/>
            <w:shd w:val="clear" w:color="auto" w:fill="auto"/>
          </w:tcPr>
          <w:p w14:paraId="334F6E6C" w14:textId="42E499CE" w:rsidR="004058B6" w:rsidRPr="0072626B" w:rsidRDefault="004058B6" w:rsidP="004058B6">
            <w:pPr>
              <w:keepNext/>
            </w:pPr>
            <w:r w:rsidRPr="0072626B">
              <w:t>2,5</w:t>
            </w:r>
            <w:r>
              <w:t> </w:t>
            </w:r>
            <w:r w:rsidRPr="0072626B">
              <w:t>mg naponta kétszer</w:t>
            </w:r>
          </w:p>
        </w:tc>
        <w:tc>
          <w:tcPr>
            <w:tcW w:w="1915" w:type="dxa"/>
            <w:shd w:val="clear" w:color="auto" w:fill="auto"/>
          </w:tcPr>
          <w:p w14:paraId="094BFE8D" w14:textId="77777777" w:rsidR="004058B6" w:rsidRPr="0072626B" w:rsidRDefault="004058B6" w:rsidP="004058B6">
            <w:pPr>
              <w:keepNext/>
              <w:jc w:val="center"/>
            </w:pPr>
            <w:r w:rsidRPr="0072626B">
              <w:t>67 [30; 153]</w:t>
            </w:r>
          </w:p>
        </w:tc>
        <w:tc>
          <w:tcPr>
            <w:tcW w:w="1915" w:type="dxa"/>
            <w:shd w:val="clear" w:color="auto" w:fill="auto"/>
          </w:tcPr>
          <w:p w14:paraId="43712E7B" w14:textId="77777777" w:rsidR="004058B6" w:rsidRPr="0072626B" w:rsidRDefault="004058B6" w:rsidP="004058B6">
            <w:pPr>
              <w:keepNext/>
              <w:jc w:val="center"/>
            </w:pPr>
            <w:r w:rsidRPr="0072626B">
              <w:t>32 [11; 90]</w:t>
            </w:r>
          </w:p>
        </w:tc>
        <w:tc>
          <w:tcPr>
            <w:tcW w:w="1616" w:type="dxa"/>
            <w:shd w:val="clear" w:color="auto" w:fill="auto"/>
          </w:tcPr>
          <w:p w14:paraId="6810F48E" w14:textId="77777777" w:rsidR="004058B6" w:rsidRPr="0072626B" w:rsidRDefault="004058B6" w:rsidP="004058B6">
            <w:pPr>
              <w:keepNext/>
              <w:jc w:val="center"/>
            </w:pPr>
            <w:r w:rsidRPr="0072626B">
              <w:t>1,0 [0,46; 2,5]</w:t>
            </w:r>
          </w:p>
        </w:tc>
        <w:tc>
          <w:tcPr>
            <w:tcW w:w="1701" w:type="dxa"/>
            <w:shd w:val="clear" w:color="auto" w:fill="auto"/>
          </w:tcPr>
          <w:p w14:paraId="6D82DD8D" w14:textId="77777777" w:rsidR="004058B6" w:rsidRPr="0072626B" w:rsidRDefault="004058B6" w:rsidP="004058B6">
            <w:pPr>
              <w:keepNext/>
              <w:jc w:val="center"/>
            </w:pPr>
            <w:r w:rsidRPr="0072626B">
              <w:t>0,49 [0,17; 1,4]</w:t>
            </w:r>
          </w:p>
        </w:tc>
      </w:tr>
      <w:tr w:rsidR="004058B6" w:rsidRPr="0072626B" w14:paraId="4C6723FE" w14:textId="77777777" w:rsidTr="00303563">
        <w:trPr>
          <w:cantSplit/>
        </w:trPr>
        <w:tc>
          <w:tcPr>
            <w:tcW w:w="1920" w:type="dxa"/>
            <w:shd w:val="clear" w:color="auto" w:fill="auto"/>
          </w:tcPr>
          <w:p w14:paraId="7F27393F" w14:textId="56ED4728" w:rsidR="004058B6" w:rsidRPr="0072626B" w:rsidRDefault="004058B6" w:rsidP="004058B6">
            <w:pPr>
              <w:keepNext/>
            </w:pPr>
            <w:r w:rsidRPr="0072626B">
              <w:t>5</w:t>
            </w:r>
            <w:r>
              <w:t> </w:t>
            </w:r>
            <w:r w:rsidRPr="0072626B">
              <w:t>mg naponta kétszer</w:t>
            </w:r>
          </w:p>
        </w:tc>
        <w:tc>
          <w:tcPr>
            <w:tcW w:w="1915" w:type="dxa"/>
            <w:shd w:val="clear" w:color="auto" w:fill="auto"/>
          </w:tcPr>
          <w:p w14:paraId="1ECC2006" w14:textId="77777777" w:rsidR="004058B6" w:rsidRPr="0072626B" w:rsidRDefault="004058B6" w:rsidP="004058B6">
            <w:pPr>
              <w:keepNext/>
              <w:jc w:val="center"/>
            </w:pPr>
            <w:r w:rsidRPr="0072626B">
              <w:t>132 [59; 302]</w:t>
            </w:r>
          </w:p>
        </w:tc>
        <w:tc>
          <w:tcPr>
            <w:tcW w:w="1915" w:type="dxa"/>
            <w:shd w:val="clear" w:color="auto" w:fill="auto"/>
          </w:tcPr>
          <w:p w14:paraId="17F53CA8" w14:textId="77777777" w:rsidR="004058B6" w:rsidRPr="0072626B" w:rsidRDefault="004058B6" w:rsidP="004058B6">
            <w:pPr>
              <w:keepNext/>
              <w:jc w:val="center"/>
            </w:pPr>
            <w:r w:rsidRPr="0072626B">
              <w:t>63 [22; 177]</w:t>
            </w:r>
          </w:p>
        </w:tc>
        <w:tc>
          <w:tcPr>
            <w:tcW w:w="1616" w:type="dxa"/>
            <w:shd w:val="clear" w:color="auto" w:fill="auto"/>
          </w:tcPr>
          <w:p w14:paraId="3624AE88" w14:textId="77777777" w:rsidR="004058B6" w:rsidRPr="0072626B" w:rsidRDefault="004058B6" w:rsidP="004058B6">
            <w:pPr>
              <w:keepNext/>
              <w:jc w:val="center"/>
            </w:pPr>
            <w:r w:rsidRPr="0072626B">
              <w:t>2,1 [0,91; 5,2]</w:t>
            </w:r>
          </w:p>
        </w:tc>
        <w:tc>
          <w:tcPr>
            <w:tcW w:w="1701" w:type="dxa"/>
            <w:shd w:val="clear" w:color="auto" w:fill="auto"/>
          </w:tcPr>
          <w:p w14:paraId="38486568" w14:textId="77777777" w:rsidR="004058B6" w:rsidRPr="0072626B" w:rsidRDefault="004058B6" w:rsidP="004058B6">
            <w:pPr>
              <w:keepNext/>
              <w:jc w:val="center"/>
            </w:pPr>
            <w:r w:rsidRPr="0072626B">
              <w:t>1,0 [0,33; 2,9]</w:t>
            </w:r>
          </w:p>
        </w:tc>
      </w:tr>
      <w:tr w:rsidR="004058B6" w:rsidRPr="0072626B" w14:paraId="35A72ECD" w14:textId="77777777" w:rsidTr="00303563">
        <w:trPr>
          <w:cantSplit/>
        </w:trPr>
        <w:tc>
          <w:tcPr>
            <w:tcW w:w="1920" w:type="dxa"/>
            <w:shd w:val="clear" w:color="auto" w:fill="auto"/>
          </w:tcPr>
          <w:p w14:paraId="2BDC9F9E" w14:textId="67CFA2C5" w:rsidR="004058B6" w:rsidRPr="0072626B" w:rsidRDefault="004058B6" w:rsidP="004058B6">
            <w:pPr>
              <w:keepNext/>
            </w:pPr>
            <w:r w:rsidRPr="0072626B">
              <w:t>10</w:t>
            </w:r>
            <w:r>
              <w:t> </w:t>
            </w:r>
            <w:r w:rsidRPr="0072626B">
              <w:t>mg naponta kétszer</w:t>
            </w:r>
          </w:p>
        </w:tc>
        <w:tc>
          <w:tcPr>
            <w:tcW w:w="1915" w:type="dxa"/>
            <w:shd w:val="clear" w:color="auto" w:fill="auto"/>
          </w:tcPr>
          <w:p w14:paraId="49E429CB" w14:textId="4B8E4CDA" w:rsidR="004058B6" w:rsidRPr="0072626B" w:rsidRDefault="004058B6" w:rsidP="004058B6">
            <w:pPr>
              <w:keepNext/>
              <w:jc w:val="center"/>
            </w:pPr>
            <w:r w:rsidRPr="0072626B">
              <w:t>251 [111;</w:t>
            </w:r>
            <w:r>
              <w:t xml:space="preserve"> </w:t>
            </w:r>
            <w:r w:rsidRPr="0072626B">
              <w:t>572]</w:t>
            </w:r>
          </w:p>
        </w:tc>
        <w:tc>
          <w:tcPr>
            <w:tcW w:w="1915" w:type="dxa"/>
            <w:shd w:val="clear" w:color="auto" w:fill="auto"/>
          </w:tcPr>
          <w:p w14:paraId="51242FD4" w14:textId="77777777" w:rsidR="004058B6" w:rsidRPr="0072626B" w:rsidRDefault="004058B6" w:rsidP="004058B6">
            <w:pPr>
              <w:keepNext/>
              <w:jc w:val="center"/>
            </w:pPr>
            <w:r w:rsidRPr="0072626B">
              <w:t>120 [41; 335]</w:t>
            </w:r>
          </w:p>
        </w:tc>
        <w:tc>
          <w:tcPr>
            <w:tcW w:w="1616" w:type="dxa"/>
            <w:shd w:val="clear" w:color="auto" w:fill="auto"/>
          </w:tcPr>
          <w:p w14:paraId="744BC51C" w14:textId="77777777" w:rsidR="004058B6" w:rsidRPr="0072626B" w:rsidRDefault="004058B6" w:rsidP="004058B6">
            <w:pPr>
              <w:keepNext/>
              <w:jc w:val="center"/>
            </w:pPr>
            <w:r w:rsidRPr="0072626B">
              <w:t>4,2 [1,8; 10,8]</w:t>
            </w:r>
          </w:p>
        </w:tc>
        <w:tc>
          <w:tcPr>
            <w:tcW w:w="1701" w:type="dxa"/>
            <w:shd w:val="clear" w:color="auto" w:fill="auto"/>
          </w:tcPr>
          <w:p w14:paraId="19D5AEFF" w14:textId="77777777" w:rsidR="004058B6" w:rsidRPr="0072626B" w:rsidRDefault="004058B6" w:rsidP="004058B6">
            <w:pPr>
              <w:keepNext/>
              <w:jc w:val="center"/>
            </w:pPr>
            <w:r w:rsidRPr="0072626B">
              <w:t>1,9 [0,64; 5,8]</w:t>
            </w:r>
          </w:p>
        </w:tc>
      </w:tr>
    </w:tbl>
    <w:p w14:paraId="3A30D95A" w14:textId="23A44638" w:rsidR="0072626B" w:rsidRPr="0072626B" w:rsidRDefault="0072626B" w:rsidP="0072626B">
      <w:pPr>
        <w:rPr>
          <w:sz w:val="20"/>
          <w:szCs w:val="20"/>
        </w:rPr>
      </w:pPr>
      <w:r w:rsidRPr="0072626B">
        <w:rPr>
          <w:sz w:val="20"/>
          <w:szCs w:val="20"/>
        </w:rPr>
        <w:t>* Az ARISTOTLE vizsgálatban részt vett, 2 vagy 3</w:t>
      </w:r>
      <w:r w:rsidR="00D92997">
        <w:rPr>
          <w:sz w:val="20"/>
          <w:szCs w:val="20"/>
        </w:rPr>
        <w:t> </w:t>
      </w:r>
      <w:r w:rsidRPr="0072626B">
        <w:rPr>
          <w:sz w:val="20"/>
          <w:szCs w:val="20"/>
        </w:rPr>
        <w:t>dóziscsökkentési kritériumnak megfelelt és ez alapján dózismódosításban részesült betegek.</w:t>
      </w:r>
    </w:p>
    <w:p w14:paraId="6793F2B1" w14:textId="77777777" w:rsidR="007543BB" w:rsidRPr="0072626B" w:rsidRDefault="007543BB" w:rsidP="0072626B"/>
    <w:p w14:paraId="31D24C8A" w14:textId="77777777" w:rsidR="007543BB" w:rsidRDefault="002D677C" w:rsidP="0072626B">
      <w:r w:rsidRPr="0072626B">
        <w:t>Bár az apixabán-kezelés során nem szükséges az expozíció rutinszerű monitorozása, egy kalibrált, mennyiségi meghatározásra alkalmas anti-Xa faktor teszt hasznos lehet olyan kivételes helyzetekben, amikor az apixabán-expozíció ismerete segítségül szolgálhat a klinikai döntéshozatal során, például túladagoláskor és sürgős műtét esetén.</w:t>
      </w:r>
    </w:p>
    <w:p w14:paraId="0BF1F005" w14:textId="77777777" w:rsidR="002503DB" w:rsidRPr="002503DB" w:rsidRDefault="002503DB" w:rsidP="002503DB"/>
    <w:p w14:paraId="521E8F84" w14:textId="77777777" w:rsidR="007543BB" w:rsidRDefault="002D677C" w:rsidP="002503DB">
      <w:pPr>
        <w:keepNext/>
        <w:rPr>
          <w:u w:val="single"/>
        </w:rPr>
      </w:pPr>
      <w:r w:rsidRPr="002503DB">
        <w:rPr>
          <w:u w:val="single"/>
        </w:rPr>
        <w:t>Klinikai hatásosság és biztonságosság</w:t>
      </w:r>
    </w:p>
    <w:p w14:paraId="52A5C016" w14:textId="77777777" w:rsidR="002503DB" w:rsidRPr="002503DB" w:rsidRDefault="002503DB" w:rsidP="002503DB">
      <w:pPr>
        <w:keepNext/>
        <w:rPr>
          <w:u w:val="single"/>
        </w:rPr>
      </w:pPr>
    </w:p>
    <w:p w14:paraId="7974A366" w14:textId="77777777" w:rsidR="007543BB" w:rsidRPr="00303563" w:rsidRDefault="002D677C" w:rsidP="00303563">
      <w:pPr>
        <w:keepNext/>
        <w:rPr>
          <w:i/>
          <w:iCs/>
          <w:u w:val="single"/>
        </w:rPr>
      </w:pPr>
      <w:r w:rsidRPr="00303563">
        <w:rPr>
          <w:i/>
          <w:iCs/>
          <w:u w:val="single"/>
        </w:rPr>
        <w:t>A stroke és a szisztémás embolizáció megelőzése nem billentyű eredetű pitvarfibrillációban (NVPF) szenvedő betegeknél</w:t>
      </w:r>
    </w:p>
    <w:p w14:paraId="0AAD8834" w14:textId="5AEFE0B3" w:rsidR="007543BB" w:rsidRPr="00303563" w:rsidRDefault="002D677C" w:rsidP="00303563">
      <w:pPr>
        <w:keepNext/>
      </w:pPr>
      <w:r w:rsidRPr="00303563">
        <w:t>Összesen 23</w:t>
      </w:r>
      <w:r w:rsidR="003C3045">
        <w:t> </w:t>
      </w:r>
      <w:r w:rsidRPr="00303563">
        <w:t>799</w:t>
      </w:r>
      <w:r w:rsidR="003C3045">
        <w:t> </w:t>
      </w:r>
      <w:r w:rsidRPr="00303563">
        <w:t>felnőtt beteget randomizáltak a klinikai programba (ARISTOTLE: apixabán versus warfarin, AVERROES: apixabán versus ASA), közülük 11</w:t>
      </w:r>
      <w:r w:rsidR="003C3045">
        <w:t> </w:t>
      </w:r>
      <w:r w:rsidRPr="00303563">
        <w:t>927</w:t>
      </w:r>
      <w:r w:rsidR="003C3045">
        <w:t> </w:t>
      </w:r>
      <w:r w:rsidRPr="00303563">
        <w:t>beteget randomizáltak apixabánra. A programot úgy tervezték, hogy igazolja az apixabán hatásosságát és biztonságosságát a stroke és a szisztémás embolizáció prevenciója esetén a nem billentyű eredetű pitvarfibrillációban szenvedő olyan betegeknél, akiknek egy vagy több további kockázati tényezőjük is van, mint például:</w:t>
      </w:r>
    </w:p>
    <w:p w14:paraId="3E4EE804" w14:textId="36A57564" w:rsidR="007543BB" w:rsidRPr="00303563" w:rsidRDefault="002D677C" w:rsidP="00303563">
      <w:pPr>
        <w:pStyle w:val="Listaszerbekezds"/>
        <w:numPr>
          <w:ilvl w:val="0"/>
          <w:numId w:val="13"/>
        </w:numPr>
        <w:ind w:left="567" w:hanging="567"/>
      </w:pPr>
      <w:r w:rsidRPr="00303563">
        <w:t>korábbi stroke vagy transiens ischaemiás attack (TIA),</w:t>
      </w:r>
    </w:p>
    <w:p w14:paraId="7427B2F9" w14:textId="7F657DCF" w:rsidR="007543BB" w:rsidRPr="00303563" w:rsidRDefault="002D677C" w:rsidP="00303563">
      <w:pPr>
        <w:pStyle w:val="Listaszerbekezds"/>
        <w:numPr>
          <w:ilvl w:val="0"/>
          <w:numId w:val="13"/>
        </w:numPr>
        <w:ind w:left="567" w:hanging="567"/>
      </w:pPr>
      <w:r w:rsidRPr="00303563">
        <w:t>életkor</w:t>
      </w:r>
      <w:r w:rsidR="003C3045">
        <w:t> </w:t>
      </w:r>
      <w:r w:rsidR="00303563" w:rsidRPr="0072626B">
        <w:rPr>
          <w:lang w:val="es-ES"/>
        </w:rPr>
        <w:t>≥</w:t>
      </w:r>
      <w:r w:rsidRPr="00303563">
        <w:t>75</w:t>
      </w:r>
      <w:r w:rsidR="003C3045">
        <w:t> </w:t>
      </w:r>
      <w:r w:rsidRPr="00303563">
        <w:t xml:space="preserve"> év,</w:t>
      </w:r>
    </w:p>
    <w:p w14:paraId="3209EC46" w14:textId="1BABD9E7" w:rsidR="007543BB" w:rsidRPr="00303563" w:rsidRDefault="002D677C" w:rsidP="00303563">
      <w:pPr>
        <w:pStyle w:val="Listaszerbekezds"/>
        <w:numPr>
          <w:ilvl w:val="0"/>
          <w:numId w:val="13"/>
        </w:numPr>
        <w:ind w:left="567" w:hanging="567"/>
      </w:pPr>
      <w:r w:rsidRPr="00303563">
        <w:t>hypertonia,</w:t>
      </w:r>
    </w:p>
    <w:p w14:paraId="41BA0FF9" w14:textId="6A2E74DA" w:rsidR="007543BB" w:rsidRPr="00303563" w:rsidRDefault="002D677C" w:rsidP="00303563">
      <w:pPr>
        <w:pStyle w:val="Listaszerbekezds"/>
        <w:numPr>
          <w:ilvl w:val="0"/>
          <w:numId w:val="13"/>
        </w:numPr>
        <w:ind w:left="567" w:hanging="567"/>
      </w:pPr>
      <w:r w:rsidRPr="00303563">
        <w:t>diabetes mellitus,</w:t>
      </w:r>
    </w:p>
    <w:p w14:paraId="1A03956E" w14:textId="3BF81E56" w:rsidR="007543BB" w:rsidRDefault="002D677C" w:rsidP="00156D91">
      <w:pPr>
        <w:pStyle w:val="Listaszerbekezds"/>
        <w:numPr>
          <w:ilvl w:val="0"/>
          <w:numId w:val="13"/>
        </w:numPr>
        <w:ind w:left="567" w:hanging="567"/>
      </w:pPr>
      <w:r w:rsidRPr="00303563">
        <w:t>tünetekkel járó szívelégtelenség (NYHA stádium</w:t>
      </w:r>
      <w:r w:rsidR="003C3045">
        <w:t> </w:t>
      </w:r>
      <w:r w:rsidR="00156D91" w:rsidRPr="004311F4">
        <w:t>≥</w:t>
      </w:r>
      <w:r w:rsidRPr="00303563">
        <w:t>II).</w:t>
      </w:r>
    </w:p>
    <w:p w14:paraId="583A422B" w14:textId="77777777" w:rsidR="00303563" w:rsidRPr="00303563" w:rsidRDefault="00303563" w:rsidP="00303563"/>
    <w:p w14:paraId="16886BDD" w14:textId="77777777" w:rsidR="007543BB" w:rsidRPr="00303563" w:rsidRDefault="002D677C" w:rsidP="00303563">
      <w:pPr>
        <w:keepNext/>
        <w:rPr>
          <w:i/>
          <w:iCs/>
          <w:u w:val="single"/>
        </w:rPr>
      </w:pPr>
      <w:r w:rsidRPr="00303563">
        <w:rPr>
          <w:i/>
          <w:iCs/>
          <w:u w:val="single"/>
        </w:rPr>
        <w:t>ARISTOTLE vizsgálat</w:t>
      </w:r>
    </w:p>
    <w:p w14:paraId="0A9EBB08" w14:textId="47D7CB89" w:rsidR="007543BB" w:rsidRDefault="002D677C" w:rsidP="00303563">
      <w:r w:rsidRPr="00303563">
        <w:t>Az ARISTOTLE vizsgálatban összesen 18</w:t>
      </w:r>
      <w:r w:rsidR="002A4057">
        <w:t> </w:t>
      </w:r>
      <w:r w:rsidRPr="00303563">
        <w:t>201</w:t>
      </w:r>
      <w:r w:rsidR="002A4057">
        <w:t> </w:t>
      </w:r>
      <w:r w:rsidRPr="00303563">
        <w:t>felnőtt beteget randomizáltak naponta kétszer 5</w:t>
      </w:r>
      <w:r w:rsidR="002A4057">
        <w:t> </w:t>
      </w:r>
      <w:r w:rsidRPr="00303563">
        <w:t>mg (vagy kiválasztott betegeknél naponta kétszer 2,5</w:t>
      </w:r>
      <w:r w:rsidR="002A4057">
        <w:t> </w:t>
      </w:r>
      <w:r w:rsidRPr="00303563">
        <w:t>mg [4,7%], lásd 4.2</w:t>
      </w:r>
      <w:r w:rsidR="002A4057">
        <w:t> </w:t>
      </w:r>
      <w:r w:rsidRPr="00303563">
        <w:t>pont) apixabánnal vagy warfarinnal (cél INR-tartomány</w:t>
      </w:r>
      <w:r w:rsidR="002A4057">
        <w:t> </w:t>
      </w:r>
      <w:r w:rsidRPr="00303563">
        <w:t>2,0</w:t>
      </w:r>
      <w:r w:rsidR="002A4057">
        <w:noBreakHyphen/>
      </w:r>
      <w:r w:rsidRPr="00303563">
        <w:t>3,0) végzett kettős-vak kezelésre, és a betegek a vizsgált hatóanyagot átlagosan 20</w:t>
      </w:r>
      <w:r w:rsidR="002A4057">
        <w:t> </w:t>
      </w:r>
      <w:r w:rsidRPr="00303563">
        <w:t>hónapig kapták. Az átlagéletkor 69,1</w:t>
      </w:r>
      <w:r w:rsidR="002A4057">
        <w:t> </w:t>
      </w:r>
      <w:r w:rsidRPr="00303563">
        <w:t>év, az átlagos CHADS</w:t>
      </w:r>
      <w:r w:rsidRPr="00303563">
        <w:rPr>
          <w:vertAlign w:val="subscript"/>
        </w:rPr>
        <w:t>2</w:t>
      </w:r>
      <w:r w:rsidRPr="00303563">
        <w:t xml:space="preserve"> pontszám 2,1 volt, és a betegek 18,9%-ának volt korábban stroke-ja vagy TIA-ja.</w:t>
      </w:r>
    </w:p>
    <w:p w14:paraId="09BF100B" w14:textId="77777777" w:rsidR="00303563" w:rsidRPr="00303563" w:rsidRDefault="00303563" w:rsidP="00303563"/>
    <w:p w14:paraId="0679C8CC" w14:textId="4F486860" w:rsidR="007543BB" w:rsidRDefault="002D677C" w:rsidP="00303563">
      <w:r w:rsidRPr="00303563">
        <w:t xml:space="preserve">A vizsgálatban az apixabán a warfarinhoz képest statisztikailag szignifikánsan jobb volt a stroke prevenció (haemorrhagiás vagy ischaemiás) és szisztémás embolizáció elsődleges végpontban (lásd </w:t>
      </w:r>
      <w:r w:rsidR="00804FA6">
        <w:t>4</w:t>
      </w:r>
      <w:r w:rsidRPr="00303563">
        <w:t>.</w:t>
      </w:r>
      <w:r w:rsidR="002A4057">
        <w:t> </w:t>
      </w:r>
      <w:r w:rsidRPr="00303563">
        <w:t>táblázat).</w:t>
      </w:r>
    </w:p>
    <w:p w14:paraId="36D4B354" w14:textId="77777777" w:rsidR="00303563" w:rsidRPr="00303563" w:rsidRDefault="00303563" w:rsidP="00303563"/>
    <w:p w14:paraId="0918F801" w14:textId="27D9070A" w:rsidR="007543BB" w:rsidRPr="00303563" w:rsidRDefault="00804FA6" w:rsidP="00303563">
      <w:pPr>
        <w:keepNext/>
        <w:rPr>
          <w:b/>
          <w:bCs/>
        </w:rPr>
      </w:pPr>
      <w:r>
        <w:rPr>
          <w:b/>
          <w:bCs/>
        </w:rPr>
        <w:t>4</w:t>
      </w:r>
      <w:r w:rsidR="002D677C" w:rsidRPr="00303563">
        <w:rPr>
          <w:b/>
          <w:bCs/>
        </w:rPr>
        <w:t>.</w:t>
      </w:r>
      <w:r w:rsidR="002A4057">
        <w:rPr>
          <w:b/>
          <w:bCs/>
        </w:rPr>
        <w:t> </w:t>
      </w:r>
      <w:r w:rsidR="002D677C" w:rsidRPr="00303563">
        <w:rPr>
          <w:b/>
          <w:bCs/>
        </w:rPr>
        <w:t>táblázat: Hatásossági végpontok pitvarfibrilláló betegeknél az ARISTOTLE vizsgálatban</w:t>
      </w:r>
    </w:p>
    <w:tbl>
      <w:tblPr>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4106"/>
        <w:gridCol w:w="1134"/>
        <w:gridCol w:w="1134"/>
        <w:gridCol w:w="1701"/>
        <w:gridCol w:w="992"/>
      </w:tblGrid>
      <w:tr w:rsidR="007543BB" w14:paraId="09C4DB42" w14:textId="77777777" w:rsidTr="001C693A">
        <w:trPr>
          <w:cantSplit/>
          <w:tblHeader/>
        </w:trPr>
        <w:tc>
          <w:tcPr>
            <w:tcW w:w="4106" w:type="dxa"/>
            <w:shd w:val="clear" w:color="auto" w:fill="auto"/>
          </w:tcPr>
          <w:p w14:paraId="1DEEF331" w14:textId="77777777" w:rsidR="007543BB" w:rsidRPr="00303563" w:rsidRDefault="007543BB" w:rsidP="00512DF0">
            <w:pPr>
              <w:keepNext/>
            </w:pPr>
          </w:p>
        </w:tc>
        <w:tc>
          <w:tcPr>
            <w:tcW w:w="1134" w:type="dxa"/>
            <w:shd w:val="clear" w:color="auto" w:fill="auto"/>
          </w:tcPr>
          <w:p w14:paraId="51125A2A" w14:textId="77777777" w:rsidR="00303563" w:rsidRDefault="002D677C" w:rsidP="00512DF0">
            <w:pPr>
              <w:keepNext/>
              <w:jc w:val="center"/>
              <w:rPr>
                <w:b/>
                <w:bCs/>
              </w:rPr>
            </w:pPr>
            <w:r w:rsidRPr="00303563">
              <w:rPr>
                <w:b/>
                <w:bCs/>
              </w:rPr>
              <w:t xml:space="preserve">Apixabán </w:t>
            </w:r>
          </w:p>
          <w:p w14:paraId="5E17EB3F" w14:textId="64A3AC02" w:rsidR="00303563" w:rsidRDefault="002D677C" w:rsidP="00512DF0">
            <w:pPr>
              <w:keepNext/>
              <w:jc w:val="center"/>
              <w:rPr>
                <w:b/>
                <w:bCs/>
              </w:rPr>
            </w:pPr>
            <w:r w:rsidRPr="00303563">
              <w:rPr>
                <w:b/>
                <w:bCs/>
              </w:rPr>
              <w:t xml:space="preserve">N=9120 </w:t>
            </w:r>
          </w:p>
          <w:p w14:paraId="72F45472" w14:textId="20FE7D41" w:rsidR="007543BB" w:rsidRPr="00303563" w:rsidRDefault="002D677C" w:rsidP="00512DF0">
            <w:pPr>
              <w:keepNext/>
              <w:jc w:val="center"/>
              <w:rPr>
                <w:b/>
                <w:bCs/>
              </w:rPr>
            </w:pPr>
            <w:r w:rsidRPr="00303563">
              <w:rPr>
                <w:b/>
                <w:bCs/>
              </w:rPr>
              <w:t>n (%/év)</w:t>
            </w:r>
          </w:p>
        </w:tc>
        <w:tc>
          <w:tcPr>
            <w:tcW w:w="1134" w:type="dxa"/>
            <w:shd w:val="clear" w:color="auto" w:fill="auto"/>
          </w:tcPr>
          <w:p w14:paraId="242C76EF" w14:textId="77777777" w:rsidR="00303563" w:rsidRDefault="002D677C" w:rsidP="00512DF0">
            <w:pPr>
              <w:keepNext/>
              <w:jc w:val="center"/>
              <w:rPr>
                <w:b/>
                <w:bCs/>
              </w:rPr>
            </w:pPr>
            <w:r w:rsidRPr="00303563">
              <w:rPr>
                <w:b/>
                <w:bCs/>
              </w:rPr>
              <w:t xml:space="preserve">Warfarin </w:t>
            </w:r>
          </w:p>
          <w:p w14:paraId="61FC2403" w14:textId="15CB4FA5" w:rsidR="00303563" w:rsidRDefault="002D677C" w:rsidP="00512DF0">
            <w:pPr>
              <w:keepNext/>
              <w:jc w:val="center"/>
              <w:rPr>
                <w:b/>
                <w:bCs/>
              </w:rPr>
            </w:pPr>
            <w:r w:rsidRPr="00303563">
              <w:rPr>
                <w:b/>
                <w:bCs/>
              </w:rPr>
              <w:t xml:space="preserve">N=9081 </w:t>
            </w:r>
          </w:p>
          <w:p w14:paraId="22589BB7" w14:textId="4F7F4EBA" w:rsidR="007543BB" w:rsidRPr="00303563" w:rsidRDefault="002D677C" w:rsidP="00512DF0">
            <w:pPr>
              <w:keepNext/>
              <w:jc w:val="center"/>
              <w:rPr>
                <w:b/>
                <w:bCs/>
              </w:rPr>
            </w:pPr>
            <w:r w:rsidRPr="00303563">
              <w:rPr>
                <w:b/>
                <w:bCs/>
              </w:rPr>
              <w:t>n (%/év)</w:t>
            </w:r>
          </w:p>
        </w:tc>
        <w:tc>
          <w:tcPr>
            <w:tcW w:w="1701" w:type="dxa"/>
            <w:shd w:val="clear" w:color="auto" w:fill="auto"/>
          </w:tcPr>
          <w:p w14:paraId="377EB2EC" w14:textId="77777777" w:rsidR="00303563" w:rsidRDefault="002D677C" w:rsidP="00512DF0">
            <w:pPr>
              <w:keepNext/>
              <w:jc w:val="center"/>
              <w:rPr>
                <w:b/>
                <w:bCs/>
              </w:rPr>
            </w:pPr>
            <w:r w:rsidRPr="00303563">
              <w:rPr>
                <w:b/>
                <w:bCs/>
              </w:rPr>
              <w:t xml:space="preserve">Relatív hazárd </w:t>
            </w:r>
          </w:p>
          <w:p w14:paraId="3C5A9086" w14:textId="60E11F68" w:rsidR="007543BB" w:rsidRPr="00303563" w:rsidRDefault="002D677C" w:rsidP="00512DF0">
            <w:pPr>
              <w:keepNext/>
              <w:jc w:val="center"/>
              <w:rPr>
                <w:b/>
                <w:bCs/>
              </w:rPr>
            </w:pPr>
            <w:r w:rsidRPr="00303563">
              <w:rPr>
                <w:b/>
                <w:bCs/>
              </w:rPr>
              <w:t>(95%-os CI)</w:t>
            </w:r>
          </w:p>
        </w:tc>
        <w:tc>
          <w:tcPr>
            <w:tcW w:w="992" w:type="dxa"/>
            <w:shd w:val="clear" w:color="auto" w:fill="auto"/>
          </w:tcPr>
          <w:p w14:paraId="796744BC" w14:textId="77777777" w:rsidR="007543BB" w:rsidRPr="00303563" w:rsidRDefault="002D677C" w:rsidP="00512DF0">
            <w:pPr>
              <w:keepNext/>
              <w:jc w:val="center"/>
              <w:rPr>
                <w:b/>
                <w:bCs/>
              </w:rPr>
            </w:pPr>
            <w:r w:rsidRPr="00303563">
              <w:rPr>
                <w:b/>
                <w:bCs/>
              </w:rPr>
              <w:t>p-érték</w:t>
            </w:r>
          </w:p>
        </w:tc>
      </w:tr>
      <w:tr w:rsidR="007543BB" w14:paraId="59AEACD7" w14:textId="77777777" w:rsidTr="00303563">
        <w:trPr>
          <w:cantSplit/>
        </w:trPr>
        <w:tc>
          <w:tcPr>
            <w:tcW w:w="4106" w:type="dxa"/>
            <w:shd w:val="clear" w:color="auto" w:fill="auto"/>
          </w:tcPr>
          <w:p w14:paraId="601C294C" w14:textId="77777777" w:rsidR="007543BB" w:rsidRPr="00303563" w:rsidRDefault="002D677C" w:rsidP="00512DF0">
            <w:pPr>
              <w:keepNext/>
            </w:pPr>
            <w:r w:rsidRPr="00303563">
              <w:t>Stroke vagy szisztémás embolizáció</w:t>
            </w:r>
          </w:p>
        </w:tc>
        <w:tc>
          <w:tcPr>
            <w:tcW w:w="1134" w:type="dxa"/>
            <w:shd w:val="clear" w:color="auto" w:fill="auto"/>
          </w:tcPr>
          <w:p w14:paraId="33693CE6" w14:textId="77777777" w:rsidR="007543BB" w:rsidRPr="00303563" w:rsidRDefault="002D677C" w:rsidP="00512DF0">
            <w:pPr>
              <w:keepNext/>
              <w:jc w:val="center"/>
            </w:pPr>
            <w:r w:rsidRPr="00303563">
              <w:t>212 (1,27)</w:t>
            </w:r>
          </w:p>
        </w:tc>
        <w:tc>
          <w:tcPr>
            <w:tcW w:w="1134" w:type="dxa"/>
            <w:shd w:val="clear" w:color="auto" w:fill="auto"/>
          </w:tcPr>
          <w:p w14:paraId="675219CC" w14:textId="77777777" w:rsidR="007543BB" w:rsidRPr="00303563" w:rsidRDefault="002D677C" w:rsidP="00512DF0">
            <w:pPr>
              <w:keepNext/>
              <w:jc w:val="center"/>
            </w:pPr>
            <w:r w:rsidRPr="00303563">
              <w:t>265 (1,60)</w:t>
            </w:r>
          </w:p>
        </w:tc>
        <w:tc>
          <w:tcPr>
            <w:tcW w:w="1701" w:type="dxa"/>
            <w:shd w:val="clear" w:color="auto" w:fill="auto"/>
          </w:tcPr>
          <w:p w14:paraId="53B48392" w14:textId="77777777" w:rsidR="007543BB" w:rsidRPr="00303563" w:rsidRDefault="002D677C" w:rsidP="00512DF0">
            <w:pPr>
              <w:keepNext/>
              <w:jc w:val="center"/>
            </w:pPr>
            <w:r w:rsidRPr="00303563">
              <w:t>0,79 (0,66; 0,95)</w:t>
            </w:r>
          </w:p>
        </w:tc>
        <w:tc>
          <w:tcPr>
            <w:tcW w:w="992" w:type="dxa"/>
            <w:shd w:val="clear" w:color="auto" w:fill="auto"/>
          </w:tcPr>
          <w:p w14:paraId="4F28576C" w14:textId="77777777" w:rsidR="007543BB" w:rsidRPr="00303563" w:rsidRDefault="002D677C" w:rsidP="00512DF0">
            <w:pPr>
              <w:keepNext/>
              <w:jc w:val="center"/>
            </w:pPr>
            <w:r w:rsidRPr="00303563">
              <w:t>0,0114</w:t>
            </w:r>
          </w:p>
        </w:tc>
      </w:tr>
      <w:tr w:rsidR="007543BB" w14:paraId="758B503F" w14:textId="77777777" w:rsidTr="00303563">
        <w:trPr>
          <w:cantSplit/>
        </w:trPr>
        <w:tc>
          <w:tcPr>
            <w:tcW w:w="4106" w:type="dxa"/>
            <w:shd w:val="clear" w:color="auto" w:fill="auto"/>
          </w:tcPr>
          <w:p w14:paraId="1D298F72" w14:textId="77777777" w:rsidR="007543BB" w:rsidRPr="00303563" w:rsidRDefault="002D677C" w:rsidP="00512DF0">
            <w:pPr>
              <w:keepNext/>
              <w:ind w:left="283"/>
            </w:pPr>
            <w:r w:rsidRPr="00303563">
              <w:t>Stroke</w:t>
            </w:r>
          </w:p>
        </w:tc>
        <w:tc>
          <w:tcPr>
            <w:tcW w:w="1134" w:type="dxa"/>
            <w:shd w:val="clear" w:color="auto" w:fill="auto"/>
          </w:tcPr>
          <w:p w14:paraId="5E70CBFF" w14:textId="77777777" w:rsidR="007543BB" w:rsidRPr="00303563" w:rsidRDefault="007543BB" w:rsidP="00512DF0">
            <w:pPr>
              <w:keepNext/>
              <w:jc w:val="center"/>
            </w:pPr>
          </w:p>
        </w:tc>
        <w:tc>
          <w:tcPr>
            <w:tcW w:w="1134" w:type="dxa"/>
            <w:shd w:val="clear" w:color="auto" w:fill="auto"/>
          </w:tcPr>
          <w:p w14:paraId="284EEFB2" w14:textId="77777777" w:rsidR="007543BB" w:rsidRPr="00303563" w:rsidRDefault="007543BB" w:rsidP="00512DF0">
            <w:pPr>
              <w:keepNext/>
              <w:jc w:val="center"/>
            </w:pPr>
          </w:p>
        </w:tc>
        <w:tc>
          <w:tcPr>
            <w:tcW w:w="1701" w:type="dxa"/>
            <w:shd w:val="clear" w:color="auto" w:fill="auto"/>
          </w:tcPr>
          <w:p w14:paraId="774E5561" w14:textId="77777777" w:rsidR="007543BB" w:rsidRPr="00303563" w:rsidRDefault="007543BB" w:rsidP="00512DF0">
            <w:pPr>
              <w:keepNext/>
              <w:jc w:val="center"/>
            </w:pPr>
          </w:p>
        </w:tc>
        <w:tc>
          <w:tcPr>
            <w:tcW w:w="992" w:type="dxa"/>
            <w:shd w:val="clear" w:color="auto" w:fill="auto"/>
          </w:tcPr>
          <w:p w14:paraId="132E62A7" w14:textId="77777777" w:rsidR="007543BB" w:rsidRPr="00303563" w:rsidRDefault="007543BB" w:rsidP="00512DF0">
            <w:pPr>
              <w:keepNext/>
              <w:jc w:val="center"/>
            </w:pPr>
          </w:p>
        </w:tc>
      </w:tr>
      <w:tr w:rsidR="007543BB" w14:paraId="1E5C46C5" w14:textId="77777777" w:rsidTr="00303563">
        <w:trPr>
          <w:cantSplit/>
        </w:trPr>
        <w:tc>
          <w:tcPr>
            <w:tcW w:w="4106" w:type="dxa"/>
            <w:shd w:val="clear" w:color="auto" w:fill="auto"/>
          </w:tcPr>
          <w:p w14:paraId="7C9267D6" w14:textId="77777777" w:rsidR="007543BB" w:rsidRPr="00303563" w:rsidRDefault="002D677C" w:rsidP="00512DF0">
            <w:pPr>
              <w:keepNext/>
              <w:ind w:left="567"/>
            </w:pPr>
            <w:r w:rsidRPr="00303563">
              <w:t>Ischaemiás vagy nem meghatározott</w:t>
            </w:r>
          </w:p>
        </w:tc>
        <w:tc>
          <w:tcPr>
            <w:tcW w:w="1134" w:type="dxa"/>
            <w:shd w:val="clear" w:color="auto" w:fill="auto"/>
          </w:tcPr>
          <w:p w14:paraId="17A66CC3" w14:textId="77777777" w:rsidR="007543BB" w:rsidRPr="00303563" w:rsidRDefault="002D677C" w:rsidP="00512DF0">
            <w:pPr>
              <w:keepNext/>
              <w:jc w:val="center"/>
            </w:pPr>
            <w:r w:rsidRPr="00303563">
              <w:t>162 (0,97)</w:t>
            </w:r>
          </w:p>
        </w:tc>
        <w:tc>
          <w:tcPr>
            <w:tcW w:w="1134" w:type="dxa"/>
            <w:shd w:val="clear" w:color="auto" w:fill="auto"/>
          </w:tcPr>
          <w:p w14:paraId="66A73D98" w14:textId="77777777" w:rsidR="007543BB" w:rsidRPr="00303563" w:rsidRDefault="002D677C" w:rsidP="00512DF0">
            <w:pPr>
              <w:keepNext/>
              <w:jc w:val="center"/>
            </w:pPr>
            <w:r w:rsidRPr="00303563">
              <w:t>175 (1,05)</w:t>
            </w:r>
          </w:p>
        </w:tc>
        <w:tc>
          <w:tcPr>
            <w:tcW w:w="1701" w:type="dxa"/>
            <w:shd w:val="clear" w:color="auto" w:fill="auto"/>
          </w:tcPr>
          <w:p w14:paraId="38F2D85F" w14:textId="77777777" w:rsidR="007543BB" w:rsidRPr="00303563" w:rsidRDefault="002D677C" w:rsidP="00512DF0">
            <w:pPr>
              <w:keepNext/>
              <w:jc w:val="center"/>
            </w:pPr>
            <w:r w:rsidRPr="00303563">
              <w:t>0,92 (0,74; 1,13)</w:t>
            </w:r>
          </w:p>
        </w:tc>
        <w:tc>
          <w:tcPr>
            <w:tcW w:w="992" w:type="dxa"/>
            <w:shd w:val="clear" w:color="auto" w:fill="auto"/>
          </w:tcPr>
          <w:p w14:paraId="57637A6B" w14:textId="77777777" w:rsidR="007543BB" w:rsidRPr="00303563" w:rsidRDefault="007543BB" w:rsidP="00512DF0">
            <w:pPr>
              <w:keepNext/>
              <w:jc w:val="center"/>
            </w:pPr>
          </w:p>
        </w:tc>
      </w:tr>
      <w:tr w:rsidR="007543BB" w14:paraId="45055D22" w14:textId="77777777" w:rsidTr="00303563">
        <w:trPr>
          <w:cantSplit/>
        </w:trPr>
        <w:tc>
          <w:tcPr>
            <w:tcW w:w="4106" w:type="dxa"/>
            <w:shd w:val="clear" w:color="auto" w:fill="auto"/>
          </w:tcPr>
          <w:p w14:paraId="5513BC9F" w14:textId="77777777" w:rsidR="007543BB" w:rsidRPr="00303563" w:rsidRDefault="002D677C" w:rsidP="00512DF0">
            <w:pPr>
              <w:keepNext/>
              <w:ind w:left="567"/>
            </w:pPr>
            <w:r w:rsidRPr="00303563">
              <w:t>Haemorrhagiás</w:t>
            </w:r>
          </w:p>
        </w:tc>
        <w:tc>
          <w:tcPr>
            <w:tcW w:w="1134" w:type="dxa"/>
            <w:shd w:val="clear" w:color="auto" w:fill="auto"/>
          </w:tcPr>
          <w:p w14:paraId="7137FD6B" w14:textId="77777777" w:rsidR="007543BB" w:rsidRPr="00303563" w:rsidRDefault="002D677C" w:rsidP="00512DF0">
            <w:pPr>
              <w:keepNext/>
              <w:jc w:val="center"/>
            </w:pPr>
            <w:r w:rsidRPr="00303563">
              <w:t>40 (0,24)</w:t>
            </w:r>
          </w:p>
        </w:tc>
        <w:tc>
          <w:tcPr>
            <w:tcW w:w="1134" w:type="dxa"/>
            <w:shd w:val="clear" w:color="auto" w:fill="auto"/>
          </w:tcPr>
          <w:p w14:paraId="0C01F406" w14:textId="77777777" w:rsidR="007543BB" w:rsidRPr="00303563" w:rsidRDefault="002D677C" w:rsidP="00512DF0">
            <w:pPr>
              <w:keepNext/>
              <w:jc w:val="center"/>
            </w:pPr>
            <w:r w:rsidRPr="00303563">
              <w:t>78 (0,47)</w:t>
            </w:r>
          </w:p>
        </w:tc>
        <w:tc>
          <w:tcPr>
            <w:tcW w:w="1701" w:type="dxa"/>
            <w:shd w:val="clear" w:color="auto" w:fill="auto"/>
          </w:tcPr>
          <w:p w14:paraId="41FB5149" w14:textId="77777777" w:rsidR="007543BB" w:rsidRPr="00303563" w:rsidRDefault="002D677C" w:rsidP="00512DF0">
            <w:pPr>
              <w:keepNext/>
              <w:jc w:val="center"/>
            </w:pPr>
            <w:r w:rsidRPr="00303563">
              <w:t>0,51 (0,35; 0,75)</w:t>
            </w:r>
          </w:p>
        </w:tc>
        <w:tc>
          <w:tcPr>
            <w:tcW w:w="992" w:type="dxa"/>
            <w:shd w:val="clear" w:color="auto" w:fill="auto"/>
          </w:tcPr>
          <w:p w14:paraId="616A45D1" w14:textId="77777777" w:rsidR="007543BB" w:rsidRPr="00303563" w:rsidRDefault="007543BB" w:rsidP="00512DF0">
            <w:pPr>
              <w:keepNext/>
              <w:jc w:val="center"/>
            </w:pPr>
          </w:p>
        </w:tc>
      </w:tr>
      <w:tr w:rsidR="007543BB" w14:paraId="22D9CA51" w14:textId="77777777" w:rsidTr="00303563">
        <w:trPr>
          <w:cantSplit/>
        </w:trPr>
        <w:tc>
          <w:tcPr>
            <w:tcW w:w="4106" w:type="dxa"/>
            <w:shd w:val="clear" w:color="auto" w:fill="auto"/>
          </w:tcPr>
          <w:p w14:paraId="79D2C501" w14:textId="77777777" w:rsidR="007543BB" w:rsidRPr="00303563" w:rsidRDefault="002D677C" w:rsidP="00303563">
            <w:pPr>
              <w:ind w:left="283"/>
            </w:pPr>
            <w:r w:rsidRPr="00303563">
              <w:t>Szisztémás embolizáció</w:t>
            </w:r>
          </w:p>
        </w:tc>
        <w:tc>
          <w:tcPr>
            <w:tcW w:w="1134" w:type="dxa"/>
            <w:shd w:val="clear" w:color="auto" w:fill="auto"/>
          </w:tcPr>
          <w:p w14:paraId="25DCA788" w14:textId="77777777" w:rsidR="007543BB" w:rsidRPr="00303563" w:rsidRDefault="002D677C" w:rsidP="00303563">
            <w:pPr>
              <w:jc w:val="center"/>
            </w:pPr>
            <w:r w:rsidRPr="00303563">
              <w:t>15 (0,09)</w:t>
            </w:r>
          </w:p>
        </w:tc>
        <w:tc>
          <w:tcPr>
            <w:tcW w:w="1134" w:type="dxa"/>
            <w:shd w:val="clear" w:color="auto" w:fill="auto"/>
          </w:tcPr>
          <w:p w14:paraId="1D13E31A" w14:textId="77777777" w:rsidR="007543BB" w:rsidRPr="00303563" w:rsidRDefault="002D677C" w:rsidP="00303563">
            <w:pPr>
              <w:jc w:val="center"/>
            </w:pPr>
            <w:r w:rsidRPr="00303563">
              <w:t>17 (0,10)</w:t>
            </w:r>
          </w:p>
        </w:tc>
        <w:tc>
          <w:tcPr>
            <w:tcW w:w="1701" w:type="dxa"/>
            <w:shd w:val="clear" w:color="auto" w:fill="auto"/>
          </w:tcPr>
          <w:p w14:paraId="1EFC15FE" w14:textId="77777777" w:rsidR="007543BB" w:rsidRPr="00303563" w:rsidRDefault="002D677C" w:rsidP="00303563">
            <w:pPr>
              <w:jc w:val="center"/>
            </w:pPr>
            <w:r w:rsidRPr="00303563">
              <w:t>0,87 (0,44; 1,75)</w:t>
            </w:r>
          </w:p>
        </w:tc>
        <w:tc>
          <w:tcPr>
            <w:tcW w:w="992" w:type="dxa"/>
            <w:shd w:val="clear" w:color="auto" w:fill="auto"/>
          </w:tcPr>
          <w:p w14:paraId="47E477EE" w14:textId="77777777" w:rsidR="007543BB" w:rsidRPr="00303563" w:rsidRDefault="007543BB" w:rsidP="00303563">
            <w:pPr>
              <w:jc w:val="center"/>
            </w:pPr>
          </w:p>
        </w:tc>
      </w:tr>
    </w:tbl>
    <w:p w14:paraId="18334BA3" w14:textId="77777777" w:rsidR="007543BB" w:rsidRPr="00303563" w:rsidRDefault="007543BB" w:rsidP="00303563"/>
    <w:p w14:paraId="02E96743" w14:textId="33BB358C" w:rsidR="007543BB" w:rsidRDefault="002D677C" w:rsidP="00303563">
      <w:r w:rsidRPr="00303563">
        <w:t>A warfarinra randomizált betegeknél a terápiás tartományban (INR 2</w:t>
      </w:r>
      <w:r w:rsidR="002A4057">
        <w:noBreakHyphen/>
      </w:r>
      <w:r w:rsidRPr="00303563">
        <w:t xml:space="preserve">3) eltöltött időtartam (time in therapeutic range </w:t>
      </w:r>
      <w:r w:rsidR="00303563">
        <w:t>–</w:t>
      </w:r>
      <w:r w:rsidRPr="00303563">
        <w:t xml:space="preserve"> TTR) 66% volt.</w:t>
      </w:r>
    </w:p>
    <w:p w14:paraId="70204D30" w14:textId="77777777" w:rsidR="00303563" w:rsidRPr="00303563" w:rsidRDefault="00303563" w:rsidP="00303563"/>
    <w:p w14:paraId="4F2B2DE9" w14:textId="77777777" w:rsidR="007543BB" w:rsidRDefault="002D677C" w:rsidP="00303563">
      <w:r w:rsidRPr="00303563">
        <w:t>Az apixabán a warfarinhoz képest a középső TTR különböző szintjein a stroke és a szisztémás embolizáció csökkenését mutatta. A középsővel összhangban a TTR legmagasabb kvartilisában az apixabán vs. warfarin relatív hazárdja 0,73 volt (95%-os CI 0,38, 1,40).</w:t>
      </w:r>
    </w:p>
    <w:p w14:paraId="316A2938" w14:textId="77777777" w:rsidR="00303563" w:rsidRPr="00303563" w:rsidRDefault="00303563" w:rsidP="00303563"/>
    <w:p w14:paraId="468D22CE" w14:textId="4BEFCE25" w:rsidR="007543BB" w:rsidRDefault="002D677C" w:rsidP="00303563">
      <w:r w:rsidRPr="00303563">
        <w:t>A vizsgálatban előforduló általános 1-es</w:t>
      </w:r>
      <w:r w:rsidR="002A4057">
        <w:t> </w:t>
      </w:r>
      <w:r w:rsidRPr="00303563">
        <w:t xml:space="preserve">típusú hiba kiküszöbölése érdekében a nagyfokú vérzés és összmortalitás legfontosabb másodlagos végpontokat egy előre meghatározott hierarchikus vizsgálati stratégia szerint tesztelték. A nagyfokú vérzés és összmortalitás, mint legfontosabb másodlagos végpontok tekintetében egyaránt statisztikailag szignifikánsan jobb eredményeket értek el (lásd </w:t>
      </w:r>
      <w:r w:rsidR="00804FA6">
        <w:t>5</w:t>
      </w:r>
      <w:r w:rsidRPr="00303563">
        <w:t>.</w:t>
      </w:r>
      <w:r w:rsidR="002A4057">
        <w:t> </w:t>
      </w:r>
      <w:r w:rsidRPr="00303563">
        <w:t>táblázat). Az INR monitorozásának javításával az apixabán warfarinhoz viszonyított, az összmortalitás tekintetében megfigyelt előnye eltűnik.</w:t>
      </w:r>
    </w:p>
    <w:p w14:paraId="5CDAF107" w14:textId="77777777" w:rsidR="00303563" w:rsidRPr="00303563" w:rsidRDefault="00303563" w:rsidP="00303563"/>
    <w:p w14:paraId="2F7D1D8A" w14:textId="49C42E2B" w:rsidR="007543BB" w:rsidRPr="00303563" w:rsidRDefault="00804FA6" w:rsidP="00156D91">
      <w:pPr>
        <w:keepNext/>
        <w:rPr>
          <w:b/>
          <w:bCs/>
        </w:rPr>
      </w:pPr>
      <w:r>
        <w:rPr>
          <w:b/>
          <w:bCs/>
        </w:rPr>
        <w:t>5</w:t>
      </w:r>
      <w:r w:rsidR="002D677C" w:rsidRPr="00303563">
        <w:rPr>
          <w:b/>
          <w:bCs/>
        </w:rPr>
        <w:t>.</w:t>
      </w:r>
      <w:r w:rsidR="002A4057">
        <w:rPr>
          <w:b/>
          <w:bCs/>
        </w:rPr>
        <w:t> </w:t>
      </w:r>
      <w:r w:rsidR="002D677C" w:rsidRPr="00303563">
        <w:rPr>
          <w:b/>
          <w:bCs/>
        </w:rPr>
        <w:t xml:space="preserve">táblázat: Másodlagos végpontok </w:t>
      </w:r>
      <w:r w:rsidR="00156D91" w:rsidRPr="004311F4">
        <w:rPr>
          <w:b/>
          <w:bCs/>
        </w:rPr>
        <w:t xml:space="preserve">pitvarfibrilláló </w:t>
      </w:r>
      <w:r w:rsidR="002D677C" w:rsidRPr="00303563">
        <w:rPr>
          <w:b/>
          <w:bCs/>
        </w:rPr>
        <w:t>betegeknél az ARISTOTLE vizsgálatban</w:t>
      </w:r>
    </w:p>
    <w:tbl>
      <w:tblPr>
        <w:tblOverlap w:val="never"/>
        <w:tblW w:w="0" w:type="auto"/>
        <w:tblLayout w:type="fixed"/>
        <w:tblCellMar>
          <w:top w:w="28" w:type="dxa"/>
          <w:bottom w:w="28" w:type="dxa"/>
        </w:tblCellMar>
        <w:tblLook w:val="0000" w:firstRow="0" w:lastRow="0" w:firstColumn="0" w:lastColumn="0" w:noHBand="0" w:noVBand="0"/>
      </w:tblPr>
      <w:tblGrid>
        <w:gridCol w:w="1954"/>
        <w:gridCol w:w="1939"/>
        <w:gridCol w:w="1982"/>
        <w:gridCol w:w="1978"/>
        <w:gridCol w:w="1286"/>
      </w:tblGrid>
      <w:tr w:rsidR="007543BB" w14:paraId="3B70E1F1" w14:textId="77777777" w:rsidTr="00512DF0">
        <w:trPr>
          <w:cantSplit/>
          <w:tblHeader/>
        </w:trPr>
        <w:tc>
          <w:tcPr>
            <w:tcW w:w="1954" w:type="dxa"/>
            <w:tcBorders>
              <w:top w:val="single" w:sz="4" w:space="0" w:color="auto"/>
              <w:left w:val="single" w:sz="4" w:space="0" w:color="auto"/>
            </w:tcBorders>
            <w:shd w:val="clear" w:color="auto" w:fill="auto"/>
          </w:tcPr>
          <w:p w14:paraId="6DE315C4" w14:textId="77777777" w:rsidR="007543BB" w:rsidRPr="00512DF0" w:rsidRDefault="007543BB" w:rsidP="00512DF0">
            <w:pPr>
              <w:keepNext/>
            </w:pPr>
          </w:p>
        </w:tc>
        <w:tc>
          <w:tcPr>
            <w:tcW w:w="1939" w:type="dxa"/>
            <w:tcBorders>
              <w:top w:val="single" w:sz="4" w:space="0" w:color="auto"/>
              <w:left w:val="single" w:sz="4" w:space="0" w:color="auto"/>
            </w:tcBorders>
            <w:shd w:val="clear" w:color="auto" w:fill="auto"/>
          </w:tcPr>
          <w:p w14:paraId="620A847D" w14:textId="77777777" w:rsidR="00512DF0" w:rsidRDefault="002D677C" w:rsidP="00512DF0">
            <w:pPr>
              <w:keepNext/>
              <w:jc w:val="center"/>
              <w:rPr>
                <w:b/>
                <w:bCs/>
              </w:rPr>
            </w:pPr>
            <w:r w:rsidRPr="00512DF0">
              <w:rPr>
                <w:b/>
                <w:bCs/>
              </w:rPr>
              <w:t xml:space="preserve">Apixabán </w:t>
            </w:r>
          </w:p>
          <w:p w14:paraId="627C8A3A" w14:textId="21C73FAF" w:rsidR="00512DF0" w:rsidRDefault="002D677C" w:rsidP="00512DF0">
            <w:pPr>
              <w:keepNext/>
              <w:jc w:val="center"/>
              <w:rPr>
                <w:b/>
                <w:bCs/>
              </w:rPr>
            </w:pPr>
            <w:r w:rsidRPr="00512DF0">
              <w:rPr>
                <w:b/>
                <w:bCs/>
              </w:rPr>
              <w:t xml:space="preserve">N=9088 </w:t>
            </w:r>
          </w:p>
          <w:p w14:paraId="3BC6E9DA" w14:textId="48899DEE" w:rsidR="007543BB" w:rsidRPr="00512DF0" w:rsidRDefault="002D677C" w:rsidP="00512DF0">
            <w:pPr>
              <w:keepNext/>
              <w:jc w:val="center"/>
              <w:rPr>
                <w:b/>
                <w:bCs/>
              </w:rPr>
            </w:pPr>
            <w:r w:rsidRPr="00512DF0">
              <w:rPr>
                <w:b/>
                <w:bCs/>
              </w:rPr>
              <w:t>n (%/év)</w:t>
            </w:r>
          </w:p>
        </w:tc>
        <w:tc>
          <w:tcPr>
            <w:tcW w:w="1982" w:type="dxa"/>
            <w:tcBorders>
              <w:top w:val="single" w:sz="4" w:space="0" w:color="auto"/>
              <w:left w:val="single" w:sz="4" w:space="0" w:color="auto"/>
            </w:tcBorders>
            <w:shd w:val="clear" w:color="auto" w:fill="auto"/>
          </w:tcPr>
          <w:p w14:paraId="621D61D0" w14:textId="77777777" w:rsidR="00512DF0" w:rsidRDefault="002D677C" w:rsidP="00512DF0">
            <w:pPr>
              <w:keepNext/>
              <w:jc w:val="center"/>
              <w:rPr>
                <w:b/>
                <w:bCs/>
              </w:rPr>
            </w:pPr>
            <w:r w:rsidRPr="00512DF0">
              <w:rPr>
                <w:b/>
                <w:bCs/>
              </w:rPr>
              <w:t xml:space="preserve">Warfarin </w:t>
            </w:r>
          </w:p>
          <w:p w14:paraId="1D3B276F" w14:textId="5F0F577F" w:rsidR="00512DF0" w:rsidRDefault="002D677C" w:rsidP="00512DF0">
            <w:pPr>
              <w:keepNext/>
              <w:jc w:val="center"/>
              <w:rPr>
                <w:b/>
                <w:bCs/>
              </w:rPr>
            </w:pPr>
            <w:r w:rsidRPr="00512DF0">
              <w:rPr>
                <w:b/>
                <w:bCs/>
              </w:rPr>
              <w:t xml:space="preserve">N=9052 </w:t>
            </w:r>
          </w:p>
          <w:p w14:paraId="59062E87" w14:textId="1C3E4DCB" w:rsidR="007543BB" w:rsidRPr="00512DF0" w:rsidRDefault="002D677C" w:rsidP="00512DF0">
            <w:pPr>
              <w:keepNext/>
              <w:jc w:val="center"/>
              <w:rPr>
                <w:b/>
                <w:bCs/>
              </w:rPr>
            </w:pPr>
            <w:r w:rsidRPr="00512DF0">
              <w:rPr>
                <w:b/>
                <w:bCs/>
              </w:rPr>
              <w:t>n (%/év)</w:t>
            </w:r>
          </w:p>
        </w:tc>
        <w:tc>
          <w:tcPr>
            <w:tcW w:w="1978" w:type="dxa"/>
            <w:tcBorders>
              <w:top w:val="single" w:sz="4" w:space="0" w:color="auto"/>
              <w:left w:val="single" w:sz="4" w:space="0" w:color="auto"/>
            </w:tcBorders>
            <w:shd w:val="clear" w:color="auto" w:fill="auto"/>
          </w:tcPr>
          <w:p w14:paraId="0B799E70" w14:textId="77777777" w:rsidR="00512DF0" w:rsidRDefault="002D677C" w:rsidP="00512DF0">
            <w:pPr>
              <w:keepNext/>
              <w:jc w:val="center"/>
              <w:rPr>
                <w:b/>
                <w:bCs/>
              </w:rPr>
            </w:pPr>
            <w:r w:rsidRPr="00512DF0">
              <w:rPr>
                <w:b/>
                <w:bCs/>
              </w:rPr>
              <w:t xml:space="preserve">Relatív hazárd </w:t>
            </w:r>
          </w:p>
          <w:p w14:paraId="5D33E52E" w14:textId="01649A21" w:rsidR="007543BB" w:rsidRPr="00512DF0" w:rsidRDefault="002D677C" w:rsidP="00512DF0">
            <w:pPr>
              <w:keepNext/>
              <w:jc w:val="center"/>
              <w:rPr>
                <w:b/>
                <w:bCs/>
              </w:rPr>
            </w:pPr>
            <w:r w:rsidRPr="00512DF0">
              <w:rPr>
                <w:b/>
                <w:bCs/>
              </w:rPr>
              <w:t>(95%-os CI)</w:t>
            </w:r>
          </w:p>
        </w:tc>
        <w:tc>
          <w:tcPr>
            <w:tcW w:w="1286" w:type="dxa"/>
            <w:tcBorders>
              <w:top w:val="single" w:sz="4" w:space="0" w:color="auto"/>
              <w:left w:val="single" w:sz="4" w:space="0" w:color="auto"/>
              <w:right w:val="single" w:sz="4" w:space="0" w:color="auto"/>
            </w:tcBorders>
            <w:shd w:val="clear" w:color="auto" w:fill="auto"/>
          </w:tcPr>
          <w:p w14:paraId="2AEC0462" w14:textId="77777777" w:rsidR="007543BB" w:rsidRPr="00512DF0" w:rsidRDefault="002D677C" w:rsidP="00512DF0">
            <w:pPr>
              <w:keepNext/>
              <w:jc w:val="center"/>
              <w:rPr>
                <w:b/>
                <w:bCs/>
              </w:rPr>
            </w:pPr>
            <w:r w:rsidRPr="00512DF0">
              <w:rPr>
                <w:b/>
                <w:bCs/>
              </w:rPr>
              <w:t>p-érték</w:t>
            </w:r>
          </w:p>
        </w:tc>
      </w:tr>
      <w:tr w:rsidR="007543BB" w14:paraId="220529BA" w14:textId="77777777" w:rsidTr="00512DF0">
        <w:trPr>
          <w:cantSplit/>
        </w:trPr>
        <w:tc>
          <w:tcPr>
            <w:tcW w:w="9139" w:type="dxa"/>
            <w:gridSpan w:val="5"/>
            <w:tcBorders>
              <w:top w:val="single" w:sz="4" w:space="0" w:color="auto"/>
              <w:left w:val="single" w:sz="4" w:space="0" w:color="auto"/>
              <w:right w:val="single" w:sz="4" w:space="0" w:color="auto"/>
            </w:tcBorders>
            <w:shd w:val="clear" w:color="auto" w:fill="auto"/>
          </w:tcPr>
          <w:p w14:paraId="7498B92F" w14:textId="77777777" w:rsidR="007543BB" w:rsidRPr="00512DF0" w:rsidRDefault="002D677C" w:rsidP="00512DF0">
            <w:pPr>
              <w:keepNext/>
            </w:pPr>
            <w:r w:rsidRPr="00512DF0">
              <w:t>Vérzéses végpontok</w:t>
            </w:r>
          </w:p>
        </w:tc>
      </w:tr>
      <w:tr w:rsidR="007543BB" w14:paraId="14D99681" w14:textId="77777777" w:rsidTr="00512DF0">
        <w:trPr>
          <w:cantSplit/>
        </w:trPr>
        <w:tc>
          <w:tcPr>
            <w:tcW w:w="1954" w:type="dxa"/>
            <w:tcBorders>
              <w:top w:val="single" w:sz="4" w:space="0" w:color="auto"/>
              <w:left w:val="single" w:sz="4" w:space="0" w:color="auto"/>
            </w:tcBorders>
            <w:shd w:val="clear" w:color="auto" w:fill="auto"/>
          </w:tcPr>
          <w:p w14:paraId="3B1E7C8B" w14:textId="77777777" w:rsidR="007543BB" w:rsidRPr="00512DF0" w:rsidRDefault="002D677C" w:rsidP="00D95760">
            <w:pPr>
              <w:keepNext/>
              <w:ind w:left="283"/>
            </w:pPr>
            <w:r w:rsidRPr="00512DF0">
              <w:t>Nagyfokú*</w:t>
            </w:r>
          </w:p>
        </w:tc>
        <w:tc>
          <w:tcPr>
            <w:tcW w:w="1939" w:type="dxa"/>
            <w:tcBorders>
              <w:top w:val="single" w:sz="4" w:space="0" w:color="auto"/>
              <w:left w:val="single" w:sz="4" w:space="0" w:color="auto"/>
            </w:tcBorders>
            <w:shd w:val="clear" w:color="auto" w:fill="auto"/>
          </w:tcPr>
          <w:p w14:paraId="1B9CAE46" w14:textId="77777777" w:rsidR="007543BB" w:rsidRPr="00512DF0" w:rsidRDefault="002D677C" w:rsidP="00D95760">
            <w:pPr>
              <w:keepNext/>
              <w:jc w:val="center"/>
            </w:pPr>
            <w:r w:rsidRPr="00512DF0">
              <w:t>327 (2,13)</w:t>
            </w:r>
          </w:p>
        </w:tc>
        <w:tc>
          <w:tcPr>
            <w:tcW w:w="1982" w:type="dxa"/>
            <w:tcBorders>
              <w:top w:val="single" w:sz="4" w:space="0" w:color="auto"/>
              <w:left w:val="single" w:sz="4" w:space="0" w:color="auto"/>
            </w:tcBorders>
            <w:shd w:val="clear" w:color="auto" w:fill="auto"/>
          </w:tcPr>
          <w:p w14:paraId="64D67BBC" w14:textId="77777777" w:rsidR="007543BB" w:rsidRPr="00512DF0" w:rsidRDefault="002D677C" w:rsidP="00D95760">
            <w:pPr>
              <w:keepNext/>
              <w:jc w:val="center"/>
            </w:pPr>
            <w:r w:rsidRPr="00512DF0">
              <w:t>462 (3,09)</w:t>
            </w:r>
          </w:p>
        </w:tc>
        <w:tc>
          <w:tcPr>
            <w:tcW w:w="1978" w:type="dxa"/>
            <w:tcBorders>
              <w:top w:val="single" w:sz="4" w:space="0" w:color="auto"/>
              <w:left w:val="single" w:sz="4" w:space="0" w:color="auto"/>
            </w:tcBorders>
            <w:shd w:val="clear" w:color="auto" w:fill="auto"/>
          </w:tcPr>
          <w:p w14:paraId="1355C001" w14:textId="77777777" w:rsidR="007543BB" w:rsidRPr="00512DF0" w:rsidRDefault="002D677C" w:rsidP="00D95760">
            <w:pPr>
              <w:keepNext/>
              <w:jc w:val="center"/>
            </w:pPr>
            <w:r w:rsidRPr="00512DF0">
              <w:t>0,69 (0,60; 0,80)</w:t>
            </w:r>
          </w:p>
        </w:tc>
        <w:tc>
          <w:tcPr>
            <w:tcW w:w="1286" w:type="dxa"/>
            <w:tcBorders>
              <w:top w:val="single" w:sz="4" w:space="0" w:color="auto"/>
              <w:left w:val="single" w:sz="4" w:space="0" w:color="auto"/>
              <w:right w:val="single" w:sz="4" w:space="0" w:color="auto"/>
            </w:tcBorders>
            <w:shd w:val="clear" w:color="auto" w:fill="auto"/>
          </w:tcPr>
          <w:p w14:paraId="5BB39EA2" w14:textId="68609AD6" w:rsidR="007543BB" w:rsidRPr="00512DF0" w:rsidRDefault="002D677C" w:rsidP="00D95760">
            <w:pPr>
              <w:keepNext/>
              <w:jc w:val="center"/>
            </w:pPr>
            <w:r w:rsidRPr="00512DF0">
              <w:t>&lt;</w:t>
            </w:r>
            <w:r w:rsidR="00156D91">
              <w:t xml:space="preserve"> </w:t>
            </w:r>
            <w:r w:rsidRPr="00512DF0">
              <w:t>0,0001</w:t>
            </w:r>
          </w:p>
        </w:tc>
      </w:tr>
      <w:tr w:rsidR="007543BB" w14:paraId="6A90601E" w14:textId="77777777" w:rsidTr="00512DF0">
        <w:trPr>
          <w:cantSplit/>
        </w:trPr>
        <w:tc>
          <w:tcPr>
            <w:tcW w:w="1954" w:type="dxa"/>
            <w:tcBorders>
              <w:top w:val="single" w:sz="4" w:space="0" w:color="auto"/>
              <w:left w:val="single" w:sz="4" w:space="0" w:color="auto"/>
            </w:tcBorders>
            <w:shd w:val="clear" w:color="auto" w:fill="auto"/>
          </w:tcPr>
          <w:p w14:paraId="7A6F8AAE" w14:textId="77777777" w:rsidR="007543BB" w:rsidRPr="00512DF0" w:rsidRDefault="002D677C" w:rsidP="00D95760">
            <w:pPr>
              <w:keepNext/>
              <w:ind w:left="567"/>
            </w:pPr>
            <w:r w:rsidRPr="00512DF0">
              <w:t>Végzetes kimenetelű</w:t>
            </w:r>
          </w:p>
        </w:tc>
        <w:tc>
          <w:tcPr>
            <w:tcW w:w="1939" w:type="dxa"/>
            <w:tcBorders>
              <w:top w:val="single" w:sz="4" w:space="0" w:color="auto"/>
              <w:left w:val="single" w:sz="4" w:space="0" w:color="auto"/>
            </w:tcBorders>
            <w:shd w:val="clear" w:color="auto" w:fill="auto"/>
          </w:tcPr>
          <w:p w14:paraId="242841C7" w14:textId="77777777" w:rsidR="007543BB" w:rsidRPr="00512DF0" w:rsidRDefault="002D677C" w:rsidP="00D95760">
            <w:pPr>
              <w:keepNext/>
              <w:jc w:val="center"/>
            </w:pPr>
            <w:r w:rsidRPr="00512DF0">
              <w:t>10 (0,06)</w:t>
            </w:r>
          </w:p>
        </w:tc>
        <w:tc>
          <w:tcPr>
            <w:tcW w:w="1982" w:type="dxa"/>
            <w:tcBorders>
              <w:top w:val="single" w:sz="4" w:space="0" w:color="auto"/>
              <w:left w:val="single" w:sz="4" w:space="0" w:color="auto"/>
            </w:tcBorders>
            <w:shd w:val="clear" w:color="auto" w:fill="auto"/>
          </w:tcPr>
          <w:p w14:paraId="37703FD7" w14:textId="77777777" w:rsidR="007543BB" w:rsidRPr="00512DF0" w:rsidRDefault="002D677C" w:rsidP="00D95760">
            <w:pPr>
              <w:keepNext/>
              <w:jc w:val="center"/>
            </w:pPr>
            <w:r w:rsidRPr="00512DF0">
              <w:t>37 (0,24)</w:t>
            </w:r>
          </w:p>
        </w:tc>
        <w:tc>
          <w:tcPr>
            <w:tcW w:w="1978" w:type="dxa"/>
            <w:tcBorders>
              <w:top w:val="single" w:sz="4" w:space="0" w:color="auto"/>
              <w:left w:val="single" w:sz="4" w:space="0" w:color="auto"/>
            </w:tcBorders>
            <w:shd w:val="clear" w:color="auto" w:fill="auto"/>
          </w:tcPr>
          <w:p w14:paraId="684DFF0F" w14:textId="77777777" w:rsidR="007543BB" w:rsidRPr="00512DF0" w:rsidRDefault="007543BB" w:rsidP="00D95760">
            <w:pPr>
              <w:keepNext/>
              <w:jc w:val="center"/>
            </w:pPr>
          </w:p>
        </w:tc>
        <w:tc>
          <w:tcPr>
            <w:tcW w:w="1286" w:type="dxa"/>
            <w:tcBorders>
              <w:top w:val="single" w:sz="4" w:space="0" w:color="auto"/>
              <w:left w:val="single" w:sz="4" w:space="0" w:color="auto"/>
              <w:right w:val="single" w:sz="4" w:space="0" w:color="auto"/>
            </w:tcBorders>
            <w:shd w:val="clear" w:color="auto" w:fill="auto"/>
          </w:tcPr>
          <w:p w14:paraId="133EC821" w14:textId="77777777" w:rsidR="007543BB" w:rsidRPr="00512DF0" w:rsidRDefault="007543BB" w:rsidP="00D95760">
            <w:pPr>
              <w:keepNext/>
              <w:jc w:val="center"/>
            </w:pPr>
          </w:p>
        </w:tc>
      </w:tr>
      <w:tr w:rsidR="007543BB" w14:paraId="0B239938" w14:textId="77777777" w:rsidTr="00512DF0">
        <w:trPr>
          <w:cantSplit/>
        </w:trPr>
        <w:tc>
          <w:tcPr>
            <w:tcW w:w="1954" w:type="dxa"/>
            <w:tcBorders>
              <w:top w:val="single" w:sz="4" w:space="0" w:color="auto"/>
              <w:left w:val="single" w:sz="4" w:space="0" w:color="auto"/>
            </w:tcBorders>
            <w:shd w:val="clear" w:color="auto" w:fill="auto"/>
          </w:tcPr>
          <w:p w14:paraId="3FC45FB3" w14:textId="77777777" w:rsidR="007543BB" w:rsidRPr="00512DF0" w:rsidRDefault="002D677C" w:rsidP="00D95760">
            <w:pPr>
              <w:keepNext/>
              <w:ind w:left="567"/>
            </w:pPr>
            <w:r w:rsidRPr="00512DF0">
              <w:t>Intracranialis</w:t>
            </w:r>
          </w:p>
        </w:tc>
        <w:tc>
          <w:tcPr>
            <w:tcW w:w="1939" w:type="dxa"/>
            <w:tcBorders>
              <w:top w:val="single" w:sz="4" w:space="0" w:color="auto"/>
              <w:left w:val="single" w:sz="4" w:space="0" w:color="auto"/>
            </w:tcBorders>
            <w:shd w:val="clear" w:color="auto" w:fill="auto"/>
          </w:tcPr>
          <w:p w14:paraId="6B983915" w14:textId="77777777" w:rsidR="007543BB" w:rsidRPr="00512DF0" w:rsidRDefault="002D677C" w:rsidP="00D95760">
            <w:pPr>
              <w:keepNext/>
              <w:jc w:val="center"/>
            </w:pPr>
            <w:r w:rsidRPr="00512DF0">
              <w:t>52 (0,33)</w:t>
            </w:r>
          </w:p>
        </w:tc>
        <w:tc>
          <w:tcPr>
            <w:tcW w:w="1982" w:type="dxa"/>
            <w:tcBorders>
              <w:top w:val="single" w:sz="4" w:space="0" w:color="auto"/>
              <w:left w:val="single" w:sz="4" w:space="0" w:color="auto"/>
            </w:tcBorders>
            <w:shd w:val="clear" w:color="auto" w:fill="auto"/>
          </w:tcPr>
          <w:p w14:paraId="49D2B96A" w14:textId="77777777" w:rsidR="007543BB" w:rsidRPr="00512DF0" w:rsidRDefault="002D677C" w:rsidP="00D95760">
            <w:pPr>
              <w:keepNext/>
              <w:jc w:val="center"/>
            </w:pPr>
            <w:r w:rsidRPr="00512DF0">
              <w:t>122 (0,80)</w:t>
            </w:r>
          </w:p>
        </w:tc>
        <w:tc>
          <w:tcPr>
            <w:tcW w:w="1978" w:type="dxa"/>
            <w:tcBorders>
              <w:top w:val="single" w:sz="4" w:space="0" w:color="auto"/>
              <w:left w:val="single" w:sz="4" w:space="0" w:color="auto"/>
            </w:tcBorders>
            <w:shd w:val="clear" w:color="auto" w:fill="auto"/>
          </w:tcPr>
          <w:p w14:paraId="341FE8CE" w14:textId="77777777" w:rsidR="007543BB" w:rsidRPr="00512DF0" w:rsidRDefault="007543BB" w:rsidP="00D95760">
            <w:pPr>
              <w:keepNext/>
              <w:jc w:val="center"/>
            </w:pPr>
          </w:p>
        </w:tc>
        <w:tc>
          <w:tcPr>
            <w:tcW w:w="1286" w:type="dxa"/>
            <w:tcBorders>
              <w:top w:val="single" w:sz="4" w:space="0" w:color="auto"/>
              <w:left w:val="single" w:sz="4" w:space="0" w:color="auto"/>
              <w:right w:val="single" w:sz="4" w:space="0" w:color="auto"/>
            </w:tcBorders>
            <w:shd w:val="clear" w:color="auto" w:fill="auto"/>
          </w:tcPr>
          <w:p w14:paraId="473303BF" w14:textId="77777777" w:rsidR="007543BB" w:rsidRPr="00512DF0" w:rsidRDefault="007543BB" w:rsidP="00D95760">
            <w:pPr>
              <w:keepNext/>
              <w:jc w:val="center"/>
            </w:pPr>
          </w:p>
        </w:tc>
      </w:tr>
      <w:tr w:rsidR="007543BB" w14:paraId="5A56CE74" w14:textId="77777777" w:rsidTr="00512DF0">
        <w:trPr>
          <w:cantSplit/>
        </w:trPr>
        <w:tc>
          <w:tcPr>
            <w:tcW w:w="1954" w:type="dxa"/>
            <w:tcBorders>
              <w:top w:val="single" w:sz="4" w:space="0" w:color="auto"/>
              <w:left w:val="single" w:sz="4" w:space="0" w:color="auto"/>
            </w:tcBorders>
            <w:shd w:val="clear" w:color="auto" w:fill="auto"/>
          </w:tcPr>
          <w:p w14:paraId="44833F4B" w14:textId="5480D4B3" w:rsidR="007543BB" w:rsidRPr="00512DF0" w:rsidRDefault="002D677C" w:rsidP="00D95760">
            <w:pPr>
              <w:keepNext/>
              <w:ind w:left="283"/>
            </w:pPr>
            <w:r w:rsidRPr="00512DF0">
              <w:t>Nagyfokú +</w:t>
            </w:r>
            <w:r w:rsidR="00512DF0">
              <w:t xml:space="preserve"> </w:t>
            </w:r>
            <w:r w:rsidRPr="00512DF0">
              <w:t>CR</w:t>
            </w:r>
            <w:r w:rsidR="0055342D">
              <w:t>N</w:t>
            </w:r>
            <w:r w:rsidRPr="00512DF0">
              <w:t>M</w:t>
            </w:r>
            <w:r w:rsidR="00512DF0" w:rsidRPr="00D95760">
              <w:rPr>
                <w:vertAlign w:val="superscript"/>
                <w:lang w:val="es-ES"/>
              </w:rPr>
              <w:t>†</w:t>
            </w:r>
          </w:p>
        </w:tc>
        <w:tc>
          <w:tcPr>
            <w:tcW w:w="1939" w:type="dxa"/>
            <w:tcBorders>
              <w:top w:val="single" w:sz="4" w:space="0" w:color="auto"/>
              <w:left w:val="single" w:sz="4" w:space="0" w:color="auto"/>
            </w:tcBorders>
            <w:shd w:val="clear" w:color="auto" w:fill="auto"/>
          </w:tcPr>
          <w:p w14:paraId="7A1FF523" w14:textId="77777777" w:rsidR="007543BB" w:rsidRPr="00512DF0" w:rsidRDefault="002D677C" w:rsidP="00D95760">
            <w:pPr>
              <w:keepNext/>
              <w:jc w:val="center"/>
            </w:pPr>
            <w:r w:rsidRPr="00512DF0">
              <w:t>613 (4,07)</w:t>
            </w:r>
          </w:p>
        </w:tc>
        <w:tc>
          <w:tcPr>
            <w:tcW w:w="1982" w:type="dxa"/>
            <w:tcBorders>
              <w:top w:val="single" w:sz="4" w:space="0" w:color="auto"/>
              <w:left w:val="single" w:sz="4" w:space="0" w:color="auto"/>
            </w:tcBorders>
            <w:shd w:val="clear" w:color="auto" w:fill="auto"/>
          </w:tcPr>
          <w:p w14:paraId="370C3833" w14:textId="77777777" w:rsidR="007543BB" w:rsidRPr="00512DF0" w:rsidRDefault="002D677C" w:rsidP="00D95760">
            <w:pPr>
              <w:keepNext/>
              <w:jc w:val="center"/>
            </w:pPr>
            <w:r w:rsidRPr="00512DF0">
              <w:t>877 (6,01)</w:t>
            </w:r>
          </w:p>
        </w:tc>
        <w:tc>
          <w:tcPr>
            <w:tcW w:w="1978" w:type="dxa"/>
            <w:tcBorders>
              <w:top w:val="single" w:sz="4" w:space="0" w:color="auto"/>
              <w:left w:val="single" w:sz="4" w:space="0" w:color="auto"/>
            </w:tcBorders>
            <w:shd w:val="clear" w:color="auto" w:fill="auto"/>
          </w:tcPr>
          <w:p w14:paraId="6AD4D95C" w14:textId="77777777" w:rsidR="007543BB" w:rsidRPr="00512DF0" w:rsidRDefault="002D677C" w:rsidP="00D95760">
            <w:pPr>
              <w:keepNext/>
              <w:jc w:val="center"/>
            </w:pPr>
            <w:r w:rsidRPr="00512DF0">
              <w:t>0,68 (0,61; 0,75)</w:t>
            </w:r>
          </w:p>
        </w:tc>
        <w:tc>
          <w:tcPr>
            <w:tcW w:w="1286" w:type="dxa"/>
            <w:tcBorders>
              <w:top w:val="single" w:sz="4" w:space="0" w:color="auto"/>
              <w:left w:val="single" w:sz="4" w:space="0" w:color="auto"/>
              <w:right w:val="single" w:sz="4" w:space="0" w:color="auto"/>
            </w:tcBorders>
            <w:shd w:val="clear" w:color="auto" w:fill="auto"/>
          </w:tcPr>
          <w:p w14:paraId="02A3A0A7" w14:textId="5D21025F" w:rsidR="007543BB" w:rsidRPr="00512DF0" w:rsidRDefault="002D677C" w:rsidP="00D95760">
            <w:pPr>
              <w:keepNext/>
              <w:jc w:val="center"/>
            </w:pPr>
            <w:r w:rsidRPr="00512DF0">
              <w:t>&lt;</w:t>
            </w:r>
            <w:r w:rsidR="00156D91">
              <w:t xml:space="preserve"> </w:t>
            </w:r>
            <w:r w:rsidRPr="00512DF0">
              <w:t>0,0001</w:t>
            </w:r>
          </w:p>
        </w:tc>
      </w:tr>
      <w:tr w:rsidR="007543BB" w14:paraId="530853C9" w14:textId="77777777" w:rsidTr="00512DF0">
        <w:trPr>
          <w:cantSplit/>
        </w:trPr>
        <w:tc>
          <w:tcPr>
            <w:tcW w:w="1954" w:type="dxa"/>
            <w:tcBorders>
              <w:top w:val="single" w:sz="4" w:space="0" w:color="auto"/>
              <w:left w:val="single" w:sz="4" w:space="0" w:color="auto"/>
            </w:tcBorders>
            <w:shd w:val="clear" w:color="auto" w:fill="auto"/>
          </w:tcPr>
          <w:p w14:paraId="4F3B234A" w14:textId="77777777" w:rsidR="007543BB" w:rsidRPr="00512DF0" w:rsidRDefault="002D677C" w:rsidP="00D95760">
            <w:pPr>
              <w:ind w:left="283"/>
            </w:pPr>
            <w:r w:rsidRPr="00512DF0">
              <w:t>Összes</w:t>
            </w:r>
          </w:p>
        </w:tc>
        <w:tc>
          <w:tcPr>
            <w:tcW w:w="1939" w:type="dxa"/>
            <w:tcBorders>
              <w:top w:val="single" w:sz="4" w:space="0" w:color="auto"/>
              <w:left w:val="single" w:sz="4" w:space="0" w:color="auto"/>
            </w:tcBorders>
            <w:shd w:val="clear" w:color="auto" w:fill="auto"/>
          </w:tcPr>
          <w:p w14:paraId="2AC5B4FC" w14:textId="77777777" w:rsidR="007543BB" w:rsidRPr="00512DF0" w:rsidRDefault="002D677C" w:rsidP="00512DF0">
            <w:pPr>
              <w:jc w:val="center"/>
            </w:pPr>
            <w:r w:rsidRPr="00512DF0">
              <w:t>2356 (18,1)</w:t>
            </w:r>
          </w:p>
        </w:tc>
        <w:tc>
          <w:tcPr>
            <w:tcW w:w="1982" w:type="dxa"/>
            <w:tcBorders>
              <w:top w:val="single" w:sz="4" w:space="0" w:color="auto"/>
              <w:left w:val="single" w:sz="4" w:space="0" w:color="auto"/>
            </w:tcBorders>
            <w:shd w:val="clear" w:color="auto" w:fill="auto"/>
          </w:tcPr>
          <w:p w14:paraId="7DBCFEFC" w14:textId="77777777" w:rsidR="007543BB" w:rsidRPr="00512DF0" w:rsidRDefault="002D677C" w:rsidP="00512DF0">
            <w:pPr>
              <w:jc w:val="center"/>
            </w:pPr>
            <w:r w:rsidRPr="00512DF0">
              <w:t>3060 (25,8)</w:t>
            </w:r>
          </w:p>
        </w:tc>
        <w:tc>
          <w:tcPr>
            <w:tcW w:w="1978" w:type="dxa"/>
            <w:tcBorders>
              <w:top w:val="single" w:sz="4" w:space="0" w:color="auto"/>
              <w:left w:val="single" w:sz="4" w:space="0" w:color="auto"/>
            </w:tcBorders>
            <w:shd w:val="clear" w:color="auto" w:fill="auto"/>
          </w:tcPr>
          <w:p w14:paraId="568F08C6" w14:textId="77777777" w:rsidR="007543BB" w:rsidRPr="00512DF0" w:rsidRDefault="002D677C" w:rsidP="00512DF0">
            <w:pPr>
              <w:jc w:val="center"/>
            </w:pPr>
            <w:r w:rsidRPr="00512DF0">
              <w:t>0,71 (0,68; 0,75)</w:t>
            </w:r>
          </w:p>
        </w:tc>
        <w:tc>
          <w:tcPr>
            <w:tcW w:w="1286" w:type="dxa"/>
            <w:tcBorders>
              <w:top w:val="single" w:sz="4" w:space="0" w:color="auto"/>
              <w:left w:val="single" w:sz="4" w:space="0" w:color="auto"/>
              <w:right w:val="single" w:sz="4" w:space="0" w:color="auto"/>
            </w:tcBorders>
            <w:shd w:val="clear" w:color="auto" w:fill="auto"/>
          </w:tcPr>
          <w:p w14:paraId="48507E41" w14:textId="5664CF4D" w:rsidR="007543BB" w:rsidRPr="00512DF0" w:rsidRDefault="002D677C" w:rsidP="00512DF0">
            <w:pPr>
              <w:jc w:val="center"/>
            </w:pPr>
            <w:r w:rsidRPr="00512DF0">
              <w:t>&lt;</w:t>
            </w:r>
            <w:r w:rsidR="00156D91">
              <w:t xml:space="preserve"> </w:t>
            </w:r>
            <w:r w:rsidRPr="00512DF0">
              <w:t>0,0001</w:t>
            </w:r>
          </w:p>
        </w:tc>
      </w:tr>
      <w:tr w:rsidR="007543BB" w14:paraId="2075350F" w14:textId="77777777" w:rsidTr="00512DF0">
        <w:trPr>
          <w:cantSplit/>
        </w:trPr>
        <w:tc>
          <w:tcPr>
            <w:tcW w:w="9139" w:type="dxa"/>
            <w:gridSpan w:val="5"/>
            <w:tcBorders>
              <w:top w:val="single" w:sz="4" w:space="0" w:color="auto"/>
              <w:left w:val="single" w:sz="4" w:space="0" w:color="auto"/>
              <w:right w:val="single" w:sz="4" w:space="0" w:color="auto"/>
            </w:tcBorders>
            <w:shd w:val="clear" w:color="auto" w:fill="auto"/>
          </w:tcPr>
          <w:p w14:paraId="01832D80" w14:textId="77777777" w:rsidR="007543BB" w:rsidRPr="00512DF0" w:rsidRDefault="002D677C" w:rsidP="00D95760">
            <w:pPr>
              <w:keepNext/>
            </w:pPr>
            <w:r w:rsidRPr="00512DF0">
              <w:t>Egyéb végpontok</w:t>
            </w:r>
          </w:p>
        </w:tc>
      </w:tr>
      <w:tr w:rsidR="007543BB" w14:paraId="2F769980" w14:textId="77777777" w:rsidTr="00512DF0">
        <w:trPr>
          <w:cantSplit/>
        </w:trPr>
        <w:tc>
          <w:tcPr>
            <w:tcW w:w="1954" w:type="dxa"/>
            <w:tcBorders>
              <w:top w:val="single" w:sz="4" w:space="0" w:color="auto"/>
              <w:left w:val="single" w:sz="4" w:space="0" w:color="auto"/>
            </w:tcBorders>
            <w:shd w:val="clear" w:color="auto" w:fill="auto"/>
          </w:tcPr>
          <w:p w14:paraId="4B8144B6" w14:textId="77777777" w:rsidR="007543BB" w:rsidRPr="00512DF0" w:rsidRDefault="002D677C" w:rsidP="00D95760">
            <w:pPr>
              <w:keepNext/>
              <w:ind w:left="283"/>
            </w:pPr>
            <w:r w:rsidRPr="00512DF0">
              <w:t>Összmortalitás</w:t>
            </w:r>
          </w:p>
        </w:tc>
        <w:tc>
          <w:tcPr>
            <w:tcW w:w="1939" w:type="dxa"/>
            <w:tcBorders>
              <w:top w:val="single" w:sz="4" w:space="0" w:color="auto"/>
              <w:left w:val="single" w:sz="4" w:space="0" w:color="auto"/>
            </w:tcBorders>
            <w:shd w:val="clear" w:color="auto" w:fill="auto"/>
          </w:tcPr>
          <w:p w14:paraId="3935CB4D" w14:textId="77777777" w:rsidR="007543BB" w:rsidRPr="00512DF0" w:rsidRDefault="002D677C" w:rsidP="00D95760">
            <w:pPr>
              <w:keepNext/>
              <w:jc w:val="center"/>
            </w:pPr>
            <w:r w:rsidRPr="00512DF0">
              <w:t>603 (3,52)</w:t>
            </w:r>
          </w:p>
        </w:tc>
        <w:tc>
          <w:tcPr>
            <w:tcW w:w="1982" w:type="dxa"/>
            <w:tcBorders>
              <w:top w:val="single" w:sz="4" w:space="0" w:color="auto"/>
              <w:left w:val="single" w:sz="4" w:space="0" w:color="auto"/>
            </w:tcBorders>
            <w:shd w:val="clear" w:color="auto" w:fill="auto"/>
          </w:tcPr>
          <w:p w14:paraId="5FC52E93" w14:textId="77777777" w:rsidR="007543BB" w:rsidRPr="00512DF0" w:rsidRDefault="002D677C" w:rsidP="00D95760">
            <w:pPr>
              <w:keepNext/>
              <w:jc w:val="center"/>
            </w:pPr>
            <w:r w:rsidRPr="00512DF0">
              <w:t>669 (3,94)</w:t>
            </w:r>
          </w:p>
        </w:tc>
        <w:tc>
          <w:tcPr>
            <w:tcW w:w="1978" w:type="dxa"/>
            <w:tcBorders>
              <w:top w:val="single" w:sz="4" w:space="0" w:color="auto"/>
              <w:left w:val="single" w:sz="4" w:space="0" w:color="auto"/>
            </w:tcBorders>
            <w:shd w:val="clear" w:color="auto" w:fill="auto"/>
          </w:tcPr>
          <w:p w14:paraId="2A98A2EF" w14:textId="77777777" w:rsidR="007543BB" w:rsidRPr="00512DF0" w:rsidRDefault="002D677C" w:rsidP="00D95760">
            <w:pPr>
              <w:keepNext/>
              <w:jc w:val="center"/>
            </w:pPr>
            <w:r w:rsidRPr="00512DF0">
              <w:t>0,89 (0,80; 1,00)</w:t>
            </w:r>
          </w:p>
        </w:tc>
        <w:tc>
          <w:tcPr>
            <w:tcW w:w="1286" w:type="dxa"/>
            <w:tcBorders>
              <w:top w:val="single" w:sz="4" w:space="0" w:color="auto"/>
              <w:left w:val="single" w:sz="4" w:space="0" w:color="auto"/>
              <w:right w:val="single" w:sz="4" w:space="0" w:color="auto"/>
            </w:tcBorders>
            <w:shd w:val="clear" w:color="auto" w:fill="auto"/>
          </w:tcPr>
          <w:p w14:paraId="3CAF6305" w14:textId="77777777" w:rsidR="007543BB" w:rsidRPr="00512DF0" w:rsidRDefault="002D677C" w:rsidP="00D95760">
            <w:pPr>
              <w:keepNext/>
              <w:jc w:val="center"/>
            </w:pPr>
            <w:r w:rsidRPr="00512DF0">
              <w:t>0,0465</w:t>
            </w:r>
          </w:p>
        </w:tc>
      </w:tr>
      <w:tr w:rsidR="007543BB" w14:paraId="6A148B14" w14:textId="77777777" w:rsidTr="00512DF0">
        <w:trPr>
          <w:cantSplit/>
        </w:trPr>
        <w:tc>
          <w:tcPr>
            <w:tcW w:w="1954" w:type="dxa"/>
            <w:tcBorders>
              <w:top w:val="single" w:sz="4" w:space="0" w:color="auto"/>
              <w:left w:val="single" w:sz="4" w:space="0" w:color="auto"/>
              <w:bottom w:val="single" w:sz="4" w:space="0" w:color="auto"/>
            </w:tcBorders>
            <w:shd w:val="clear" w:color="auto" w:fill="auto"/>
          </w:tcPr>
          <w:p w14:paraId="73EB7F71" w14:textId="77777777" w:rsidR="007543BB" w:rsidRPr="00512DF0" w:rsidRDefault="002D677C" w:rsidP="00D95760">
            <w:pPr>
              <w:keepNext/>
              <w:ind w:left="283"/>
            </w:pPr>
            <w:r w:rsidRPr="00512DF0">
              <w:t>Myocardialis infarctus</w:t>
            </w:r>
          </w:p>
        </w:tc>
        <w:tc>
          <w:tcPr>
            <w:tcW w:w="1939" w:type="dxa"/>
            <w:tcBorders>
              <w:top w:val="single" w:sz="4" w:space="0" w:color="auto"/>
              <w:left w:val="single" w:sz="4" w:space="0" w:color="auto"/>
              <w:bottom w:val="single" w:sz="4" w:space="0" w:color="auto"/>
            </w:tcBorders>
            <w:shd w:val="clear" w:color="auto" w:fill="auto"/>
          </w:tcPr>
          <w:p w14:paraId="2C84F7E1" w14:textId="77777777" w:rsidR="007543BB" w:rsidRPr="00512DF0" w:rsidRDefault="002D677C" w:rsidP="00D95760">
            <w:pPr>
              <w:keepNext/>
              <w:jc w:val="center"/>
            </w:pPr>
            <w:r w:rsidRPr="00512DF0">
              <w:t>90 (0,53)</w:t>
            </w:r>
          </w:p>
        </w:tc>
        <w:tc>
          <w:tcPr>
            <w:tcW w:w="1982" w:type="dxa"/>
            <w:tcBorders>
              <w:top w:val="single" w:sz="4" w:space="0" w:color="auto"/>
              <w:left w:val="single" w:sz="4" w:space="0" w:color="auto"/>
              <w:bottom w:val="single" w:sz="4" w:space="0" w:color="auto"/>
            </w:tcBorders>
            <w:shd w:val="clear" w:color="auto" w:fill="auto"/>
          </w:tcPr>
          <w:p w14:paraId="042646E3" w14:textId="77777777" w:rsidR="007543BB" w:rsidRPr="00512DF0" w:rsidRDefault="002D677C" w:rsidP="00D95760">
            <w:pPr>
              <w:keepNext/>
              <w:jc w:val="center"/>
            </w:pPr>
            <w:r w:rsidRPr="00512DF0">
              <w:t>102 (0,61)</w:t>
            </w:r>
          </w:p>
        </w:tc>
        <w:tc>
          <w:tcPr>
            <w:tcW w:w="1978" w:type="dxa"/>
            <w:tcBorders>
              <w:top w:val="single" w:sz="4" w:space="0" w:color="auto"/>
              <w:left w:val="single" w:sz="4" w:space="0" w:color="auto"/>
              <w:bottom w:val="single" w:sz="4" w:space="0" w:color="auto"/>
            </w:tcBorders>
            <w:shd w:val="clear" w:color="auto" w:fill="auto"/>
          </w:tcPr>
          <w:p w14:paraId="4B7A2544" w14:textId="77777777" w:rsidR="007543BB" w:rsidRPr="00512DF0" w:rsidRDefault="002D677C" w:rsidP="00D95760">
            <w:pPr>
              <w:keepNext/>
              <w:jc w:val="center"/>
            </w:pPr>
            <w:r w:rsidRPr="00512DF0">
              <w:t>0,88 (0,66; 1,17)</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27F48163" w14:textId="77777777" w:rsidR="007543BB" w:rsidRPr="00512DF0" w:rsidRDefault="007543BB" w:rsidP="00D95760">
            <w:pPr>
              <w:keepNext/>
              <w:jc w:val="center"/>
            </w:pPr>
          </w:p>
        </w:tc>
      </w:tr>
    </w:tbl>
    <w:p w14:paraId="31286F7C" w14:textId="7DF8043F" w:rsidR="007543BB" w:rsidRPr="00D95760" w:rsidRDefault="002D677C" w:rsidP="00D95760">
      <w:pPr>
        <w:keepNext/>
        <w:rPr>
          <w:sz w:val="20"/>
          <w:szCs w:val="20"/>
        </w:rPr>
      </w:pPr>
      <w:r w:rsidRPr="00D95760">
        <w:rPr>
          <w:sz w:val="20"/>
          <w:szCs w:val="20"/>
        </w:rPr>
        <w:t xml:space="preserve">* A nagyfokú vérzést az International Society on Thrombosis and Haemostasis (ISTH </w:t>
      </w:r>
      <w:r w:rsidR="0055342D">
        <w:rPr>
          <w:sz w:val="20"/>
          <w:szCs w:val="20"/>
        </w:rPr>
        <w:t>–</w:t>
      </w:r>
      <w:r w:rsidRPr="00D95760">
        <w:rPr>
          <w:sz w:val="20"/>
          <w:szCs w:val="20"/>
        </w:rPr>
        <w:t xml:space="preserve"> Nemzetközi Thrombosis és Haemostasis Társaság) kritériumai szerint definiálták.</w:t>
      </w:r>
    </w:p>
    <w:p w14:paraId="7749AD21" w14:textId="69FADF26" w:rsidR="007543BB" w:rsidRPr="00D95760" w:rsidRDefault="00D95760" w:rsidP="00D95760">
      <w:pPr>
        <w:rPr>
          <w:sz w:val="20"/>
          <w:szCs w:val="20"/>
        </w:rPr>
      </w:pPr>
      <w:r w:rsidRPr="004311F4">
        <w:rPr>
          <w:sz w:val="20"/>
          <w:szCs w:val="20"/>
          <w:vertAlign w:val="superscript"/>
        </w:rPr>
        <w:t>†</w:t>
      </w:r>
      <w:r w:rsidR="002D677C" w:rsidRPr="00D95760">
        <w:rPr>
          <w:sz w:val="20"/>
          <w:szCs w:val="20"/>
        </w:rPr>
        <w:t xml:space="preserve"> Klinikailag jelentős, nem súlyos vérzés.</w:t>
      </w:r>
    </w:p>
    <w:p w14:paraId="6083B6F5" w14:textId="77777777" w:rsidR="007543BB" w:rsidRPr="00D95760" w:rsidRDefault="007543BB" w:rsidP="00D95760"/>
    <w:p w14:paraId="380ECB77" w14:textId="77777777" w:rsidR="007543BB" w:rsidRDefault="002D677C" w:rsidP="00D95760">
      <w:r w:rsidRPr="00D95760">
        <w:t>Az ARISTOTLE vizsgálatban a kezelés mellékhatások miatt történő abbahagyásának összesített aránya 1,8% volt az apixabán és 2,6% volt a warfarin esetén.</w:t>
      </w:r>
    </w:p>
    <w:p w14:paraId="7EF216BA" w14:textId="77777777" w:rsidR="00D95760" w:rsidRPr="00D95760" w:rsidRDefault="00D95760" w:rsidP="00D95760"/>
    <w:p w14:paraId="2AA074BD" w14:textId="77777777" w:rsidR="007543BB" w:rsidRDefault="002D677C" w:rsidP="00D95760">
      <w:r w:rsidRPr="00D95760">
        <w:t>Az előre meghatározott alcsoportok, köztük a CHADS</w:t>
      </w:r>
      <w:r w:rsidRPr="00D95760">
        <w:rPr>
          <w:vertAlign w:val="subscript"/>
        </w:rPr>
        <w:t>2</w:t>
      </w:r>
      <w:r w:rsidRPr="00D95760">
        <w:t>-pontszám, az életkor, a testtömeg, a nem, a vesefunkciós státusz, a korábbi stroke vagy TIA és a diabetes esetén a hatásossági eredmények összhangban voltak a vizsgálatban értékelt összpopuláció esetén kapott elsődleges hatásossági eredményekkel.</w:t>
      </w:r>
    </w:p>
    <w:p w14:paraId="57276C70" w14:textId="77777777" w:rsidR="00D95760" w:rsidRPr="00D95760" w:rsidRDefault="00D95760" w:rsidP="00D95760"/>
    <w:p w14:paraId="68AB4EB3" w14:textId="77777777" w:rsidR="007543BB" w:rsidRDefault="002D677C" w:rsidP="00D95760">
      <w:r w:rsidRPr="00D95760">
        <w:t>Az ISTH definíciója szerinti nagyfokú gastrointestinalis vérzések (beleértve a tápcsatorna felső, a tápcsatorna alsó részéről kiinduló, valamint a rectalis vérzést is) előfordulási gyakorisága 0,76%/év volt az apixabán és 0,86%/év volt a warfarin mellett.</w:t>
      </w:r>
    </w:p>
    <w:p w14:paraId="7AB72F26" w14:textId="77777777" w:rsidR="00D95760" w:rsidRPr="00D95760" w:rsidRDefault="00D95760" w:rsidP="00D95760"/>
    <w:p w14:paraId="0EF71347" w14:textId="77777777" w:rsidR="007543BB" w:rsidRDefault="002D677C" w:rsidP="00D95760">
      <w:r w:rsidRPr="00D95760">
        <w:t>Az előre meghatározott alcsoportok, köztük a CHADS</w:t>
      </w:r>
      <w:r w:rsidRPr="00D95760">
        <w:rPr>
          <w:vertAlign w:val="subscript"/>
        </w:rPr>
        <w:t>2</w:t>
      </w:r>
      <w:r w:rsidRPr="00D95760">
        <w:t>-pontszám, az életkor, a testtömeg, a nem, a vesefunkciós státusz, a korábbi stroke vagy TIA és a diabetes esetén a nagyfokú vérzések összhangban voltak a vizsgálatban értékelt összpopuláció esetén kapott eredményekkel.</w:t>
      </w:r>
    </w:p>
    <w:p w14:paraId="5C9D33FF" w14:textId="77777777" w:rsidR="00D95760" w:rsidRPr="00D95760" w:rsidRDefault="00D95760" w:rsidP="00D95760"/>
    <w:p w14:paraId="37AB5400" w14:textId="77777777" w:rsidR="007543BB" w:rsidRPr="00D95760" w:rsidRDefault="002D677C" w:rsidP="00D95760">
      <w:pPr>
        <w:keepNext/>
        <w:rPr>
          <w:i/>
          <w:iCs/>
          <w:u w:val="single"/>
        </w:rPr>
      </w:pPr>
      <w:r w:rsidRPr="00D95760">
        <w:rPr>
          <w:i/>
          <w:iCs/>
          <w:u w:val="single"/>
        </w:rPr>
        <w:t>AVERROES vizsgálat</w:t>
      </w:r>
    </w:p>
    <w:p w14:paraId="42C2493C" w14:textId="062C0177" w:rsidR="007543BB" w:rsidRDefault="002D677C" w:rsidP="00D95760">
      <w:r w:rsidRPr="00D95760">
        <w:t>Az AVERROES vizsgálatban összesen 5598</w:t>
      </w:r>
      <w:r w:rsidR="003823B2">
        <w:t> </w:t>
      </w:r>
      <w:r w:rsidRPr="00D95760">
        <w:t>olyan beteget, akiket a vizsgálatot végzők nem tartottak alkalmasnak a K-vitamin-antagonista-kezelésre, naponta kétszer 5</w:t>
      </w:r>
      <w:r w:rsidR="003823B2">
        <w:t> </w:t>
      </w:r>
      <w:r w:rsidRPr="00D95760">
        <w:t>mg (vagy kiválasztott betegeknél naponta kétszer 2,5mg [6,4%], lásd 4.2</w:t>
      </w:r>
      <w:r w:rsidR="003823B2">
        <w:t> </w:t>
      </w:r>
      <w:r w:rsidRPr="00D95760">
        <w:t>pont) apixabán- vagy acetilszalicilsav-kezelésre randomizáltak. Az acetilszalicilsavat a vizsgálatot végző megítélése szerint napi egyszeri 81</w:t>
      </w:r>
      <w:r w:rsidR="003823B2">
        <w:t> </w:t>
      </w:r>
      <w:r w:rsidRPr="00D95760">
        <w:t>mg-os (64%), 162</w:t>
      </w:r>
      <w:r w:rsidR="003823B2">
        <w:t> </w:t>
      </w:r>
      <w:r w:rsidRPr="00D95760">
        <w:t>mg-os (26,9%), 243</w:t>
      </w:r>
      <w:r w:rsidR="003823B2">
        <w:t> </w:t>
      </w:r>
      <w:r w:rsidRPr="00D95760">
        <w:t>mg-os (2,1%) vagy 324</w:t>
      </w:r>
      <w:r w:rsidR="003823B2">
        <w:t> </w:t>
      </w:r>
      <w:r w:rsidRPr="00D95760">
        <w:t>mg-os (6,6%) adagban adták. A betegek átlagosan 14</w:t>
      </w:r>
      <w:r w:rsidR="003823B2">
        <w:t> </w:t>
      </w:r>
      <w:r w:rsidRPr="00D95760">
        <w:t>hónapig kapták a vizsgált hatóanyagot. Az átlagéletkor 69,9</w:t>
      </w:r>
      <w:r w:rsidR="003823B2">
        <w:t> </w:t>
      </w:r>
      <w:r w:rsidRPr="00D95760">
        <w:t>év, az átlagos CHADS</w:t>
      </w:r>
      <w:r w:rsidRPr="00D95760">
        <w:rPr>
          <w:vertAlign w:val="subscript"/>
        </w:rPr>
        <w:t>2</w:t>
      </w:r>
      <w:r w:rsidRPr="00D95760">
        <w:t xml:space="preserve"> pontszám 2,0 volt, és a betegek 18,9%-ának volt korábban stroke-ja vagy TIA-ja.</w:t>
      </w:r>
    </w:p>
    <w:p w14:paraId="665BFB41" w14:textId="77777777" w:rsidR="00D95760" w:rsidRPr="00D95760" w:rsidRDefault="00D95760" w:rsidP="00D95760"/>
    <w:p w14:paraId="32805658" w14:textId="32BE697F" w:rsidR="007543BB" w:rsidRDefault="002D677C" w:rsidP="00D95760">
      <w:r w:rsidRPr="00D95760">
        <w:t>Az AVERROES vizsgálatban a K-vitamin-antagonista-kezelésre való alkalmatlanság gyakori okai közé tartozott az INR-értékek kívánt intervallumban való tartásának képtelensége vagy annak valószínűtlensége (42,6%), az, hogy a beteg visszautasította a K-vitamin-antagonistával végzett kezelést (37,4%), a CHADS</w:t>
      </w:r>
      <w:r w:rsidRPr="00D95760">
        <w:rPr>
          <w:vertAlign w:val="subscript"/>
        </w:rPr>
        <w:t>2</w:t>
      </w:r>
      <w:r w:rsidRPr="00D95760">
        <w:t>-pontszám=1 és az orvos nem javasolta a K-vitamin-antagonista-kezelést (21,3%), nem lehetett megbízni abban, hogy a beteg betartja a K-vitamin-antagonista mellé kapott gyógyszerekre vonatkozó utasításokat (15,0%), valamint az, hogy a dózis sürgős megváltoztatása esetén nehéz vagy várhatóan nehéz elérni a beteget (11,7%).</w:t>
      </w:r>
    </w:p>
    <w:p w14:paraId="5BC7D955" w14:textId="77777777" w:rsidR="00D95760" w:rsidRPr="00D95760" w:rsidRDefault="00D95760" w:rsidP="00D95760"/>
    <w:p w14:paraId="68833639" w14:textId="77777777" w:rsidR="00390A1D" w:rsidRDefault="002D677C" w:rsidP="00D95760">
      <w:r w:rsidRPr="00D95760">
        <w:t>A független Adatfigyelő bizottság ajánlása alapján az AVERROES vizsgálatot idő előtt leállították, mert egy elfogadható biztonságossági profil mellett egyértelmű bizonyíték volt a stroke és a szisztémás embolizáció csökkenésére.</w:t>
      </w:r>
    </w:p>
    <w:p w14:paraId="43F2AB34" w14:textId="77777777" w:rsidR="00D95760" w:rsidRPr="00D95760" w:rsidRDefault="00D95760" w:rsidP="00D95760"/>
    <w:p w14:paraId="5E83E109" w14:textId="77777777" w:rsidR="007543BB" w:rsidRDefault="002D677C" w:rsidP="00D95760">
      <w:r w:rsidRPr="00D95760">
        <w:t>Az AVERROES vizsgálatban a kezelés mellékhatások miatt történő abbahagyásának összesített aránya 1,5% volt az apixabán és 1,3% volt az acetilszalicilsav esetén.</w:t>
      </w:r>
    </w:p>
    <w:p w14:paraId="1796FC51" w14:textId="77777777" w:rsidR="00D95760" w:rsidRPr="00D95760" w:rsidRDefault="00D95760" w:rsidP="00D95760"/>
    <w:p w14:paraId="045D11C2" w14:textId="4DE1FAC3" w:rsidR="007543BB" w:rsidRDefault="002D677C" w:rsidP="00D95760">
      <w:r w:rsidRPr="00D95760">
        <w:t xml:space="preserve">A vizsgálatban az apixabán az acetilszalicilsavhoz képest statisztikailag szignifikánsan jobb volt a stroke (haemorrhagiás, ischaemiás vagy nem meghatározott) vagy szisztémás embolizáció prevenció elsődleges végpontban (lásd </w:t>
      </w:r>
      <w:r w:rsidR="003823B2">
        <w:t>6</w:t>
      </w:r>
      <w:r w:rsidRPr="00D95760">
        <w:t>. táblázat).</w:t>
      </w:r>
    </w:p>
    <w:p w14:paraId="26B8F0C3" w14:textId="77777777" w:rsidR="00D95760" w:rsidRPr="00D95760" w:rsidRDefault="00D95760" w:rsidP="00D95760"/>
    <w:p w14:paraId="017EE53F" w14:textId="6140DD8A" w:rsidR="007543BB" w:rsidRPr="00D95760" w:rsidRDefault="00804FA6" w:rsidP="00D95760">
      <w:pPr>
        <w:keepNext/>
        <w:rPr>
          <w:b/>
          <w:bCs/>
        </w:rPr>
      </w:pPr>
      <w:r>
        <w:rPr>
          <w:b/>
          <w:bCs/>
        </w:rPr>
        <w:t>6</w:t>
      </w:r>
      <w:r w:rsidR="002D677C" w:rsidRPr="00D95760">
        <w:rPr>
          <w:b/>
          <w:bCs/>
        </w:rPr>
        <w:t>.</w:t>
      </w:r>
      <w:r w:rsidR="00317B32">
        <w:rPr>
          <w:b/>
          <w:bCs/>
        </w:rPr>
        <w:t> </w:t>
      </w:r>
      <w:r w:rsidR="002D677C" w:rsidRPr="00D95760">
        <w:rPr>
          <w:b/>
          <w:bCs/>
        </w:rPr>
        <w:t>táblázat: Legfontosabb hatásossági végpontok pitvarfibrilláló betegeknél az AVERROES vizsgálatban</w:t>
      </w:r>
    </w:p>
    <w:tbl>
      <w:tblPr>
        <w:tblOverlap w:val="never"/>
        <w:tblW w:w="0" w:type="auto"/>
        <w:tblLayout w:type="fixed"/>
        <w:tblCellMar>
          <w:top w:w="28" w:type="dxa"/>
          <w:bottom w:w="28" w:type="dxa"/>
        </w:tblCellMar>
        <w:tblLook w:val="0000" w:firstRow="0" w:lastRow="0" w:firstColumn="0" w:lastColumn="0" w:noHBand="0" w:noVBand="0"/>
      </w:tblPr>
      <w:tblGrid>
        <w:gridCol w:w="2842"/>
        <w:gridCol w:w="1565"/>
        <w:gridCol w:w="1709"/>
        <w:gridCol w:w="1709"/>
        <w:gridCol w:w="1008"/>
      </w:tblGrid>
      <w:tr w:rsidR="007543BB" w:rsidRPr="00413E7E" w14:paraId="0C2CA986" w14:textId="77777777" w:rsidTr="00413E7E">
        <w:trPr>
          <w:cantSplit/>
          <w:tblHeader/>
        </w:trPr>
        <w:tc>
          <w:tcPr>
            <w:tcW w:w="2842" w:type="dxa"/>
            <w:tcBorders>
              <w:top w:val="single" w:sz="4" w:space="0" w:color="auto"/>
              <w:left w:val="single" w:sz="4" w:space="0" w:color="auto"/>
            </w:tcBorders>
            <w:shd w:val="clear" w:color="auto" w:fill="auto"/>
          </w:tcPr>
          <w:p w14:paraId="7C2D43FA" w14:textId="77777777" w:rsidR="007543BB" w:rsidRPr="00413E7E" w:rsidRDefault="007543BB" w:rsidP="00413E7E">
            <w:pPr>
              <w:keepNext/>
              <w:rPr>
                <w:b/>
                <w:bCs/>
              </w:rPr>
            </w:pPr>
          </w:p>
        </w:tc>
        <w:tc>
          <w:tcPr>
            <w:tcW w:w="1565" w:type="dxa"/>
            <w:tcBorders>
              <w:top w:val="single" w:sz="4" w:space="0" w:color="auto"/>
              <w:left w:val="single" w:sz="4" w:space="0" w:color="auto"/>
            </w:tcBorders>
            <w:shd w:val="clear" w:color="auto" w:fill="auto"/>
          </w:tcPr>
          <w:p w14:paraId="24F52E69" w14:textId="431397BF" w:rsidR="00413E7E" w:rsidRPr="00413E7E" w:rsidRDefault="002D677C" w:rsidP="00413E7E">
            <w:pPr>
              <w:keepNext/>
              <w:jc w:val="center"/>
              <w:rPr>
                <w:b/>
                <w:bCs/>
              </w:rPr>
            </w:pPr>
            <w:r w:rsidRPr="00413E7E">
              <w:rPr>
                <w:b/>
                <w:bCs/>
              </w:rPr>
              <w:t>Apixabán</w:t>
            </w:r>
          </w:p>
          <w:p w14:paraId="0BA2BA4D" w14:textId="4D918EE3" w:rsidR="00413E7E" w:rsidRPr="00413E7E" w:rsidRDefault="002D677C" w:rsidP="00413E7E">
            <w:pPr>
              <w:keepNext/>
              <w:jc w:val="center"/>
              <w:rPr>
                <w:b/>
                <w:bCs/>
              </w:rPr>
            </w:pPr>
            <w:r w:rsidRPr="00413E7E">
              <w:rPr>
                <w:b/>
                <w:bCs/>
              </w:rPr>
              <w:t>N=2</w:t>
            </w:r>
            <w:r w:rsidR="00A66FA0">
              <w:rPr>
                <w:b/>
                <w:bCs/>
              </w:rPr>
              <w:t> </w:t>
            </w:r>
            <w:r w:rsidRPr="00413E7E">
              <w:rPr>
                <w:b/>
                <w:bCs/>
              </w:rPr>
              <w:t>807</w:t>
            </w:r>
          </w:p>
          <w:p w14:paraId="6F95C076" w14:textId="6D024876" w:rsidR="007543BB" w:rsidRPr="00413E7E" w:rsidRDefault="002D677C" w:rsidP="00413E7E">
            <w:pPr>
              <w:keepNext/>
              <w:jc w:val="center"/>
              <w:rPr>
                <w:b/>
                <w:bCs/>
              </w:rPr>
            </w:pPr>
            <w:r w:rsidRPr="00413E7E">
              <w:rPr>
                <w:b/>
                <w:bCs/>
              </w:rPr>
              <w:t>n (%/év)</w:t>
            </w:r>
          </w:p>
        </w:tc>
        <w:tc>
          <w:tcPr>
            <w:tcW w:w="1709" w:type="dxa"/>
            <w:tcBorders>
              <w:top w:val="single" w:sz="4" w:space="0" w:color="auto"/>
              <w:left w:val="single" w:sz="4" w:space="0" w:color="auto"/>
            </w:tcBorders>
            <w:shd w:val="clear" w:color="auto" w:fill="auto"/>
          </w:tcPr>
          <w:p w14:paraId="5F0550CC" w14:textId="77777777" w:rsidR="007543BB" w:rsidRPr="00413E7E" w:rsidRDefault="002D677C" w:rsidP="00413E7E">
            <w:pPr>
              <w:keepNext/>
              <w:jc w:val="center"/>
              <w:rPr>
                <w:b/>
                <w:bCs/>
              </w:rPr>
            </w:pPr>
            <w:r w:rsidRPr="00413E7E">
              <w:rPr>
                <w:b/>
                <w:bCs/>
              </w:rPr>
              <w:t>Acetilszalicilsav</w:t>
            </w:r>
          </w:p>
          <w:p w14:paraId="1849BDDE" w14:textId="5DA311B0" w:rsidR="00413E7E" w:rsidRPr="00413E7E" w:rsidRDefault="002D677C" w:rsidP="00413E7E">
            <w:pPr>
              <w:keepNext/>
              <w:jc w:val="center"/>
              <w:rPr>
                <w:b/>
                <w:bCs/>
              </w:rPr>
            </w:pPr>
            <w:r w:rsidRPr="00413E7E">
              <w:rPr>
                <w:b/>
                <w:bCs/>
              </w:rPr>
              <w:t>N=2</w:t>
            </w:r>
            <w:r w:rsidR="00A66FA0">
              <w:rPr>
                <w:b/>
                <w:bCs/>
              </w:rPr>
              <w:t> </w:t>
            </w:r>
            <w:r w:rsidRPr="00413E7E">
              <w:rPr>
                <w:b/>
                <w:bCs/>
              </w:rPr>
              <w:t>791</w:t>
            </w:r>
          </w:p>
          <w:p w14:paraId="69F98B88" w14:textId="7CD1D0F2" w:rsidR="007543BB" w:rsidRPr="00413E7E" w:rsidRDefault="002D677C" w:rsidP="00413E7E">
            <w:pPr>
              <w:keepNext/>
              <w:jc w:val="center"/>
              <w:rPr>
                <w:b/>
                <w:bCs/>
              </w:rPr>
            </w:pPr>
            <w:r w:rsidRPr="00413E7E">
              <w:rPr>
                <w:b/>
                <w:bCs/>
              </w:rPr>
              <w:t>n (%/év)</w:t>
            </w:r>
          </w:p>
        </w:tc>
        <w:tc>
          <w:tcPr>
            <w:tcW w:w="1709" w:type="dxa"/>
            <w:tcBorders>
              <w:top w:val="single" w:sz="4" w:space="0" w:color="auto"/>
              <w:left w:val="single" w:sz="4" w:space="0" w:color="auto"/>
            </w:tcBorders>
            <w:shd w:val="clear" w:color="auto" w:fill="auto"/>
          </w:tcPr>
          <w:p w14:paraId="521D24A4" w14:textId="68B0B71D" w:rsidR="00413E7E" w:rsidRPr="00413E7E" w:rsidRDefault="002D677C" w:rsidP="00413E7E">
            <w:pPr>
              <w:keepNext/>
              <w:jc w:val="center"/>
              <w:rPr>
                <w:b/>
                <w:bCs/>
              </w:rPr>
            </w:pPr>
            <w:r w:rsidRPr="00413E7E">
              <w:rPr>
                <w:b/>
                <w:bCs/>
              </w:rPr>
              <w:t>Relatív hazárd</w:t>
            </w:r>
          </w:p>
          <w:p w14:paraId="256AD00D" w14:textId="60059B21" w:rsidR="007543BB" w:rsidRPr="00413E7E" w:rsidRDefault="002D677C" w:rsidP="00413E7E">
            <w:pPr>
              <w:keepNext/>
              <w:jc w:val="center"/>
              <w:rPr>
                <w:b/>
                <w:bCs/>
              </w:rPr>
            </w:pPr>
            <w:r w:rsidRPr="00413E7E">
              <w:rPr>
                <w:b/>
                <w:bCs/>
              </w:rPr>
              <w:t>(95%-os CI)</w:t>
            </w:r>
          </w:p>
        </w:tc>
        <w:tc>
          <w:tcPr>
            <w:tcW w:w="1008" w:type="dxa"/>
            <w:tcBorders>
              <w:top w:val="single" w:sz="4" w:space="0" w:color="auto"/>
              <w:left w:val="single" w:sz="4" w:space="0" w:color="auto"/>
              <w:right w:val="single" w:sz="4" w:space="0" w:color="auto"/>
            </w:tcBorders>
            <w:shd w:val="clear" w:color="auto" w:fill="auto"/>
          </w:tcPr>
          <w:p w14:paraId="0DBC4EEE" w14:textId="77777777" w:rsidR="007543BB" w:rsidRPr="00413E7E" w:rsidRDefault="002D677C" w:rsidP="00413E7E">
            <w:pPr>
              <w:keepNext/>
              <w:jc w:val="center"/>
              <w:rPr>
                <w:b/>
                <w:bCs/>
              </w:rPr>
            </w:pPr>
            <w:r w:rsidRPr="00413E7E">
              <w:rPr>
                <w:b/>
                <w:bCs/>
              </w:rPr>
              <w:t>p-érték</w:t>
            </w:r>
          </w:p>
        </w:tc>
      </w:tr>
      <w:tr w:rsidR="007543BB" w:rsidRPr="00413E7E" w14:paraId="0415AF1C" w14:textId="77777777" w:rsidTr="00413E7E">
        <w:trPr>
          <w:cantSplit/>
        </w:trPr>
        <w:tc>
          <w:tcPr>
            <w:tcW w:w="2842" w:type="dxa"/>
            <w:tcBorders>
              <w:top w:val="single" w:sz="4" w:space="0" w:color="auto"/>
              <w:left w:val="single" w:sz="4" w:space="0" w:color="auto"/>
            </w:tcBorders>
            <w:shd w:val="clear" w:color="auto" w:fill="auto"/>
          </w:tcPr>
          <w:p w14:paraId="287041D6" w14:textId="77777777" w:rsidR="007543BB" w:rsidRPr="00413E7E" w:rsidRDefault="002D677C" w:rsidP="001C693A">
            <w:pPr>
              <w:keepNext/>
            </w:pPr>
            <w:r w:rsidRPr="00413E7E">
              <w:t>Stroke vagy szisztémás embolizáció*</w:t>
            </w:r>
          </w:p>
        </w:tc>
        <w:tc>
          <w:tcPr>
            <w:tcW w:w="1565" w:type="dxa"/>
            <w:tcBorders>
              <w:top w:val="single" w:sz="4" w:space="0" w:color="auto"/>
              <w:left w:val="single" w:sz="4" w:space="0" w:color="auto"/>
            </w:tcBorders>
            <w:shd w:val="clear" w:color="auto" w:fill="auto"/>
          </w:tcPr>
          <w:p w14:paraId="759A8582" w14:textId="77777777" w:rsidR="007543BB" w:rsidRPr="00413E7E" w:rsidRDefault="002D677C" w:rsidP="001C693A">
            <w:pPr>
              <w:keepNext/>
              <w:jc w:val="center"/>
            </w:pPr>
            <w:r w:rsidRPr="00413E7E">
              <w:t>51 (1,62)</w:t>
            </w:r>
          </w:p>
        </w:tc>
        <w:tc>
          <w:tcPr>
            <w:tcW w:w="1709" w:type="dxa"/>
            <w:tcBorders>
              <w:top w:val="single" w:sz="4" w:space="0" w:color="auto"/>
              <w:left w:val="single" w:sz="4" w:space="0" w:color="auto"/>
            </w:tcBorders>
            <w:shd w:val="clear" w:color="auto" w:fill="auto"/>
          </w:tcPr>
          <w:p w14:paraId="4400B31A" w14:textId="77777777" w:rsidR="007543BB" w:rsidRPr="00413E7E" w:rsidRDefault="002D677C" w:rsidP="001C693A">
            <w:pPr>
              <w:keepNext/>
              <w:jc w:val="center"/>
            </w:pPr>
            <w:r w:rsidRPr="00413E7E">
              <w:t>113 (3,63)</w:t>
            </w:r>
          </w:p>
        </w:tc>
        <w:tc>
          <w:tcPr>
            <w:tcW w:w="1709" w:type="dxa"/>
            <w:tcBorders>
              <w:top w:val="single" w:sz="4" w:space="0" w:color="auto"/>
              <w:left w:val="single" w:sz="4" w:space="0" w:color="auto"/>
            </w:tcBorders>
            <w:shd w:val="clear" w:color="auto" w:fill="auto"/>
          </w:tcPr>
          <w:p w14:paraId="69E3D56B" w14:textId="77777777" w:rsidR="007543BB" w:rsidRPr="00413E7E" w:rsidRDefault="002D677C" w:rsidP="001C693A">
            <w:pPr>
              <w:keepNext/>
              <w:jc w:val="center"/>
            </w:pPr>
            <w:r w:rsidRPr="00413E7E">
              <w:t>0,45 (0,32; 0,62)</w:t>
            </w:r>
          </w:p>
        </w:tc>
        <w:tc>
          <w:tcPr>
            <w:tcW w:w="1008" w:type="dxa"/>
            <w:tcBorders>
              <w:top w:val="single" w:sz="4" w:space="0" w:color="auto"/>
              <w:left w:val="single" w:sz="4" w:space="0" w:color="auto"/>
              <w:right w:val="single" w:sz="4" w:space="0" w:color="auto"/>
            </w:tcBorders>
            <w:shd w:val="clear" w:color="auto" w:fill="auto"/>
          </w:tcPr>
          <w:p w14:paraId="647F5611" w14:textId="52972F7F" w:rsidR="007543BB" w:rsidRPr="00413E7E" w:rsidRDefault="002D677C" w:rsidP="001C693A">
            <w:pPr>
              <w:keepNext/>
              <w:jc w:val="center"/>
            </w:pPr>
            <w:r w:rsidRPr="00413E7E">
              <w:t>&lt;</w:t>
            </w:r>
            <w:r w:rsidR="0055342D">
              <w:t xml:space="preserve"> </w:t>
            </w:r>
            <w:r w:rsidRPr="00413E7E">
              <w:t>0,0001</w:t>
            </w:r>
          </w:p>
        </w:tc>
      </w:tr>
      <w:tr w:rsidR="007543BB" w:rsidRPr="00413E7E" w14:paraId="3546637F" w14:textId="77777777" w:rsidTr="00413E7E">
        <w:trPr>
          <w:cantSplit/>
        </w:trPr>
        <w:tc>
          <w:tcPr>
            <w:tcW w:w="2842" w:type="dxa"/>
            <w:tcBorders>
              <w:top w:val="single" w:sz="4" w:space="0" w:color="auto"/>
              <w:left w:val="single" w:sz="4" w:space="0" w:color="auto"/>
            </w:tcBorders>
            <w:shd w:val="clear" w:color="auto" w:fill="auto"/>
          </w:tcPr>
          <w:p w14:paraId="4EEB6BFC" w14:textId="77777777" w:rsidR="007543BB" w:rsidRPr="00413E7E" w:rsidRDefault="002D677C" w:rsidP="001C693A">
            <w:pPr>
              <w:keepNext/>
              <w:ind w:left="283"/>
            </w:pPr>
            <w:r w:rsidRPr="00413E7E">
              <w:t>Stroke</w:t>
            </w:r>
          </w:p>
        </w:tc>
        <w:tc>
          <w:tcPr>
            <w:tcW w:w="1565" w:type="dxa"/>
            <w:tcBorders>
              <w:top w:val="single" w:sz="4" w:space="0" w:color="auto"/>
              <w:left w:val="single" w:sz="4" w:space="0" w:color="auto"/>
            </w:tcBorders>
            <w:shd w:val="clear" w:color="auto" w:fill="auto"/>
          </w:tcPr>
          <w:p w14:paraId="389A7FD5" w14:textId="77777777" w:rsidR="007543BB" w:rsidRPr="00413E7E" w:rsidRDefault="007543BB" w:rsidP="001C693A">
            <w:pPr>
              <w:keepNext/>
              <w:jc w:val="center"/>
            </w:pPr>
          </w:p>
        </w:tc>
        <w:tc>
          <w:tcPr>
            <w:tcW w:w="1709" w:type="dxa"/>
            <w:tcBorders>
              <w:top w:val="single" w:sz="4" w:space="0" w:color="auto"/>
              <w:left w:val="single" w:sz="4" w:space="0" w:color="auto"/>
            </w:tcBorders>
            <w:shd w:val="clear" w:color="auto" w:fill="auto"/>
          </w:tcPr>
          <w:p w14:paraId="1A26EDB1" w14:textId="77777777" w:rsidR="007543BB" w:rsidRPr="00413E7E" w:rsidRDefault="007543BB" w:rsidP="001C693A">
            <w:pPr>
              <w:keepNext/>
              <w:jc w:val="center"/>
            </w:pPr>
          </w:p>
        </w:tc>
        <w:tc>
          <w:tcPr>
            <w:tcW w:w="1709" w:type="dxa"/>
            <w:tcBorders>
              <w:top w:val="single" w:sz="4" w:space="0" w:color="auto"/>
              <w:left w:val="single" w:sz="4" w:space="0" w:color="auto"/>
            </w:tcBorders>
            <w:shd w:val="clear" w:color="auto" w:fill="auto"/>
          </w:tcPr>
          <w:p w14:paraId="62795493" w14:textId="77777777" w:rsidR="007543BB" w:rsidRPr="00413E7E" w:rsidRDefault="007543BB" w:rsidP="001C693A">
            <w:pPr>
              <w:keepNext/>
              <w:jc w:val="center"/>
            </w:pPr>
          </w:p>
        </w:tc>
        <w:tc>
          <w:tcPr>
            <w:tcW w:w="1008" w:type="dxa"/>
            <w:tcBorders>
              <w:top w:val="single" w:sz="4" w:space="0" w:color="auto"/>
              <w:left w:val="single" w:sz="4" w:space="0" w:color="auto"/>
              <w:right w:val="single" w:sz="4" w:space="0" w:color="auto"/>
            </w:tcBorders>
            <w:shd w:val="clear" w:color="auto" w:fill="auto"/>
          </w:tcPr>
          <w:p w14:paraId="63AE6ADC" w14:textId="77777777" w:rsidR="007543BB" w:rsidRPr="00413E7E" w:rsidRDefault="007543BB" w:rsidP="001C693A">
            <w:pPr>
              <w:keepNext/>
              <w:jc w:val="center"/>
            </w:pPr>
          </w:p>
        </w:tc>
      </w:tr>
      <w:tr w:rsidR="007543BB" w:rsidRPr="00413E7E" w14:paraId="631446B9" w14:textId="77777777" w:rsidTr="00413E7E">
        <w:trPr>
          <w:cantSplit/>
        </w:trPr>
        <w:tc>
          <w:tcPr>
            <w:tcW w:w="2842" w:type="dxa"/>
            <w:tcBorders>
              <w:top w:val="single" w:sz="4" w:space="0" w:color="auto"/>
              <w:left w:val="single" w:sz="4" w:space="0" w:color="auto"/>
            </w:tcBorders>
            <w:shd w:val="clear" w:color="auto" w:fill="auto"/>
          </w:tcPr>
          <w:p w14:paraId="6863D65A" w14:textId="77777777" w:rsidR="007543BB" w:rsidRPr="00413E7E" w:rsidRDefault="002D677C" w:rsidP="001C693A">
            <w:pPr>
              <w:keepNext/>
              <w:ind w:left="567"/>
            </w:pPr>
            <w:r w:rsidRPr="00413E7E">
              <w:t>Ischaemiás vagy nem meghatározott</w:t>
            </w:r>
          </w:p>
        </w:tc>
        <w:tc>
          <w:tcPr>
            <w:tcW w:w="1565" w:type="dxa"/>
            <w:tcBorders>
              <w:top w:val="single" w:sz="4" w:space="0" w:color="auto"/>
              <w:left w:val="single" w:sz="4" w:space="0" w:color="auto"/>
            </w:tcBorders>
            <w:shd w:val="clear" w:color="auto" w:fill="auto"/>
          </w:tcPr>
          <w:p w14:paraId="59232504" w14:textId="77777777" w:rsidR="007543BB" w:rsidRPr="00413E7E" w:rsidRDefault="002D677C" w:rsidP="001C693A">
            <w:pPr>
              <w:keepNext/>
              <w:jc w:val="center"/>
            </w:pPr>
            <w:r w:rsidRPr="00413E7E">
              <w:t>43 (1,37)</w:t>
            </w:r>
          </w:p>
        </w:tc>
        <w:tc>
          <w:tcPr>
            <w:tcW w:w="1709" w:type="dxa"/>
            <w:tcBorders>
              <w:top w:val="single" w:sz="4" w:space="0" w:color="auto"/>
              <w:left w:val="single" w:sz="4" w:space="0" w:color="auto"/>
            </w:tcBorders>
            <w:shd w:val="clear" w:color="auto" w:fill="auto"/>
          </w:tcPr>
          <w:p w14:paraId="345000FE" w14:textId="77777777" w:rsidR="007543BB" w:rsidRPr="00413E7E" w:rsidRDefault="002D677C" w:rsidP="001C693A">
            <w:pPr>
              <w:keepNext/>
              <w:jc w:val="center"/>
            </w:pPr>
            <w:r w:rsidRPr="00413E7E">
              <w:t>97 (3,11)</w:t>
            </w:r>
          </w:p>
        </w:tc>
        <w:tc>
          <w:tcPr>
            <w:tcW w:w="1709" w:type="dxa"/>
            <w:tcBorders>
              <w:top w:val="single" w:sz="4" w:space="0" w:color="auto"/>
              <w:left w:val="single" w:sz="4" w:space="0" w:color="auto"/>
            </w:tcBorders>
            <w:shd w:val="clear" w:color="auto" w:fill="auto"/>
          </w:tcPr>
          <w:p w14:paraId="7C42D162" w14:textId="77777777" w:rsidR="007543BB" w:rsidRPr="00413E7E" w:rsidRDefault="002D677C" w:rsidP="001C693A">
            <w:pPr>
              <w:keepNext/>
              <w:jc w:val="center"/>
            </w:pPr>
            <w:r w:rsidRPr="00413E7E">
              <w:t>0,44 (0,31; 0,63)</w:t>
            </w:r>
          </w:p>
        </w:tc>
        <w:tc>
          <w:tcPr>
            <w:tcW w:w="1008" w:type="dxa"/>
            <w:tcBorders>
              <w:top w:val="single" w:sz="4" w:space="0" w:color="auto"/>
              <w:left w:val="single" w:sz="4" w:space="0" w:color="auto"/>
              <w:right w:val="single" w:sz="4" w:space="0" w:color="auto"/>
            </w:tcBorders>
            <w:shd w:val="clear" w:color="auto" w:fill="auto"/>
          </w:tcPr>
          <w:p w14:paraId="2A6796E3" w14:textId="77777777" w:rsidR="007543BB" w:rsidRPr="00413E7E" w:rsidRDefault="007543BB" w:rsidP="001C693A">
            <w:pPr>
              <w:keepNext/>
              <w:jc w:val="center"/>
            </w:pPr>
          </w:p>
        </w:tc>
      </w:tr>
      <w:tr w:rsidR="007543BB" w:rsidRPr="00413E7E" w14:paraId="08FD3F62" w14:textId="77777777" w:rsidTr="00413E7E">
        <w:trPr>
          <w:cantSplit/>
        </w:trPr>
        <w:tc>
          <w:tcPr>
            <w:tcW w:w="2842" w:type="dxa"/>
            <w:tcBorders>
              <w:top w:val="single" w:sz="4" w:space="0" w:color="auto"/>
              <w:left w:val="single" w:sz="4" w:space="0" w:color="auto"/>
            </w:tcBorders>
            <w:shd w:val="clear" w:color="auto" w:fill="auto"/>
          </w:tcPr>
          <w:p w14:paraId="1BEA1342" w14:textId="77777777" w:rsidR="007543BB" w:rsidRPr="00413E7E" w:rsidRDefault="002D677C" w:rsidP="001C693A">
            <w:pPr>
              <w:keepNext/>
              <w:ind w:left="567"/>
            </w:pPr>
            <w:r w:rsidRPr="00413E7E">
              <w:t>Haemorrhagiás</w:t>
            </w:r>
          </w:p>
        </w:tc>
        <w:tc>
          <w:tcPr>
            <w:tcW w:w="1565" w:type="dxa"/>
            <w:tcBorders>
              <w:top w:val="single" w:sz="4" w:space="0" w:color="auto"/>
              <w:left w:val="single" w:sz="4" w:space="0" w:color="auto"/>
            </w:tcBorders>
            <w:shd w:val="clear" w:color="auto" w:fill="auto"/>
          </w:tcPr>
          <w:p w14:paraId="7DF17B9A" w14:textId="77777777" w:rsidR="007543BB" w:rsidRPr="00413E7E" w:rsidRDefault="002D677C" w:rsidP="001C693A">
            <w:pPr>
              <w:keepNext/>
              <w:jc w:val="center"/>
            </w:pPr>
            <w:r w:rsidRPr="00413E7E">
              <w:t>6 (0,19)</w:t>
            </w:r>
          </w:p>
        </w:tc>
        <w:tc>
          <w:tcPr>
            <w:tcW w:w="1709" w:type="dxa"/>
            <w:tcBorders>
              <w:top w:val="single" w:sz="4" w:space="0" w:color="auto"/>
              <w:left w:val="single" w:sz="4" w:space="0" w:color="auto"/>
            </w:tcBorders>
            <w:shd w:val="clear" w:color="auto" w:fill="auto"/>
          </w:tcPr>
          <w:p w14:paraId="341FBEBA" w14:textId="77777777" w:rsidR="007543BB" w:rsidRPr="00413E7E" w:rsidRDefault="002D677C" w:rsidP="001C693A">
            <w:pPr>
              <w:keepNext/>
              <w:jc w:val="center"/>
            </w:pPr>
            <w:r w:rsidRPr="00413E7E">
              <w:t>9 (0,28)</w:t>
            </w:r>
          </w:p>
        </w:tc>
        <w:tc>
          <w:tcPr>
            <w:tcW w:w="1709" w:type="dxa"/>
            <w:tcBorders>
              <w:top w:val="single" w:sz="4" w:space="0" w:color="auto"/>
              <w:left w:val="single" w:sz="4" w:space="0" w:color="auto"/>
            </w:tcBorders>
            <w:shd w:val="clear" w:color="auto" w:fill="auto"/>
          </w:tcPr>
          <w:p w14:paraId="40E4C21B" w14:textId="77777777" w:rsidR="007543BB" w:rsidRPr="00413E7E" w:rsidRDefault="002D677C" w:rsidP="001C693A">
            <w:pPr>
              <w:keepNext/>
              <w:jc w:val="center"/>
            </w:pPr>
            <w:r w:rsidRPr="00413E7E">
              <w:t>0,67 (0,24; 1,88)</w:t>
            </w:r>
          </w:p>
        </w:tc>
        <w:tc>
          <w:tcPr>
            <w:tcW w:w="1008" w:type="dxa"/>
            <w:tcBorders>
              <w:top w:val="single" w:sz="4" w:space="0" w:color="auto"/>
              <w:left w:val="single" w:sz="4" w:space="0" w:color="auto"/>
              <w:right w:val="single" w:sz="4" w:space="0" w:color="auto"/>
            </w:tcBorders>
            <w:shd w:val="clear" w:color="auto" w:fill="auto"/>
          </w:tcPr>
          <w:p w14:paraId="22F76C2A" w14:textId="77777777" w:rsidR="007543BB" w:rsidRPr="00413E7E" w:rsidRDefault="007543BB" w:rsidP="001C693A">
            <w:pPr>
              <w:keepNext/>
              <w:jc w:val="center"/>
            </w:pPr>
          </w:p>
        </w:tc>
      </w:tr>
      <w:tr w:rsidR="007543BB" w:rsidRPr="00413E7E" w14:paraId="72455E62" w14:textId="77777777" w:rsidTr="00413E7E">
        <w:trPr>
          <w:cantSplit/>
        </w:trPr>
        <w:tc>
          <w:tcPr>
            <w:tcW w:w="2842" w:type="dxa"/>
            <w:tcBorders>
              <w:top w:val="single" w:sz="4" w:space="0" w:color="auto"/>
              <w:left w:val="single" w:sz="4" w:space="0" w:color="auto"/>
            </w:tcBorders>
            <w:shd w:val="clear" w:color="auto" w:fill="auto"/>
          </w:tcPr>
          <w:p w14:paraId="767547F3" w14:textId="77777777" w:rsidR="007543BB" w:rsidRPr="00413E7E" w:rsidRDefault="002D677C" w:rsidP="00413E7E">
            <w:pPr>
              <w:ind w:left="283"/>
            </w:pPr>
            <w:r w:rsidRPr="00413E7E">
              <w:t>Szisztémás embolizáció</w:t>
            </w:r>
          </w:p>
        </w:tc>
        <w:tc>
          <w:tcPr>
            <w:tcW w:w="1565" w:type="dxa"/>
            <w:tcBorders>
              <w:top w:val="single" w:sz="4" w:space="0" w:color="auto"/>
              <w:left w:val="single" w:sz="4" w:space="0" w:color="auto"/>
            </w:tcBorders>
            <w:shd w:val="clear" w:color="auto" w:fill="auto"/>
          </w:tcPr>
          <w:p w14:paraId="0C561BB5" w14:textId="77777777" w:rsidR="007543BB" w:rsidRPr="00413E7E" w:rsidRDefault="002D677C" w:rsidP="00413E7E">
            <w:pPr>
              <w:jc w:val="center"/>
            </w:pPr>
            <w:r w:rsidRPr="00413E7E">
              <w:t>2 (0,06)</w:t>
            </w:r>
          </w:p>
        </w:tc>
        <w:tc>
          <w:tcPr>
            <w:tcW w:w="1709" w:type="dxa"/>
            <w:tcBorders>
              <w:top w:val="single" w:sz="4" w:space="0" w:color="auto"/>
              <w:left w:val="single" w:sz="4" w:space="0" w:color="auto"/>
            </w:tcBorders>
            <w:shd w:val="clear" w:color="auto" w:fill="auto"/>
          </w:tcPr>
          <w:p w14:paraId="5E71ADEB" w14:textId="77777777" w:rsidR="007543BB" w:rsidRPr="00413E7E" w:rsidRDefault="002D677C" w:rsidP="00413E7E">
            <w:pPr>
              <w:jc w:val="center"/>
            </w:pPr>
            <w:r w:rsidRPr="00413E7E">
              <w:t>13 (0,41)</w:t>
            </w:r>
          </w:p>
        </w:tc>
        <w:tc>
          <w:tcPr>
            <w:tcW w:w="1709" w:type="dxa"/>
            <w:tcBorders>
              <w:top w:val="single" w:sz="4" w:space="0" w:color="auto"/>
              <w:left w:val="single" w:sz="4" w:space="0" w:color="auto"/>
            </w:tcBorders>
            <w:shd w:val="clear" w:color="auto" w:fill="auto"/>
          </w:tcPr>
          <w:p w14:paraId="4A29EEEE" w14:textId="77777777" w:rsidR="007543BB" w:rsidRPr="00413E7E" w:rsidRDefault="002D677C" w:rsidP="00413E7E">
            <w:pPr>
              <w:jc w:val="center"/>
            </w:pPr>
            <w:r w:rsidRPr="00413E7E">
              <w:t>0,15 (0,03; 0,68)</w:t>
            </w:r>
          </w:p>
        </w:tc>
        <w:tc>
          <w:tcPr>
            <w:tcW w:w="1008" w:type="dxa"/>
            <w:tcBorders>
              <w:top w:val="single" w:sz="4" w:space="0" w:color="auto"/>
              <w:left w:val="single" w:sz="4" w:space="0" w:color="auto"/>
              <w:right w:val="single" w:sz="4" w:space="0" w:color="auto"/>
            </w:tcBorders>
            <w:shd w:val="clear" w:color="auto" w:fill="auto"/>
          </w:tcPr>
          <w:p w14:paraId="45C00324" w14:textId="77777777" w:rsidR="007543BB" w:rsidRPr="00413E7E" w:rsidRDefault="007543BB" w:rsidP="00413E7E">
            <w:pPr>
              <w:jc w:val="center"/>
            </w:pPr>
          </w:p>
        </w:tc>
      </w:tr>
      <w:tr w:rsidR="007543BB" w:rsidRPr="00413E7E" w14:paraId="6C480504" w14:textId="77777777" w:rsidTr="00413E7E">
        <w:trPr>
          <w:cantSplit/>
        </w:trPr>
        <w:tc>
          <w:tcPr>
            <w:tcW w:w="2842" w:type="dxa"/>
            <w:tcBorders>
              <w:top w:val="single" w:sz="4" w:space="0" w:color="auto"/>
              <w:left w:val="single" w:sz="4" w:space="0" w:color="auto"/>
            </w:tcBorders>
            <w:shd w:val="clear" w:color="auto" w:fill="auto"/>
          </w:tcPr>
          <w:p w14:paraId="3883E84D" w14:textId="77777777" w:rsidR="00317B32" w:rsidRDefault="002D677C" w:rsidP="001C693A">
            <w:pPr>
              <w:keepNext/>
            </w:pPr>
            <w:r w:rsidRPr="00413E7E">
              <w:t xml:space="preserve">Stroke, szisztémás </w:t>
            </w:r>
          </w:p>
          <w:p w14:paraId="6A42BB6D" w14:textId="7081A42B" w:rsidR="007543BB" w:rsidRPr="00413E7E" w:rsidRDefault="002D677C" w:rsidP="001C693A">
            <w:pPr>
              <w:keepNext/>
            </w:pPr>
            <w:r w:rsidRPr="00413E7E">
              <w:t>embolizáció, MI vagy vascularis eredetű halál*</w:t>
            </w:r>
            <w:r w:rsidR="00413E7E" w:rsidRPr="004311F4">
              <w:rPr>
                <w:vertAlign w:val="superscript"/>
              </w:rPr>
              <w:t>†</w:t>
            </w:r>
          </w:p>
        </w:tc>
        <w:tc>
          <w:tcPr>
            <w:tcW w:w="1565" w:type="dxa"/>
            <w:tcBorders>
              <w:top w:val="single" w:sz="4" w:space="0" w:color="auto"/>
              <w:left w:val="single" w:sz="4" w:space="0" w:color="auto"/>
            </w:tcBorders>
            <w:shd w:val="clear" w:color="auto" w:fill="auto"/>
          </w:tcPr>
          <w:p w14:paraId="1D1D3F1C" w14:textId="77777777" w:rsidR="007543BB" w:rsidRPr="00413E7E" w:rsidRDefault="002D677C" w:rsidP="001C693A">
            <w:pPr>
              <w:keepNext/>
              <w:jc w:val="center"/>
            </w:pPr>
            <w:r w:rsidRPr="00413E7E">
              <w:t>132 (4,21)</w:t>
            </w:r>
          </w:p>
        </w:tc>
        <w:tc>
          <w:tcPr>
            <w:tcW w:w="1709" w:type="dxa"/>
            <w:tcBorders>
              <w:top w:val="single" w:sz="4" w:space="0" w:color="auto"/>
              <w:left w:val="single" w:sz="4" w:space="0" w:color="auto"/>
            </w:tcBorders>
            <w:shd w:val="clear" w:color="auto" w:fill="auto"/>
          </w:tcPr>
          <w:p w14:paraId="060AC7FA" w14:textId="77777777" w:rsidR="007543BB" w:rsidRPr="00413E7E" w:rsidRDefault="002D677C" w:rsidP="001C693A">
            <w:pPr>
              <w:keepNext/>
              <w:jc w:val="center"/>
            </w:pPr>
            <w:r w:rsidRPr="00413E7E">
              <w:t>197 (6,35)</w:t>
            </w:r>
          </w:p>
        </w:tc>
        <w:tc>
          <w:tcPr>
            <w:tcW w:w="1709" w:type="dxa"/>
            <w:tcBorders>
              <w:top w:val="single" w:sz="4" w:space="0" w:color="auto"/>
              <w:left w:val="single" w:sz="4" w:space="0" w:color="auto"/>
            </w:tcBorders>
            <w:shd w:val="clear" w:color="auto" w:fill="auto"/>
          </w:tcPr>
          <w:p w14:paraId="66A67B23" w14:textId="77777777" w:rsidR="007543BB" w:rsidRPr="00413E7E" w:rsidRDefault="002D677C" w:rsidP="001C693A">
            <w:pPr>
              <w:keepNext/>
              <w:jc w:val="center"/>
            </w:pPr>
            <w:r w:rsidRPr="00413E7E">
              <w:t>0,66 (0,53; 0,83)</w:t>
            </w:r>
          </w:p>
        </w:tc>
        <w:tc>
          <w:tcPr>
            <w:tcW w:w="1008" w:type="dxa"/>
            <w:tcBorders>
              <w:top w:val="single" w:sz="4" w:space="0" w:color="auto"/>
              <w:left w:val="single" w:sz="4" w:space="0" w:color="auto"/>
              <w:right w:val="single" w:sz="4" w:space="0" w:color="auto"/>
            </w:tcBorders>
            <w:shd w:val="clear" w:color="auto" w:fill="auto"/>
          </w:tcPr>
          <w:p w14:paraId="1BCEEC32" w14:textId="77777777" w:rsidR="007543BB" w:rsidRPr="00413E7E" w:rsidRDefault="002D677C" w:rsidP="001C693A">
            <w:pPr>
              <w:keepNext/>
              <w:jc w:val="center"/>
            </w:pPr>
            <w:r w:rsidRPr="00413E7E">
              <w:t>0,003</w:t>
            </w:r>
          </w:p>
        </w:tc>
      </w:tr>
      <w:tr w:rsidR="007543BB" w:rsidRPr="00413E7E" w14:paraId="64AE5C30" w14:textId="77777777" w:rsidTr="00413E7E">
        <w:trPr>
          <w:cantSplit/>
        </w:trPr>
        <w:tc>
          <w:tcPr>
            <w:tcW w:w="2842" w:type="dxa"/>
            <w:tcBorders>
              <w:top w:val="single" w:sz="4" w:space="0" w:color="auto"/>
              <w:left w:val="single" w:sz="4" w:space="0" w:color="auto"/>
            </w:tcBorders>
            <w:shd w:val="clear" w:color="auto" w:fill="auto"/>
          </w:tcPr>
          <w:p w14:paraId="21F555E7" w14:textId="77777777" w:rsidR="007543BB" w:rsidRPr="00413E7E" w:rsidRDefault="002D677C" w:rsidP="001C693A">
            <w:pPr>
              <w:keepNext/>
              <w:ind w:left="283"/>
            </w:pPr>
            <w:r w:rsidRPr="00413E7E">
              <w:t>Myocardialis infarctus</w:t>
            </w:r>
          </w:p>
        </w:tc>
        <w:tc>
          <w:tcPr>
            <w:tcW w:w="1565" w:type="dxa"/>
            <w:tcBorders>
              <w:top w:val="single" w:sz="4" w:space="0" w:color="auto"/>
              <w:left w:val="single" w:sz="4" w:space="0" w:color="auto"/>
            </w:tcBorders>
            <w:shd w:val="clear" w:color="auto" w:fill="auto"/>
          </w:tcPr>
          <w:p w14:paraId="5BED44AD" w14:textId="77777777" w:rsidR="007543BB" w:rsidRPr="00413E7E" w:rsidRDefault="002D677C" w:rsidP="001C693A">
            <w:pPr>
              <w:keepNext/>
              <w:jc w:val="center"/>
            </w:pPr>
            <w:r w:rsidRPr="00413E7E">
              <w:t>24 (0,76)</w:t>
            </w:r>
          </w:p>
        </w:tc>
        <w:tc>
          <w:tcPr>
            <w:tcW w:w="1709" w:type="dxa"/>
            <w:tcBorders>
              <w:top w:val="single" w:sz="4" w:space="0" w:color="auto"/>
              <w:left w:val="single" w:sz="4" w:space="0" w:color="auto"/>
            </w:tcBorders>
            <w:shd w:val="clear" w:color="auto" w:fill="auto"/>
          </w:tcPr>
          <w:p w14:paraId="38707ECF" w14:textId="77777777" w:rsidR="007543BB" w:rsidRPr="00413E7E" w:rsidRDefault="002D677C" w:rsidP="001C693A">
            <w:pPr>
              <w:keepNext/>
              <w:jc w:val="center"/>
            </w:pPr>
            <w:r w:rsidRPr="00413E7E">
              <w:t>28 (0,89)</w:t>
            </w:r>
          </w:p>
        </w:tc>
        <w:tc>
          <w:tcPr>
            <w:tcW w:w="1709" w:type="dxa"/>
            <w:tcBorders>
              <w:top w:val="single" w:sz="4" w:space="0" w:color="auto"/>
              <w:left w:val="single" w:sz="4" w:space="0" w:color="auto"/>
            </w:tcBorders>
            <w:shd w:val="clear" w:color="auto" w:fill="auto"/>
          </w:tcPr>
          <w:p w14:paraId="4EBD9C7F" w14:textId="77777777" w:rsidR="007543BB" w:rsidRPr="00413E7E" w:rsidRDefault="002D677C" w:rsidP="001C693A">
            <w:pPr>
              <w:keepNext/>
              <w:jc w:val="center"/>
            </w:pPr>
            <w:r w:rsidRPr="00413E7E">
              <w:t>0,86 (0,50; 1,48)</w:t>
            </w:r>
          </w:p>
        </w:tc>
        <w:tc>
          <w:tcPr>
            <w:tcW w:w="1008" w:type="dxa"/>
            <w:tcBorders>
              <w:top w:val="single" w:sz="4" w:space="0" w:color="auto"/>
              <w:left w:val="single" w:sz="4" w:space="0" w:color="auto"/>
              <w:right w:val="single" w:sz="4" w:space="0" w:color="auto"/>
            </w:tcBorders>
            <w:shd w:val="clear" w:color="auto" w:fill="auto"/>
          </w:tcPr>
          <w:p w14:paraId="5B29910C" w14:textId="77777777" w:rsidR="007543BB" w:rsidRPr="00413E7E" w:rsidRDefault="007543BB" w:rsidP="001C693A">
            <w:pPr>
              <w:keepNext/>
              <w:jc w:val="center"/>
            </w:pPr>
          </w:p>
        </w:tc>
      </w:tr>
      <w:tr w:rsidR="007543BB" w:rsidRPr="00413E7E" w14:paraId="33ABB63A" w14:textId="77777777" w:rsidTr="00413E7E">
        <w:trPr>
          <w:cantSplit/>
        </w:trPr>
        <w:tc>
          <w:tcPr>
            <w:tcW w:w="2842" w:type="dxa"/>
            <w:tcBorders>
              <w:top w:val="single" w:sz="4" w:space="0" w:color="auto"/>
              <w:left w:val="single" w:sz="4" w:space="0" w:color="auto"/>
            </w:tcBorders>
            <w:shd w:val="clear" w:color="auto" w:fill="auto"/>
          </w:tcPr>
          <w:p w14:paraId="10138DAF" w14:textId="77777777" w:rsidR="007543BB" w:rsidRPr="00413E7E" w:rsidRDefault="002D677C" w:rsidP="00413E7E">
            <w:pPr>
              <w:ind w:left="283"/>
            </w:pPr>
            <w:r w:rsidRPr="00413E7E">
              <w:t>Vascularis eredetű halál</w:t>
            </w:r>
          </w:p>
        </w:tc>
        <w:tc>
          <w:tcPr>
            <w:tcW w:w="1565" w:type="dxa"/>
            <w:tcBorders>
              <w:top w:val="single" w:sz="4" w:space="0" w:color="auto"/>
              <w:left w:val="single" w:sz="4" w:space="0" w:color="auto"/>
            </w:tcBorders>
            <w:shd w:val="clear" w:color="auto" w:fill="auto"/>
          </w:tcPr>
          <w:p w14:paraId="592F29CC" w14:textId="77777777" w:rsidR="007543BB" w:rsidRPr="00413E7E" w:rsidRDefault="002D677C" w:rsidP="00413E7E">
            <w:pPr>
              <w:jc w:val="center"/>
            </w:pPr>
            <w:r w:rsidRPr="00413E7E">
              <w:t>84 (2,65)</w:t>
            </w:r>
          </w:p>
        </w:tc>
        <w:tc>
          <w:tcPr>
            <w:tcW w:w="1709" w:type="dxa"/>
            <w:tcBorders>
              <w:top w:val="single" w:sz="4" w:space="0" w:color="auto"/>
              <w:left w:val="single" w:sz="4" w:space="0" w:color="auto"/>
            </w:tcBorders>
            <w:shd w:val="clear" w:color="auto" w:fill="auto"/>
          </w:tcPr>
          <w:p w14:paraId="01634BEF" w14:textId="77777777" w:rsidR="007543BB" w:rsidRPr="00413E7E" w:rsidRDefault="002D677C" w:rsidP="00413E7E">
            <w:pPr>
              <w:jc w:val="center"/>
            </w:pPr>
            <w:r w:rsidRPr="00413E7E">
              <w:t>96 (3,03)</w:t>
            </w:r>
          </w:p>
        </w:tc>
        <w:tc>
          <w:tcPr>
            <w:tcW w:w="1709" w:type="dxa"/>
            <w:tcBorders>
              <w:top w:val="single" w:sz="4" w:space="0" w:color="auto"/>
              <w:left w:val="single" w:sz="4" w:space="0" w:color="auto"/>
            </w:tcBorders>
            <w:shd w:val="clear" w:color="auto" w:fill="auto"/>
          </w:tcPr>
          <w:p w14:paraId="5964B49D" w14:textId="77777777" w:rsidR="007543BB" w:rsidRPr="00413E7E" w:rsidRDefault="002D677C" w:rsidP="00413E7E">
            <w:pPr>
              <w:jc w:val="center"/>
            </w:pPr>
            <w:r w:rsidRPr="00413E7E">
              <w:t>0,87 (0,65; 1,17)</w:t>
            </w:r>
          </w:p>
        </w:tc>
        <w:tc>
          <w:tcPr>
            <w:tcW w:w="1008" w:type="dxa"/>
            <w:tcBorders>
              <w:top w:val="single" w:sz="4" w:space="0" w:color="auto"/>
              <w:left w:val="single" w:sz="4" w:space="0" w:color="auto"/>
              <w:right w:val="single" w:sz="4" w:space="0" w:color="auto"/>
            </w:tcBorders>
            <w:shd w:val="clear" w:color="auto" w:fill="auto"/>
          </w:tcPr>
          <w:p w14:paraId="0771CBFF" w14:textId="77777777" w:rsidR="007543BB" w:rsidRPr="00413E7E" w:rsidRDefault="007543BB" w:rsidP="00413E7E">
            <w:pPr>
              <w:jc w:val="center"/>
            </w:pPr>
          </w:p>
        </w:tc>
      </w:tr>
      <w:tr w:rsidR="007543BB" w:rsidRPr="00413E7E" w14:paraId="4C4436D9" w14:textId="77777777" w:rsidTr="00413E7E">
        <w:trPr>
          <w:cantSplit/>
        </w:trPr>
        <w:tc>
          <w:tcPr>
            <w:tcW w:w="2842" w:type="dxa"/>
            <w:tcBorders>
              <w:top w:val="single" w:sz="4" w:space="0" w:color="auto"/>
              <w:left w:val="single" w:sz="4" w:space="0" w:color="auto"/>
              <w:bottom w:val="single" w:sz="4" w:space="0" w:color="auto"/>
            </w:tcBorders>
            <w:shd w:val="clear" w:color="auto" w:fill="auto"/>
          </w:tcPr>
          <w:p w14:paraId="5D7A9893" w14:textId="2A4151E9" w:rsidR="007543BB" w:rsidRPr="00413E7E" w:rsidRDefault="002D677C" w:rsidP="001C693A">
            <w:pPr>
              <w:keepNext/>
            </w:pPr>
            <w:r w:rsidRPr="00413E7E">
              <w:t>Összmortalitás</w:t>
            </w:r>
            <w:r w:rsidR="00413E7E" w:rsidRPr="00413E7E">
              <w:rPr>
                <w:vertAlign w:val="superscript"/>
                <w:lang w:val="es-ES"/>
              </w:rPr>
              <w:t>†</w:t>
            </w:r>
          </w:p>
        </w:tc>
        <w:tc>
          <w:tcPr>
            <w:tcW w:w="1565" w:type="dxa"/>
            <w:tcBorders>
              <w:top w:val="single" w:sz="4" w:space="0" w:color="auto"/>
              <w:left w:val="single" w:sz="4" w:space="0" w:color="auto"/>
              <w:bottom w:val="single" w:sz="4" w:space="0" w:color="auto"/>
            </w:tcBorders>
            <w:shd w:val="clear" w:color="auto" w:fill="auto"/>
          </w:tcPr>
          <w:p w14:paraId="433C2082" w14:textId="77777777" w:rsidR="007543BB" w:rsidRPr="00413E7E" w:rsidRDefault="002D677C" w:rsidP="001C693A">
            <w:pPr>
              <w:keepNext/>
              <w:jc w:val="center"/>
            </w:pPr>
            <w:r w:rsidRPr="00413E7E">
              <w:t>111 (3,51)</w:t>
            </w:r>
          </w:p>
        </w:tc>
        <w:tc>
          <w:tcPr>
            <w:tcW w:w="1709" w:type="dxa"/>
            <w:tcBorders>
              <w:top w:val="single" w:sz="4" w:space="0" w:color="auto"/>
              <w:left w:val="single" w:sz="4" w:space="0" w:color="auto"/>
              <w:bottom w:val="single" w:sz="4" w:space="0" w:color="auto"/>
            </w:tcBorders>
            <w:shd w:val="clear" w:color="auto" w:fill="auto"/>
          </w:tcPr>
          <w:p w14:paraId="74B804A6" w14:textId="77777777" w:rsidR="007543BB" w:rsidRPr="00413E7E" w:rsidRDefault="002D677C" w:rsidP="001C693A">
            <w:pPr>
              <w:keepNext/>
              <w:jc w:val="center"/>
            </w:pPr>
            <w:r w:rsidRPr="00413E7E">
              <w:t>140 (4,42)</w:t>
            </w:r>
          </w:p>
        </w:tc>
        <w:tc>
          <w:tcPr>
            <w:tcW w:w="1709" w:type="dxa"/>
            <w:tcBorders>
              <w:top w:val="single" w:sz="4" w:space="0" w:color="auto"/>
              <w:left w:val="single" w:sz="4" w:space="0" w:color="auto"/>
              <w:bottom w:val="single" w:sz="4" w:space="0" w:color="auto"/>
            </w:tcBorders>
            <w:shd w:val="clear" w:color="auto" w:fill="auto"/>
          </w:tcPr>
          <w:p w14:paraId="529743F2" w14:textId="77777777" w:rsidR="007543BB" w:rsidRPr="00413E7E" w:rsidRDefault="002D677C" w:rsidP="001C693A">
            <w:pPr>
              <w:keepNext/>
              <w:jc w:val="center"/>
            </w:pPr>
            <w:r w:rsidRPr="00413E7E">
              <w:t>0,79 (0,62; 1,02)</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10168DA2" w14:textId="77777777" w:rsidR="007543BB" w:rsidRPr="00413E7E" w:rsidRDefault="002D677C" w:rsidP="001C693A">
            <w:pPr>
              <w:keepNext/>
              <w:jc w:val="center"/>
            </w:pPr>
            <w:r w:rsidRPr="00413E7E">
              <w:t>0,068</w:t>
            </w:r>
          </w:p>
        </w:tc>
      </w:tr>
    </w:tbl>
    <w:p w14:paraId="6FF9091B" w14:textId="6CD51DE3" w:rsidR="007543BB" w:rsidRPr="00413E7E" w:rsidRDefault="002D677C" w:rsidP="00413E7E">
      <w:pPr>
        <w:rPr>
          <w:sz w:val="20"/>
          <w:szCs w:val="20"/>
        </w:rPr>
      </w:pPr>
      <w:r w:rsidRPr="00413E7E">
        <w:rPr>
          <w:sz w:val="20"/>
          <w:szCs w:val="20"/>
        </w:rPr>
        <w:t>* A vizsgálatban előforduló általános I-es</w:t>
      </w:r>
      <w:r w:rsidR="00317B32">
        <w:rPr>
          <w:sz w:val="20"/>
          <w:szCs w:val="20"/>
        </w:rPr>
        <w:t> </w:t>
      </w:r>
      <w:r w:rsidRPr="00413E7E">
        <w:rPr>
          <w:sz w:val="20"/>
          <w:szCs w:val="20"/>
        </w:rPr>
        <w:t>típusú hiba kiküszöbölése érdekében egy szekvenciális vizsgálati stratégia szerint értékelték.</w:t>
      </w:r>
    </w:p>
    <w:p w14:paraId="3FDF4EB0" w14:textId="67DDD142" w:rsidR="007543BB" w:rsidRPr="00413E7E" w:rsidRDefault="00413E7E" w:rsidP="00413E7E">
      <w:pPr>
        <w:rPr>
          <w:sz w:val="20"/>
          <w:szCs w:val="20"/>
        </w:rPr>
      </w:pPr>
      <w:r w:rsidRPr="004311F4">
        <w:rPr>
          <w:sz w:val="20"/>
          <w:szCs w:val="20"/>
          <w:vertAlign w:val="superscript"/>
        </w:rPr>
        <w:t>†</w:t>
      </w:r>
      <w:r w:rsidR="002D677C" w:rsidRPr="00413E7E">
        <w:rPr>
          <w:sz w:val="20"/>
          <w:szCs w:val="20"/>
        </w:rPr>
        <w:t xml:space="preserve"> Másodlagos végpont.</w:t>
      </w:r>
    </w:p>
    <w:p w14:paraId="74DA95C5" w14:textId="77777777" w:rsidR="007543BB" w:rsidRPr="00413E7E" w:rsidRDefault="007543BB" w:rsidP="00413E7E"/>
    <w:p w14:paraId="00B08C9F" w14:textId="107FD087" w:rsidR="007543BB" w:rsidRDefault="002D677C" w:rsidP="00413E7E">
      <w:r w:rsidRPr="00413E7E">
        <w:t xml:space="preserve">A nagyfokú vérzés előfordulási gyakoriságában nem volt statisztikailag szignifikáns különbség az apixabán és az acetilszalicilsav között (lásd </w:t>
      </w:r>
      <w:r w:rsidR="00804FA6">
        <w:t>7</w:t>
      </w:r>
      <w:r w:rsidRPr="00413E7E">
        <w:t>.táblázat).</w:t>
      </w:r>
    </w:p>
    <w:p w14:paraId="2D551B4A" w14:textId="77777777" w:rsidR="00413E7E" w:rsidRPr="00413E7E" w:rsidRDefault="00413E7E" w:rsidP="00413E7E"/>
    <w:p w14:paraId="100F7287" w14:textId="126F72E8" w:rsidR="007543BB" w:rsidRPr="00413E7E" w:rsidRDefault="00804FA6" w:rsidP="00413E7E">
      <w:pPr>
        <w:keepNext/>
        <w:rPr>
          <w:b/>
          <w:bCs/>
        </w:rPr>
      </w:pPr>
      <w:r>
        <w:rPr>
          <w:b/>
          <w:bCs/>
        </w:rPr>
        <w:t>7</w:t>
      </w:r>
      <w:r w:rsidR="002D677C" w:rsidRPr="00413E7E">
        <w:rPr>
          <w:b/>
          <w:bCs/>
        </w:rPr>
        <w:t>.táblázat: Vérzéses események pitvarfibrilláló betegeknél az AVERROES vizsgálatban</w:t>
      </w:r>
    </w:p>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002"/>
        <w:gridCol w:w="1982"/>
        <w:gridCol w:w="1709"/>
        <w:gridCol w:w="2074"/>
        <w:gridCol w:w="998"/>
      </w:tblGrid>
      <w:tr w:rsidR="007543BB" w:rsidRPr="00413E7E" w14:paraId="384993D3" w14:textId="77777777" w:rsidTr="00413E7E">
        <w:trPr>
          <w:cantSplit/>
          <w:tblHeader/>
        </w:trPr>
        <w:tc>
          <w:tcPr>
            <w:tcW w:w="2002" w:type="dxa"/>
            <w:shd w:val="clear" w:color="auto" w:fill="auto"/>
          </w:tcPr>
          <w:p w14:paraId="3BA95274" w14:textId="77777777" w:rsidR="007543BB" w:rsidRPr="00413E7E" w:rsidRDefault="007543BB" w:rsidP="00413E7E">
            <w:pPr>
              <w:rPr>
                <w:b/>
                <w:bCs/>
              </w:rPr>
            </w:pPr>
          </w:p>
        </w:tc>
        <w:tc>
          <w:tcPr>
            <w:tcW w:w="1982" w:type="dxa"/>
            <w:shd w:val="clear" w:color="auto" w:fill="auto"/>
          </w:tcPr>
          <w:p w14:paraId="12A928F8" w14:textId="77777777" w:rsidR="00413E7E" w:rsidRPr="00413E7E" w:rsidRDefault="002D677C" w:rsidP="00413E7E">
            <w:pPr>
              <w:jc w:val="center"/>
              <w:rPr>
                <w:b/>
                <w:bCs/>
              </w:rPr>
            </w:pPr>
            <w:r w:rsidRPr="00413E7E">
              <w:rPr>
                <w:b/>
                <w:bCs/>
              </w:rPr>
              <w:t xml:space="preserve">Apixabán </w:t>
            </w:r>
          </w:p>
          <w:p w14:paraId="43DC69EB" w14:textId="3D193771" w:rsidR="00413E7E" w:rsidRPr="00413E7E" w:rsidRDefault="002D677C" w:rsidP="00413E7E">
            <w:pPr>
              <w:jc w:val="center"/>
              <w:rPr>
                <w:b/>
                <w:bCs/>
              </w:rPr>
            </w:pPr>
            <w:r w:rsidRPr="00413E7E">
              <w:rPr>
                <w:b/>
                <w:bCs/>
              </w:rPr>
              <w:t>N=2</w:t>
            </w:r>
            <w:r w:rsidR="00A66FA0">
              <w:rPr>
                <w:b/>
                <w:bCs/>
              </w:rPr>
              <w:t> </w:t>
            </w:r>
            <w:r w:rsidRPr="00413E7E">
              <w:rPr>
                <w:b/>
                <w:bCs/>
              </w:rPr>
              <w:t xml:space="preserve">798 </w:t>
            </w:r>
          </w:p>
          <w:p w14:paraId="69CCEDF7" w14:textId="7E9561F8" w:rsidR="007543BB" w:rsidRPr="00413E7E" w:rsidRDefault="002D677C" w:rsidP="00413E7E">
            <w:pPr>
              <w:jc w:val="center"/>
              <w:rPr>
                <w:b/>
                <w:bCs/>
              </w:rPr>
            </w:pPr>
            <w:r w:rsidRPr="00413E7E">
              <w:rPr>
                <w:b/>
                <w:bCs/>
              </w:rPr>
              <w:t>n (%/év)</w:t>
            </w:r>
          </w:p>
        </w:tc>
        <w:tc>
          <w:tcPr>
            <w:tcW w:w="1709" w:type="dxa"/>
            <w:shd w:val="clear" w:color="auto" w:fill="auto"/>
          </w:tcPr>
          <w:p w14:paraId="777EFD75" w14:textId="77777777" w:rsidR="00413E7E" w:rsidRPr="00413E7E" w:rsidRDefault="002D677C" w:rsidP="00413E7E">
            <w:pPr>
              <w:jc w:val="center"/>
              <w:rPr>
                <w:b/>
                <w:bCs/>
              </w:rPr>
            </w:pPr>
            <w:r w:rsidRPr="00413E7E">
              <w:rPr>
                <w:b/>
                <w:bCs/>
              </w:rPr>
              <w:t xml:space="preserve">Acetilszalicilsav </w:t>
            </w:r>
          </w:p>
          <w:p w14:paraId="7444B42E" w14:textId="54BF08FE" w:rsidR="00413E7E" w:rsidRPr="00413E7E" w:rsidRDefault="002D677C" w:rsidP="00413E7E">
            <w:pPr>
              <w:jc w:val="center"/>
              <w:rPr>
                <w:b/>
                <w:bCs/>
              </w:rPr>
            </w:pPr>
            <w:r w:rsidRPr="00413E7E">
              <w:rPr>
                <w:b/>
                <w:bCs/>
              </w:rPr>
              <w:t>N=2</w:t>
            </w:r>
            <w:r w:rsidR="00A66FA0">
              <w:rPr>
                <w:b/>
                <w:bCs/>
              </w:rPr>
              <w:t> </w:t>
            </w:r>
            <w:r w:rsidRPr="00413E7E">
              <w:rPr>
                <w:b/>
                <w:bCs/>
              </w:rPr>
              <w:t xml:space="preserve">780 </w:t>
            </w:r>
          </w:p>
          <w:p w14:paraId="75D1F957" w14:textId="5DB7EE7A" w:rsidR="007543BB" w:rsidRPr="00413E7E" w:rsidRDefault="002D677C" w:rsidP="00413E7E">
            <w:pPr>
              <w:jc w:val="center"/>
              <w:rPr>
                <w:b/>
                <w:bCs/>
              </w:rPr>
            </w:pPr>
            <w:r w:rsidRPr="00413E7E">
              <w:rPr>
                <w:b/>
                <w:bCs/>
              </w:rPr>
              <w:t>n (%/év)</w:t>
            </w:r>
          </w:p>
        </w:tc>
        <w:tc>
          <w:tcPr>
            <w:tcW w:w="2074" w:type="dxa"/>
            <w:shd w:val="clear" w:color="auto" w:fill="auto"/>
          </w:tcPr>
          <w:p w14:paraId="52F009E1" w14:textId="77777777" w:rsidR="00413E7E" w:rsidRPr="00413E7E" w:rsidRDefault="002D677C" w:rsidP="00413E7E">
            <w:pPr>
              <w:jc w:val="center"/>
              <w:rPr>
                <w:b/>
                <w:bCs/>
              </w:rPr>
            </w:pPr>
            <w:r w:rsidRPr="00413E7E">
              <w:rPr>
                <w:b/>
                <w:bCs/>
              </w:rPr>
              <w:t xml:space="preserve">Relatív hazárd </w:t>
            </w:r>
          </w:p>
          <w:p w14:paraId="13576BEE" w14:textId="5DCE6B1C" w:rsidR="007543BB" w:rsidRPr="00413E7E" w:rsidRDefault="002D677C" w:rsidP="00413E7E">
            <w:pPr>
              <w:jc w:val="center"/>
              <w:rPr>
                <w:b/>
                <w:bCs/>
              </w:rPr>
            </w:pPr>
            <w:r w:rsidRPr="00413E7E">
              <w:rPr>
                <w:b/>
                <w:bCs/>
              </w:rPr>
              <w:t>(95%-os CI)</w:t>
            </w:r>
          </w:p>
        </w:tc>
        <w:tc>
          <w:tcPr>
            <w:tcW w:w="998" w:type="dxa"/>
            <w:shd w:val="clear" w:color="auto" w:fill="auto"/>
          </w:tcPr>
          <w:p w14:paraId="1BD43D8A" w14:textId="77777777" w:rsidR="007543BB" w:rsidRPr="00413E7E" w:rsidRDefault="002D677C" w:rsidP="00413E7E">
            <w:pPr>
              <w:jc w:val="center"/>
              <w:rPr>
                <w:b/>
                <w:bCs/>
              </w:rPr>
            </w:pPr>
            <w:r w:rsidRPr="00413E7E">
              <w:rPr>
                <w:b/>
                <w:bCs/>
              </w:rPr>
              <w:t>p-érték</w:t>
            </w:r>
          </w:p>
        </w:tc>
      </w:tr>
      <w:tr w:rsidR="007543BB" w:rsidRPr="00413E7E" w14:paraId="61A4A47A" w14:textId="77777777" w:rsidTr="00413E7E">
        <w:trPr>
          <w:cantSplit/>
        </w:trPr>
        <w:tc>
          <w:tcPr>
            <w:tcW w:w="2002" w:type="dxa"/>
            <w:shd w:val="clear" w:color="auto" w:fill="auto"/>
          </w:tcPr>
          <w:p w14:paraId="79B8E46F" w14:textId="77777777" w:rsidR="007543BB" w:rsidRPr="00413E7E" w:rsidRDefault="002D677C" w:rsidP="001C693A">
            <w:pPr>
              <w:keepNext/>
            </w:pPr>
            <w:r w:rsidRPr="00413E7E">
              <w:t>Nagyfokú*</w:t>
            </w:r>
          </w:p>
        </w:tc>
        <w:tc>
          <w:tcPr>
            <w:tcW w:w="1982" w:type="dxa"/>
            <w:shd w:val="clear" w:color="auto" w:fill="auto"/>
          </w:tcPr>
          <w:p w14:paraId="45206DE9" w14:textId="77777777" w:rsidR="007543BB" w:rsidRPr="00413E7E" w:rsidRDefault="002D677C" w:rsidP="001C693A">
            <w:pPr>
              <w:keepNext/>
              <w:jc w:val="center"/>
            </w:pPr>
            <w:r w:rsidRPr="00413E7E">
              <w:t>45 (1,41)</w:t>
            </w:r>
          </w:p>
        </w:tc>
        <w:tc>
          <w:tcPr>
            <w:tcW w:w="1709" w:type="dxa"/>
            <w:shd w:val="clear" w:color="auto" w:fill="auto"/>
          </w:tcPr>
          <w:p w14:paraId="08255997" w14:textId="77777777" w:rsidR="007543BB" w:rsidRPr="00413E7E" w:rsidRDefault="002D677C" w:rsidP="001C693A">
            <w:pPr>
              <w:keepNext/>
              <w:jc w:val="center"/>
            </w:pPr>
            <w:r w:rsidRPr="00413E7E">
              <w:t>29 (0,92)</w:t>
            </w:r>
          </w:p>
        </w:tc>
        <w:tc>
          <w:tcPr>
            <w:tcW w:w="2074" w:type="dxa"/>
            <w:shd w:val="clear" w:color="auto" w:fill="auto"/>
          </w:tcPr>
          <w:p w14:paraId="1BEAB672" w14:textId="77777777" w:rsidR="007543BB" w:rsidRPr="00413E7E" w:rsidRDefault="002D677C" w:rsidP="001C693A">
            <w:pPr>
              <w:keepNext/>
              <w:jc w:val="center"/>
            </w:pPr>
            <w:r w:rsidRPr="00413E7E">
              <w:t>1,54 (0,96; 2,45)</w:t>
            </w:r>
          </w:p>
        </w:tc>
        <w:tc>
          <w:tcPr>
            <w:tcW w:w="998" w:type="dxa"/>
            <w:shd w:val="clear" w:color="auto" w:fill="auto"/>
          </w:tcPr>
          <w:p w14:paraId="1665FCEC" w14:textId="77777777" w:rsidR="007543BB" w:rsidRPr="00413E7E" w:rsidRDefault="002D677C" w:rsidP="001C693A">
            <w:pPr>
              <w:keepNext/>
              <w:jc w:val="center"/>
            </w:pPr>
            <w:r w:rsidRPr="00413E7E">
              <w:t>0,0716</w:t>
            </w:r>
          </w:p>
        </w:tc>
      </w:tr>
      <w:tr w:rsidR="007543BB" w:rsidRPr="00413E7E" w14:paraId="4C8D1180" w14:textId="77777777" w:rsidTr="00413E7E">
        <w:trPr>
          <w:cantSplit/>
        </w:trPr>
        <w:tc>
          <w:tcPr>
            <w:tcW w:w="2002" w:type="dxa"/>
            <w:shd w:val="clear" w:color="auto" w:fill="auto"/>
          </w:tcPr>
          <w:p w14:paraId="0446C5C0" w14:textId="77777777" w:rsidR="007543BB" w:rsidRPr="00413E7E" w:rsidRDefault="002D677C" w:rsidP="001C693A">
            <w:pPr>
              <w:keepNext/>
              <w:ind w:left="283"/>
            </w:pPr>
            <w:r w:rsidRPr="00413E7E">
              <w:t>Végzetes kimenetelű, n</w:t>
            </w:r>
          </w:p>
        </w:tc>
        <w:tc>
          <w:tcPr>
            <w:tcW w:w="1982" w:type="dxa"/>
            <w:shd w:val="clear" w:color="auto" w:fill="auto"/>
          </w:tcPr>
          <w:p w14:paraId="2A1CF9AB" w14:textId="77777777" w:rsidR="007543BB" w:rsidRPr="00413E7E" w:rsidRDefault="002D677C" w:rsidP="001C693A">
            <w:pPr>
              <w:keepNext/>
              <w:jc w:val="center"/>
            </w:pPr>
            <w:r w:rsidRPr="00413E7E">
              <w:t>5 (0,16)</w:t>
            </w:r>
          </w:p>
        </w:tc>
        <w:tc>
          <w:tcPr>
            <w:tcW w:w="1709" w:type="dxa"/>
            <w:shd w:val="clear" w:color="auto" w:fill="auto"/>
          </w:tcPr>
          <w:p w14:paraId="34A2E153" w14:textId="77777777" w:rsidR="007543BB" w:rsidRPr="00413E7E" w:rsidRDefault="002D677C" w:rsidP="001C693A">
            <w:pPr>
              <w:keepNext/>
              <w:jc w:val="center"/>
            </w:pPr>
            <w:r w:rsidRPr="00413E7E">
              <w:t>5 (0,16)</w:t>
            </w:r>
          </w:p>
        </w:tc>
        <w:tc>
          <w:tcPr>
            <w:tcW w:w="2074" w:type="dxa"/>
            <w:shd w:val="clear" w:color="auto" w:fill="auto"/>
          </w:tcPr>
          <w:p w14:paraId="67AAFC93" w14:textId="77777777" w:rsidR="007543BB" w:rsidRPr="00413E7E" w:rsidRDefault="007543BB" w:rsidP="001C693A">
            <w:pPr>
              <w:keepNext/>
              <w:jc w:val="center"/>
            </w:pPr>
          </w:p>
        </w:tc>
        <w:tc>
          <w:tcPr>
            <w:tcW w:w="998" w:type="dxa"/>
            <w:shd w:val="clear" w:color="auto" w:fill="auto"/>
          </w:tcPr>
          <w:p w14:paraId="25A881EC" w14:textId="77777777" w:rsidR="007543BB" w:rsidRPr="00413E7E" w:rsidRDefault="007543BB" w:rsidP="001C693A">
            <w:pPr>
              <w:keepNext/>
              <w:jc w:val="center"/>
            </w:pPr>
          </w:p>
        </w:tc>
      </w:tr>
      <w:tr w:rsidR="007543BB" w:rsidRPr="00413E7E" w14:paraId="645DB457" w14:textId="77777777" w:rsidTr="00413E7E">
        <w:trPr>
          <w:cantSplit/>
        </w:trPr>
        <w:tc>
          <w:tcPr>
            <w:tcW w:w="2002" w:type="dxa"/>
            <w:shd w:val="clear" w:color="auto" w:fill="auto"/>
          </w:tcPr>
          <w:p w14:paraId="5AE54260" w14:textId="77777777" w:rsidR="007543BB" w:rsidRPr="00413E7E" w:rsidRDefault="002D677C" w:rsidP="00413E7E">
            <w:pPr>
              <w:ind w:left="283"/>
            </w:pPr>
            <w:r w:rsidRPr="00413E7E">
              <w:t>Intracranialis, n</w:t>
            </w:r>
          </w:p>
        </w:tc>
        <w:tc>
          <w:tcPr>
            <w:tcW w:w="1982" w:type="dxa"/>
            <w:shd w:val="clear" w:color="auto" w:fill="auto"/>
          </w:tcPr>
          <w:p w14:paraId="283045C7" w14:textId="77777777" w:rsidR="007543BB" w:rsidRPr="00413E7E" w:rsidRDefault="002D677C" w:rsidP="00413E7E">
            <w:pPr>
              <w:jc w:val="center"/>
            </w:pPr>
            <w:r w:rsidRPr="00413E7E">
              <w:t>11 (0,34)</w:t>
            </w:r>
          </w:p>
        </w:tc>
        <w:tc>
          <w:tcPr>
            <w:tcW w:w="1709" w:type="dxa"/>
            <w:shd w:val="clear" w:color="auto" w:fill="auto"/>
          </w:tcPr>
          <w:p w14:paraId="5EF1A228" w14:textId="77777777" w:rsidR="007543BB" w:rsidRPr="00413E7E" w:rsidRDefault="002D677C" w:rsidP="00413E7E">
            <w:pPr>
              <w:jc w:val="center"/>
            </w:pPr>
            <w:r w:rsidRPr="00413E7E">
              <w:t>11 (0,35)</w:t>
            </w:r>
          </w:p>
        </w:tc>
        <w:tc>
          <w:tcPr>
            <w:tcW w:w="2074" w:type="dxa"/>
            <w:shd w:val="clear" w:color="auto" w:fill="auto"/>
          </w:tcPr>
          <w:p w14:paraId="76E6C194" w14:textId="77777777" w:rsidR="007543BB" w:rsidRPr="00413E7E" w:rsidRDefault="007543BB" w:rsidP="00413E7E">
            <w:pPr>
              <w:jc w:val="center"/>
            </w:pPr>
          </w:p>
        </w:tc>
        <w:tc>
          <w:tcPr>
            <w:tcW w:w="998" w:type="dxa"/>
            <w:shd w:val="clear" w:color="auto" w:fill="auto"/>
          </w:tcPr>
          <w:p w14:paraId="0D9D3DEF" w14:textId="77777777" w:rsidR="007543BB" w:rsidRPr="00413E7E" w:rsidRDefault="007543BB" w:rsidP="00413E7E">
            <w:pPr>
              <w:jc w:val="center"/>
            </w:pPr>
          </w:p>
        </w:tc>
      </w:tr>
      <w:tr w:rsidR="007543BB" w:rsidRPr="00413E7E" w14:paraId="2FB3637D" w14:textId="77777777" w:rsidTr="00413E7E">
        <w:trPr>
          <w:cantSplit/>
        </w:trPr>
        <w:tc>
          <w:tcPr>
            <w:tcW w:w="2002" w:type="dxa"/>
            <w:shd w:val="clear" w:color="auto" w:fill="auto"/>
          </w:tcPr>
          <w:p w14:paraId="79DC687C" w14:textId="4627AB2D" w:rsidR="007543BB" w:rsidRPr="00413E7E" w:rsidRDefault="002D677C" w:rsidP="00413E7E">
            <w:r w:rsidRPr="00413E7E">
              <w:t>Nagyfokú + CRNM</w:t>
            </w:r>
            <w:r w:rsidR="00413E7E" w:rsidRPr="00413E7E">
              <w:rPr>
                <w:vertAlign w:val="superscript"/>
                <w:lang w:val="es-ES"/>
              </w:rPr>
              <w:t>†</w:t>
            </w:r>
          </w:p>
        </w:tc>
        <w:tc>
          <w:tcPr>
            <w:tcW w:w="1982" w:type="dxa"/>
            <w:shd w:val="clear" w:color="auto" w:fill="auto"/>
          </w:tcPr>
          <w:p w14:paraId="17A1590E" w14:textId="77777777" w:rsidR="007543BB" w:rsidRPr="00413E7E" w:rsidRDefault="002D677C" w:rsidP="00413E7E">
            <w:pPr>
              <w:jc w:val="center"/>
            </w:pPr>
            <w:r w:rsidRPr="00413E7E">
              <w:t>140 (4,46)</w:t>
            </w:r>
          </w:p>
        </w:tc>
        <w:tc>
          <w:tcPr>
            <w:tcW w:w="1709" w:type="dxa"/>
            <w:shd w:val="clear" w:color="auto" w:fill="auto"/>
          </w:tcPr>
          <w:p w14:paraId="23E2393E" w14:textId="77777777" w:rsidR="007543BB" w:rsidRPr="00413E7E" w:rsidRDefault="002D677C" w:rsidP="00413E7E">
            <w:pPr>
              <w:jc w:val="center"/>
            </w:pPr>
            <w:r w:rsidRPr="00413E7E">
              <w:t>101 (3,24)</w:t>
            </w:r>
          </w:p>
        </w:tc>
        <w:tc>
          <w:tcPr>
            <w:tcW w:w="2074" w:type="dxa"/>
            <w:shd w:val="clear" w:color="auto" w:fill="auto"/>
          </w:tcPr>
          <w:p w14:paraId="38BABA1E" w14:textId="77777777" w:rsidR="007543BB" w:rsidRPr="00413E7E" w:rsidRDefault="002D677C" w:rsidP="00413E7E">
            <w:pPr>
              <w:jc w:val="center"/>
            </w:pPr>
            <w:r w:rsidRPr="00413E7E">
              <w:t>1,38 (1,07; 1,78)</w:t>
            </w:r>
          </w:p>
        </w:tc>
        <w:tc>
          <w:tcPr>
            <w:tcW w:w="998" w:type="dxa"/>
            <w:shd w:val="clear" w:color="auto" w:fill="auto"/>
          </w:tcPr>
          <w:p w14:paraId="6E82EC62" w14:textId="77777777" w:rsidR="007543BB" w:rsidRPr="00413E7E" w:rsidRDefault="002D677C" w:rsidP="00413E7E">
            <w:pPr>
              <w:jc w:val="center"/>
            </w:pPr>
            <w:r w:rsidRPr="00413E7E">
              <w:t>0,0144</w:t>
            </w:r>
          </w:p>
        </w:tc>
      </w:tr>
      <w:tr w:rsidR="007543BB" w:rsidRPr="00413E7E" w14:paraId="67F69E37" w14:textId="77777777" w:rsidTr="00413E7E">
        <w:trPr>
          <w:cantSplit/>
        </w:trPr>
        <w:tc>
          <w:tcPr>
            <w:tcW w:w="2002" w:type="dxa"/>
            <w:shd w:val="clear" w:color="auto" w:fill="auto"/>
          </w:tcPr>
          <w:p w14:paraId="0FFC7DDE" w14:textId="77777777" w:rsidR="007543BB" w:rsidRPr="00413E7E" w:rsidRDefault="002D677C" w:rsidP="001C693A">
            <w:pPr>
              <w:keepNext/>
            </w:pPr>
            <w:r w:rsidRPr="00413E7E">
              <w:t>Összes</w:t>
            </w:r>
          </w:p>
        </w:tc>
        <w:tc>
          <w:tcPr>
            <w:tcW w:w="1982" w:type="dxa"/>
            <w:shd w:val="clear" w:color="auto" w:fill="auto"/>
          </w:tcPr>
          <w:p w14:paraId="64755DC0" w14:textId="77777777" w:rsidR="007543BB" w:rsidRPr="00413E7E" w:rsidRDefault="002D677C" w:rsidP="001C693A">
            <w:pPr>
              <w:keepNext/>
              <w:jc w:val="center"/>
            </w:pPr>
            <w:r w:rsidRPr="00413E7E">
              <w:t>325 (10,85)</w:t>
            </w:r>
          </w:p>
        </w:tc>
        <w:tc>
          <w:tcPr>
            <w:tcW w:w="1709" w:type="dxa"/>
            <w:shd w:val="clear" w:color="auto" w:fill="auto"/>
          </w:tcPr>
          <w:p w14:paraId="059A801F" w14:textId="77777777" w:rsidR="007543BB" w:rsidRPr="00413E7E" w:rsidRDefault="002D677C" w:rsidP="001C693A">
            <w:pPr>
              <w:keepNext/>
              <w:jc w:val="center"/>
            </w:pPr>
            <w:r w:rsidRPr="00413E7E">
              <w:t>250 (8,32)</w:t>
            </w:r>
          </w:p>
        </w:tc>
        <w:tc>
          <w:tcPr>
            <w:tcW w:w="2074" w:type="dxa"/>
            <w:shd w:val="clear" w:color="auto" w:fill="auto"/>
          </w:tcPr>
          <w:p w14:paraId="1331D1EC" w14:textId="77777777" w:rsidR="007543BB" w:rsidRPr="00413E7E" w:rsidRDefault="002D677C" w:rsidP="001C693A">
            <w:pPr>
              <w:keepNext/>
              <w:jc w:val="center"/>
            </w:pPr>
            <w:r w:rsidRPr="00413E7E">
              <w:t>1,30 (1,10; 1,53)</w:t>
            </w:r>
          </w:p>
        </w:tc>
        <w:tc>
          <w:tcPr>
            <w:tcW w:w="998" w:type="dxa"/>
            <w:shd w:val="clear" w:color="auto" w:fill="auto"/>
          </w:tcPr>
          <w:p w14:paraId="794F0819" w14:textId="77777777" w:rsidR="007543BB" w:rsidRPr="00413E7E" w:rsidRDefault="002D677C" w:rsidP="001C693A">
            <w:pPr>
              <w:keepNext/>
              <w:jc w:val="center"/>
            </w:pPr>
            <w:r w:rsidRPr="00413E7E">
              <w:t>0,0017</w:t>
            </w:r>
          </w:p>
        </w:tc>
      </w:tr>
    </w:tbl>
    <w:p w14:paraId="7B209CFD" w14:textId="7B2FD6B2" w:rsidR="007543BB" w:rsidRPr="0055342D" w:rsidRDefault="002D677C" w:rsidP="00413E7E">
      <w:pPr>
        <w:rPr>
          <w:sz w:val="20"/>
          <w:szCs w:val="20"/>
        </w:rPr>
      </w:pPr>
      <w:r w:rsidRPr="0055342D">
        <w:rPr>
          <w:sz w:val="20"/>
          <w:szCs w:val="20"/>
        </w:rPr>
        <w:t>*</w:t>
      </w:r>
      <w:r w:rsidR="00317B32">
        <w:rPr>
          <w:sz w:val="20"/>
          <w:szCs w:val="20"/>
        </w:rPr>
        <w:t xml:space="preserve"> </w:t>
      </w:r>
      <w:r w:rsidRPr="0055342D">
        <w:rPr>
          <w:sz w:val="20"/>
          <w:szCs w:val="20"/>
        </w:rPr>
        <w:t xml:space="preserve">A nagyfokú vérzést az International Society on Thrombosis and Haemostasis (ISTH </w:t>
      </w:r>
      <w:r w:rsidR="0055342D" w:rsidRPr="0055342D">
        <w:rPr>
          <w:sz w:val="20"/>
          <w:szCs w:val="20"/>
        </w:rPr>
        <w:t>–</w:t>
      </w:r>
      <w:r w:rsidRPr="0055342D">
        <w:rPr>
          <w:sz w:val="20"/>
          <w:szCs w:val="20"/>
        </w:rPr>
        <w:t xml:space="preserve"> Nemzetközi Thrombosis és Haemostasis Társaság) kritériumai szerint definiálták.</w:t>
      </w:r>
    </w:p>
    <w:p w14:paraId="2D337D2A" w14:textId="4BC4EE04" w:rsidR="007543BB" w:rsidRPr="0055342D" w:rsidRDefault="00413E7E" w:rsidP="00413E7E">
      <w:pPr>
        <w:rPr>
          <w:sz w:val="20"/>
          <w:szCs w:val="20"/>
        </w:rPr>
      </w:pPr>
      <w:r w:rsidRPr="004311F4">
        <w:rPr>
          <w:sz w:val="20"/>
          <w:szCs w:val="20"/>
          <w:vertAlign w:val="superscript"/>
        </w:rPr>
        <w:t>†</w:t>
      </w:r>
      <w:r w:rsidR="002D677C" w:rsidRPr="0055342D">
        <w:rPr>
          <w:sz w:val="20"/>
          <w:szCs w:val="20"/>
        </w:rPr>
        <w:t xml:space="preserve"> Klinikailag jelentős, nem súlyos vérzés.</w:t>
      </w:r>
    </w:p>
    <w:p w14:paraId="2B55736D" w14:textId="77777777" w:rsidR="007543BB" w:rsidRPr="00413E7E" w:rsidRDefault="007543BB" w:rsidP="00413E7E"/>
    <w:p w14:paraId="0839D4CC" w14:textId="77777777" w:rsidR="007543BB" w:rsidRPr="00413E7E" w:rsidRDefault="002D677C" w:rsidP="00413E7E">
      <w:pPr>
        <w:keepNext/>
        <w:rPr>
          <w:i/>
          <w:iCs/>
          <w:u w:val="single"/>
        </w:rPr>
      </w:pPr>
      <w:r w:rsidRPr="00413E7E">
        <w:rPr>
          <w:i/>
          <w:iCs/>
          <w:u w:val="single"/>
        </w:rPr>
        <w:t>NVAF-betegek ACS-sel és/vagy PCI beavatkozással</w:t>
      </w:r>
    </w:p>
    <w:p w14:paraId="2DA5526E" w14:textId="7A613DD9" w:rsidR="007543BB" w:rsidRDefault="002D677C" w:rsidP="00413E7E">
      <w:r w:rsidRPr="00413E7E">
        <w:t>Az AUGUSTUS egy nyílt, randomizált, kontrollos, 2</w:t>
      </w:r>
      <w:r w:rsidR="00413E7E" w:rsidRPr="004311F4">
        <w:t>×</w:t>
      </w:r>
      <w:r w:rsidRPr="00413E7E">
        <w:t>2</w:t>
      </w:r>
      <w:r w:rsidR="00A57797">
        <w:t> </w:t>
      </w:r>
      <w:r w:rsidRPr="00413E7E">
        <w:t xml:space="preserve"> faktoriális elrendezésű vizsgálat volt, amelybe 4614</w:t>
      </w:r>
      <w:r w:rsidR="00A57797">
        <w:t> </w:t>
      </w:r>
      <w:r w:rsidRPr="00413E7E">
        <w:t xml:space="preserve"> felnőtt NVAF-beteget vontak be, akik ACS-ben szenvedtek (43%) és/vagy akiknél PCI-t végeztek (56%). Minden beteg háttérkezelésként P2Y12-gátló kezelésben (klopidogrel: 90,3%) részesült a helyi szokásos ellátásnak megfelelően.</w:t>
      </w:r>
    </w:p>
    <w:p w14:paraId="628CA677" w14:textId="77777777" w:rsidR="00413E7E" w:rsidRPr="00413E7E" w:rsidRDefault="00413E7E" w:rsidP="00413E7E"/>
    <w:p w14:paraId="3A5801E7" w14:textId="7B38C363" w:rsidR="007543BB" w:rsidRDefault="002D677C" w:rsidP="00413E7E">
      <w:r w:rsidRPr="00413E7E">
        <w:t>A betegeket az ACS és/vagy PCI után legfeljebb 14</w:t>
      </w:r>
      <w:r w:rsidR="00A57797">
        <w:t> </w:t>
      </w:r>
      <w:r w:rsidRPr="00413E7E">
        <w:t>nappal randomizálták napi kétszer 5</w:t>
      </w:r>
      <w:r w:rsidR="00A57797">
        <w:t> </w:t>
      </w:r>
      <w:r w:rsidRPr="00413E7E">
        <w:t>mg apixabánra (vagy naponta kétszer 2,5</w:t>
      </w:r>
      <w:r w:rsidR="00A57797">
        <w:t> </w:t>
      </w:r>
      <w:r w:rsidRPr="00413E7E">
        <w:t>mg-ra, ha kettő vagy több dóziscsökkentési feltétel is teljesült; 4,2% kapott alacsonyabb dózist) vagy K-vitamin-antagonistára, valamint acetilszalicilsavra (napi egyszer 81</w:t>
      </w:r>
      <w:r w:rsidR="00A57797">
        <w:t> </w:t>
      </w:r>
      <w:r w:rsidRPr="00413E7E">
        <w:t>mg) vagy placebóra. Az átlagéletkor 69,9</w:t>
      </w:r>
      <w:r w:rsidR="00A57797">
        <w:t> </w:t>
      </w:r>
      <w:r w:rsidRPr="00413E7E">
        <w:t>év volt, a randomizált betegek 94%-ánál a CHA</w:t>
      </w:r>
      <w:r w:rsidRPr="00413E7E">
        <w:rPr>
          <w:vertAlign w:val="subscript"/>
        </w:rPr>
        <w:t>2</w:t>
      </w:r>
      <w:r w:rsidRPr="00413E7E">
        <w:t>DS</w:t>
      </w:r>
      <w:r w:rsidRPr="00413E7E">
        <w:rPr>
          <w:vertAlign w:val="subscript"/>
        </w:rPr>
        <w:t>2</w:t>
      </w:r>
      <w:r w:rsidRPr="00413E7E">
        <w:t>-VASc pontszám</w:t>
      </w:r>
      <w:r w:rsidR="00A57797">
        <w:t> </w:t>
      </w:r>
      <w:r w:rsidRPr="00413E7E">
        <w:t>&gt;2 volt és 47%-ánál a HAS-BLED pontszám</w:t>
      </w:r>
      <w:r w:rsidR="00A57797">
        <w:t> </w:t>
      </w:r>
      <w:r w:rsidRPr="00413E7E">
        <w:t>&gt;3 volt. A K-vitamin- antagonistára randomizált betegek esetében a terápiás tartományban (INR 2</w:t>
      </w:r>
      <w:r w:rsidR="00413E7E">
        <w:t>–</w:t>
      </w:r>
      <w:r w:rsidRPr="00413E7E">
        <w:t>3) eltöltött időtartam 56% volt, a TTR alatti idő 32% és a TTR feletti idő 12% volt.</w:t>
      </w:r>
    </w:p>
    <w:p w14:paraId="55FB9A34" w14:textId="77777777" w:rsidR="00413E7E" w:rsidRPr="00413E7E" w:rsidRDefault="00413E7E" w:rsidP="00413E7E"/>
    <w:p w14:paraId="5D4DE0BE" w14:textId="0EA019D1" w:rsidR="007543BB" w:rsidRPr="00413E7E" w:rsidRDefault="002D677C" w:rsidP="00413E7E">
      <w:r w:rsidRPr="00413E7E">
        <w:t>Az AUGUSTUS vizsgálat elsődleges célja a biztonságosság felmérése volt, és az elsődleges végpont az ISTH szerinti súlyos vagy CRNM vérzés volt. Az apixabán és a K-vitamin-antagonista összehasonlításában az elsődleges biztonságossági végpont az ISTH szerinti súlyos vagy CRNM vérzés a 6. hónapra 241</w:t>
      </w:r>
      <w:r w:rsidR="00A57797">
        <w:t> </w:t>
      </w:r>
      <w:r w:rsidRPr="00413E7E">
        <w:t>(10,5%) betegnél következett be az apixabán-karon, illetve 332</w:t>
      </w:r>
      <w:r w:rsidR="00A57797">
        <w:t> </w:t>
      </w:r>
      <w:r w:rsidRPr="00413E7E">
        <w:t>(14,7%) betegnél a K-vitamin-antagonista karon (relatív hazárd 0,69, 95%-os CI: 0,58, 0,82; 2</w:t>
      </w:r>
      <w:r w:rsidR="00A57797">
        <w:t> </w:t>
      </w:r>
      <w:r w:rsidRPr="00413E7E">
        <w:t>oldalas p</w:t>
      </w:r>
      <w:r w:rsidR="00413E7E">
        <w:t> </w:t>
      </w:r>
      <w:r w:rsidRPr="00413E7E">
        <w:t>&lt;0,0001 a non-inferioritás és p</w:t>
      </w:r>
      <w:r w:rsidR="00A57797">
        <w:t> </w:t>
      </w:r>
      <w:r w:rsidRPr="00413E7E">
        <w:t>&lt;0,0001 a szuperioritás tekintetében). A K-vitamin-antagonista esetén a TTR szerinti alcsoportok azt mutatták, hogy a legmagasabb vérzési arány a TTR legalacsonyabb kvartilisére volt jellemző. A vérzés aránya hasonló volt apixabán és a TTR legmagasabb kvartilise esetében.</w:t>
      </w:r>
    </w:p>
    <w:p w14:paraId="0FB3D376" w14:textId="046EE677" w:rsidR="007543BB" w:rsidRDefault="002D677C" w:rsidP="00413E7E">
      <w:r w:rsidRPr="00413E7E">
        <w:t>Az acetilszalicilsav és a placebo összehasonlításában a 6. hónapban az ISTH szerinti súlyos vagy CRNM vérzés elsődleges biztonságossági végpontja 367 (16,1%) betegnél következett be az acetilszalicilsav-karon és 204 (9,0%) betegnél a placebokaron (relatív hazárd 1,88, 95%-os CI: 1,58</w:t>
      </w:r>
      <w:r w:rsidR="00413E7E">
        <w:t>–</w:t>
      </w:r>
      <w:r w:rsidRPr="00413E7E">
        <w:t>2,23; 2 oldalas p &lt; 0,0001).</w:t>
      </w:r>
    </w:p>
    <w:p w14:paraId="5A204751" w14:textId="77777777" w:rsidR="00413E7E" w:rsidRPr="00413E7E" w:rsidRDefault="00413E7E" w:rsidP="00413E7E"/>
    <w:p w14:paraId="00C401B4" w14:textId="5A53B851" w:rsidR="007543BB" w:rsidRDefault="002D677C" w:rsidP="00413E7E">
      <w:r w:rsidRPr="00413E7E">
        <w:t>Számszerűen, az apixabánnal kezelt betegek közül 157-nél (13,7%) fordult elő súlyos vagy CRNM vérzés az acetilszalicilsav-karon és 84</w:t>
      </w:r>
      <w:r w:rsidR="00A57797">
        <w:t> </w:t>
      </w:r>
      <w:r w:rsidRPr="00413E7E">
        <w:t>(7,4%) betegnél a placebokaron. A K-vitamin-antagonistával kezelt betegek közül 208-nál (18,5%) fordult elő súlyos vagy CRNM vérzés az acetilszalicilsav-karon és 122</w:t>
      </w:r>
      <w:r w:rsidR="00A57797">
        <w:t> </w:t>
      </w:r>
      <w:r w:rsidRPr="00413E7E">
        <w:t>(10,8%) betegnél a placebokaron.</w:t>
      </w:r>
    </w:p>
    <w:p w14:paraId="3375B329" w14:textId="77777777" w:rsidR="00413E7E" w:rsidRPr="00413E7E" w:rsidRDefault="00413E7E" w:rsidP="00413E7E"/>
    <w:p w14:paraId="7A8213D4" w14:textId="77777777" w:rsidR="007543BB" w:rsidRPr="00413E7E" w:rsidRDefault="002D677C" w:rsidP="00413E7E">
      <w:r w:rsidRPr="00413E7E">
        <w:t>Az egyéb kezelési hatásokat a vizsgálat másodlagos célkitűzéseként értékelték, összetett végpontokkal.</w:t>
      </w:r>
    </w:p>
    <w:p w14:paraId="6B3FAA1E" w14:textId="35B923FF" w:rsidR="007543BB" w:rsidRDefault="002D677C" w:rsidP="00413E7E">
      <w:r w:rsidRPr="00413E7E">
        <w:t>Az apixabán és a K-vitamin-antagonista összehasonlításában a halálozás és az ismételt hospitalizáció összetett végpontja az apixabánnal kezelt betegek közül 541-nél</w:t>
      </w:r>
      <w:r w:rsidR="00A57797">
        <w:t> </w:t>
      </w:r>
      <w:r w:rsidRPr="00413E7E">
        <w:t>(23,5%), míg a K-vitamin-antagonistával kezeltek közül 632-nél</w:t>
      </w:r>
      <w:r w:rsidR="00A57797">
        <w:t> </w:t>
      </w:r>
      <w:r w:rsidRPr="00413E7E">
        <w:t>(27,4%) fordult elő. A halálozás és az ischaemiás esemény (stroke, myocardialis infarctus, stent thrombosis vagy sürgős revascularisatio) összetett végpontja az apixabánnal kezelt betegek közül 170-nél</w:t>
      </w:r>
      <w:r w:rsidR="00A57797">
        <w:t> </w:t>
      </w:r>
      <w:r w:rsidRPr="00413E7E">
        <w:t>(7,4%), míg a K-vitamin-antagonistával kezeltek közül 182-nél</w:t>
      </w:r>
      <w:r w:rsidR="00A57797">
        <w:t> </w:t>
      </w:r>
      <w:r w:rsidRPr="00413E7E">
        <w:t>(7,9%) fordult elő.</w:t>
      </w:r>
    </w:p>
    <w:p w14:paraId="04485DBC" w14:textId="77777777" w:rsidR="00A57797" w:rsidRPr="00413E7E" w:rsidRDefault="00A57797" w:rsidP="00413E7E"/>
    <w:p w14:paraId="046E4141" w14:textId="1B9EB762" w:rsidR="007543BB" w:rsidRDefault="002D677C" w:rsidP="00413E7E">
      <w:r w:rsidRPr="00413E7E">
        <w:t>Az acetilszalicilsav és a placebo összehasonlításában a halálozás és az ismételt hospitalizáció összetett végpontja az acetilszalicilsavval kezelt betegek közül 604-nél</w:t>
      </w:r>
      <w:r w:rsidR="00A57797">
        <w:t> </w:t>
      </w:r>
      <w:r w:rsidRPr="00413E7E">
        <w:t>(26,2%), míg a placebóval kezeltek közül 569-nél</w:t>
      </w:r>
      <w:r w:rsidR="00A57797">
        <w:t> </w:t>
      </w:r>
      <w:r w:rsidRPr="00413E7E">
        <w:t>(24,7%) fordult elő. A halálozás és az ischaemiás esemény (stroke, myocardialis infarctus, stent thrombosis vagy sürgős revascularisatio) összetett végpontja az acetilszalicilsavval kezelt betegek közül 163-nál</w:t>
      </w:r>
      <w:r w:rsidR="00A57797">
        <w:t> </w:t>
      </w:r>
      <w:r w:rsidRPr="00413E7E">
        <w:t>(7,1%), míg az placebóval kezeltek közül 189-nél</w:t>
      </w:r>
      <w:r w:rsidR="00A57797">
        <w:t> </w:t>
      </w:r>
      <w:r w:rsidRPr="00413E7E">
        <w:t>(8,2%) fordult elő.</w:t>
      </w:r>
    </w:p>
    <w:p w14:paraId="1A9EE2A1" w14:textId="77777777" w:rsidR="00413E7E" w:rsidRPr="00413E7E" w:rsidRDefault="00413E7E" w:rsidP="00413E7E"/>
    <w:p w14:paraId="14CA13F0" w14:textId="7A2D9B39" w:rsidR="007543BB" w:rsidRPr="00413E7E" w:rsidRDefault="002D677C" w:rsidP="00413E7E">
      <w:pPr>
        <w:keepNext/>
        <w:rPr>
          <w:i/>
          <w:iCs/>
          <w:u w:val="single"/>
        </w:rPr>
      </w:pPr>
      <w:r w:rsidRPr="00413E7E">
        <w:rPr>
          <w:i/>
          <w:iCs/>
          <w:u w:val="single"/>
        </w:rPr>
        <w:t>Kardioverzió</w:t>
      </w:r>
      <w:r w:rsidR="00A66FA0">
        <w:rPr>
          <w:i/>
          <w:iCs/>
          <w:u w:val="single"/>
        </w:rPr>
        <w:t>n áteső</w:t>
      </w:r>
      <w:r w:rsidRPr="00413E7E">
        <w:rPr>
          <w:i/>
          <w:iCs/>
          <w:u w:val="single"/>
        </w:rPr>
        <w:t xml:space="preserve"> betegek</w:t>
      </w:r>
    </w:p>
    <w:p w14:paraId="276B8FF1" w14:textId="5252EF0F" w:rsidR="007543BB" w:rsidRDefault="002D677C" w:rsidP="00413E7E">
      <w:r w:rsidRPr="00413E7E">
        <w:t>Az EMANATE egy nyílt, multicentrikus vizsgálat volt, amelybe 1500</w:t>
      </w:r>
      <w:r w:rsidR="00A57797">
        <w:t> </w:t>
      </w:r>
      <w:r w:rsidRPr="00413E7E">
        <w:t>felnőtt beteget vontak be, akik nem kaptak korábban oralis antikoagulánst vagy kevesebb mint 48</w:t>
      </w:r>
      <w:r w:rsidR="00A57797">
        <w:t> </w:t>
      </w:r>
      <w:r w:rsidRPr="00413E7E">
        <w:t>órája kaptak előkezelést, és akiket NVAF miatt kardioverzióra jegyeztek elő. A betegeket 1:1 arányban randomizálták apixabánra vagy a heparinra és/vagy K-vitamin-antagonistára a cardiovascularis események megelőzése érdekében. Elektromos és/vagy gyógyszeres kardioverziót végeztek legalább 5</w:t>
      </w:r>
      <w:r w:rsidR="00A57797">
        <w:t> </w:t>
      </w:r>
      <w:r w:rsidRPr="00413E7E">
        <w:t>adag, naponta kétszeri 5</w:t>
      </w:r>
      <w:r w:rsidR="00A57797">
        <w:t> </w:t>
      </w:r>
      <w:r w:rsidRPr="00413E7E">
        <w:t>mg os apixabán után (vagy naponta kétszeri 2,5</w:t>
      </w:r>
      <w:r w:rsidR="00A57797">
        <w:t> </w:t>
      </w:r>
      <w:r w:rsidRPr="00413E7E">
        <w:t>mg után a kiválasztott betegeknél [lásd 4.2</w:t>
      </w:r>
      <w:r w:rsidR="00A57797">
        <w:t> </w:t>
      </w:r>
      <w:r w:rsidRPr="00413E7E">
        <w:t>pont]), illetve legalább 2</w:t>
      </w:r>
      <w:r w:rsidR="00A57797">
        <w:t> </w:t>
      </w:r>
      <w:r w:rsidRPr="00413E7E">
        <w:t>órával egy 10</w:t>
      </w:r>
      <w:r w:rsidR="00A57797">
        <w:t> </w:t>
      </w:r>
      <w:r w:rsidRPr="00413E7E">
        <w:t>mg os feltöltő dózist követően (vagy 5</w:t>
      </w:r>
      <w:r w:rsidR="00A57797">
        <w:t> </w:t>
      </w:r>
      <w:r w:rsidRPr="00413E7E">
        <w:t>mg feltöltő dózis után a kiválasztott betegeknél [lásd 4.2</w:t>
      </w:r>
      <w:r w:rsidR="00A57797">
        <w:t> </w:t>
      </w:r>
      <w:r w:rsidRPr="00413E7E">
        <w:t>pont]), amennyiben hamarabb szükség volt a kardioverzió elvégzésére. Az apixabán csoportban 342</w:t>
      </w:r>
      <w:r w:rsidR="00A57797">
        <w:t> </w:t>
      </w:r>
      <w:r w:rsidRPr="00413E7E">
        <w:t>beteg kapott feltöltő dózist (331</w:t>
      </w:r>
      <w:r w:rsidR="00A57797">
        <w:t> </w:t>
      </w:r>
      <w:r w:rsidRPr="00413E7E">
        <w:t>beteg kapott 10</w:t>
      </w:r>
      <w:r w:rsidR="00A57797">
        <w:t> </w:t>
      </w:r>
      <w:r w:rsidRPr="00413E7E">
        <w:t>mg-os adagot és 11</w:t>
      </w:r>
      <w:r w:rsidR="00A57797">
        <w:t> </w:t>
      </w:r>
      <w:r w:rsidRPr="00413E7E">
        <w:t>beteg kapott 5</w:t>
      </w:r>
      <w:r w:rsidR="00A57797">
        <w:t> </w:t>
      </w:r>
      <w:r w:rsidRPr="00413E7E">
        <w:t>mg-os adagot).</w:t>
      </w:r>
    </w:p>
    <w:p w14:paraId="02BEC119" w14:textId="77777777" w:rsidR="00413E7E" w:rsidRPr="00413E7E" w:rsidRDefault="00413E7E" w:rsidP="00413E7E"/>
    <w:p w14:paraId="647DDB67" w14:textId="1E8BD5A3" w:rsidR="007543BB" w:rsidRDefault="002D677C" w:rsidP="00413E7E">
      <w:r w:rsidRPr="00413E7E">
        <w:t>Nem fordult elő stroke (0%) az apixabán-csoportban (n=753), és 6</w:t>
      </w:r>
      <w:r w:rsidR="00984BF0">
        <w:t> </w:t>
      </w:r>
      <w:r w:rsidRPr="00413E7E">
        <w:t>(0,80%) stroke fordult elő a heparin és/vagy K-vitamin-antagonista csoportban (n=747; relatív kockázat</w:t>
      </w:r>
      <w:r w:rsidR="00984BF0">
        <w:t> </w:t>
      </w:r>
      <w:r w:rsidRPr="00413E7E">
        <w:t>0,00, 95%-os CI:</w:t>
      </w:r>
      <w:r w:rsidR="00984BF0">
        <w:t> </w:t>
      </w:r>
      <w:r w:rsidRPr="00413E7E">
        <w:t>0,00, 0,64). Valamely okból elhalálozás az apixabán csoportban 2</w:t>
      </w:r>
      <w:r w:rsidR="00984BF0">
        <w:t> </w:t>
      </w:r>
      <w:r w:rsidRPr="00413E7E">
        <w:t>betegnél (0,27%) fordult elő, a heparin és/vagy K-vitamin- antagonista csoportban pedig 1</w:t>
      </w:r>
      <w:r w:rsidR="00984BF0">
        <w:t> </w:t>
      </w:r>
      <w:r w:rsidRPr="00413E7E">
        <w:t>betegnél (0,13%). Nem jelentettek szisztémás embóliás eseményt.</w:t>
      </w:r>
    </w:p>
    <w:p w14:paraId="5DE54021" w14:textId="77777777" w:rsidR="00413E7E" w:rsidRPr="00413E7E" w:rsidRDefault="00413E7E" w:rsidP="00413E7E"/>
    <w:p w14:paraId="4B56E9DD" w14:textId="2984AF31" w:rsidR="007543BB" w:rsidRDefault="002D677C" w:rsidP="00413E7E">
      <w:r w:rsidRPr="00413E7E">
        <w:t>Az apixabán csoportban 3</w:t>
      </w:r>
      <w:r w:rsidR="006E1F18">
        <w:t> </w:t>
      </w:r>
      <w:r w:rsidRPr="00413E7E">
        <w:t>betegnél (0,41%) fordult elő súlyos vérzés és 11</w:t>
      </w:r>
      <w:r w:rsidR="006E1F18">
        <w:t> </w:t>
      </w:r>
      <w:r w:rsidRPr="00413E7E">
        <w:t>betegnél (1,50%) klinikailag jelentős, nem súlyos vérzési esemény, a heparin és/vagy K-vitamin- antagonista csoportban pedig ezek sorrendben 6</w:t>
      </w:r>
      <w:r w:rsidR="006E1F18">
        <w:t> </w:t>
      </w:r>
      <w:r w:rsidRPr="00413E7E">
        <w:t>betegnél (0,83%), illetve 13</w:t>
      </w:r>
      <w:r w:rsidR="006E1F18">
        <w:t> </w:t>
      </w:r>
      <w:r w:rsidRPr="00413E7E">
        <w:t>betegnél (1,80%) fordultak elő.</w:t>
      </w:r>
    </w:p>
    <w:p w14:paraId="4F5206AF" w14:textId="77777777" w:rsidR="00413E7E" w:rsidRPr="00413E7E" w:rsidRDefault="00413E7E" w:rsidP="00413E7E"/>
    <w:p w14:paraId="6056AF41" w14:textId="77777777" w:rsidR="007543BB" w:rsidRDefault="002D677C" w:rsidP="00413E7E">
      <w:r w:rsidRPr="00413E7E">
        <w:t>Ez a feltáró vizsgálat összemérhető hatásosságot és biztonságosságot mutatott az apixabán és a heparin és/vagy K-vitamin- antagonista csoportban a kardioverzió esetén.</w:t>
      </w:r>
    </w:p>
    <w:p w14:paraId="17FD6E44" w14:textId="77777777" w:rsidR="00413E7E" w:rsidRPr="00413E7E" w:rsidRDefault="00413E7E" w:rsidP="00413E7E"/>
    <w:p w14:paraId="788E46FF" w14:textId="77777777" w:rsidR="007543BB" w:rsidRPr="00413E7E" w:rsidRDefault="002D677C" w:rsidP="00413E7E">
      <w:pPr>
        <w:keepNext/>
        <w:rPr>
          <w:i/>
          <w:iCs/>
          <w:u w:val="single"/>
        </w:rPr>
      </w:pPr>
      <w:r w:rsidRPr="00413E7E">
        <w:rPr>
          <w:i/>
          <w:iCs/>
          <w:u w:val="single"/>
        </w:rPr>
        <w:t>Az MVT kezelése, a PE kezelése, valamint az MVT és a PE kiújulásának megelőzése (VTEt)</w:t>
      </w:r>
    </w:p>
    <w:p w14:paraId="0546A48B" w14:textId="6241BD25" w:rsidR="007543BB" w:rsidRDefault="002D677C" w:rsidP="00413E7E">
      <w:r w:rsidRPr="00413E7E">
        <w:t>A felnőttek körében végzett klinikai programot (AMPLIFY: apixabán versus enoxaparin/warfarin, AMPLIFY-EXT: apixabán versus placebo) úgy tervezték, hogy igazolja az MVT és/vagy PE kezelésére adott apixabán hatásosságát és biztonságosságát (AMPLIFY), illetve az MVT és/vagy PE 6-12</w:t>
      </w:r>
      <w:r w:rsidR="00B029E1">
        <w:t> </w:t>
      </w:r>
      <w:r w:rsidRPr="00413E7E">
        <w:t>hónapig tartó antikoaguláns-kezelése után, az MVT és/vagy a PE kiújulásának megelőzésére adott, kiterjesztett kezelés hatásosságát és biztonságosságát (AMPLIFY-EXT). Mindkét vizsgálat randomizált, párhuzamos csoportú, kettős vak, nemzetközi vizsgálat volt, amit tünetekkel járó, proximalis típusú mélyvénás thrombosisos vagy tünetekkel járó pulmonalis emboliás betegek bevonásával végeztek. Az összes fontosabb biztonságossági és hatásossági végpontot egy független bíráló bizottság, a kapott kezelést nem ismerve ítélte meg.</w:t>
      </w:r>
    </w:p>
    <w:p w14:paraId="5A56E96B" w14:textId="77777777" w:rsidR="00413E7E" w:rsidRPr="00413E7E" w:rsidRDefault="00413E7E" w:rsidP="00413E7E"/>
    <w:p w14:paraId="02231E60" w14:textId="77777777" w:rsidR="007543BB" w:rsidRPr="00413E7E" w:rsidRDefault="002D677C" w:rsidP="00413E7E">
      <w:pPr>
        <w:keepNext/>
        <w:rPr>
          <w:i/>
          <w:iCs/>
          <w:u w:val="single"/>
        </w:rPr>
      </w:pPr>
      <w:r w:rsidRPr="00413E7E">
        <w:rPr>
          <w:i/>
          <w:iCs/>
          <w:u w:val="single"/>
        </w:rPr>
        <w:t>AMPLIFY vizsgálat</w:t>
      </w:r>
    </w:p>
    <w:p w14:paraId="1850ECFE" w14:textId="595FF73F" w:rsidR="007543BB" w:rsidRDefault="002D677C" w:rsidP="0055342D">
      <w:r w:rsidRPr="00413E7E">
        <w:t>Az AMPLIFY vizsgálatba összesen 5395</w:t>
      </w:r>
      <w:r w:rsidR="00B029E1">
        <w:t> </w:t>
      </w:r>
      <w:r w:rsidRPr="00413E7E">
        <w:t>beteget randomizáltak 7</w:t>
      </w:r>
      <w:r w:rsidR="00B029E1">
        <w:t> </w:t>
      </w:r>
      <w:r w:rsidRPr="00413E7E">
        <w:t>napig tartó, naponta kétszer 10</w:t>
      </w:r>
      <w:r w:rsidR="00B029E1">
        <w:t> </w:t>
      </w:r>
      <w:r w:rsidRPr="00413E7E">
        <w:t>mg per os apixabán kezelésre, amit 6</w:t>
      </w:r>
      <w:r w:rsidR="00B029E1">
        <w:t> </w:t>
      </w:r>
      <w:r w:rsidRPr="00413E7E">
        <w:t>hónapig naponta kétszer 5</w:t>
      </w:r>
      <w:r w:rsidR="00B029E1">
        <w:t> </w:t>
      </w:r>
      <w:r w:rsidRPr="00413E7E">
        <w:t>mg per os apixabán követett, vagy pedig legalább 5</w:t>
      </w:r>
      <w:r w:rsidR="00B029E1">
        <w:t> </w:t>
      </w:r>
      <w:r w:rsidRPr="00413E7E">
        <w:t>napig tartó (amíg az INR</w:t>
      </w:r>
      <w:r w:rsidR="00B029E1">
        <w:t> </w:t>
      </w:r>
      <w:r w:rsidR="0055342D" w:rsidRPr="004311F4">
        <w:t>≥</w:t>
      </w:r>
      <w:r w:rsidRPr="00413E7E">
        <w:t>2), naponta kétszer 1</w:t>
      </w:r>
      <w:r w:rsidR="00B029E1">
        <w:t> </w:t>
      </w:r>
      <w:r w:rsidRPr="00413E7E">
        <w:t>mg/ttkg subcutan enoxaparinnal és 6</w:t>
      </w:r>
      <w:r w:rsidR="00413E7E">
        <w:t> </w:t>
      </w:r>
      <w:r w:rsidRPr="00413E7E">
        <w:t>hónapig tartó per os warfarinnal (elérendő INR-tartomány</w:t>
      </w:r>
      <w:r w:rsidR="00B029E1">
        <w:t> </w:t>
      </w:r>
      <w:r w:rsidRPr="00413E7E">
        <w:t>2,0</w:t>
      </w:r>
      <w:r w:rsidR="00B029E1">
        <w:noBreakHyphen/>
      </w:r>
      <w:r w:rsidRPr="00413E7E">
        <w:t>3,0) végzett kezelésre.</w:t>
      </w:r>
    </w:p>
    <w:p w14:paraId="2C99AC9F" w14:textId="77777777" w:rsidR="00413E7E" w:rsidRPr="00413E7E" w:rsidRDefault="00413E7E" w:rsidP="00413E7E"/>
    <w:p w14:paraId="1295FEB6" w14:textId="0DD14F38" w:rsidR="00413E7E" w:rsidRDefault="002D677C" w:rsidP="00413E7E">
      <w:r w:rsidRPr="00413E7E">
        <w:t>Az átlagéletkor 56,9</w:t>
      </w:r>
      <w:r w:rsidR="000A7CF2">
        <w:t> </w:t>
      </w:r>
      <w:r w:rsidRPr="00413E7E">
        <w:t>év volt, és a randomizált betegek 89,8%-ának volt ok nélküli VTE eseménye.</w:t>
      </w:r>
      <w:r w:rsidR="00413E7E" w:rsidRPr="00413E7E">
        <w:t xml:space="preserve"> </w:t>
      </w:r>
    </w:p>
    <w:p w14:paraId="727C6CF4" w14:textId="77EA7CED" w:rsidR="007543BB" w:rsidRDefault="002D677C" w:rsidP="00413E7E">
      <w:r w:rsidRPr="00413E7E">
        <w:t>A warfarinra randomizált betegeknél a terápiás tartományban (INR</w:t>
      </w:r>
      <w:r w:rsidR="000A7CF2">
        <w:t> </w:t>
      </w:r>
      <w:r w:rsidRPr="00413E7E">
        <w:t>2,0</w:t>
      </w:r>
      <w:r w:rsidR="000A7CF2">
        <w:noBreakHyphen/>
      </w:r>
      <w:r w:rsidRPr="00413E7E">
        <w:t xml:space="preserve">3,0) eltöltött időtartam (time in therapeutic range </w:t>
      </w:r>
      <w:r w:rsidR="0055342D">
        <w:t>–</w:t>
      </w:r>
      <w:r w:rsidRPr="00413E7E">
        <w:t xml:space="preserve"> TTR) átlagos aránya 60,9% volt. Az apixabánnal a vizsgálati centrumokra jellemző, különböző TTR-szintektől függetlenül csökkent a szimptomatikus VTE események kiújulása és a VTE-vel összefüggő halálozás. A centrumnak megfelelő legfelső TTR kvartilisben az apixabánnal 0,79</w:t>
      </w:r>
      <w:r w:rsidR="000A7CF2">
        <w:t> </w:t>
      </w:r>
      <w:r w:rsidRPr="00413E7E">
        <w:t>(95%-os</w:t>
      </w:r>
      <w:r w:rsidR="000A7CF2">
        <w:t> </w:t>
      </w:r>
      <w:r w:rsidRPr="00413E7E">
        <w:t>CI:</w:t>
      </w:r>
      <w:r w:rsidR="000A7CF2">
        <w:t> </w:t>
      </w:r>
      <w:r w:rsidRPr="00413E7E">
        <w:t>0,39;</w:t>
      </w:r>
      <w:r w:rsidR="000A7CF2">
        <w:t> </w:t>
      </w:r>
      <w:r w:rsidRPr="00413E7E">
        <w:t>1,61) volt a relatív kockázat az enoxaparin/warfarin kezeléshez képest.</w:t>
      </w:r>
    </w:p>
    <w:p w14:paraId="5BE3E2FF" w14:textId="77777777" w:rsidR="00413E7E" w:rsidRPr="00413E7E" w:rsidRDefault="00413E7E" w:rsidP="00413E7E"/>
    <w:p w14:paraId="2A6CB82A" w14:textId="519D0CC5" w:rsidR="007543BB" w:rsidRDefault="002D677C" w:rsidP="00413E7E">
      <w:r w:rsidRPr="00413E7E">
        <w:t xml:space="preserve">A vizsgálatban kimutatták, hogy az apixabán non-inferior volt az enoxaparin/warfarin kezeléshez képest a kombinált elsődleges végpontban, melynek összetevői: az igazolt, recidív szimptomatikus VTE (nem halálos MVT vagy nem halálos PE) és a VTE-vel összefüggő halálozás (lásd </w:t>
      </w:r>
      <w:r w:rsidR="001A5836">
        <w:t>8</w:t>
      </w:r>
      <w:r w:rsidRPr="00413E7E">
        <w:t>.</w:t>
      </w:r>
      <w:r w:rsidR="00457BAA">
        <w:t> </w:t>
      </w:r>
      <w:r w:rsidRPr="00413E7E">
        <w:t>táblázat).</w:t>
      </w:r>
    </w:p>
    <w:p w14:paraId="3F50CBBA" w14:textId="77777777" w:rsidR="00413E7E" w:rsidRPr="00413E7E" w:rsidRDefault="00413E7E" w:rsidP="00413E7E"/>
    <w:p w14:paraId="27E1EFE9" w14:textId="10FFB617" w:rsidR="007543BB" w:rsidRPr="00413E7E" w:rsidRDefault="001A5836" w:rsidP="00413E7E">
      <w:pPr>
        <w:keepNext/>
        <w:rPr>
          <w:b/>
          <w:bCs/>
        </w:rPr>
      </w:pPr>
      <w:r>
        <w:rPr>
          <w:b/>
          <w:bCs/>
        </w:rPr>
        <w:t>8</w:t>
      </w:r>
      <w:r w:rsidR="002D677C" w:rsidRPr="00413E7E">
        <w:rPr>
          <w:b/>
          <w:bCs/>
        </w:rPr>
        <w:t>.</w:t>
      </w:r>
      <w:r w:rsidR="00457BAA">
        <w:rPr>
          <w:b/>
          <w:bCs/>
        </w:rPr>
        <w:t> </w:t>
      </w:r>
      <w:r w:rsidR="002D677C" w:rsidRPr="00413E7E">
        <w:rPr>
          <w:b/>
          <w:bCs/>
        </w:rPr>
        <w:t>táblázat: Az AMPLIFY vizsgálat hatásossági eredményei</w:t>
      </w:r>
    </w:p>
    <w:tbl>
      <w:tblPr>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405"/>
        <w:gridCol w:w="1430"/>
        <w:gridCol w:w="2397"/>
        <w:gridCol w:w="2835"/>
      </w:tblGrid>
      <w:tr w:rsidR="007543BB" w14:paraId="5921B000" w14:textId="77777777" w:rsidTr="0060716F">
        <w:trPr>
          <w:cantSplit/>
          <w:tblHeader/>
        </w:trPr>
        <w:tc>
          <w:tcPr>
            <w:tcW w:w="2405" w:type="dxa"/>
            <w:shd w:val="clear" w:color="auto" w:fill="auto"/>
          </w:tcPr>
          <w:p w14:paraId="21BD9084" w14:textId="77777777" w:rsidR="007543BB" w:rsidRPr="0060716F" w:rsidRDefault="007543BB" w:rsidP="0060716F">
            <w:pPr>
              <w:keepNext/>
            </w:pPr>
          </w:p>
        </w:tc>
        <w:tc>
          <w:tcPr>
            <w:tcW w:w="1430" w:type="dxa"/>
            <w:shd w:val="clear" w:color="auto" w:fill="auto"/>
          </w:tcPr>
          <w:p w14:paraId="3169B7C8" w14:textId="77777777" w:rsidR="0060716F" w:rsidRPr="0060716F" w:rsidRDefault="002D677C" w:rsidP="0060716F">
            <w:pPr>
              <w:keepNext/>
              <w:jc w:val="center"/>
              <w:rPr>
                <w:b/>
                <w:bCs/>
              </w:rPr>
            </w:pPr>
            <w:r w:rsidRPr="0060716F">
              <w:rPr>
                <w:b/>
                <w:bCs/>
              </w:rPr>
              <w:t xml:space="preserve">Apixabán </w:t>
            </w:r>
          </w:p>
          <w:p w14:paraId="346EE466" w14:textId="7B6BADDE" w:rsidR="0060716F" w:rsidRPr="0060716F" w:rsidRDefault="002D677C" w:rsidP="0060716F">
            <w:pPr>
              <w:keepNext/>
              <w:jc w:val="center"/>
              <w:rPr>
                <w:b/>
                <w:bCs/>
              </w:rPr>
            </w:pPr>
            <w:r w:rsidRPr="0060716F">
              <w:rPr>
                <w:b/>
                <w:bCs/>
              </w:rPr>
              <w:t xml:space="preserve">N=2609 </w:t>
            </w:r>
          </w:p>
          <w:p w14:paraId="005DEDC0" w14:textId="3FBC434E" w:rsidR="007543BB" w:rsidRPr="0060716F" w:rsidRDefault="002D677C" w:rsidP="0060716F">
            <w:pPr>
              <w:keepNext/>
              <w:jc w:val="center"/>
              <w:rPr>
                <w:b/>
                <w:bCs/>
              </w:rPr>
            </w:pPr>
            <w:r w:rsidRPr="0060716F">
              <w:rPr>
                <w:b/>
                <w:bCs/>
              </w:rPr>
              <w:t>n (%)</w:t>
            </w:r>
          </w:p>
        </w:tc>
        <w:tc>
          <w:tcPr>
            <w:tcW w:w="2397" w:type="dxa"/>
            <w:shd w:val="clear" w:color="auto" w:fill="auto"/>
          </w:tcPr>
          <w:p w14:paraId="3E2B4233" w14:textId="77777777" w:rsidR="0060716F" w:rsidRPr="0060716F" w:rsidRDefault="002D677C" w:rsidP="0060716F">
            <w:pPr>
              <w:keepNext/>
              <w:jc w:val="center"/>
              <w:rPr>
                <w:b/>
                <w:bCs/>
              </w:rPr>
            </w:pPr>
            <w:r w:rsidRPr="0060716F">
              <w:rPr>
                <w:b/>
                <w:bCs/>
              </w:rPr>
              <w:t xml:space="preserve">Enoxaparin/Warfarin </w:t>
            </w:r>
          </w:p>
          <w:p w14:paraId="7822B4A3" w14:textId="51F36A65" w:rsidR="0060716F" w:rsidRPr="0060716F" w:rsidRDefault="002D677C" w:rsidP="0060716F">
            <w:pPr>
              <w:keepNext/>
              <w:jc w:val="center"/>
              <w:rPr>
                <w:b/>
                <w:bCs/>
              </w:rPr>
            </w:pPr>
            <w:r w:rsidRPr="0060716F">
              <w:rPr>
                <w:b/>
                <w:bCs/>
              </w:rPr>
              <w:t xml:space="preserve">N=2635 </w:t>
            </w:r>
          </w:p>
          <w:p w14:paraId="2E769167" w14:textId="1C976C4E" w:rsidR="007543BB" w:rsidRPr="0060716F" w:rsidRDefault="002D677C" w:rsidP="0060716F">
            <w:pPr>
              <w:keepNext/>
              <w:jc w:val="center"/>
              <w:rPr>
                <w:b/>
                <w:bCs/>
              </w:rPr>
            </w:pPr>
            <w:r w:rsidRPr="0060716F">
              <w:rPr>
                <w:b/>
                <w:bCs/>
              </w:rPr>
              <w:t>n (%)</w:t>
            </w:r>
          </w:p>
        </w:tc>
        <w:tc>
          <w:tcPr>
            <w:tcW w:w="2835" w:type="dxa"/>
            <w:shd w:val="clear" w:color="auto" w:fill="auto"/>
          </w:tcPr>
          <w:p w14:paraId="45A794CA" w14:textId="77777777" w:rsidR="0060716F" w:rsidRPr="0060716F" w:rsidRDefault="002D677C" w:rsidP="0060716F">
            <w:pPr>
              <w:keepNext/>
              <w:jc w:val="center"/>
              <w:rPr>
                <w:b/>
                <w:bCs/>
              </w:rPr>
            </w:pPr>
            <w:r w:rsidRPr="0060716F">
              <w:rPr>
                <w:b/>
                <w:bCs/>
              </w:rPr>
              <w:t xml:space="preserve">Relatív kockázat </w:t>
            </w:r>
          </w:p>
          <w:p w14:paraId="15B4EE2B" w14:textId="6678DC48" w:rsidR="007543BB" w:rsidRPr="0060716F" w:rsidRDefault="002D677C" w:rsidP="0060716F">
            <w:pPr>
              <w:keepNext/>
              <w:jc w:val="center"/>
              <w:rPr>
                <w:b/>
                <w:bCs/>
              </w:rPr>
            </w:pPr>
            <w:r w:rsidRPr="0060716F">
              <w:rPr>
                <w:b/>
                <w:bCs/>
              </w:rPr>
              <w:t>(95%-os CI)</w:t>
            </w:r>
          </w:p>
        </w:tc>
      </w:tr>
      <w:tr w:rsidR="007543BB" w14:paraId="3ACFD232" w14:textId="77777777" w:rsidTr="0060716F">
        <w:trPr>
          <w:cantSplit/>
        </w:trPr>
        <w:tc>
          <w:tcPr>
            <w:tcW w:w="2405" w:type="dxa"/>
            <w:shd w:val="clear" w:color="auto" w:fill="auto"/>
          </w:tcPr>
          <w:p w14:paraId="7C69DBAB" w14:textId="77777777" w:rsidR="007543BB" w:rsidRPr="0060716F" w:rsidRDefault="002D677C" w:rsidP="0060716F">
            <w:pPr>
              <w:keepNext/>
            </w:pPr>
            <w:r w:rsidRPr="0060716F">
              <w:t>VTE vagy VTE-vel összefüggő halálozás</w:t>
            </w:r>
          </w:p>
        </w:tc>
        <w:tc>
          <w:tcPr>
            <w:tcW w:w="1430" w:type="dxa"/>
            <w:shd w:val="clear" w:color="auto" w:fill="auto"/>
          </w:tcPr>
          <w:p w14:paraId="041D3000" w14:textId="77777777" w:rsidR="007543BB" w:rsidRPr="0060716F" w:rsidRDefault="002D677C" w:rsidP="0060716F">
            <w:pPr>
              <w:keepNext/>
              <w:jc w:val="center"/>
            </w:pPr>
            <w:r w:rsidRPr="0060716F">
              <w:t>59 (2,3)</w:t>
            </w:r>
          </w:p>
        </w:tc>
        <w:tc>
          <w:tcPr>
            <w:tcW w:w="2397" w:type="dxa"/>
            <w:shd w:val="clear" w:color="auto" w:fill="auto"/>
          </w:tcPr>
          <w:p w14:paraId="6EC733A8" w14:textId="77777777" w:rsidR="007543BB" w:rsidRPr="0060716F" w:rsidRDefault="002D677C" w:rsidP="0060716F">
            <w:pPr>
              <w:keepNext/>
              <w:jc w:val="center"/>
            </w:pPr>
            <w:r w:rsidRPr="0060716F">
              <w:t>71 (2,7)</w:t>
            </w:r>
          </w:p>
        </w:tc>
        <w:tc>
          <w:tcPr>
            <w:tcW w:w="2835" w:type="dxa"/>
            <w:shd w:val="clear" w:color="auto" w:fill="auto"/>
          </w:tcPr>
          <w:p w14:paraId="6B15B50E" w14:textId="77777777" w:rsidR="007543BB" w:rsidRPr="0060716F" w:rsidRDefault="002D677C" w:rsidP="0060716F">
            <w:pPr>
              <w:keepNext/>
              <w:jc w:val="center"/>
            </w:pPr>
            <w:r w:rsidRPr="0060716F">
              <w:t>0,84 (0,60; 1,18)*</w:t>
            </w:r>
          </w:p>
        </w:tc>
      </w:tr>
      <w:tr w:rsidR="007543BB" w14:paraId="17E000FD" w14:textId="77777777" w:rsidTr="0060716F">
        <w:trPr>
          <w:cantSplit/>
        </w:trPr>
        <w:tc>
          <w:tcPr>
            <w:tcW w:w="2405" w:type="dxa"/>
            <w:shd w:val="clear" w:color="auto" w:fill="auto"/>
          </w:tcPr>
          <w:p w14:paraId="51BFA899" w14:textId="77777777" w:rsidR="007543BB" w:rsidRPr="0060716F" w:rsidRDefault="002D677C" w:rsidP="0060716F">
            <w:pPr>
              <w:keepNext/>
              <w:ind w:left="283"/>
            </w:pPr>
            <w:r w:rsidRPr="0060716F">
              <w:t>MVT</w:t>
            </w:r>
          </w:p>
        </w:tc>
        <w:tc>
          <w:tcPr>
            <w:tcW w:w="1430" w:type="dxa"/>
            <w:shd w:val="clear" w:color="auto" w:fill="auto"/>
          </w:tcPr>
          <w:p w14:paraId="40B3C6A8" w14:textId="77777777" w:rsidR="007543BB" w:rsidRPr="0060716F" w:rsidRDefault="002D677C" w:rsidP="0060716F">
            <w:pPr>
              <w:keepNext/>
              <w:jc w:val="center"/>
            </w:pPr>
            <w:r w:rsidRPr="0060716F">
              <w:t>20 (0,7)</w:t>
            </w:r>
          </w:p>
        </w:tc>
        <w:tc>
          <w:tcPr>
            <w:tcW w:w="2397" w:type="dxa"/>
            <w:shd w:val="clear" w:color="auto" w:fill="auto"/>
          </w:tcPr>
          <w:p w14:paraId="4BD8E309" w14:textId="77777777" w:rsidR="007543BB" w:rsidRPr="0060716F" w:rsidRDefault="002D677C" w:rsidP="0060716F">
            <w:pPr>
              <w:keepNext/>
              <w:jc w:val="center"/>
            </w:pPr>
            <w:r w:rsidRPr="0060716F">
              <w:t>33 (1,2)</w:t>
            </w:r>
          </w:p>
        </w:tc>
        <w:tc>
          <w:tcPr>
            <w:tcW w:w="2835" w:type="dxa"/>
            <w:shd w:val="clear" w:color="auto" w:fill="auto"/>
          </w:tcPr>
          <w:p w14:paraId="5A8ABF76" w14:textId="77777777" w:rsidR="007543BB" w:rsidRPr="0060716F" w:rsidRDefault="007543BB" w:rsidP="0060716F">
            <w:pPr>
              <w:keepNext/>
              <w:jc w:val="center"/>
            </w:pPr>
          </w:p>
        </w:tc>
      </w:tr>
      <w:tr w:rsidR="007543BB" w14:paraId="643A5100" w14:textId="77777777" w:rsidTr="0060716F">
        <w:trPr>
          <w:cantSplit/>
        </w:trPr>
        <w:tc>
          <w:tcPr>
            <w:tcW w:w="2405" w:type="dxa"/>
            <w:shd w:val="clear" w:color="auto" w:fill="auto"/>
          </w:tcPr>
          <w:p w14:paraId="0792ABB3" w14:textId="77777777" w:rsidR="007543BB" w:rsidRPr="0060716F" w:rsidRDefault="002D677C" w:rsidP="0060716F">
            <w:pPr>
              <w:keepNext/>
              <w:ind w:left="283"/>
            </w:pPr>
            <w:r w:rsidRPr="0060716F">
              <w:t>PE</w:t>
            </w:r>
          </w:p>
        </w:tc>
        <w:tc>
          <w:tcPr>
            <w:tcW w:w="1430" w:type="dxa"/>
            <w:shd w:val="clear" w:color="auto" w:fill="auto"/>
          </w:tcPr>
          <w:p w14:paraId="20D1B7F0" w14:textId="77777777" w:rsidR="007543BB" w:rsidRPr="0060716F" w:rsidRDefault="002D677C" w:rsidP="0060716F">
            <w:pPr>
              <w:keepNext/>
              <w:jc w:val="center"/>
            </w:pPr>
            <w:r w:rsidRPr="0060716F">
              <w:t>27 (1,0)</w:t>
            </w:r>
          </w:p>
        </w:tc>
        <w:tc>
          <w:tcPr>
            <w:tcW w:w="2397" w:type="dxa"/>
            <w:shd w:val="clear" w:color="auto" w:fill="auto"/>
          </w:tcPr>
          <w:p w14:paraId="288A37B9" w14:textId="77777777" w:rsidR="007543BB" w:rsidRPr="0060716F" w:rsidRDefault="002D677C" w:rsidP="0060716F">
            <w:pPr>
              <w:keepNext/>
              <w:jc w:val="center"/>
            </w:pPr>
            <w:r w:rsidRPr="0060716F">
              <w:t>23 (0,9)</w:t>
            </w:r>
          </w:p>
        </w:tc>
        <w:tc>
          <w:tcPr>
            <w:tcW w:w="2835" w:type="dxa"/>
            <w:shd w:val="clear" w:color="auto" w:fill="auto"/>
          </w:tcPr>
          <w:p w14:paraId="59887D43" w14:textId="77777777" w:rsidR="007543BB" w:rsidRPr="0060716F" w:rsidRDefault="007543BB" w:rsidP="0060716F">
            <w:pPr>
              <w:keepNext/>
              <w:jc w:val="center"/>
            </w:pPr>
          </w:p>
        </w:tc>
      </w:tr>
      <w:tr w:rsidR="007543BB" w14:paraId="07A684D3" w14:textId="77777777" w:rsidTr="0060716F">
        <w:trPr>
          <w:cantSplit/>
        </w:trPr>
        <w:tc>
          <w:tcPr>
            <w:tcW w:w="2405" w:type="dxa"/>
            <w:shd w:val="clear" w:color="auto" w:fill="auto"/>
          </w:tcPr>
          <w:p w14:paraId="2C4248CA" w14:textId="77777777" w:rsidR="007543BB" w:rsidRPr="0060716F" w:rsidRDefault="002D677C" w:rsidP="0060716F">
            <w:pPr>
              <w:ind w:left="283"/>
            </w:pPr>
            <w:r w:rsidRPr="0060716F">
              <w:t>VTE-vel összefüggő halálozás</w:t>
            </w:r>
          </w:p>
        </w:tc>
        <w:tc>
          <w:tcPr>
            <w:tcW w:w="1430" w:type="dxa"/>
            <w:shd w:val="clear" w:color="auto" w:fill="auto"/>
          </w:tcPr>
          <w:p w14:paraId="05EF346B" w14:textId="77777777" w:rsidR="007543BB" w:rsidRPr="0060716F" w:rsidRDefault="002D677C" w:rsidP="0060716F">
            <w:pPr>
              <w:jc w:val="center"/>
            </w:pPr>
            <w:r w:rsidRPr="0060716F">
              <w:t>12 (0,4)</w:t>
            </w:r>
          </w:p>
        </w:tc>
        <w:tc>
          <w:tcPr>
            <w:tcW w:w="2397" w:type="dxa"/>
            <w:shd w:val="clear" w:color="auto" w:fill="auto"/>
          </w:tcPr>
          <w:p w14:paraId="44BAA7D7" w14:textId="77777777" w:rsidR="007543BB" w:rsidRPr="0060716F" w:rsidRDefault="002D677C" w:rsidP="0060716F">
            <w:pPr>
              <w:jc w:val="center"/>
            </w:pPr>
            <w:r w:rsidRPr="0060716F">
              <w:t>15 (0,6)</w:t>
            </w:r>
          </w:p>
        </w:tc>
        <w:tc>
          <w:tcPr>
            <w:tcW w:w="2835" w:type="dxa"/>
            <w:shd w:val="clear" w:color="auto" w:fill="auto"/>
          </w:tcPr>
          <w:p w14:paraId="47C5BB12" w14:textId="77777777" w:rsidR="007543BB" w:rsidRPr="0060716F" w:rsidRDefault="007543BB" w:rsidP="0060716F">
            <w:pPr>
              <w:jc w:val="center"/>
            </w:pPr>
          </w:p>
        </w:tc>
      </w:tr>
      <w:tr w:rsidR="007543BB" w14:paraId="546017C2" w14:textId="77777777" w:rsidTr="0060716F">
        <w:trPr>
          <w:cantSplit/>
        </w:trPr>
        <w:tc>
          <w:tcPr>
            <w:tcW w:w="2405" w:type="dxa"/>
            <w:shd w:val="clear" w:color="auto" w:fill="auto"/>
          </w:tcPr>
          <w:p w14:paraId="1A42399E" w14:textId="77777777" w:rsidR="007543BB" w:rsidRPr="0060716F" w:rsidRDefault="002D677C" w:rsidP="0060716F">
            <w:r w:rsidRPr="0060716F">
              <w:t>VTE vagy összmortalitás</w:t>
            </w:r>
          </w:p>
        </w:tc>
        <w:tc>
          <w:tcPr>
            <w:tcW w:w="1430" w:type="dxa"/>
            <w:shd w:val="clear" w:color="auto" w:fill="auto"/>
          </w:tcPr>
          <w:p w14:paraId="79A92741" w14:textId="77777777" w:rsidR="007543BB" w:rsidRPr="0060716F" w:rsidRDefault="002D677C" w:rsidP="0060716F">
            <w:pPr>
              <w:jc w:val="center"/>
            </w:pPr>
            <w:r w:rsidRPr="0060716F">
              <w:t>84 (3,2)</w:t>
            </w:r>
          </w:p>
        </w:tc>
        <w:tc>
          <w:tcPr>
            <w:tcW w:w="2397" w:type="dxa"/>
            <w:shd w:val="clear" w:color="auto" w:fill="auto"/>
          </w:tcPr>
          <w:p w14:paraId="6953E60B" w14:textId="77777777" w:rsidR="007543BB" w:rsidRPr="0060716F" w:rsidRDefault="002D677C" w:rsidP="0060716F">
            <w:pPr>
              <w:jc w:val="center"/>
            </w:pPr>
            <w:r w:rsidRPr="0060716F">
              <w:t>104 (4,0)</w:t>
            </w:r>
          </w:p>
        </w:tc>
        <w:tc>
          <w:tcPr>
            <w:tcW w:w="2835" w:type="dxa"/>
            <w:shd w:val="clear" w:color="auto" w:fill="auto"/>
          </w:tcPr>
          <w:p w14:paraId="52AD1088" w14:textId="77777777" w:rsidR="007543BB" w:rsidRPr="0060716F" w:rsidRDefault="002D677C" w:rsidP="0060716F">
            <w:pPr>
              <w:jc w:val="center"/>
            </w:pPr>
            <w:r w:rsidRPr="0060716F">
              <w:t>0,82 (0,61; 1,08)</w:t>
            </w:r>
          </w:p>
        </w:tc>
      </w:tr>
      <w:tr w:rsidR="007543BB" w14:paraId="611047B4" w14:textId="77777777" w:rsidTr="0060716F">
        <w:trPr>
          <w:cantSplit/>
        </w:trPr>
        <w:tc>
          <w:tcPr>
            <w:tcW w:w="2405" w:type="dxa"/>
            <w:shd w:val="clear" w:color="auto" w:fill="auto"/>
          </w:tcPr>
          <w:p w14:paraId="057C4BF7" w14:textId="77777777" w:rsidR="007543BB" w:rsidRPr="0060716F" w:rsidRDefault="002D677C" w:rsidP="0060716F">
            <w:r w:rsidRPr="0060716F">
              <w:t>VTE vagy CV eredetű halálozás</w:t>
            </w:r>
          </w:p>
        </w:tc>
        <w:tc>
          <w:tcPr>
            <w:tcW w:w="1430" w:type="dxa"/>
            <w:shd w:val="clear" w:color="auto" w:fill="auto"/>
          </w:tcPr>
          <w:p w14:paraId="0C7AF815" w14:textId="77777777" w:rsidR="007543BB" w:rsidRPr="0060716F" w:rsidRDefault="002D677C" w:rsidP="0060716F">
            <w:pPr>
              <w:jc w:val="center"/>
            </w:pPr>
            <w:r w:rsidRPr="0060716F">
              <w:t>61 (2,3)</w:t>
            </w:r>
          </w:p>
        </w:tc>
        <w:tc>
          <w:tcPr>
            <w:tcW w:w="2397" w:type="dxa"/>
            <w:shd w:val="clear" w:color="auto" w:fill="auto"/>
          </w:tcPr>
          <w:p w14:paraId="648BFDB1" w14:textId="77777777" w:rsidR="007543BB" w:rsidRPr="0060716F" w:rsidRDefault="002D677C" w:rsidP="0060716F">
            <w:pPr>
              <w:jc w:val="center"/>
            </w:pPr>
            <w:r w:rsidRPr="0060716F">
              <w:t>77 (2,9)</w:t>
            </w:r>
          </w:p>
        </w:tc>
        <w:tc>
          <w:tcPr>
            <w:tcW w:w="2835" w:type="dxa"/>
            <w:shd w:val="clear" w:color="auto" w:fill="auto"/>
          </w:tcPr>
          <w:p w14:paraId="699054C0" w14:textId="77777777" w:rsidR="007543BB" w:rsidRPr="0060716F" w:rsidRDefault="002D677C" w:rsidP="0060716F">
            <w:pPr>
              <w:jc w:val="center"/>
            </w:pPr>
            <w:r w:rsidRPr="0060716F">
              <w:t>0,80 (0,57; 1,11)</w:t>
            </w:r>
          </w:p>
        </w:tc>
      </w:tr>
      <w:tr w:rsidR="007543BB" w14:paraId="6B9BC4C6" w14:textId="77777777" w:rsidTr="0060716F">
        <w:trPr>
          <w:cantSplit/>
        </w:trPr>
        <w:tc>
          <w:tcPr>
            <w:tcW w:w="2405" w:type="dxa"/>
            <w:shd w:val="clear" w:color="auto" w:fill="auto"/>
          </w:tcPr>
          <w:p w14:paraId="489BAB31" w14:textId="77777777" w:rsidR="007543BB" w:rsidRPr="0060716F" w:rsidRDefault="002D677C" w:rsidP="001C693A">
            <w:pPr>
              <w:keepNext/>
            </w:pPr>
            <w:r w:rsidRPr="0060716F">
              <w:t>VTE, VTE-vel összefüggő halálozás vagy nagyfokú vérzés</w:t>
            </w:r>
          </w:p>
        </w:tc>
        <w:tc>
          <w:tcPr>
            <w:tcW w:w="1430" w:type="dxa"/>
            <w:shd w:val="clear" w:color="auto" w:fill="auto"/>
          </w:tcPr>
          <w:p w14:paraId="170358BC" w14:textId="77777777" w:rsidR="007543BB" w:rsidRPr="0060716F" w:rsidRDefault="002D677C" w:rsidP="001C693A">
            <w:pPr>
              <w:keepNext/>
              <w:jc w:val="center"/>
            </w:pPr>
            <w:r w:rsidRPr="0060716F">
              <w:t>73 (2,8)</w:t>
            </w:r>
          </w:p>
        </w:tc>
        <w:tc>
          <w:tcPr>
            <w:tcW w:w="2397" w:type="dxa"/>
            <w:shd w:val="clear" w:color="auto" w:fill="auto"/>
          </w:tcPr>
          <w:p w14:paraId="766FE748" w14:textId="77777777" w:rsidR="007543BB" w:rsidRPr="0060716F" w:rsidRDefault="002D677C" w:rsidP="001C693A">
            <w:pPr>
              <w:keepNext/>
              <w:jc w:val="center"/>
            </w:pPr>
            <w:r w:rsidRPr="0060716F">
              <w:t>118 (4,5)</w:t>
            </w:r>
          </w:p>
        </w:tc>
        <w:tc>
          <w:tcPr>
            <w:tcW w:w="2835" w:type="dxa"/>
            <w:shd w:val="clear" w:color="auto" w:fill="auto"/>
          </w:tcPr>
          <w:p w14:paraId="3E089DD5" w14:textId="77777777" w:rsidR="007543BB" w:rsidRPr="0060716F" w:rsidRDefault="002D677C" w:rsidP="001C693A">
            <w:pPr>
              <w:keepNext/>
              <w:jc w:val="center"/>
            </w:pPr>
            <w:r w:rsidRPr="0060716F">
              <w:t>0,62 (0,47; 0,83)</w:t>
            </w:r>
          </w:p>
        </w:tc>
      </w:tr>
    </w:tbl>
    <w:p w14:paraId="51D8DC4F" w14:textId="3DA409A2" w:rsidR="007543BB" w:rsidRPr="0060716F" w:rsidRDefault="002D677C" w:rsidP="0060716F">
      <w:pPr>
        <w:rPr>
          <w:sz w:val="20"/>
          <w:szCs w:val="20"/>
        </w:rPr>
      </w:pPr>
      <w:r w:rsidRPr="0060716F">
        <w:rPr>
          <w:sz w:val="20"/>
          <w:szCs w:val="20"/>
        </w:rPr>
        <w:t>* Non-inferior az enoxaparin/warfarin kezeléshez képest (p-érték</w:t>
      </w:r>
      <w:r w:rsidR="00C24AD4">
        <w:rPr>
          <w:sz w:val="20"/>
          <w:szCs w:val="20"/>
        </w:rPr>
        <w:t> </w:t>
      </w:r>
      <w:r w:rsidRPr="0060716F">
        <w:rPr>
          <w:sz w:val="20"/>
          <w:szCs w:val="20"/>
        </w:rPr>
        <w:t>&lt;0,0001)</w:t>
      </w:r>
    </w:p>
    <w:p w14:paraId="5AEF25DA" w14:textId="77777777" w:rsidR="0060716F" w:rsidRDefault="0060716F" w:rsidP="0060716F"/>
    <w:p w14:paraId="0788B09F" w14:textId="063FD801" w:rsidR="007543BB" w:rsidRDefault="002D677C" w:rsidP="0060716F">
      <w:r w:rsidRPr="0060716F">
        <w:t>Az apixabánnak a VTE kezdeti kezelésében mutatott hatásossága egybehangzó volt a PE [relatív kockázat</w:t>
      </w:r>
      <w:r w:rsidR="00C24AD4">
        <w:t> </w:t>
      </w:r>
      <w:r w:rsidRPr="0060716F">
        <w:t>0,9; 95%-os CI</w:t>
      </w:r>
      <w:r w:rsidR="00C24AD4">
        <w:t> </w:t>
      </w:r>
      <w:r w:rsidRPr="0060716F">
        <w:t>(0,5;</w:t>
      </w:r>
      <w:r w:rsidR="00C24AD4">
        <w:t> </w:t>
      </w:r>
      <w:r w:rsidRPr="0060716F">
        <w:t>1,6)] vagy MVT [relatív kockázat</w:t>
      </w:r>
      <w:r w:rsidR="00C24AD4">
        <w:t> </w:t>
      </w:r>
      <w:r w:rsidRPr="0060716F">
        <w:t>0,8; 95%-os</w:t>
      </w:r>
      <w:r w:rsidR="00C24AD4">
        <w:t> </w:t>
      </w:r>
      <w:r w:rsidRPr="0060716F">
        <w:t>CI</w:t>
      </w:r>
      <w:r w:rsidR="00C24AD4">
        <w:t> </w:t>
      </w:r>
      <w:r w:rsidRPr="0060716F">
        <w:t>(0,5;</w:t>
      </w:r>
      <w:r w:rsidR="00C24AD4">
        <w:t> </w:t>
      </w:r>
      <w:r w:rsidRPr="0060716F">
        <w:t xml:space="preserve">1,3)] miatt kezelt betegeknél. Az egyes alcsoportokban mutatott hatásossága </w:t>
      </w:r>
      <w:r w:rsidR="0055342D">
        <w:t>–</w:t>
      </w:r>
      <w:r w:rsidRPr="0060716F">
        <w:t xml:space="preserve"> így az életkor, a nem, a testtömegindex (BMI), a vesefunkció, a kezelt (index) PE kiterjedése, a mélyvénás thrombosist okozó thrombus lokalizációja vagy a korábbi parenterális heparinkezelés szerint </w:t>
      </w:r>
      <w:r w:rsidR="0055342D">
        <w:t>–</w:t>
      </w:r>
      <w:r w:rsidRPr="0060716F">
        <w:t xml:space="preserve"> általában konzekvens volt.</w:t>
      </w:r>
    </w:p>
    <w:p w14:paraId="4C05C1F5" w14:textId="77777777" w:rsidR="0060716F" w:rsidRPr="0060716F" w:rsidRDefault="0060716F" w:rsidP="0060716F"/>
    <w:p w14:paraId="21EC8926" w14:textId="3CF93FA3" w:rsidR="007543BB" w:rsidRDefault="002D677C" w:rsidP="0060716F">
      <w:r w:rsidRPr="0060716F">
        <w:t>Az elsődleges biztonságossági végpont a nagyfokú vérzés volt. A vizsgálatban az apixabán statisztikailag jobbnak bizonyult az elsődleges biztonságossági végpontban, mint az enoxaparin/warfarin [relatív kockázat</w:t>
      </w:r>
      <w:r w:rsidR="00C24AD4">
        <w:t> </w:t>
      </w:r>
      <w:r w:rsidRPr="0060716F">
        <w:t xml:space="preserve">0,31; 95%-os </w:t>
      </w:r>
      <w:r w:rsidR="00C24AD4">
        <w:t>CI </w:t>
      </w:r>
      <w:r w:rsidRPr="0060716F">
        <w:t>(0,17;</w:t>
      </w:r>
      <w:r w:rsidR="00C24AD4">
        <w:t> </w:t>
      </w:r>
      <w:r w:rsidRPr="0060716F">
        <w:t>0,55), p-érték</w:t>
      </w:r>
      <w:r w:rsidR="00C24AD4">
        <w:t> </w:t>
      </w:r>
      <w:r w:rsidRPr="0060716F">
        <w:t xml:space="preserve">&lt;0,0001] (lásd </w:t>
      </w:r>
      <w:r w:rsidR="001A5836">
        <w:t>9</w:t>
      </w:r>
      <w:r w:rsidRPr="0060716F">
        <w:t>.</w:t>
      </w:r>
      <w:r w:rsidR="00C24AD4">
        <w:t> </w:t>
      </w:r>
      <w:r w:rsidRPr="0060716F">
        <w:t>táblázat).</w:t>
      </w:r>
    </w:p>
    <w:p w14:paraId="47A3FCBA" w14:textId="77777777" w:rsidR="0060716F" w:rsidRPr="0060716F" w:rsidRDefault="0060716F" w:rsidP="0060716F"/>
    <w:p w14:paraId="0A5631ED" w14:textId="410B1B4B" w:rsidR="007543BB" w:rsidRPr="0060716F" w:rsidRDefault="001A5836" w:rsidP="0060716F">
      <w:pPr>
        <w:keepNext/>
        <w:rPr>
          <w:b/>
          <w:bCs/>
        </w:rPr>
      </w:pPr>
      <w:r>
        <w:rPr>
          <w:b/>
          <w:bCs/>
        </w:rPr>
        <w:t>9</w:t>
      </w:r>
      <w:r w:rsidR="002D677C" w:rsidRPr="0060716F">
        <w:rPr>
          <w:b/>
          <w:bCs/>
        </w:rPr>
        <w:t>.</w:t>
      </w:r>
      <w:r w:rsidR="00C24AD4">
        <w:rPr>
          <w:b/>
          <w:bCs/>
        </w:rPr>
        <w:t> </w:t>
      </w:r>
      <w:r w:rsidR="002D677C" w:rsidRPr="0060716F">
        <w:rPr>
          <w:b/>
          <w:bCs/>
        </w:rPr>
        <w:t>táblázat: Az AMPLIFY vizsgálat vérzési eredményei</w:t>
      </w:r>
    </w:p>
    <w:tbl>
      <w:tblPr>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194"/>
        <w:gridCol w:w="2189"/>
        <w:gridCol w:w="2189"/>
        <w:gridCol w:w="2198"/>
      </w:tblGrid>
      <w:tr w:rsidR="007543BB" w:rsidRPr="0060716F" w14:paraId="13E261DD" w14:textId="77777777" w:rsidTr="001C693A">
        <w:trPr>
          <w:cantSplit/>
          <w:tblHeader/>
        </w:trPr>
        <w:tc>
          <w:tcPr>
            <w:tcW w:w="2194" w:type="dxa"/>
            <w:shd w:val="clear" w:color="auto" w:fill="auto"/>
          </w:tcPr>
          <w:p w14:paraId="27C610A3" w14:textId="77777777" w:rsidR="007543BB" w:rsidRPr="0060716F" w:rsidRDefault="007543BB" w:rsidP="0060716F">
            <w:pPr>
              <w:rPr>
                <w:b/>
                <w:bCs/>
              </w:rPr>
            </w:pPr>
          </w:p>
        </w:tc>
        <w:tc>
          <w:tcPr>
            <w:tcW w:w="2189" w:type="dxa"/>
            <w:shd w:val="clear" w:color="auto" w:fill="auto"/>
          </w:tcPr>
          <w:p w14:paraId="40269CFE" w14:textId="77777777" w:rsidR="0060716F" w:rsidRDefault="002D677C" w:rsidP="0060716F">
            <w:pPr>
              <w:jc w:val="center"/>
              <w:rPr>
                <w:b/>
                <w:bCs/>
              </w:rPr>
            </w:pPr>
            <w:r w:rsidRPr="0060716F">
              <w:rPr>
                <w:b/>
                <w:bCs/>
              </w:rPr>
              <w:t xml:space="preserve">Apixabán </w:t>
            </w:r>
          </w:p>
          <w:p w14:paraId="4E0AF0BE" w14:textId="2F5166A2" w:rsidR="0060716F" w:rsidRDefault="002D677C" w:rsidP="0060716F">
            <w:pPr>
              <w:jc w:val="center"/>
              <w:rPr>
                <w:b/>
                <w:bCs/>
              </w:rPr>
            </w:pPr>
            <w:r w:rsidRPr="0060716F">
              <w:rPr>
                <w:b/>
                <w:bCs/>
              </w:rPr>
              <w:t xml:space="preserve">N=2676 </w:t>
            </w:r>
          </w:p>
          <w:p w14:paraId="74791840" w14:textId="2461912B" w:rsidR="007543BB" w:rsidRPr="0060716F" w:rsidRDefault="002D677C" w:rsidP="0060716F">
            <w:pPr>
              <w:jc w:val="center"/>
              <w:rPr>
                <w:b/>
                <w:bCs/>
              </w:rPr>
            </w:pPr>
            <w:r w:rsidRPr="0060716F">
              <w:rPr>
                <w:b/>
                <w:bCs/>
              </w:rPr>
              <w:t>n (%)</w:t>
            </w:r>
          </w:p>
        </w:tc>
        <w:tc>
          <w:tcPr>
            <w:tcW w:w="2189" w:type="dxa"/>
            <w:shd w:val="clear" w:color="auto" w:fill="auto"/>
          </w:tcPr>
          <w:p w14:paraId="059624CA" w14:textId="77777777" w:rsidR="0060716F" w:rsidRDefault="002D677C" w:rsidP="0060716F">
            <w:pPr>
              <w:jc w:val="center"/>
              <w:rPr>
                <w:b/>
                <w:bCs/>
              </w:rPr>
            </w:pPr>
            <w:r w:rsidRPr="0060716F">
              <w:rPr>
                <w:b/>
                <w:bCs/>
              </w:rPr>
              <w:t xml:space="preserve">Enoxaparin/ Warfarin </w:t>
            </w:r>
          </w:p>
          <w:p w14:paraId="7049FA06" w14:textId="50CF4E2D" w:rsidR="0060716F" w:rsidRDefault="002D677C" w:rsidP="0060716F">
            <w:pPr>
              <w:jc w:val="center"/>
              <w:rPr>
                <w:b/>
                <w:bCs/>
              </w:rPr>
            </w:pPr>
            <w:r w:rsidRPr="0060716F">
              <w:rPr>
                <w:b/>
                <w:bCs/>
              </w:rPr>
              <w:t xml:space="preserve">N=2689 </w:t>
            </w:r>
          </w:p>
          <w:p w14:paraId="64A443B0" w14:textId="6C0E0104" w:rsidR="007543BB" w:rsidRPr="0060716F" w:rsidRDefault="002D677C" w:rsidP="0060716F">
            <w:pPr>
              <w:jc w:val="center"/>
              <w:rPr>
                <w:b/>
                <w:bCs/>
              </w:rPr>
            </w:pPr>
            <w:r w:rsidRPr="0060716F">
              <w:rPr>
                <w:b/>
                <w:bCs/>
              </w:rPr>
              <w:t>n (%)</w:t>
            </w:r>
          </w:p>
        </w:tc>
        <w:tc>
          <w:tcPr>
            <w:tcW w:w="2198" w:type="dxa"/>
            <w:shd w:val="clear" w:color="auto" w:fill="auto"/>
          </w:tcPr>
          <w:p w14:paraId="4CB9DBEF" w14:textId="77777777" w:rsidR="0060716F" w:rsidRDefault="002D677C" w:rsidP="0060716F">
            <w:pPr>
              <w:jc w:val="center"/>
              <w:rPr>
                <w:b/>
                <w:bCs/>
              </w:rPr>
            </w:pPr>
            <w:r w:rsidRPr="0060716F">
              <w:rPr>
                <w:b/>
                <w:bCs/>
              </w:rPr>
              <w:t xml:space="preserve">Relatív kockázat </w:t>
            </w:r>
          </w:p>
          <w:p w14:paraId="0CC59B45" w14:textId="6109B6E2" w:rsidR="007543BB" w:rsidRPr="0060716F" w:rsidRDefault="002D677C" w:rsidP="0060716F">
            <w:pPr>
              <w:jc w:val="center"/>
              <w:rPr>
                <w:b/>
                <w:bCs/>
              </w:rPr>
            </w:pPr>
            <w:r w:rsidRPr="0060716F">
              <w:rPr>
                <w:b/>
                <w:bCs/>
              </w:rPr>
              <w:t>(95%-os CI)</w:t>
            </w:r>
          </w:p>
        </w:tc>
      </w:tr>
      <w:tr w:rsidR="007543BB" w:rsidRPr="0060716F" w14:paraId="0B7BF14F" w14:textId="77777777" w:rsidTr="0060716F">
        <w:trPr>
          <w:cantSplit/>
        </w:trPr>
        <w:tc>
          <w:tcPr>
            <w:tcW w:w="2194" w:type="dxa"/>
            <w:shd w:val="clear" w:color="auto" w:fill="auto"/>
          </w:tcPr>
          <w:p w14:paraId="6ED10CCF" w14:textId="77777777" w:rsidR="007543BB" w:rsidRPr="0060716F" w:rsidRDefault="002D677C" w:rsidP="0060716F">
            <w:r w:rsidRPr="0060716F">
              <w:t>Nagyfokú</w:t>
            </w:r>
          </w:p>
        </w:tc>
        <w:tc>
          <w:tcPr>
            <w:tcW w:w="2189" w:type="dxa"/>
            <w:shd w:val="clear" w:color="auto" w:fill="auto"/>
          </w:tcPr>
          <w:p w14:paraId="64E563DF" w14:textId="77777777" w:rsidR="007543BB" w:rsidRPr="0060716F" w:rsidRDefault="002D677C" w:rsidP="0060716F">
            <w:pPr>
              <w:jc w:val="center"/>
            </w:pPr>
            <w:r w:rsidRPr="0060716F">
              <w:t>15 (0,6)</w:t>
            </w:r>
          </w:p>
        </w:tc>
        <w:tc>
          <w:tcPr>
            <w:tcW w:w="2189" w:type="dxa"/>
            <w:shd w:val="clear" w:color="auto" w:fill="auto"/>
          </w:tcPr>
          <w:p w14:paraId="4F3559D2" w14:textId="77777777" w:rsidR="007543BB" w:rsidRPr="0060716F" w:rsidRDefault="002D677C" w:rsidP="0060716F">
            <w:pPr>
              <w:jc w:val="center"/>
            </w:pPr>
            <w:r w:rsidRPr="0060716F">
              <w:t>49 (1,8)</w:t>
            </w:r>
          </w:p>
        </w:tc>
        <w:tc>
          <w:tcPr>
            <w:tcW w:w="2198" w:type="dxa"/>
            <w:shd w:val="clear" w:color="auto" w:fill="auto"/>
          </w:tcPr>
          <w:p w14:paraId="4CC3B823" w14:textId="77777777" w:rsidR="007543BB" w:rsidRPr="0060716F" w:rsidRDefault="002D677C" w:rsidP="0060716F">
            <w:pPr>
              <w:jc w:val="center"/>
            </w:pPr>
            <w:r w:rsidRPr="0060716F">
              <w:t>0,31 (0,17; 0,55)</w:t>
            </w:r>
          </w:p>
        </w:tc>
      </w:tr>
      <w:tr w:rsidR="007543BB" w:rsidRPr="0060716F" w14:paraId="66448D9A" w14:textId="77777777" w:rsidTr="0060716F">
        <w:trPr>
          <w:cantSplit/>
        </w:trPr>
        <w:tc>
          <w:tcPr>
            <w:tcW w:w="2194" w:type="dxa"/>
            <w:shd w:val="clear" w:color="auto" w:fill="auto"/>
          </w:tcPr>
          <w:p w14:paraId="2CE507F7" w14:textId="77777777" w:rsidR="007543BB" w:rsidRPr="0060716F" w:rsidRDefault="002D677C" w:rsidP="0060716F">
            <w:r w:rsidRPr="0060716F">
              <w:t>Nagyfokú + CRNM</w:t>
            </w:r>
          </w:p>
        </w:tc>
        <w:tc>
          <w:tcPr>
            <w:tcW w:w="2189" w:type="dxa"/>
            <w:shd w:val="clear" w:color="auto" w:fill="auto"/>
          </w:tcPr>
          <w:p w14:paraId="696F6545" w14:textId="77777777" w:rsidR="007543BB" w:rsidRPr="0060716F" w:rsidRDefault="002D677C" w:rsidP="0060716F">
            <w:pPr>
              <w:jc w:val="center"/>
            </w:pPr>
            <w:r w:rsidRPr="0060716F">
              <w:t>115 (4,3)</w:t>
            </w:r>
          </w:p>
        </w:tc>
        <w:tc>
          <w:tcPr>
            <w:tcW w:w="2189" w:type="dxa"/>
            <w:shd w:val="clear" w:color="auto" w:fill="auto"/>
          </w:tcPr>
          <w:p w14:paraId="718D0066" w14:textId="77777777" w:rsidR="007543BB" w:rsidRPr="0060716F" w:rsidRDefault="002D677C" w:rsidP="0060716F">
            <w:pPr>
              <w:jc w:val="center"/>
            </w:pPr>
            <w:r w:rsidRPr="0060716F">
              <w:t>261 (9,7)</w:t>
            </w:r>
          </w:p>
        </w:tc>
        <w:tc>
          <w:tcPr>
            <w:tcW w:w="2198" w:type="dxa"/>
            <w:shd w:val="clear" w:color="auto" w:fill="auto"/>
          </w:tcPr>
          <w:p w14:paraId="49553E51" w14:textId="77777777" w:rsidR="007543BB" w:rsidRPr="0060716F" w:rsidRDefault="002D677C" w:rsidP="0060716F">
            <w:pPr>
              <w:jc w:val="center"/>
            </w:pPr>
            <w:r w:rsidRPr="0060716F">
              <w:t>0,44 (0,36; 0,55)</w:t>
            </w:r>
          </w:p>
        </w:tc>
      </w:tr>
      <w:tr w:rsidR="007543BB" w:rsidRPr="0060716F" w14:paraId="4CD0C5CF" w14:textId="77777777" w:rsidTr="0060716F">
        <w:trPr>
          <w:cantSplit/>
        </w:trPr>
        <w:tc>
          <w:tcPr>
            <w:tcW w:w="2194" w:type="dxa"/>
            <w:shd w:val="clear" w:color="auto" w:fill="auto"/>
          </w:tcPr>
          <w:p w14:paraId="6EF94787" w14:textId="77777777" w:rsidR="007543BB" w:rsidRPr="0060716F" w:rsidRDefault="002D677C" w:rsidP="0060716F">
            <w:r w:rsidRPr="0060716F">
              <w:t>Kisfokú</w:t>
            </w:r>
          </w:p>
        </w:tc>
        <w:tc>
          <w:tcPr>
            <w:tcW w:w="2189" w:type="dxa"/>
            <w:shd w:val="clear" w:color="auto" w:fill="auto"/>
          </w:tcPr>
          <w:p w14:paraId="6C39E62C" w14:textId="77777777" w:rsidR="007543BB" w:rsidRPr="0060716F" w:rsidRDefault="002D677C" w:rsidP="0060716F">
            <w:pPr>
              <w:jc w:val="center"/>
            </w:pPr>
            <w:r w:rsidRPr="0060716F">
              <w:t>313 (11,7)</w:t>
            </w:r>
          </w:p>
        </w:tc>
        <w:tc>
          <w:tcPr>
            <w:tcW w:w="2189" w:type="dxa"/>
            <w:shd w:val="clear" w:color="auto" w:fill="auto"/>
          </w:tcPr>
          <w:p w14:paraId="044027FD" w14:textId="77777777" w:rsidR="007543BB" w:rsidRPr="0060716F" w:rsidRDefault="002D677C" w:rsidP="0060716F">
            <w:pPr>
              <w:jc w:val="center"/>
            </w:pPr>
            <w:r w:rsidRPr="0060716F">
              <w:t>505 (18,8)</w:t>
            </w:r>
          </w:p>
        </w:tc>
        <w:tc>
          <w:tcPr>
            <w:tcW w:w="2198" w:type="dxa"/>
            <w:shd w:val="clear" w:color="auto" w:fill="auto"/>
          </w:tcPr>
          <w:p w14:paraId="2C4ACE15" w14:textId="77777777" w:rsidR="007543BB" w:rsidRPr="0060716F" w:rsidRDefault="002D677C" w:rsidP="0060716F">
            <w:pPr>
              <w:jc w:val="center"/>
            </w:pPr>
            <w:r w:rsidRPr="0060716F">
              <w:t>0,62 (0,54; 0,70)</w:t>
            </w:r>
          </w:p>
        </w:tc>
      </w:tr>
      <w:tr w:rsidR="007543BB" w:rsidRPr="0060716F" w14:paraId="4DB0FCD2" w14:textId="77777777" w:rsidTr="0060716F">
        <w:trPr>
          <w:cantSplit/>
        </w:trPr>
        <w:tc>
          <w:tcPr>
            <w:tcW w:w="2194" w:type="dxa"/>
            <w:shd w:val="clear" w:color="auto" w:fill="auto"/>
          </w:tcPr>
          <w:p w14:paraId="0041694D" w14:textId="77777777" w:rsidR="007543BB" w:rsidRPr="0060716F" w:rsidRDefault="002D677C" w:rsidP="0060716F">
            <w:r w:rsidRPr="0060716F">
              <w:t>Összes</w:t>
            </w:r>
          </w:p>
        </w:tc>
        <w:tc>
          <w:tcPr>
            <w:tcW w:w="2189" w:type="dxa"/>
            <w:shd w:val="clear" w:color="auto" w:fill="auto"/>
          </w:tcPr>
          <w:p w14:paraId="68714CF1" w14:textId="77777777" w:rsidR="007543BB" w:rsidRPr="0060716F" w:rsidRDefault="002D677C" w:rsidP="0060716F">
            <w:pPr>
              <w:jc w:val="center"/>
            </w:pPr>
            <w:r w:rsidRPr="0060716F">
              <w:t>402 (15,0)</w:t>
            </w:r>
          </w:p>
        </w:tc>
        <w:tc>
          <w:tcPr>
            <w:tcW w:w="2189" w:type="dxa"/>
            <w:shd w:val="clear" w:color="auto" w:fill="auto"/>
          </w:tcPr>
          <w:p w14:paraId="5DA1AC91" w14:textId="77777777" w:rsidR="007543BB" w:rsidRPr="0060716F" w:rsidRDefault="002D677C" w:rsidP="0060716F">
            <w:pPr>
              <w:jc w:val="center"/>
            </w:pPr>
            <w:r w:rsidRPr="0060716F">
              <w:t>676 (25,1)</w:t>
            </w:r>
          </w:p>
        </w:tc>
        <w:tc>
          <w:tcPr>
            <w:tcW w:w="2198" w:type="dxa"/>
            <w:shd w:val="clear" w:color="auto" w:fill="auto"/>
          </w:tcPr>
          <w:p w14:paraId="1E6617EF" w14:textId="77777777" w:rsidR="007543BB" w:rsidRPr="0060716F" w:rsidRDefault="002D677C" w:rsidP="0060716F">
            <w:pPr>
              <w:jc w:val="center"/>
            </w:pPr>
            <w:r w:rsidRPr="0060716F">
              <w:t>0,59 (0,53; 0,66)</w:t>
            </w:r>
          </w:p>
        </w:tc>
      </w:tr>
    </w:tbl>
    <w:p w14:paraId="19DFEBB1" w14:textId="77777777" w:rsidR="007543BB" w:rsidRPr="0060716F" w:rsidRDefault="007543BB" w:rsidP="0060716F"/>
    <w:p w14:paraId="3E61B241" w14:textId="09986A92" w:rsidR="007543BB" w:rsidRDefault="002D677C" w:rsidP="0060716F">
      <w:r w:rsidRPr="0060716F">
        <w:t>A bármilyen anatómiai lokalizációjú, igazolt nagyfokú vérzés és a klinikailag jelentős, de nem nagyfokú (CRNM) vérzés általában alacsonyabb volt az apixabán-csoportban, mint az enoxaparin/warfarin-csoportban. Igazolt, ISTH szerinti nagyfokú gastrointestinalis vérzés az apixabánnal kezelt betegek közül 6-nál</w:t>
      </w:r>
      <w:r w:rsidR="00C24AD4">
        <w:t> </w:t>
      </w:r>
      <w:r w:rsidRPr="0060716F">
        <w:t>(0,2%), az enoxaparinnal/warfarinnal kezelt betegek közül 17-nél</w:t>
      </w:r>
      <w:r w:rsidR="00C24AD4">
        <w:t> </w:t>
      </w:r>
      <w:r w:rsidRPr="0060716F">
        <w:t>(0,6%) fordult elő.</w:t>
      </w:r>
    </w:p>
    <w:p w14:paraId="10808B5A" w14:textId="77777777" w:rsidR="0060716F" w:rsidRPr="0060716F" w:rsidRDefault="0060716F" w:rsidP="0060716F"/>
    <w:p w14:paraId="45002FFE" w14:textId="77777777" w:rsidR="007543BB" w:rsidRPr="0060716F" w:rsidRDefault="002D677C" w:rsidP="0060716F">
      <w:pPr>
        <w:keepNext/>
        <w:rPr>
          <w:i/>
          <w:iCs/>
          <w:u w:val="single"/>
        </w:rPr>
      </w:pPr>
      <w:r w:rsidRPr="0060716F">
        <w:rPr>
          <w:i/>
          <w:iCs/>
          <w:u w:val="single"/>
        </w:rPr>
        <w:t>AMPLIFY-EXT vizsgálat</w:t>
      </w:r>
    </w:p>
    <w:p w14:paraId="333E0EF2" w14:textId="4301E1E8" w:rsidR="007543BB" w:rsidRDefault="002D677C" w:rsidP="0060716F">
      <w:r w:rsidRPr="0060716F">
        <w:t>Az AMPLIFY-EXT vizsgálatba összesen 2482</w:t>
      </w:r>
      <w:r w:rsidR="00C24AD4">
        <w:t> </w:t>
      </w:r>
      <w:r w:rsidRPr="0060716F">
        <w:t>felnőtt beteget randomizáltak 12</w:t>
      </w:r>
      <w:r w:rsidR="00C24AD4">
        <w:t> </w:t>
      </w:r>
      <w:r w:rsidRPr="0060716F">
        <w:t>hónapig tartó, naponta kétszer 2,5</w:t>
      </w:r>
      <w:r w:rsidR="00C24AD4">
        <w:t> </w:t>
      </w:r>
      <w:r w:rsidRPr="0060716F">
        <w:t>mg per os apixabán kezelésre, naponta kétszer 5</w:t>
      </w:r>
      <w:r w:rsidR="00C24AD4">
        <w:t> </w:t>
      </w:r>
      <w:r w:rsidRPr="0060716F">
        <w:t>mg per os apixabán kezelésre vagy placebóra, a 6-12</w:t>
      </w:r>
      <w:r w:rsidR="00C24AD4">
        <w:t> </w:t>
      </w:r>
      <w:r w:rsidRPr="0060716F">
        <w:t>hónapig tartó, kezdeti antikoaguláns-kezelés befejezése után. Közülük 836</w:t>
      </w:r>
      <w:r w:rsidR="00C24AD4">
        <w:t> </w:t>
      </w:r>
      <w:r w:rsidRPr="0060716F">
        <w:t>beteg (33,7%) vett részt az AMPLIFY vizsgálatban az AMPLIFY-EXT vizsgálatba történő beválogatás előtt. Az átlagéletkor 56,7</w:t>
      </w:r>
      <w:r w:rsidR="00C24AD4">
        <w:t> </w:t>
      </w:r>
      <w:r w:rsidRPr="0060716F">
        <w:t>év volt, és a randomizált betegek 91,7%-ának volt ok nélküli VTE eseménye.</w:t>
      </w:r>
    </w:p>
    <w:p w14:paraId="6A033CF8" w14:textId="77777777" w:rsidR="0060716F" w:rsidRPr="0060716F" w:rsidRDefault="0060716F" w:rsidP="0060716F"/>
    <w:p w14:paraId="6ED0346D" w14:textId="696E9CB1" w:rsidR="007543BB" w:rsidRDefault="002D677C" w:rsidP="0060716F">
      <w:r w:rsidRPr="0060716F">
        <w:t>A vizsgálatban az apixabán mindkét dózisa statisztikailag jobb volt a placebónál az elsődleges végpontban, melynek összetevői: az ismételt szimptomatikus VTE (nem halálos MVT vagy nem halálos PE) vagy az összmortalitás (lásd 1</w:t>
      </w:r>
      <w:r w:rsidR="007E62BE">
        <w:t>0</w:t>
      </w:r>
      <w:r w:rsidRPr="0060716F">
        <w:t>.</w:t>
      </w:r>
      <w:r w:rsidR="007E62BE">
        <w:t> </w:t>
      </w:r>
      <w:r w:rsidRPr="0060716F">
        <w:t>táblázat).</w:t>
      </w:r>
    </w:p>
    <w:p w14:paraId="507DC923" w14:textId="77777777" w:rsidR="0060716F" w:rsidRPr="0060716F" w:rsidRDefault="0060716F" w:rsidP="0060716F"/>
    <w:p w14:paraId="4478239F" w14:textId="6222E63C" w:rsidR="007543BB" w:rsidRPr="0060716F" w:rsidRDefault="002D677C" w:rsidP="0060716F">
      <w:pPr>
        <w:keepNext/>
        <w:rPr>
          <w:b/>
          <w:bCs/>
        </w:rPr>
      </w:pPr>
      <w:r w:rsidRPr="0060716F">
        <w:rPr>
          <w:b/>
          <w:bCs/>
        </w:rPr>
        <w:t>1</w:t>
      </w:r>
      <w:r w:rsidR="001A5836">
        <w:rPr>
          <w:b/>
          <w:bCs/>
        </w:rPr>
        <w:t>0</w:t>
      </w:r>
      <w:r w:rsidRPr="0060716F">
        <w:rPr>
          <w:b/>
          <w:bCs/>
        </w:rPr>
        <w:t>.</w:t>
      </w:r>
      <w:r w:rsidR="007E62BE">
        <w:rPr>
          <w:b/>
          <w:bCs/>
        </w:rPr>
        <w:t> </w:t>
      </w:r>
      <w:r w:rsidRPr="0060716F">
        <w:rPr>
          <w:b/>
          <w:bCs/>
        </w:rPr>
        <w:t>táblázat: Az AMPLIFY EXT vizsgálat hatásossági eredményei</w:t>
      </w:r>
    </w:p>
    <w:tbl>
      <w:tblPr>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838"/>
        <w:gridCol w:w="1134"/>
        <w:gridCol w:w="1137"/>
        <w:gridCol w:w="1368"/>
        <w:gridCol w:w="1889"/>
        <w:gridCol w:w="1701"/>
      </w:tblGrid>
      <w:tr w:rsidR="007543BB" w14:paraId="54B99C36" w14:textId="77777777" w:rsidTr="0060716F">
        <w:trPr>
          <w:cantSplit/>
          <w:tblHeader/>
        </w:trPr>
        <w:tc>
          <w:tcPr>
            <w:tcW w:w="1838" w:type="dxa"/>
            <w:shd w:val="clear" w:color="auto" w:fill="auto"/>
          </w:tcPr>
          <w:p w14:paraId="4FFB6580" w14:textId="77777777" w:rsidR="007543BB" w:rsidRPr="0060716F" w:rsidRDefault="007543BB" w:rsidP="001C693A">
            <w:pPr>
              <w:keepNext/>
            </w:pPr>
          </w:p>
        </w:tc>
        <w:tc>
          <w:tcPr>
            <w:tcW w:w="1134" w:type="dxa"/>
            <w:shd w:val="clear" w:color="auto" w:fill="auto"/>
          </w:tcPr>
          <w:p w14:paraId="7A71B810" w14:textId="77777777" w:rsidR="007543BB" w:rsidRPr="0060716F" w:rsidRDefault="002D677C" w:rsidP="001C693A">
            <w:pPr>
              <w:keepNext/>
              <w:jc w:val="center"/>
              <w:rPr>
                <w:b/>
                <w:bCs/>
              </w:rPr>
            </w:pPr>
            <w:r w:rsidRPr="0060716F">
              <w:rPr>
                <w:b/>
                <w:bCs/>
              </w:rPr>
              <w:t>Apixabán</w:t>
            </w:r>
          </w:p>
        </w:tc>
        <w:tc>
          <w:tcPr>
            <w:tcW w:w="1137" w:type="dxa"/>
            <w:shd w:val="clear" w:color="auto" w:fill="auto"/>
          </w:tcPr>
          <w:p w14:paraId="77AF3279" w14:textId="77777777" w:rsidR="007543BB" w:rsidRPr="0060716F" w:rsidRDefault="002D677C" w:rsidP="001C693A">
            <w:pPr>
              <w:keepNext/>
              <w:jc w:val="center"/>
              <w:rPr>
                <w:b/>
                <w:bCs/>
              </w:rPr>
            </w:pPr>
            <w:r w:rsidRPr="0060716F">
              <w:rPr>
                <w:b/>
                <w:bCs/>
              </w:rPr>
              <w:t>Apixabán</w:t>
            </w:r>
          </w:p>
        </w:tc>
        <w:tc>
          <w:tcPr>
            <w:tcW w:w="1368" w:type="dxa"/>
            <w:shd w:val="clear" w:color="auto" w:fill="auto"/>
          </w:tcPr>
          <w:p w14:paraId="1730451E" w14:textId="77777777" w:rsidR="007543BB" w:rsidRPr="0060716F" w:rsidRDefault="002D677C" w:rsidP="001C693A">
            <w:pPr>
              <w:keepNext/>
              <w:jc w:val="center"/>
              <w:rPr>
                <w:b/>
                <w:bCs/>
              </w:rPr>
            </w:pPr>
            <w:r w:rsidRPr="0060716F">
              <w:rPr>
                <w:b/>
                <w:bCs/>
              </w:rPr>
              <w:t>Placebo</w:t>
            </w:r>
          </w:p>
        </w:tc>
        <w:tc>
          <w:tcPr>
            <w:tcW w:w="3590" w:type="dxa"/>
            <w:gridSpan w:val="2"/>
            <w:shd w:val="clear" w:color="auto" w:fill="auto"/>
          </w:tcPr>
          <w:p w14:paraId="31D85ECD" w14:textId="77777777" w:rsidR="007543BB" w:rsidRPr="0060716F" w:rsidRDefault="002D677C" w:rsidP="001C693A">
            <w:pPr>
              <w:keepNext/>
              <w:jc w:val="center"/>
              <w:rPr>
                <w:b/>
                <w:bCs/>
              </w:rPr>
            </w:pPr>
            <w:r w:rsidRPr="0060716F">
              <w:rPr>
                <w:b/>
                <w:bCs/>
              </w:rPr>
              <w:t>Relatív kockázat (95%-os CI)</w:t>
            </w:r>
          </w:p>
        </w:tc>
      </w:tr>
      <w:tr w:rsidR="007543BB" w14:paraId="5B0FCE5E" w14:textId="77777777" w:rsidTr="0060716F">
        <w:trPr>
          <w:cantSplit/>
          <w:tblHeader/>
        </w:trPr>
        <w:tc>
          <w:tcPr>
            <w:tcW w:w="1838" w:type="dxa"/>
            <w:shd w:val="clear" w:color="auto" w:fill="auto"/>
          </w:tcPr>
          <w:p w14:paraId="6FAAB73B" w14:textId="77777777" w:rsidR="007543BB" w:rsidRPr="0060716F" w:rsidRDefault="007543BB" w:rsidP="001C693A">
            <w:pPr>
              <w:keepNext/>
            </w:pPr>
          </w:p>
        </w:tc>
        <w:tc>
          <w:tcPr>
            <w:tcW w:w="1134" w:type="dxa"/>
            <w:shd w:val="clear" w:color="auto" w:fill="auto"/>
            <w:vAlign w:val="bottom"/>
          </w:tcPr>
          <w:p w14:paraId="7FADC962" w14:textId="2AC91785" w:rsidR="0060716F" w:rsidRPr="0060716F" w:rsidRDefault="002D677C" w:rsidP="001C693A">
            <w:pPr>
              <w:keepNext/>
              <w:jc w:val="center"/>
              <w:rPr>
                <w:b/>
                <w:bCs/>
              </w:rPr>
            </w:pPr>
            <w:r w:rsidRPr="0060716F">
              <w:rPr>
                <w:b/>
                <w:bCs/>
              </w:rPr>
              <w:t>2,5</w:t>
            </w:r>
            <w:r w:rsidR="007E62BE">
              <w:rPr>
                <w:b/>
                <w:bCs/>
              </w:rPr>
              <w:t> </w:t>
            </w:r>
            <w:r w:rsidRPr="0060716F">
              <w:rPr>
                <w:b/>
                <w:bCs/>
              </w:rPr>
              <w:t>mg</w:t>
            </w:r>
          </w:p>
          <w:p w14:paraId="034436B1" w14:textId="0953152D" w:rsidR="007543BB" w:rsidRPr="0060716F" w:rsidRDefault="002D677C" w:rsidP="007E62BE">
            <w:pPr>
              <w:keepNext/>
              <w:jc w:val="center"/>
              <w:rPr>
                <w:b/>
                <w:bCs/>
              </w:rPr>
            </w:pPr>
            <w:r w:rsidRPr="0060716F">
              <w:rPr>
                <w:b/>
                <w:bCs/>
              </w:rPr>
              <w:t>(N=840)</w:t>
            </w:r>
          </w:p>
        </w:tc>
        <w:tc>
          <w:tcPr>
            <w:tcW w:w="1137" w:type="dxa"/>
            <w:shd w:val="clear" w:color="auto" w:fill="auto"/>
            <w:vAlign w:val="bottom"/>
          </w:tcPr>
          <w:p w14:paraId="10A7FBA4" w14:textId="5360033D" w:rsidR="0060716F" w:rsidRPr="0060716F" w:rsidRDefault="002D677C" w:rsidP="001C693A">
            <w:pPr>
              <w:keepNext/>
              <w:jc w:val="center"/>
              <w:rPr>
                <w:b/>
                <w:bCs/>
              </w:rPr>
            </w:pPr>
            <w:r w:rsidRPr="0060716F">
              <w:rPr>
                <w:b/>
                <w:bCs/>
              </w:rPr>
              <w:t>5,0</w:t>
            </w:r>
            <w:r w:rsidR="007E62BE">
              <w:rPr>
                <w:b/>
                <w:bCs/>
              </w:rPr>
              <w:t> </w:t>
            </w:r>
            <w:r w:rsidRPr="0060716F">
              <w:rPr>
                <w:b/>
                <w:bCs/>
              </w:rPr>
              <w:t>mg</w:t>
            </w:r>
          </w:p>
          <w:p w14:paraId="6AF2D946" w14:textId="4B601249" w:rsidR="007543BB" w:rsidRPr="0060716F" w:rsidRDefault="002D677C" w:rsidP="007E62BE">
            <w:pPr>
              <w:keepNext/>
              <w:jc w:val="center"/>
              <w:rPr>
                <w:b/>
                <w:bCs/>
              </w:rPr>
            </w:pPr>
            <w:r w:rsidRPr="0060716F">
              <w:rPr>
                <w:b/>
                <w:bCs/>
              </w:rPr>
              <w:t>(N=813)</w:t>
            </w:r>
          </w:p>
        </w:tc>
        <w:tc>
          <w:tcPr>
            <w:tcW w:w="1368" w:type="dxa"/>
            <w:shd w:val="clear" w:color="auto" w:fill="auto"/>
            <w:vAlign w:val="bottom"/>
          </w:tcPr>
          <w:p w14:paraId="01863C63" w14:textId="02879536" w:rsidR="007543BB" w:rsidRPr="0060716F" w:rsidRDefault="002D677C" w:rsidP="007E62BE">
            <w:pPr>
              <w:keepNext/>
              <w:jc w:val="center"/>
              <w:rPr>
                <w:b/>
                <w:bCs/>
              </w:rPr>
            </w:pPr>
            <w:r w:rsidRPr="0060716F">
              <w:rPr>
                <w:b/>
                <w:bCs/>
              </w:rPr>
              <w:t>(N=829)</w:t>
            </w:r>
          </w:p>
        </w:tc>
        <w:tc>
          <w:tcPr>
            <w:tcW w:w="1889" w:type="dxa"/>
            <w:shd w:val="clear" w:color="auto" w:fill="auto"/>
            <w:vAlign w:val="bottom"/>
          </w:tcPr>
          <w:p w14:paraId="15C74004" w14:textId="2673F9CF" w:rsidR="007543BB" w:rsidRPr="0060716F" w:rsidRDefault="002D677C" w:rsidP="007E62BE">
            <w:pPr>
              <w:keepNext/>
              <w:jc w:val="center"/>
              <w:rPr>
                <w:b/>
                <w:bCs/>
              </w:rPr>
            </w:pPr>
            <w:r w:rsidRPr="0060716F">
              <w:rPr>
                <w:b/>
                <w:bCs/>
              </w:rPr>
              <w:t>Apix 2,5</w:t>
            </w:r>
            <w:r w:rsidR="007E62BE">
              <w:rPr>
                <w:b/>
                <w:bCs/>
              </w:rPr>
              <w:t> </w:t>
            </w:r>
            <w:r w:rsidRPr="0060716F">
              <w:rPr>
                <w:b/>
                <w:bCs/>
              </w:rPr>
              <w:t>mg vs. placebo</w:t>
            </w:r>
          </w:p>
        </w:tc>
        <w:tc>
          <w:tcPr>
            <w:tcW w:w="1701" w:type="dxa"/>
            <w:shd w:val="clear" w:color="auto" w:fill="auto"/>
            <w:vAlign w:val="bottom"/>
          </w:tcPr>
          <w:p w14:paraId="17EF86B7" w14:textId="4A432EBA" w:rsidR="007543BB" w:rsidRPr="0060716F" w:rsidRDefault="002D677C" w:rsidP="007E62BE">
            <w:pPr>
              <w:keepNext/>
              <w:jc w:val="center"/>
              <w:rPr>
                <w:b/>
                <w:bCs/>
              </w:rPr>
            </w:pPr>
            <w:r w:rsidRPr="0060716F">
              <w:rPr>
                <w:b/>
                <w:bCs/>
              </w:rPr>
              <w:t>Apix 5,0</w:t>
            </w:r>
            <w:r w:rsidR="007E62BE">
              <w:rPr>
                <w:b/>
                <w:bCs/>
              </w:rPr>
              <w:t> </w:t>
            </w:r>
            <w:r w:rsidRPr="0060716F">
              <w:rPr>
                <w:b/>
                <w:bCs/>
              </w:rPr>
              <w:t>mg vs. placebo</w:t>
            </w:r>
          </w:p>
        </w:tc>
      </w:tr>
      <w:tr w:rsidR="007543BB" w14:paraId="444FD4B5" w14:textId="77777777" w:rsidTr="0060716F">
        <w:trPr>
          <w:cantSplit/>
          <w:tblHeader/>
        </w:trPr>
        <w:tc>
          <w:tcPr>
            <w:tcW w:w="1838" w:type="dxa"/>
            <w:shd w:val="clear" w:color="auto" w:fill="auto"/>
          </w:tcPr>
          <w:p w14:paraId="086CD0F8" w14:textId="77777777" w:rsidR="007543BB" w:rsidRPr="0060716F" w:rsidRDefault="007543BB" w:rsidP="001C693A">
            <w:pPr>
              <w:keepNext/>
            </w:pPr>
          </w:p>
        </w:tc>
        <w:tc>
          <w:tcPr>
            <w:tcW w:w="3639" w:type="dxa"/>
            <w:gridSpan w:val="3"/>
            <w:shd w:val="clear" w:color="auto" w:fill="auto"/>
          </w:tcPr>
          <w:p w14:paraId="51996999" w14:textId="77777777" w:rsidR="007543BB" w:rsidRPr="0060716F" w:rsidRDefault="002D677C" w:rsidP="001C693A">
            <w:pPr>
              <w:keepNext/>
              <w:jc w:val="center"/>
            </w:pPr>
            <w:r w:rsidRPr="0060716F">
              <w:t>n (%)</w:t>
            </w:r>
          </w:p>
        </w:tc>
        <w:tc>
          <w:tcPr>
            <w:tcW w:w="1889" w:type="dxa"/>
            <w:shd w:val="clear" w:color="auto" w:fill="auto"/>
          </w:tcPr>
          <w:p w14:paraId="0574F292" w14:textId="77777777" w:rsidR="007543BB" w:rsidRPr="0060716F" w:rsidRDefault="007543BB" w:rsidP="001C693A">
            <w:pPr>
              <w:keepNext/>
              <w:jc w:val="center"/>
            </w:pPr>
          </w:p>
        </w:tc>
        <w:tc>
          <w:tcPr>
            <w:tcW w:w="1701" w:type="dxa"/>
            <w:shd w:val="clear" w:color="auto" w:fill="auto"/>
          </w:tcPr>
          <w:p w14:paraId="728A724C" w14:textId="77777777" w:rsidR="007543BB" w:rsidRPr="0060716F" w:rsidRDefault="007543BB" w:rsidP="001C693A">
            <w:pPr>
              <w:keepNext/>
              <w:jc w:val="center"/>
            </w:pPr>
          </w:p>
        </w:tc>
      </w:tr>
      <w:tr w:rsidR="007543BB" w14:paraId="41B624B3" w14:textId="77777777" w:rsidTr="0060716F">
        <w:trPr>
          <w:cantSplit/>
        </w:trPr>
        <w:tc>
          <w:tcPr>
            <w:tcW w:w="1838" w:type="dxa"/>
            <w:shd w:val="clear" w:color="auto" w:fill="auto"/>
          </w:tcPr>
          <w:p w14:paraId="459FEA69" w14:textId="77777777" w:rsidR="007543BB" w:rsidRPr="0060716F" w:rsidRDefault="002D677C" w:rsidP="001C693A">
            <w:pPr>
              <w:keepNext/>
            </w:pPr>
            <w:r w:rsidRPr="0060716F">
              <w:t>Ismételt VTE vagy összmortalitás</w:t>
            </w:r>
          </w:p>
        </w:tc>
        <w:tc>
          <w:tcPr>
            <w:tcW w:w="1134" w:type="dxa"/>
            <w:shd w:val="clear" w:color="auto" w:fill="auto"/>
          </w:tcPr>
          <w:p w14:paraId="22F0A300" w14:textId="77777777" w:rsidR="007543BB" w:rsidRPr="0060716F" w:rsidRDefault="002D677C" w:rsidP="001C693A">
            <w:pPr>
              <w:keepNext/>
              <w:jc w:val="center"/>
            </w:pPr>
            <w:r w:rsidRPr="0060716F">
              <w:t>19 (2,3)</w:t>
            </w:r>
          </w:p>
        </w:tc>
        <w:tc>
          <w:tcPr>
            <w:tcW w:w="1137" w:type="dxa"/>
            <w:shd w:val="clear" w:color="auto" w:fill="auto"/>
          </w:tcPr>
          <w:p w14:paraId="04A9FD36" w14:textId="77777777" w:rsidR="007543BB" w:rsidRPr="0060716F" w:rsidRDefault="002D677C" w:rsidP="001C693A">
            <w:pPr>
              <w:keepNext/>
              <w:jc w:val="center"/>
            </w:pPr>
            <w:r w:rsidRPr="0060716F">
              <w:t>14 (1,7)</w:t>
            </w:r>
          </w:p>
        </w:tc>
        <w:tc>
          <w:tcPr>
            <w:tcW w:w="1368" w:type="dxa"/>
            <w:shd w:val="clear" w:color="auto" w:fill="auto"/>
          </w:tcPr>
          <w:p w14:paraId="0863BBAA" w14:textId="77777777" w:rsidR="007543BB" w:rsidRPr="0060716F" w:rsidRDefault="002D677C" w:rsidP="001C693A">
            <w:pPr>
              <w:keepNext/>
              <w:jc w:val="center"/>
            </w:pPr>
            <w:r w:rsidRPr="0060716F">
              <w:t>77 (9,3)</w:t>
            </w:r>
          </w:p>
        </w:tc>
        <w:tc>
          <w:tcPr>
            <w:tcW w:w="1889" w:type="dxa"/>
            <w:shd w:val="clear" w:color="auto" w:fill="auto"/>
          </w:tcPr>
          <w:p w14:paraId="75232153" w14:textId="1EE3B8CF" w:rsidR="007543BB" w:rsidRPr="0060716F" w:rsidRDefault="002D677C" w:rsidP="001C693A">
            <w:pPr>
              <w:keepNext/>
              <w:jc w:val="center"/>
            </w:pPr>
            <w:r w:rsidRPr="0060716F">
              <w:t xml:space="preserve">0,24 </w:t>
            </w:r>
            <w:r w:rsidR="0060716F">
              <w:br/>
            </w:r>
            <w:r w:rsidRPr="0060716F">
              <w:t>(0,15; 0,40)</w:t>
            </w:r>
            <w:r w:rsidRPr="0060716F">
              <w:rPr>
                <w:vertAlign w:val="superscript"/>
              </w:rPr>
              <w:t>¥</w:t>
            </w:r>
          </w:p>
        </w:tc>
        <w:tc>
          <w:tcPr>
            <w:tcW w:w="1701" w:type="dxa"/>
            <w:shd w:val="clear" w:color="auto" w:fill="auto"/>
          </w:tcPr>
          <w:p w14:paraId="5FC272AC" w14:textId="071DD792" w:rsidR="007543BB" w:rsidRPr="0060716F" w:rsidRDefault="002D677C" w:rsidP="001C693A">
            <w:pPr>
              <w:keepNext/>
              <w:jc w:val="center"/>
            </w:pPr>
            <w:r w:rsidRPr="0060716F">
              <w:t xml:space="preserve">0,19 </w:t>
            </w:r>
            <w:r w:rsidR="0060716F">
              <w:br/>
            </w:r>
            <w:r w:rsidRPr="0060716F">
              <w:t>(0,11; 0,33)</w:t>
            </w:r>
            <w:r w:rsidRPr="0060716F">
              <w:rPr>
                <w:vertAlign w:val="superscript"/>
              </w:rPr>
              <w:t>¥</w:t>
            </w:r>
          </w:p>
        </w:tc>
      </w:tr>
      <w:tr w:rsidR="007543BB" w14:paraId="151C6826" w14:textId="77777777" w:rsidTr="0060716F">
        <w:trPr>
          <w:cantSplit/>
        </w:trPr>
        <w:tc>
          <w:tcPr>
            <w:tcW w:w="1838" w:type="dxa"/>
            <w:shd w:val="clear" w:color="auto" w:fill="auto"/>
          </w:tcPr>
          <w:p w14:paraId="03AAB64E" w14:textId="77777777" w:rsidR="007543BB" w:rsidRPr="0060716F" w:rsidRDefault="002D677C" w:rsidP="001C693A">
            <w:pPr>
              <w:keepNext/>
              <w:ind w:left="283"/>
            </w:pPr>
            <w:r w:rsidRPr="0060716F">
              <w:t>MVT</w:t>
            </w:r>
            <w:r w:rsidRPr="0060716F">
              <w:rPr>
                <w:vertAlign w:val="superscript"/>
              </w:rPr>
              <w:t>*</w:t>
            </w:r>
          </w:p>
        </w:tc>
        <w:tc>
          <w:tcPr>
            <w:tcW w:w="1134" w:type="dxa"/>
            <w:shd w:val="clear" w:color="auto" w:fill="auto"/>
          </w:tcPr>
          <w:p w14:paraId="4720888E" w14:textId="77777777" w:rsidR="007543BB" w:rsidRPr="0060716F" w:rsidRDefault="002D677C" w:rsidP="001C693A">
            <w:pPr>
              <w:keepNext/>
              <w:jc w:val="center"/>
            </w:pPr>
            <w:r w:rsidRPr="0060716F">
              <w:t>6 (0,7)</w:t>
            </w:r>
          </w:p>
        </w:tc>
        <w:tc>
          <w:tcPr>
            <w:tcW w:w="1137" w:type="dxa"/>
            <w:shd w:val="clear" w:color="auto" w:fill="auto"/>
          </w:tcPr>
          <w:p w14:paraId="46238E98" w14:textId="77777777" w:rsidR="007543BB" w:rsidRPr="0060716F" w:rsidRDefault="002D677C" w:rsidP="001C693A">
            <w:pPr>
              <w:keepNext/>
              <w:jc w:val="center"/>
            </w:pPr>
            <w:r w:rsidRPr="0060716F">
              <w:t>7 (0,9)</w:t>
            </w:r>
          </w:p>
        </w:tc>
        <w:tc>
          <w:tcPr>
            <w:tcW w:w="1368" w:type="dxa"/>
            <w:shd w:val="clear" w:color="auto" w:fill="auto"/>
          </w:tcPr>
          <w:p w14:paraId="5D224358" w14:textId="77777777" w:rsidR="007543BB" w:rsidRPr="0060716F" w:rsidRDefault="002D677C" w:rsidP="001C693A">
            <w:pPr>
              <w:keepNext/>
              <w:jc w:val="center"/>
            </w:pPr>
            <w:r w:rsidRPr="0060716F">
              <w:t>53 (6,4)</w:t>
            </w:r>
          </w:p>
        </w:tc>
        <w:tc>
          <w:tcPr>
            <w:tcW w:w="1889" w:type="dxa"/>
            <w:shd w:val="clear" w:color="auto" w:fill="auto"/>
          </w:tcPr>
          <w:p w14:paraId="067E76EA" w14:textId="77777777" w:rsidR="007543BB" w:rsidRPr="0060716F" w:rsidRDefault="007543BB" w:rsidP="001C693A">
            <w:pPr>
              <w:keepNext/>
              <w:jc w:val="center"/>
            </w:pPr>
          </w:p>
        </w:tc>
        <w:tc>
          <w:tcPr>
            <w:tcW w:w="1701" w:type="dxa"/>
            <w:shd w:val="clear" w:color="auto" w:fill="auto"/>
          </w:tcPr>
          <w:p w14:paraId="3CA4B0B8" w14:textId="77777777" w:rsidR="007543BB" w:rsidRPr="0060716F" w:rsidRDefault="007543BB" w:rsidP="001C693A">
            <w:pPr>
              <w:keepNext/>
              <w:jc w:val="center"/>
            </w:pPr>
          </w:p>
        </w:tc>
      </w:tr>
      <w:tr w:rsidR="007543BB" w14:paraId="7A8AA483" w14:textId="77777777" w:rsidTr="0060716F">
        <w:trPr>
          <w:cantSplit/>
        </w:trPr>
        <w:tc>
          <w:tcPr>
            <w:tcW w:w="1838" w:type="dxa"/>
            <w:shd w:val="clear" w:color="auto" w:fill="auto"/>
          </w:tcPr>
          <w:p w14:paraId="7DD44375" w14:textId="77777777" w:rsidR="007543BB" w:rsidRPr="0060716F" w:rsidRDefault="002D677C" w:rsidP="001C693A">
            <w:pPr>
              <w:keepNext/>
              <w:ind w:left="283"/>
            </w:pPr>
            <w:r w:rsidRPr="0060716F">
              <w:t>PE</w:t>
            </w:r>
            <w:r w:rsidRPr="0060716F">
              <w:rPr>
                <w:vertAlign w:val="superscript"/>
              </w:rPr>
              <w:t>*</w:t>
            </w:r>
          </w:p>
        </w:tc>
        <w:tc>
          <w:tcPr>
            <w:tcW w:w="1134" w:type="dxa"/>
            <w:shd w:val="clear" w:color="auto" w:fill="auto"/>
          </w:tcPr>
          <w:p w14:paraId="532CCE8C" w14:textId="77777777" w:rsidR="007543BB" w:rsidRPr="0060716F" w:rsidRDefault="002D677C" w:rsidP="001C693A">
            <w:pPr>
              <w:keepNext/>
              <w:jc w:val="center"/>
            </w:pPr>
            <w:r w:rsidRPr="0060716F">
              <w:t>7 (0,8)</w:t>
            </w:r>
          </w:p>
        </w:tc>
        <w:tc>
          <w:tcPr>
            <w:tcW w:w="1137" w:type="dxa"/>
            <w:shd w:val="clear" w:color="auto" w:fill="auto"/>
          </w:tcPr>
          <w:p w14:paraId="78FCB230" w14:textId="77777777" w:rsidR="007543BB" w:rsidRPr="0060716F" w:rsidRDefault="002D677C" w:rsidP="001C693A">
            <w:pPr>
              <w:keepNext/>
              <w:jc w:val="center"/>
            </w:pPr>
            <w:r w:rsidRPr="0060716F">
              <w:t>4 (0,5)</w:t>
            </w:r>
          </w:p>
        </w:tc>
        <w:tc>
          <w:tcPr>
            <w:tcW w:w="1368" w:type="dxa"/>
            <w:shd w:val="clear" w:color="auto" w:fill="auto"/>
          </w:tcPr>
          <w:p w14:paraId="114CD9C5" w14:textId="77777777" w:rsidR="007543BB" w:rsidRPr="0060716F" w:rsidRDefault="002D677C" w:rsidP="001C693A">
            <w:pPr>
              <w:keepNext/>
              <w:jc w:val="center"/>
            </w:pPr>
            <w:r w:rsidRPr="0060716F">
              <w:t>13 (1,6)</w:t>
            </w:r>
          </w:p>
        </w:tc>
        <w:tc>
          <w:tcPr>
            <w:tcW w:w="1889" w:type="dxa"/>
            <w:shd w:val="clear" w:color="auto" w:fill="auto"/>
          </w:tcPr>
          <w:p w14:paraId="4C4B17A2" w14:textId="77777777" w:rsidR="007543BB" w:rsidRPr="0060716F" w:rsidRDefault="007543BB" w:rsidP="001C693A">
            <w:pPr>
              <w:keepNext/>
              <w:jc w:val="center"/>
            </w:pPr>
          </w:p>
        </w:tc>
        <w:tc>
          <w:tcPr>
            <w:tcW w:w="1701" w:type="dxa"/>
            <w:shd w:val="clear" w:color="auto" w:fill="auto"/>
          </w:tcPr>
          <w:p w14:paraId="77D67D1C" w14:textId="77777777" w:rsidR="007543BB" w:rsidRPr="0060716F" w:rsidRDefault="007543BB" w:rsidP="001C693A">
            <w:pPr>
              <w:keepNext/>
              <w:jc w:val="center"/>
            </w:pPr>
          </w:p>
        </w:tc>
      </w:tr>
      <w:tr w:rsidR="007543BB" w14:paraId="4634F7F6" w14:textId="77777777" w:rsidTr="0060716F">
        <w:trPr>
          <w:cantSplit/>
        </w:trPr>
        <w:tc>
          <w:tcPr>
            <w:tcW w:w="1838" w:type="dxa"/>
            <w:shd w:val="clear" w:color="auto" w:fill="auto"/>
          </w:tcPr>
          <w:p w14:paraId="33D633D8" w14:textId="39780BA5" w:rsidR="007543BB" w:rsidRPr="0060716F" w:rsidRDefault="002D677C" w:rsidP="0060716F">
            <w:pPr>
              <w:ind w:left="283"/>
            </w:pPr>
            <w:r w:rsidRPr="0060716F">
              <w:t>Összmortalitás</w:t>
            </w:r>
          </w:p>
        </w:tc>
        <w:tc>
          <w:tcPr>
            <w:tcW w:w="1134" w:type="dxa"/>
            <w:shd w:val="clear" w:color="auto" w:fill="auto"/>
          </w:tcPr>
          <w:p w14:paraId="3B8FC1DB" w14:textId="77777777" w:rsidR="007543BB" w:rsidRPr="0060716F" w:rsidRDefault="002D677C" w:rsidP="0060716F">
            <w:pPr>
              <w:jc w:val="center"/>
            </w:pPr>
            <w:r w:rsidRPr="0060716F">
              <w:t>6 (0,7)</w:t>
            </w:r>
          </w:p>
        </w:tc>
        <w:tc>
          <w:tcPr>
            <w:tcW w:w="1137" w:type="dxa"/>
            <w:shd w:val="clear" w:color="auto" w:fill="auto"/>
          </w:tcPr>
          <w:p w14:paraId="150CC6FA" w14:textId="77777777" w:rsidR="007543BB" w:rsidRPr="0060716F" w:rsidRDefault="002D677C" w:rsidP="0060716F">
            <w:pPr>
              <w:jc w:val="center"/>
            </w:pPr>
            <w:r w:rsidRPr="0060716F">
              <w:t>3 (0,4)</w:t>
            </w:r>
          </w:p>
        </w:tc>
        <w:tc>
          <w:tcPr>
            <w:tcW w:w="1368" w:type="dxa"/>
            <w:shd w:val="clear" w:color="auto" w:fill="auto"/>
          </w:tcPr>
          <w:p w14:paraId="263A2530" w14:textId="77777777" w:rsidR="007543BB" w:rsidRPr="0060716F" w:rsidRDefault="002D677C" w:rsidP="0060716F">
            <w:pPr>
              <w:jc w:val="center"/>
            </w:pPr>
            <w:r w:rsidRPr="0060716F">
              <w:t>11 (1,3)</w:t>
            </w:r>
          </w:p>
        </w:tc>
        <w:tc>
          <w:tcPr>
            <w:tcW w:w="1889" w:type="dxa"/>
            <w:shd w:val="clear" w:color="auto" w:fill="auto"/>
          </w:tcPr>
          <w:p w14:paraId="1FB1570A" w14:textId="77777777" w:rsidR="007543BB" w:rsidRPr="0060716F" w:rsidRDefault="007543BB" w:rsidP="0060716F">
            <w:pPr>
              <w:jc w:val="center"/>
            </w:pPr>
          </w:p>
        </w:tc>
        <w:tc>
          <w:tcPr>
            <w:tcW w:w="1701" w:type="dxa"/>
            <w:shd w:val="clear" w:color="auto" w:fill="auto"/>
          </w:tcPr>
          <w:p w14:paraId="7164E1BD" w14:textId="77777777" w:rsidR="007543BB" w:rsidRPr="0060716F" w:rsidRDefault="007543BB" w:rsidP="0060716F">
            <w:pPr>
              <w:jc w:val="center"/>
            </w:pPr>
          </w:p>
        </w:tc>
      </w:tr>
      <w:tr w:rsidR="007543BB" w14:paraId="30F5B596" w14:textId="77777777" w:rsidTr="0060716F">
        <w:trPr>
          <w:cantSplit/>
        </w:trPr>
        <w:tc>
          <w:tcPr>
            <w:tcW w:w="1838" w:type="dxa"/>
            <w:shd w:val="clear" w:color="auto" w:fill="auto"/>
          </w:tcPr>
          <w:p w14:paraId="79196C35" w14:textId="77777777" w:rsidR="007543BB" w:rsidRPr="0060716F" w:rsidRDefault="002D677C" w:rsidP="0060716F">
            <w:r w:rsidRPr="0060716F">
              <w:t>Ismételt VTE vagy VTE-vel összefüggő halálozás</w:t>
            </w:r>
          </w:p>
        </w:tc>
        <w:tc>
          <w:tcPr>
            <w:tcW w:w="1134" w:type="dxa"/>
            <w:shd w:val="clear" w:color="auto" w:fill="auto"/>
          </w:tcPr>
          <w:p w14:paraId="5F593745" w14:textId="77777777" w:rsidR="007543BB" w:rsidRPr="0060716F" w:rsidRDefault="002D677C" w:rsidP="0060716F">
            <w:pPr>
              <w:jc w:val="center"/>
            </w:pPr>
            <w:r w:rsidRPr="0060716F">
              <w:t>14 (1,7)</w:t>
            </w:r>
          </w:p>
        </w:tc>
        <w:tc>
          <w:tcPr>
            <w:tcW w:w="1137" w:type="dxa"/>
            <w:shd w:val="clear" w:color="auto" w:fill="auto"/>
          </w:tcPr>
          <w:p w14:paraId="7CAA4261" w14:textId="77777777" w:rsidR="007543BB" w:rsidRPr="0060716F" w:rsidRDefault="002D677C" w:rsidP="0060716F">
            <w:pPr>
              <w:jc w:val="center"/>
            </w:pPr>
            <w:r w:rsidRPr="0060716F">
              <w:t>14 (1,7)</w:t>
            </w:r>
          </w:p>
        </w:tc>
        <w:tc>
          <w:tcPr>
            <w:tcW w:w="1368" w:type="dxa"/>
            <w:shd w:val="clear" w:color="auto" w:fill="auto"/>
          </w:tcPr>
          <w:p w14:paraId="2AC18E28" w14:textId="77777777" w:rsidR="007543BB" w:rsidRPr="0060716F" w:rsidRDefault="002D677C" w:rsidP="0060716F">
            <w:pPr>
              <w:jc w:val="center"/>
            </w:pPr>
            <w:r w:rsidRPr="0060716F">
              <w:t>73 (8,8)</w:t>
            </w:r>
          </w:p>
        </w:tc>
        <w:tc>
          <w:tcPr>
            <w:tcW w:w="1889" w:type="dxa"/>
            <w:shd w:val="clear" w:color="auto" w:fill="auto"/>
          </w:tcPr>
          <w:p w14:paraId="5E776561" w14:textId="088AA62B" w:rsidR="007543BB" w:rsidRPr="0060716F" w:rsidRDefault="002D677C" w:rsidP="0060716F">
            <w:pPr>
              <w:jc w:val="center"/>
            </w:pPr>
            <w:r w:rsidRPr="0060716F">
              <w:t xml:space="preserve">0,19 </w:t>
            </w:r>
            <w:r w:rsidR="0060716F">
              <w:br/>
            </w:r>
            <w:r w:rsidRPr="0060716F">
              <w:t>(0,11; 0,33)</w:t>
            </w:r>
          </w:p>
        </w:tc>
        <w:tc>
          <w:tcPr>
            <w:tcW w:w="1701" w:type="dxa"/>
            <w:shd w:val="clear" w:color="auto" w:fill="auto"/>
          </w:tcPr>
          <w:p w14:paraId="257913B4" w14:textId="4A1563D0" w:rsidR="007543BB" w:rsidRPr="0060716F" w:rsidRDefault="002D677C" w:rsidP="0060716F">
            <w:pPr>
              <w:jc w:val="center"/>
            </w:pPr>
            <w:r w:rsidRPr="0060716F">
              <w:t xml:space="preserve">0,20 </w:t>
            </w:r>
            <w:r w:rsidR="0060716F">
              <w:br/>
            </w:r>
            <w:r w:rsidRPr="0060716F">
              <w:t>(0,11; 0,34)</w:t>
            </w:r>
          </w:p>
        </w:tc>
      </w:tr>
      <w:tr w:rsidR="007543BB" w14:paraId="53AB08E2" w14:textId="77777777" w:rsidTr="0060716F">
        <w:trPr>
          <w:cantSplit/>
        </w:trPr>
        <w:tc>
          <w:tcPr>
            <w:tcW w:w="1838" w:type="dxa"/>
            <w:shd w:val="clear" w:color="auto" w:fill="auto"/>
          </w:tcPr>
          <w:p w14:paraId="390B0A7B" w14:textId="77777777" w:rsidR="007543BB" w:rsidRPr="0060716F" w:rsidRDefault="002D677C" w:rsidP="0060716F">
            <w:r w:rsidRPr="0060716F">
              <w:t>Ismételt VTE vagy CV eredetű halálozás</w:t>
            </w:r>
          </w:p>
        </w:tc>
        <w:tc>
          <w:tcPr>
            <w:tcW w:w="1134" w:type="dxa"/>
            <w:shd w:val="clear" w:color="auto" w:fill="auto"/>
          </w:tcPr>
          <w:p w14:paraId="779DEBCB" w14:textId="77777777" w:rsidR="007543BB" w:rsidRPr="0060716F" w:rsidRDefault="002D677C" w:rsidP="0060716F">
            <w:pPr>
              <w:jc w:val="center"/>
            </w:pPr>
            <w:r w:rsidRPr="0060716F">
              <w:t>14 (1,7)</w:t>
            </w:r>
          </w:p>
        </w:tc>
        <w:tc>
          <w:tcPr>
            <w:tcW w:w="1137" w:type="dxa"/>
            <w:shd w:val="clear" w:color="auto" w:fill="auto"/>
          </w:tcPr>
          <w:p w14:paraId="006BC628" w14:textId="77777777" w:rsidR="007543BB" w:rsidRPr="0060716F" w:rsidRDefault="002D677C" w:rsidP="0060716F">
            <w:pPr>
              <w:jc w:val="center"/>
            </w:pPr>
            <w:r w:rsidRPr="0060716F">
              <w:t>14 (1,7)</w:t>
            </w:r>
          </w:p>
        </w:tc>
        <w:tc>
          <w:tcPr>
            <w:tcW w:w="1368" w:type="dxa"/>
            <w:shd w:val="clear" w:color="auto" w:fill="auto"/>
          </w:tcPr>
          <w:p w14:paraId="419DA64D" w14:textId="77777777" w:rsidR="007543BB" w:rsidRPr="0060716F" w:rsidRDefault="002D677C" w:rsidP="0060716F">
            <w:pPr>
              <w:jc w:val="center"/>
            </w:pPr>
            <w:r w:rsidRPr="0060716F">
              <w:t>76 (9,2)</w:t>
            </w:r>
          </w:p>
        </w:tc>
        <w:tc>
          <w:tcPr>
            <w:tcW w:w="1889" w:type="dxa"/>
            <w:shd w:val="clear" w:color="auto" w:fill="auto"/>
          </w:tcPr>
          <w:p w14:paraId="5801B389" w14:textId="31A2F223" w:rsidR="007543BB" w:rsidRPr="0060716F" w:rsidRDefault="002D677C" w:rsidP="0060716F">
            <w:pPr>
              <w:jc w:val="center"/>
            </w:pPr>
            <w:r w:rsidRPr="0060716F">
              <w:t xml:space="preserve">0,18 </w:t>
            </w:r>
            <w:r w:rsidR="0060716F">
              <w:br/>
            </w:r>
            <w:r w:rsidRPr="0060716F">
              <w:t>(0,10; 0,32)</w:t>
            </w:r>
          </w:p>
        </w:tc>
        <w:tc>
          <w:tcPr>
            <w:tcW w:w="1701" w:type="dxa"/>
            <w:shd w:val="clear" w:color="auto" w:fill="auto"/>
          </w:tcPr>
          <w:p w14:paraId="545172B9" w14:textId="532FFECE" w:rsidR="007543BB" w:rsidRPr="0060716F" w:rsidRDefault="002D677C" w:rsidP="0060716F">
            <w:pPr>
              <w:jc w:val="center"/>
            </w:pPr>
            <w:r w:rsidRPr="0060716F">
              <w:t xml:space="preserve">0,19 </w:t>
            </w:r>
            <w:r w:rsidR="0060716F">
              <w:br/>
            </w:r>
            <w:r w:rsidRPr="0060716F">
              <w:t>(0,11; 0,33)</w:t>
            </w:r>
          </w:p>
        </w:tc>
      </w:tr>
      <w:tr w:rsidR="007543BB" w14:paraId="40BA5D3E" w14:textId="77777777" w:rsidTr="0060716F">
        <w:trPr>
          <w:cantSplit/>
        </w:trPr>
        <w:tc>
          <w:tcPr>
            <w:tcW w:w="1838" w:type="dxa"/>
            <w:shd w:val="clear" w:color="auto" w:fill="auto"/>
          </w:tcPr>
          <w:p w14:paraId="6380B299" w14:textId="5B2A651B" w:rsidR="007543BB" w:rsidRPr="0060716F" w:rsidRDefault="002D677C" w:rsidP="0060716F">
            <w:r w:rsidRPr="0060716F">
              <w:t>Nem halálos MVT</w:t>
            </w:r>
            <w:r w:rsidR="0060716F" w:rsidRPr="0060716F">
              <w:rPr>
                <w:vertAlign w:val="superscript"/>
                <w:lang w:val="es-ES"/>
              </w:rPr>
              <w:t>†</w:t>
            </w:r>
          </w:p>
        </w:tc>
        <w:tc>
          <w:tcPr>
            <w:tcW w:w="1134" w:type="dxa"/>
            <w:shd w:val="clear" w:color="auto" w:fill="auto"/>
          </w:tcPr>
          <w:p w14:paraId="5B507205" w14:textId="77777777" w:rsidR="007543BB" w:rsidRPr="0060716F" w:rsidRDefault="002D677C" w:rsidP="0060716F">
            <w:pPr>
              <w:jc w:val="center"/>
            </w:pPr>
            <w:r w:rsidRPr="0060716F">
              <w:t>6 (0,7)</w:t>
            </w:r>
          </w:p>
        </w:tc>
        <w:tc>
          <w:tcPr>
            <w:tcW w:w="1137" w:type="dxa"/>
            <w:shd w:val="clear" w:color="auto" w:fill="auto"/>
          </w:tcPr>
          <w:p w14:paraId="38330CDF" w14:textId="77777777" w:rsidR="007543BB" w:rsidRPr="0060716F" w:rsidRDefault="002D677C" w:rsidP="0060716F">
            <w:pPr>
              <w:jc w:val="center"/>
            </w:pPr>
            <w:r w:rsidRPr="0060716F">
              <w:t>8 (1,0)</w:t>
            </w:r>
          </w:p>
        </w:tc>
        <w:tc>
          <w:tcPr>
            <w:tcW w:w="1368" w:type="dxa"/>
            <w:shd w:val="clear" w:color="auto" w:fill="auto"/>
          </w:tcPr>
          <w:p w14:paraId="1981A5CC" w14:textId="77777777" w:rsidR="007543BB" w:rsidRPr="0060716F" w:rsidRDefault="002D677C" w:rsidP="0060716F">
            <w:pPr>
              <w:jc w:val="center"/>
            </w:pPr>
            <w:r w:rsidRPr="0060716F">
              <w:t>53 (6,4)</w:t>
            </w:r>
          </w:p>
        </w:tc>
        <w:tc>
          <w:tcPr>
            <w:tcW w:w="1889" w:type="dxa"/>
            <w:shd w:val="clear" w:color="auto" w:fill="auto"/>
          </w:tcPr>
          <w:p w14:paraId="1DC25456" w14:textId="734F19B9" w:rsidR="007543BB" w:rsidRPr="0060716F" w:rsidRDefault="002D677C" w:rsidP="0060716F">
            <w:pPr>
              <w:jc w:val="center"/>
            </w:pPr>
            <w:r w:rsidRPr="0060716F">
              <w:t xml:space="preserve">0,11 </w:t>
            </w:r>
            <w:r w:rsidR="0060716F">
              <w:br/>
            </w:r>
            <w:r w:rsidRPr="0060716F">
              <w:t>(0,05; 0,26)</w:t>
            </w:r>
          </w:p>
        </w:tc>
        <w:tc>
          <w:tcPr>
            <w:tcW w:w="1701" w:type="dxa"/>
            <w:shd w:val="clear" w:color="auto" w:fill="auto"/>
          </w:tcPr>
          <w:p w14:paraId="432A16D2" w14:textId="3C9AB5D5" w:rsidR="007543BB" w:rsidRPr="0060716F" w:rsidRDefault="002D677C" w:rsidP="0060716F">
            <w:pPr>
              <w:jc w:val="center"/>
            </w:pPr>
            <w:r w:rsidRPr="0060716F">
              <w:t xml:space="preserve">0,15 </w:t>
            </w:r>
            <w:r w:rsidR="0060716F">
              <w:br/>
            </w:r>
            <w:r w:rsidRPr="0060716F">
              <w:t>(0,07; 0,32)</w:t>
            </w:r>
          </w:p>
        </w:tc>
      </w:tr>
      <w:tr w:rsidR="007543BB" w14:paraId="52E360D7" w14:textId="77777777" w:rsidTr="0060716F">
        <w:trPr>
          <w:cantSplit/>
        </w:trPr>
        <w:tc>
          <w:tcPr>
            <w:tcW w:w="1838" w:type="dxa"/>
            <w:shd w:val="clear" w:color="auto" w:fill="auto"/>
          </w:tcPr>
          <w:p w14:paraId="4897DD07" w14:textId="243138FC" w:rsidR="007543BB" w:rsidRPr="0060716F" w:rsidRDefault="002D677C" w:rsidP="0060716F">
            <w:r w:rsidRPr="0060716F">
              <w:t>Nem halálos PE</w:t>
            </w:r>
            <w:r w:rsidR="0060716F" w:rsidRPr="0060716F">
              <w:rPr>
                <w:vertAlign w:val="superscript"/>
                <w:lang w:val="es-ES"/>
              </w:rPr>
              <w:t>†</w:t>
            </w:r>
          </w:p>
        </w:tc>
        <w:tc>
          <w:tcPr>
            <w:tcW w:w="1134" w:type="dxa"/>
            <w:shd w:val="clear" w:color="auto" w:fill="auto"/>
          </w:tcPr>
          <w:p w14:paraId="050736A7" w14:textId="77777777" w:rsidR="007543BB" w:rsidRPr="0060716F" w:rsidRDefault="002D677C" w:rsidP="0060716F">
            <w:pPr>
              <w:jc w:val="center"/>
            </w:pPr>
            <w:r w:rsidRPr="0060716F">
              <w:t>8 (1,0)</w:t>
            </w:r>
          </w:p>
        </w:tc>
        <w:tc>
          <w:tcPr>
            <w:tcW w:w="1137" w:type="dxa"/>
            <w:shd w:val="clear" w:color="auto" w:fill="auto"/>
          </w:tcPr>
          <w:p w14:paraId="00C867BC" w14:textId="77777777" w:rsidR="007543BB" w:rsidRPr="0060716F" w:rsidRDefault="002D677C" w:rsidP="0060716F">
            <w:pPr>
              <w:jc w:val="center"/>
            </w:pPr>
            <w:r w:rsidRPr="0060716F">
              <w:t>4 (0,5)</w:t>
            </w:r>
          </w:p>
        </w:tc>
        <w:tc>
          <w:tcPr>
            <w:tcW w:w="1368" w:type="dxa"/>
            <w:shd w:val="clear" w:color="auto" w:fill="auto"/>
          </w:tcPr>
          <w:p w14:paraId="23403A37" w14:textId="77777777" w:rsidR="007543BB" w:rsidRPr="0060716F" w:rsidRDefault="002D677C" w:rsidP="0060716F">
            <w:pPr>
              <w:jc w:val="center"/>
            </w:pPr>
            <w:r w:rsidRPr="0060716F">
              <w:t>15 (1,8)</w:t>
            </w:r>
          </w:p>
        </w:tc>
        <w:tc>
          <w:tcPr>
            <w:tcW w:w="1889" w:type="dxa"/>
            <w:shd w:val="clear" w:color="auto" w:fill="auto"/>
          </w:tcPr>
          <w:p w14:paraId="72061C2E" w14:textId="0F63EE7F" w:rsidR="007543BB" w:rsidRPr="0060716F" w:rsidRDefault="002D677C" w:rsidP="0060716F">
            <w:pPr>
              <w:jc w:val="center"/>
            </w:pPr>
            <w:r w:rsidRPr="0060716F">
              <w:t xml:space="preserve">0,51 </w:t>
            </w:r>
            <w:r w:rsidR="0060716F">
              <w:br/>
            </w:r>
            <w:r w:rsidRPr="0060716F">
              <w:t>(0,22; 1,21)</w:t>
            </w:r>
          </w:p>
        </w:tc>
        <w:tc>
          <w:tcPr>
            <w:tcW w:w="1701" w:type="dxa"/>
            <w:shd w:val="clear" w:color="auto" w:fill="auto"/>
          </w:tcPr>
          <w:p w14:paraId="6F7411FF" w14:textId="07C1348A" w:rsidR="007543BB" w:rsidRPr="0060716F" w:rsidRDefault="002D677C" w:rsidP="0060716F">
            <w:pPr>
              <w:jc w:val="center"/>
            </w:pPr>
            <w:r w:rsidRPr="0060716F">
              <w:t xml:space="preserve">0,27 </w:t>
            </w:r>
            <w:r w:rsidR="0060716F">
              <w:br/>
            </w:r>
            <w:r w:rsidRPr="0060716F">
              <w:t>(0,09; 0,80)</w:t>
            </w:r>
          </w:p>
        </w:tc>
      </w:tr>
      <w:tr w:rsidR="007543BB" w14:paraId="7ACA2102" w14:textId="77777777" w:rsidTr="0060716F">
        <w:trPr>
          <w:cantSplit/>
        </w:trPr>
        <w:tc>
          <w:tcPr>
            <w:tcW w:w="1838" w:type="dxa"/>
            <w:shd w:val="clear" w:color="auto" w:fill="auto"/>
          </w:tcPr>
          <w:p w14:paraId="78070606" w14:textId="77777777" w:rsidR="007543BB" w:rsidRPr="0060716F" w:rsidRDefault="002D677C" w:rsidP="001C693A">
            <w:pPr>
              <w:keepNext/>
            </w:pPr>
            <w:r w:rsidRPr="0060716F">
              <w:t>VTE-vel összefüggő halálozás</w:t>
            </w:r>
          </w:p>
        </w:tc>
        <w:tc>
          <w:tcPr>
            <w:tcW w:w="1134" w:type="dxa"/>
            <w:shd w:val="clear" w:color="auto" w:fill="auto"/>
          </w:tcPr>
          <w:p w14:paraId="407EFFED" w14:textId="77777777" w:rsidR="007543BB" w:rsidRPr="0060716F" w:rsidRDefault="002D677C" w:rsidP="001C693A">
            <w:pPr>
              <w:keepNext/>
              <w:jc w:val="center"/>
            </w:pPr>
            <w:r w:rsidRPr="0060716F">
              <w:t>2 (0,2)</w:t>
            </w:r>
          </w:p>
        </w:tc>
        <w:tc>
          <w:tcPr>
            <w:tcW w:w="1137" w:type="dxa"/>
            <w:shd w:val="clear" w:color="auto" w:fill="auto"/>
          </w:tcPr>
          <w:p w14:paraId="632D08BA" w14:textId="77777777" w:rsidR="007543BB" w:rsidRPr="0060716F" w:rsidRDefault="002D677C" w:rsidP="001C693A">
            <w:pPr>
              <w:keepNext/>
              <w:jc w:val="center"/>
            </w:pPr>
            <w:r w:rsidRPr="0060716F">
              <w:t>3 (0,4)</w:t>
            </w:r>
          </w:p>
        </w:tc>
        <w:tc>
          <w:tcPr>
            <w:tcW w:w="1368" w:type="dxa"/>
            <w:shd w:val="clear" w:color="auto" w:fill="auto"/>
          </w:tcPr>
          <w:p w14:paraId="51B4BB69" w14:textId="77777777" w:rsidR="007543BB" w:rsidRPr="0060716F" w:rsidRDefault="002D677C" w:rsidP="001C693A">
            <w:pPr>
              <w:keepNext/>
              <w:jc w:val="center"/>
            </w:pPr>
            <w:r w:rsidRPr="0060716F">
              <w:t>7 (0,8)</w:t>
            </w:r>
          </w:p>
        </w:tc>
        <w:tc>
          <w:tcPr>
            <w:tcW w:w="1889" w:type="dxa"/>
            <w:shd w:val="clear" w:color="auto" w:fill="auto"/>
          </w:tcPr>
          <w:p w14:paraId="1D867DF1" w14:textId="70028BE0" w:rsidR="007543BB" w:rsidRPr="0060716F" w:rsidRDefault="002D677C" w:rsidP="001C693A">
            <w:pPr>
              <w:keepNext/>
              <w:jc w:val="center"/>
            </w:pPr>
            <w:r w:rsidRPr="0060716F">
              <w:t xml:space="preserve">0,28 </w:t>
            </w:r>
            <w:r w:rsidR="0060716F">
              <w:br/>
            </w:r>
            <w:r w:rsidRPr="0060716F">
              <w:t>(0,06; 1,37)</w:t>
            </w:r>
          </w:p>
        </w:tc>
        <w:tc>
          <w:tcPr>
            <w:tcW w:w="1701" w:type="dxa"/>
            <w:shd w:val="clear" w:color="auto" w:fill="auto"/>
          </w:tcPr>
          <w:p w14:paraId="4B9A5560" w14:textId="1A0940AA" w:rsidR="007543BB" w:rsidRPr="0060716F" w:rsidRDefault="002D677C" w:rsidP="001C693A">
            <w:pPr>
              <w:keepNext/>
              <w:jc w:val="center"/>
            </w:pPr>
            <w:r w:rsidRPr="0060716F">
              <w:t xml:space="preserve">0,45 </w:t>
            </w:r>
            <w:r w:rsidR="0060716F">
              <w:br/>
            </w:r>
            <w:r w:rsidRPr="0060716F">
              <w:t>(0,12; 1,71)</w:t>
            </w:r>
          </w:p>
        </w:tc>
      </w:tr>
    </w:tbl>
    <w:p w14:paraId="37614176" w14:textId="3DAB6579" w:rsidR="007543BB" w:rsidRPr="0060716F" w:rsidRDefault="002D677C" w:rsidP="0060716F">
      <w:r w:rsidRPr="0060716F">
        <w:rPr>
          <w:vertAlign w:val="superscript"/>
        </w:rPr>
        <w:t>¥</w:t>
      </w:r>
      <w:r w:rsidRPr="0060716F">
        <w:t xml:space="preserve"> p-érték</w:t>
      </w:r>
      <w:r w:rsidR="007E62BE">
        <w:t> </w:t>
      </w:r>
      <w:r w:rsidRPr="0060716F">
        <w:t>&lt;0,0001</w:t>
      </w:r>
    </w:p>
    <w:p w14:paraId="29192FE6" w14:textId="77777777" w:rsidR="007543BB" w:rsidRPr="0060716F" w:rsidRDefault="002D677C" w:rsidP="0060716F">
      <w:r w:rsidRPr="0060716F">
        <w:rPr>
          <w:vertAlign w:val="superscript"/>
        </w:rPr>
        <w:t>*</w:t>
      </w:r>
      <w:r w:rsidRPr="0060716F">
        <w:t xml:space="preserve"> Azoknál a betegeknél, akiknél az összetett végponthoz számított események közül több is előfordult, csak az első eseményt jelentették (ha például egy betegnél MVT, majd egy PE is előfordult, akkor csak az MVT-t jelentették).</w:t>
      </w:r>
    </w:p>
    <w:p w14:paraId="464F50D6" w14:textId="2B8568AE" w:rsidR="007543BB" w:rsidRPr="0060716F" w:rsidRDefault="0060716F" w:rsidP="0060716F">
      <w:r w:rsidRPr="004311F4">
        <w:rPr>
          <w:vertAlign w:val="superscript"/>
        </w:rPr>
        <w:t>†</w:t>
      </w:r>
      <w:r w:rsidR="002D677C" w:rsidRPr="0060716F">
        <w:t xml:space="preserve"> Az egyes betegeknél több esemény is bekövetkezhetett, ezért mindkét kategóriába be lehetett sorolni őket.</w:t>
      </w:r>
    </w:p>
    <w:p w14:paraId="6BDD0A1D" w14:textId="77777777" w:rsidR="007543BB" w:rsidRPr="0060716F" w:rsidRDefault="007543BB" w:rsidP="0060716F"/>
    <w:p w14:paraId="19D9FBB7" w14:textId="770120A4" w:rsidR="007543BB" w:rsidRDefault="002D677C" w:rsidP="0060716F">
      <w:r w:rsidRPr="0060716F">
        <w:t xml:space="preserve">Az apixabán megtartotta a kiújuló VTE prevenciójában mutatott hatásosságát az egyes alcsoportokban </w:t>
      </w:r>
      <w:r w:rsidR="0060716F">
        <w:t>–</w:t>
      </w:r>
      <w:r w:rsidRPr="0060716F">
        <w:t xml:space="preserve"> így az életkor, a nem, a testtömegindex (BMI) vagy a vesefunkció szerinti alcsoportokban.</w:t>
      </w:r>
    </w:p>
    <w:p w14:paraId="6CA4CA56" w14:textId="77777777" w:rsidR="0060716F" w:rsidRPr="0060716F" w:rsidRDefault="0060716F" w:rsidP="0060716F"/>
    <w:p w14:paraId="5A9A54A6" w14:textId="6FE76B67" w:rsidR="007543BB" w:rsidRDefault="002D677C" w:rsidP="0060716F">
      <w:r w:rsidRPr="0060716F">
        <w:t>Az elsődleges biztonságossági végpont a kezelési időszak alatti nagyfokú vérzés volt. A vizsgálatban a nagyfokú vérzés előfordulási gyakorisága egyik apixabán dózis esetén sem különbözött statisztikailag a placebo esetén észlelttől. Nem volt statisztikailag szignifikáns különbség a nagyfokú + klinikailag jelentős, de nem nagyfokú (CRNM), továbbá a kisfokú és az összes vérzés előfordulási gyakorisága között a naponta kétszer 2,5</w:t>
      </w:r>
      <w:r w:rsidR="007E62BE">
        <w:t> </w:t>
      </w:r>
      <w:r w:rsidRPr="0060716F">
        <w:t>mg apixabán és a placebo terápiás csoportok között (lásd 1</w:t>
      </w:r>
      <w:r w:rsidR="001A5836">
        <w:t>1</w:t>
      </w:r>
      <w:r w:rsidRPr="0060716F">
        <w:t>.</w:t>
      </w:r>
      <w:r w:rsidR="007E62BE">
        <w:t> </w:t>
      </w:r>
      <w:r w:rsidRPr="0060716F">
        <w:t>táblázat).</w:t>
      </w:r>
    </w:p>
    <w:p w14:paraId="2C511D94" w14:textId="77777777" w:rsidR="0060716F" w:rsidRPr="0060716F" w:rsidRDefault="0060716F" w:rsidP="0060716F"/>
    <w:p w14:paraId="6DAE54D8" w14:textId="1C1045EE" w:rsidR="007543BB" w:rsidRPr="0060716F" w:rsidRDefault="002D677C" w:rsidP="0060716F">
      <w:pPr>
        <w:keepNext/>
        <w:rPr>
          <w:b/>
          <w:bCs/>
        </w:rPr>
      </w:pPr>
      <w:r w:rsidRPr="0060716F">
        <w:rPr>
          <w:b/>
          <w:bCs/>
        </w:rPr>
        <w:t>1</w:t>
      </w:r>
      <w:r w:rsidR="001A5836">
        <w:rPr>
          <w:b/>
          <w:bCs/>
        </w:rPr>
        <w:t>1</w:t>
      </w:r>
      <w:r w:rsidRPr="0060716F">
        <w:rPr>
          <w:b/>
          <w:bCs/>
        </w:rPr>
        <w:t>. táblázat: Az AMPLIFY-EXT vizsgálat vérzési eredményei</w:t>
      </w:r>
    </w:p>
    <w:tbl>
      <w:tblPr>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1373"/>
        <w:gridCol w:w="1368"/>
        <w:gridCol w:w="1368"/>
        <w:gridCol w:w="1368"/>
        <w:gridCol w:w="1748"/>
        <w:gridCol w:w="1842"/>
      </w:tblGrid>
      <w:tr w:rsidR="007543BB" w14:paraId="6DC14FE6" w14:textId="77777777" w:rsidTr="00FF3059">
        <w:trPr>
          <w:cantSplit/>
          <w:tblHeader/>
        </w:trPr>
        <w:tc>
          <w:tcPr>
            <w:tcW w:w="1373" w:type="dxa"/>
            <w:shd w:val="clear" w:color="auto" w:fill="auto"/>
          </w:tcPr>
          <w:p w14:paraId="53F9DBED" w14:textId="77777777" w:rsidR="007543BB" w:rsidRPr="00FF3059" w:rsidRDefault="007543BB" w:rsidP="00FF3059">
            <w:pPr>
              <w:keepNext/>
            </w:pPr>
          </w:p>
        </w:tc>
        <w:tc>
          <w:tcPr>
            <w:tcW w:w="1368" w:type="dxa"/>
            <w:shd w:val="clear" w:color="auto" w:fill="auto"/>
          </w:tcPr>
          <w:p w14:paraId="3376FDDF" w14:textId="77777777" w:rsidR="007543BB" w:rsidRPr="00FF3059" w:rsidRDefault="002D677C" w:rsidP="00FF3059">
            <w:pPr>
              <w:keepNext/>
              <w:jc w:val="center"/>
              <w:rPr>
                <w:b/>
                <w:bCs/>
              </w:rPr>
            </w:pPr>
            <w:r w:rsidRPr="00FF3059">
              <w:rPr>
                <w:b/>
                <w:bCs/>
              </w:rPr>
              <w:t>Apixabán</w:t>
            </w:r>
          </w:p>
        </w:tc>
        <w:tc>
          <w:tcPr>
            <w:tcW w:w="1368" w:type="dxa"/>
            <w:shd w:val="clear" w:color="auto" w:fill="auto"/>
          </w:tcPr>
          <w:p w14:paraId="76F627A1" w14:textId="77777777" w:rsidR="007543BB" w:rsidRPr="00FF3059" w:rsidRDefault="002D677C" w:rsidP="00FF3059">
            <w:pPr>
              <w:keepNext/>
              <w:jc w:val="center"/>
              <w:rPr>
                <w:b/>
                <w:bCs/>
              </w:rPr>
            </w:pPr>
            <w:r w:rsidRPr="00FF3059">
              <w:rPr>
                <w:b/>
                <w:bCs/>
              </w:rPr>
              <w:t>Apixabán</w:t>
            </w:r>
          </w:p>
        </w:tc>
        <w:tc>
          <w:tcPr>
            <w:tcW w:w="1368" w:type="dxa"/>
            <w:shd w:val="clear" w:color="auto" w:fill="auto"/>
          </w:tcPr>
          <w:p w14:paraId="5C5B409A" w14:textId="77777777" w:rsidR="007543BB" w:rsidRPr="00FF3059" w:rsidRDefault="002D677C" w:rsidP="00FF3059">
            <w:pPr>
              <w:keepNext/>
              <w:jc w:val="center"/>
              <w:rPr>
                <w:b/>
                <w:bCs/>
              </w:rPr>
            </w:pPr>
            <w:r w:rsidRPr="00FF3059">
              <w:rPr>
                <w:b/>
                <w:bCs/>
              </w:rPr>
              <w:t>Placebo</w:t>
            </w:r>
          </w:p>
        </w:tc>
        <w:tc>
          <w:tcPr>
            <w:tcW w:w="3590" w:type="dxa"/>
            <w:gridSpan w:val="2"/>
            <w:shd w:val="clear" w:color="auto" w:fill="auto"/>
          </w:tcPr>
          <w:p w14:paraId="33CA2A30" w14:textId="77777777" w:rsidR="007543BB" w:rsidRPr="00FF3059" w:rsidRDefault="002D677C" w:rsidP="00FF3059">
            <w:pPr>
              <w:keepNext/>
              <w:jc w:val="center"/>
              <w:rPr>
                <w:b/>
                <w:bCs/>
              </w:rPr>
            </w:pPr>
            <w:r w:rsidRPr="00FF3059">
              <w:rPr>
                <w:b/>
                <w:bCs/>
              </w:rPr>
              <w:t>Relatív kockázat (95%-os CI)</w:t>
            </w:r>
          </w:p>
        </w:tc>
      </w:tr>
      <w:tr w:rsidR="007543BB" w14:paraId="7DF5BE55" w14:textId="77777777" w:rsidTr="00FF3059">
        <w:trPr>
          <w:cantSplit/>
          <w:tblHeader/>
        </w:trPr>
        <w:tc>
          <w:tcPr>
            <w:tcW w:w="1373" w:type="dxa"/>
            <w:shd w:val="clear" w:color="auto" w:fill="auto"/>
          </w:tcPr>
          <w:p w14:paraId="2C2309F1" w14:textId="77777777" w:rsidR="007543BB" w:rsidRPr="00FF3059" w:rsidRDefault="007543BB" w:rsidP="00FF3059">
            <w:pPr>
              <w:keepNext/>
            </w:pPr>
          </w:p>
        </w:tc>
        <w:tc>
          <w:tcPr>
            <w:tcW w:w="1368" w:type="dxa"/>
            <w:shd w:val="clear" w:color="auto" w:fill="auto"/>
            <w:vAlign w:val="bottom"/>
          </w:tcPr>
          <w:p w14:paraId="7A322FCF" w14:textId="54283923" w:rsidR="00FF3059" w:rsidRPr="00FF3059" w:rsidRDefault="002D677C" w:rsidP="00FF3059">
            <w:pPr>
              <w:keepNext/>
              <w:jc w:val="center"/>
              <w:rPr>
                <w:b/>
                <w:bCs/>
              </w:rPr>
            </w:pPr>
            <w:r w:rsidRPr="00FF3059">
              <w:rPr>
                <w:b/>
                <w:bCs/>
              </w:rPr>
              <w:t>2,5</w:t>
            </w:r>
            <w:r w:rsidR="007E62BE">
              <w:rPr>
                <w:b/>
                <w:bCs/>
              </w:rPr>
              <w:t> </w:t>
            </w:r>
            <w:r w:rsidRPr="00FF3059">
              <w:rPr>
                <w:b/>
                <w:bCs/>
              </w:rPr>
              <w:t xml:space="preserve">mg </w:t>
            </w:r>
          </w:p>
          <w:p w14:paraId="57411EDE" w14:textId="6CC933F0" w:rsidR="007543BB" w:rsidRPr="00FF3059" w:rsidRDefault="002D677C" w:rsidP="007E62BE">
            <w:pPr>
              <w:keepNext/>
              <w:jc w:val="center"/>
            </w:pPr>
            <w:r w:rsidRPr="00FF3059">
              <w:t>(N=840)</w:t>
            </w:r>
          </w:p>
        </w:tc>
        <w:tc>
          <w:tcPr>
            <w:tcW w:w="1368" w:type="dxa"/>
            <w:shd w:val="clear" w:color="auto" w:fill="auto"/>
            <w:vAlign w:val="bottom"/>
          </w:tcPr>
          <w:p w14:paraId="12F78D79" w14:textId="7DDA66C9" w:rsidR="00FF3059" w:rsidRPr="00FF3059" w:rsidRDefault="002D677C" w:rsidP="00FF3059">
            <w:pPr>
              <w:keepNext/>
              <w:jc w:val="center"/>
              <w:rPr>
                <w:b/>
                <w:bCs/>
              </w:rPr>
            </w:pPr>
            <w:r w:rsidRPr="00FF3059">
              <w:rPr>
                <w:b/>
                <w:bCs/>
              </w:rPr>
              <w:t>5,0</w:t>
            </w:r>
            <w:r w:rsidR="007E62BE">
              <w:rPr>
                <w:b/>
                <w:bCs/>
              </w:rPr>
              <w:t> </w:t>
            </w:r>
            <w:r w:rsidRPr="00FF3059">
              <w:rPr>
                <w:b/>
                <w:bCs/>
              </w:rPr>
              <w:t>mg</w:t>
            </w:r>
          </w:p>
          <w:p w14:paraId="784A0CF4" w14:textId="05A951E9" w:rsidR="007543BB" w:rsidRPr="00FF3059" w:rsidRDefault="002D677C" w:rsidP="007E62BE">
            <w:pPr>
              <w:keepNext/>
              <w:jc w:val="center"/>
            </w:pPr>
            <w:r w:rsidRPr="00FF3059">
              <w:t xml:space="preserve"> (N=811)</w:t>
            </w:r>
          </w:p>
        </w:tc>
        <w:tc>
          <w:tcPr>
            <w:tcW w:w="1368" w:type="dxa"/>
            <w:shd w:val="clear" w:color="auto" w:fill="auto"/>
            <w:vAlign w:val="bottom"/>
          </w:tcPr>
          <w:p w14:paraId="4BDFD278" w14:textId="6D6D22FE" w:rsidR="007543BB" w:rsidRPr="00FF3059" w:rsidRDefault="002D677C" w:rsidP="007E62BE">
            <w:pPr>
              <w:keepNext/>
              <w:jc w:val="center"/>
            </w:pPr>
            <w:r w:rsidRPr="00FF3059">
              <w:t>(N=826)</w:t>
            </w:r>
          </w:p>
        </w:tc>
        <w:tc>
          <w:tcPr>
            <w:tcW w:w="1748" w:type="dxa"/>
            <w:shd w:val="clear" w:color="auto" w:fill="auto"/>
            <w:vAlign w:val="bottom"/>
          </w:tcPr>
          <w:p w14:paraId="66B863B7" w14:textId="0EE46443" w:rsidR="00FF3059" w:rsidRPr="00FF3059" w:rsidRDefault="002D677C" w:rsidP="00FF3059">
            <w:pPr>
              <w:keepNext/>
              <w:jc w:val="center"/>
              <w:rPr>
                <w:b/>
                <w:bCs/>
              </w:rPr>
            </w:pPr>
            <w:r w:rsidRPr="00FF3059">
              <w:rPr>
                <w:b/>
                <w:bCs/>
              </w:rPr>
              <w:t>Apix 2,5</w:t>
            </w:r>
            <w:r w:rsidR="007E62BE">
              <w:rPr>
                <w:b/>
                <w:bCs/>
              </w:rPr>
              <w:t> </w:t>
            </w:r>
            <w:r w:rsidRPr="00FF3059">
              <w:rPr>
                <w:b/>
                <w:bCs/>
              </w:rPr>
              <w:t xml:space="preserve">mg </w:t>
            </w:r>
          </w:p>
          <w:p w14:paraId="649A19BC" w14:textId="3DFB249D" w:rsidR="007543BB" w:rsidRPr="00FF3059" w:rsidRDefault="002D677C" w:rsidP="00FF3059">
            <w:pPr>
              <w:keepNext/>
              <w:jc w:val="center"/>
            </w:pPr>
            <w:r w:rsidRPr="00FF3059">
              <w:t>vs. placebo</w:t>
            </w:r>
          </w:p>
        </w:tc>
        <w:tc>
          <w:tcPr>
            <w:tcW w:w="1842" w:type="dxa"/>
            <w:shd w:val="clear" w:color="auto" w:fill="auto"/>
            <w:vAlign w:val="bottom"/>
          </w:tcPr>
          <w:p w14:paraId="1914F7CA" w14:textId="6AE706B9" w:rsidR="00FF3059" w:rsidRPr="00FF3059" w:rsidRDefault="002D677C" w:rsidP="00FF3059">
            <w:pPr>
              <w:keepNext/>
              <w:jc w:val="center"/>
              <w:rPr>
                <w:b/>
                <w:bCs/>
              </w:rPr>
            </w:pPr>
            <w:r w:rsidRPr="00FF3059">
              <w:rPr>
                <w:b/>
                <w:bCs/>
              </w:rPr>
              <w:t>Apix 5,0</w:t>
            </w:r>
            <w:r w:rsidR="007E62BE">
              <w:rPr>
                <w:b/>
                <w:bCs/>
              </w:rPr>
              <w:t> </w:t>
            </w:r>
            <w:r w:rsidRPr="00FF3059">
              <w:rPr>
                <w:b/>
                <w:bCs/>
              </w:rPr>
              <w:t xml:space="preserve">mg </w:t>
            </w:r>
          </w:p>
          <w:p w14:paraId="06DA40D4" w14:textId="4AD644AA" w:rsidR="007543BB" w:rsidRPr="00FF3059" w:rsidRDefault="002D677C" w:rsidP="00FF3059">
            <w:pPr>
              <w:keepNext/>
              <w:jc w:val="center"/>
            </w:pPr>
            <w:r w:rsidRPr="00FF3059">
              <w:t>vs. placebo</w:t>
            </w:r>
          </w:p>
        </w:tc>
      </w:tr>
      <w:tr w:rsidR="007543BB" w14:paraId="4ECDE1BE" w14:textId="77777777" w:rsidTr="00FF3059">
        <w:trPr>
          <w:cantSplit/>
          <w:tblHeader/>
        </w:trPr>
        <w:tc>
          <w:tcPr>
            <w:tcW w:w="1373" w:type="dxa"/>
            <w:shd w:val="clear" w:color="auto" w:fill="auto"/>
          </w:tcPr>
          <w:p w14:paraId="5793C15B" w14:textId="77777777" w:rsidR="007543BB" w:rsidRPr="00FF3059" w:rsidRDefault="007543BB" w:rsidP="00FF3059">
            <w:pPr>
              <w:keepNext/>
            </w:pPr>
          </w:p>
        </w:tc>
        <w:tc>
          <w:tcPr>
            <w:tcW w:w="1368" w:type="dxa"/>
            <w:shd w:val="clear" w:color="auto" w:fill="auto"/>
          </w:tcPr>
          <w:p w14:paraId="5A6DB146" w14:textId="77777777" w:rsidR="007543BB" w:rsidRPr="00FF3059" w:rsidRDefault="007543BB" w:rsidP="00FF3059">
            <w:pPr>
              <w:keepNext/>
              <w:jc w:val="center"/>
            </w:pPr>
          </w:p>
        </w:tc>
        <w:tc>
          <w:tcPr>
            <w:tcW w:w="1368" w:type="dxa"/>
            <w:shd w:val="clear" w:color="auto" w:fill="auto"/>
          </w:tcPr>
          <w:p w14:paraId="3D36B5E1" w14:textId="77777777" w:rsidR="007543BB" w:rsidRPr="00FF3059" w:rsidRDefault="002D677C" w:rsidP="00FF3059">
            <w:pPr>
              <w:keepNext/>
              <w:jc w:val="center"/>
            </w:pPr>
            <w:r w:rsidRPr="00FF3059">
              <w:t>n (%)</w:t>
            </w:r>
          </w:p>
        </w:tc>
        <w:tc>
          <w:tcPr>
            <w:tcW w:w="1368" w:type="dxa"/>
            <w:shd w:val="clear" w:color="auto" w:fill="auto"/>
          </w:tcPr>
          <w:p w14:paraId="76EC3E58" w14:textId="77777777" w:rsidR="007543BB" w:rsidRPr="00FF3059" w:rsidRDefault="007543BB" w:rsidP="00FF3059">
            <w:pPr>
              <w:keepNext/>
              <w:jc w:val="center"/>
            </w:pPr>
          </w:p>
        </w:tc>
        <w:tc>
          <w:tcPr>
            <w:tcW w:w="1748" w:type="dxa"/>
            <w:shd w:val="clear" w:color="auto" w:fill="auto"/>
          </w:tcPr>
          <w:p w14:paraId="6020AC5B" w14:textId="77777777" w:rsidR="007543BB" w:rsidRPr="00FF3059" w:rsidRDefault="007543BB" w:rsidP="00FF3059">
            <w:pPr>
              <w:keepNext/>
              <w:jc w:val="center"/>
            </w:pPr>
          </w:p>
        </w:tc>
        <w:tc>
          <w:tcPr>
            <w:tcW w:w="1842" w:type="dxa"/>
            <w:shd w:val="clear" w:color="auto" w:fill="auto"/>
          </w:tcPr>
          <w:p w14:paraId="6080F899" w14:textId="77777777" w:rsidR="007543BB" w:rsidRPr="00FF3059" w:rsidRDefault="007543BB" w:rsidP="00FF3059">
            <w:pPr>
              <w:keepNext/>
              <w:jc w:val="center"/>
            </w:pPr>
          </w:p>
        </w:tc>
      </w:tr>
      <w:tr w:rsidR="007543BB" w14:paraId="71ABC5E1" w14:textId="77777777" w:rsidTr="00FF3059">
        <w:trPr>
          <w:cantSplit/>
        </w:trPr>
        <w:tc>
          <w:tcPr>
            <w:tcW w:w="1373" w:type="dxa"/>
            <w:shd w:val="clear" w:color="auto" w:fill="auto"/>
          </w:tcPr>
          <w:p w14:paraId="4B5A1FE6" w14:textId="77777777" w:rsidR="007543BB" w:rsidRPr="00FF3059" w:rsidRDefault="002D677C" w:rsidP="00FF3059">
            <w:pPr>
              <w:keepNext/>
            </w:pPr>
            <w:r w:rsidRPr="00FF3059">
              <w:t>Nagyfokú</w:t>
            </w:r>
          </w:p>
        </w:tc>
        <w:tc>
          <w:tcPr>
            <w:tcW w:w="1368" w:type="dxa"/>
            <w:shd w:val="clear" w:color="auto" w:fill="auto"/>
          </w:tcPr>
          <w:p w14:paraId="5B868748" w14:textId="77777777" w:rsidR="007543BB" w:rsidRPr="00FF3059" w:rsidRDefault="002D677C" w:rsidP="00FF3059">
            <w:pPr>
              <w:keepNext/>
              <w:jc w:val="center"/>
            </w:pPr>
            <w:r w:rsidRPr="00FF3059">
              <w:t>2 (0,2)</w:t>
            </w:r>
          </w:p>
        </w:tc>
        <w:tc>
          <w:tcPr>
            <w:tcW w:w="1368" w:type="dxa"/>
            <w:shd w:val="clear" w:color="auto" w:fill="auto"/>
          </w:tcPr>
          <w:p w14:paraId="5300AEFF" w14:textId="77777777" w:rsidR="007543BB" w:rsidRPr="00FF3059" w:rsidRDefault="002D677C" w:rsidP="00FF3059">
            <w:pPr>
              <w:keepNext/>
              <w:jc w:val="center"/>
            </w:pPr>
            <w:r w:rsidRPr="00FF3059">
              <w:t>1 (0,1)</w:t>
            </w:r>
          </w:p>
        </w:tc>
        <w:tc>
          <w:tcPr>
            <w:tcW w:w="1368" w:type="dxa"/>
            <w:shd w:val="clear" w:color="auto" w:fill="auto"/>
          </w:tcPr>
          <w:p w14:paraId="5C463E4F" w14:textId="77777777" w:rsidR="007543BB" w:rsidRPr="00FF3059" w:rsidRDefault="002D677C" w:rsidP="00FF3059">
            <w:pPr>
              <w:keepNext/>
              <w:jc w:val="center"/>
            </w:pPr>
            <w:r w:rsidRPr="00FF3059">
              <w:t>4 (0,5)</w:t>
            </w:r>
          </w:p>
        </w:tc>
        <w:tc>
          <w:tcPr>
            <w:tcW w:w="1748" w:type="dxa"/>
            <w:shd w:val="clear" w:color="auto" w:fill="auto"/>
          </w:tcPr>
          <w:p w14:paraId="0DD13618" w14:textId="5E1D3463" w:rsidR="007543BB" w:rsidRPr="00FF3059" w:rsidRDefault="002D677C" w:rsidP="00FF3059">
            <w:pPr>
              <w:keepNext/>
              <w:jc w:val="center"/>
            </w:pPr>
            <w:r w:rsidRPr="00FF3059">
              <w:t xml:space="preserve">0,49 </w:t>
            </w:r>
            <w:r w:rsidR="00FF3059">
              <w:br/>
            </w:r>
            <w:r w:rsidRPr="00FF3059">
              <w:t>(0,09; 2,64)</w:t>
            </w:r>
          </w:p>
        </w:tc>
        <w:tc>
          <w:tcPr>
            <w:tcW w:w="1842" w:type="dxa"/>
            <w:shd w:val="clear" w:color="auto" w:fill="auto"/>
          </w:tcPr>
          <w:p w14:paraId="2E14DE95" w14:textId="5472C58A" w:rsidR="007543BB" w:rsidRPr="00FF3059" w:rsidRDefault="002D677C" w:rsidP="00FF3059">
            <w:pPr>
              <w:keepNext/>
              <w:jc w:val="center"/>
            </w:pPr>
            <w:r w:rsidRPr="00FF3059">
              <w:t xml:space="preserve">0,25 </w:t>
            </w:r>
            <w:r w:rsidR="00FF3059">
              <w:br/>
            </w:r>
            <w:r w:rsidRPr="00FF3059">
              <w:t>(0,03; 2,24)</w:t>
            </w:r>
          </w:p>
        </w:tc>
      </w:tr>
      <w:tr w:rsidR="007543BB" w14:paraId="5F54416C" w14:textId="77777777" w:rsidTr="00FF3059">
        <w:trPr>
          <w:cantSplit/>
        </w:trPr>
        <w:tc>
          <w:tcPr>
            <w:tcW w:w="1373" w:type="dxa"/>
            <w:shd w:val="clear" w:color="auto" w:fill="auto"/>
          </w:tcPr>
          <w:p w14:paraId="5CECF91B" w14:textId="77777777" w:rsidR="007E62BE" w:rsidRDefault="002D677C" w:rsidP="00FF3059">
            <w:pPr>
              <w:keepNext/>
            </w:pPr>
            <w:r w:rsidRPr="00FF3059">
              <w:t xml:space="preserve">Nagyfokú + </w:t>
            </w:r>
          </w:p>
          <w:p w14:paraId="65D33B14" w14:textId="0BB5EA5F" w:rsidR="007543BB" w:rsidRPr="00FF3059" w:rsidRDefault="002D677C" w:rsidP="00FF3059">
            <w:pPr>
              <w:keepNext/>
            </w:pPr>
            <w:r w:rsidRPr="00FF3059">
              <w:t>CRNM</w:t>
            </w:r>
          </w:p>
        </w:tc>
        <w:tc>
          <w:tcPr>
            <w:tcW w:w="1368" w:type="dxa"/>
            <w:shd w:val="clear" w:color="auto" w:fill="auto"/>
          </w:tcPr>
          <w:p w14:paraId="738E4F4C" w14:textId="77777777" w:rsidR="007543BB" w:rsidRPr="00FF3059" w:rsidRDefault="002D677C" w:rsidP="00FF3059">
            <w:pPr>
              <w:keepNext/>
              <w:jc w:val="center"/>
            </w:pPr>
            <w:r w:rsidRPr="00FF3059">
              <w:t>27 (3,2)</w:t>
            </w:r>
          </w:p>
        </w:tc>
        <w:tc>
          <w:tcPr>
            <w:tcW w:w="1368" w:type="dxa"/>
            <w:shd w:val="clear" w:color="auto" w:fill="auto"/>
          </w:tcPr>
          <w:p w14:paraId="3584F911" w14:textId="77777777" w:rsidR="007543BB" w:rsidRPr="00FF3059" w:rsidRDefault="002D677C" w:rsidP="00FF3059">
            <w:pPr>
              <w:keepNext/>
              <w:jc w:val="center"/>
            </w:pPr>
            <w:r w:rsidRPr="00FF3059">
              <w:t>35 (4,3)</w:t>
            </w:r>
          </w:p>
        </w:tc>
        <w:tc>
          <w:tcPr>
            <w:tcW w:w="1368" w:type="dxa"/>
            <w:shd w:val="clear" w:color="auto" w:fill="auto"/>
          </w:tcPr>
          <w:p w14:paraId="4953CEBA" w14:textId="77777777" w:rsidR="007543BB" w:rsidRPr="00FF3059" w:rsidRDefault="002D677C" w:rsidP="00FF3059">
            <w:pPr>
              <w:keepNext/>
              <w:jc w:val="center"/>
            </w:pPr>
            <w:r w:rsidRPr="00FF3059">
              <w:t>22 (2,7)</w:t>
            </w:r>
          </w:p>
        </w:tc>
        <w:tc>
          <w:tcPr>
            <w:tcW w:w="1748" w:type="dxa"/>
            <w:shd w:val="clear" w:color="auto" w:fill="auto"/>
          </w:tcPr>
          <w:p w14:paraId="2F2E8F56" w14:textId="216FB599" w:rsidR="007543BB" w:rsidRPr="00FF3059" w:rsidRDefault="002D677C" w:rsidP="00FF3059">
            <w:pPr>
              <w:keepNext/>
              <w:jc w:val="center"/>
            </w:pPr>
            <w:r w:rsidRPr="00FF3059">
              <w:t xml:space="preserve">1,20 </w:t>
            </w:r>
            <w:r w:rsidR="00FF3059">
              <w:br/>
            </w:r>
            <w:r w:rsidRPr="00FF3059">
              <w:t>(0,69; 2,10)</w:t>
            </w:r>
          </w:p>
        </w:tc>
        <w:tc>
          <w:tcPr>
            <w:tcW w:w="1842" w:type="dxa"/>
            <w:shd w:val="clear" w:color="auto" w:fill="auto"/>
          </w:tcPr>
          <w:p w14:paraId="283DA0F3" w14:textId="52113212" w:rsidR="007543BB" w:rsidRPr="00FF3059" w:rsidRDefault="002D677C" w:rsidP="00FF3059">
            <w:pPr>
              <w:keepNext/>
              <w:jc w:val="center"/>
            </w:pPr>
            <w:r w:rsidRPr="00FF3059">
              <w:t xml:space="preserve">1,62 </w:t>
            </w:r>
            <w:r w:rsidR="00FF3059">
              <w:br/>
            </w:r>
            <w:r w:rsidRPr="00FF3059">
              <w:t>(0,96; 2,73)</w:t>
            </w:r>
          </w:p>
        </w:tc>
      </w:tr>
      <w:tr w:rsidR="007543BB" w14:paraId="5267E678" w14:textId="77777777" w:rsidTr="00FF3059">
        <w:trPr>
          <w:cantSplit/>
        </w:trPr>
        <w:tc>
          <w:tcPr>
            <w:tcW w:w="1373" w:type="dxa"/>
            <w:shd w:val="clear" w:color="auto" w:fill="auto"/>
          </w:tcPr>
          <w:p w14:paraId="3E5EC073" w14:textId="77777777" w:rsidR="007543BB" w:rsidRPr="00FF3059" w:rsidRDefault="002D677C" w:rsidP="00FF3059">
            <w:pPr>
              <w:keepNext/>
            </w:pPr>
            <w:r w:rsidRPr="00FF3059">
              <w:t>Kisfokú</w:t>
            </w:r>
          </w:p>
        </w:tc>
        <w:tc>
          <w:tcPr>
            <w:tcW w:w="1368" w:type="dxa"/>
            <w:shd w:val="clear" w:color="auto" w:fill="auto"/>
          </w:tcPr>
          <w:p w14:paraId="5409CB0D" w14:textId="77777777" w:rsidR="007543BB" w:rsidRPr="00FF3059" w:rsidRDefault="002D677C" w:rsidP="00FF3059">
            <w:pPr>
              <w:keepNext/>
              <w:jc w:val="center"/>
            </w:pPr>
            <w:r w:rsidRPr="00FF3059">
              <w:t>75 (8,9)</w:t>
            </w:r>
          </w:p>
        </w:tc>
        <w:tc>
          <w:tcPr>
            <w:tcW w:w="1368" w:type="dxa"/>
            <w:shd w:val="clear" w:color="auto" w:fill="auto"/>
          </w:tcPr>
          <w:p w14:paraId="16BF924F" w14:textId="77777777" w:rsidR="007543BB" w:rsidRPr="00FF3059" w:rsidRDefault="002D677C" w:rsidP="00FF3059">
            <w:pPr>
              <w:keepNext/>
              <w:jc w:val="center"/>
            </w:pPr>
            <w:r w:rsidRPr="00FF3059">
              <w:t>98 (12,1)</w:t>
            </w:r>
          </w:p>
        </w:tc>
        <w:tc>
          <w:tcPr>
            <w:tcW w:w="1368" w:type="dxa"/>
            <w:shd w:val="clear" w:color="auto" w:fill="auto"/>
          </w:tcPr>
          <w:p w14:paraId="4E5C9958" w14:textId="77777777" w:rsidR="007543BB" w:rsidRPr="00FF3059" w:rsidRDefault="002D677C" w:rsidP="00FF3059">
            <w:pPr>
              <w:keepNext/>
              <w:jc w:val="center"/>
            </w:pPr>
            <w:r w:rsidRPr="00FF3059">
              <w:t>58 (7,0)</w:t>
            </w:r>
          </w:p>
        </w:tc>
        <w:tc>
          <w:tcPr>
            <w:tcW w:w="1748" w:type="dxa"/>
            <w:shd w:val="clear" w:color="auto" w:fill="auto"/>
          </w:tcPr>
          <w:p w14:paraId="5173AB18" w14:textId="55967D2E" w:rsidR="007543BB" w:rsidRPr="00FF3059" w:rsidRDefault="002D677C" w:rsidP="00FF3059">
            <w:pPr>
              <w:keepNext/>
              <w:jc w:val="center"/>
            </w:pPr>
            <w:r w:rsidRPr="00FF3059">
              <w:t xml:space="preserve">1,26 </w:t>
            </w:r>
            <w:r w:rsidR="00FF3059">
              <w:br/>
            </w:r>
            <w:r w:rsidRPr="00FF3059">
              <w:t>(0,91; 1,75)</w:t>
            </w:r>
          </w:p>
        </w:tc>
        <w:tc>
          <w:tcPr>
            <w:tcW w:w="1842" w:type="dxa"/>
            <w:shd w:val="clear" w:color="auto" w:fill="auto"/>
          </w:tcPr>
          <w:p w14:paraId="5D77A7A9" w14:textId="78BACECD" w:rsidR="007543BB" w:rsidRPr="00FF3059" w:rsidRDefault="002D677C" w:rsidP="00FF3059">
            <w:pPr>
              <w:keepNext/>
              <w:jc w:val="center"/>
            </w:pPr>
            <w:r w:rsidRPr="00FF3059">
              <w:t xml:space="preserve">1,70 </w:t>
            </w:r>
            <w:r w:rsidR="00FF3059">
              <w:br/>
            </w:r>
            <w:r w:rsidRPr="00FF3059">
              <w:t>(1,25; 2,31)</w:t>
            </w:r>
          </w:p>
        </w:tc>
      </w:tr>
      <w:tr w:rsidR="007543BB" w14:paraId="1E729D17" w14:textId="77777777" w:rsidTr="00FF3059">
        <w:trPr>
          <w:cantSplit/>
        </w:trPr>
        <w:tc>
          <w:tcPr>
            <w:tcW w:w="1373" w:type="dxa"/>
            <w:shd w:val="clear" w:color="auto" w:fill="auto"/>
          </w:tcPr>
          <w:p w14:paraId="77016EE5" w14:textId="77777777" w:rsidR="007543BB" w:rsidRPr="00FF3059" w:rsidRDefault="002D677C" w:rsidP="00FF3059">
            <w:r w:rsidRPr="00FF3059">
              <w:t>Összes</w:t>
            </w:r>
          </w:p>
        </w:tc>
        <w:tc>
          <w:tcPr>
            <w:tcW w:w="1368" w:type="dxa"/>
            <w:shd w:val="clear" w:color="auto" w:fill="auto"/>
          </w:tcPr>
          <w:p w14:paraId="0D083736" w14:textId="77777777" w:rsidR="007543BB" w:rsidRPr="00FF3059" w:rsidRDefault="002D677C" w:rsidP="00FF3059">
            <w:pPr>
              <w:jc w:val="center"/>
            </w:pPr>
            <w:r w:rsidRPr="00FF3059">
              <w:t>94 (11,2)</w:t>
            </w:r>
          </w:p>
        </w:tc>
        <w:tc>
          <w:tcPr>
            <w:tcW w:w="1368" w:type="dxa"/>
            <w:shd w:val="clear" w:color="auto" w:fill="auto"/>
          </w:tcPr>
          <w:p w14:paraId="0F3ADB60" w14:textId="77777777" w:rsidR="007543BB" w:rsidRPr="00FF3059" w:rsidRDefault="002D677C" w:rsidP="00FF3059">
            <w:pPr>
              <w:jc w:val="center"/>
            </w:pPr>
            <w:r w:rsidRPr="00FF3059">
              <w:t>121 (14,9)</w:t>
            </w:r>
          </w:p>
        </w:tc>
        <w:tc>
          <w:tcPr>
            <w:tcW w:w="1368" w:type="dxa"/>
            <w:shd w:val="clear" w:color="auto" w:fill="auto"/>
          </w:tcPr>
          <w:p w14:paraId="5FFEB3A9" w14:textId="77777777" w:rsidR="007543BB" w:rsidRPr="00FF3059" w:rsidRDefault="002D677C" w:rsidP="00FF3059">
            <w:pPr>
              <w:jc w:val="center"/>
            </w:pPr>
            <w:r w:rsidRPr="00FF3059">
              <w:t>74 (9,0)</w:t>
            </w:r>
          </w:p>
        </w:tc>
        <w:tc>
          <w:tcPr>
            <w:tcW w:w="1748" w:type="dxa"/>
            <w:shd w:val="clear" w:color="auto" w:fill="auto"/>
          </w:tcPr>
          <w:p w14:paraId="493F46AA" w14:textId="094D3C4F" w:rsidR="007543BB" w:rsidRPr="00FF3059" w:rsidRDefault="002D677C" w:rsidP="00FF3059">
            <w:pPr>
              <w:jc w:val="center"/>
            </w:pPr>
            <w:r w:rsidRPr="00FF3059">
              <w:t xml:space="preserve">1,24 </w:t>
            </w:r>
            <w:r w:rsidR="00FF3059">
              <w:br/>
            </w:r>
            <w:r w:rsidRPr="00FF3059">
              <w:t>(0,93; 1,65)</w:t>
            </w:r>
          </w:p>
        </w:tc>
        <w:tc>
          <w:tcPr>
            <w:tcW w:w="1842" w:type="dxa"/>
            <w:shd w:val="clear" w:color="auto" w:fill="auto"/>
          </w:tcPr>
          <w:p w14:paraId="1B86D3A8" w14:textId="319C8EC0" w:rsidR="007543BB" w:rsidRPr="00FF3059" w:rsidRDefault="002D677C" w:rsidP="00FF3059">
            <w:pPr>
              <w:jc w:val="center"/>
            </w:pPr>
            <w:r w:rsidRPr="00FF3059">
              <w:t xml:space="preserve">1,65 </w:t>
            </w:r>
            <w:r w:rsidR="00FF3059">
              <w:br/>
            </w:r>
            <w:r w:rsidRPr="00FF3059">
              <w:t>(1,26; 2,16)</w:t>
            </w:r>
          </w:p>
        </w:tc>
      </w:tr>
    </w:tbl>
    <w:p w14:paraId="2E0132A7" w14:textId="77777777" w:rsidR="007543BB" w:rsidRPr="00FF3059" w:rsidRDefault="007543BB" w:rsidP="00FF3059"/>
    <w:p w14:paraId="7F010C74" w14:textId="215542A6" w:rsidR="007543BB" w:rsidRDefault="002D677C" w:rsidP="00FF3059">
      <w:r w:rsidRPr="00FF3059">
        <w:t>Igazolt, ISTH szerinti nagyfokú gastrointestinalis vérzés a naponta kétszer 5</w:t>
      </w:r>
      <w:r w:rsidR="007E62BE">
        <w:t> </w:t>
      </w:r>
      <w:r w:rsidRPr="00FF3059">
        <w:t>mg apixabánnal kezelt betegek közül 1-nél(0,1%), a naponta kétszer 2,5</w:t>
      </w:r>
      <w:r w:rsidR="007E62BE">
        <w:t> </w:t>
      </w:r>
      <w:r w:rsidRPr="00FF3059">
        <w:t>mg apixabánnal kezelt betegek közül egynél sem, a placebóval kezelt betegek közül pedig 1-nél</w:t>
      </w:r>
      <w:r w:rsidR="007E62BE">
        <w:t> </w:t>
      </w:r>
      <w:r w:rsidRPr="00FF3059">
        <w:t>(0,1%) fordult elő.</w:t>
      </w:r>
    </w:p>
    <w:p w14:paraId="5C1A53C6" w14:textId="77777777" w:rsidR="00FF3059" w:rsidRPr="00FF3059" w:rsidRDefault="00FF3059" w:rsidP="00FF3059"/>
    <w:p w14:paraId="6647AB89" w14:textId="77777777" w:rsidR="007543BB" w:rsidRDefault="002D677C" w:rsidP="00FF3059">
      <w:pPr>
        <w:keepNext/>
        <w:rPr>
          <w:u w:val="single"/>
        </w:rPr>
      </w:pPr>
      <w:r w:rsidRPr="00FF3059">
        <w:rPr>
          <w:u w:val="single"/>
        </w:rPr>
        <w:t>Gyermekek és serdülők</w:t>
      </w:r>
    </w:p>
    <w:p w14:paraId="0775AD24" w14:textId="5AA6878F" w:rsidR="007543BB" w:rsidRDefault="002D677C" w:rsidP="00FF3059">
      <w:r w:rsidRPr="00FF3059">
        <w:t xml:space="preserve">Az Európai Gyógyszerügynökség a gyermekek és serdülők esetén egy vagy több korosztálynál halasztást engedélyez az </w:t>
      </w:r>
      <w:r w:rsidR="007404EB">
        <w:t>Apixaban Viatris Pharma</w:t>
      </w:r>
      <w:r w:rsidRPr="00FF3059">
        <w:t xml:space="preserve"> vizsgálati eredményeinek benyújtási kötelezettségét illetően a vénás thromboembolia kezelése indikációban (lásd 4.2</w:t>
      </w:r>
      <w:r w:rsidR="00F57CEF">
        <w:t> </w:t>
      </w:r>
      <w:r w:rsidRPr="00FF3059">
        <w:t>pont, gyermekgyógyászati alkalmazásra vonatkozó információk).</w:t>
      </w:r>
    </w:p>
    <w:p w14:paraId="1FC9B000" w14:textId="77777777" w:rsidR="00FF3059" w:rsidRPr="00FF3059" w:rsidRDefault="00FF3059" w:rsidP="00FF3059"/>
    <w:p w14:paraId="487FEA96" w14:textId="5687E788" w:rsidR="007543BB" w:rsidRDefault="00390A1D" w:rsidP="0089574A">
      <w:pPr>
        <w:keepNext/>
        <w:ind w:left="567" w:hanging="567"/>
        <w:rPr>
          <w:b/>
          <w:bCs/>
        </w:rPr>
      </w:pPr>
      <w:r>
        <w:rPr>
          <w:b/>
          <w:bCs/>
        </w:rPr>
        <w:t>5.2</w:t>
      </w:r>
      <w:r>
        <w:rPr>
          <w:b/>
          <w:bCs/>
        </w:rPr>
        <w:tab/>
      </w:r>
      <w:r w:rsidR="002D677C" w:rsidRPr="0089574A">
        <w:rPr>
          <w:b/>
          <w:bCs/>
        </w:rPr>
        <w:t>Farmakokinetikai tulajdonságok</w:t>
      </w:r>
    </w:p>
    <w:p w14:paraId="096A2257" w14:textId="77777777" w:rsidR="00190CCC" w:rsidRPr="0089574A" w:rsidRDefault="00190CCC" w:rsidP="0089574A">
      <w:pPr>
        <w:keepNext/>
        <w:ind w:left="567" w:hanging="567"/>
        <w:rPr>
          <w:b/>
          <w:bCs/>
        </w:rPr>
      </w:pPr>
    </w:p>
    <w:p w14:paraId="6E575248" w14:textId="77777777" w:rsidR="007543BB" w:rsidRDefault="002D677C" w:rsidP="00190CCC">
      <w:pPr>
        <w:keepNext/>
        <w:rPr>
          <w:u w:val="single"/>
        </w:rPr>
      </w:pPr>
      <w:r w:rsidRPr="00190CCC">
        <w:rPr>
          <w:u w:val="single"/>
        </w:rPr>
        <w:t>Felszívódás</w:t>
      </w:r>
    </w:p>
    <w:p w14:paraId="63DAA74E" w14:textId="77777777" w:rsidR="00190CCC" w:rsidRPr="00190CCC" w:rsidRDefault="00190CCC" w:rsidP="00190CCC">
      <w:pPr>
        <w:keepNext/>
        <w:rPr>
          <w:u w:val="single"/>
        </w:rPr>
      </w:pPr>
    </w:p>
    <w:p w14:paraId="26FC9389" w14:textId="4295948A" w:rsidR="007543BB" w:rsidRDefault="002D677C" w:rsidP="00190CCC">
      <w:r w:rsidRPr="00190CCC">
        <w:t>Az apixabán abszolút biohasznosulása 10</w:t>
      </w:r>
      <w:r w:rsidR="00F57CEF">
        <w:t> </w:t>
      </w:r>
      <w:r w:rsidRPr="00190CCC">
        <w:t>mg-os dózisig körülbelül 50%. Az apixabán gyorsan felszívódik, csúcskoncentrációját (C</w:t>
      </w:r>
      <w:r w:rsidRPr="00190CCC">
        <w:rPr>
          <w:vertAlign w:val="subscript"/>
        </w:rPr>
        <w:t>max</w:t>
      </w:r>
      <w:r w:rsidRPr="00190CCC">
        <w:t>) 3</w:t>
      </w:r>
      <w:r w:rsidR="00190CCC">
        <w:t>–</w:t>
      </w:r>
      <w:r w:rsidRPr="00190CCC">
        <w:t>4</w:t>
      </w:r>
      <w:r w:rsidR="00F57CEF">
        <w:t> </w:t>
      </w:r>
      <w:r w:rsidRPr="00190CCC">
        <w:t>órával a tabletta bevétele után éri el. Az étkezés közben történő bevétel 10</w:t>
      </w:r>
      <w:r w:rsidR="00F57CEF">
        <w:t> </w:t>
      </w:r>
      <w:r w:rsidRPr="00190CCC">
        <w:t>mg-os dózis mellett nem befolyásolja az apixabán AUC- vagy C</w:t>
      </w:r>
      <w:r w:rsidRPr="00190CCC">
        <w:rPr>
          <w:vertAlign w:val="subscript"/>
        </w:rPr>
        <w:t>max</w:t>
      </w:r>
      <w:r w:rsidRPr="00190CCC">
        <w:t>-értékeket. Az apixabán étkezés alatt vagy étkezéstől függetlenül is bevehető.</w:t>
      </w:r>
    </w:p>
    <w:p w14:paraId="095FB840" w14:textId="77777777" w:rsidR="00190CCC" w:rsidRPr="00190CCC" w:rsidRDefault="00190CCC" w:rsidP="00190CCC"/>
    <w:p w14:paraId="42B4C084" w14:textId="135B92E8" w:rsidR="007543BB" w:rsidRDefault="002D677C" w:rsidP="00190CCC">
      <w:r w:rsidRPr="00190CCC">
        <w:t>Az apixabán naponta 10</w:t>
      </w:r>
      <w:r w:rsidR="00F57CEF">
        <w:t> </w:t>
      </w:r>
      <w:r w:rsidRPr="00190CCC">
        <w:t>mg-ig növekvő, szájon át történő adagolás mellett a dózissal arányos, lineáris farmakokinetikát mutat. A 25</w:t>
      </w:r>
      <w:r w:rsidR="00F57CEF">
        <w:t> </w:t>
      </w:r>
      <w:r w:rsidRPr="00190CCC">
        <w:t>mg-os vagy annál nagyobb adagokban az apixabán az oldódás által korlátozott felszívódást mutat, csökkent biohasznosulással. Az apixabán-expozíciós paraméterek alacsony, illetve közepes mértékű variabilitást mutatnak, amit az egyénen belüli variabilitás kb. 20%-os variációs együtthatója, míg az egyének közötti variabilitás kb. 30%-os variációs együtthatója jelez.</w:t>
      </w:r>
    </w:p>
    <w:p w14:paraId="7192F1CA" w14:textId="77777777" w:rsidR="00190CCC" w:rsidRPr="00190CCC" w:rsidRDefault="00190CCC" w:rsidP="00190CCC"/>
    <w:p w14:paraId="2B4A6850" w14:textId="5A9BCE4F" w:rsidR="007543BB" w:rsidRDefault="002D677C" w:rsidP="00190CCC">
      <w:r w:rsidRPr="00190CCC">
        <w:t>10</w:t>
      </w:r>
      <w:r w:rsidR="00F57CEF">
        <w:t> </w:t>
      </w:r>
      <w:r w:rsidRPr="00190CCC">
        <w:t>mg apixabán 2</w:t>
      </w:r>
      <w:r w:rsidR="00F57CEF">
        <w:t> </w:t>
      </w:r>
      <w:r w:rsidRPr="00190CCC">
        <w:t>db porrá tört, 30</w:t>
      </w:r>
      <w:r w:rsidR="00F57CEF">
        <w:t> </w:t>
      </w:r>
      <w:r w:rsidRPr="00190CCC">
        <w:t>ml vízben szuszpendált 5</w:t>
      </w:r>
      <w:r w:rsidR="00F57CEF">
        <w:t> </w:t>
      </w:r>
      <w:r w:rsidRPr="00190CCC">
        <w:t>mg-os tabletta formájában, szájon át történő bevétele után az expozíció összemérhető volt 2</w:t>
      </w:r>
      <w:r w:rsidR="00F57CEF">
        <w:t> </w:t>
      </w:r>
      <w:r w:rsidRPr="00190CCC">
        <w:t>db 5</w:t>
      </w:r>
      <w:r w:rsidR="00F57CEF">
        <w:t> </w:t>
      </w:r>
      <w:r w:rsidRPr="00190CCC">
        <w:t>mg-os tabletta szájon át, egészben történő bevétele után mért expozícióval. 10</w:t>
      </w:r>
      <w:r w:rsidR="00F57CEF">
        <w:t> </w:t>
      </w:r>
      <w:r w:rsidRPr="00190CCC">
        <w:t>mg apixabán 2</w:t>
      </w:r>
      <w:r w:rsidR="00F57CEF">
        <w:t> </w:t>
      </w:r>
      <w:r w:rsidRPr="00190CCC">
        <w:t>db porrá tört, 30</w:t>
      </w:r>
      <w:r w:rsidR="00F57CEF">
        <w:t> </w:t>
      </w:r>
      <w:r w:rsidRPr="00190CCC">
        <w:t>g almapüréhez kevert 5</w:t>
      </w:r>
      <w:r w:rsidR="00F57CEF">
        <w:t> </w:t>
      </w:r>
      <w:r w:rsidRPr="00190CCC">
        <w:t>mg-os tabletta formájában, szájon át történő beadása után a C</w:t>
      </w:r>
      <w:r w:rsidRPr="00190CCC">
        <w:rPr>
          <w:vertAlign w:val="subscript"/>
        </w:rPr>
        <w:t>max</w:t>
      </w:r>
      <w:r w:rsidRPr="00190CCC">
        <w:t xml:space="preserve"> 21%-kal, az AUC pedig 16%-kal alacsonyabb volt, mint amit 2</w:t>
      </w:r>
      <w:r w:rsidR="00F57CEF">
        <w:t> </w:t>
      </w:r>
      <w:r w:rsidRPr="00190CCC">
        <w:t>db egészben bevett 5</w:t>
      </w:r>
      <w:r w:rsidR="00F57CEF">
        <w:t> </w:t>
      </w:r>
      <w:r w:rsidRPr="00190CCC">
        <w:t>mg-os tabletta után mértek. Az expozíció csökkenése nem minősül klinikailag jelentősnek.</w:t>
      </w:r>
    </w:p>
    <w:p w14:paraId="2BFCF0CA" w14:textId="77777777" w:rsidR="00190CCC" w:rsidRPr="00190CCC" w:rsidRDefault="00190CCC" w:rsidP="00190CCC"/>
    <w:p w14:paraId="60908F2A" w14:textId="1AFF6E4B" w:rsidR="007543BB" w:rsidRDefault="002D677C" w:rsidP="00190CCC">
      <w:r w:rsidRPr="00190CCC">
        <w:t xml:space="preserve">Egy porrá tört, </w:t>
      </w:r>
      <w:r w:rsidR="004A01C2">
        <w:t> </w:t>
      </w:r>
      <w:r w:rsidRPr="00190CCC">
        <w:t>ml 5%-os glükózoldatban szuszpendált 5</w:t>
      </w:r>
      <w:r w:rsidR="004A01C2">
        <w:t> </w:t>
      </w:r>
      <w:r w:rsidRPr="00190CCC">
        <w:t>mg-os apixabán tabletta nasogastricus szondán át történő beadása után az expozíció hasonló volt olyan más klinikai vizsgálatokban mért expozícióhoz, ahol egészséges alanyok egy 5</w:t>
      </w:r>
      <w:r w:rsidR="004A01C2">
        <w:t> </w:t>
      </w:r>
      <w:r w:rsidRPr="00190CCC">
        <w:t>mg-os apixabán tablettát kaptak szájon át.</w:t>
      </w:r>
    </w:p>
    <w:p w14:paraId="353F251B" w14:textId="77777777" w:rsidR="00190CCC" w:rsidRPr="00190CCC" w:rsidRDefault="00190CCC" w:rsidP="00190CCC"/>
    <w:p w14:paraId="24D130C0" w14:textId="77777777" w:rsidR="007543BB" w:rsidRDefault="002D677C" w:rsidP="00190CCC">
      <w:r w:rsidRPr="00190CCC">
        <w:t>Az apixabán előre jelezhető, dózisarányos farmakokinetikai profilja miatt az elvégzett klinikai vizsgálatokból származó biohasznosulási eredmények alacsonyabb apixabán dózisokra is érvényesek.</w:t>
      </w:r>
    </w:p>
    <w:p w14:paraId="512C32E4" w14:textId="77777777" w:rsidR="00190CCC" w:rsidRPr="00190CCC" w:rsidRDefault="00190CCC" w:rsidP="00190CCC"/>
    <w:p w14:paraId="2EC44ECD" w14:textId="77777777" w:rsidR="007543BB" w:rsidRDefault="002D677C" w:rsidP="00190CCC">
      <w:pPr>
        <w:keepNext/>
        <w:rPr>
          <w:u w:val="single"/>
        </w:rPr>
      </w:pPr>
      <w:r w:rsidRPr="00190CCC">
        <w:rPr>
          <w:u w:val="single"/>
        </w:rPr>
        <w:t>Eloszlás</w:t>
      </w:r>
    </w:p>
    <w:p w14:paraId="20DA8303" w14:textId="77777777" w:rsidR="00190CCC" w:rsidRPr="00190CCC" w:rsidRDefault="00190CCC" w:rsidP="00190CCC">
      <w:pPr>
        <w:keepNext/>
        <w:rPr>
          <w:u w:val="single"/>
        </w:rPr>
      </w:pPr>
    </w:p>
    <w:p w14:paraId="3C0FD282" w14:textId="543700A5" w:rsidR="007543BB" w:rsidRDefault="002D677C" w:rsidP="0055342D">
      <w:r w:rsidRPr="0055342D">
        <w:t>A plazmafehérjékhez való kötődése felnőtteknél hozzávetőlegesen 87%. Megoszlási térfogata (V</w:t>
      </w:r>
      <w:r w:rsidRPr="0055342D">
        <w:rPr>
          <w:vertAlign w:val="subscript"/>
        </w:rPr>
        <w:t>ss</w:t>
      </w:r>
      <w:r w:rsidRPr="0055342D">
        <w:t>) hozzávetőlegesen 21</w:t>
      </w:r>
      <w:r w:rsidR="004A01C2">
        <w:t> </w:t>
      </w:r>
      <w:r w:rsidRPr="0055342D">
        <w:t>liter.</w:t>
      </w:r>
    </w:p>
    <w:p w14:paraId="4C8D2BFC" w14:textId="77777777" w:rsidR="0055342D" w:rsidRPr="0055342D" w:rsidRDefault="0055342D" w:rsidP="0055342D"/>
    <w:p w14:paraId="460B9C5E" w14:textId="77777777" w:rsidR="007543BB" w:rsidRDefault="002D677C" w:rsidP="00190CCC">
      <w:r w:rsidRPr="00190CCC">
        <w:t>Nem állnak rendelkezésre az apixabán plazmaprotein-kötődésére vonatkozó adatok kifejezetten gyermekekre és serdülőkre vonatkozóan.</w:t>
      </w:r>
    </w:p>
    <w:p w14:paraId="3DE95471" w14:textId="77777777" w:rsidR="00190CCC" w:rsidRPr="00190CCC" w:rsidRDefault="00190CCC" w:rsidP="00190CCC"/>
    <w:p w14:paraId="467AA581" w14:textId="77777777" w:rsidR="007543BB" w:rsidRDefault="002D677C" w:rsidP="00190CCC">
      <w:pPr>
        <w:keepNext/>
        <w:rPr>
          <w:u w:val="single"/>
        </w:rPr>
      </w:pPr>
      <w:r w:rsidRPr="00190CCC">
        <w:rPr>
          <w:u w:val="single"/>
        </w:rPr>
        <w:t>Biotranszformáció és elimináció</w:t>
      </w:r>
    </w:p>
    <w:p w14:paraId="6D4648B8" w14:textId="77777777" w:rsidR="00190CCC" w:rsidRPr="00190CCC" w:rsidRDefault="00190CCC" w:rsidP="00190CCC">
      <w:pPr>
        <w:keepNext/>
        <w:rPr>
          <w:u w:val="single"/>
        </w:rPr>
      </w:pPr>
    </w:p>
    <w:p w14:paraId="6A2C1A28" w14:textId="77777777" w:rsidR="007543BB" w:rsidRDefault="002D677C" w:rsidP="00190CCC">
      <w:r w:rsidRPr="00190CCC">
        <w:t>Az apixabán több útvonalon keresztül eliminálódik. Felnőtteknél a bejuttatott apixabán dózis mintegy 25%-a volt visszanyerhető metabolitok formájában, melynek nagyobbik hányada a székletből volt visszanyerhető. Az apixabán renális kiválasztódása felnőtteknél a teljes clearance körülbelül 27%-át tette ki. Klinikai vizsgálatok során biliáris, illetve nem klinikai vizsgálatok során közvetlen intestinális kiválasztódást is megfigyeltek.</w:t>
      </w:r>
    </w:p>
    <w:p w14:paraId="654814DD" w14:textId="77777777" w:rsidR="00190CCC" w:rsidRPr="00190CCC" w:rsidRDefault="00190CCC" w:rsidP="00190CCC"/>
    <w:p w14:paraId="38F457A2" w14:textId="2438CA62" w:rsidR="007543BB" w:rsidRDefault="001A5836" w:rsidP="00190CCC">
      <w:r>
        <w:t>A</w:t>
      </w:r>
      <w:r w:rsidR="002D677C" w:rsidRPr="00190CCC">
        <w:t>z apixabán teljes clearance-e 3,3</w:t>
      </w:r>
      <w:r w:rsidR="004A01C2">
        <w:t> </w:t>
      </w:r>
      <w:r w:rsidR="002D677C" w:rsidRPr="00190CCC">
        <w:t>l/óra, felezési ideje körülbelül 12</w:t>
      </w:r>
      <w:r w:rsidR="004A01C2">
        <w:t> </w:t>
      </w:r>
      <w:r w:rsidR="002D677C" w:rsidRPr="00190CCC">
        <w:t>óra.</w:t>
      </w:r>
    </w:p>
    <w:p w14:paraId="0917181A" w14:textId="77777777" w:rsidR="00190CCC" w:rsidRPr="00190CCC" w:rsidRDefault="00190CCC" w:rsidP="00190CCC"/>
    <w:p w14:paraId="7F1B4B1C" w14:textId="77777777" w:rsidR="007543BB" w:rsidRDefault="002D677C" w:rsidP="00190CCC">
      <w:r w:rsidRPr="00190CCC">
        <w:t>A biotranszformáció fő támadáspontjai a 3-oxopiperidinil csoport O-demetilációja és hidroxilációja. Az apixabán főként a CYP3A4/5 enzim útján metabolizálódik, a CYP1A2, 2C8, 2C9, 2C19 és 2J2 kisebb fokú részvételével. A változatlan formájú apixabán a legfontosabb, hatóanyaggal összefüggő vegyület a humán plazmában, aktív keringő metabolitok jelenléte nélkül. Az apixabán szubsztrátja a transzport fehérjéknek, a P-gp-nek és az emlő carcinoma rezisztencia proteinnek (BCRP).</w:t>
      </w:r>
    </w:p>
    <w:p w14:paraId="7D007228" w14:textId="77777777" w:rsidR="00190CCC" w:rsidRPr="00190CCC" w:rsidRDefault="00190CCC" w:rsidP="00190CCC"/>
    <w:p w14:paraId="551D5B58" w14:textId="77777777" w:rsidR="007543BB" w:rsidRDefault="002D677C" w:rsidP="00190CCC">
      <w:pPr>
        <w:keepNext/>
        <w:rPr>
          <w:u w:val="single"/>
        </w:rPr>
      </w:pPr>
      <w:r w:rsidRPr="00190CCC">
        <w:rPr>
          <w:u w:val="single"/>
        </w:rPr>
        <w:t>Idősek</w:t>
      </w:r>
    </w:p>
    <w:p w14:paraId="47C5C2CF" w14:textId="77777777" w:rsidR="00190CCC" w:rsidRPr="00190CCC" w:rsidRDefault="00190CCC" w:rsidP="00190CCC">
      <w:pPr>
        <w:keepNext/>
        <w:rPr>
          <w:u w:val="single"/>
        </w:rPr>
      </w:pPr>
    </w:p>
    <w:p w14:paraId="624627A4" w14:textId="2B1FAB5F" w:rsidR="007543BB" w:rsidRDefault="002D677C" w:rsidP="00190CCC">
      <w:r w:rsidRPr="00190CCC">
        <w:t>Idős betegeknél (65</w:t>
      </w:r>
      <w:r w:rsidR="004A01C2">
        <w:t> </w:t>
      </w:r>
      <w:r w:rsidRPr="00190CCC">
        <w:t>év felett) magasabb plazmakoncentrációk fordultak elő, mint a fiatal betegeknél, az átlagos AUC-értékek körülbelül 32%-kal voltak magasabbak és nem volt különbség a C</w:t>
      </w:r>
      <w:r w:rsidRPr="00190CCC">
        <w:rPr>
          <w:vertAlign w:val="subscript"/>
        </w:rPr>
        <w:t>max</w:t>
      </w:r>
      <w:r w:rsidRPr="00190CCC">
        <w:t>-ban.</w:t>
      </w:r>
    </w:p>
    <w:p w14:paraId="15444A0F" w14:textId="77777777" w:rsidR="00190CCC" w:rsidRPr="00190CCC" w:rsidRDefault="00190CCC" w:rsidP="00190CCC"/>
    <w:p w14:paraId="386BB544" w14:textId="77777777" w:rsidR="007543BB" w:rsidRDefault="002D677C" w:rsidP="00190CCC">
      <w:pPr>
        <w:keepNext/>
        <w:rPr>
          <w:u w:val="single"/>
        </w:rPr>
      </w:pPr>
      <w:r w:rsidRPr="00190CCC">
        <w:rPr>
          <w:u w:val="single"/>
        </w:rPr>
        <w:t>Vesekárosodás</w:t>
      </w:r>
    </w:p>
    <w:p w14:paraId="7B62B2E9" w14:textId="77777777" w:rsidR="00190CCC" w:rsidRPr="00190CCC" w:rsidRDefault="00190CCC" w:rsidP="00190CCC">
      <w:pPr>
        <w:keepNext/>
        <w:rPr>
          <w:u w:val="single"/>
        </w:rPr>
      </w:pPr>
    </w:p>
    <w:p w14:paraId="1715C0C1" w14:textId="768F2C11" w:rsidR="007543BB" w:rsidRDefault="002D677C" w:rsidP="00190CCC">
      <w:r w:rsidRPr="00190CCC">
        <w:t xml:space="preserve">A vesekárosodás nem volt hatással az apixabán csúcskoncentrációjára. A vesefunkció kreatinin-clearance-szel mért csökkenésével összefüggő, megnövekedett apixabán-expozíciót figyeltek meg. A normál kreatinin-clearance-ű betegekhez képest az apixabán plazmakoncentrációjának (AUC) növekedése enyhe </w:t>
      </w:r>
      <w:r w:rsidR="00A66FA0">
        <w:t xml:space="preserve">fokú </w:t>
      </w:r>
      <w:r w:rsidRPr="00190CCC">
        <w:t>vesekárosodás (kreatinin-clearance 51</w:t>
      </w:r>
      <w:r w:rsidR="004A01C2">
        <w:noBreakHyphen/>
      </w:r>
      <w:r w:rsidRPr="00190CCC">
        <w:t>80</w:t>
      </w:r>
      <w:r w:rsidR="004A01C2">
        <w:t> </w:t>
      </w:r>
      <w:r w:rsidRPr="00190CCC">
        <w:t xml:space="preserve"> ml/perc) esetén 16%-os, közepes</w:t>
      </w:r>
      <w:r w:rsidR="00A66FA0">
        <w:t xml:space="preserve"> fokú</w:t>
      </w:r>
      <w:r w:rsidRPr="00190CCC">
        <w:t xml:space="preserve"> vesekárosodás (kreatinin-clearance 30</w:t>
      </w:r>
      <w:r w:rsidR="004A01C2">
        <w:noBreakHyphen/>
      </w:r>
      <w:r w:rsidRPr="00190CCC">
        <w:t>50</w:t>
      </w:r>
      <w:r w:rsidR="004A01C2">
        <w:t> </w:t>
      </w:r>
      <w:r w:rsidRPr="00190CCC">
        <w:t xml:space="preserve">ml/perc) esetén 29%-os, súlyos </w:t>
      </w:r>
      <w:r w:rsidR="00A66FA0">
        <w:t xml:space="preserve">fokú </w:t>
      </w:r>
      <w:r w:rsidRPr="00190CCC">
        <w:t>vesekárosodás (kreatinin-clearance 15</w:t>
      </w:r>
      <w:r w:rsidR="004A01C2">
        <w:noBreakHyphen/>
      </w:r>
      <w:r w:rsidRPr="00190CCC">
        <w:t>29</w:t>
      </w:r>
      <w:r w:rsidR="004A01C2">
        <w:t> </w:t>
      </w:r>
      <w:r w:rsidRPr="00190CCC">
        <w:t>ml/perc) esetén pedig 44%-os volt. A vesekárosodás nincs bizonyított hatással az apixabán plazma-koncentrációja és a Xa faktor-ellenes aktivitás közti összefüggésre.</w:t>
      </w:r>
    </w:p>
    <w:p w14:paraId="25EE06EC" w14:textId="77777777" w:rsidR="00190CCC" w:rsidRPr="00190CCC" w:rsidRDefault="00190CCC" w:rsidP="00190CCC"/>
    <w:p w14:paraId="389077CB" w14:textId="7636BEDD" w:rsidR="007543BB" w:rsidRDefault="002D677C" w:rsidP="00190CCC">
      <w:r w:rsidRPr="00190CCC">
        <w:t>Végstádiumú vesebetegségben szenvedőknél az apixabán AUC értéke a normál veseműködésű alanyoknál megfigyeltekhez képest 36%-kal nőtt, amikor közvetlenül haemodialysis után egyszeri 5</w:t>
      </w:r>
      <w:r w:rsidR="004A01C2">
        <w:t> </w:t>
      </w:r>
      <w:r w:rsidRPr="00190CCC">
        <w:t>mg apixabán adagot alkalmaztak. Az apixabán egyszeri, 5</w:t>
      </w:r>
      <w:r w:rsidR="004A01C2">
        <w:t> </w:t>
      </w:r>
      <w:r w:rsidRPr="00190CCC">
        <w:t>mg-os adagjának alkalmazása után két órával megkezdett haemodialysis 14%-kal csökkentette az apixabán AUC értékét ezeknél a végstádiumú vesebeteg alanyoknál, ami az apixabán esetében 18</w:t>
      </w:r>
      <w:r w:rsidR="004A01C2">
        <w:t> </w:t>
      </w:r>
      <w:r w:rsidRPr="00190CCC">
        <w:t>ml/perc dialysis-clearance-nek felel meg. Ezért a haemodialysis valószínűleg nem hatékony módszer az apixabán-túladagolás kezelésére.</w:t>
      </w:r>
    </w:p>
    <w:p w14:paraId="6C5F2E84" w14:textId="77777777" w:rsidR="00190CCC" w:rsidRPr="00190CCC" w:rsidRDefault="00190CCC" w:rsidP="00190CCC"/>
    <w:p w14:paraId="1FAE99AF" w14:textId="77777777" w:rsidR="007543BB" w:rsidRDefault="002D677C" w:rsidP="00190CCC">
      <w:pPr>
        <w:keepNext/>
        <w:rPr>
          <w:u w:val="single"/>
        </w:rPr>
      </w:pPr>
      <w:r w:rsidRPr="00190CCC">
        <w:rPr>
          <w:u w:val="single"/>
        </w:rPr>
        <w:t>Májkárosodás</w:t>
      </w:r>
    </w:p>
    <w:p w14:paraId="458CF9F9" w14:textId="77777777" w:rsidR="00190CCC" w:rsidRPr="00190CCC" w:rsidRDefault="00190CCC" w:rsidP="00190CCC">
      <w:pPr>
        <w:keepNext/>
        <w:rPr>
          <w:u w:val="single"/>
        </w:rPr>
      </w:pPr>
    </w:p>
    <w:p w14:paraId="084A8F8A" w14:textId="58AEAE2E" w:rsidR="007543BB" w:rsidRDefault="002D677C" w:rsidP="00190CCC">
      <w:r w:rsidRPr="00190CCC">
        <w:t>Egy vizsgálat során, ami 8, enyhe májkárosodásban szenvedő beteget (Child</w:t>
      </w:r>
      <w:r w:rsidR="00717205">
        <w:t>‒</w:t>
      </w:r>
      <w:r w:rsidRPr="00190CCC">
        <w:t>Pugh A stádium, 5-ös</w:t>
      </w:r>
      <w:r w:rsidR="004A01C2">
        <w:t> </w:t>
      </w:r>
      <w:r w:rsidRPr="00190CCC">
        <w:t>pontszám [n=6] és 6-os</w:t>
      </w:r>
      <w:r w:rsidR="004A01C2">
        <w:t> </w:t>
      </w:r>
      <w:r w:rsidRPr="00190CCC">
        <w:t>pontszám [n=2]) és 8, közepesen súlyos májkárosodásban szenvedő beteget (Child-Pugh B stádium, 7-es</w:t>
      </w:r>
      <w:r w:rsidR="004A01C2">
        <w:t> </w:t>
      </w:r>
      <w:r w:rsidRPr="00190CCC">
        <w:t>pontszám [n=6] és 8-as</w:t>
      </w:r>
      <w:r w:rsidR="004A01C2">
        <w:t> </w:t>
      </w:r>
      <w:r w:rsidRPr="00190CCC">
        <w:t>pontszám [n=2]) 16, egészséges kontrollszeméllyel hasonlított össze, az egyszeri dózisú 5</w:t>
      </w:r>
      <w:r w:rsidR="004A01C2">
        <w:t> </w:t>
      </w:r>
      <w:r w:rsidRPr="00190CCC">
        <w:t>mg apixabán farmakokinetikája és farmakodinámiája nem mutatott eltérést a májkárosodásban szenvedő betegeknél. A Xa faktor-ellenes aktivitás és az INR az egészséges, illetve az enyhe és közepesen súlyos májkárosodásban szenvedő betegeknél hasonló volt.</w:t>
      </w:r>
    </w:p>
    <w:p w14:paraId="2241593F" w14:textId="77777777" w:rsidR="00190CCC" w:rsidRPr="00190CCC" w:rsidRDefault="00190CCC" w:rsidP="00190CCC"/>
    <w:p w14:paraId="2C8DB667" w14:textId="77777777" w:rsidR="007543BB" w:rsidRDefault="002D677C" w:rsidP="00190CCC">
      <w:pPr>
        <w:keepNext/>
        <w:rPr>
          <w:u w:val="single"/>
        </w:rPr>
      </w:pPr>
      <w:r w:rsidRPr="00190CCC">
        <w:rPr>
          <w:u w:val="single"/>
        </w:rPr>
        <w:t>Nemek közötti különbségek</w:t>
      </w:r>
    </w:p>
    <w:p w14:paraId="4B55BED9" w14:textId="77777777" w:rsidR="00190CCC" w:rsidRPr="00190CCC" w:rsidRDefault="00190CCC" w:rsidP="00190CCC">
      <w:pPr>
        <w:keepNext/>
        <w:rPr>
          <w:u w:val="single"/>
        </w:rPr>
      </w:pPr>
    </w:p>
    <w:p w14:paraId="539B525A" w14:textId="77777777" w:rsidR="007543BB" w:rsidRDefault="002D677C" w:rsidP="00190CCC">
      <w:r w:rsidRPr="00190CCC">
        <w:t>A nőknél az apixabán expozíciója 18%-kal magasabb volt, mint férfiaknál.</w:t>
      </w:r>
    </w:p>
    <w:p w14:paraId="6B02F99B" w14:textId="77777777" w:rsidR="00190CCC" w:rsidRPr="00190CCC" w:rsidRDefault="00190CCC" w:rsidP="00190CCC"/>
    <w:p w14:paraId="08B324BC" w14:textId="77777777" w:rsidR="007543BB" w:rsidRDefault="002D677C" w:rsidP="00190CCC">
      <w:r w:rsidRPr="00190CCC">
        <w:t>A farmakokinetikai tulajdonságokat nem vizsgálták nemenként a gyermekeknél és serdülőknél.</w:t>
      </w:r>
    </w:p>
    <w:p w14:paraId="513BFDF2" w14:textId="77777777" w:rsidR="00190CCC" w:rsidRPr="00190CCC" w:rsidRDefault="00190CCC" w:rsidP="00190CCC"/>
    <w:p w14:paraId="5B94F233" w14:textId="77777777" w:rsidR="007543BB" w:rsidRDefault="002D677C" w:rsidP="00190CCC">
      <w:pPr>
        <w:keepNext/>
        <w:rPr>
          <w:u w:val="single"/>
        </w:rPr>
      </w:pPr>
      <w:r w:rsidRPr="00190CCC">
        <w:rPr>
          <w:u w:val="single"/>
        </w:rPr>
        <w:t>Etnikai hovatartozás és rassz</w:t>
      </w:r>
    </w:p>
    <w:p w14:paraId="1D4893BC" w14:textId="77777777" w:rsidR="00190CCC" w:rsidRPr="00190CCC" w:rsidRDefault="00190CCC" w:rsidP="00190CCC">
      <w:pPr>
        <w:keepNext/>
        <w:rPr>
          <w:u w:val="single"/>
        </w:rPr>
      </w:pPr>
    </w:p>
    <w:p w14:paraId="7C1C6750" w14:textId="0EB8B12C" w:rsidR="007543BB" w:rsidRDefault="002D677C" w:rsidP="00190CCC">
      <w:r w:rsidRPr="00190CCC">
        <w:t>Az I. fázisú vizsgálatok eredményei nem mutattak észrevehető különbséget az apixabán farmakokinetikájában a fehér/kaukázusi, az ázsiai és a feketebőrű/afrikai és amerikai alanyok között. Egy apixabánt kapó betegek körében végzett populációs farmakokinetikai elemzés eredményei általánosságban azonosak voltak az I.</w:t>
      </w:r>
      <w:r w:rsidR="000212AD">
        <w:t> </w:t>
      </w:r>
      <w:r w:rsidRPr="00190CCC">
        <w:t>fázisú vizsgálat eredményeivel.</w:t>
      </w:r>
    </w:p>
    <w:p w14:paraId="49AB6B15" w14:textId="77777777" w:rsidR="00190CCC" w:rsidRPr="00190CCC" w:rsidRDefault="00190CCC" w:rsidP="00190CCC"/>
    <w:p w14:paraId="68B471A1" w14:textId="77777777" w:rsidR="007543BB" w:rsidRDefault="002D677C" w:rsidP="00190CCC">
      <w:r w:rsidRPr="00190CCC">
        <w:t>A farmakokinetikai tulajdonságokat nem vizsgálták az etnikai hovatartozással és a rasszal összefüggésben a gyermekeknél és serdülőknél.</w:t>
      </w:r>
    </w:p>
    <w:p w14:paraId="0D948E48" w14:textId="77777777" w:rsidR="00190CCC" w:rsidRPr="00190CCC" w:rsidRDefault="00190CCC" w:rsidP="00190CCC"/>
    <w:p w14:paraId="6D781A35" w14:textId="77777777" w:rsidR="007543BB" w:rsidRDefault="002D677C" w:rsidP="00190CCC">
      <w:pPr>
        <w:keepNext/>
        <w:rPr>
          <w:u w:val="single"/>
        </w:rPr>
      </w:pPr>
      <w:r w:rsidRPr="00190CCC">
        <w:rPr>
          <w:u w:val="single"/>
        </w:rPr>
        <w:t>Testtömeg</w:t>
      </w:r>
    </w:p>
    <w:p w14:paraId="393BEDF0" w14:textId="77777777" w:rsidR="00190CCC" w:rsidRPr="00190CCC" w:rsidRDefault="00190CCC" w:rsidP="00190CCC">
      <w:pPr>
        <w:keepNext/>
        <w:rPr>
          <w:u w:val="single"/>
        </w:rPr>
      </w:pPr>
    </w:p>
    <w:p w14:paraId="33925299" w14:textId="0BD56279" w:rsidR="007543BB" w:rsidRDefault="002D677C" w:rsidP="00190CCC">
      <w:r w:rsidRPr="00190CCC">
        <w:t>A 65-85</w:t>
      </w:r>
      <w:r w:rsidR="000212AD">
        <w:t> </w:t>
      </w:r>
      <w:r w:rsidRPr="00190CCC">
        <w:t>kg testtömegű betegeknél tapasztalt apixabán-expozícióhoz képest, a 120</w:t>
      </w:r>
      <w:r w:rsidR="000212AD">
        <w:t> </w:t>
      </w:r>
      <w:r w:rsidRPr="00190CCC">
        <w:t>kg-nál nagyobb testtömeg körülbelül 30%-kal alacsonyabb, míg az 50</w:t>
      </w:r>
      <w:r w:rsidR="000212AD">
        <w:t> </w:t>
      </w:r>
      <w:r w:rsidRPr="00190CCC">
        <w:t>kg-nál kisebb testtömeg körülbelül 30%-kal magasabb expozíciót eredményezett.</w:t>
      </w:r>
    </w:p>
    <w:p w14:paraId="7BAFA541" w14:textId="77777777" w:rsidR="00190CCC" w:rsidRPr="00190CCC" w:rsidRDefault="00190CCC" w:rsidP="00190CCC"/>
    <w:p w14:paraId="789FB313" w14:textId="77777777" w:rsidR="007543BB" w:rsidRDefault="002D677C" w:rsidP="00190CCC">
      <w:pPr>
        <w:keepNext/>
        <w:rPr>
          <w:u w:val="single"/>
        </w:rPr>
      </w:pPr>
      <w:r w:rsidRPr="00190CCC">
        <w:rPr>
          <w:u w:val="single"/>
        </w:rPr>
        <w:t>Farmakokinetikai/farmakodinámiás összefüggés</w:t>
      </w:r>
    </w:p>
    <w:p w14:paraId="3633A550" w14:textId="77777777" w:rsidR="00190CCC" w:rsidRPr="00190CCC" w:rsidRDefault="00190CCC" w:rsidP="00190CCC">
      <w:pPr>
        <w:keepNext/>
        <w:rPr>
          <w:u w:val="single"/>
        </w:rPr>
      </w:pPr>
    </w:p>
    <w:p w14:paraId="21A5EB0C" w14:textId="142F7B6D" w:rsidR="007543BB" w:rsidRDefault="002D677C" w:rsidP="00190CCC">
      <w:r w:rsidRPr="00190CCC">
        <w:t>Az apixabán plazmakoncentrációja és különböző farmakodinámiás (FD) végpontok (Xa faktor-ellenes aktivitás</w:t>
      </w:r>
      <w:r w:rsidR="000212AD">
        <w:t>,</w:t>
      </w:r>
      <w:r w:rsidRPr="00190CCC">
        <w:t xml:space="preserve"> [AXA], INR, PI, aPTI) farmakokinetikai/farmakodinámiás (FK/FD) összefüggéseit széles tartományt felölelő adagok (0,5-50</w:t>
      </w:r>
      <w:r w:rsidR="000212AD">
        <w:t> </w:t>
      </w:r>
      <w:r w:rsidRPr="00190CCC">
        <w:t>mg) beadását követően vizsgálták felnőtteknél. Az apixabán plazmakoncentrációja és a Xa faktor-ellenes aktivitása közötti kapcsolat legjobban egy lineáris modellel írható le. A betegeknél észlelt FK/FD összefüggés az egészséges alanyoknál tapasztalttal azonos volt.</w:t>
      </w:r>
    </w:p>
    <w:p w14:paraId="4FC47A3A" w14:textId="77777777" w:rsidR="00190CCC" w:rsidRPr="00190CCC" w:rsidRDefault="00190CCC" w:rsidP="00190CCC"/>
    <w:p w14:paraId="56D5B4FB" w14:textId="50CCA94E" w:rsidR="007543BB" w:rsidRDefault="00390A1D" w:rsidP="0089574A">
      <w:pPr>
        <w:keepNext/>
        <w:ind w:left="567" w:hanging="567"/>
        <w:rPr>
          <w:b/>
          <w:bCs/>
        </w:rPr>
      </w:pPr>
      <w:r>
        <w:rPr>
          <w:b/>
          <w:bCs/>
        </w:rPr>
        <w:t>5.3</w:t>
      </w:r>
      <w:r>
        <w:rPr>
          <w:b/>
          <w:bCs/>
        </w:rPr>
        <w:tab/>
      </w:r>
      <w:r w:rsidR="002D677C" w:rsidRPr="0089574A">
        <w:rPr>
          <w:b/>
          <w:bCs/>
        </w:rPr>
        <w:t>A preklinikai biztonságossági vizsgálatok eredményei</w:t>
      </w:r>
    </w:p>
    <w:p w14:paraId="5BB79297" w14:textId="77777777" w:rsidR="00190CCC" w:rsidRPr="0089574A" w:rsidRDefault="00190CCC" w:rsidP="0089574A">
      <w:pPr>
        <w:keepNext/>
        <w:ind w:left="567" w:hanging="567"/>
        <w:rPr>
          <w:b/>
          <w:bCs/>
        </w:rPr>
      </w:pPr>
    </w:p>
    <w:p w14:paraId="5F8CDB9F" w14:textId="281A7CFF" w:rsidR="007543BB" w:rsidRPr="00190CCC" w:rsidRDefault="002D677C" w:rsidP="00190CCC">
      <w:r w:rsidRPr="00190CCC">
        <w:t xml:space="preserve">A hagyományos </w:t>
      </w:r>
      <w:r w:rsidR="00190CCC" w:rsidRPr="00190CCC">
        <w:t>–</w:t>
      </w:r>
      <w:r w:rsidRPr="00190CCC">
        <w:t xml:space="preserve"> farmakológiai biztonságossági, ismételt dózistoxicitási, genotoxicitási, karcinogenitási, reprodukcióra- és embrio-foetalis fejlődésre kifejtett és juvenilis toxicitási </w:t>
      </w:r>
      <w:r w:rsidR="00190CCC" w:rsidRPr="00190CCC">
        <w:t>–</w:t>
      </w:r>
      <w:r w:rsidRPr="00190CCC">
        <w:t xml:space="preserve"> vizsgálatokból származó preklinikai jellegű adatok azt igazolták, hogy a készítmény alkalmazásakor humán vonatkozásban különleges kockázat nem várható.</w:t>
      </w:r>
    </w:p>
    <w:p w14:paraId="1BE26E58" w14:textId="77777777" w:rsidR="00190CCC" w:rsidRPr="00190CCC" w:rsidRDefault="00190CCC" w:rsidP="00190CCC"/>
    <w:p w14:paraId="39D245D1" w14:textId="77777777" w:rsidR="007543BB" w:rsidRDefault="002D677C" w:rsidP="00190CCC">
      <w:r w:rsidRPr="00190CCC">
        <w:t>Az ismételt dózistoxicitási vizsgálatok során megfigyelt jelentősebb hatások az apixabán véralvadásgátlási paraméterekre gyakorolt farmakodinámiás hatásával voltak összefüggésben. A toxicitási vizsgálatokban a vérzési hajlam nem változott, vagy csak kis mértékben növekedett. Mivel ez a nem klinikai vizsgálatokhoz használt fajok emberekhez képest kisebb fokú érzékenységével magyarázható, ezt az eredményt az emberekre történő extrapoláláskor elővigyázatosan kell interpretálni.</w:t>
      </w:r>
    </w:p>
    <w:p w14:paraId="701B5AB8" w14:textId="77777777" w:rsidR="00190CCC" w:rsidRPr="00190CCC" w:rsidRDefault="00190CCC" w:rsidP="00190CCC"/>
    <w:p w14:paraId="486E9050" w14:textId="6F2B2C88" w:rsidR="007543BB" w:rsidRDefault="002D677C" w:rsidP="00190CCC">
      <w:r w:rsidRPr="00190CCC">
        <w:t xml:space="preserve">Patkánytejben </w:t>
      </w:r>
      <w:r w:rsidR="0055342D">
        <w:t>–</w:t>
      </w:r>
      <w:r w:rsidRPr="00190CCC">
        <w:t xml:space="preserve"> feltehetően a tejbe történő aktív transzportnak köszönhetően </w:t>
      </w:r>
      <w:r w:rsidR="0055342D">
        <w:t>–</w:t>
      </w:r>
      <w:r w:rsidRPr="00190CCC">
        <w:t xml:space="preserve"> magas tej/maternális plazma arányt találtak (C</w:t>
      </w:r>
      <w:r w:rsidRPr="00190CCC">
        <w:rPr>
          <w:vertAlign w:val="subscript"/>
        </w:rPr>
        <w:t>max</w:t>
      </w:r>
      <w:r w:rsidRPr="00190CCC">
        <w:t>-érték kb</w:t>
      </w:r>
      <w:r w:rsidR="000212AD">
        <w:t> </w:t>
      </w:r>
      <w:r w:rsidRPr="00190CCC">
        <w:t xml:space="preserve"> 8, AUC-érték kb.</w:t>
      </w:r>
      <w:r w:rsidR="000212AD">
        <w:t> </w:t>
      </w:r>
      <w:r w:rsidRPr="00190CCC">
        <w:t>30).</w:t>
      </w:r>
    </w:p>
    <w:p w14:paraId="575C5F37" w14:textId="77777777" w:rsidR="00190CCC" w:rsidRPr="00190CCC" w:rsidRDefault="00190CCC" w:rsidP="00190CCC"/>
    <w:p w14:paraId="14265450" w14:textId="77777777" w:rsidR="00390A1D" w:rsidRPr="00190CCC" w:rsidRDefault="00390A1D" w:rsidP="00190CCC"/>
    <w:p w14:paraId="275EB457" w14:textId="6967DE6B" w:rsidR="007543BB" w:rsidRDefault="00390A1D" w:rsidP="0089574A">
      <w:pPr>
        <w:keepNext/>
        <w:ind w:left="567" w:hanging="567"/>
        <w:rPr>
          <w:b/>
          <w:bCs/>
        </w:rPr>
      </w:pPr>
      <w:r w:rsidRPr="0089574A">
        <w:rPr>
          <w:b/>
          <w:bCs/>
        </w:rPr>
        <w:t>6.</w:t>
      </w:r>
      <w:r w:rsidRPr="0089574A">
        <w:rPr>
          <w:b/>
          <w:bCs/>
        </w:rPr>
        <w:tab/>
      </w:r>
      <w:r w:rsidR="002D677C" w:rsidRPr="0089574A">
        <w:rPr>
          <w:b/>
          <w:bCs/>
        </w:rPr>
        <w:t>GYÓGYSZERÉSZETI JELLEMZŐK</w:t>
      </w:r>
    </w:p>
    <w:p w14:paraId="3EA9D34C" w14:textId="77777777" w:rsidR="00190CCC" w:rsidRPr="0089574A" w:rsidRDefault="00190CCC" w:rsidP="0089574A">
      <w:pPr>
        <w:keepNext/>
        <w:ind w:left="567" w:hanging="567"/>
        <w:rPr>
          <w:b/>
          <w:bCs/>
        </w:rPr>
      </w:pPr>
    </w:p>
    <w:p w14:paraId="7739438C" w14:textId="4B432178" w:rsidR="007543BB" w:rsidRDefault="00390A1D" w:rsidP="0089574A">
      <w:pPr>
        <w:keepNext/>
        <w:ind w:left="567" w:hanging="567"/>
        <w:rPr>
          <w:b/>
          <w:bCs/>
        </w:rPr>
      </w:pPr>
      <w:r>
        <w:rPr>
          <w:b/>
          <w:bCs/>
        </w:rPr>
        <w:t>6.1</w:t>
      </w:r>
      <w:r>
        <w:rPr>
          <w:b/>
          <w:bCs/>
        </w:rPr>
        <w:tab/>
      </w:r>
      <w:r w:rsidR="002D677C" w:rsidRPr="0089574A">
        <w:rPr>
          <w:b/>
          <w:bCs/>
        </w:rPr>
        <w:t>Segédanyagok felsorolása</w:t>
      </w:r>
    </w:p>
    <w:p w14:paraId="0BE44F4A" w14:textId="77777777" w:rsidR="00190CCC" w:rsidRPr="0089574A" w:rsidRDefault="00190CCC" w:rsidP="0089574A">
      <w:pPr>
        <w:keepNext/>
        <w:ind w:left="567" w:hanging="567"/>
        <w:rPr>
          <w:b/>
          <w:bCs/>
        </w:rPr>
      </w:pPr>
    </w:p>
    <w:p w14:paraId="6AE138CF" w14:textId="77777777" w:rsidR="007543BB" w:rsidRDefault="002D677C" w:rsidP="00190CCC">
      <w:pPr>
        <w:keepNext/>
        <w:rPr>
          <w:u w:val="single"/>
        </w:rPr>
      </w:pPr>
      <w:r w:rsidRPr="00190CCC">
        <w:rPr>
          <w:u w:val="single"/>
        </w:rPr>
        <w:t>Tablettamag</w:t>
      </w:r>
    </w:p>
    <w:p w14:paraId="53160426" w14:textId="77777777" w:rsidR="00190CCC" w:rsidRPr="00190CCC" w:rsidRDefault="00190CCC" w:rsidP="00190CCC">
      <w:pPr>
        <w:keepNext/>
        <w:rPr>
          <w:u w:val="single"/>
        </w:rPr>
      </w:pPr>
    </w:p>
    <w:p w14:paraId="5D4D4D37" w14:textId="77777777" w:rsidR="007543BB" w:rsidRPr="00190CCC" w:rsidRDefault="002D677C" w:rsidP="00190CCC">
      <w:pPr>
        <w:keepNext/>
      </w:pPr>
      <w:r w:rsidRPr="00190CCC">
        <w:t>laktóz</w:t>
      </w:r>
    </w:p>
    <w:p w14:paraId="79982619" w14:textId="66584149" w:rsidR="007543BB" w:rsidRDefault="002D677C" w:rsidP="00190CCC">
      <w:pPr>
        <w:keepNext/>
      </w:pPr>
      <w:r w:rsidRPr="00190CCC">
        <w:t>mikrokristályos cellulóz</w:t>
      </w:r>
    </w:p>
    <w:p w14:paraId="600D3C70" w14:textId="6EBB42F6" w:rsidR="00C902B7" w:rsidRPr="00190CCC" w:rsidRDefault="00C902B7" w:rsidP="00190CCC">
      <w:pPr>
        <w:keepNext/>
      </w:pPr>
      <w:r>
        <w:t>nátrium-lauril-szulfát</w:t>
      </w:r>
    </w:p>
    <w:p w14:paraId="5CFA753B" w14:textId="77777777" w:rsidR="007543BB" w:rsidRPr="00190CCC" w:rsidRDefault="002D677C" w:rsidP="00190CCC">
      <w:pPr>
        <w:keepNext/>
      </w:pPr>
      <w:r w:rsidRPr="00190CCC">
        <w:t>kroszkarmellóz-nátrium</w:t>
      </w:r>
    </w:p>
    <w:p w14:paraId="610E5907" w14:textId="5D961B08" w:rsidR="007543BB" w:rsidRDefault="00C902B7" w:rsidP="003665EB">
      <w:pPr>
        <w:keepNext/>
      </w:pPr>
      <w:r w:rsidRPr="00190CCC" w:rsidDel="00C902B7">
        <w:t xml:space="preserve"> </w:t>
      </w:r>
      <w:r w:rsidR="002D677C" w:rsidRPr="00190CCC">
        <w:t>magnézium-sztearát</w:t>
      </w:r>
    </w:p>
    <w:p w14:paraId="2D5EF07B" w14:textId="77777777" w:rsidR="00190CCC" w:rsidRPr="00190CCC" w:rsidRDefault="00190CCC" w:rsidP="00190CCC"/>
    <w:p w14:paraId="7E7A48B7" w14:textId="77777777" w:rsidR="007543BB" w:rsidRDefault="002D677C" w:rsidP="00190CCC">
      <w:pPr>
        <w:keepNext/>
        <w:rPr>
          <w:u w:val="single"/>
        </w:rPr>
      </w:pPr>
      <w:r w:rsidRPr="00190CCC">
        <w:rPr>
          <w:u w:val="single"/>
        </w:rPr>
        <w:t>Filmbevonat</w:t>
      </w:r>
    </w:p>
    <w:p w14:paraId="60AC2111" w14:textId="77777777" w:rsidR="00190CCC" w:rsidRPr="00190CCC" w:rsidRDefault="00190CCC" w:rsidP="00190CCC">
      <w:pPr>
        <w:keepNext/>
        <w:rPr>
          <w:u w:val="single"/>
        </w:rPr>
      </w:pPr>
    </w:p>
    <w:p w14:paraId="46B8275B" w14:textId="774EBAA0" w:rsidR="007543BB" w:rsidRDefault="002D677C" w:rsidP="00190CCC">
      <w:pPr>
        <w:keepNext/>
      </w:pPr>
      <w:r w:rsidRPr="00190CCC">
        <w:t>hipromellóz</w:t>
      </w:r>
    </w:p>
    <w:p w14:paraId="00D8B98E" w14:textId="6C909BA2" w:rsidR="00C902B7" w:rsidRDefault="00C902B7" w:rsidP="00190CCC">
      <w:pPr>
        <w:keepNext/>
      </w:pPr>
      <w:r>
        <w:t>makrogol</w:t>
      </w:r>
    </w:p>
    <w:p w14:paraId="67F2D856" w14:textId="7CB84538" w:rsidR="00C902B7" w:rsidRPr="00190CCC" w:rsidRDefault="00C902B7" w:rsidP="00190CCC">
      <w:pPr>
        <w:keepNext/>
      </w:pPr>
      <w:r>
        <w:t>nátrium-lauril-szulfát</w:t>
      </w:r>
    </w:p>
    <w:p w14:paraId="21CAB89C" w14:textId="77777777" w:rsidR="007543BB" w:rsidRPr="00190CCC" w:rsidRDefault="002D677C" w:rsidP="00190CCC">
      <w:pPr>
        <w:keepNext/>
      </w:pPr>
      <w:r w:rsidRPr="00190CCC">
        <w:t>titán-dioxid (E171)</w:t>
      </w:r>
    </w:p>
    <w:p w14:paraId="4DD76C14" w14:textId="5328B3E2" w:rsidR="007543BB" w:rsidRDefault="002D677C" w:rsidP="003665EB">
      <w:pPr>
        <w:keepNext/>
      </w:pPr>
      <w:r w:rsidRPr="00190CCC">
        <w:t>vörös vas-oxid (E172)</w:t>
      </w:r>
    </w:p>
    <w:p w14:paraId="5B89B7E6" w14:textId="780F2963" w:rsidR="00C902B7" w:rsidRDefault="00C902B7" w:rsidP="003665EB">
      <w:pPr>
        <w:keepNext/>
      </w:pPr>
      <w:r>
        <w:t>sárga vas-oxid (E172)</w:t>
      </w:r>
    </w:p>
    <w:p w14:paraId="54B3B1F5" w14:textId="77777777" w:rsidR="00190CCC" w:rsidRPr="00190CCC" w:rsidRDefault="00190CCC" w:rsidP="00190CCC"/>
    <w:p w14:paraId="5C5A104F" w14:textId="1A5BB533" w:rsidR="007543BB" w:rsidRDefault="00390A1D" w:rsidP="0089574A">
      <w:pPr>
        <w:keepNext/>
        <w:ind w:left="567" w:hanging="567"/>
        <w:rPr>
          <w:b/>
          <w:bCs/>
        </w:rPr>
      </w:pPr>
      <w:r>
        <w:rPr>
          <w:b/>
          <w:bCs/>
        </w:rPr>
        <w:t>6.2</w:t>
      </w:r>
      <w:r>
        <w:rPr>
          <w:b/>
          <w:bCs/>
        </w:rPr>
        <w:tab/>
      </w:r>
      <w:r w:rsidR="002D677C" w:rsidRPr="0089574A">
        <w:rPr>
          <w:b/>
          <w:bCs/>
        </w:rPr>
        <w:t>Inkompatibilitások</w:t>
      </w:r>
    </w:p>
    <w:p w14:paraId="148A7407" w14:textId="77777777" w:rsidR="00190CCC" w:rsidRPr="0089574A" w:rsidRDefault="00190CCC" w:rsidP="0089574A">
      <w:pPr>
        <w:keepNext/>
        <w:ind w:left="567" w:hanging="567"/>
        <w:rPr>
          <w:b/>
          <w:bCs/>
        </w:rPr>
      </w:pPr>
    </w:p>
    <w:p w14:paraId="063086C3" w14:textId="77777777" w:rsidR="007543BB" w:rsidRDefault="002D677C" w:rsidP="00190CCC">
      <w:r w:rsidRPr="00190CCC">
        <w:t>Nem értelmezhető</w:t>
      </w:r>
    </w:p>
    <w:p w14:paraId="5ECE3B03" w14:textId="77777777" w:rsidR="00190CCC" w:rsidRPr="00190CCC" w:rsidRDefault="00190CCC" w:rsidP="00190CCC"/>
    <w:p w14:paraId="0EAE9513" w14:textId="342F6C55" w:rsidR="007543BB" w:rsidRDefault="00390A1D" w:rsidP="0089574A">
      <w:pPr>
        <w:keepNext/>
        <w:ind w:left="567" w:hanging="567"/>
        <w:rPr>
          <w:b/>
          <w:bCs/>
        </w:rPr>
      </w:pPr>
      <w:r>
        <w:rPr>
          <w:b/>
          <w:bCs/>
        </w:rPr>
        <w:t>6.3</w:t>
      </w:r>
      <w:r>
        <w:rPr>
          <w:b/>
          <w:bCs/>
        </w:rPr>
        <w:tab/>
      </w:r>
      <w:r w:rsidR="002D677C" w:rsidRPr="0089574A">
        <w:rPr>
          <w:b/>
          <w:bCs/>
        </w:rPr>
        <w:t>Felhasználhatósági időtartam</w:t>
      </w:r>
    </w:p>
    <w:p w14:paraId="206EF820" w14:textId="77777777" w:rsidR="00190CCC" w:rsidRPr="0089574A" w:rsidRDefault="00190CCC" w:rsidP="0089574A">
      <w:pPr>
        <w:keepNext/>
        <w:ind w:left="567" w:hanging="567"/>
        <w:rPr>
          <w:b/>
          <w:bCs/>
        </w:rPr>
      </w:pPr>
    </w:p>
    <w:p w14:paraId="5A99B026" w14:textId="03C3E6ED" w:rsidR="007543BB" w:rsidRDefault="002D677C" w:rsidP="00190CCC">
      <w:r w:rsidRPr="00190CCC">
        <w:t>3</w:t>
      </w:r>
      <w:r w:rsidR="00674EE9">
        <w:t> </w:t>
      </w:r>
      <w:r w:rsidRPr="00190CCC">
        <w:t>év</w:t>
      </w:r>
    </w:p>
    <w:p w14:paraId="76A0E50D" w14:textId="77777777" w:rsidR="00190CCC" w:rsidRPr="00190CCC" w:rsidRDefault="00190CCC" w:rsidP="00190CCC"/>
    <w:p w14:paraId="55078F20" w14:textId="5B99BE89" w:rsidR="007543BB" w:rsidRDefault="00390A1D" w:rsidP="0089574A">
      <w:pPr>
        <w:keepNext/>
        <w:ind w:left="567" w:hanging="567"/>
        <w:rPr>
          <w:b/>
          <w:bCs/>
        </w:rPr>
      </w:pPr>
      <w:r>
        <w:rPr>
          <w:b/>
          <w:bCs/>
        </w:rPr>
        <w:t>6.4</w:t>
      </w:r>
      <w:r>
        <w:rPr>
          <w:b/>
          <w:bCs/>
        </w:rPr>
        <w:tab/>
      </w:r>
      <w:r w:rsidR="002D677C" w:rsidRPr="0089574A">
        <w:rPr>
          <w:b/>
          <w:bCs/>
        </w:rPr>
        <w:t>Különleges tárolási előírások</w:t>
      </w:r>
    </w:p>
    <w:p w14:paraId="70BB23BC" w14:textId="77777777" w:rsidR="00190CCC" w:rsidRPr="0089574A" w:rsidRDefault="00190CCC" w:rsidP="0089574A">
      <w:pPr>
        <w:keepNext/>
        <w:ind w:left="567" w:hanging="567"/>
        <w:rPr>
          <w:b/>
          <w:bCs/>
        </w:rPr>
      </w:pPr>
    </w:p>
    <w:p w14:paraId="1E0A98FE" w14:textId="49695388" w:rsidR="007543BB" w:rsidRDefault="002D677C" w:rsidP="00190CCC">
      <w:r w:rsidRPr="00190CCC">
        <w:t>Ez a gyógyszer nem igényel különleges tárolás</w:t>
      </w:r>
      <w:r w:rsidR="004C7776">
        <w:t>t</w:t>
      </w:r>
      <w:r w:rsidRPr="00190CCC">
        <w:t>.</w:t>
      </w:r>
    </w:p>
    <w:p w14:paraId="5CCD298E" w14:textId="77777777" w:rsidR="00190CCC" w:rsidRPr="00190CCC" w:rsidRDefault="00190CCC" w:rsidP="00190CCC"/>
    <w:p w14:paraId="179BFE00" w14:textId="3EE468EA" w:rsidR="007543BB" w:rsidRDefault="00390A1D" w:rsidP="0089574A">
      <w:pPr>
        <w:keepNext/>
        <w:ind w:left="567" w:hanging="567"/>
        <w:rPr>
          <w:b/>
          <w:bCs/>
        </w:rPr>
      </w:pPr>
      <w:r>
        <w:rPr>
          <w:b/>
          <w:bCs/>
        </w:rPr>
        <w:t>6.5</w:t>
      </w:r>
      <w:r>
        <w:rPr>
          <w:b/>
          <w:bCs/>
        </w:rPr>
        <w:tab/>
      </w:r>
      <w:r w:rsidR="002D677C" w:rsidRPr="0089574A">
        <w:rPr>
          <w:b/>
          <w:bCs/>
        </w:rPr>
        <w:t>Csomagolás típusa és kiszerelése</w:t>
      </w:r>
    </w:p>
    <w:p w14:paraId="75A0544A" w14:textId="77777777" w:rsidR="00190CCC" w:rsidRPr="0089574A" w:rsidRDefault="00190CCC" w:rsidP="0089574A">
      <w:pPr>
        <w:keepNext/>
        <w:ind w:left="567" w:hanging="567"/>
        <w:rPr>
          <w:b/>
          <w:bCs/>
        </w:rPr>
      </w:pPr>
    </w:p>
    <w:p w14:paraId="74E87B06" w14:textId="7CA24950" w:rsidR="00674EE9" w:rsidRPr="0010029D" w:rsidRDefault="002D677C" w:rsidP="004B7F7B">
      <w:pPr>
        <w:rPr>
          <w:u w:val="single"/>
        </w:rPr>
      </w:pPr>
      <w:r w:rsidRPr="0010029D">
        <w:rPr>
          <w:u w:val="single"/>
        </w:rPr>
        <w:t>PVC/PVdC</w:t>
      </w:r>
      <w:r w:rsidR="00674EE9" w:rsidRPr="0010029D">
        <w:rPr>
          <w:u w:val="single"/>
        </w:rPr>
        <w:t>//A</w:t>
      </w:r>
      <w:r w:rsidR="00F740B8" w:rsidRPr="0010029D">
        <w:rPr>
          <w:u w:val="single"/>
        </w:rPr>
        <w:t>l</w:t>
      </w:r>
      <w:r w:rsidRPr="0010029D">
        <w:rPr>
          <w:u w:val="single"/>
        </w:rPr>
        <w:t xml:space="preserve"> buborékcsomagolás</w:t>
      </w:r>
    </w:p>
    <w:p w14:paraId="566C028B" w14:textId="5F003D3C" w:rsidR="007543BB" w:rsidRPr="004B7F7B" w:rsidRDefault="002D677C" w:rsidP="004B7F7B">
      <w:r w:rsidRPr="004B7F7B">
        <w:t>1</w:t>
      </w:r>
      <w:r w:rsidR="00674EE9">
        <w:t>0</w:t>
      </w:r>
      <w:r w:rsidRPr="004B7F7B">
        <w:t xml:space="preserve">, 20, 56, 60, </w:t>
      </w:r>
      <w:r w:rsidR="00674EE9">
        <w:t xml:space="preserve">100, </w:t>
      </w:r>
      <w:r w:rsidRPr="004B7F7B">
        <w:t>168</w:t>
      </w:r>
      <w:r w:rsidR="00674EE9">
        <w:t xml:space="preserve"> vagy </w:t>
      </w:r>
      <w:r w:rsidRPr="004B7F7B">
        <w:t>200</w:t>
      </w:r>
      <w:r w:rsidR="00674EE9">
        <w:t> </w:t>
      </w:r>
      <w:r w:rsidRPr="004B7F7B">
        <w:t>filmtablett</w:t>
      </w:r>
      <w:r w:rsidR="00674EE9">
        <w:t>át tartalmazó PVC/PVdC//Al buborékcsomagolás</w:t>
      </w:r>
      <w:r w:rsidR="004C7776">
        <w:t xml:space="preserve"> dobozban</w:t>
      </w:r>
      <w:r w:rsidRPr="004B7F7B">
        <w:t>.</w:t>
      </w:r>
    </w:p>
    <w:p w14:paraId="08AA5F59" w14:textId="2CF15451" w:rsidR="007543BB" w:rsidRDefault="002D677C" w:rsidP="004B7F7B">
      <w:r w:rsidRPr="004B7F7B">
        <w:t xml:space="preserve">10 </w:t>
      </w:r>
      <w:r w:rsidR="004B7F7B" w:rsidRPr="004311F4">
        <w:t>×</w:t>
      </w:r>
      <w:r w:rsidRPr="004B7F7B">
        <w:t xml:space="preserve"> 1</w:t>
      </w:r>
      <w:r w:rsidR="00674EE9">
        <w:t>, 20</w:t>
      </w:r>
      <w:r w:rsidR="00674EE9" w:rsidRPr="004B7F7B">
        <w:t xml:space="preserve"> </w:t>
      </w:r>
      <w:r w:rsidR="00674EE9" w:rsidRPr="004311F4">
        <w:t>×</w:t>
      </w:r>
      <w:r w:rsidR="00674EE9" w:rsidRPr="004B7F7B">
        <w:t xml:space="preserve"> 1</w:t>
      </w:r>
      <w:r w:rsidR="00674EE9">
        <w:t>, 56</w:t>
      </w:r>
      <w:r w:rsidR="00674EE9" w:rsidRPr="004B7F7B">
        <w:t xml:space="preserve"> </w:t>
      </w:r>
      <w:r w:rsidR="00674EE9" w:rsidRPr="004311F4">
        <w:t>×</w:t>
      </w:r>
      <w:r w:rsidR="00674EE9" w:rsidRPr="004B7F7B">
        <w:t xml:space="preserve"> 1</w:t>
      </w:r>
      <w:r w:rsidR="00674EE9">
        <w:t>, 60</w:t>
      </w:r>
      <w:r w:rsidR="00674EE9" w:rsidRPr="004B7F7B">
        <w:t xml:space="preserve"> </w:t>
      </w:r>
      <w:r w:rsidR="00674EE9" w:rsidRPr="004311F4">
        <w:t>×</w:t>
      </w:r>
      <w:r w:rsidR="00674EE9" w:rsidRPr="004B7F7B">
        <w:t xml:space="preserve"> 1</w:t>
      </w:r>
      <w:r w:rsidR="00674EE9">
        <w:t>, 100</w:t>
      </w:r>
      <w:r w:rsidR="00674EE9" w:rsidRPr="004B7F7B">
        <w:t xml:space="preserve"> </w:t>
      </w:r>
      <w:r w:rsidR="00674EE9" w:rsidRPr="004311F4">
        <w:t>×</w:t>
      </w:r>
      <w:r w:rsidR="00674EE9" w:rsidRPr="004B7F7B">
        <w:t xml:space="preserve"> 1</w:t>
      </w:r>
      <w:r w:rsidR="00674EE9">
        <w:t>, 168</w:t>
      </w:r>
      <w:r w:rsidR="00674EE9" w:rsidRPr="004B7F7B">
        <w:t xml:space="preserve"> </w:t>
      </w:r>
      <w:r w:rsidR="00674EE9" w:rsidRPr="004311F4">
        <w:t>×</w:t>
      </w:r>
      <w:r w:rsidR="00674EE9" w:rsidRPr="004B7F7B">
        <w:t xml:space="preserve"> 1</w:t>
      </w:r>
      <w:r w:rsidR="00674EE9">
        <w:t> vagy 200</w:t>
      </w:r>
      <w:r w:rsidR="00674EE9" w:rsidRPr="004B7F7B">
        <w:t xml:space="preserve"> </w:t>
      </w:r>
      <w:r w:rsidR="00674EE9" w:rsidRPr="004311F4">
        <w:t>×</w:t>
      </w:r>
      <w:r w:rsidR="00674EE9" w:rsidRPr="004B7F7B">
        <w:t xml:space="preserve"> 1</w:t>
      </w:r>
      <w:r w:rsidR="00674EE9">
        <w:t> </w:t>
      </w:r>
      <w:r w:rsidRPr="004B7F7B">
        <w:t>filmtablettát tartalmazó PVC/PVdC</w:t>
      </w:r>
      <w:r w:rsidR="00674EE9">
        <w:t>//Al</w:t>
      </w:r>
      <w:r w:rsidRPr="004B7F7B">
        <w:t xml:space="preserve"> adagonként perforált buborékcsomagolás</w:t>
      </w:r>
      <w:r w:rsidR="004C7776">
        <w:t xml:space="preserve"> dobozban</w:t>
      </w:r>
      <w:r w:rsidRPr="004B7F7B">
        <w:t>.</w:t>
      </w:r>
    </w:p>
    <w:p w14:paraId="28A1011E" w14:textId="677F92EF" w:rsidR="004B7F7B" w:rsidRDefault="004B7F7B" w:rsidP="004B7F7B"/>
    <w:p w14:paraId="205273C6" w14:textId="68B669BC" w:rsidR="00BA0AD6" w:rsidRDefault="00F740B8" w:rsidP="00BA0AD6">
      <w:r>
        <w:t>Gyermekbiztos PP kupakkal és i</w:t>
      </w:r>
      <w:r w:rsidR="00BA0AD6" w:rsidRPr="00B1007C">
        <w:t>ndukciós lap</w:t>
      </w:r>
      <w:r w:rsidR="00717205">
        <w:t>pal</w:t>
      </w:r>
      <w:r w:rsidR="00BA0AD6" w:rsidRPr="00B1007C">
        <w:t xml:space="preserve"> ellátott</w:t>
      </w:r>
      <w:r w:rsidR="00BA0AD6">
        <w:t xml:space="preserve"> HDPE tartály</w:t>
      </w:r>
    </w:p>
    <w:p w14:paraId="1630262F" w14:textId="0D680326" w:rsidR="00BA0AD6" w:rsidRDefault="00BA0AD6" w:rsidP="00BA0AD6">
      <w:r>
        <w:t>60, 180 vagy 200</w:t>
      </w:r>
      <w:r w:rsidR="00F740B8">
        <w:t> </w:t>
      </w:r>
      <w:r>
        <w:t>filmtablettát tartalmazó HDPE tartály</w:t>
      </w:r>
      <w:r w:rsidR="004C7776">
        <w:t xml:space="preserve"> dobozban</w:t>
      </w:r>
      <w:r>
        <w:t>.</w:t>
      </w:r>
    </w:p>
    <w:p w14:paraId="2434CA8B" w14:textId="77777777" w:rsidR="00674EE9" w:rsidRPr="004B7F7B" w:rsidRDefault="00674EE9" w:rsidP="004B7F7B"/>
    <w:p w14:paraId="0B188C70" w14:textId="77777777" w:rsidR="007543BB" w:rsidRDefault="002D677C" w:rsidP="004B7F7B">
      <w:r w:rsidRPr="004B7F7B">
        <w:t>Nem feltétlenül mindegyik kiszerelés kerül kereskedelmi forgalomba.</w:t>
      </w:r>
    </w:p>
    <w:p w14:paraId="0ED0D606" w14:textId="77777777" w:rsidR="004B7F7B" w:rsidRPr="004B7F7B" w:rsidRDefault="004B7F7B" w:rsidP="004B7F7B"/>
    <w:p w14:paraId="47D05384" w14:textId="6C98D9B2" w:rsidR="007543BB" w:rsidRDefault="00390A1D" w:rsidP="0089574A">
      <w:pPr>
        <w:keepNext/>
        <w:ind w:left="567" w:hanging="567"/>
        <w:rPr>
          <w:b/>
          <w:bCs/>
        </w:rPr>
      </w:pPr>
      <w:r>
        <w:rPr>
          <w:b/>
          <w:bCs/>
        </w:rPr>
        <w:t>6.6</w:t>
      </w:r>
      <w:r>
        <w:rPr>
          <w:b/>
          <w:bCs/>
        </w:rPr>
        <w:tab/>
      </w:r>
      <w:r w:rsidR="002D677C" w:rsidRPr="0089574A">
        <w:rPr>
          <w:b/>
          <w:bCs/>
        </w:rPr>
        <w:t>A megsemmisítésre vonatkozó különleges óvintézkedések</w:t>
      </w:r>
    </w:p>
    <w:p w14:paraId="7112938D" w14:textId="77777777" w:rsidR="004B7F7B" w:rsidRPr="0089574A" w:rsidRDefault="004B7F7B" w:rsidP="0089574A">
      <w:pPr>
        <w:keepNext/>
        <w:ind w:left="567" w:hanging="567"/>
        <w:rPr>
          <w:b/>
          <w:bCs/>
        </w:rPr>
      </w:pPr>
    </w:p>
    <w:p w14:paraId="1E20DCF3" w14:textId="77777777" w:rsidR="007543BB" w:rsidRDefault="002D677C" w:rsidP="004B7F7B">
      <w:r w:rsidRPr="004B7F7B">
        <w:t>Bármilyen fel nem használt gyógyszer, illetve hulladékanyag megsemmisítését a gyógyszerekre vonatkozó előírások szerint kell végrehajtani.</w:t>
      </w:r>
    </w:p>
    <w:p w14:paraId="2E807DA5" w14:textId="77777777" w:rsidR="004B7F7B" w:rsidRDefault="004B7F7B" w:rsidP="004B7F7B"/>
    <w:p w14:paraId="3A18A239" w14:textId="77777777" w:rsidR="0010029D" w:rsidRPr="0010029D" w:rsidRDefault="0010029D" w:rsidP="0010029D">
      <w:pPr>
        <w:rPr>
          <w:rFonts w:eastAsia="Calibri"/>
          <w:lang w:eastAsia="en-US" w:bidi="ar-SA"/>
        </w:rPr>
      </w:pPr>
      <w:r w:rsidRPr="0010029D">
        <w:rPr>
          <w:rFonts w:eastAsia="Calibri"/>
          <w:b/>
          <w:lang w:eastAsia="en-US" w:bidi="ar-SA"/>
        </w:rPr>
        <w:t>Megjegyzés</w:t>
      </w:r>
      <w:r w:rsidRPr="0010029D">
        <w:rPr>
          <w:rFonts w:eastAsia="Calibri"/>
          <w:lang w:eastAsia="en-US" w:bidi="ar-SA"/>
        </w:rPr>
        <w:t xml:space="preserve">: </w:t>
      </w:r>
      <w:r w:rsidRPr="0010029D">
        <w:rPr>
          <w:rFonts w:eastAsia="Calibri"/>
          <w:lang w:val="en-GB" w:eastAsia="en-US" w:bidi="ar-SA"/>
        </w:rPr>
        <w:sym w:font="Wingdings" w:char="F058"/>
      </w:r>
      <w:r w:rsidRPr="0010029D">
        <w:rPr>
          <w:rFonts w:eastAsia="Calibri"/>
          <w:lang w:eastAsia="en-US" w:bidi="ar-SA"/>
        </w:rPr>
        <w:t xml:space="preserve"> (egy keresztes)</w:t>
      </w:r>
    </w:p>
    <w:p w14:paraId="5E1432B5" w14:textId="77777777" w:rsidR="0010029D" w:rsidRPr="0010029D" w:rsidRDefault="0010029D" w:rsidP="0010029D">
      <w:pPr>
        <w:rPr>
          <w:rFonts w:eastAsia="Calibri"/>
          <w:lang w:eastAsia="en-US" w:bidi="ar-SA"/>
        </w:rPr>
      </w:pPr>
      <w:r w:rsidRPr="0010029D">
        <w:rPr>
          <w:rFonts w:eastAsia="Calibri"/>
          <w:b/>
          <w:lang w:eastAsia="en-US" w:bidi="ar-SA"/>
        </w:rPr>
        <w:t>Osztályozás:</w:t>
      </w:r>
      <w:r w:rsidRPr="0010029D">
        <w:rPr>
          <w:rFonts w:eastAsia="Calibri"/>
          <w:lang w:eastAsia="en-US" w:bidi="ar-SA"/>
        </w:rPr>
        <w:t xml:space="preserve"> </w:t>
      </w:r>
      <w:r w:rsidRPr="0010029D">
        <w:rPr>
          <w:rFonts w:eastAsia="Calibri"/>
          <w:b/>
          <w:lang w:eastAsia="en-US" w:bidi="ar-SA"/>
        </w:rPr>
        <w:t>II./1 csoport</w:t>
      </w:r>
    </w:p>
    <w:p w14:paraId="47EA26F7" w14:textId="77777777" w:rsidR="0010029D" w:rsidRPr="0010029D" w:rsidRDefault="0010029D" w:rsidP="0010029D">
      <w:pPr>
        <w:rPr>
          <w:rFonts w:eastAsia="Calibri"/>
          <w:lang w:eastAsia="en-US" w:bidi="ar-SA"/>
        </w:rPr>
      </w:pPr>
      <w:r w:rsidRPr="0010029D">
        <w:rPr>
          <w:rFonts w:eastAsia="Calibri"/>
          <w:lang w:eastAsia="en-US" w:bidi="ar-SA"/>
        </w:rPr>
        <w:t>Korlátozott érvényű orvosi rendelvényhez kötött, szakorvosi/kórházi diagnózist követő járóbeteg-ellátásban alkalmazható gyógyszer (J).</w:t>
      </w:r>
    </w:p>
    <w:p w14:paraId="2BAC2EE7" w14:textId="77777777" w:rsidR="004B7F7B" w:rsidRPr="004B7F7B" w:rsidRDefault="004B7F7B" w:rsidP="004B7F7B"/>
    <w:p w14:paraId="6DC922A0" w14:textId="5685F871" w:rsidR="007543BB" w:rsidRDefault="00390A1D" w:rsidP="0089574A">
      <w:pPr>
        <w:keepNext/>
        <w:ind w:left="567" w:hanging="567"/>
        <w:rPr>
          <w:b/>
          <w:bCs/>
        </w:rPr>
      </w:pPr>
      <w:r w:rsidRPr="0089574A">
        <w:rPr>
          <w:b/>
          <w:bCs/>
        </w:rPr>
        <w:t>7.</w:t>
      </w:r>
      <w:r w:rsidRPr="0089574A">
        <w:rPr>
          <w:b/>
          <w:bCs/>
        </w:rPr>
        <w:tab/>
      </w:r>
      <w:r w:rsidR="002D677C" w:rsidRPr="0089574A">
        <w:rPr>
          <w:b/>
          <w:bCs/>
        </w:rPr>
        <w:t>A FORGALOMBA HOZATALI ENGEDÉLY JOGOSULTJA</w:t>
      </w:r>
    </w:p>
    <w:p w14:paraId="3DC2E4FB" w14:textId="77777777" w:rsidR="004B7F7B" w:rsidRPr="00CA1185" w:rsidRDefault="004B7F7B" w:rsidP="00CA1185">
      <w:pPr>
        <w:keepNext/>
      </w:pPr>
    </w:p>
    <w:p w14:paraId="1AF59F84" w14:textId="77777777" w:rsidR="00CA1185" w:rsidRPr="00CA1185" w:rsidRDefault="00CA1185" w:rsidP="00CA1185">
      <w:pPr>
        <w:keepNext/>
      </w:pPr>
      <w:r w:rsidRPr="00CA1185">
        <w:t>Viatris Limited</w:t>
      </w:r>
    </w:p>
    <w:p w14:paraId="5BF5502F" w14:textId="77777777" w:rsidR="00CA1185" w:rsidRPr="00CA1185" w:rsidRDefault="00CA1185" w:rsidP="00CA1185">
      <w:pPr>
        <w:keepNext/>
      </w:pPr>
      <w:r w:rsidRPr="00CA1185">
        <w:t>Damastown Industrial Park</w:t>
      </w:r>
    </w:p>
    <w:p w14:paraId="6D1214FB" w14:textId="77777777" w:rsidR="00CA1185" w:rsidRPr="00CA1185" w:rsidRDefault="00CA1185" w:rsidP="00CA1185">
      <w:pPr>
        <w:keepNext/>
      </w:pPr>
      <w:r w:rsidRPr="00CA1185">
        <w:t>Mulhuddart</w:t>
      </w:r>
    </w:p>
    <w:p w14:paraId="69BBCF53" w14:textId="77777777" w:rsidR="00CA1185" w:rsidRPr="00CA1185" w:rsidRDefault="00CA1185" w:rsidP="00CA1185">
      <w:pPr>
        <w:keepNext/>
      </w:pPr>
      <w:r w:rsidRPr="00CA1185">
        <w:t>Dublin 15</w:t>
      </w:r>
    </w:p>
    <w:p w14:paraId="650DA3F4" w14:textId="77777777" w:rsidR="00CA1185" w:rsidRPr="00CA1185" w:rsidRDefault="00CA1185" w:rsidP="00CA1185">
      <w:pPr>
        <w:keepNext/>
      </w:pPr>
      <w:r w:rsidRPr="00CA1185">
        <w:t>DUBLIN</w:t>
      </w:r>
    </w:p>
    <w:p w14:paraId="5757AAB2" w14:textId="77777777" w:rsidR="00CA1185" w:rsidRPr="00CA1185" w:rsidRDefault="00CA1185" w:rsidP="00CA1185">
      <w:pPr>
        <w:keepNext/>
      </w:pPr>
      <w:r w:rsidRPr="00CA1185">
        <w:t>Írország</w:t>
      </w:r>
    </w:p>
    <w:p w14:paraId="76D331EF" w14:textId="77777777" w:rsidR="004B7F7B" w:rsidRDefault="004B7F7B" w:rsidP="004B7F7B"/>
    <w:p w14:paraId="00444A80" w14:textId="77777777" w:rsidR="004B7F7B" w:rsidRPr="004B7F7B" w:rsidRDefault="004B7F7B" w:rsidP="004B7F7B"/>
    <w:p w14:paraId="45D1AE1C" w14:textId="16D07785" w:rsidR="007543BB" w:rsidRDefault="00390A1D" w:rsidP="0089574A">
      <w:pPr>
        <w:keepNext/>
        <w:ind w:left="567" w:hanging="567"/>
        <w:rPr>
          <w:b/>
          <w:bCs/>
        </w:rPr>
      </w:pPr>
      <w:r w:rsidRPr="0089574A">
        <w:rPr>
          <w:b/>
          <w:bCs/>
        </w:rPr>
        <w:t>8.</w:t>
      </w:r>
      <w:r w:rsidRPr="0089574A">
        <w:rPr>
          <w:b/>
          <w:bCs/>
        </w:rPr>
        <w:tab/>
      </w:r>
      <w:r w:rsidR="002D677C" w:rsidRPr="0089574A">
        <w:rPr>
          <w:b/>
          <w:bCs/>
        </w:rPr>
        <w:t>A FORGALOMBA HOZATALI ENGEDÉLY SZÁMA(I)</w:t>
      </w:r>
    </w:p>
    <w:p w14:paraId="094D29E6" w14:textId="77777777" w:rsidR="004B7F7B" w:rsidRPr="0089574A" w:rsidRDefault="004B7F7B" w:rsidP="0089574A">
      <w:pPr>
        <w:keepNext/>
        <w:ind w:left="567" w:hanging="567"/>
        <w:rPr>
          <w:b/>
          <w:bCs/>
        </w:rPr>
      </w:pPr>
    </w:p>
    <w:p w14:paraId="04C86E7C" w14:textId="21486E00" w:rsidR="004B7F7B" w:rsidRDefault="009524B8" w:rsidP="004B7F7B">
      <w:r>
        <w:t>OGYI-T-24733/03    60×</w:t>
      </w:r>
      <w:r w:rsidRPr="009524B8">
        <w:t xml:space="preserve">      PVC/PVdC//Al buborékcsomagolásban</w:t>
      </w:r>
      <w:r w:rsidRPr="009524B8" w:rsidDel="009524B8">
        <w:t xml:space="preserve"> </w:t>
      </w:r>
    </w:p>
    <w:p w14:paraId="17234B7C" w14:textId="77777777" w:rsidR="004311F4" w:rsidRPr="004B7F7B" w:rsidRDefault="004311F4" w:rsidP="004B7F7B"/>
    <w:p w14:paraId="499E45DA" w14:textId="25B11DC9" w:rsidR="007543BB" w:rsidRDefault="00390A1D" w:rsidP="0089574A">
      <w:pPr>
        <w:keepNext/>
        <w:ind w:left="567" w:hanging="567"/>
        <w:rPr>
          <w:b/>
          <w:bCs/>
        </w:rPr>
      </w:pPr>
      <w:r w:rsidRPr="0089574A">
        <w:rPr>
          <w:b/>
          <w:bCs/>
        </w:rPr>
        <w:t>9.</w:t>
      </w:r>
      <w:r w:rsidRPr="0089574A">
        <w:rPr>
          <w:b/>
          <w:bCs/>
        </w:rPr>
        <w:tab/>
      </w:r>
      <w:r w:rsidR="002D677C" w:rsidRPr="0089574A">
        <w:rPr>
          <w:b/>
          <w:bCs/>
        </w:rPr>
        <w:t>A FORGALOMBA HOZATALI ENGEDÉLY ELSŐ KIADÁSÁNAK/ MEGÚJÍTÁSÁNAK DÁTUMA</w:t>
      </w:r>
    </w:p>
    <w:p w14:paraId="1E7FA7A1" w14:textId="77777777" w:rsidR="004B7F7B" w:rsidRPr="0089574A" w:rsidRDefault="004B7F7B" w:rsidP="0089574A">
      <w:pPr>
        <w:keepNext/>
        <w:ind w:left="567" w:hanging="567"/>
        <w:rPr>
          <w:b/>
          <w:bCs/>
        </w:rPr>
      </w:pPr>
    </w:p>
    <w:p w14:paraId="57EAA76B" w14:textId="268C4575" w:rsidR="007543BB" w:rsidRPr="004B7F7B" w:rsidRDefault="002D677C" w:rsidP="004B7F7B">
      <w:pPr>
        <w:keepNext/>
      </w:pPr>
      <w:r w:rsidRPr="004B7F7B">
        <w:t>A forgalomba hozatali engedély első kiadásának dátuma:</w:t>
      </w:r>
      <w:r w:rsidR="009524B8">
        <w:t xml:space="preserve"> 2026. április 23.</w:t>
      </w:r>
    </w:p>
    <w:p w14:paraId="68994451" w14:textId="77777777" w:rsidR="009524B8" w:rsidRDefault="009524B8" w:rsidP="0089574A">
      <w:pPr>
        <w:keepNext/>
        <w:ind w:left="567" w:hanging="567"/>
        <w:rPr>
          <w:b/>
          <w:bCs/>
        </w:rPr>
      </w:pPr>
    </w:p>
    <w:p w14:paraId="1B4FF594" w14:textId="2722440C" w:rsidR="007543BB" w:rsidRDefault="00390A1D" w:rsidP="0089574A">
      <w:pPr>
        <w:keepNext/>
        <w:ind w:left="567" w:hanging="567"/>
        <w:rPr>
          <w:b/>
          <w:bCs/>
        </w:rPr>
      </w:pPr>
      <w:r w:rsidRPr="0089574A">
        <w:rPr>
          <w:b/>
          <w:bCs/>
        </w:rPr>
        <w:t>10.</w:t>
      </w:r>
      <w:r w:rsidRPr="0089574A">
        <w:rPr>
          <w:b/>
          <w:bCs/>
        </w:rPr>
        <w:tab/>
      </w:r>
      <w:r w:rsidR="002D677C" w:rsidRPr="0089574A">
        <w:rPr>
          <w:b/>
          <w:bCs/>
        </w:rPr>
        <w:t>A SZÖVEG ELLENŐRZÉSÉNEK DÁTUMA</w:t>
      </w:r>
    </w:p>
    <w:p w14:paraId="692990AC" w14:textId="77777777" w:rsidR="004B7F7B" w:rsidRPr="0089574A" w:rsidRDefault="004B7F7B" w:rsidP="0089574A">
      <w:pPr>
        <w:keepNext/>
        <w:ind w:left="567" w:hanging="567"/>
        <w:rPr>
          <w:b/>
          <w:bCs/>
        </w:rPr>
      </w:pPr>
    </w:p>
    <w:p w14:paraId="5D9B4929" w14:textId="1197A7C6" w:rsidR="004311F4" w:rsidRDefault="009524B8" w:rsidP="004311F4">
      <w:r>
        <w:t>2026. április 23.</w:t>
      </w:r>
    </w:p>
    <w:p w14:paraId="6A932F9B" w14:textId="77777777" w:rsidR="004B7F7B" w:rsidRPr="004B7F7B" w:rsidRDefault="004B7F7B" w:rsidP="004B7F7B"/>
    <w:sectPr w:rsidR="004B7F7B" w:rsidRPr="004B7F7B" w:rsidSect="00B10F8E">
      <w:headerReference w:type="default" r:id="rId7"/>
      <w:footerReference w:type="even" r:id="rId8"/>
      <w:footerReference w:type="default" r:id="rId9"/>
      <w:footerReference w:type="first" r:id="rId10"/>
      <w:pgSz w:w="11900" w:h="16840"/>
      <w:pgMar w:top="1134" w:right="1417" w:bottom="1134" w:left="1417" w:header="737" w:footer="737"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5D46BD" w16cex:dateUtc="2026-03-23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D2C4C4" w16cid:durableId="435D46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DBBA2" w14:textId="77777777" w:rsidR="00B62F62" w:rsidRDefault="00B62F62">
      <w:r>
        <w:separator/>
      </w:r>
    </w:p>
  </w:endnote>
  <w:endnote w:type="continuationSeparator" w:id="0">
    <w:p w14:paraId="7A95BD85" w14:textId="77777777" w:rsidR="00B62F62" w:rsidRDefault="00B62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New Gulim">
    <w:altName w:val="Malgun Gothic Semilight"/>
    <w:charset w:val="81"/>
    <w:family w:val="roman"/>
    <w:pitch w:val="variable"/>
    <w:sig w:usb0="B00002AF" w:usb1="7B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13A83" w14:textId="77777777" w:rsidR="00D92997" w:rsidRDefault="00D92997">
    <w:pPr>
      <w:spacing w:line="1" w:lineRule="exact"/>
    </w:pPr>
    <w:r>
      <w:rPr>
        <w:noProof/>
        <w:lang w:eastAsia="hu-HU" w:bidi="ar-SA"/>
      </w:rPr>
      <mc:AlternateContent>
        <mc:Choice Requires="wps">
          <w:drawing>
            <wp:anchor distT="0" distB="0" distL="0" distR="0" simplePos="0" relativeHeight="62914748" behindDoc="1" locked="0" layoutInCell="1" allowOverlap="1" wp14:anchorId="0DE7BDFF" wp14:editId="0E708C4C">
              <wp:simplePos x="0" y="0"/>
              <wp:positionH relativeFrom="page">
                <wp:posOffset>3801110</wp:posOffset>
              </wp:positionH>
              <wp:positionV relativeFrom="page">
                <wp:posOffset>10209530</wp:posOffset>
              </wp:positionV>
              <wp:extent cx="97790" cy="76200"/>
              <wp:effectExtent l="0" t="0" r="0" b="0"/>
              <wp:wrapNone/>
              <wp:docPr id="59" name="Shape 59"/>
              <wp:cNvGraphicFramePr/>
              <a:graphic xmlns:a="http://schemas.openxmlformats.org/drawingml/2006/main">
                <a:graphicData uri="http://schemas.microsoft.com/office/word/2010/wordprocessingShape">
                  <wps:wsp>
                    <wps:cNvSpPr txBox="1"/>
                    <wps:spPr>
                      <a:xfrm>
                        <a:off x="0" y="0"/>
                        <a:ext cx="97790" cy="76200"/>
                      </a:xfrm>
                      <a:prstGeom prst="rect">
                        <a:avLst/>
                      </a:prstGeom>
                      <a:noFill/>
                    </wps:spPr>
                    <wps:txbx>
                      <w:txbxContent>
                        <w:p w14:paraId="78C7B102" w14:textId="77777777" w:rsidR="00D92997" w:rsidRDefault="00D92997">
                          <w:pPr>
                            <w:pStyle w:val="Headerorfooter20"/>
                            <w:rPr>
                              <w:sz w:val="16"/>
                              <w:szCs w:val="16"/>
                            </w:rPr>
                          </w:pPr>
                          <w:r>
                            <w:fldChar w:fldCharType="begin"/>
                          </w:r>
                          <w:r>
                            <w:instrText xml:space="preserve"> PAGE \* MERGEFORMAT </w:instrText>
                          </w:r>
                          <w:r>
                            <w:fldChar w:fldCharType="separate"/>
                          </w:r>
                          <w:r>
                            <w:rPr>
                              <w:rStyle w:val="Headerorfooter2"/>
                              <w:rFonts w:ascii="Arial" w:eastAsia="Arial" w:hAnsi="Arial" w:cs="Arial"/>
                              <w:sz w:val="16"/>
                              <w:szCs w:val="16"/>
                            </w:rPr>
                            <w:t>#</w:t>
                          </w:r>
                          <w:r>
                            <w:rPr>
                              <w:rStyle w:val="Headerorfooter2"/>
                              <w:rFonts w:ascii="Arial" w:eastAsia="Arial" w:hAnsi="Arial" w:cs="Arial"/>
                              <w:sz w:val="16"/>
                              <w:szCs w:val="16"/>
                            </w:rPr>
                            <w:fldChar w:fldCharType="end"/>
                          </w:r>
                        </w:p>
                      </w:txbxContent>
                    </wps:txbx>
                    <wps:bodyPr wrap="none" lIns="0" tIns="0" rIns="0" bIns="0">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0DE7BDFF" id="_x0000_t202" coordsize="21600,21600" o:spt="202" path="m,l,21600r21600,l21600,xe">
              <v:stroke joinstyle="miter"/>
              <v:path gradientshapeok="t" o:connecttype="rect"/>
            </v:shapetype>
            <v:shape id="Shape 59" o:spid="_x0000_s1026" type="#_x0000_t202" style="position:absolute;margin-left:299.3pt;margin-top:803.9pt;width:7.7pt;height:6pt;z-index:-4404017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" filled="f" stroked="f">
              <v:textbox style="mso-fit-shape-to-text:t" inset="0,0,0,0">
                <w:txbxContent>
                  <w:p w14:paraId="78C7B102" w14:textId="77777777" w:rsidR="00D92997" w:rsidRDefault="00D92997">
                    <w:pPr>
                      <w:pStyle w:val="Headerorfooter20"/>
                      <w:rPr>
                        <w:sz w:val="16"/>
                        <w:szCs w:val="16"/>
                      </w:rPr>
                    </w:pPr>
                    <w:r>
                      <w:fldChar w:fldCharType="begin"/>
                    </w:r>
                    <w:r>
                      <w:instrText xml:space="preserve"> PAGE \* MERGEFORMAT </w:instrText>
                    </w:r>
                    <w:r>
                      <w:fldChar w:fldCharType="separate"/>
                    </w:r>
                    <w:r>
                      <w:rPr>
                        <w:rStyle w:val="Headerorfooter2"/>
                        <w:rFonts w:ascii="Arial" w:eastAsia="Arial" w:hAnsi="Arial" w:cs="Arial"/>
                        <w:sz w:val="16"/>
                        <w:szCs w:val="16"/>
                      </w:rPr>
                      <w:t>#</w:t>
                    </w:r>
                    <w:r>
                      <w:rPr>
                        <w:rStyle w:val="Headerorfooter2"/>
                        <w:rFonts w:ascii="Arial" w:eastAsia="Arial" w:hAnsi="Arial" w:cs="Arial"/>
                        <w:sz w:val="16"/>
                        <w:szCs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E1F00" w14:textId="0A5294FB" w:rsidR="00D92997" w:rsidRPr="00390A1D" w:rsidRDefault="00D92997" w:rsidP="00390A1D">
    <w:pPr>
      <w:jc w:val="cen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91C1B" w14:textId="4FAD3F43" w:rsidR="004C7776" w:rsidRPr="00FD45A3" w:rsidRDefault="00BD1E84">
    <w:pPr>
      <w:pStyle w:val="llb"/>
      <w:rPr>
        <w:sz w:val="18"/>
        <w:szCs w:val="18"/>
      </w:rPr>
    </w:pPr>
    <w:r w:rsidRPr="00FD45A3">
      <w:rPr>
        <w:sz w:val="18"/>
        <w:szCs w:val="18"/>
      </w:rPr>
      <w:t>OGYÉI/53955/2023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214A9E" w14:textId="77777777" w:rsidR="00B62F62" w:rsidRDefault="00B62F62"/>
  </w:footnote>
  <w:footnote w:type="continuationSeparator" w:id="0">
    <w:p w14:paraId="2BBE1051" w14:textId="77777777" w:rsidR="00B62F62" w:rsidRDefault="00B62F6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074809"/>
      <w:docPartObj>
        <w:docPartGallery w:val="Page Numbers (Top of Page)"/>
        <w:docPartUnique/>
      </w:docPartObj>
    </w:sdtPr>
    <w:sdtEndPr>
      <w:rPr>
        <w:noProof/>
        <w:sz w:val="16"/>
        <w:szCs w:val="16"/>
      </w:rPr>
    </w:sdtEndPr>
    <w:sdtContent>
      <w:p w14:paraId="275EE446" w14:textId="3E12150D" w:rsidR="00A0549A" w:rsidRPr="00B10F8E" w:rsidRDefault="00A0549A">
        <w:pPr>
          <w:pStyle w:val="lfej"/>
          <w:jc w:val="center"/>
          <w:rPr>
            <w:sz w:val="16"/>
            <w:szCs w:val="16"/>
          </w:rPr>
        </w:pPr>
        <w:r w:rsidRPr="00B10F8E">
          <w:rPr>
            <w:sz w:val="16"/>
            <w:szCs w:val="16"/>
          </w:rPr>
          <w:fldChar w:fldCharType="begin"/>
        </w:r>
        <w:r w:rsidRPr="00B10F8E">
          <w:rPr>
            <w:sz w:val="16"/>
            <w:szCs w:val="16"/>
          </w:rPr>
          <w:instrText xml:space="preserve"> PAGE   \* MERGEFORMAT </w:instrText>
        </w:r>
        <w:r w:rsidRPr="00B10F8E">
          <w:rPr>
            <w:sz w:val="16"/>
            <w:szCs w:val="16"/>
          </w:rPr>
          <w:fldChar w:fldCharType="separate"/>
        </w:r>
        <w:r w:rsidR="00FD45A3">
          <w:rPr>
            <w:noProof/>
            <w:sz w:val="16"/>
            <w:szCs w:val="16"/>
          </w:rPr>
          <w:t>29</w:t>
        </w:r>
        <w:r w:rsidRPr="00B10F8E">
          <w:rPr>
            <w:noProof/>
            <w:sz w:val="16"/>
            <w:szCs w:val="16"/>
          </w:rPr>
          <w:fldChar w:fldCharType="end"/>
        </w:r>
      </w:p>
    </w:sdtContent>
  </w:sdt>
  <w:p w14:paraId="029A1934" w14:textId="77777777" w:rsidR="00085F01" w:rsidRDefault="00085F0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C8C"/>
    <w:multiLevelType w:val="hybridMultilevel"/>
    <w:tmpl w:val="BF5A61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A00A29"/>
    <w:multiLevelType w:val="multilevel"/>
    <w:tmpl w:val="EFA42F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AC7A92"/>
    <w:multiLevelType w:val="hybridMultilevel"/>
    <w:tmpl w:val="3CFE6372"/>
    <w:lvl w:ilvl="0" w:tplc="0C0A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9D1CC6"/>
    <w:multiLevelType w:val="hybridMultilevel"/>
    <w:tmpl w:val="356264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1402A2"/>
    <w:multiLevelType w:val="hybridMultilevel"/>
    <w:tmpl w:val="4ACCF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7F3AED"/>
    <w:multiLevelType w:val="multilevel"/>
    <w:tmpl w:val="A9628E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851E67"/>
    <w:multiLevelType w:val="hybridMultilevel"/>
    <w:tmpl w:val="22A0DF46"/>
    <w:lvl w:ilvl="0" w:tplc="67EE7CDA">
      <w:start w:val="6"/>
      <w:numFmt w:val="bullet"/>
      <w:lvlText w:val="•"/>
      <w:lvlJc w:val="left"/>
      <w:pPr>
        <w:ind w:left="1065" w:hanging="705"/>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A6C7CAC"/>
    <w:multiLevelType w:val="multilevel"/>
    <w:tmpl w:val="611831DA"/>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4C16BF"/>
    <w:multiLevelType w:val="multilevel"/>
    <w:tmpl w:val="8496D5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hu-HU" w:eastAsia="hu-HU" w:bidi="hu-H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A654C05"/>
    <w:multiLevelType w:val="hybridMultilevel"/>
    <w:tmpl w:val="473C4734"/>
    <w:lvl w:ilvl="0" w:tplc="A760BC68">
      <w:numFmt w:val="bullet"/>
      <w:lvlText w:val="-"/>
      <w:lvlJc w:val="left"/>
      <w:pPr>
        <w:ind w:left="1065" w:hanging="705"/>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E6B6D78"/>
    <w:multiLevelType w:val="multilevel"/>
    <w:tmpl w:val="A230B87C"/>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4085113"/>
    <w:multiLevelType w:val="hybridMultilevel"/>
    <w:tmpl w:val="7AFC9B7A"/>
    <w:lvl w:ilvl="0" w:tplc="A760BC68">
      <w:numFmt w:val="bullet"/>
      <w:lvlText w:val="-"/>
      <w:lvlJc w:val="left"/>
      <w:pPr>
        <w:ind w:left="1065" w:hanging="705"/>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3927A59"/>
    <w:multiLevelType w:val="hybridMultilevel"/>
    <w:tmpl w:val="AB0C8476"/>
    <w:lvl w:ilvl="0" w:tplc="98767E74">
      <w:numFmt w:val="bullet"/>
      <w:lvlText w:val="•"/>
      <w:lvlJc w:val="left"/>
      <w:pPr>
        <w:ind w:left="1065" w:hanging="705"/>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7D02FAE"/>
    <w:multiLevelType w:val="hybridMultilevel"/>
    <w:tmpl w:val="EA263FC4"/>
    <w:lvl w:ilvl="0" w:tplc="A760BC68">
      <w:numFmt w:val="bullet"/>
      <w:lvlText w:val="-"/>
      <w:lvlJc w:val="left"/>
      <w:pPr>
        <w:ind w:left="1065" w:hanging="705"/>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5"/>
  </w:num>
  <w:num w:numId="5">
    <w:abstractNumId w:val="10"/>
  </w:num>
  <w:num w:numId="6">
    <w:abstractNumId w:val="3"/>
  </w:num>
  <w:num w:numId="7">
    <w:abstractNumId w:val="11"/>
  </w:num>
  <w:num w:numId="8">
    <w:abstractNumId w:val="9"/>
  </w:num>
  <w:num w:numId="9">
    <w:abstractNumId w:val="13"/>
  </w:num>
  <w:num w:numId="10">
    <w:abstractNumId w:val="12"/>
  </w:num>
  <w:num w:numId="11">
    <w:abstractNumId w:val="2"/>
  </w:num>
  <w:num w:numId="12">
    <w:abstractNumId w:val="4"/>
  </w:num>
  <w:num w:numId="13">
    <w:abstractNumId w:val="0"/>
  </w:num>
  <w:num w:numId="1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hdrShapeDefaults>
    <o:shapedefaults v:ext="edit" spidmax="40961"/>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BB"/>
    <w:rsid w:val="000156A3"/>
    <w:rsid w:val="000212AD"/>
    <w:rsid w:val="0003380E"/>
    <w:rsid w:val="000616EF"/>
    <w:rsid w:val="00074CBC"/>
    <w:rsid w:val="000762D0"/>
    <w:rsid w:val="00085F01"/>
    <w:rsid w:val="000A7CF2"/>
    <w:rsid w:val="000B627A"/>
    <w:rsid w:val="0010029D"/>
    <w:rsid w:val="00121D6A"/>
    <w:rsid w:val="00156D91"/>
    <w:rsid w:val="001630A7"/>
    <w:rsid w:val="00173F0C"/>
    <w:rsid w:val="00190CCC"/>
    <w:rsid w:val="001A4D77"/>
    <w:rsid w:val="001A5836"/>
    <w:rsid w:val="001B16F5"/>
    <w:rsid w:val="001C693A"/>
    <w:rsid w:val="002503DB"/>
    <w:rsid w:val="0025402D"/>
    <w:rsid w:val="00283DEA"/>
    <w:rsid w:val="002A4057"/>
    <w:rsid w:val="002D0E27"/>
    <w:rsid w:val="002D677C"/>
    <w:rsid w:val="00303563"/>
    <w:rsid w:val="00317B32"/>
    <w:rsid w:val="00347F06"/>
    <w:rsid w:val="003665EB"/>
    <w:rsid w:val="00381E52"/>
    <w:rsid w:val="003823B2"/>
    <w:rsid w:val="00390A1D"/>
    <w:rsid w:val="003C3045"/>
    <w:rsid w:val="004058B6"/>
    <w:rsid w:val="00413E7E"/>
    <w:rsid w:val="0042015F"/>
    <w:rsid w:val="004311F4"/>
    <w:rsid w:val="00457BAA"/>
    <w:rsid w:val="0047171A"/>
    <w:rsid w:val="004A01C2"/>
    <w:rsid w:val="004B2C1D"/>
    <w:rsid w:val="004B68F9"/>
    <w:rsid w:val="004B7F7B"/>
    <w:rsid w:val="004C7776"/>
    <w:rsid w:val="0051243A"/>
    <w:rsid w:val="00512DF0"/>
    <w:rsid w:val="00536136"/>
    <w:rsid w:val="0055342D"/>
    <w:rsid w:val="005C1EB4"/>
    <w:rsid w:val="005C457E"/>
    <w:rsid w:val="005D7DB3"/>
    <w:rsid w:val="005E7EE6"/>
    <w:rsid w:val="005F0151"/>
    <w:rsid w:val="0060716F"/>
    <w:rsid w:val="006413D6"/>
    <w:rsid w:val="00674EE9"/>
    <w:rsid w:val="00693075"/>
    <w:rsid w:val="006C4656"/>
    <w:rsid w:val="006E1F18"/>
    <w:rsid w:val="00712BA1"/>
    <w:rsid w:val="00717205"/>
    <w:rsid w:val="0072626B"/>
    <w:rsid w:val="00732F84"/>
    <w:rsid w:val="007404EB"/>
    <w:rsid w:val="007543BB"/>
    <w:rsid w:val="0079440D"/>
    <w:rsid w:val="007E62BE"/>
    <w:rsid w:val="00804FA6"/>
    <w:rsid w:val="00811A88"/>
    <w:rsid w:val="008758CA"/>
    <w:rsid w:val="0089574A"/>
    <w:rsid w:val="008A7E5E"/>
    <w:rsid w:val="008B7504"/>
    <w:rsid w:val="008F72E9"/>
    <w:rsid w:val="0091002B"/>
    <w:rsid w:val="00941E37"/>
    <w:rsid w:val="009524B8"/>
    <w:rsid w:val="0096495A"/>
    <w:rsid w:val="00984BF0"/>
    <w:rsid w:val="009F51B8"/>
    <w:rsid w:val="009F7393"/>
    <w:rsid w:val="00A0549A"/>
    <w:rsid w:val="00A0729A"/>
    <w:rsid w:val="00A10AAD"/>
    <w:rsid w:val="00A20CC2"/>
    <w:rsid w:val="00A30F22"/>
    <w:rsid w:val="00A57797"/>
    <w:rsid w:val="00A619AA"/>
    <w:rsid w:val="00A66FA0"/>
    <w:rsid w:val="00A86D32"/>
    <w:rsid w:val="00A90951"/>
    <w:rsid w:val="00B029E1"/>
    <w:rsid w:val="00B10F8E"/>
    <w:rsid w:val="00B20684"/>
    <w:rsid w:val="00B62F62"/>
    <w:rsid w:val="00BA0808"/>
    <w:rsid w:val="00BA0AD6"/>
    <w:rsid w:val="00BD02A3"/>
    <w:rsid w:val="00BD1E84"/>
    <w:rsid w:val="00BE0520"/>
    <w:rsid w:val="00BE6107"/>
    <w:rsid w:val="00C15589"/>
    <w:rsid w:val="00C24AD4"/>
    <w:rsid w:val="00C47660"/>
    <w:rsid w:val="00C70E90"/>
    <w:rsid w:val="00C8605C"/>
    <w:rsid w:val="00C902B7"/>
    <w:rsid w:val="00CA1185"/>
    <w:rsid w:val="00D01D7F"/>
    <w:rsid w:val="00D0579E"/>
    <w:rsid w:val="00D10858"/>
    <w:rsid w:val="00D659CA"/>
    <w:rsid w:val="00D92997"/>
    <w:rsid w:val="00D95760"/>
    <w:rsid w:val="00DE59D0"/>
    <w:rsid w:val="00E144D7"/>
    <w:rsid w:val="00E300DF"/>
    <w:rsid w:val="00EA74B7"/>
    <w:rsid w:val="00EB7140"/>
    <w:rsid w:val="00F207F5"/>
    <w:rsid w:val="00F20AB4"/>
    <w:rsid w:val="00F57CEF"/>
    <w:rsid w:val="00F740B8"/>
    <w:rsid w:val="00F80CAF"/>
    <w:rsid w:val="00F82F44"/>
    <w:rsid w:val="00FA015A"/>
    <w:rsid w:val="00FA7C46"/>
    <w:rsid w:val="00FD3A05"/>
    <w:rsid w:val="00FD45A3"/>
    <w:rsid w:val="00FF3059"/>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3D45641"/>
  <w15:docId w15:val="{D61AFC95-1DCD-4EFE-922F-A4348B01C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Gulim" w:eastAsia="New Gulim" w:hAnsi="New Gulim" w:cs="New Gulim"/>
        <w:sz w:val="24"/>
        <w:szCs w:val="24"/>
        <w:lang w:val="hu-HU" w:eastAsia="hu-HU" w:bidi="hu-H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90A1D"/>
    <w:pPr>
      <w:widowControl/>
    </w:pPr>
    <w:rPr>
      <w:rFonts w:ascii="Times New Roman" w:eastAsiaTheme="minorEastAsia" w:hAnsi="Times New Roman" w:cs="Times New Roman"/>
      <w:sz w:val="22"/>
      <w:szCs w:val="22"/>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SzvegtrzsChar">
    <w:name w:val="Szövegtörzs Char"/>
    <w:basedOn w:val="Bekezdsalapbettpusa"/>
    <w:link w:val="Szvegtrzs"/>
    <w:rPr>
      <w:rFonts w:ascii="Times New Roman" w:eastAsia="Times New Roman" w:hAnsi="Times New Roman" w:cs="Times New Roman"/>
      <w:b w:val="0"/>
      <w:bCs w:val="0"/>
      <w:i w:val="0"/>
      <w:iCs w:val="0"/>
      <w:smallCaps w:val="0"/>
      <w:strike w:val="0"/>
      <w:sz w:val="22"/>
      <w:szCs w:val="22"/>
      <w:u w:val="none"/>
    </w:rPr>
  </w:style>
  <w:style w:type="character" w:customStyle="1" w:styleId="Headerorfooter2">
    <w:name w:val="Header or footer (2)_"/>
    <w:basedOn w:val="Bekezdsalapbettpusa"/>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Heading1">
    <w:name w:val="Heading #1_"/>
    <w:basedOn w:val="Bekezdsalapbettpusa"/>
    <w:link w:val="Heading10"/>
    <w:rPr>
      <w:rFonts w:ascii="Times New Roman" w:eastAsia="Times New Roman" w:hAnsi="Times New Roman" w:cs="Times New Roman"/>
      <w:b/>
      <w:bCs/>
      <w:i w:val="0"/>
      <w:iCs w:val="0"/>
      <w:smallCaps w:val="0"/>
      <w:strike w:val="0"/>
      <w:sz w:val="22"/>
      <w:szCs w:val="22"/>
      <w:u w:val="none"/>
    </w:rPr>
  </w:style>
  <w:style w:type="character" w:customStyle="1" w:styleId="Tablecaption">
    <w:name w:val="Table caption_"/>
    <w:basedOn w:val="Bekezdsalapbettpusa"/>
    <w:link w:val="Tablecaption0"/>
    <w:rPr>
      <w:rFonts w:ascii="Times New Roman" w:eastAsia="Times New Roman" w:hAnsi="Times New Roman" w:cs="Times New Roman"/>
      <w:b w:val="0"/>
      <w:bCs w:val="0"/>
      <w:i w:val="0"/>
      <w:iCs w:val="0"/>
      <w:smallCaps w:val="0"/>
      <w:strike w:val="0"/>
      <w:sz w:val="22"/>
      <w:szCs w:val="22"/>
      <w:u w:val="none"/>
    </w:rPr>
  </w:style>
  <w:style w:type="character" w:customStyle="1" w:styleId="Other">
    <w:name w:val="Other_"/>
    <w:basedOn w:val="Bekezdsalapbettpusa"/>
    <w:link w:val="Other0"/>
    <w:rPr>
      <w:rFonts w:ascii="Times New Roman" w:eastAsia="Times New Roman" w:hAnsi="Times New Roman" w:cs="Times New Roman"/>
      <w:b w:val="0"/>
      <w:bCs w:val="0"/>
      <w:i w:val="0"/>
      <w:iCs w:val="0"/>
      <w:smallCaps w:val="0"/>
      <w:strike w:val="0"/>
      <w:sz w:val="22"/>
      <w:szCs w:val="22"/>
      <w:u w:val="none"/>
    </w:rPr>
  </w:style>
  <w:style w:type="character" w:customStyle="1" w:styleId="Headerorfooter">
    <w:name w:val="Header or footer_"/>
    <w:basedOn w:val="Bekezdsalapbettpusa"/>
    <w:link w:val="Headerorfooter0"/>
    <w:rPr>
      <w:rFonts w:ascii="Arial" w:eastAsia="Arial" w:hAnsi="Arial" w:cs="Arial"/>
      <w:b w:val="0"/>
      <w:bCs w:val="0"/>
      <w:i w:val="0"/>
      <w:iCs w:val="0"/>
      <w:smallCaps w:val="0"/>
      <w:strike w:val="0"/>
      <w:sz w:val="16"/>
      <w:szCs w:val="16"/>
      <w:u w:val="none"/>
    </w:rPr>
  </w:style>
  <w:style w:type="paragraph" w:styleId="Szvegtrzs">
    <w:name w:val="Body Text"/>
    <w:basedOn w:val="Norml"/>
    <w:link w:val="SzvegtrzsChar"/>
    <w:qFormat/>
    <w:pPr>
      <w:widowControl w:val="0"/>
      <w:spacing w:after="220"/>
    </w:pPr>
    <w:rPr>
      <w:rFonts w:eastAsia="Times New Roman"/>
    </w:rPr>
  </w:style>
  <w:style w:type="paragraph" w:customStyle="1" w:styleId="Headerorfooter20">
    <w:name w:val="Header or footer (2)"/>
    <w:basedOn w:val="Norml"/>
    <w:link w:val="Headerorfooter2"/>
    <w:pPr>
      <w:widowControl w:val="0"/>
    </w:pPr>
    <w:rPr>
      <w:rFonts w:eastAsia="Times New Roman"/>
      <w:sz w:val="20"/>
      <w:szCs w:val="20"/>
    </w:rPr>
  </w:style>
  <w:style w:type="paragraph" w:customStyle="1" w:styleId="Heading10">
    <w:name w:val="Heading #1"/>
    <w:basedOn w:val="Norml"/>
    <w:link w:val="Heading1"/>
    <w:pPr>
      <w:widowControl w:val="0"/>
      <w:jc w:val="center"/>
      <w:outlineLvl w:val="0"/>
    </w:pPr>
    <w:rPr>
      <w:rFonts w:eastAsia="Times New Roman"/>
      <w:b/>
      <w:bCs/>
    </w:rPr>
  </w:style>
  <w:style w:type="paragraph" w:customStyle="1" w:styleId="Tablecaption0">
    <w:name w:val="Table caption"/>
    <w:basedOn w:val="Norml"/>
    <w:link w:val="Tablecaption"/>
    <w:pPr>
      <w:widowControl w:val="0"/>
    </w:pPr>
    <w:rPr>
      <w:rFonts w:eastAsia="Times New Roman"/>
    </w:rPr>
  </w:style>
  <w:style w:type="paragraph" w:customStyle="1" w:styleId="Other0">
    <w:name w:val="Other"/>
    <w:basedOn w:val="Norml"/>
    <w:link w:val="Other"/>
    <w:pPr>
      <w:widowControl w:val="0"/>
      <w:spacing w:after="220"/>
    </w:pPr>
    <w:rPr>
      <w:rFonts w:eastAsia="Times New Roman"/>
    </w:rPr>
  </w:style>
  <w:style w:type="paragraph" w:customStyle="1" w:styleId="Headerorfooter0">
    <w:name w:val="Header or footer"/>
    <w:basedOn w:val="Norml"/>
    <w:link w:val="Headerorfooter"/>
    <w:pPr>
      <w:widowControl w:val="0"/>
    </w:pPr>
    <w:rPr>
      <w:rFonts w:ascii="Arial" w:eastAsia="Arial" w:hAnsi="Arial" w:cs="Arial"/>
      <w:sz w:val="16"/>
      <w:szCs w:val="16"/>
    </w:rPr>
  </w:style>
  <w:style w:type="paragraph" w:styleId="lfej">
    <w:name w:val="header"/>
    <w:basedOn w:val="Norml"/>
    <w:link w:val="lfejChar"/>
    <w:uiPriority w:val="99"/>
    <w:unhideWhenUsed/>
    <w:rsid w:val="00390A1D"/>
    <w:pPr>
      <w:tabs>
        <w:tab w:val="center" w:pos="4513"/>
        <w:tab w:val="right" w:pos="9026"/>
      </w:tabs>
    </w:pPr>
  </w:style>
  <w:style w:type="character" w:customStyle="1" w:styleId="lfejChar">
    <w:name w:val="Élőfej Char"/>
    <w:basedOn w:val="Bekezdsalapbettpusa"/>
    <w:link w:val="lfej"/>
    <w:uiPriority w:val="99"/>
    <w:rsid w:val="00390A1D"/>
    <w:rPr>
      <w:color w:val="000000"/>
    </w:rPr>
  </w:style>
  <w:style w:type="paragraph" w:styleId="llb">
    <w:name w:val="footer"/>
    <w:basedOn w:val="Norml"/>
    <w:link w:val="llbChar"/>
    <w:uiPriority w:val="99"/>
    <w:unhideWhenUsed/>
    <w:rsid w:val="00390A1D"/>
    <w:pPr>
      <w:tabs>
        <w:tab w:val="center" w:pos="4513"/>
        <w:tab w:val="right" w:pos="9026"/>
      </w:tabs>
    </w:pPr>
  </w:style>
  <w:style w:type="character" w:customStyle="1" w:styleId="llbChar">
    <w:name w:val="Élőláb Char"/>
    <w:basedOn w:val="Bekezdsalapbettpusa"/>
    <w:link w:val="llb"/>
    <w:uiPriority w:val="99"/>
    <w:rsid w:val="00390A1D"/>
    <w:rPr>
      <w:color w:val="000000"/>
    </w:rPr>
  </w:style>
  <w:style w:type="character" w:styleId="Hiperhivatkozs">
    <w:name w:val="Hyperlink"/>
    <w:basedOn w:val="Bekezdsalapbettpusa"/>
    <w:uiPriority w:val="99"/>
    <w:unhideWhenUsed/>
    <w:rsid w:val="00390A1D"/>
    <w:rPr>
      <w:color w:val="0000FF"/>
      <w:u w:val="single"/>
    </w:rPr>
  </w:style>
  <w:style w:type="paragraph" w:styleId="Listaszerbekezds">
    <w:name w:val="List Paragraph"/>
    <w:basedOn w:val="Norml"/>
    <w:uiPriority w:val="34"/>
    <w:qFormat/>
    <w:rsid w:val="00FD3A05"/>
    <w:pPr>
      <w:ind w:left="720"/>
      <w:contextualSpacing/>
    </w:pPr>
  </w:style>
  <w:style w:type="character" w:styleId="Jegyzethivatkozs">
    <w:name w:val="annotation reference"/>
    <w:basedOn w:val="Bekezdsalapbettpusa"/>
    <w:uiPriority w:val="99"/>
    <w:semiHidden/>
    <w:unhideWhenUsed/>
    <w:rsid w:val="00EA74B7"/>
    <w:rPr>
      <w:sz w:val="16"/>
      <w:szCs w:val="16"/>
    </w:rPr>
  </w:style>
  <w:style w:type="paragraph" w:styleId="Jegyzetszveg">
    <w:name w:val="annotation text"/>
    <w:basedOn w:val="Norml"/>
    <w:link w:val="JegyzetszvegChar"/>
    <w:uiPriority w:val="99"/>
    <w:unhideWhenUsed/>
    <w:rsid w:val="00EA74B7"/>
    <w:rPr>
      <w:sz w:val="20"/>
      <w:szCs w:val="20"/>
    </w:rPr>
  </w:style>
  <w:style w:type="character" w:customStyle="1" w:styleId="JegyzetszvegChar">
    <w:name w:val="Jegyzetszöveg Char"/>
    <w:basedOn w:val="Bekezdsalapbettpusa"/>
    <w:link w:val="Jegyzetszveg"/>
    <w:uiPriority w:val="99"/>
    <w:rsid w:val="00EA74B7"/>
    <w:rPr>
      <w:rFonts w:ascii="Times New Roman" w:eastAsiaTheme="minorEastAsia" w:hAnsi="Times New Roman" w:cs="Times New Roman"/>
      <w:sz w:val="20"/>
      <w:szCs w:val="20"/>
      <w:lang w:eastAsia="zh-CN"/>
    </w:rPr>
  </w:style>
  <w:style w:type="paragraph" w:styleId="Megjegyzstrgya">
    <w:name w:val="annotation subject"/>
    <w:basedOn w:val="Jegyzetszveg"/>
    <w:next w:val="Jegyzetszveg"/>
    <w:link w:val="MegjegyzstrgyaChar"/>
    <w:uiPriority w:val="99"/>
    <w:semiHidden/>
    <w:unhideWhenUsed/>
    <w:rsid w:val="00EA74B7"/>
    <w:rPr>
      <w:b/>
      <w:bCs/>
    </w:rPr>
  </w:style>
  <w:style w:type="character" w:customStyle="1" w:styleId="MegjegyzstrgyaChar">
    <w:name w:val="Megjegyzés tárgya Char"/>
    <w:basedOn w:val="JegyzetszvegChar"/>
    <w:link w:val="Megjegyzstrgya"/>
    <w:uiPriority w:val="99"/>
    <w:semiHidden/>
    <w:rsid w:val="00EA74B7"/>
    <w:rPr>
      <w:rFonts w:ascii="Times New Roman" w:eastAsiaTheme="minorEastAsia" w:hAnsi="Times New Roman" w:cs="Times New Roman"/>
      <w:b/>
      <w:bCs/>
      <w:sz w:val="20"/>
      <w:szCs w:val="20"/>
      <w:lang w:eastAsia="zh-CN"/>
    </w:rPr>
  </w:style>
  <w:style w:type="paragraph" w:styleId="Vltozat">
    <w:name w:val="Revision"/>
    <w:hidden/>
    <w:uiPriority w:val="99"/>
    <w:semiHidden/>
    <w:rsid w:val="00EA74B7"/>
    <w:pPr>
      <w:widowControl/>
    </w:pPr>
    <w:rPr>
      <w:rFonts w:ascii="Times New Roman" w:eastAsiaTheme="minorEastAsia" w:hAnsi="Times New Roman" w:cs="Times New Roman"/>
      <w:sz w:val="22"/>
      <w:szCs w:val="22"/>
      <w:lang w:eastAsia="zh-CN"/>
    </w:rPr>
  </w:style>
  <w:style w:type="paragraph" w:styleId="Buborkszveg">
    <w:name w:val="Balloon Text"/>
    <w:basedOn w:val="Norml"/>
    <w:link w:val="BuborkszvegChar"/>
    <w:uiPriority w:val="99"/>
    <w:semiHidden/>
    <w:unhideWhenUsed/>
    <w:rsid w:val="00EA74B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A74B7"/>
    <w:rPr>
      <w:rFonts w:ascii="Segoe UI" w:eastAsiaTheme="minorEastAsia"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741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TotalTime>
  <Pages>29</Pages>
  <Words>10764</Words>
  <Characters>74276</Characters>
  <Application>Microsoft Office Word</Application>
  <DocSecurity>0</DocSecurity>
  <Lines>618</Lines>
  <Paragraphs>169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Eliquis, INN-apixaban</vt:lpstr>
      <vt:lpstr>Eliquis, INN-apixaban</vt:lpstr>
    </vt:vector>
  </TitlesOfParts>
  <Company/>
  <LinksUpToDate>false</LinksUpToDate>
  <CharactersWithSpaces>84871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Eliquis, INN-apixaban</dc:title>
  <dc:subject>EPAR</dc:subject>
  <dc:creator>CHMP</dc:creator>
  <cp:keywords>Eliquis, INN-apixaban</cp:keywords>
  <cp:lastModifiedBy>HU_OGYI_7.1</cp:lastModifiedBy>
  <cp:revision>64</cp:revision>
  <dcterms:created xsi:type="dcterms:W3CDTF">2025-05-15T08:57:00Z</dcterms:created>
  <dcterms:modified xsi:type="dcterms:W3CDTF">2026-04-23T09:37:00Z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96aa77-7762-4c34-b9f0-7d6a55545bbc_Enabled">
    <vt:lpwstr>true</vt:lpwstr>
  </property>
  <property fmtid="{D5CDD505-2E9C-101B-9397-08002B2CF9AE}" pid="3" name="MSIP_Label_ed96aa77-7762-4c34-b9f0-7d6a55545bbc_SetDate">
    <vt:lpwstr>2025-05-21T09:06:02Z</vt:lpwstr>
  </property>
  <property fmtid="{D5CDD505-2E9C-101B-9397-08002B2CF9AE}" pid="4" name="MSIP_Label_ed96aa77-7762-4c34-b9f0-7d6a55545bbc_Method">
    <vt:lpwstr>Privileged</vt:lpwstr>
  </property>
  <property fmtid="{D5CDD505-2E9C-101B-9397-08002B2CF9AE}" pid="5" name="MSIP_Label_ed96aa77-7762-4c34-b9f0-7d6a55545bbc_Name">
    <vt:lpwstr>Proprietary</vt:lpwstr>
  </property>
  <property fmtid="{D5CDD505-2E9C-101B-9397-08002B2CF9AE}" pid="6" name="MSIP_Label_ed96aa77-7762-4c34-b9f0-7d6a55545bbc_SiteId">
    <vt:lpwstr>b7dcea4e-d150-4ba1-8b2a-c8b27a75525c</vt:lpwstr>
  </property>
  <property fmtid="{D5CDD505-2E9C-101B-9397-08002B2CF9AE}" pid="7" name="MSIP_Label_ed96aa77-7762-4c34-b9f0-7d6a55545bbc_ActionId">
    <vt:lpwstr>681f0d88-b35e-4e63-a29e-25bf26681d0a</vt:lpwstr>
  </property>
  <property fmtid="{D5CDD505-2E9C-101B-9397-08002B2CF9AE}" pid="8" name="MSIP_Label_ed96aa77-7762-4c34-b9f0-7d6a55545bbc_ContentBits">
    <vt:lpwstr>0</vt:lpwstr>
  </property>
</Properties>
</file>