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EB" w:rsidRDefault="00BE302E">
      <w:pPr>
        <w:widowControl w:val="0"/>
        <w:spacing w:line="240" w:lineRule="auto"/>
        <w:rPr>
          <w:color w:val="008000"/>
          <w:lang w:val="hu-HU"/>
        </w:rPr>
      </w:pPr>
      <w:bookmarkStart w:id="0" w:name="_GoBack"/>
      <w:bookmarkEnd w:id="0"/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6B4EEB" w:rsidRDefault="006B4EEB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lang w:val="hu-HU"/>
        </w:rPr>
      </w:pPr>
      <w:bookmarkStart w:id="1" w:name="_Hlk182207243"/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40 mg/1,5 mg módosított hatóanyag-leadású tabletta</w:t>
      </w:r>
    </w:p>
    <w:p w:rsidR="006B4EEB" w:rsidRDefault="00BE302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80 mg/1,5 mg módosított hatóanyag-leadású tabletta</w:t>
      </w:r>
    </w:p>
    <w:bookmarkEnd w:id="1"/>
    <w:p w:rsidR="006B4EEB" w:rsidRDefault="006B4EEB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6B4EEB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>MINŐSÉGI ÉS MENNYISÉGI ÖSSZETÉTEL</w:t>
      </w:r>
    </w:p>
    <w:p w:rsidR="006B4EEB" w:rsidRDefault="006B4EEB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40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80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6B4EEB" w:rsidRDefault="006B4EEB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6B4EEB" w:rsidRDefault="00BE302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  <w:r>
        <w:rPr>
          <w:u w:val="single"/>
          <w:lang w:val="hu-HU"/>
        </w:rPr>
        <w:t>ok:</w:t>
      </w:r>
    </w:p>
    <w:p w:rsidR="006B4EEB" w:rsidRDefault="006B4EEB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89,02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146,02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6B4EEB" w:rsidRDefault="006B4EEB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6B4EEB" w:rsidRDefault="00BE302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 pontban</w:t>
      </w:r>
      <w:r>
        <w:rPr>
          <w:bCs/>
          <w:noProof/>
          <w:szCs w:val="22"/>
          <w:lang w:val="hu-HU"/>
        </w:rPr>
        <w:t>.</w:t>
      </w:r>
    </w:p>
    <w:p w:rsidR="006B4EEB" w:rsidRDefault="006B4EEB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:rsidR="006B4EEB" w:rsidRDefault="006B4EEB">
      <w:pPr>
        <w:widowControl w:val="0"/>
        <w:spacing w:line="240" w:lineRule="auto"/>
        <w:rPr>
          <w:bCs/>
          <w:lang w:val="hu-HU"/>
        </w:rPr>
      </w:pPr>
    </w:p>
    <w:p w:rsidR="006B4EEB" w:rsidRDefault="00BE302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:rsidR="006B4EEB" w:rsidRDefault="006B4EEB">
      <w:pPr>
        <w:spacing w:line="240" w:lineRule="auto"/>
        <w:ind w:left="567" w:hanging="567"/>
        <w:rPr>
          <w:b/>
          <w:lang w:val="hu-HU"/>
        </w:rPr>
      </w:pPr>
    </w:p>
    <w:p w:rsidR="006B4EEB" w:rsidRDefault="00BE302E">
      <w:pPr>
        <w:spacing w:line="240" w:lineRule="auto"/>
        <w:ind w:left="567" w:hanging="567"/>
        <w:rPr>
          <w:bCs/>
          <w:szCs w:val="22"/>
          <w:lang w:val="hu-HU" w:eastAsia="hu-HU"/>
        </w:rPr>
      </w:pPr>
      <w:r>
        <w:rPr>
          <w:bCs/>
          <w:szCs w:val="22"/>
          <w:lang w:val="hu-HU" w:eastAsia="hu-HU"/>
        </w:rPr>
        <w:t>Módosított hatóanyag-leadású tabletta (tabletta).</w:t>
      </w:r>
    </w:p>
    <w:p w:rsidR="006B4EEB" w:rsidRDefault="006B4EEB">
      <w:pPr>
        <w:spacing w:line="240" w:lineRule="auto"/>
        <w:ind w:left="567" w:hanging="567"/>
        <w:rPr>
          <w:b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6B4EEB" w:rsidRDefault="00BE302E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:rsidR="006B4EEB" w:rsidRDefault="00BE302E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6B4EEB" w:rsidRDefault="006B4EEB">
      <w:pPr>
        <w:spacing w:line="240" w:lineRule="auto"/>
        <w:ind w:left="567" w:hanging="567"/>
        <w:rPr>
          <w:bCs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6B4EEB" w:rsidRDefault="00BE302E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:rsidR="006B4EEB" w:rsidRDefault="00BE302E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6B4EEB" w:rsidRDefault="006B4EEB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:rsidR="006B4EEB" w:rsidRDefault="006B4EEB">
      <w:pPr>
        <w:spacing w:line="240" w:lineRule="auto"/>
        <w:rPr>
          <w:szCs w:val="22"/>
          <w:lang w:val="hu-HU"/>
        </w:rPr>
      </w:pPr>
    </w:p>
    <w:p w:rsidR="006B4EEB" w:rsidRDefault="00BE302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esszenciális </w:t>
      </w:r>
      <w:proofErr w:type="spellStart"/>
      <w:r>
        <w:rPr>
          <w:szCs w:val="22"/>
          <w:lang w:val="hu-HU"/>
        </w:rPr>
        <w:t>hypertonia</w:t>
      </w:r>
      <w:proofErr w:type="spellEnd"/>
      <w:r>
        <w:rPr>
          <w:szCs w:val="22"/>
          <w:lang w:val="hu-HU"/>
        </w:rPr>
        <w:t xml:space="preserve"> kezelésére javallott szubsztitúciós terápiaként olyan felnőtt betegek kezelésére, akiknek a vérnyomása megfelelően be van állítva a kombinációval azonos dózisban, de külön tablettaként adott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egyidejű alkalmazásával.</w:t>
      </w:r>
    </w:p>
    <w:p w:rsidR="006B4EEB" w:rsidRDefault="006B4EE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:rsidR="006B4EEB" w:rsidRDefault="006B4EEB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6B4EEB" w:rsidRDefault="00BE302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javasolt dózisa napi egy tabletta.</w:t>
      </w:r>
    </w:p>
    <w:p w:rsidR="006B4EEB" w:rsidRDefault="00BE302E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fix dózisú kombináció kezdeti terápiára nem alkalmas.</w:t>
      </w:r>
    </w:p>
    <w:p w:rsidR="006B4EEB" w:rsidRDefault="006B4EEB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6B4EEB" w:rsidRDefault="00BE302E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Krka-ra</w:t>
      </w:r>
      <w:proofErr w:type="spellEnd"/>
      <w:r>
        <w:rPr>
          <w:lang w:val="hu-HU"/>
        </w:rPr>
        <w:t xml:space="preserve"> történő áttérés előtt a betegek vérnyomása legyen megfelelően beállítva az azonos időben, külön készítményben bevett hatóanyagok</w:t>
      </w:r>
      <w:r>
        <w:t xml:space="preserve"> </w:t>
      </w:r>
      <w:r>
        <w:rPr>
          <w:lang w:val="hu-HU"/>
        </w:rPr>
        <w:t xml:space="preserve">stabil dózisaival. A </w:t>
      </w:r>
      <w:proofErr w:type="spellStart"/>
      <w:r>
        <w:rPr>
          <w:lang w:val="hu-HU"/>
        </w:rPr>
        <w:lastRenderedPageBreak/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dózisának a kombináció egyes hatóanyagainak az áttérés időpontjában szedett dózisain kell alapulnia.</w:t>
      </w:r>
    </w:p>
    <w:p w:rsidR="006B4EEB" w:rsidRDefault="006B4EEB">
      <w:pPr>
        <w:autoSpaceDE w:val="0"/>
        <w:autoSpaceDN w:val="0"/>
        <w:adjustRightInd w:val="0"/>
        <w:rPr>
          <w:lang w:val="hu-HU"/>
        </w:rPr>
      </w:pPr>
    </w:p>
    <w:p w:rsidR="006B4EEB" w:rsidRDefault="00BE302E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t>Ha a dózis módosítására van szükség, azt a kombináció egyes hatóanyagainak külön-külön titrálásával kell elvégezni.</w:t>
      </w:r>
    </w:p>
    <w:p w:rsidR="006B4EEB" w:rsidRDefault="006B4EEB">
      <w:pPr>
        <w:autoSpaceDE w:val="0"/>
        <w:autoSpaceDN w:val="0"/>
        <w:adjustRightInd w:val="0"/>
        <w:rPr>
          <w:lang w:val="hu-HU"/>
        </w:rPr>
      </w:pPr>
    </w:p>
    <w:p w:rsidR="006B4EEB" w:rsidRDefault="00BE302E">
      <w:pPr>
        <w:autoSpaceDE w:val="0"/>
        <w:autoSpaceDN w:val="0"/>
        <w:adjustRightInd w:val="0"/>
        <w:rPr>
          <w:u w:val="single"/>
          <w:lang w:val="hu-HU"/>
        </w:rPr>
      </w:pPr>
      <w:r>
        <w:rPr>
          <w:u w:val="single"/>
          <w:lang w:val="hu-HU"/>
        </w:rPr>
        <w:t>Különleges betegcsoportok</w:t>
      </w:r>
    </w:p>
    <w:p w:rsidR="006B4EEB" w:rsidRDefault="006B4EEB">
      <w:pPr>
        <w:autoSpaceDE w:val="0"/>
        <w:autoSpaceDN w:val="0"/>
        <w:adjustRightInd w:val="0"/>
        <w:rPr>
          <w:lang w:val="hu-HU"/>
        </w:rPr>
      </w:pPr>
    </w:p>
    <w:p w:rsidR="006B4EEB" w:rsidRDefault="00BE302E">
      <w:pPr>
        <w:autoSpaceDE w:val="0"/>
        <w:autoSpaceDN w:val="0"/>
        <w:adjustRightInd w:val="0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Vesekárosodás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>Súlyos fokú vesekárosodás (30 ml/perc alatti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>) esetén a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>-</w:t>
      </w:r>
      <w:r>
        <w:rPr>
          <w:szCs w:val="22"/>
          <w:lang w:val="hu-HU"/>
        </w:rPr>
        <w:t xml:space="preserve">kezelés ellenjavallt (lásd 4.3 pont). Enyhe és közepesen súlyos vesekárosodásban szenvedő betegek esetén nincs szükség dózismódosításra, de 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normális, vagy csak minimális a vesekárosodás mértéke.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i/>
          <w:iCs/>
          <w:szCs w:val="22"/>
          <w:u w:val="single"/>
          <w:lang w:val="hu-HU"/>
        </w:rPr>
      </w:pPr>
      <w:proofErr w:type="spellStart"/>
      <w:r>
        <w:rPr>
          <w:i/>
          <w:iCs/>
          <w:szCs w:val="22"/>
          <w:u w:val="single"/>
          <w:lang w:val="hu-HU"/>
        </w:rPr>
        <w:t>Májkárododás</w:t>
      </w:r>
      <w:proofErr w:type="spellEnd"/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súlyos májkárosodásban szenvedő betegek számára ellenjavalt (lásd 4.3 pont). Enyhe és közepesen súlyos májműködési zavar esetén a dózis nem haladhatja meg a 40 mg/1,5 mg-</w:t>
      </w:r>
      <w:proofErr w:type="spellStart"/>
      <w:r>
        <w:rPr>
          <w:szCs w:val="22"/>
          <w:lang w:val="hu-HU"/>
        </w:rPr>
        <w:t>ot</w:t>
      </w:r>
      <w:proofErr w:type="spellEnd"/>
      <w:r>
        <w:rPr>
          <w:szCs w:val="22"/>
          <w:lang w:val="hu-HU"/>
        </w:rPr>
        <w:t xml:space="preserve"> (lásd 4.4 pont).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Idősek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Idősek esetében az adagoláson nem szükséges módosítani, de a plazmakreatinin-szintet korrigálni kell az életkortól, a testtömegtől és a nemtől függően. </w:t>
      </w:r>
      <w:r>
        <w:rPr>
          <w:szCs w:val="22"/>
          <w:lang w:val="hu-HU" w:eastAsia="ar-SA"/>
        </w:rPr>
        <w:t xml:space="preserve">Idősek csak akkor kezelhetők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r>
        <w:rPr>
          <w:szCs w:val="22"/>
          <w:lang w:val="hu-HU" w:eastAsia="ar-SA"/>
        </w:rPr>
        <w:t>-val</w:t>
      </w:r>
      <w:proofErr w:type="spellEnd"/>
      <w:r>
        <w:rPr>
          <w:szCs w:val="22"/>
          <w:lang w:val="hu-HU" w:eastAsia="ar-SA"/>
        </w:rPr>
        <w:t>, ha a vesefunkció normális, vagy csak minimális a vesekárosodás mértéke.</w:t>
      </w:r>
    </w:p>
    <w:p w:rsidR="006B4EEB" w:rsidRDefault="006B4EEB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</w:pPr>
      <w:r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  <w:t>Gyermekek és serdülők</w:t>
      </w:r>
    </w:p>
    <w:p w:rsidR="006B4EEB" w:rsidRDefault="00BE302E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alkalmazása </w:t>
      </w:r>
      <w:r>
        <w:rPr>
          <w:szCs w:val="22"/>
          <w:lang w:val="hu-HU" w:eastAsia="en-US"/>
        </w:rPr>
        <w:t>nem javasolt 18</w:t>
      </w:r>
      <w:r>
        <w:rPr>
          <w:szCs w:val="22"/>
          <w:lang w:val="hu-HU"/>
        </w:rPr>
        <w:t> </w:t>
      </w:r>
      <w:r>
        <w:rPr>
          <w:szCs w:val="22"/>
          <w:lang w:val="hu-HU" w:eastAsia="en-US"/>
        </w:rPr>
        <w:t>évesnél fiatalabb gyermekek és serdülők esetén.</w:t>
      </w:r>
    </w:p>
    <w:p w:rsidR="006B4EEB" w:rsidRDefault="00BE302E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biztonságosságát és hatásosságát ebben a populációban nem igazolták.</w:t>
      </w:r>
    </w:p>
    <w:p w:rsidR="006B4EEB" w:rsidRDefault="006B4EEB">
      <w:pPr>
        <w:spacing w:line="240" w:lineRule="auto"/>
        <w:rPr>
          <w:noProof/>
          <w:szCs w:val="24"/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módosított hatóanyag-leadású tabletta naponta egyszeri, szájon át történő alkalmazásra szánt készítmény, lehetőleg reggel, folyadékkal, egészben kell lenyelni étkezés közben vagy attól függetlenül.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készítmény hatóanyagaival, egyéb szulfonamidokkal vagy a 6.1 pontban felsorolt bármely segédanyagával szembeni túlérzékenység;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terhesség második és harmadik trimesztere (lásd 4.4 és 4.6 pont);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súlyos májkárosodás vagy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encephalopathia</w:t>
      </w:r>
      <w:proofErr w:type="spellEnd"/>
      <w:r>
        <w:rPr>
          <w:szCs w:val="22"/>
          <w:lang w:val="hu-HU"/>
        </w:rPr>
        <w:t>;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súlyos vesekárosodás;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>;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az epeutak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rendellenességei.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egyidejű alkalmazása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>-tartalmú készítményekkel ellenjavallt diabetes mellitusban szenvedő vagy károsodott veseműködésű (GFR &lt;60 ml/perc/1,73 m</w:t>
      </w:r>
      <w:r>
        <w:rPr>
          <w:szCs w:val="22"/>
          <w:vertAlign w:val="superscript"/>
          <w:lang w:val="hu-HU"/>
        </w:rPr>
        <w:t>2</w:t>
      </w:r>
      <w:r>
        <w:rPr>
          <w:szCs w:val="22"/>
          <w:lang w:val="hu-HU"/>
        </w:rPr>
        <w:t>) betegeknél (lásd 4.5 és 5.1 pont).</w:t>
      </w:r>
    </w:p>
    <w:p w:rsidR="006B4EEB" w:rsidRDefault="006B4EEB">
      <w:pPr>
        <w:spacing w:line="240" w:lineRule="auto"/>
        <w:ind w:left="426" w:hanging="437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Terhesség</w:t>
      </w:r>
    </w:p>
    <w:p w:rsidR="006B4EEB" w:rsidRDefault="00BE302E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Terhesség alatt nem szabad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II-receptor-blokkoló- (ARB) kezelést elkezdeni. A terhességet tervező betegeket – kivéve, ha az ARB-kezelés folytatása feltétlenül szükséges – olyan másik </w:t>
      </w:r>
      <w:proofErr w:type="spellStart"/>
      <w:r>
        <w:rPr>
          <w:szCs w:val="22"/>
          <w:lang w:val="hu-HU"/>
        </w:rPr>
        <w:t>antihipertenzív</w:t>
      </w:r>
      <w:proofErr w:type="spellEnd"/>
      <w:r>
        <w:rPr>
          <w:szCs w:val="22"/>
          <w:lang w:val="hu-HU"/>
        </w:rPr>
        <w:t xml:space="preserve"> kezelésre kell átállítani, amelynek megvizsgálták a terhesség alatti alkalmazásra vonatkozó biztonságossági profilját. Terhesség megállapítása esetén az ARB-kezelést azonnal abba </w:t>
      </w:r>
      <w:r>
        <w:rPr>
          <w:szCs w:val="22"/>
          <w:lang w:val="hu-HU"/>
        </w:rPr>
        <w:lastRenderedPageBreak/>
        <w:t>kell hagyni, és – amennyiben az megfelelő – terápiás alternatíva alkalmazását kell megkezdeni (lásd 4.3 és 4.6 pont).</w:t>
      </w:r>
    </w:p>
    <w:p w:rsidR="006B4EEB" w:rsidRDefault="006B4EEB">
      <w:pPr>
        <w:suppressAutoHyphens/>
        <w:rPr>
          <w:szCs w:val="22"/>
          <w:lang w:val="hu-HU"/>
        </w:rPr>
      </w:pPr>
    </w:p>
    <w:p w:rsidR="006B4EEB" w:rsidRDefault="00BE302E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Májkárosodás</w:t>
      </w:r>
    </w:p>
    <w:p w:rsidR="006B4EEB" w:rsidRDefault="00BE302E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Mivel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elsősorban az epén keresztül </w:t>
      </w:r>
      <w:proofErr w:type="spellStart"/>
      <w:r>
        <w:rPr>
          <w:szCs w:val="22"/>
          <w:lang w:val="hu-HU"/>
        </w:rPr>
        <w:t>eliminálódik</w:t>
      </w:r>
      <w:proofErr w:type="spell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 nem adható </w:t>
      </w:r>
      <w:proofErr w:type="spellStart"/>
      <w:r>
        <w:rPr>
          <w:szCs w:val="22"/>
          <w:lang w:val="hu-HU"/>
        </w:rPr>
        <w:t>cholestasisban</w:t>
      </w:r>
      <w:proofErr w:type="spellEnd"/>
      <w:r>
        <w:rPr>
          <w:szCs w:val="22"/>
          <w:lang w:val="hu-HU"/>
        </w:rPr>
        <w:t xml:space="preserve">, epeúti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rendellenességben vagy súlyos májkárosodásban szenvedő betegeknek (lásd 4.3 pont). Ezeknél a betegeknél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-ének csökkenése várható.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kombinációt csak elővigyázatossággal szabad adni enyhe, illetve közepes fokú májkárosodás esetén.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Hepaticus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encephalopathia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Májkárosodás esetén a </w:t>
      </w:r>
      <w:proofErr w:type="spellStart"/>
      <w:r>
        <w:rPr>
          <w:lang w:val="hu-HU"/>
        </w:rPr>
        <w:t>tiaziddal</w:t>
      </w:r>
      <w:proofErr w:type="spellEnd"/>
      <w:r>
        <w:rPr>
          <w:lang w:val="hu-HU"/>
        </w:rPr>
        <w:t xml:space="preserve">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különösen elektrolitegyensúly-zavar esetén –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encephalopathiát</w:t>
      </w:r>
      <w:proofErr w:type="spellEnd"/>
      <w:r>
        <w:rPr>
          <w:lang w:val="hu-HU"/>
        </w:rPr>
        <w:t xml:space="preserve"> okozhatnak, amely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comáig</w:t>
      </w:r>
      <w:proofErr w:type="spellEnd"/>
      <w:r>
        <w:rPr>
          <w:lang w:val="hu-HU"/>
        </w:rPr>
        <w:t xml:space="preserve"> súlyosbodhat. Ha ez a hatás jelentkezik,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adását azonnal abba kell hagyni.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uppressAutoHyphens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Renovascularis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hypertensio</w:t>
      </w:r>
      <w:proofErr w:type="spellEnd"/>
    </w:p>
    <w:p w:rsidR="006B4EEB" w:rsidRDefault="00BE302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Fokozódik a súlyos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és a veseelégtelenség kockázata kétoldali </w:t>
      </w:r>
      <w:proofErr w:type="spellStart"/>
      <w:r>
        <w:rPr>
          <w:szCs w:val="22"/>
          <w:lang w:val="hu-HU"/>
        </w:rPr>
        <w:t>arteria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renalis-stenosis</w:t>
      </w:r>
      <w:proofErr w:type="spellEnd"/>
      <w:r>
        <w:rPr>
          <w:szCs w:val="22"/>
          <w:lang w:val="hu-HU"/>
        </w:rPr>
        <w:t xml:space="preserve">, vagy az egyetlen működő vese </w:t>
      </w:r>
      <w:proofErr w:type="spellStart"/>
      <w:r>
        <w:rPr>
          <w:szCs w:val="22"/>
          <w:lang w:val="hu-HU"/>
        </w:rPr>
        <w:t>arteriostenosisa</w:t>
      </w:r>
      <w:proofErr w:type="spellEnd"/>
      <w:r>
        <w:rPr>
          <w:szCs w:val="22"/>
          <w:lang w:val="hu-HU"/>
        </w:rPr>
        <w:t xml:space="preserve"> esetén, ha az ilyen betegeket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rendszerre ható gyógyszerekkel kezelik.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Intravascularis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hypovolaemia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Symptomaticus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léphet fel – különösen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dózisa után – azon betegeknél, akiknél volumen- és/vagy nátriumhiány alakult ki nagy dózisú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kezelés, sószegény diéta, illetve hasmenés vagy hányás következtében.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adagolásának elkezdése előtt ezeket az állapotokat normalizálni kell.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adása előtt korrigálni kell a volumen- és/vagy nátriumhiányt.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 és vesetranszplantáció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Vesekárosodás esetén történő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-kezelésnél a betegek szérumkálium- és szérumkreatinin-szintjének rendszeres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 ajánlott. Nincs tapasztalat azon betegek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>-kezelésével kapcsolatban, akiknél a közelmúltban vesetranszplantációt végeztek.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Vesefunkció és </w:t>
      </w:r>
      <w:proofErr w:type="spellStart"/>
      <w:r>
        <w:rPr>
          <w:u w:val="single"/>
          <w:lang w:val="hu-HU"/>
        </w:rPr>
        <w:t>diuretikumok</w:t>
      </w:r>
      <w:proofErr w:type="spellEnd"/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normális, vagy a vesekárosodás csak minimális mértékű (ha a plazma </w:t>
      </w:r>
      <w:proofErr w:type="spellStart"/>
      <w:r>
        <w:rPr>
          <w:szCs w:val="22"/>
          <w:lang w:val="hu-HU"/>
        </w:rPr>
        <w:t>kreatininszintjének</w:t>
      </w:r>
      <w:proofErr w:type="spellEnd"/>
      <w:r>
        <w:rPr>
          <w:szCs w:val="22"/>
          <w:lang w:val="hu-HU"/>
        </w:rPr>
        <w:t xml:space="preserve"> értéke felnőttnél &lt;25 mg/l, azaz &lt;220 </w:t>
      </w:r>
      <w:proofErr w:type="spellStart"/>
      <w:r>
        <w:rPr>
          <w:rFonts w:eastAsia="Calibri"/>
          <w:noProof/>
          <w:szCs w:val="22"/>
          <w:lang w:val="hu-HU" w:eastAsia="en-US"/>
        </w:rPr>
        <w:t>mikromol</w:t>
      </w:r>
      <w:proofErr w:type="spellEnd"/>
      <w:r>
        <w:rPr>
          <w:szCs w:val="22"/>
          <w:lang w:val="hu-HU"/>
        </w:rPr>
        <w:t xml:space="preserve">/l). Idősek esetében a plazma </w:t>
      </w:r>
      <w:proofErr w:type="spellStart"/>
      <w:r>
        <w:rPr>
          <w:szCs w:val="22"/>
          <w:lang w:val="hu-HU"/>
        </w:rPr>
        <w:t>kreatininszintjét</w:t>
      </w:r>
      <w:proofErr w:type="spellEnd"/>
      <w:r>
        <w:rPr>
          <w:szCs w:val="22"/>
          <w:lang w:val="hu-HU"/>
        </w:rPr>
        <w:t xml:space="preserve"> korrigálni kell az életkortól, a testtömegtől és a nemtől függően.</w:t>
      </w:r>
    </w:p>
    <w:p w:rsidR="006B4EEB" w:rsidRDefault="00BE302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elkezdésekor a szer hatására, a nátrium- és vízvesztés következtében másodlagosan kialakuló </w:t>
      </w:r>
      <w:proofErr w:type="spellStart"/>
      <w:r>
        <w:rPr>
          <w:szCs w:val="22"/>
          <w:lang w:val="hu-HU"/>
        </w:rPr>
        <w:t>hypovolaemia</w:t>
      </w:r>
      <w:proofErr w:type="spellEnd"/>
      <w:r>
        <w:rPr>
          <w:szCs w:val="22"/>
          <w:lang w:val="hu-HU"/>
        </w:rPr>
        <w:t xml:space="preserve"> csökkent </w:t>
      </w:r>
      <w:proofErr w:type="spellStart"/>
      <w:r>
        <w:rPr>
          <w:szCs w:val="22"/>
          <w:lang w:val="hu-HU"/>
        </w:rPr>
        <w:t>glomerulusfiltrációt</w:t>
      </w:r>
      <w:proofErr w:type="spellEnd"/>
      <w:r>
        <w:rPr>
          <w:szCs w:val="22"/>
          <w:lang w:val="hu-HU"/>
        </w:rPr>
        <w:t xml:space="preserve"> okoz. Emiatt megemelkedhet a vérben a karbamidszint és a plazma </w:t>
      </w:r>
      <w:proofErr w:type="spellStart"/>
      <w:r>
        <w:rPr>
          <w:szCs w:val="22"/>
          <w:lang w:val="hu-HU"/>
        </w:rPr>
        <w:t>kreatininszintje</w:t>
      </w:r>
      <w:proofErr w:type="spellEnd"/>
      <w:r>
        <w:rPr>
          <w:szCs w:val="22"/>
          <w:lang w:val="hu-HU"/>
        </w:rPr>
        <w:t>. Ez az átmeneti funkcionális veseelégtelenség nem jár következményekkel normál veseműködésű egyének esetén, azonban a korábban fennálló vesekárosodást súlyosbíthatja.</w:t>
      </w:r>
    </w:p>
    <w:p w:rsidR="006B4EEB" w:rsidRDefault="006B4EEB">
      <w:pPr>
        <w:spacing w:line="240" w:lineRule="auto"/>
        <w:rPr>
          <w:szCs w:val="22"/>
          <w:lang w:val="hu-HU"/>
        </w:rPr>
      </w:pPr>
    </w:p>
    <w:p w:rsidR="006B4EEB" w:rsidRDefault="00BE302E">
      <w:pPr>
        <w:spacing w:line="240" w:lineRule="auto"/>
        <w:rPr>
          <w:snapToGrid/>
          <w:u w:val="single"/>
          <w:lang w:val="hu-HU"/>
        </w:rPr>
      </w:pPr>
      <w:proofErr w:type="spellStart"/>
      <w:r>
        <w:rPr>
          <w:u w:val="single"/>
          <w:lang w:val="hu-HU"/>
        </w:rPr>
        <w:t>Intestinalis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angiooedema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angiooedemáról</w:t>
      </w:r>
      <w:proofErr w:type="spellEnd"/>
      <w:r>
        <w:rPr>
          <w:lang w:val="hu-HU"/>
        </w:rPr>
        <w:t xml:space="preserve"> számoltak be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II-receptor-blokkolóval kezelt betegeknél (lásd 4.8 pont). Ezeknél a betegeknél </w:t>
      </w:r>
      <w:proofErr w:type="spellStart"/>
      <w:r>
        <w:rPr>
          <w:lang w:val="hu-HU"/>
        </w:rPr>
        <w:t>abdominalis</w:t>
      </w:r>
      <w:proofErr w:type="spellEnd"/>
      <w:r>
        <w:rPr>
          <w:lang w:val="hu-HU"/>
        </w:rPr>
        <w:t xml:space="preserve"> fájdalom, hányinger, hányás és hasmenés jelentkezett.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tünetek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II-receptor-blokkolóval végzett kezelés leállítása után megszűntek. Amennyiben </w:t>
      </w: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 xml:space="preserve"> diagnosztizálnak,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-kezelést le kell állítani, és a beteget megfelelően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 mindaddig, amíg a tünetek teljes mértékben meg nem szűnnek.</w:t>
      </w:r>
    </w:p>
    <w:p w:rsidR="006B4EEB" w:rsidRDefault="006B4EEB">
      <w:pPr>
        <w:spacing w:line="240" w:lineRule="auto"/>
        <w:rPr>
          <w:szCs w:val="22"/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szCs w:val="22"/>
          <w:u w:val="single"/>
          <w:lang w:val="hu-HU"/>
        </w:rPr>
        <w:t xml:space="preserve">A </w:t>
      </w:r>
      <w:proofErr w:type="spellStart"/>
      <w:r>
        <w:rPr>
          <w:szCs w:val="22"/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aldoszteron</w:t>
      </w:r>
      <w:proofErr w:type="spellEnd"/>
      <w:r>
        <w:rPr>
          <w:szCs w:val="22"/>
          <w:u w:val="single"/>
          <w:lang w:val="hu-HU"/>
        </w:rPr>
        <w:t xml:space="preserve"> rendszer (RAAS) kettős blokádja</w:t>
      </w:r>
    </w:p>
    <w:p w:rsidR="006B4EEB" w:rsidRDefault="00BE302E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Bizonyíték van rá, hogy az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vagy az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egyidejű alkalmazása fokozza a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hyperkalaemia</w:t>
      </w:r>
      <w:proofErr w:type="spellEnd"/>
      <w:r>
        <w:rPr>
          <w:szCs w:val="22"/>
          <w:lang w:val="hu-HU"/>
        </w:rPr>
        <w:t xml:space="preserve"> és csökkent veseműködés (beleértve az akut veseelégtelenség) kockázatát, ezért a RAAS – ACE-gátlók, ARB-k vagy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kombinált alkalmazásával történő – kettős blokádja nem javasolt (lásd 4.5 és 5.1 pont).</w:t>
      </w:r>
    </w:p>
    <w:p w:rsidR="006B4EEB" w:rsidRDefault="00BE302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Ha a kettősblokád-kezelést abszolút szükségesnek ítélik, ez csak szakorvos felügyeletével, a vesefunkció, az elektrolitszintek és a vérnyomás gyakori és szoros ellenőrzése mellett történhet.</w:t>
      </w:r>
    </w:p>
    <w:p w:rsidR="006B4EEB" w:rsidRDefault="00BE302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Az ACE-gátlók és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nem alkalmazhatók egyidejűleg diabeteses </w:t>
      </w:r>
      <w:proofErr w:type="spellStart"/>
      <w:r>
        <w:rPr>
          <w:szCs w:val="22"/>
          <w:lang w:val="hu-HU"/>
        </w:rPr>
        <w:t>nephropathiában</w:t>
      </w:r>
      <w:proofErr w:type="spellEnd"/>
      <w:r>
        <w:rPr>
          <w:szCs w:val="22"/>
          <w:lang w:val="hu-HU"/>
        </w:rPr>
        <w:t xml:space="preserve"> szenvedő betegeknél.</w:t>
      </w:r>
    </w:p>
    <w:p w:rsidR="006B4EEB" w:rsidRDefault="006B4EEB">
      <w:pPr>
        <w:spacing w:line="240" w:lineRule="auto"/>
        <w:rPr>
          <w:szCs w:val="22"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Egyéb, 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stimulációjával járó állapotok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A RAAS-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ható gyógyszeres kezeléssel (például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-kezelés) akut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hyperazotaemiát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oliguriát</w:t>
      </w:r>
      <w:proofErr w:type="spellEnd"/>
      <w:r>
        <w:rPr>
          <w:lang w:val="hu-HU"/>
        </w:rPr>
        <w:t xml:space="preserve">, vagy ritkán akut veseelégtelenséget hoztak összefüggésbe azoknál a betegeknél, akiknek a </w:t>
      </w:r>
      <w:proofErr w:type="spellStart"/>
      <w:r>
        <w:rPr>
          <w:lang w:val="hu-HU"/>
        </w:rPr>
        <w:t>vascularis</w:t>
      </w:r>
      <w:proofErr w:type="spellEnd"/>
      <w:r>
        <w:rPr>
          <w:lang w:val="hu-HU"/>
        </w:rPr>
        <w:t xml:space="preserve"> tónusa és vesefunkciója elsősorban a </w:t>
      </w:r>
      <w:proofErr w:type="spellStart"/>
      <w:r>
        <w:rPr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 aktivitásától függ – például súlyos </w:t>
      </w:r>
      <w:proofErr w:type="spellStart"/>
      <w:r>
        <w:rPr>
          <w:lang w:val="hu-HU"/>
        </w:rPr>
        <w:t>pangásos</w:t>
      </w:r>
      <w:proofErr w:type="spellEnd"/>
      <w:r>
        <w:rPr>
          <w:lang w:val="hu-HU"/>
        </w:rPr>
        <w:t xml:space="preserve"> szívelégtelenség vagy fennálló vesebetegség esetén, ideértve az </w:t>
      </w:r>
      <w:proofErr w:type="spellStart"/>
      <w:r>
        <w:rPr>
          <w:lang w:val="hu-HU"/>
        </w:rPr>
        <w:t>arteria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stenosisát</w:t>
      </w:r>
      <w:proofErr w:type="spellEnd"/>
      <w:r>
        <w:rPr>
          <w:lang w:val="hu-HU"/>
        </w:rPr>
        <w:t xml:space="preserve"> is (lásd 4.8 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Primer </w:t>
      </w:r>
      <w:proofErr w:type="spellStart"/>
      <w:r>
        <w:rPr>
          <w:u w:val="single"/>
          <w:lang w:val="hu-HU"/>
        </w:rPr>
        <w:t>aldosteronismus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Primer </w:t>
      </w:r>
      <w:proofErr w:type="spellStart"/>
      <w:r>
        <w:rPr>
          <w:lang w:val="hu-HU"/>
        </w:rPr>
        <w:t>aldosteronismusban</w:t>
      </w:r>
      <w:proofErr w:type="spellEnd"/>
      <w:r>
        <w:rPr>
          <w:lang w:val="hu-HU"/>
        </w:rPr>
        <w:t xml:space="preserve"> szenvedő betegek általában nem reagálnak 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rendszer gátlása útján ható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gyógyszerekre, ezért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nem javasolt.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Aortastenosis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mitralis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hypertrophiás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obstruktív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cardiomyopathia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Más </w:t>
      </w:r>
      <w:proofErr w:type="spellStart"/>
      <w:r>
        <w:rPr>
          <w:lang w:val="hu-HU"/>
        </w:rPr>
        <w:t>vasodilatatorokhoz</w:t>
      </w:r>
      <w:proofErr w:type="spellEnd"/>
      <w:r>
        <w:rPr>
          <w:lang w:val="hu-HU"/>
        </w:rPr>
        <w:t xml:space="preserve"> hasonlóan fokozott óvatosság ajánlott aorta- vagy </w:t>
      </w:r>
      <w:proofErr w:type="spellStart"/>
      <w:r>
        <w:rPr>
          <w:lang w:val="hu-HU"/>
        </w:rPr>
        <w:t>mitralis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hypertrophiás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obstruktív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 xml:space="preserve"> esetén.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Inzulinnal vagy </w:t>
      </w:r>
      <w:proofErr w:type="spellStart"/>
      <w:r>
        <w:rPr>
          <w:u w:val="single"/>
          <w:lang w:val="hu-HU"/>
        </w:rPr>
        <w:t>antidiabetikumokkal</w:t>
      </w:r>
      <w:proofErr w:type="spellEnd"/>
      <w:r>
        <w:rPr>
          <w:u w:val="single"/>
          <w:lang w:val="hu-HU"/>
        </w:rPr>
        <w:t xml:space="preserve"> kezelt cukorbetegek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Ezeknél a betegeknél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 alatt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léphet fel, ezért megfontolandó a vércukorszint megfelelő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; indokolt esetben pedig az inzulin vagy az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dózisának módosítása válhat szükségessé.</w:t>
      </w:r>
    </w:p>
    <w:p w:rsidR="006B4EEB" w:rsidRDefault="006B4EEB">
      <w:pPr>
        <w:spacing w:line="240" w:lineRule="auto"/>
        <w:rPr>
          <w:u w:val="single"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Fényérzékenység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adása során fényérzékenységi reakciókról számoltak be (lásd 4.8 pont). Ha a kezelés alatt fényérzékenységi reakció jelentkezik, a kezelés leállítása javasolt. Ha szükségesnek ítélik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újbóli adását, a napfénynek vagy a mesterséges UVA-sugaraknak kitett területek védelme javasolt.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Folyadék- és elektrolit-háztartás egyensúlya</w:t>
      </w: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nátrium plazmaszintje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kezelés megkezdése előtt, majd az alkalmazás ideje alatt rendszeresen ellenőrizni kell a plazma nátriumszintjét. A plazma nátriumszintjének esése kezdetben nem feltétlenül okoz tüneteket, ezért rendszeres ellenőrzése elengedhetetlen. Időseknél, illetve májcirrózisban szenvedő betegeknél ezt a szokásosnál sűrűbben kell ellenőrizni (lásd 4.8 és 4.9 pont). Bármilyen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okozhat </w:t>
      </w:r>
      <w:proofErr w:type="spellStart"/>
      <w:r>
        <w:rPr>
          <w:lang w:val="hu-HU"/>
        </w:rPr>
        <w:t>hyponatraemiát</w:t>
      </w:r>
      <w:proofErr w:type="spellEnd"/>
      <w:r>
        <w:rPr>
          <w:lang w:val="hu-HU"/>
        </w:rPr>
        <w:t xml:space="preserve">, amely néha nagyon súlyos következményekkel jár. A </w:t>
      </w:r>
      <w:proofErr w:type="spellStart"/>
      <w:r>
        <w:rPr>
          <w:lang w:val="hu-HU"/>
        </w:rPr>
        <w:t>hypovolaemiával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dehidrációt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orthostaticus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is kiválthat. Az egyidejű kloridionvesztés másodlagos, </w:t>
      </w:r>
      <w:proofErr w:type="spellStart"/>
      <w:r>
        <w:rPr>
          <w:lang w:val="hu-HU"/>
        </w:rPr>
        <w:t>kompenzatorikus</w:t>
      </w:r>
      <w:proofErr w:type="spellEnd"/>
      <w:r>
        <w:rPr>
          <w:lang w:val="hu-HU"/>
        </w:rPr>
        <w:t xml:space="preserve"> metabolikus </w:t>
      </w:r>
      <w:proofErr w:type="spellStart"/>
      <w:r>
        <w:rPr>
          <w:lang w:val="hu-HU"/>
        </w:rPr>
        <w:t>alkalosist</w:t>
      </w:r>
      <w:proofErr w:type="spellEnd"/>
      <w:r>
        <w:rPr>
          <w:lang w:val="hu-HU"/>
        </w:rPr>
        <w:t xml:space="preserve"> okozhat: ennek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és foka csekély.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A kálium plazmaszintje</w:t>
      </w: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Hyperkalaemia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rendszerre ható gyógyszerek alkalmazása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okozhat.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Időseknél, veseelégtelenségben szenvedő betegeknél, cukorbetegeknél, egyidejűleg más, a szérumkáliumszintet potenciálisan emelő gyógyszert szedő betegeknél és/vagy </w:t>
      </w:r>
      <w:proofErr w:type="spellStart"/>
      <w:r>
        <w:rPr>
          <w:lang w:val="hu-HU"/>
        </w:rPr>
        <w:t>interkurrens</w:t>
      </w:r>
      <w:proofErr w:type="spellEnd"/>
      <w:r>
        <w:rPr>
          <w:lang w:val="hu-HU"/>
        </w:rPr>
        <w:t xml:space="preserve"> esemény esetén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halálos is lehet.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Mielőtt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rendszert befolyásoló gyógyszer egyidejű alkalmazása szóba jönne, az előny/kockázat arány becslése szükséges.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vonatkozásában az alábbi főbb rizikófaktorok mérlegelendők: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Cukorbetegség, vesekárosodás, életkor (</w:t>
      </w:r>
      <w:proofErr w:type="gramStart"/>
      <w:r>
        <w:rPr>
          <w:szCs w:val="22"/>
          <w:lang w:val="hu-HU"/>
        </w:rPr>
        <w:t>&gt;70</w:t>
      </w:r>
      <w:proofErr w:type="gramEnd"/>
      <w:r>
        <w:rPr>
          <w:szCs w:val="22"/>
          <w:lang w:val="hu-HU"/>
        </w:rPr>
        <w:t xml:space="preserve"> év).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 vagy több,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rendszert befolyásoló és/vagy káliumpótló gyógyszer egyidejű alkalmazása. A következő gyógyszerek, illetve gyógyszercsoportok idézhetnek elő </w:t>
      </w:r>
      <w:proofErr w:type="spellStart"/>
      <w:r>
        <w:rPr>
          <w:szCs w:val="22"/>
          <w:lang w:val="hu-HU"/>
        </w:rPr>
        <w:t>hyperkalaemiát</w:t>
      </w:r>
      <w:proofErr w:type="spellEnd"/>
      <w:r>
        <w:rPr>
          <w:szCs w:val="22"/>
          <w:lang w:val="hu-HU"/>
        </w:rPr>
        <w:t xml:space="preserve">: </w:t>
      </w:r>
      <w:proofErr w:type="spellStart"/>
      <w:r>
        <w:rPr>
          <w:szCs w:val="22"/>
          <w:lang w:val="hu-HU"/>
        </w:rPr>
        <w:t>káliumtartalmú</w:t>
      </w:r>
      <w:proofErr w:type="spellEnd"/>
      <w:r>
        <w:rPr>
          <w:szCs w:val="22"/>
          <w:lang w:val="hu-HU"/>
        </w:rPr>
        <w:t xml:space="preserve"> sópótló készítmények, káliummegtakarító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,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, nem-szteroid gyulladáscsökkentő gyógyszerek (NSAID-ok, beleértve a szelektív COX-2-gátlókat),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immunszuppresszív</w:t>
      </w:r>
      <w:proofErr w:type="spellEnd"/>
      <w:r>
        <w:rPr>
          <w:szCs w:val="22"/>
          <w:lang w:val="hu-HU"/>
        </w:rPr>
        <w:t xml:space="preserve"> szerek (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takrolimusz</w:t>
      </w:r>
      <w:proofErr w:type="spellEnd"/>
      <w:r>
        <w:rPr>
          <w:szCs w:val="22"/>
          <w:lang w:val="hu-HU"/>
        </w:rPr>
        <w:t xml:space="preserve">), valamint a </w:t>
      </w:r>
      <w:proofErr w:type="spellStart"/>
      <w:r>
        <w:rPr>
          <w:szCs w:val="22"/>
          <w:lang w:val="hu-HU"/>
        </w:rPr>
        <w:t>trimetoprim</w:t>
      </w:r>
      <w:proofErr w:type="spellEnd"/>
      <w:r>
        <w:rPr>
          <w:szCs w:val="22"/>
          <w:lang w:val="hu-HU"/>
        </w:rPr>
        <w:t>.</w:t>
      </w:r>
    </w:p>
    <w:p w:rsidR="006B4EEB" w:rsidRDefault="00BE302E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lastRenderedPageBreak/>
        <w:t>Interkurrens</w:t>
      </w:r>
      <w:proofErr w:type="spellEnd"/>
      <w:r>
        <w:rPr>
          <w:szCs w:val="22"/>
          <w:lang w:val="hu-HU"/>
        </w:rPr>
        <w:t xml:space="preserve"> események, különösképpen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, akut </w:t>
      </w:r>
      <w:proofErr w:type="spellStart"/>
      <w:r>
        <w:rPr>
          <w:szCs w:val="22"/>
          <w:lang w:val="hu-HU"/>
        </w:rPr>
        <w:t>kardiális</w:t>
      </w:r>
      <w:proofErr w:type="spellEnd"/>
      <w:r>
        <w:rPr>
          <w:szCs w:val="22"/>
          <w:lang w:val="hu-HU"/>
        </w:rPr>
        <w:t xml:space="preserve"> dekompenzáció, metabolikus acidózis, vesefunkció-romlás, a vese állapotának hirtelen romlása (például fertőző betegség miatt), </w:t>
      </w:r>
      <w:proofErr w:type="spellStart"/>
      <w:r>
        <w:rPr>
          <w:szCs w:val="22"/>
          <w:lang w:val="hu-HU"/>
        </w:rPr>
        <w:t>sejtlízis</w:t>
      </w:r>
      <w:proofErr w:type="spellEnd"/>
      <w:r>
        <w:rPr>
          <w:szCs w:val="22"/>
          <w:lang w:val="hu-HU"/>
        </w:rPr>
        <w:t xml:space="preserve"> (például akut végtagi </w:t>
      </w:r>
      <w:proofErr w:type="spellStart"/>
      <w:r>
        <w:rPr>
          <w:szCs w:val="22"/>
          <w:lang w:val="hu-HU"/>
        </w:rPr>
        <w:t>ischaemia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rhabdomyolisis</w:t>
      </w:r>
      <w:proofErr w:type="spellEnd"/>
      <w:r>
        <w:rPr>
          <w:szCs w:val="22"/>
          <w:lang w:val="hu-HU"/>
        </w:rPr>
        <w:t>, kiterjedt trauma).</w:t>
      </w:r>
    </w:p>
    <w:p w:rsidR="006B4EEB" w:rsidRDefault="006B4EEB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:rsidR="006B4EEB" w:rsidRDefault="00BE302E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kockázatnak kitett betegeknél a szérumkáliumszint szoros ellenőrzése javasolt (lásd 4.5 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Hypokalaemia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káliumdepléció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alkalmazásának egyik fő kockázata.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izomműködési zavarokat okozhat. Több esetben </w:t>
      </w:r>
      <w:proofErr w:type="spellStart"/>
      <w:r>
        <w:rPr>
          <w:lang w:val="hu-HU"/>
        </w:rPr>
        <w:t>rhabdomyolysis</w:t>
      </w:r>
      <w:proofErr w:type="spellEnd"/>
      <w:r>
        <w:rPr>
          <w:lang w:val="hu-HU"/>
        </w:rPr>
        <w:t xml:space="preserve"> előfordulását jelentették, főleg súlyos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összefüggésben.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(&lt;3,4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/l) kialakulásának kockázatát ki kell küszöbölni bizonyos nagy kockázatú betegcsoport esetében, így az időseknél, az </w:t>
      </w:r>
      <w:proofErr w:type="spellStart"/>
      <w:r>
        <w:rPr>
          <w:lang w:val="hu-HU"/>
        </w:rPr>
        <w:t>alultáplált</w:t>
      </w:r>
      <w:proofErr w:type="spellEnd"/>
      <w:r>
        <w:rPr>
          <w:lang w:val="hu-HU"/>
        </w:rPr>
        <w:t xml:space="preserve"> betegeknél és/vagy </w:t>
      </w:r>
      <w:proofErr w:type="spellStart"/>
      <w:r>
        <w:rPr>
          <w:lang w:val="hu-HU"/>
        </w:rPr>
        <w:t>polimedikáció</w:t>
      </w:r>
      <w:proofErr w:type="spellEnd"/>
      <w:r>
        <w:rPr>
          <w:lang w:val="hu-HU"/>
        </w:rPr>
        <w:t xml:space="preserve"> esetén, az ödémás és </w:t>
      </w:r>
      <w:proofErr w:type="spellStart"/>
      <w:r>
        <w:rPr>
          <w:lang w:val="hu-HU"/>
        </w:rPr>
        <w:t>asciteses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cirrózisos</w:t>
      </w:r>
      <w:proofErr w:type="spellEnd"/>
      <w:r>
        <w:rPr>
          <w:lang w:val="hu-HU"/>
        </w:rPr>
        <w:t xml:space="preserve"> betegeknél, a koszorúér-betegségben, illetve a szívelégtelenségben szenvedő betegeknél. Az utóbbi esetben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fokozza a </w:t>
      </w:r>
      <w:proofErr w:type="spellStart"/>
      <w:r>
        <w:rPr>
          <w:lang w:val="hu-HU"/>
        </w:rPr>
        <w:t>szívglikozidok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kardiotoxicitását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arrythmia</w:t>
      </w:r>
      <w:proofErr w:type="spellEnd"/>
      <w:r>
        <w:rPr>
          <w:lang w:val="hu-HU"/>
        </w:rPr>
        <w:t xml:space="preserve"> kockázatát.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Ugyancsak kockázatnak vannak kitéve az olyan egyének, akiknél hosszú a QT-szakasz, függetlenül a jelenség eredetétől (</w:t>
      </w:r>
      <w:proofErr w:type="spellStart"/>
      <w:r>
        <w:rPr>
          <w:lang w:val="hu-HU"/>
        </w:rPr>
        <w:t>congenitalis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iatrogén</w:t>
      </w:r>
      <w:proofErr w:type="spellEnd"/>
      <w:r>
        <w:rPr>
          <w:lang w:val="hu-HU"/>
        </w:rPr>
        <w:t xml:space="preserve">).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tehát, épp úgy, mint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prediszponáló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faktora</w:t>
      </w:r>
      <w:proofErr w:type="spellEnd"/>
      <w:r>
        <w:rPr>
          <w:lang w:val="hu-HU"/>
        </w:rPr>
        <w:t xml:space="preserve"> a súlyos ritmuszavarok, különösen a – potenciálisan halálos kimenetelű – </w:t>
      </w:r>
      <w:proofErr w:type="spellStart"/>
      <w:r>
        <w:rPr>
          <w:i/>
          <w:iCs/>
          <w:lang w:val="hu-HU"/>
        </w:rPr>
        <w:t>torsades</w:t>
      </w:r>
      <w:proofErr w:type="spellEnd"/>
      <w:r>
        <w:rPr>
          <w:i/>
          <w:iCs/>
          <w:lang w:val="hu-HU"/>
        </w:rPr>
        <w:t xml:space="preserve"> de </w:t>
      </w:r>
      <w:proofErr w:type="spellStart"/>
      <w:r>
        <w:rPr>
          <w:i/>
          <w:iCs/>
          <w:lang w:val="hu-HU"/>
        </w:rPr>
        <w:t>pointes</w:t>
      </w:r>
      <w:proofErr w:type="spellEnd"/>
      <w:r>
        <w:rPr>
          <w:lang w:val="hu-HU"/>
        </w:rPr>
        <w:t xml:space="preserve"> kialakulásának.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Minden fentebb szereplő esetben gyakrabban kell ellenőrizni a plazma káliumszintjét. A kezelés megkezdése utáni első héten el kell végezni a plazmakáliumszint első mérését.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hypokalaemiát</w:t>
      </w:r>
      <w:proofErr w:type="spellEnd"/>
      <w:r>
        <w:rPr>
          <w:lang w:val="hu-HU"/>
        </w:rPr>
        <w:t xml:space="preserve"> az észlelésekor korrigálni kell. Ha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a magnézium alacsony szérumkoncentrációjával összefüggésben alakul ki, akkor terápiarezisztens lehet, ha a magnézium szérumszintjét nem korrigálják.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magnézium plazmaszintje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tiazidok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többek között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– bizonyítottan fokozzák a magnézium kiválasztását a vizelettel, ami </w:t>
      </w:r>
      <w:proofErr w:type="spellStart"/>
      <w:r>
        <w:rPr>
          <w:lang w:val="hu-HU"/>
        </w:rPr>
        <w:t>hypomagnesaemiát</w:t>
      </w:r>
      <w:proofErr w:type="spellEnd"/>
      <w:r>
        <w:rPr>
          <w:lang w:val="hu-HU"/>
        </w:rPr>
        <w:t xml:space="preserve"> okozhat (lásd 4.5 és 4.8 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kalcium plazmaszintje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csökkenthetik a vizelettel történő kalciumürítést, ezáltal átmenetileg, kismértékben emelhetik a plazma kalciumszintjét. A valódi </w:t>
      </w:r>
      <w:proofErr w:type="spellStart"/>
      <w:r>
        <w:rPr>
          <w:lang w:val="hu-HU"/>
        </w:rPr>
        <w:t>hypercalcaemia</w:t>
      </w:r>
      <w:proofErr w:type="spellEnd"/>
      <w:r>
        <w:rPr>
          <w:lang w:val="hu-HU"/>
        </w:rPr>
        <w:t xml:space="preserve"> korábban fel nem ismert </w:t>
      </w:r>
      <w:proofErr w:type="spellStart"/>
      <w:r>
        <w:rPr>
          <w:lang w:val="hu-HU"/>
        </w:rPr>
        <w:t>hyperparathyreosis</w:t>
      </w:r>
      <w:proofErr w:type="spellEnd"/>
      <w:r>
        <w:rPr>
          <w:lang w:val="hu-HU"/>
        </w:rPr>
        <w:t xml:space="preserve"> tünete is lehet.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A kezelést a mellékpajzsmirigy működésének kivizsgálása előtt abba kell hagyni.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Vércukorszint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Cukorbetegek kezelésekor fontos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a vércukorszintet, különösen, ha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is fennáll.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Húgysav</w:t>
      </w:r>
    </w:p>
    <w:p w:rsidR="006B4EEB" w:rsidRDefault="00BE302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Hyperurikaemiás</w:t>
      </w:r>
      <w:proofErr w:type="spellEnd"/>
      <w:r>
        <w:rPr>
          <w:lang w:val="hu-HU"/>
        </w:rPr>
        <w:t xml:space="preserve"> betegeknél a köszvényes rohamra való hajlam fokozottabb lehet.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bCs/>
          <w:u w:val="single"/>
          <w:lang w:val="hu-HU" w:eastAsia="nl-BE"/>
        </w:rPr>
      </w:pPr>
      <w:r>
        <w:rPr>
          <w:bCs/>
          <w:u w:val="single"/>
          <w:lang w:val="hu-HU" w:eastAsia="nl-BE"/>
        </w:rPr>
        <w:t>Etnikai különbségek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ACE-gátlóknál megfigyeltekhez hasonlóan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más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fekete bőrű betegek esetében kevésbé hatékonyan csökkentik a vérnyomást, mint nem fekete bőrű betegek esetében. Ennek az lehet az oka, hogy a fekete bőrű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magasabb az alacsony </w:t>
      </w:r>
      <w:proofErr w:type="spellStart"/>
      <w:r>
        <w:rPr>
          <w:lang w:val="hu-HU"/>
        </w:rPr>
        <w:t>reninszint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>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Chorioidealis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effusio</w:t>
      </w:r>
      <w:proofErr w:type="spellEnd"/>
      <w:r>
        <w:rPr>
          <w:u w:val="single"/>
          <w:lang w:val="hu-HU"/>
        </w:rPr>
        <w:t xml:space="preserve">, akut </w:t>
      </w:r>
      <w:proofErr w:type="spellStart"/>
      <w:r>
        <w:rPr>
          <w:u w:val="single"/>
          <w:lang w:val="hu-HU"/>
        </w:rPr>
        <w:t>myopia</w:t>
      </w:r>
      <w:proofErr w:type="spellEnd"/>
      <w:r>
        <w:rPr>
          <w:u w:val="single"/>
          <w:lang w:val="hu-HU"/>
        </w:rPr>
        <w:t xml:space="preserve"> és másodlagos zárt zugú glaukóma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szulfonamidok vagy szulfonamid-származékok idioszinkráziás reakciót válthatnak ki, amely látótérkieséssel járó </w:t>
      </w:r>
      <w:proofErr w:type="spellStart"/>
      <w:r>
        <w:rPr>
          <w:lang w:val="hu-HU"/>
        </w:rPr>
        <w:t>chorioidealis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effusiót</w:t>
      </w:r>
      <w:proofErr w:type="spellEnd"/>
      <w:r>
        <w:rPr>
          <w:lang w:val="hu-HU"/>
        </w:rPr>
        <w:t xml:space="preserve">, átmeneti </w:t>
      </w:r>
      <w:proofErr w:type="spellStart"/>
      <w:r>
        <w:rPr>
          <w:lang w:val="hu-HU"/>
        </w:rPr>
        <w:t>myopiát</w:t>
      </w:r>
      <w:proofErr w:type="spellEnd"/>
      <w:r>
        <w:rPr>
          <w:lang w:val="hu-HU"/>
        </w:rPr>
        <w:t xml:space="preserve"> és akut zárt zugú </w:t>
      </w:r>
      <w:proofErr w:type="spellStart"/>
      <w:r>
        <w:rPr>
          <w:lang w:val="hu-HU"/>
        </w:rPr>
        <w:t>glaucomát</w:t>
      </w:r>
      <w:proofErr w:type="spellEnd"/>
      <w:r>
        <w:rPr>
          <w:lang w:val="hu-HU"/>
        </w:rPr>
        <w:t xml:space="preserve"> okozhat. A tünetek közé tartozik a hirtelen jelentkező látásélesség-csökkenés vagy a szemfájdalom, és ezek jellemző módon a kezelés megkezdése után órákon vagy heteken belül jelentkeznek. A kezeletlen akut zárt zugú glaukóma maradandó látásvesztéshez vezethet. Az elsődleges kezelés a gyógyszer szedésének mielőbbi abbahagyása. Az azonnali orvosi vagy sebészi kezelés megfontolható, ha az </w:t>
      </w:r>
      <w:proofErr w:type="spellStart"/>
      <w:r>
        <w:rPr>
          <w:lang w:val="hu-HU"/>
        </w:rPr>
        <w:t>intraocularis</w:t>
      </w:r>
      <w:proofErr w:type="spellEnd"/>
      <w:r>
        <w:rPr>
          <w:lang w:val="hu-HU"/>
        </w:rPr>
        <w:t xml:space="preserve"> nyomás továbbra is </w:t>
      </w:r>
      <w:proofErr w:type="spellStart"/>
      <w:r>
        <w:rPr>
          <w:lang w:val="hu-HU"/>
        </w:rPr>
        <w:t>kontrollálatlan</w:t>
      </w:r>
      <w:proofErr w:type="spellEnd"/>
      <w:r>
        <w:rPr>
          <w:lang w:val="hu-HU"/>
        </w:rPr>
        <w:t xml:space="preserve"> marad. Az akut zárt zugú glaukóma kialakulásának kockázati tényezői közé tartozhat a kórelőzményben szereplő szulfonamid- vagy penicillinallergia.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Egyéb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Ahogyan más vérnyomáscsökkentő szerek esetében is, a vérnyomás túlzott csökkenése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vagy stroke kialakulásához vezethet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szívbetegség vagy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 esetén.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Laktóz</w:t>
      </w:r>
      <w:proofErr w:type="spellEnd"/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Ritkán előforduló, örökletes </w:t>
      </w:r>
      <w:proofErr w:type="spellStart"/>
      <w:r>
        <w:rPr>
          <w:lang w:val="hu-HU"/>
        </w:rPr>
        <w:t>galaktózintoleranciában</w:t>
      </w:r>
      <w:proofErr w:type="spellEnd"/>
      <w:r>
        <w:rPr>
          <w:lang w:val="hu-HU"/>
        </w:rPr>
        <w:t xml:space="preserve">, teljes </w:t>
      </w:r>
      <w:proofErr w:type="spellStart"/>
      <w:r>
        <w:rPr>
          <w:lang w:val="hu-HU"/>
        </w:rPr>
        <w:t>laktázhiányban</w:t>
      </w:r>
      <w:proofErr w:type="spellEnd"/>
      <w:r>
        <w:rPr>
          <w:lang w:val="hu-HU"/>
        </w:rPr>
        <w:t xml:space="preserve"> vagy glükóz-</w:t>
      </w:r>
      <w:proofErr w:type="spellStart"/>
      <w:r>
        <w:rPr>
          <w:lang w:val="hu-HU"/>
        </w:rPr>
        <w:t>galaktóz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malabszorpcióban</w:t>
      </w:r>
      <w:proofErr w:type="spellEnd"/>
      <w:r>
        <w:rPr>
          <w:lang w:val="hu-HU"/>
        </w:rPr>
        <w:t xml:space="preserve"> a készítmény nem szedhető.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tablettánként, azaz gyakorlatilag „nátriummentes”.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 telmizartánnal összefüggő interakciók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Digoxin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Ha a telmizartánt digoxinnal adták együtt, a digoxin medián plazma-csúcskoncentrációjának (49%) és medián mélyponti koncentrációjának (20%) emelkedését figyelték meg. A telmizartán-kezelés elkezdésekor, dózismódosításakor és leállításakor a digoxinszintet monitorozni kell, hogy az a terápiás tartományban maradjon.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renin–angiotenzin–aldoszteron rendszerre ható más gyógyszerekhez hasonlóan a telmizartán is okozhat hyperkalaemiát (lásd 4.4 pont). Ennek kockázatát fokozza az olyan gyógyszerrel történő kombinálás, amely szintén okozhat hyperkalaemiát (káliumtartalmú sópótló készítmények, káliummegtakarító diuretikumok, ACE-gátlók, angiotenzin II-receptor-antagonisták, nem-szteroid gyulladáscsökkentők (NSAID-ok, beleértve a szelektiv COX-2-gátlókat), heparin, immunszuppresszív szerek [ciklosporin vagy takrolimusz], valamint a trimetoprim).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hyperkalaemia kialakulása a társuló rizikótényezőktől függ. Fokozott a kockázat a fent említett kombinációs terápiák esetén. A kockázat különösen nagy káliummegtakarító diuretikummal vagy káliumot tartalmazó sópótló készítménnyel történő együttadás esetén. Ugyanakkor az egyidejű alkalmazás például ACE-gátlóval vagy nem-szteroid gyulladáscsökkentőkkel kisebb kockázatot jelent – amennyiben az alkalmazással kapcsolatos óvintézkedéseket szigorúan betartják.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Káliummegtakarító diuretikumok vagy káliumpótló készítmények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angiotenzin II-receptor-antagonisták, így a telmizartán is, mérséklik a diuretikumok okozta káliumvesztést. A káliummegtakarító diuretikumok (mint például a spironolakton, eplerenon, triamteren vagy az amilorid), a káliumpótló vagy káliumot tartalmazó sópótló készítmények jelentősen megemelhetik a szérumkáliumszintet. Ha az egyidejű alkalmazás dokumentált hypokalaemia miatt indokolt, csak kellő óvatossággal és a szérumkáliumszint gyakori ellenőrzése mellett alkalmazhatók.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szérum lítiumkoncentrációjának reverzíbilis emelkedéséről és toxicitásról számoltak be, amikor a lítiumot ACE-gátlókkal, illetve angiotenzin II-receptor-antagonistákkal (köztük telmizartánnal) egyidejűleg alkalmazták. Amennyiben ilyen kombináció alkalmazása szükséges, a szérumlítiumszint szoros ellenőrzése javasolt.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Nem-szteroid gyulladáscsökkentők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A nem-szteroid gyulladáscsökkentők (például a gyulladáscsökkentő dózisban alkalmazott acetilszalicilsav, a COX-2-gátlók és a nem szelektív NSAID-ok) csökkenthetik az angiotenzin II-receptor-antagonisták antihipertenzív hatását.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Néhány károsodott vesefunkciójú betegnél (például dehidrált betegeknél, vesekárosodásban szenvedő idős betegeknél) az angiotenzin II-receptor-antagonisták és ciklooxigenáz-gátlók egyidejű alkalmazása a vesefunkció további romlását, esetleg akut veseelégtelenséget okozhat, mely általában reverzibilis. Emiatt a kombináció csak kellő óvatossággal alkalmazható, különösen időseknél. A betegeket megfelelően hidrálni kell, illetve megfontolandó a vesefunkció ellenőrzése az egyidejű kezelés megkezdését követően, majd azután rendszeresen.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 vizsgálatban a telmizartán és a ramipril együttadása a ramipril és a ramiprilát AUC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>
        <w:rPr>
          <w:rFonts w:eastAsia="Times New Roman"/>
          <w:noProof/>
          <w:snapToGrid/>
          <w:szCs w:val="22"/>
          <w:lang w:val="hu-HU" w:eastAsia="en-US"/>
        </w:rPr>
        <w:t>- és 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 xml:space="preserve">max </w:t>
      </w:r>
      <w:r>
        <w:rPr>
          <w:rFonts w:eastAsia="Times New Roman"/>
          <w:noProof/>
          <w:snapToGrid/>
          <w:szCs w:val="22"/>
          <w:lang w:val="hu-HU" w:eastAsia="en-US"/>
        </w:rPr>
        <w:t>értékének 2,5-szeres növekedéséhez vezetett. A megfigyelés klinikai jelentősége nem ismert.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Diuretikumok (tiazidok és kacsdiuretikumok)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telmizartán-kezelés megkezdésekor az előzetes nagy dózisú diuretikus kezelés – mint például furoszemid- (kacsdiuretikum) és hidroklorotiazid- (tiazid diuretikum) kezelés – volumenvesztést, illetve esetlegesen hypotoniát okozhat.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alkalmazás, amelyet figyelembe kell venni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Egyéb vérnyomáscsökkentő szerek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 vérnyomáscsökkentő hatását más vérnyomáscsökkentő gyógyszerek egyidejű alkalmazása fokozhatja.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klinikai vizsgálati adatok azt mutatták, hogy a renin–angiotenzin–aldoszteron rendszer (RAAS) – ACE-gátlók, angiotenzin II-receptor-blokkolók vagy aliszkirén kombinációjával történő – kettős blokádja nagyobb gyakorisággal okoz mellékhatásokat, például hypotoniát, hyperkalaemiát vagy vesekárosodást (beleértve az akut veseelégtelenséget is), mint a csak egyféle RAAS-ra ható szer alkalmazása (lásd 4.3, 4.4 és 5.1 pont).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Farmakológiai tulajdonságaik alapján várható, hogy valamennyi típusú vérnyomáscsökkentő szer (köztük a telmizartán) antihipertenzív hatását fokozhatják a következő gyógyszerek: baklofén, amifosztin. Ezenkívül az alkohol, a barbiturátok, a narkotikumok, illetve az antidepresszánsok súlyosbíthatják az orthostaticus hypotoniát.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Kortikoszteroidok (szisztémás adagolás)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vérnyomáscsökkentő hatás csökken.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 indapamiddal összefüggő interakciók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Ahogy sómentes diéta esetén is (a lítium vizelettel történő csökkent kiválasztása miatt), megemelkedik a plazma lítiumkoncentrációja, ami túladagolási tünetekkel jár. Azonban – ha a diuretikus kezelés nem mellőzhető – szorosan ellenőrizni kell a plazma lítiumszintjét, és szükség szerint módosítani kell a dózist.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u w:val="single"/>
          <w:lang w:val="hu-HU" w:eastAsia="en-US"/>
        </w:rPr>
        <w:t>-t előidéző szerek (például, de nem kizárólag az alábbiak):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Ia. osztályba tartozó antiaritmiás szerek (pl. kinidin, hidrokinidin, dizopiramid);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III. osztályba tartozó antiaritmiás szerek (pl. amiodaron, szotalol, dofetilid, ibutilid, bretilium);</w:t>
      </w:r>
    </w:p>
    <w:p w:rsidR="006B4EEB" w:rsidRDefault="00BE302E">
      <w:pPr>
        <w:numPr>
          <w:ilvl w:val="0"/>
          <w:numId w:val="3"/>
        </w:numPr>
        <w:tabs>
          <w:tab w:val="clear" w:pos="397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néhány </w:t>
      </w:r>
      <w:proofErr w:type="spellStart"/>
      <w:r>
        <w:rPr>
          <w:szCs w:val="22"/>
          <w:lang w:val="hu-HU"/>
        </w:rPr>
        <w:t>antipszichotikum</w:t>
      </w:r>
      <w:proofErr w:type="spellEnd"/>
      <w:r>
        <w:rPr>
          <w:szCs w:val="22"/>
          <w:lang w:val="hu-HU"/>
        </w:rPr>
        <w:t>:</w:t>
      </w:r>
    </w:p>
    <w:p w:rsidR="006B4EEB" w:rsidRDefault="00BE302E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fenotiazinok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klórpromazin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ciamemazin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levomepromazin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tioridazin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trifluoperazin</w:t>
      </w:r>
      <w:proofErr w:type="spellEnd"/>
      <w:r>
        <w:rPr>
          <w:szCs w:val="22"/>
          <w:lang w:val="hu-HU"/>
        </w:rPr>
        <w:t xml:space="preserve">), </w:t>
      </w:r>
      <w:proofErr w:type="spellStart"/>
      <w:r>
        <w:rPr>
          <w:szCs w:val="22"/>
          <w:lang w:val="hu-HU"/>
        </w:rPr>
        <w:t>benzamidok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amiszulprid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szulpirid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szultoprid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tiaprid</w:t>
      </w:r>
      <w:proofErr w:type="spellEnd"/>
      <w:r>
        <w:rPr>
          <w:szCs w:val="22"/>
          <w:lang w:val="hu-HU"/>
        </w:rPr>
        <w:t>);</w:t>
      </w:r>
    </w:p>
    <w:p w:rsidR="006B4EEB" w:rsidRDefault="00BE302E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butirofenonok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doperidol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haloperidol</w:t>
      </w:r>
      <w:proofErr w:type="spellEnd"/>
      <w:r>
        <w:rPr>
          <w:szCs w:val="22"/>
          <w:lang w:val="hu-HU"/>
        </w:rPr>
        <w:t>);</w:t>
      </w:r>
    </w:p>
    <w:p w:rsidR="006B4EEB" w:rsidRDefault="00BE302E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egyéb </w:t>
      </w:r>
      <w:proofErr w:type="spellStart"/>
      <w:r>
        <w:rPr>
          <w:szCs w:val="22"/>
          <w:lang w:val="hu-HU"/>
        </w:rPr>
        <w:t>antipszichotikumok</w:t>
      </w:r>
      <w:proofErr w:type="spellEnd"/>
      <w:r>
        <w:rPr>
          <w:szCs w:val="22"/>
          <w:lang w:val="hu-HU"/>
        </w:rPr>
        <w:t xml:space="preserve"> (pl. pimozid);</w:t>
      </w:r>
    </w:p>
    <w:p w:rsidR="006B4EEB" w:rsidRDefault="00BE302E">
      <w:pPr>
        <w:numPr>
          <w:ilvl w:val="0"/>
          <w:numId w:val="3"/>
        </w:numPr>
        <w:tabs>
          <w:tab w:val="clear" w:pos="397"/>
          <w:tab w:val="clear" w:pos="567"/>
          <w:tab w:val="num" w:pos="709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egyéb hatóanyagok (pl. </w:t>
      </w:r>
      <w:proofErr w:type="spellStart"/>
      <w:r>
        <w:rPr>
          <w:szCs w:val="22"/>
          <w:lang w:val="hu-HU"/>
        </w:rPr>
        <w:t>bepridil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ciszaprid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difemanil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eritromicin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halofantrin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mizolasztin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pentamidin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sparfloxacin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moxifloxacin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vinkamin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metadon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asztemizol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terfenadin</w:t>
      </w:r>
      <w:proofErr w:type="spellEnd"/>
      <w:r>
        <w:rPr>
          <w:szCs w:val="22"/>
          <w:lang w:val="hu-HU"/>
        </w:rPr>
        <w:t>).</w:t>
      </w:r>
    </w:p>
    <w:p w:rsidR="006B4EEB" w:rsidRDefault="006B4EEB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Fokozott a ventricularis arrhythmiák, különösen a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kockázata (rizikófaktor a hypokalaemia).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kombinációs készítmény alkalmazásának megkezdése előtt ellenőrizni kell, hogy nem áll-e fenn hypokalaemia, és szükség esetén azt korrigálni kell. Szükséges a klinikai ellenőrzés; a plazma elektrolitszintjeit és az EKG-t monitorozni kell.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Olyan készítményeket kell adni, melyek hypokalaemia fennállása esetén sem okozhatnak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>-t.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Nem-szteroid gyulladáscsökkentők (szisztémás kezelés), beleértve a szelektív COX</w:t>
      </w:r>
      <w:r>
        <w:rPr>
          <w:szCs w:val="22"/>
          <w:u w:val="single"/>
          <w:lang w:val="hu-HU"/>
        </w:rPr>
        <w:noBreakHyphen/>
        <w:t xml:space="preserve">2-gátlókat és a nagy dózisú </w:t>
      </w:r>
      <w:proofErr w:type="spellStart"/>
      <w:r>
        <w:rPr>
          <w:szCs w:val="22"/>
          <w:u w:val="single"/>
          <w:lang w:val="hu-HU"/>
        </w:rPr>
        <w:t>acetilszalicilsavat</w:t>
      </w:r>
      <w:proofErr w:type="spellEnd"/>
      <w:r>
        <w:rPr>
          <w:szCs w:val="22"/>
          <w:u w:val="single"/>
          <w:lang w:val="hu-HU"/>
        </w:rPr>
        <w:t xml:space="preserve"> (3 g/nap)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vérnyomáscsökkentő hatása csökkenhet. Dehidrált betegeknél fennáll az akut veseelégtelenség kockázata (csökkent glomerulusfiltráció). A betegeket hidrálni és a kezelés kezdetén a veseműködést ellenőrizni kell.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Angiotenzinkonvertálóenzim- (ACE) gátlók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Eleve fennálló nátriumhiány esetén (különösen arteria renalis-stenosisban szenvedő betegeknél) az ACE-gátló-kezelés elkezdésekor fennáll a hirtelen vérnyomásesés és/vagy az akut veseelégtelenség kialakulásának kockázata.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Hypertoniában, amikor a korábbi diuretikus kezelés okozhatott nátriumhiányt, a következőket szükséges tenni:</w:t>
      </w:r>
    </w:p>
    <w:p w:rsidR="006B4EEB" w:rsidRDefault="00BE302E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ACE-gátló-kezelés megkezdése előtt 3 nappal abba kell hagyni a diuretikum adását, majd – amennyiben szükséges – újra lehet kezdeni egy káliumürítő diuretikum adását;</w:t>
      </w:r>
    </w:p>
    <w:p w:rsidR="006B4EEB" w:rsidRDefault="00BE302E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ACE-gátlót kis kezdő dózisban kell adni, és a dózist fokozatosan kell növelni.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Pangásos szívelégtelenség esetén rendkívül kis dózissal kell elkezdeni az ACE-gátló-kezelést, lehetőség szerint a káliumürítő diuretikum dózisának csökkentése után.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Minden esetben monitorozni kell a veseműködést (a plazma kreatininszintjét) az ACE-gátló-kezelés első néhány hetében.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Hypokalaemiát okozó egyéb készítmények: amfotericin B (iv.), glüko- és mineralokortikoidok (szisztémás kezelés), tetrakozaktid, bélfalizgató hatású hashajtók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hypokalaemia kialakulásának kockázata (additív hatás).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plazma káliumszintjét ellenőrizni és szükség esetén korrigálni kell. Erre különösen oda kell figyelni egyidejű digitáliszkezelés esetén. Nem bélfalizgató hatású hashajtót kell alkalmazni.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Baklofén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vérnyomáscsökkentő hatás.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beteg folyadékpótlását biztosítani, a veseműködést a kezelés kezdetén ellenőrizni kell.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Digitáliszkészítmények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 xml:space="preserve"> és/vagy </w:t>
      </w:r>
      <w:proofErr w:type="spellStart"/>
      <w:r>
        <w:rPr>
          <w:szCs w:val="22"/>
          <w:lang w:val="hu-HU"/>
        </w:rPr>
        <w:t>hypomagnesaemia</w:t>
      </w:r>
      <w:proofErr w:type="spellEnd"/>
      <w:r>
        <w:rPr>
          <w:szCs w:val="22"/>
          <w:lang w:val="hu-HU"/>
        </w:rPr>
        <w:t xml:space="preserve"> hajlamosít a digitálisztoxicitás kialakulására. Ellenőrizni kell a plazma kálium- és magnéziumszintjét, valamint az EKG-t, és szükség szerint módosítani kell a kezelést.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Különös odafigyelést igénylő kombinációk</w:t>
      </w:r>
    </w:p>
    <w:p w:rsidR="006B4EEB" w:rsidRDefault="006B4EEB">
      <w:pPr>
        <w:rPr>
          <w:b/>
          <w:i/>
          <w:iCs/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Allopurinol</w:t>
      </w:r>
      <w:proofErr w:type="spellEnd"/>
    </w:p>
    <w:p w:rsidR="006B4EEB" w:rsidRDefault="00BE302E">
      <w:pPr>
        <w:rPr>
          <w:iCs/>
          <w:szCs w:val="22"/>
          <w:lang w:val="hu-HU"/>
        </w:rPr>
      </w:pPr>
      <w:proofErr w:type="spellStart"/>
      <w:r>
        <w:rPr>
          <w:iCs/>
          <w:szCs w:val="22"/>
          <w:lang w:val="hu-HU"/>
        </w:rPr>
        <w:t>Indapamiddal</w:t>
      </w:r>
      <w:proofErr w:type="spellEnd"/>
      <w:r>
        <w:rPr>
          <w:iCs/>
          <w:szCs w:val="22"/>
          <w:lang w:val="hu-HU"/>
        </w:rPr>
        <w:t xml:space="preserve"> való együttes alkalmazás növelheti az </w:t>
      </w:r>
      <w:proofErr w:type="spellStart"/>
      <w:r>
        <w:rPr>
          <w:iCs/>
          <w:szCs w:val="22"/>
          <w:lang w:val="hu-HU"/>
        </w:rPr>
        <w:t>allopurinol</w:t>
      </w:r>
      <w:proofErr w:type="spellEnd"/>
      <w:r>
        <w:rPr>
          <w:iCs/>
          <w:szCs w:val="22"/>
          <w:lang w:val="hu-HU"/>
        </w:rPr>
        <w:t xml:space="preserve"> kiváltotta túlérzékenységi reakciók </w:t>
      </w:r>
      <w:proofErr w:type="spellStart"/>
      <w:r>
        <w:rPr>
          <w:iCs/>
          <w:szCs w:val="22"/>
          <w:lang w:val="hu-HU"/>
        </w:rPr>
        <w:t>incidenciáját</w:t>
      </w:r>
      <w:proofErr w:type="spellEnd"/>
      <w:r>
        <w:rPr>
          <w:iCs/>
          <w:szCs w:val="22"/>
          <w:lang w:val="hu-HU"/>
        </w:rPr>
        <w:t>.</w:t>
      </w:r>
    </w:p>
    <w:p w:rsidR="006B4EEB" w:rsidRDefault="006B4EEB">
      <w:pPr>
        <w:rPr>
          <w:iCs/>
          <w:szCs w:val="22"/>
          <w:lang w:val="hu-HU"/>
        </w:rPr>
      </w:pPr>
    </w:p>
    <w:p w:rsidR="006B4EEB" w:rsidRDefault="00BE302E">
      <w:pPr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Mérlegelést igénylő kombinációk</w:t>
      </w:r>
    </w:p>
    <w:p w:rsidR="006B4EEB" w:rsidRDefault="006B4EEB">
      <w:pPr>
        <w:rPr>
          <w:iCs/>
          <w:szCs w:val="22"/>
          <w:lang w:val="hu-HU"/>
        </w:rPr>
      </w:pPr>
    </w:p>
    <w:p w:rsidR="006B4EEB" w:rsidRDefault="00BE302E">
      <w:pPr>
        <w:rPr>
          <w:iCs/>
          <w:szCs w:val="22"/>
          <w:u w:val="single"/>
          <w:lang w:val="hu-HU"/>
        </w:rPr>
      </w:pPr>
      <w:r>
        <w:rPr>
          <w:iCs/>
          <w:szCs w:val="22"/>
          <w:u w:val="single"/>
          <w:lang w:val="hu-HU"/>
        </w:rPr>
        <w:t xml:space="preserve">Káliummegtakarító </w:t>
      </w:r>
      <w:proofErr w:type="spellStart"/>
      <w:r>
        <w:rPr>
          <w:iCs/>
          <w:szCs w:val="22"/>
          <w:u w:val="single"/>
          <w:lang w:val="hu-HU"/>
        </w:rPr>
        <w:t>diuretikumok</w:t>
      </w:r>
      <w:proofErr w:type="spellEnd"/>
      <w:r>
        <w:rPr>
          <w:iCs/>
          <w:szCs w:val="22"/>
          <w:u w:val="single"/>
          <w:lang w:val="hu-HU"/>
        </w:rPr>
        <w:t xml:space="preserve"> (</w:t>
      </w:r>
      <w:proofErr w:type="spellStart"/>
      <w:r>
        <w:rPr>
          <w:iCs/>
          <w:szCs w:val="22"/>
          <w:u w:val="single"/>
          <w:lang w:val="hu-HU"/>
        </w:rPr>
        <w:t>amilorid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spironolakton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triamteren</w:t>
      </w:r>
      <w:proofErr w:type="spellEnd"/>
      <w:r>
        <w:rPr>
          <w:iCs/>
          <w:szCs w:val="22"/>
          <w:u w:val="single"/>
          <w:lang w:val="hu-HU"/>
        </w:rPr>
        <w:t>)</w:t>
      </w:r>
    </w:p>
    <w:p w:rsidR="006B4EEB" w:rsidRDefault="00BE302E">
      <w:pPr>
        <w:rPr>
          <w:iCs/>
          <w:szCs w:val="22"/>
          <w:lang w:val="hu-HU"/>
        </w:rPr>
      </w:pPr>
      <w:r>
        <w:rPr>
          <w:iCs/>
          <w:szCs w:val="22"/>
          <w:lang w:val="hu-HU"/>
        </w:rPr>
        <w:lastRenderedPageBreak/>
        <w:t xml:space="preserve">Bár a racionális kombinációk egyes betegek számára előnyösek,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vagy </w:t>
      </w:r>
      <w:proofErr w:type="spellStart"/>
      <w:r>
        <w:rPr>
          <w:iCs/>
          <w:szCs w:val="22"/>
          <w:lang w:val="hu-HU"/>
        </w:rPr>
        <w:t>hyperkalaemia</w:t>
      </w:r>
      <w:proofErr w:type="spellEnd"/>
      <w:r>
        <w:rPr>
          <w:iCs/>
          <w:szCs w:val="22"/>
          <w:lang w:val="hu-HU"/>
        </w:rPr>
        <w:t xml:space="preserve"> (különösen a veseelégtelenségben vagy diabetesben szenvedő betegeknél) mégis előfordulhat. </w:t>
      </w:r>
      <w:proofErr w:type="spellStart"/>
      <w:r>
        <w:rPr>
          <w:iCs/>
          <w:szCs w:val="22"/>
          <w:lang w:val="hu-HU"/>
        </w:rPr>
        <w:t>Monitorozni</w:t>
      </w:r>
      <w:proofErr w:type="spellEnd"/>
      <w:r>
        <w:rPr>
          <w:iCs/>
          <w:szCs w:val="22"/>
          <w:lang w:val="hu-HU"/>
        </w:rPr>
        <w:t xml:space="preserve"> kell a plazma káliumszintjét és az EKG-t, és szükség szerint felül kell vizsgálni a kezelést.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Metformin</w:t>
      </w:r>
      <w:proofErr w:type="spellEnd"/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Fokozott a </w:t>
      </w:r>
      <w:proofErr w:type="spellStart"/>
      <w:r>
        <w:rPr>
          <w:szCs w:val="22"/>
          <w:lang w:val="hu-HU"/>
        </w:rPr>
        <w:t>metformin</w:t>
      </w:r>
      <w:proofErr w:type="spellEnd"/>
      <w:r>
        <w:rPr>
          <w:szCs w:val="22"/>
          <w:lang w:val="hu-HU"/>
        </w:rPr>
        <w:t xml:space="preserve"> okozta </w:t>
      </w:r>
      <w:proofErr w:type="spellStart"/>
      <w:r>
        <w:rPr>
          <w:szCs w:val="22"/>
          <w:lang w:val="hu-HU"/>
        </w:rPr>
        <w:t>laktátacidózis</w:t>
      </w:r>
      <w:proofErr w:type="spellEnd"/>
      <w:r>
        <w:rPr>
          <w:szCs w:val="22"/>
          <w:lang w:val="hu-HU"/>
        </w:rPr>
        <w:t xml:space="preserve"> kockázata a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– és még valószínűbben a </w:t>
      </w:r>
      <w:proofErr w:type="spellStart"/>
      <w:r>
        <w:rPr>
          <w:szCs w:val="22"/>
          <w:lang w:val="hu-HU"/>
        </w:rPr>
        <w:t>kacsdiuretikumok</w:t>
      </w:r>
      <w:proofErr w:type="spellEnd"/>
      <w:r>
        <w:rPr>
          <w:szCs w:val="22"/>
          <w:lang w:val="hu-HU"/>
        </w:rPr>
        <w:t xml:space="preserve"> – alkalmazásához esetlegesen társuló funkcionális veseelégtelenség miatt. Ne alkalmazzon </w:t>
      </w:r>
      <w:proofErr w:type="spellStart"/>
      <w:r>
        <w:rPr>
          <w:szCs w:val="22"/>
          <w:lang w:val="hu-HU"/>
        </w:rPr>
        <w:t>metformint</w:t>
      </w:r>
      <w:proofErr w:type="spellEnd"/>
      <w:r>
        <w:rPr>
          <w:szCs w:val="22"/>
          <w:lang w:val="hu-HU"/>
        </w:rPr>
        <w:t>, ha a plazmakreatinin-szint férfiak esetén 15 mg/l (135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/l), nők esetén 12 mg/l (110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 felett van.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Jódozott kontrasztanyagok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okozta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 esetén fokozott az akut veseelégtelenség kialakulásának kockázata, különösen akkor, ha nagy dózisú jódozott kontrasztanyagot alkalmaznak.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jódtartalmú</w:t>
      </w:r>
      <w:proofErr w:type="spellEnd"/>
      <w:r>
        <w:rPr>
          <w:szCs w:val="22"/>
          <w:lang w:val="hu-HU"/>
        </w:rPr>
        <w:t xml:space="preserve"> készítmény beadása előtt </w:t>
      </w:r>
      <w:proofErr w:type="spellStart"/>
      <w:r>
        <w:rPr>
          <w:szCs w:val="22"/>
          <w:lang w:val="hu-HU"/>
        </w:rPr>
        <w:t>rehidráció</w:t>
      </w:r>
      <w:proofErr w:type="spellEnd"/>
      <w:r>
        <w:rPr>
          <w:szCs w:val="22"/>
          <w:lang w:val="hu-HU"/>
        </w:rPr>
        <w:t xml:space="preserve"> szükséges.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Imipramin</w:t>
      </w:r>
      <w:proofErr w:type="spellEnd"/>
      <w:r>
        <w:rPr>
          <w:szCs w:val="22"/>
          <w:u w:val="single"/>
          <w:lang w:val="hu-HU"/>
        </w:rPr>
        <w:t xml:space="preserve">-szerű antidepresszánsok, </w:t>
      </w:r>
      <w:proofErr w:type="spellStart"/>
      <w:r>
        <w:rPr>
          <w:szCs w:val="22"/>
          <w:u w:val="single"/>
          <w:lang w:val="hu-HU"/>
        </w:rPr>
        <w:t>neuroleptikumok</w:t>
      </w:r>
      <w:proofErr w:type="spellEnd"/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Vérnyomáscsökkentő hatás jelentkezhet, és az </w:t>
      </w:r>
      <w:proofErr w:type="spellStart"/>
      <w:r>
        <w:rPr>
          <w:szCs w:val="22"/>
          <w:lang w:val="hu-HU"/>
        </w:rPr>
        <w:t>orthostaticus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kockázata állhat fenn (additív hatás).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Kalcium (sók)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vizelettel történő kalciumürítés csökkenése miatt fokozódik a </w:t>
      </w:r>
      <w:proofErr w:type="spellStart"/>
      <w:r>
        <w:rPr>
          <w:szCs w:val="22"/>
          <w:lang w:val="hu-HU"/>
        </w:rPr>
        <w:t>hypercalcaemia</w:t>
      </w:r>
      <w:proofErr w:type="spellEnd"/>
      <w:r>
        <w:rPr>
          <w:szCs w:val="22"/>
          <w:lang w:val="hu-HU"/>
        </w:rPr>
        <w:t xml:space="preserve"> kialakulásának kockázata.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Ciklosporin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takrolimusz</w:t>
      </w:r>
      <w:proofErr w:type="spellEnd"/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Még folyadék-/nátriumhiány fennállása nélkül is – a keringő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szintjének bármiféle változása nélkül – fennáll a plazmakreatinin-szint növekedésének kockázata.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Kortikoszteroidok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tetrakozaktid</w:t>
      </w:r>
      <w:proofErr w:type="spellEnd"/>
      <w:r>
        <w:rPr>
          <w:szCs w:val="22"/>
          <w:u w:val="single"/>
          <w:lang w:val="hu-HU"/>
        </w:rPr>
        <w:t xml:space="preserve"> (szisztémás kezelés)</w:t>
      </w:r>
    </w:p>
    <w:p w:rsidR="006B4EEB" w:rsidRDefault="00BE302E">
      <w:pPr>
        <w:rPr>
          <w:szCs w:val="22"/>
          <w:lang w:val="hu-HU"/>
        </w:rPr>
      </w:pPr>
      <w:r>
        <w:rPr>
          <w:szCs w:val="22"/>
          <w:lang w:val="hu-HU"/>
        </w:rPr>
        <w:t xml:space="preserve">A vérnyomáscsökkentő hatás csökken (víz és nátriumretenció a </w:t>
      </w:r>
      <w:proofErr w:type="spellStart"/>
      <w:r>
        <w:rPr>
          <w:szCs w:val="22"/>
          <w:lang w:val="hu-HU"/>
        </w:rPr>
        <w:t>kortikoszteroid</w:t>
      </w:r>
      <w:proofErr w:type="spellEnd"/>
      <w:r>
        <w:rPr>
          <w:szCs w:val="22"/>
          <w:lang w:val="hu-HU"/>
        </w:rPr>
        <w:t>-hatás következtében).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:rsidR="006B4EEB" w:rsidRDefault="006B4EEB">
      <w:pPr>
        <w:spacing w:line="240" w:lineRule="auto"/>
        <w:rPr>
          <w:i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nem javasolt a terhesség első trimeszterében (lásd 4.4 pont). 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ellenjavallt a terhesség második és harmadik trimeszterében (lásd 4.3 és 4.4 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terhes nőknél történő alkalmazásáról nincsenek megfelelő adatok. Az állatokkal végzett vizsgálatok reprodukciós toxicitást igazoltak (lásd 5.3 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terhesség első harmada alatti ACE-gátló-expozíciót követő </w:t>
      </w:r>
      <w:proofErr w:type="spellStart"/>
      <w:r>
        <w:rPr>
          <w:lang w:val="hu-HU"/>
        </w:rPr>
        <w:t>teratogenitási</w:t>
      </w:r>
      <w:proofErr w:type="spellEnd"/>
      <w:r>
        <w:rPr>
          <w:lang w:val="hu-HU"/>
        </w:rPr>
        <w:t xml:space="preserve"> kockázatra vonatkozó epidemiológiai bizonyíték nem volt meggyőző, a kockázat kismértékű növekedése azonban nem zárható ki. Mivel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(AT-II) 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alkalmazásával járó kockázatra vonatkozóan nem állnak rendelkezésre kontrollált epidemiológiai adatok, hasonló kockázattal lehet számolni </w:t>
      </w:r>
      <w:proofErr w:type="gramStart"/>
      <w:r>
        <w:rPr>
          <w:lang w:val="hu-HU"/>
        </w:rPr>
        <w:t>ezen</w:t>
      </w:r>
      <w:proofErr w:type="gramEnd"/>
      <w:r>
        <w:rPr>
          <w:lang w:val="hu-HU"/>
        </w:rPr>
        <w:t xml:space="preserve"> gyógyszercsoport esetén is. Hacsak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-receptor-blokkolóval történő kezelés folytatása nem elengedhetetlen, a terhességet tervező betegeket olyan más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a terhesség alatti alkalmazásra vonatkozó biztonságossági profilja megalapozott. Terhesség megállapítását követően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 szedését azonnal abba kell hagyni és amennyiben lehetséges, terápiás alternatíva alkalmazását kell elkezdeni.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-kezelés a terhesség második és harmadik harmadában ismerten magzati toxicitást (csökkent vesefunkció, </w:t>
      </w:r>
      <w:proofErr w:type="spellStart"/>
      <w:r>
        <w:rPr>
          <w:lang w:val="hu-HU"/>
        </w:rPr>
        <w:t>oligohydramnion</w:t>
      </w:r>
      <w:proofErr w:type="spellEnd"/>
      <w:r>
        <w:rPr>
          <w:lang w:val="hu-HU"/>
        </w:rPr>
        <w:t xml:space="preserve">, a koponyacsontosodás retardációja) és újszülöttkori toxicitást (veseelégtelenség,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>) okoz. (lásd 5.3 pont).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lastRenderedPageBreak/>
        <w:t>Amennyiben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>-expozíció a terhesség második trimeszterétől kezdve történt, a vesefunkció és a koponya ultrahangvizsgálata javasolt.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Ha az anya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antagonistát</w:t>
      </w:r>
      <w:proofErr w:type="spellEnd"/>
      <w:r>
        <w:rPr>
          <w:lang w:val="hu-HU"/>
        </w:rPr>
        <w:t xml:space="preserve"> szedett, a csecsemőt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szempontjából szoros megfigyelés alatt kell tartani (lásd 4.3 és 4.4 pont).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szCs w:val="22"/>
          <w:lang w:val="pt-PT"/>
        </w:rPr>
        <w:t>A</w:t>
      </w:r>
      <w:r>
        <w:rPr>
          <w:iCs/>
          <w:szCs w:val="22"/>
          <w:lang w:val="fi-FI"/>
        </w:rPr>
        <w:t>z indapamid</w:t>
      </w:r>
      <w:r>
        <w:rPr>
          <w:szCs w:val="22"/>
          <w:lang w:val="fi-FI"/>
        </w:rPr>
        <w:t xml:space="preserve"> terhes nőknél történő alkalmazásáról nincsenek adatok, vagy korlátozott mennyiségű </w:t>
      </w:r>
      <w:r>
        <w:rPr>
          <w:lang w:val="hu-HU"/>
        </w:rPr>
        <w:t xml:space="preserve">(kevesebb mint 300 terhességből származó) adat áll rendelkezésre. A terhesség harmadik trimesztere alatti, hosszan tartó </w:t>
      </w:r>
      <w:proofErr w:type="spellStart"/>
      <w:r>
        <w:rPr>
          <w:lang w:val="hu-HU"/>
        </w:rPr>
        <w:t>tiazidexpozíció</w:t>
      </w:r>
      <w:proofErr w:type="spellEnd"/>
      <w:r>
        <w:rPr>
          <w:lang w:val="hu-HU"/>
        </w:rPr>
        <w:t xml:space="preserve"> csökkentheti az anyai plazmavolument és az </w:t>
      </w:r>
      <w:proofErr w:type="spellStart"/>
      <w:r>
        <w:rPr>
          <w:lang w:val="hu-HU"/>
        </w:rPr>
        <w:t>uteroplacentaris</w:t>
      </w:r>
      <w:proofErr w:type="spellEnd"/>
      <w:r>
        <w:rPr>
          <w:lang w:val="hu-HU"/>
        </w:rPr>
        <w:t xml:space="preserve"> véráramlást, ami </w:t>
      </w:r>
      <w:proofErr w:type="spellStart"/>
      <w:r>
        <w:rPr>
          <w:lang w:val="hu-HU"/>
        </w:rPr>
        <w:t>foetoplacentaris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ischaemiát</w:t>
      </w:r>
      <w:proofErr w:type="spellEnd"/>
      <w:r>
        <w:rPr>
          <w:lang w:val="hu-HU"/>
        </w:rPr>
        <w:t xml:space="preserve"> válthat ki, és a magzat </w:t>
      </w:r>
      <w:proofErr w:type="spellStart"/>
      <w:r>
        <w:rPr>
          <w:lang w:val="hu-HU"/>
        </w:rPr>
        <w:t>növekedésbeli</w:t>
      </w:r>
      <w:proofErr w:type="spellEnd"/>
      <w:r>
        <w:rPr>
          <w:lang w:val="hu-HU"/>
        </w:rPr>
        <w:t xml:space="preserve"> elmaradását idézheti elő.</w:t>
      </w:r>
    </w:p>
    <w:p w:rsidR="006B4EEB" w:rsidRDefault="00BE302E">
      <w:pPr>
        <w:rPr>
          <w:szCs w:val="22"/>
          <w:lang w:val="fi-FI"/>
        </w:rPr>
      </w:pPr>
      <w:r>
        <w:rPr>
          <w:szCs w:val="22"/>
          <w:lang w:val="fi-FI"/>
        </w:rPr>
        <w:t>Állatokkal végzett vizsgálatok nem igazoltak közvetlen vagy közvetett káros hatásokat a reprodukciós toxicitás tekintetében (lásd 5.3 pont).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elővigyázatosságból kerülendő a terhesség alatt.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6B4EEB" w:rsidRDefault="00BE302E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iCs/>
          <w:szCs w:val="22"/>
          <w:lang w:val="hu-HU"/>
        </w:rPr>
        <w:t>Telmisartan</w:t>
      </w:r>
      <w:proofErr w:type="spellEnd"/>
      <w:r>
        <w:rPr>
          <w:iCs/>
          <w:szCs w:val="22"/>
          <w:lang w:val="hu-HU"/>
        </w:rPr>
        <w:t>/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Krka</w:t>
      </w:r>
      <w:proofErr w:type="spellEnd"/>
      <w:r>
        <w:rPr>
          <w:iCs/>
          <w:szCs w:val="22"/>
          <w:lang w:val="hu-HU"/>
        </w:rPr>
        <w:t xml:space="preserve"> alkalmazása nem ajánlott a szoptatás időszakában.</w:t>
      </w:r>
    </w:p>
    <w:p w:rsidR="006B4EEB" w:rsidRDefault="006B4EEB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6B4EEB" w:rsidRDefault="00BE302E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Mivel nincsenek rendelkezésre álló adatok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szoptatás időszakában történő alkalmazásáról,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szedése nem javasolt, és – különösen, ha és amíg a nő újszülöttet vagy koraszülöttet szoptat – olyan terápiás alternatívát kell előnyben részesíteni, amelynél a szoptatás alatti alkalmazásra vonatkozó biztonságossági profil jobban ismert.</w:t>
      </w:r>
    </w:p>
    <w:p w:rsidR="006B4EEB" w:rsidRDefault="006B4EEB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6B4EEB" w:rsidRDefault="00BE302E">
      <w:pPr>
        <w:rPr>
          <w:szCs w:val="22"/>
          <w:lang w:val="fi-FI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és </w:t>
      </w:r>
      <w:proofErr w:type="spellStart"/>
      <w:r>
        <w:rPr>
          <w:iCs/>
          <w:szCs w:val="22"/>
          <w:lang w:val="hu-HU"/>
        </w:rPr>
        <w:t>metabolitjainak</w:t>
      </w:r>
      <w:proofErr w:type="spellEnd"/>
      <w:r>
        <w:rPr>
          <w:iCs/>
          <w:szCs w:val="22"/>
          <w:lang w:val="hu-HU"/>
        </w:rPr>
        <w:t xml:space="preserve"> humán anyatejbe történő kiválasztódásával kapcsolatban nem áll rendelkezésre elegendő mennyiségű információ.</w:t>
      </w:r>
      <w:r>
        <w:rPr>
          <w:szCs w:val="22"/>
          <w:lang w:val="fi-FI"/>
        </w:rPr>
        <w:t xml:space="preserve"> </w:t>
      </w:r>
      <w:r>
        <w:rPr>
          <w:iCs/>
          <w:szCs w:val="22"/>
          <w:lang w:val="hu-HU"/>
        </w:rPr>
        <w:t xml:space="preserve">Szulfonamid-származékokkal szembeni túlérzékenység és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is kialakulhat. Az újszülött/csecsemő vonatkozásában a kockázatot nem lehet kizárni.</w:t>
      </w:r>
    </w:p>
    <w:p w:rsidR="006B4EEB" w:rsidRDefault="00BE302E">
      <w:pPr>
        <w:autoSpaceDE w:val="0"/>
        <w:autoSpaceDN w:val="0"/>
        <w:adjustRightInd w:val="0"/>
        <w:rPr>
          <w:lang w:val="hu-HU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diuretikumokkal</w:t>
      </w:r>
      <w:proofErr w:type="spellEnd"/>
      <w:r>
        <w:rPr>
          <w:iCs/>
          <w:szCs w:val="22"/>
          <w:lang w:val="hu-HU"/>
        </w:rPr>
        <w:t xml:space="preserve"> szoros rokonságban álló vegyület.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</w:t>
      </w:r>
      <w:proofErr w:type="spellEnd"/>
      <w:r>
        <w:rPr>
          <w:iCs/>
          <w:szCs w:val="22"/>
          <w:lang w:val="hu-HU"/>
        </w:rPr>
        <w:t xml:space="preserve"> szoptatás alatti alkalmazásával összefüggő hatás a laktáció csökkenése, esetleg megszűnése.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esetében nem figyeltek meg női és férfi termékenységre kifejtett hatást a </w:t>
      </w:r>
      <w:proofErr w:type="spellStart"/>
      <w:r>
        <w:rPr>
          <w:lang w:val="hu-HU"/>
        </w:rPr>
        <w:t>preklinikai</w:t>
      </w:r>
      <w:proofErr w:type="spellEnd"/>
      <w:r>
        <w:rPr>
          <w:lang w:val="hu-HU"/>
        </w:rPr>
        <w:t xml:space="preserve"> vizsgálatok során.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indapamaidra</w:t>
      </w:r>
      <w:proofErr w:type="spellEnd"/>
      <w:r>
        <w:rPr>
          <w:lang w:val="hu-HU"/>
        </w:rPr>
        <w:t xml:space="preserve"> vonatkozóan a nőstény és hím patkányokkal végzett reproduktív toxicitási vizsgálatok nem igazoltak termékenységre gyakorolt hatást (lásd 5.3 pont). Humán termékenységre gyakorolt hatás nem várható.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:rsidR="006B4EEB" w:rsidRDefault="006B4EEB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 alkalmazása a vérnyomáscsökkenéssel kapcsolatos, egyénileg eltérő reakciókat okozhat, különösen a kezelés kezdetén. Ezért a gépjárművezetéskor vagy gépek kezelésekor figyelembe kell venni, hogy szédülés vagy fáradtság előfordulhat.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A biztonságossági profil összefoglalása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Telmizartán</w:t>
      </w: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súlyos mellékhatások között szerepel a ritkán (≥1/10 000 – &lt;1/1000) előforduló </w:t>
      </w:r>
      <w:proofErr w:type="spellStart"/>
      <w:r>
        <w:rPr>
          <w:iCs/>
          <w:lang w:val="hu-HU"/>
        </w:rPr>
        <w:t>anaphylaxiás</w:t>
      </w:r>
      <w:proofErr w:type="spellEnd"/>
      <w:r>
        <w:rPr>
          <w:iCs/>
          <w:lang w:val="hu-HU"/>
        </w:rPr>
        <w:t xml:space="preserve"> reakció és az </w:t>
      </w:r>
      <w:proofErr w:type="spellStart"/>
      <w:r>
        <w:rPr>
          <w:iCs/>
          <w:lang w:val="hu-HU"/>
        </w:rPr>
        <w:t>angiooedema</w:t>
      </w:r>
      <w:proofErr w:type="spellEnd"/>
      <w:r>
        <w:rPr>
          <w:iCs/>
          <w:lang w:val="hu-HU"/>
        </w:rPr>
        <w:t>, valamint az akut veseelégtelenség.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betegeknél a kontrollos vizsgálatokban a nemkívánatos események teljes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általában hasonló volt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(41,4%) és a </w:t>
      </w:r>
      <w:proofErr w:type="spellStart"/>
      <w:r>
        <w:rPr>
          <w:iCs/>
          <w:lang w:val="hu-HU"/>
        </w:rPr>
        <w:t>placebóval</w:t>
      </w:r>
      <w:proofErr w:type="spellEnd"/>
      <w:r>
        <w:rPr>
          <w:iCs/>
          <w:lang w:val="hu-HU"/>
        </w:rPr>
        <w:t xml:space="preserve"> (43,9%) kezelt csoportban. A mellékhatások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független volt az alkalmazott dózis nagyságától, valamint a betegek nemétől, életkorától és </w:t>
      </w:r>
      <w:proofErr w:type="spellStart"/>
      <w:r>
        <w:rPr>
          <w:iCs/>
          <w:lang w:val="hu-HU"/>
        </w:rPr>
        <w:t>rasszbeli</w:t>
      </w:r>
      <w:proofErr w:type="spellEnd"/>
      <w:r>
        <w:rPr>
          <w:iCs/>
          <w:lang w:val="hu-HU"/>
        </w:rPr>
        <w:t xml:space="preserve"> sajátosságaitól is.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</w:t>
      </w:r>
      <w:r>
        <w:rPr>
          <w:iCs/>
          <w:lang w:val="hu-HU"/>
        </w:rPr>
        <w:lastRenderedPageBreak/>
        <w:t xml:space="preserve">érdekében kezelt betegeknél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biztonságossági profilja megegyezett a </w:t>
      </w:r>
      <w:proofErr w:type="spellStart"/>
      <w:r>
        <w:rPr>
          <w:iCs/>
          <w:lang w:val="hu-HU"/>
        </w:rPr>
        <w:t>hypertoniás</w:t>
      </w:r>
      <w:proofErr w:type="spellEnd"/>
      <w:r>
        <w:rPr>
          <w:iCs/>
          <w:lang w:val="hu-HU"/>
        </w:rPr>
        <w:t xml:space="preserve"> betegek esetében </w:t>
      </w:r>
      <w:proofErr w:type="spellStart"/>
      <w:r>
        <w:rPr>
          <w:iCs/>
          <w:lang w:val="hu-HU"/>
        </w:rPr>
        <w:t>észlelttel</w:t>
      </w:r>
      <w:proofErr w:type="spellEnd"/>
      <w:r>
        <w:rPr>
          <w:iCs/>
          <w:lang w:val="hu-HU"/>
        </w:rPr>
        <w:t>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következőkben felsorolt mellékhatások 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 kontrollos klinikai vizsgálataiból és a forgalomba hozatalt követő jelentésekből származnak. A felsorolás figyelembe veszi azokat a súlyos mellékhatásokat és a kezelés megszakításához vezető mellékhatásokat is, amelyek három hosszú távú klinikai vizsgálatból származnak: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érdekében összesen 21 642 beteget kezeltek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>, akár 6 éven át.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/>
          <w:lang w:val="hu-HU"/>
        </w:rPr>
      </w:pPr>
      <w:proofErr w:type="spellStart"/>
      <w:r>
        <w:rPr>
          <w:i/>
          <w:lang w:val="hu-HU"/>
        </w:rPr>
        <w:t>Indapamid</w:t>
      </w:r>
      <w:proofErr w:type="spellEnd"/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leggyakrabban jelentett mellékhatások a </w:t>
      </w:r>
      <w:proofErr w:type="spellStart"/>
      <w:r>
        <w:rPr>
          <w:iCs/>
          <w:lang w:val="hu-HU"/>
        </w:rPr>
        <w:t>hypokalaemia</w:t>
      </w:r>
      <w:proofErr w:type="spellEnd"/>
      <w:r>
        <w:rPr>
          <w:iCs/>
          <w:lang w:val="hu-HU"/>
        </w:rPr>
        <w:t xml:space="preserve">, az elsősorban dermatológiai túlérzékenységi reakciók az allergiás és asztmatikus reakciókra hajlamos egyéneknél és a </w:t>
      </w:r>
      <w:proofErr w:type="spellStart"/>
      <w:r>
        <w:rPr>
          <w:iCs/>
          <w:lang w:val="hu-HU"/>
        </w:rPr>
        <w:t>maculopapulosus</w:t>
      </w:r>
      <w:proofErr w:type="spellEnd"/>
      <w:r>
        <w:rPr>
          <w:iCs/>
          <w:lang w:val="hu-HU"/>
        </w:rPr>
        <w:t xml:space="preserve"> kiütések.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A mellékhatások táblázatos összefoglalása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 mellékhatásokat gyakoriság szerint, a következő egyezményes módon osztályoztuk: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1/10),</w:t>
      </w: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 – &lt;1/10),</w:t>
      </w: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1/1000 – &lt;1/100),</w:t>
      </w: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1/10 000 – &lt;1/1000),</w:t>
      </w: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ritka (&lt;1/10 000),</w:t>
      </w:r>
    </w:p>
    <w:p w:rsidR="006B4EEB" w:rsidRDefault="00BE302E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ismert (a gyakoriság a rendelkezésre álló adatokból nem állapítható meg).</w:t>
      </w:r>
    </w:p>
    <w:p w:rsidR="006B4EEB" w:rsidRDefault="006B4EEB">
      <w:pPr>
        <w:spacing w:line="240" w:lineRule="auto"/>
        <w:rPr>
          <w:iCs/>
          <w:lang w:val="hu-H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39"/>
        <w:gridCol w:w="3403"/>
        <w:gridCol w:w="1810"/>
        <w:gridCol w:w="1809"/>
      </w:tblGrid>
      <w:tr w:rsidR="006B4EEB">
        <w:trPr>
          <w:trHeight w:val="70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bookmarkStart w:id="2" w:name="_Hlk170898732"/>
            <w:proofErr w:type="spellStart"/>
            <w:r>
              <w:rPr>
                <w:b/>
                <w:szCs w:val="22"/>
                <w:lang w:val="hu-HU"/>
              </w:rPr>
              <w:t>MedDRA</w:t>
            </w:r>
            <w:proofErr w:type="spellEnd"/>
            <w:r>
              <w:rPr>
                <w:b/>
                <w:szCs w:val="22"/>
                <w:lang w:val="hu-HU"/>
              </w:rPr>
              <w:t xml:space="preserve"> szervrendszeri kategória</w:t>
            </w:r>
          </w:p>
        </w:tc>
        <w:tc>
          <w:tcPr>
            <w:tcW w:w="1878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szCs w:val="22"/>
                <w:lang w:val="hu-HU"/>
              </w:rPr>
              <w:t>Mellékhatások</w:t>
            </w:r>
          </w:p>
        </w:tc>
        <w:tc>
          <w:tcPr>
            <w:tcW w:w="1997" w:type="pct"/>
            <w:gridSpan w:val="2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Gyakoriság</w:t>
            </w:r>
          </w:p>
        </w:tc>
      </w:tr>
      <w:tr w:rsidR="006B4EEB">
        <w:trPr>
          <w:trHeight w:val="688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999" w:type="pct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Telmizartán</w:t>
            </w:r>
          </w:p>
        </w:tc>
        <w:tc>
          <w:tcPr>
            <w:tcW w:w="998" w:type="pc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Indapamid</w:t>
            </w:r>
          </w:p>
        </w:tc>
      </w:tr>
      <w:tr w:rsidR="006B4EEB">
        <w:trPr>
          <w:trHeight w:val="277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Fertőző betegségek és parazitafertőzések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Húgyúti fertőzések, beleértve a cystitist 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Felső légúti fertőzések, többek között pharyngitis és sinusitis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Szepszis, a halálos kimenetelű eseteket is beleértve</w:t>
            </w:r>
            <w:r>
              <w:rPr>
                <w:noProof/>
                <w:szCs w:val="24"/>
                <w:vertAlign w:val="superscript"/>
                <w:lang w:val="hu-HU"/>
              </w:rPr>
              <w:t>1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7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Vérképzőszervi és nyirokrendszeri betegségek és tüntek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Eosinophilia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Thrombocytopenia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Agranulocytosis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Aplasticus anaemia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8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Haemolyticus anaemia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Leukopenia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5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Immunrendszeri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Anaphylaxiás reakció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75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Túlérzékenység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49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bCs/>
                <w:noProof/>
                <w:szCs w:val="24"/>
                <w:lang w:val="hu-HU"/>
              </w:rPr>
            </w:pPr>
            <w:r>
              <w:rPr>
                <w:b/>
                <w:bCs/>
                <w:noProof/>
                <w:szCs w:val="24"/>
                <w:lang w:val="hu-HU"/>
              </w:rPr>
              <w:t>Anyagcsere- és táplálkozási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Hyperkalaemia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12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Hypoglykaemia (cukorbetegeknél)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8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Hypercalcaemia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915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Hypokalaemia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6B4EEB">
        <w:trPr>
          <w:trHeight w:val="16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Hyponatraemia (lásd 4.4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6B4EEB">
        <w:trPr>
          <w:trHeight w:val="16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Hypochloraemia</w:t>
            </w:r>
          </w:p>
        </w:tc>
        <w:tc>
          <w:tcPr>
            <w:tcW w:w="999" w:type="pct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16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Hypomagnesaemia</w:t>
            </w:r>
          </w:p>
        </w:tc>
        <w:tc>
          <w:tcPr>
            <w:tcW w:w="999" w:type="pct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143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 xml:space="preserve">Pszichiátriai </w:t>
            </w:r>
            <w:r>
              <w:rPr>
                <w:b/>
                <w:noProof/>
                <w:szCs w:val="24"/>
                <w:lang w:val="hu-HU"/>
              </w:rPr>
              <w:lastRenderedPageBreak/>
              <w:t>kórképek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lastRenderedPageBreak/>
              <w:t>Álmatlanság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106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Depresszió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37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Szorongás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80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Idegrendszeri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iCs/>
                <w:szCs w:val="22"/>
                <w:lang w:val="hu-HU"/>
              </w:rPr>
            </w:pPr>
            <w:r>
              <w:rPr>
                <w:iCs/>
                <w:szCs w:val="22"/>
                <w:lang w:val="hu-HU"/>
              </w:rPr>
              <w:t>Szédülés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</w:tr>
      <w:tr w:rsidR="006B4EEB">
        <w:trPr>
          <w:trHeight w:val="280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iCs/>
                <w:szCs w:val="22"/>
                <w:lang w:val="hu-HU"/>
              </w:rPr>
              <w:t>Aluszékonyság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Fáradtság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58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Fejfájás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Paresthesia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Ájulás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4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Szembetegségek és szemészeti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Látászavar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Myopia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Homályos látás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Chorioidealis effusio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 xml:space="preserve">Akut zárt zugú </w:t>
            </w:r>
            <w:proofErr w:type="spellStart"/>
            <w:r>
              <w:rPr>
                <w:szCs w:val="22"/>
                <w:lang w:val="hu-HU"/>
              </w:rPr>
              <w:t>glaucoma</w:t>
            </w:r>
            <w:proofErr w:type="spellEnd"/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Látáskárosodás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3"/>
        </w:trPr>
        <w:tc>
          <w:tcPr>
            <w:tcW w:w="1125" w:type="pc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fül és az egyensúly-érzékelő szerv betegségei és tünetei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Vertigo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142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Szívbetegségek és szívvel kapcsolatos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Bradycardia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145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Tachycardia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145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Arrhythmia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506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i/>
                <w:szCs w:val="22"/>
                <w:lang w:val="hu-HU" w:eastAsia="fr-FR"/>
              </w:rPr>
              <w:t>Torsade</w:t>
            </w:r>
            <w:proofErr w:type="spellEnd"/>
            <w:r>
              <w:rPr>
                <w:i/>
                <w:szCs w:val="22"/>
                <w:lang w:val="hu-HU" w:eastAsia="fr-FR"/>
              </w:rPr>
              <w:t xml:space="preserve"> de </w:t>
            </w:r>
            <w:proofErr w:type="spellStart"/>
            <w:r>
              <w:rPr>
                <w:i/>
                <w:szCs w:val="22"/>
                <w:lang w:val="hu-HU" w:eastAsia="fr-FR"/>
              </w:rPr>
              <w:t>pointes</w:t>
            </w:r>
            <w:proofErr w:type="spellEnd"/>
            <w:r>
              <w:rPr>
                <w:szCs w:val="22"/>
                <w:lang w:val="hu-HU" w:eastAsia="fr-FR"/>
              </w:rPr>
              <w:t xml:space="preserve"> (potenciálisan halálos kimenetelű) (lásd 4.4 és 4.5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318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Érbetegségek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Hypotonia</w:t>
            </w:r>
            <w:r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318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Orthostaticus hypotonia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Légzőrendszeri, mellkasi és mediastinalis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Dyspnoe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Köhögés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Interstitialis tüdőbetegség</w:t>
            </w:r>
            <w:r>
              <w:rPr>
                <w:noProof/>
                <w:szCs w:val="24"/>
                <w:vertAlign w:val="superscript"/>
                <w:lang w:val="hu-HU"/>
              </w:rPr>
              <w:t>4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Emésztőrendszeri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Abdominalis fájdalom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Hasmenés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Emésztési zavar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Flatulentia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Hányás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Hasi diszkomfortérzés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Dysgeusia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Szájszárazság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Hányinger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89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Székrekedés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Pancreatitis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77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Máj- és epebetegségek, illetve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Kóros májfunkciós értékek / májbetegség</w:t>
            </w:r>
            <w:r>
              <w:rPr>
                <w:noProof/>
                <w:szCs w:val="24"/>
                <w:vertAlign w:val="superscript"/>
                <w:lang w:val="hu-HU"/>
              </w:rPr>
              <w:t>3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505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Májkárosodás esetén </w:t>
            </w:r>
            <w:proofErr w:type="spellStart"/>
            <w:r>
              <w:rPr>
                <w:szCs w:val="22"/>
                <w:lang w:val="hu-HU" w:eastAsia="fr-FR"/>
              </w:rPr>
              <w:t>hepaticus</w:t>
            </w:r>
            <w:proofErr w:type="spellEnd"/>
            <w:r>
              <w:rPr>
                <w:szCs w:val="22"/>
                <w:lang w:val="hu-HU" w:eastAsia="fr-FR"/>
              </w:rPr>
              <w:t xml:space="preserve"> </w:t>
            </w:r>
            <w:proofErr w:type="spellStart"/>
            <w:r>
              <w:rPr>
                <w:szCs w:val="22"/>
                <w:lang w:val="hu-HU" w:eastAsia="fr-FR"/>
              </w:rPr>
              <w:t>encephalopathia</w:t>
            </w:r>
            <w:proofErr w:type="spellEnd"/>
            <w:r>
              <w:rPr>
                <w:szCs w:val="22"/>
                <w:lang w:val="hu-HU" w:eastAsia="fr-FR"/>
              </w:rPr>
              <w:t xml:space="preserve"> alakulhat ki (lásd 4.3 és 4.4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78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Hepatitis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4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bőr és a bőr alatti szövet betegségei és tünetei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 w:eastAsia="fr-FR"/>
              </w:rPr>
              <w:t>Maculopapulosus</w:t>
            </w:r>
            <w:proofErr w:type="spellEnd"/>
            <w:r>
              <w:rPr>
                <w:szCs w:val="22"/>
                <w:lang w:val="hu-HU" w:eastAsia="fr-FR"/>
              </w:rPr>
              <w:t xml:space="preserve"> kiütések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Túlérzékenységi reakció 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Pruritus 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Hyperhidrosis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tabs>
                <w:tab w:val="clear" w:pos="567"/>
                <w:tab w:val="center" w:pos="1593"/>
              </w:tabs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Bőrkiütés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Purpura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Ekzema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Erythema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Gyógyszerkiütés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4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Toxikus bőrkiütés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Angiooedema (a telmizartán esetében halálos kimenetelű is)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Urticaria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53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Toxicus </w:t>
            </w:r>
            <w:proofErr w:type="spellStart"/>
            <w:r>
              <w:rPr>
                <w:szCs w:val="22"/>
                <w:lang w:val="hu-HU"/>
              </w:rPr>
              <w:t>epidermalis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r>
              <w:rPr>
                <w:noProof/>
                <w:szCs w:val="24"/>
                <w:lang w:val="hu-HU"/>
              </w:rPr>
              <w:t>necrolysis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Stevens</w:t>
            </w:r>
            <w:proofErr w:type="spellEnd"/>
            <w:r>
              <w:rPr>
                <w:szCs w:val="22"/>
                <w:lang w:val="hu-HU"/>
              </w:rPr>
              <w:t>–Johnson-szindróma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Fényérzékenységi reakciók</w:t>
            </w:r>
            <w:r>
              <w:rPr>
                <w:szCs w:val="22"/>
                <w:lang w:val="hu-HU" w:eastAsia="fr-FR"/>
              </w:rPr>
              <w:t xml:space="preserve"> </w:t>
            </w:r>
            <w:r>
              <w:rPr>
                <w:szCs w:val="22"/>
                <w:lang w:val="hu-HU"/>
              </w:rPr>
              <w:t>(lásd 4.4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 w:val="restart"/>
            <w:shd w:val="clear" w:color="auto" w:fill="auto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Hátfájás (például ischias)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Izomgörcs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Myalgia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Ízületi fájdalom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Végtagfájdalom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Ínfájdalom (íngyulladásszerű tünetek)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Izomgyengeség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Rhabdomyolysis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Már fennálló akut, disszeminált lupus erythematosus lehetséges rosszabbodása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Vese- és húgyúti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Vesekárosodás, az akut veseelégtelenséget is beleértve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Veseelégtelenség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6B4EEB">
        <w:trPr>
          <w:trHeight w:val="251"/>
        </w:trPr>
        <w:tc>
          <w:tcPr>
            <w:tcW w:w="1125" w:type="pct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nemi szervekkel és az emlőkkel kapcsolatos betegségek és tünetek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Erectilis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proofErr w:type="spellStart"/>
            <w:r>
              <w:rPr>
                <w:szCs w:val="22"/>
                <w:lang w:val="hu-HU"/>
              </w:rPr>
              <w:t>dysfunctio</w:t>
            </w:r>
            <w:proofErr w:type="spellEnd"/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6B4EEB">
        <w:trPr>
          <w:trHeight w:val="251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Általános tünetek, az alkalmazás helyén fellépő reakciók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Mellkasi fájdalom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Asthenia (gyengeség)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  <w:vAlign w:val="center"/>
          </w:tcPr>
          <w:p w:rsidR="006B4EEB" w:rsidRDefault="006B4EEB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Influenzaszerű megbetegedés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 w:val="restart"/>
            <w:vAlign w:val="center"/>
          </w:tcPr>
          <w:p w:rsidR="006B4EEB" w:rsidRDefault="00BE302E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Laboratóriumi és egyéb vizsgálatok eredményei</w:t>
            </w: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kreatininszint a vérben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Csökkent hemoglobinszint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húgysavszint a vérben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Emelkedett májenzimszintek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kreatin-foszfokináz-szint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>Megnyúlt QT-szakasz az EKG-n (lásd 4.4 és 4.5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6B4EEB">
        <w:trPr>
          <w:trHeight w:val="251"/>
        </w:trPr>
        <w:tc>
          <w:tcPr>
            <w:tcW w:w="1125" w:type="pct"/>
            <w:vMerge/>
          </w:tcPr>
          <w:p w:rsidR="006B4EEB" w:rsidRDefault="006B4EEB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 xml:space="preserve">Emelkedett vércukorszint </w:t>
            </w:r>
            <w:r>
              <w:rPr>
                <w:szCs w:val="22"/>
                <w:lang w:val="hu-HU" w:eastAsia="fr-FR"/>
              </w:rPr>
              <w:t>(lásd 4.4 pont)</w:t>
            </w:r>
          </w:p>
        </w:tc>
        <w:tc>
          <w:tcPr>
            <w:tcW w:w="999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6B4EEB" w:rsidRDefault="00BE302E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</w:tbl>
    <w:bookmarkEnd w:id="2"/>
    <w:p w:rsidR="006B4EEB" w:rsidRDefault="00BE302E">
      <w:pPr>
        <w:rPr>
          <w:szCs w:val="22"/>
          <w:lang w:val="hu-HU"/>
        </w:rPr>
      </w:pPr>
      <w:r>
        <w:rPr>
          <w:szCs w:val="22"/>
          <w:vertAlign w:val="superscript"/>
          <w:lang w:val="hu-HU"/>
        </w:rPr>
        <w:t>1, 2, 3, 4</w:t>
      </w:r>
      <w:r>
        <w:rPr>
          <w:szCs w:val="22"/>
          <w:lang w:val="hu-HU"/>
        </w:rPr>
        <w:t>: A további információkat lásd az „Egyes kiválasztott mellékhatások leírása” alpontban</w:t>
      </w:r>
    </w:p>
    <w:p w:rsidR="006B4EEB" w:rsidRDefault="006B4EEB">
      <w:pPr>
        <w:rPr>
          <w:szCs w:val="22"/>
          <w:lang w:val="hu-HU"/>
        </w:rPr>
      </w:pPr>
    </w:p>
    <w:p w:rsidR="006B4EEB" w:rsidRDefault="00BE302E">
      <w:pPr>
        <w:rPr>
          <w:u w:val="single"/>
          <w:lang w:val="hu-HU"/>
        </w:rPr>
      </w:pPr>
      <w:r>
        <w:rPr>
          <w:u w:val="single"/>
          <w:lang w:val="hu-HU"/>
        </w:rPr>
        <w:t>Egyes kiválasztott mellékhatások leírása</w:t>
      </w:r>
    </w:p>
    <w:p w:rsidR="006B4EEB" w:rsidRDefault="006B4EEB">
      <w:pPr>
        <w:rPr>
          <w:szCs w:val="22"/>
          <w:u w:val="single"/>
          <w:lang w:val="hu-HU"/>
        </w:rPr>
      </w:pPr>
    </w:p>
    <w:p w:rsidR="006B4EEB" w:rsidRDefault="00BE302E">
      <w:pPr>
        <w:rPr>
          <w:szCs w:val="22"/>
        </w:rPr>
      </w:pPr>
      <w:r>
        <w:rPr>
          <w:szCs w:val="22"/>
        </w:rPr>
        <w:t>A 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>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és 2,5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indapamid-dózist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összehasonlító</w:t>
      </w:r>
      <w:proofErr w:type="spellEnd"/>
      <w:r>
        <w:rPr>
          <w:szCs w:val="22"/>
        </w:rPr>
        <w:t xml:space="preserve"> II. </w:t>
      </w:r>
      <w:proofErr w:type="gramStart"/>
      <w:r>
        <w:rPr>
          <w:szCs w:val="22"/>
        </w:rPr>
        <w:t>és</w:t>
      </w:r>
      <w:proofErr w:type="gramEnd"/>
      <w:r>
        <w:rPr>
          <w:szCs w:val="22"/>
        </w:rPr>
        <w:t xml:space="preserve"> III. </w:t>
      </w:r>
      <w:proofErr w:type="spellStart"/>
      <w:proofErr w:type="gramStart"/>
      <w:r>
        <w:rPr>
          <w:szCs w:val="22"/>
        </w:rPr>
        <w:t>fázisú</w:t>
      </w:r>
      <w:proofErr w:type="spellEnd"/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során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plazma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káliumszintjének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elemzése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dózisfüggő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hatását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mutatta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ki</w:t>
      </w:r>
      <w:proofErr w:type="spellEnd"/>
      <w:r>
        <w:rPr>
          <w:szCs w:val="22"/>
        </w:rPr>
        <w:t>:</w:t>
      </w:r>
    </w:p>
    <w:p w:rsidR="006B4EEB" w:rsidRDefault="00BE302E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</w:t>
      </w:r>
      <w:r>
        <w:rPr>
          <w:szCs w:val="22"/>
        </w:rPr>
        <w:lastRenderedPageBreak/>
        <w:t>4%-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,23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6B4EEB" w:rsidRDefault="00BE302E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2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25%-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,41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Szepszis</w:t>
      </w: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PRoFESS</w:t>
      </w:r>
      <w:proofErr w:type="spellEnd"/>
      <w:r>
        <w:rPr>
          <w:iCs/>
          <w:lang w:val="hu-HU"/>
        </w:rPr>
        <w:t xml:space="preserve"> vizsgálatban a szepszis </w:t>
      </w:r>
      <w:proofErr w:type="spellStart"/>
      <w:r>
        <w:rPr>
          <w:iCs/>
          <w:lang w:val="hu-HU"/>
        </w:rPr>
        <w:t>incidenciájának</w:t>
      </w:r>
      <w:proofErr w:type="spellEnd"/>
      <w:r>
        <w:rPr>
          <w:iCs/>
          <w:lang w:val="hu-HU"/>
        </w:rPr>
        <w:t xml:space="preserve"> növekedését figyelték meg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-kezelés esetén, a </w:t>
      </w:r>
      <w:proofErr w:type="spellStart"/>
      <w:r>
        <w:rPr>
          <w:iCs/>
          <w:lang w:val="hu-HU"/>
        </w:rPr>
        <w:t>placebóhoz</w:t>
      </w:r>
      <w:proofErr w:type="spellEnd"/>
      <w:r>
        <w:rPr>
          <w:iCs/>
          <w:lang w:val="hu-HU"/>
        </w:rPr>
        <w:t xml:space="preserve"> képest. A jelenség véletlen felfedezés vagy egy ez idáig ismeretlen mechanizmus következménye lehet (lásd 5.1 pont).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Hypotonia</w:t>
      </w:r>
      <w:proofErr w:type="spellEnd"/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Ez a mellékhatás gyakorinak bizonyult azoknál a kontrollált vérnyomású betegeknél, akiknek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céljából adtak </w:t>
      </w:r>
      <w:proofErr w:type="spellStart"/>
      <w:r>
        <w:rPr>
          <w:iCs/>
          <w:lang w:val="hu-HU"/>
        </w:rPr>
        <w:t>telmizartánt</w:t>
      </w:r>
      <w:proofErr w:type="spellEnd"/>
      <w:r>
        <w:rPr>
          <w:iCs/>
          <w:lang w:val="hu-HU"/>
        </w:rPr>
        <w:t>, a standard kezelésen felül.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Kóros májfunkciós értékek / májbetegség</w:t>
      </w: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forgalomba hozatal után tapasztalt kóros májfunkciós értékek / májbetegség legtöbbször japán betegeknél fordultak elő.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kezelt japán betegeknél ezek a mellékhatások nagyobb valószínűséggel alakulnak ki.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Interstitialis</w:t>
      </w:r>
      <w:proofErr w:type="spellEnd"/>
      <w:r>
        <w:rPr>
          <w:iCs/>
          <w:u w:val="single"/>
          <w:lang w:val="hu-HU"/>
        </w:rPr>
        <w:t xml:space="preserve"> tüdőbetegség</w:t>
      </w:r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gyógyszer forgalomba hozatalát követően,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szedésével időbeli összefüggésben </w:t>
      </w:r>
      <w:proofErr w:type="spellStart"/>
      <w:r>
        <w:rPr>
          <w:iCs/>
          <w:lang w:val="hu-HU"/>
        </w:rPr>
        <w:t>interstitialis</w:t>
      </w:r>
      <w:proofErr w:type="spellEnd"/>
      <w:r>
        <w:rPr>
          <w:iCs/>
          <w:lang w:val="hu-HU"/>
        </w:rPr>
        <w:t xml:space="preserve"> tüdőbetegség eseteit jelentették, de ok–okozati kapcsolatot nem igazoltak.</w:t>
      </w:r>
    </w:p>
    <w:p w:rsidR="006B4EEB" w:rsidRDefault="006B4EEB">
      <w:pPr>
        <w:spacing w:line="240" w:lineRule="auto"/>
        <w:rPr>
          <w:iCs/>
          <w:lang w:val="hu-HU"/>
        </w:rPr>
      </w:pPr>
    </w:p>
    <w:p w:rsidR="006B4EEB" w:rsidRDefault="00BE302E">
      <w:pPr>
        <w:spacing w:line="240" w:lineRule="auto"/>
        <w:rPr>
          <w:iCs/>
          <w:snapToGrid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Intestinalis</w:t>
      </w:r>
      <w:proofErr w:type="spellEnd"/>
      <w:r>
        <w:rPr>
          <w:iCs/>
          <w:u w:val="single"/>
          <w:lang w:val="hu-HU"/>
        </w:rPr>
        <w:t xml:space="preserve"> </w:t>
      </w:r>
      <w:proofErr w:type="spellStart"/>
      <w:r>
        <w:rPr>
          <w:iCs/>
          <w:u w:val="single"/>
          <w:lang w:val="hu-HU"/>
        </w:rPr>
        <w:t>angiooedema</w:t>
      </w:r>
      <w:proofErr w:type="spellEnd"/>
    </w:p>
    <w:p w:rsidR="006B4EEB" w:rsidRDefault="00BE302E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Egyes esetekben </w:t>
      </w:r>
      <w:proofErr w:type="spellStart"/>
      <w:r>
        <w:rPr>
          <w:iCs/>
          <w:lang w:val="hu-HU"/>
        </w:rPr>
        <w:t>intestinalis</w:t>
      </w:r>
      <w:proofErr w:type="spellEnd"/>
      <w:r>
        <w:rPr>
          <w:iCs/>
          <w:lang w:val="hu-HU"/>
        </w:rPr>
        <w:t xml:space="preserve"> </w:t>
      </w:r>
      <w:proofErr w:type="spellStart"/>
      <w:r>
        <w:rPr>
          <w:iCs/>
          <w:lang w:val="hu-HU"/>
        </w:rPr>
        <w:t>angiooedemáról</w:t>
      </w:r>
      <w:proofErr w:type="spellEnd"/>
      <w:r>
        <w:rPr>
          <w:iCs/>
          <w:lang w:val="hu-HU"/>
        </w:rPr>
        <w:t xml:space="preserve"> számoltak be </w:t>
      </w:r>
      <w:proofErr w:type="spellStart"/>
      <w:r>
        <w:rPr>
          <w:iCs/>
          <w:lang w:val="hu-HU"/>
        </w:rPr>
        <w:t>angiotenzin</w:t>
      </w:r>
      <w:proofErr w:type="spellEnd"/>
      <w:r>
        <w:rPr>
          <w:iCs/>
          <w:lang w:val="hu-HU"/>
        </w:rPr>
        <w:t xml:space="preserve"> II-receptor-blokkoló alkalmazását követően (lásd 4.4 pont).</w:t>
      </w:r>
    </w:p>
    <w:p w:rsidR="006B4EEB" w:rsidRDefault="006B4EEB">
      <w:pPr>
        <w:spacing w:line="240" w:lineRule="auto"/>
        <w:rPr>
          <w:u w:val="single"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</w:t>
        </w:r>
        <w:bookmarkStart w:id="3" w:name="_Hlt352075914"/>
        <w:bookmarkStart w:id="4" w:name="_Hlt352075915"/>
        <w:r>
          <w:rPr>
            <w:rStyle w:val="Hiperhivatkozs"/>
            <w:highlight w:val="lightGray"/>
            <w:lang w:val="hu-HU"/>
          </w:rPr>
          <w:t>g</w:t>
        </w:r>
        <w:bookmarkEnd w:id="3"/>
        <w:bookmarkEnd w:id="4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:rsidR="006B4EEB" w:rsidRDefault="006B4EEB">
      <w:pPr>
        <w:spacing w:line="240" w:lineRule="auto"/>
        <w:rPr>
          <w:u w:val="single"/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A túladagolással kapcsolatos humán tapasztalatok korlátozottak.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Tünetek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-túladagolás legfeltűnőbb tünete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volt. Előfordult továbbá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>, szédülés, a szérumkreatinin-szint emelkedése és akut veseelégtelenség is.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indapamidnak</w:t>
      </w:r>
      <w:proofErr w:type="spellEnd"/>
      <w:r>
        <w:rPr>
          <w:lang w:val="hu-HU"/>
        </w:rPr>
        <w:t xml:space="preserve"> egészen 40 mg-ig (a terápiás dózis 27-szereséig) nem volt toxikus hatása. Az akut mérgezés jelei legfőképpen a folyadék-/elektrolit-egyensúly zavaraiban jelentkeznek (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). </w:t>
      </w:r>
      <w:proofErr w:type="spellStart"/>
      <w:r>
        <w:rPr>
          <w:lang w:val="hu-HU"/>
        </w:rPr>
        <w:t>Klinikailag</w:t>
      </w:r>
      <w:proofErr w:type="spellEnd"/>
      <w:r>
        <w:rPr>
          <w:lang w:val="hu-HU"/>
        </w:rPr>
        <w:t xml:space="preserve"> jelentkezhet hányinger, hányás,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izomgörcsök, forgó jellegű szédülés, álmosság, zavartság, </w:t>
      </w:r>
      <w:proofErr w:type="spellStart"/>
      <w:r>
        <w:rPr>
          <w:lang w:val="hu-HU"/>
        </w:rPr>
        <w:t>polyuria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oliguria</w:t>
      </w:r>
      <w:proofErr w:type="spellEnd"/>
      <w:r>
        <w:rPr>
          <w:lang w:val="hu-HU"/>
        </w:rPr>
        <w:t xml:space="preserve">, amely akár </w:t>
      </w:r>
      <w:proofErr w:type="spellStart"/>
      <w:r>
        <w:rPr>
          <w:lang w:val="hu-HU"/>
        </w:rPr>
        <w:t>anuriáig</w:t>
      </w:r>
      <w:proofErr w:type="spellEnd"/>
      <w:r>
        <w:rPr>
          <w:lang w:val="hu-HU"/>
        </w:rPr>
        <w:t xml:space="preserve"> is súlyosbodhat (a </w:t>
      </w:r>
      <w:proofErr w:type="spellStart"/>
      <w:r>
        <w:rPr>
          <w:lang w:val="hu-HU"/>
        </w:rPr>
        <w:t>hypovolaemia</w:t>
      </w:r>
      <w:proofErr w:type="spellEnd"/>
      <w:r>
        <w:rPr>
          <w:lang w:val="hu-HU"/>
        </w:rPr>
        <w:t xml:space="preserve"> miatt).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Kezelés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 nem távolítható el. A beteg állapotát szigorúan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kell, tüneti és szupportív kezelés szükséges. A kezelés függ a gyógyszer bevétele után eltelt időtől és a tünetek </w:t>
      </w:r>
      <w:r>
        <w:rPr>
          <w:lang w:val="hu-HU"/>
        </w:rPr>
        <w:lastRenderedPageBreak/>
        <w:t xml:space="preserve">súlyosságától. Ajánlott a hánytatás és/vagy a gyomormosás. Túladagolás esetén kedvező hatású lehet az aktív szén is. A szérumelektrolitok és a kreatinin szintjét célszerű gyakran ellenőrizni.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esetén hanyatt kell fektetni a beteget, majd mihamarabb intravénás elektrolit- és folyadékpótlást kell alkalmazni.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Első lépésként a bevett szert kell mielőbb eltávolítani gyomormosással és/vagy aktív szén adásával, majd a folyadék-/elektrolit-egyensúly helyreállítása következik a megfelelő speciális centrumban.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6B4EEB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:rsidR="006B4EEB" w:rsidRDefault="006B4EE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a renin–angiotenzin rendszerre ható készítmények, </w:t>
      </w:r>
      <w:proofErr w:type="spellStart"/>
      <w:r>
        <w:rPr>
          <w:bCs/>
          <w:szCs w:val="22"/>
          <w:lang w:val="hu-HU"/>
        </w:rPr>
        <w:t>angiotenzin</w:t>
      </w:r>
      <w:proofErr w:type="spellEnd"/>
      <w:r>
        <w:rPr>
          <w:bCs/>
          <w:szCs w:val="22"/>
          <w:lang w:val="hu-HU"/>
        </w:rPr>
        <w:t xml:space="preserve"> II-receptor-blokkolók (ARB-k) és </w:t>
      </w:r>
      <w:proofErr w:type="spellStart"/>
      <w:r>
        <w:rPr>
          <w:bCs/>
          <w:szCs w:val="22"/>
          <w:lang w:val="hu-HU"/>
        </w:rPr>
        <w:t>diuretikumok</w:t>
      </w:r>
      <w:proofErr w:type="spellEnd"/>
      <w:r>
        <w:rPr>
          <w:bCs/>
          <w:szCs w:val="22"/>
          <w:lang w:val="hu-HU"/>
        </w:rPr>
        <w:t xml:space="preserve"> kombinációi, ATC-kód: C09DA07.</w:t>
      </w:r>
    </w:p>
    <w:p w:rsidR="006B4EEB" w:rsidRDefault="006B4EEB">
      <w:pPr>
        <w:autoSpaceDE w:val="0"/>
        <w:autoSpaceDN w:val="0"/>
        <w:adjustRightInd w:val="0"/>
        <w:spacing w:line="240" w:lineRule="auto"/>
        <w:jc w:val="both"/>
        <w:rPr>
          <w:i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r>
        <w:rPr>
          <w:i/>
          <w:iCs/>
          <w:lang w:val="hu-HU"/>
        </w:rPr>
        <w:t>per </w:t>
      </w:r>
      <w:proofErr w:type="spellStart"/>
      <w:r>
        <w:rPr>
          <w:i/>
          <w:iCs/>
          <w:lang w:val="hu-HU"/>
        </w:rPr>
        <w:t>os</w:t>
      </w:r>
      <w:proofErr w:type="spellEnd"/>
      <w:r>
        <w:rPr>
          <w:lang w:val="hu-HU"/>
        </w:rPr>
        <w:t xml:space="preserve"> adható, hatékony gyógyszer;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1-es típusú (AT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) receptorának specifikus </w:t>
      </w:r>
      <w:proofErr w:type="spellStart"/>
      <w:r>
        <w:rPr>
          <w:lang w:val="hu-HU"/>
        </w:rPr>
        <w:t>antagonistája</w:t>
      </w:r>
      <w:proofErr w:type="spellEnd"/>
      <w:r>
        <w:rPr>
          <w:lang w:val="hu-HU"/>
        </w:rPr>
        <w:t xml:space="preserve">. A receptorhoz nagy affinitással kötődő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leszorítja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II-t az annak ismert hatásait közvetítő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-receptor-altípusról.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fejt ki semmilyen parciális </w:t>
      </w:r>
      <w:proofErr w:type="spellStart"/>
      <w:r>
        <w:rPr>
          <w:lang w:val="hu-HU"/>
        </w:rPr>
        <w:t>agonista</w:t>
      </w:r>
      <w:proofErr w:type="spellEnd"/>
      <w:r>
        <w:rPr>
          <w:lang w:val="hu-HU"/>
        </w:rPr>
        <w:t xml:space="preserve"> hatást az AT1-receptoron.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szelektíven kötődik az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-receptorhoz, és ez a kötődés hosszú időtartamú.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mutat affinitást más receptorokhoz, például az AT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 vagy egyéb, kevésbé jellemzett AT-receptorokhoz. Az utóbbi receptorok funkcionális szerepe nem ismert, ahogyan az a hatás sem, amelyet a receptorok túlstimulálásával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– melynek szintjét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emeli – előidézhet.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csökkenti a plazma </w:t>
      </w:r>
      <w:proofErr w:type="spellStart"/>
      <w:r>
        <w:rPr>
          <w:lang w:val="hu-HU"/>
        </w:rPr>
        <w:t>aldoszteronszintjét</w:t>
      </w:r>
      <w:proofErr w:type="spellEnd"/>
      <w:r>
        <w:rPr>
          <w:lang w:val="hu-HU"/>
        </w:rPr>
        <w:t xml:space="preserve">; nem gátolja a humán </w:t>
      </w:r>
      <w:proofErr w:type="spellStart"/>
      <w:r>
        <w:rPr>
          <w:lang w:val="hu-HU"/>
        </w:rPr>
        <w:t>plazmarenin</w:t>
      </w:r>
      <w:proofErr w:type="spellEnd"/>
      <w:r>
        <w:rPr>
          <w:lang w:val="hu-HU"/>
        </w:rPr>
        <w:t xml:space="preserve"> aktivitását, és nem blokkol ioncsatornákat sem. Nem gátolja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lebontását is végző </w:t>
      </w:r>
      <w:proofErr w:type="spellStart"/>
      <w:r>
        <w:rPr>
          <w:lang w:val="hu-HU"/>
        </w:rPr>
        <w:t>angiotenzinkonvertáló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kinináz</w:t>
      </w:r>
      <w:proofErr w:type="spellEnd"/>
      <w:r>
        <w:rPr>
          <w:lang w:val="hu-HU"/>
        </w:rPr>
        <w:t xml:space="preserve">-II) enzimet, ezért várhatóan nem </w:t>
      </w:r>
      <w:proofErr w:type="spellStart"/>
      <w:r>
        <w:rPr>
          <w:lang w:val="hu-HU"/>
        </w:rPr>
        <w:t>potencírozza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közvetítette mellékhatásokat.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Embernél 80 mg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adásával szinte teljes mértékben kiküszöbölhető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által kiváltott vérnyomás-emelkedés. Ez a gátló hatás 24</w:t>
      </w:r>
      <w:r>
        <w:t> </w:t>
      </w:r>
      <w:r>
        <w:rPr>
          <w:lang w:val="hu-HU"/>
        </w:rPr>
        <w:t>órán keresztül érvényesül és még 48 óra múlva is kimutatható.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egy </w:t>
      </w:r>
      <w:proofErr w:type="spellStart"/>
      <w:r>
        <w:rPr>
          <w:lang w:val="hu-HU"/>
        </w:rPr>
        <w:t>indolgyűrűt</w:t>
      </w:r>
      <w:proofErr w:type="spellEnd"/>
      <w:r>
        <w:rPr>
          <w:lang w:val="hu-HU"/>
        </w:rPr>
        <w:t xml:space="preserve"> tartalmazó szulfonamid-származék; </w:t>
      </w:r>
      <w:proofErr w:type="spellStart"/>
      <w:r>
        <w:rPr>
          <w:lang w:val="hu-HU"/>
        </w:rPr>
        <w:t>farmakológiailag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diuretikumokkal</w:t>
      </w:r>
      <w:proofErr w:type="spellEnd"/>
      <w:r>
        <w:rPr>
          <w:lang w:val="hu-HU"/>
        </w:rPr>
        <w:t xml:space="preserve"> rokon vegyület, amely a nátrium-</w:t>
      </w:r>
      <w:proofErr w:type="spellStart"/>
      <w:r>
        <w:rPr>
          <w:lang w:val="hu-HU"/>
        </w:rPr>
        <w:t>reabszorpció</w:t>
      </w:r>
      <w:proofErr w:type="spellEnd"/>
      <w:r>
        <w:rPr>
          <w:lang w:val="hu-HU"/>
        </w:rPr>
        <w:t xml:space="preserve"> gátlása révén, a </w:t>
      </w:r>
      <w:proofErr w:type="spellStart"/>
      <w:r>
        <w:rPr>
          <w:lang w:val="hu-HU"/>
        </w:rPr>
        <w:t>disztális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tubulusokban</w:t>
      </w:r>
      <w:proofErr w:type="spellEnd"/>
      <w:r>
        <w:rPr>
          <w:lang w:val="hu-HU"/>
        </w:rPr>
        <w:t xml:space="preserve"> hat. Fokozza a nátrium és a klorid vizelettel történő kiválasztását, és kisebb mértékben a kálium és a magnézium kiválasztását is, ezáltal növeli a vizelet mennyiségét, és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hatást vált ki.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és az </w:t>
      </w:r>
      <w:proofErr w:type="spellStart"/>
      <w:r>
        <w:rPr>
          <w:i/>
          <w:iCs/>
          <w:lang w:val="hu-HU"/>
        </w:rPr>
        <w:t>indapamidra</w:t>
      </w:r>
      <w:proofErr w:type="spellEnd"/>
      <w:r>
        <w:rPr>
          <w:i/>
          <w:iCs/>
          <w:lang w:val="hu-HU"/>
        </w:rPr>
        <w:t xml:space="preserve"> vonatkozóan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kombináció hatásosságát és biztonságosságát </w:t>
      </w:r>
      <w:r>
        <w:rPr>
          <w:szCs w:val="22"/>
          <w:lang w:val="hu-HU"/>
        </w:rPr>
        <w:t xml:space="preserve">esszenciális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betegeknél vizsgálták. Az eredmények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együttes alkalmazása szignifikánsan hatásosabb volt, ami a vérnyomáscsökkenést illeti, mint a </w:t>
      </w:r>
      <w:proofErr w:type="spellStart"/>
      <w:r>
        <w:rPr>
          <w:szCs w:val="22"/>
          <w:lang w:val="hu-HU"/>
        </w:rPr>
        <w:t>monoterápiában</w:t>
      </w:r>
      <w:proofErr w:type="spellEnd"/>
      <w:r>
        <w:rPr>
          <w:szCs w:val="22"/>
          <w:lang w:val="hu-HU"/>
        </w:rPr>
        <w:t xml:space="preserve"> alkalmazott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. Összességében a klinikai vizsgálatok eredményei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kombinációval való kezelés nem növelte a mellékhatások kialakulásának kockázatát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- vagy az </w:t>
      </w:r>
      <w:proofErr w:type="spellStart"/>
      <w:proofErr w:type="gramStart"/>
      <w:r>
        <w:rPr>
          <w:szCs w:val="22"/>
          <w:lang w:val="hu-HU"/>
        </w:rPr>
        <w:t>indapamid-monoterápiához</w:t>
      </w:r>
      <w:proofErr w:type="spellEnd"/>
      <w:r>
        <w:rPr>
          <w:szCs w:val="22"/>
          <w:lang w:val="hu-HU"/>
        </w:rPr>
        <w:t xml:space="preserve"> ,</w:t>
      </w:r>
      <w:proofErr w:type="gramEnd"/>
      <w:r>
        <w:rPr>
          <w:szCs w:val="22"/>
          <w:lang w:val="hu-HU"/>
        </w:rPr>
        <w:t xml:space="preserve"> illetve a vérnyomáscsökkentők egyéb gyógyszercsoportjaihoz képest.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</w:t>
      </w:r>
      <w:r>
        <w:rPr>
          <w:i/>
          <w:iCs/>
          <w:szCs w:val="22"/>
          <w:lang w:val="hu-HU"/>
        </w:rPr>
        <w:t>vonatkozóan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dózisának alkalmazása után az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 fokozatosan, 3 órán belül nyilvánul meg. A maximális vérnyomáscsökkentő hatás rendszerint a kezdettől számítva 4–8 heti kezelés után tapasztalható, és hosszú távú kezelés esetén is fennmarad.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Ambuláns vérnyomás-</w:t>
      </w:r>
      <w:proofErr w:type="spellStart"/>
      <w:r>
        <w:rPr>
          <w:lang w:val="hu-HU"/>
        </w:rPr>
        <w:t>monitorozás</w:t>
      </w:r>
      <w:proofErr w:type="spellEnd"/>
      <w:r>
        <w:rPr>
          <w:lang w:val="hu-HU"/>
        </w:rPr>
        <w:t xml:space="preserve"> eredményei alapján a vérnyomáscsökkentő hatás konstans marad a bevételtől számítva 24 órán keresztül, így a következő dózis bevétele előtti utolsó 4 órában is. Ezt megerősítette, hogy a maradék és a csúcshatás aránya következetesen 80% felett maradt a placebokontrollos vizsgálatokban a 40 és a 80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-dózis alkalmazása után is. Dózisfüggőnek tűnik, hogy a szisztolés vérnyomás (SBP) mennyi idő alatt tér vissza a kiindulási értékre. Ebben a tekintetben a diasztolés vérnyomásra (DBP) vonatkozó adatok nem egyértelműek.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a szisztolés és diasztolés vérnyomást egyaránt csökkenti, a szívfrekvenciát azonban nem módosítja. Tisztázásra szorul még, hogy a gyógyszer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natriureticus</w:t>
      </w:r>
      <w:proofErr w:type="spellEnd"/>
      <w:r>
        <w:rPr>
          <w:lang w:val="hu-HU"/>
        </w:rPr>
        <w:t xml:space="preserve"> hatása hogyan járul hozzá a vérnyomáscsökkentő hatáshoz.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hatásossága nem marad el a más gyógyszercsoportba tartozó </w:t>
      </w:r>
      <w:proofErr w:type="spellStart"/>
      <w:r>
        <w:rPr>
          <w:lang w:val="hu-HU"/>
        </w:rPr>
        <w:t>antihypertensivumokétól</w:t>
      </w:r>
      <w:proofErr w:type="spellEnd"/>
      <w:r>
        <w:rPr>
          <w:lang w:val="hu-HU"/>
        </w:rPr>
        <w:t xml:space="preserve"> (ezt igazolják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amlodipin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atenolol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hidroklorotiazid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 hatásosságát összehasonlító klinikai vizsgálatok eredményei).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adagolásának hirtelen abbahagyása után a vérnyomás fokozatosan, néhány nap alatt tér vissza a kezelés előtti értékre, nem lép fel </w:t>
      </w:r>
      <w:proofErr w:type="spellStart"/>
      <w:r>
        <w:rPr>
          <w:i/>
          <w:iCs/>
          <w:lang w:val="hu-HU"/>
        </w:rPr>
        <w:t>rebound</w:t>
      </w:r>
      <w:proofErr w:type="spellEnd"/>
      <w:r>
        <w:rPr>
          <w:lang w:val="hu-HU"/>
        </w:rPr>
        <w:t xml:space="preserve"> vérnyomás-emelkedés.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száraz köhögés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szignifikánsan alacsonyabb volt a </w:t>
      </w:r>
      <w:proofErr w:type="spellStart"/>
      <w:r>
        <w:rPr>
          <w:lang w:val="hu-HU"/>
        </w:rPr>
        <w:t>telmizartánnal</w:t>
      </w:r>
      <w:proofErr w:type="spellEnd"/>
      <w:r>
        <w:rPr>
          <w:lang w:val="hu-HU"/>
        </w:rPr>
        <w:t xml:space="preserve"> kezelt betegeknél, mint azoknál, akik ACE-gátlót szedtek a két vérnyomáscsökkentő kezelést közvetlenül összehasonlító klinikai vizsgálatok során.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(RAAS) kettős blokádja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Két nagy,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kontrollos vizsgálatban (ONTARGET [</w:t>
      </w:r>
      <w:proofErr w:type="spellStart"/>
      <w:r>
        <w:rPr>
          <w:lang w:val="hu-HU"/>
        </w:rPr>
        <w:t>ONgoing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Alone</w:t>
      </w:r>
      <w:proofErr w:type="spellEnd"/>
      <w:r>
        <w:rPr>
          <w:lang w:val="hu-HU"/>
        </w:rPr>
        <w:t xml:space="preserve"> and in </w:t>
      </w:r>
      <w:proofErr w:type="spellStart"/>
      <w:r>
        <w:rPr>
          <w:lang w:val="hu-HU"/>
        </w:rPr>
        <w:t>combination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 xml:space="preserve"> Global </w:t>
      </w:r>
      <w:proofErr w:type="spellStart"/>
      <w:r>
        <w:rPr>
          <w:lang w:val="hu-HU"/>
        </w:rPr>
        <w:t>Endpoint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] és VA NEPHRON-D [The </w:t>
      </w:r>
      <w:proofErr w:type="spellStart"/>
      <w:r>
        <w:rPr>
          <w:lang w:val="hu-HU"/>
        </w:rPr>
        <w:t>Veterans</w:t>
      </w:r>
      <w:proofErr w:type="spellEnd"/>
      <w:r>
        <w:rPr>
          <w:lang w:val="hu-HU"/>
        </w:rPr>
        <w:t xml:space="preserve"> Affairs </w:t>
      </w:r>
      <w:proofErr w:type="spellStart"/>
      <w:r>
        <w:rPr>
          <w:lang w:val="hu-HU"/>
        </w:rPr>
        <w:t>Nephropathy</w:t>
      </w:r>
      <w:proofErr w:type="spellEnd"/>
      <w:r>
        <w:rPr>
          <w:lang w:val="hu-HU"/>
        </w:rPr>
        <w:t xml:space="preserve"> in Diabetes]) vizsgálták az ACE-gátló és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 kombinált alkalmazását.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ONTARGET vizsgálatot olyan betegekkel végezték, akiknek az anamnézisében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cerebrovascularis</w:t>
      </w:r>
      <w:proofErr w:type="spellEnd"/>
      <w:r>
        <w:rPr>
          <w:lang w:val="hu-HU"/>
        </w:rPr>
        <w:t xml:space="preserve"> betegség, vagy szervkárosodással járó 2-es típusú diabetes mellitus szerepelt. A VA NEPHRON-D vizsgálatot 2-es típusú diabetesben és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betegekkel végezték.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Ezek a vizsgálatok nem mutattak ki szignifikánsan előnyös hatásokat a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kimenetel és a mortalitás vonatkozásában, miközben a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 megfigyelthez képest nőtt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akut veseelégtelenség és/vagy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kockázata. A hasonló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tulajdonságok alapján ezek az eredmények más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II-receptor-blokkolók esetében is relevánsak.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Ezért 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receptor-blokkolók nem adhatók együtt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betegeknek.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>Az ALTITUDE (</w:t>
      </w:r>
      <w:proofErr w:type="spellStart"/>
      <w:r>
        <w:rPr>
          <w:lang w:val="hu-HU"/>
        </w:rPr>
        <w:t>Aliskiren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 in </w:t>
      </w:r>
      <w:proofErr w:type="spellStart"/>
      <w:r>
        <w:rPr>
          <w:lang w:val="hu-HU"/>
        </w:rPr>
        <w:t>Type</w:t>
      </w:r>
      <w:proofErr w:type="spellEnd"/>
      <w:r>
        <w:rPr>
          <w:lang w:val="hu-HU"/>
        </w:rPr>
        <w:t xml:space="preserve"> 2 Diabetes </w:t>
      </w:r>
      <w:proofErr w:type="spellStart"/>
      <w:r>
        <w:rPr>
          <w:lang w:val="hu-HU"/>
        </w:rPr>
        <w:t>Using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</w:t>
      </w:r>
      <w:proofErr w:type="spellEnd"/>
      <w:r>
        <w:rPr>
          <w:lang w:val="hu-HU"/>
        </w:rPr>
        <w:t xml:space="preserve"> and </w:t>
      </w:r>
      <w:proofErr w:type="spellStart"/>
      <w:r>
        <w:rPr>
          <w:lang w:val="hu-HU"/>
        </w:rPr>
        <w:t>Renal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Disease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Endpoints</w:t>
      </w:r>
      <w:proofErr w:type="spellEnd"/>
      <w:r>
        <w:rPr>
          <w:lang w:val="hu-HU"/>
        </w:rPr>
        <w:t xml:space="preserve">) vizsgálat célja az volt, hogy megállapítsák, előnyös-e a standard ACE-gátló vagy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II-receptor-blokkoló-kezelés kiegészítése </w:t>
      </w:r>
      <w:proofErr w:type="spellStart"/>
      <w:r>
        <w:rPr>
          <w:lang w:val="hu-HU"/>
        </w:rPr>
        <w:t>aliszkirénnel</w:t>
      </w:r>
      <w:proofErr w:type="spellEnd"/>
      <w:r>
        <w:rPr>
          <w:lang w:val="hu-HU"/>
        </w:rPr>
        <w:t xml:space="preserve">, 2-es típusú diabetesben és krónikus vesebetegségben, illetve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eredetű halál és a stroke szám szerint gyakoribb volt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placebocsoportban, és a jelentős mellékhatások, illetve súlyos mellékhatások (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veseműködési zavar) is gyakoribbak voltak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monoterápiát</w:t>
      </w:r>
      <w:proofErr w:type="spellEnd"/>
      <w:r>
        <w:rPr>
          <w:lang w:val="hu-HU"/>
        </w:rPr>
        <w:t xml:space="preserve"> alkalmazó II. és III. fázisú vizsgálatok 24 órán át tartó vérnyomáscsökkentő hatást mutattak ki. Ez olyan dózisok mellett is kialakult, melyek esetében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hatás kismértékű volt.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vérnyomáscsökkentő hatása összefügg az artériák </w:t>
      </w:r>
      <w:proofErr w:type="spellStart"/>
      <w:r>
        <w:rPr>
          <w:lang w:val="hu-HU"/>
        </w:rPr>
        <w:t>tágulékonyságának</w:t>
      </w:r>
      <w:proofErr w:type="spellEnd"/>
      <w:r>
        <w:rPr>
          <w:lang w:val="hu-HU"/>
        </w:rPr>
        <w:t xml:space="preserve"> javulásával és az </w:t>
      </w:r>
      <w:proofErr w:type="spellStart"/>
      <w:r>
        <w:rPr>
          <w:lang w:val="hu-HU"/>
        </w:rPr>
        <w:t>arteriolaris</w:t>
      </w:r>
      <w:proofErr w:type="spellEnd"/>
      <w:r>
        <w:rPr>
          <w:lang w:val="hu-HU"/>
        </w:rPr>
        <w:t xml:space="preserve"> és teljes perifériás rezisztencia csökkenésével.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mérsékli</w:t>
      </w:r>
      <w:proofErr w:type="spellEnd"/>
      <w:r>
        <w:rPr>
          <w:lang w:val="hu-HU"/>
        </w:rPr>
        <w:t xml:space="preserve"> a balkamra-</w:t>
      </w:r>
      <w:proofErr w:type="spellStart"/>
      <w:r>
        <w:rPr>
          <w:lang w:val="hu-HU"/>
        </w:rPr>
        <w:t>hypertrophiát</w:t>
      </w:r>
      <w:proofErr w:type="spellEnd"/>
      <w:r>
        <w:rPr>
          <w:lang w:val="hu-HU"/>
        </w:rPr>
        <w:t>.</w:t>
      </w:r>
    </w:p>
    <w:p w:rsidR="006B4EEB" w:rsidRDefault="00BE302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terápiás hatása bizonyos dózis felett platót ér el, ugyanakkor mellékhatásaik tovább fokozódnak. Ha a kezelés nem hatásos, a dózist nem szabad növelni.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 esetén azt is kimutatták a rövid, közép- és hosszú távú kezelés során, hogy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>:</w:t>
      </w:r>
    </w:p>
    <w:p w:rsidR="006B4EEB" w:rsidRDefault="00BE302E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</w:t>
      </w:r>
      <w:proofErr w:type="spellStart"/>
      <w:r>
        <w:rPr>
          <w:szCs w:val="22"/>
          <w:lang w:val="hu-HU"/>
        </w:rPr>
        <w:t>lipidmetabolizmust</w:t>
      </w:r>
      <w:proofErr w:type="spellEnd"/>
      <w:r>
        <w:rPr>
          <w:szCs w:val="22"/>
          <w:lang w:val="hu-HU"/>
        </w:rPr>
        <w:t>: a trigliceridek szintjét, az LDL-koleszterin- és a HDL</w:t>
      </w:r>
      <w:r>
        <w:rPr>
          <w:szCs w:val="22"/>
          <w:lang w:val="hu-HU"/>
        </w:rPr>
        <w:noBreakHyphen/>
        <w:t>koleszterin-szintet;</w:t>
      </w:r>
    </w:p>
    <w:p w:rsidR="006B4EEB" w:rsidRDefault="00BE302E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szénhidrát-anyagcserét, még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diabeteses betegeknél sem.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</w:r>
      <w:proofErr w:type="spellStart"/>
      <w:r>
        <w:rPr>
          <w:b/>
          <w:lang w:val="hu-HU"/>
        </w:rPr>
        <w:t>Farmakokinetikai</w:t>
      </w:r>
      <w:proofErr w:type="spellEnd"/>
      <w:r>
        <w:rPr>
          <w:b/>
          <w:lang w:val="hu-HU"/>
        </w:rPr>
        <w:t xml:space="preserve"> tulajdonságok</w:t>
      </w:r>
    </w:p>
    <w:p w:rsidR="006B4EEB" w:rsidRDefault="006B4EEB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:rsidR="006B4EEB" w:rsidRDefault="00BE302E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rövid idő alatt, azonban változó mértékben szívódik fel; abszolút biohasznosulása átlagosan 50%-os. A telmizartánt étkezés közben bevéve körülbelül 6%-tól (40 mg-os dózis) körülbelül 19%-ig (160 mg-os dózis) terjedő mértékben csökken a plazmakoncentráció–idő görbe alatti terület (AUC</w:t>
      </w:r>
      <w:r>
        <w:rPr>
          <w:noProof/>
          <w:szCs w:val="24"/>
          <w:vertAlign w:val="subscript"/>
          <w:lang w:val="hu-HU"/>
        </w:rPr>
        <w:t>0-∞</w:t>
      </w:r>
      <w:r>
        <w:rPr>
          <w:noProof/>
          <w:szCs w:val="24"/>
          <w:lang w:val="hu-HU"/>
        </w:rPr>
        <w:t>). Három órával a bevétel után azonban már nem különbözik az éhgyomorra, illetve étkezés közben adott telmizartán plazmaszintje.</w:t>
      </w:r>
    </w:p>
    <w:p w:rsidR="006B4EEB" w:rsidRDefault="006B4EEB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tablettából kioldódó indapamid-mennyiség rövid idő alatt és szinte teljes mértékben felszívódik az emésztőrendszerből. Az étkezés kismértékben növeli a felszívódás sebességét, a felszívódó indapamid mennyiségét azonban nem befolyásolja. Egyszeri dózis alkalmazása után a szérumszint mintegy 12 óra múlva éri el a csúcskoncentrációt, az ismételt adagolás csökkenti a két dózis bevétele közötti szérumszint-ingadozásokat. Intraindividuális eltérések előfordulnak.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u w:val="single"/>
          <w:lang w:val="hu-HU"/>
        </w:rPr>
        <w:t>Linearitás/nemlinearitás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AUC csekély mértékű csökkenése várhatóan nem befolyásolja a telmizartán terápiás hatásosságát. Nincs egyenes arányosság a beadott dózis és a telmizartán plazmakoncentrációja között.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és kisebb mértékben az AUC aránytalanul megnő 40 mg feletti dózisok esetén.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nagymértékben (&gt;99,5%) kötődik a plazmafehérjékhez, elsősorban az albuminhoz és az α1 savanyú glikoproteinhez. A látszólagos eloszlási térfogat (V</w:t>
      </w:r>
      <w:r>
        <w:rPr>
          <w:noProof/>
          <w:szCs w:val="24"/>
          <w:vertAlign w:val="subscript"/>
          <w:lang w:val="hu-HU"/>
        </w:rPr>
        <w:t>dss</w:t>
      </w:r>
      <w:r>
        <w:rPr>
          <w:noProof/>
          <w:szCs w:val="24"/>
          <w:lang w:val="hu-HU"/>
        </w:rPr>
        <w:t>) átlaga hozzávetőleg 500 liter a dinamikus egyensúlyi állapotban.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79%-a kötődik plazmafehérjékhez. Eliminációs felezési ideje a plazmában 14–24 óra (átlagosan 18 óra). A dinamikus egyensúlyi állapot 7 nap alatt alakul ki. Az indapamid az ismétlődő adagolás során sem kumulálódik a szervezetben.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az anyavegyület glükuronid-konjugációjával metabolizálódik. A konjugált metabolit nem rendelkezik farmakológiai aktivitással.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kiválasztása főleg a vizelettel (a dózis kb.70%-a) és széklettel (22%) történik, inaktív metabolitok formájában.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Elimináció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eliminációja biexponenciálisan csökkenő farmakokinetikát mutat, terminális felezési ideje &gt;20 óra. A maximális plazmakoncentráció (C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>), és kisebb mértékben a plazmakoncentráció–idő görbe alatti terület (AUC) aránytalanul nő az alkalmazott dózis nagyságához képest. A javasolt dózis alkalmazásakor nem észlelték a telmizartán klinikailag releváns akkumulációját. Nők esetében magasabb plazmaszintet mértek, mint férfiaknál, ez azonban számottevően nem befolyásolta a hatásosságot.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lastRenderedPageBreak/>
        <w:t>Az orálisan (és intravénásan) alkalmazott telmizartán szinte kizárólagosan a széklettel ürül ki a szervezetből, javarészt változatlan formában. A vizeletben a telmizartán kiválasztott kumulatív mennyisége az alkalmazott dózis kevesebb mint 1%-a. A máj vérátáramlásához (körülbelül 1500 ml/perc) viszonyítva a teljesplazma-clearance (Cl</w:t>
      </w:r>
      <w:r>
        <w:rPr>
          <w:noProof/>
          <w:szCs w:val="24"/>
          <w:vertAlign w:val="subscript"/>
          <w:lang w:val="hu-HU"/>
        </w:rPr>
        <w:t>tot</w:t>
      </w:r>
      <w:r>
        <w:rPr>
          <w:noProof/>
          <w:szCs w:val="24"/>
          <w:lang w:val="hu-HU"/>
        </w:rPr>
        <w:t>) értéke magas (mintegy 1000 ml/perc).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>
        <w:rPr>
          <w:i/>
          <w:iCs/>
          <w:noProof/>
          <w:szCs w:val="24"/>
          <w:lang w:val="hu-HU"/>
        </w:rPr>
        <w:t>Különleges betegcsoportok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Gyermekek és serdülők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két dózisának farmakokinetikai jellemzőit mint másodlagos célkitűzést vizsgálták a 6– &lt;18 év közötti hypertoniás betegeknél (n = 57), négyhetes, 1 mg/ttkg vagy 2 mg/ttkg dózisban alkalmazott telmizartán-kezelést követően. A farmakokinetikai célok közé tartozott a dinamikus egyensúlyi állapotú telmizartán-érték meghatározása gyermekeknél és serdülőknél, valamint az életkorral összefüggő különbségek vizsgálata. Bár a vizsgálat túl kis betegszámú volt ahhoz, hogy a farmakokinetikáról érdemi értékelést lehessen készíteni a 12 év alatti gyermekeknél, az eredmények általánosságban konzisztensek voltak a felnőtteknél tapasztaltakkal, és megerősítették, hogy a telmizartán farmakokinetikája nemlineáris, különösen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vonatkozásában.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Nem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nemek között különbséget figyeltek meg a telmizartán plazmakoncentrációjában: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körülbelül 3-szor, az AUC pedig 2-szer volt nagyobb nőknél, mint férfiaknál.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Idősek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farmakokinetikai jellemzői nem különböznek az idős, illetve a 65 évnél fiatalabb betegeknél.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Vesekárosodás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Enyhe, közepesen súlyos és súlyos vesekárosodásban szenvedő betegeknél a plazmakoncentrációk – a vizsgálatok szerint – megkétszereződtek, ugyanakkor a veseelégtelenség miatt hemodializált betegeknél alacsonyabb plazmaszinteket mértek. A telmizartán vesekárosodás esetén is nagymértékben kötődik a plazmafehérjékhez, ezért hemodialízissel nem távolítható el a keringésből. A telmizartán eliminációs felezési ideje nem változik vesekárosodás esetén.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Vesekárosodásban szenvedő betegeknél az indapamid farmakokinetikai paraméterei nem változnak.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Májkárosodás</w:t>
      </w:r>
    </w:p>
    <w:p w:rsidR="006B4EEB" w:rsidRDefault="00BE302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Farmakokinetikai vizsgálatok eredményei alapján közel 100%-ig fokozódhat a telmizartán abszolút biohasznosulása májkárosodásban szenvedő betegeknél. Az eliminációs felezési idő nem változik májkárosodás esetén.</w:t>
      </w:r>
    </w:p>
    <w:p w:rsidR="006B4EEB" w:rsidRDefault="006B4EEB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:rsidR="006B4EEB" w:rsidRDefault="006B4EEB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Normotenziós állatokkal végzett preklinikai, biztonságossági vizsgálatok során a klinikai terápiás tartománynak megfeleltethető telmizartán-dózisok a vörösvértest-jellemzők (erythrocytaszám, hemoglobin, hematokrit) csökkenését, a vese hemodinamikai paramétereinek változását (a vér karbamidnitrogén szintje és a kreatininszint emelkedett), valamint a szérum káliumszintjének emelkedését idézték elő. Kutyánál a vesetubulusok kitágulását és atrophiáját figyelték meg. A gyomornyálkahártya károsodását (erosio, fekélyek vagy gyulladás jelenléte) kutyánál és patkánynál is leírták. Mind az ACE-gátlókkal, mind az angiotenzin II-receptor-antagonistákkal végzett preklinikai vizsgálatokból már ismert volt ezeknek a farmakológiai eredetű mellékhatásoknak a kialakulása, amely orális sópótlással megelőzhető volt.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 a két állatfajban észlelték a plazma reninaktivitásának fokozódását, továbbá a vese juxtaglomerularis sejtjeinek hypertrophiáját és/vagy hyperplasiáját. Ezek úgyszintén az ACE-gátlók és más angiotenzin II-receptor-antagonisták gyógyszercsoportjára jellemző hatások, klinikai szempontból azonban, úgy tűnik, nincs jelentőségük.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teratogén hatást egyértelmű bizonyíték nem támasztja alá, azonban a telmizartán toxikus dózisszintje esetén megfigyeltek az utódok postnatalis fejlődésére kifejtett egyes hatásokat (például kisebb testtömeg és megkésett szemnyitás).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Nem igazoltak mutagenitást és jelentős clastogen aktivitást az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 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vizsgálatokban; karcinogenitás patkánynál és egérnél nem volt kimutatható.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vizsgálata nem mutatott ki mutagén vagy karcinogén tulajdonságot.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különböző állatfajoknak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per os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adott legnagyobb (a terápiás dózis 40–8000-szeresének megfelelő) dózisok hatásait tanulmányozva az indapamid diuretikus hatásának fokozódását észlelték. Az intravénásan vagy intraperitoneálisan adott indapamiddal végzett akut toxicitási vizsgálatokban az intoxicatio főbb tünetei, azaz a bradypnoe és a perifériás vasodilatatio, az indapamid farmakológiai hatásával voltak összefüggésben.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reproduktív toxicitási vizsgálatok nem igazoltak embryotoxicitást vagy teratogenitást.</w:t>
      </w: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termékenység nem károsodott sem hím, sem nőstény patkányoknál.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6B4EEB">
      <w:pPr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6B4EEB" w:rsidRDefault="00BE302E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6B4EEB" w:rsidRDefault="00BE302E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vörös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6B4EEB" w:rsidRDefault="00BE302E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6B4EEB" w:rsidRDefault="006B4EEB">
      <w:pPr>
        <w:spacing w:line="240" w:lineRule="auto"/>
        <w:rPr>
          <w:szCs w:val="22"/>
          <w:lang w:val="hu-HU"/>
        </w:rPr>
      </w:pP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6B4EEB" w:rsidRDefault="00BE302E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6B4EEB" w:rsidRDefault="00BE302E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6B4EEB" w:rsidRDefault="00BE302E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6B4EEB" w:rsidRDefault="00BE302E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6B4EEB" w:rsidRDefault="006B4EEB">
      <w:pPr>
        <w:spacing w:line="240" w:lineRule="auto"/>
        <w:rPr>
          <w:lang w:val="hu-HU"/>
        </w:rPr>
      </w:pP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:rsidR="006B4EEB" w:rsidRDefault="006B4EEB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 év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lastRenderedPageBreak/>
        <w:t>A fénytől és a nedvességtől való védelem érdekében az eredeti csomagolásban tárolandó.</w:t>
      </w:r>
    </w:p>
    <w:p w:rsidR="006B4EEB" w:rsidRDefault="00BE302E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t>Ez a gyógyszer különleges tárolási hőmérsékletet nem igényel.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10, 30, 60, 90 és 100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 és dobozban.</w:t>
      </w:r>
    </w:p>
    <w:p w:rsidR="006B4EEB" w:rsidRDefault="00BE302E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14, 28, 56, 84 és 98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naptárjelzéses buborékcsomagolásban és dobozban.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:rsidR="006B4EEB" w:rsidRDefault="006B4EE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rPr>
          <w:szCs w:val="22"/>
        </w:rPr>
      </w:pPr>
      <w:proofErr w:type="spellStart"/>
      <w:r>
        <w:rPr>
          <w:b/>
          <w:szCs w:val="22"/>
        </w:rPr>
        <w:t>Megjegyzés</w:t>
      </w:r>
      <w:proofErr w:type="spellEnd"/>
      <w:r>
        <w:rPr>
          <w:b/>
          <w:szCs w:val="22"/>
        </w:rPr>
        <w:t xml:space="preserve">: </w:t>
      </w:r>
      <w:r>
        <w:rPr>
          <w:rFonts w:ascii="Wingdings" w:hAnsi="Wingdings"/>
          <w:szCs w:val="22"/>
        </w:rPr>
        <w:t>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egy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keresztes</w:t>
      </w:r>
      <w:proofErr w:type="spellEnd"/>
      <w:r>
        <w:rPr>
          <w:szCs w:val="22"/>
        </w:rPr>
        <w:t>)</w:t>
      </w:r>
    </w:p>
    <w:p w:rsidR="006B4EEB" w:rsidRDefault="00BE302E">
      <w:pPr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Osztályozás</w:t>
      </w:r>
      <w:proofErr w:type="spellEnd"/>
      <w:r>
        <w:rPr>
          <w:b/>
          <w:bCs/>
          <w:szCs w:val="22"/>
        </w:rPr>
        <w:t xml:space="preserve">: II. </w:t>
      </w:r>
      <w:proofErr w:type="spellStart"/>
      <w:proofErr w:type="gramStart"/>
      <w:r>
        <w:rPr>
          <w:b/>
          <w:bCs/>
          <w:szCs w:val="22"/>
        </w:rPr>
        <w:t>csoport</w:t>
      </w:r>
      <w:proofErr w:type="spellEnd"/>
      <w:proofErr w:type="gramEnd"/>
    </w:p>
    <w:p w:rsidR="006B4EEB" w:rsidRDefault="00BE302E">
      <w:pPr>
        <w:rPr>
          <w:bCs/>
          <w:szCs w:val="22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6B4EEB">
      <w:pPr>
        <w:spacing w:line="240" w:lineRule="auto"/>
        <w:ind w:left="567" w:hanging="567"/>
        <w:outlineLvl w:val="0"/>
        <w:rPr>
          <w:b/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:rsidR="006B4EEB" w:rsidRDefault="006B4EEB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KRKA, d.d., Novo mesto,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Šmarješka cesta 6,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8501 Novo mesto,</w:t>
      </w:r>
    </w:p>
    <w:p w:rsidR="006B4EEB" w:rsidRDefault="00BE302E">
      <w:pPr>
        <w:rPr>
          <w:szCs w:val="22"/>
        </w:rPr>
      </w:pPr>
      <w:r>
        <w:rPr>
          <w:noProof/>
          <w:szCs w:val="22"/>
        </w:rPr>
        <w:t>Szlovénia</w:t>
      </w:r>
    </w:p>
    <w:p w:rsidR="006B4EEB" w:rsidRDefault="006B4EEB">
      <w:pPr>
        <w:spacing w:line="240" w:lineRule="auto"/>
        <w:outlineLvl w:val="0"/>
        <w:rPr>
          <w:bCs/>
          <w:lang w:val="hu-HU"/>
        </w:rPr>
      </w:pPr>
    </w:p>
    <w:p w:rsidR="006B4EEB" w:rsidRDefault="006B4EEB">
      <w:pPr>
        <w:spacing w:line="240" w:lineRule="auto"/>
        <w:outlineLvl w:val="0"/>
        <w:rPr>
          <w:bCs/>
          <w:lang w:val="hu-HU"/>
        </w:rPr>
      </w:pPr>
    </w:p>
    <w:p w:rsidR="006B4EEB" w:rsidRDefault="00BE302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6B4EEB" w:rsidRDefault="006B4EEB">
      <w:pPr>
        <w:rPr>
          <w:noProof/>
          <w:szCs w:val="22"/>
        </w:rPr>
      </w:pPr>
    </w:p>
    <w:p w:rsidR="006B4EEB" w:rsidRDefault="00BE302E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Telmisartan/Indapamid Krka 40 mg/1,5 mg módosított hatóanyag-leadású tabletta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OGYI-T-24508/09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6B4EEB" w:rsidRDefault="006B4EEB">
      <w:pPr>
        <w:rPr>
          <w:noProof/>
          <w:szCs w:val="22"/>
        </w:rPr>
      </w:pPr>
    </w:p>
    <w:p w:rsidR="006B4EEB" w:rsidRDefault="00BE302E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Telmisartan/Indapamid Krka 80 mg/1,5 mg módosított hatóanyag-leadású tabletta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OGYI-T-24508/19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6B4EEB" w:rsidRDefault="00BE302E">
      <w:pPr>
        <w:rPr>
          <w:noProof/>
          <w:szCs w:val="22"/>
        </w:rPr>
      </w:pPr>
      <w:r>
        <w:rPr>
          <w:noProof/>
          <w:szCs w:val="22"/>
        </w:rPr>
        <w:t>OGYI-T-24508/20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6B4EEB" w:rsidRDefault="006B4EEB">
      <w:pPr>
        <w:rPr>
          <w:noProof/>
          <w:szCs w:val="22"/>
        </w:rPr>
      </w:pPr>
    </w:p>
    <w:p w:rsidR="006B4EEB" w:rsidRDefault="006B4EEB">
      <w:pPr>
        <w:rPr>
          <w:noProof/>
          <w:szCs w:val="22"/>
        </w:rPr>
      </w:pPr>
    </w:p>
    <w:p w:rsidR="006B4EEB" w:rsidRDefault="00BE302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2025. január 10.</w:t>
      </w: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6B4EE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B4EEB" w:rsidRDefault="00BE302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:rsidR="006B4EEB" w:rsidRDefault="006B4EEB">
      <w:pPr>
        <w:spacing w:line="240" w:lineRule="auto"/>
        <w:rPr>
          <w:lang w:val="hu-HU"/>
        </w:rPr>
      </w:pPr>
    </w:p>
    <w:p w:rsidR="006B4EEB" w:rsidRDefault="00A55139">
      <w:pPr>
        <w:spacing w:line="240" w:lineRule="auto"/>
        <w:rPr>
          <w:lang w:val="hu-HU"/>
        </w:rPr>
      </w:pPr>
      <w:r>
        <w:rPr>
          <w:lang w:val="hu-HU"/>
        </w:rPr>
        <w:t>2026. szeptember 16</w:t>
      </w:r>
      <w:r w:rsidR="00BE302E">
        <w:rPr>
          <w:lang w:val="hu-HU"/>
        </w:rPr>
        <w:t>.</w:t>
      </w:r>
    </w:p>
    <w:sectPr w:rsidR="006B4EEB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EEB" w:rsidRDefault="00BE302E">
      <w:pPr>
        <w:spacing w:line="240" w:lineRule="auto"/>
      </w:pPr>
      <w:r>
        <w:separator/>
      </w:r>
    </w:p>
  </w:endnote>
  <w:endnote w:type="continuationSeparator" w:id="0">
    <w:p w:rsidR="006B4EEB" w:rsidRDefault="00BE3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EEB" w:rsidRDefault="006B4EEB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02E" w:rsidRDefault="00BE302E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E302E">
      <w:rPr>
        <w:rFonts w:ascii="Times New Roman" w:hAnsi="Times New Roman"/>
        <w:sz w:val="18"/>
        <w:szCs w:val="18"/>
      </w:rPr>
      <w:t>NNGYK/ETGY/18839/2026</w:t>
    </w:r>
  </w:p>
  <w:p w:rsidR="006B4EEB" w:rsidRDefault="00BE302E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E302E">
      <w:rPr>
        <w:rFonts w:ascii="Times New Roman" w:hAnsi="Times New Roman"/>
        <w:sz w:val="18"/>
        <w:szCs w:val="18"/>
      </w:rPr>
      <w:t>NNGYK/ETGY/188</w:t>
    </w:r>
    <w:r>
      <w:rPr>
        <w:rFonts w:ascii="Times New Roman" w:hAnsi="Times New Roman"/>
        <w:sz w:val="18"/>
        <w:szCs w:val="18"/>
      </w:rPr>
      <w:t>40</w:t>
    </w:r>
    <w:r w:rsidRPr="00BE302E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EEB" w:rsidRDefault="00BE302E">
      <w:pPr>
        <w:spacing w:line="240" w:lineRule="auto"/>
      </w:pPr>
      <w:r>
        <w:separator/>
      </w:r>
    </w:p>
  </w:footnote>
  <w:footnote w:type="continuationSeparator" w:id="0">
    <w:p w:rsidR="006B4EEB" w:rsidRDefault="00BE30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85798"/>
      <w:docPartObj>
        <w:docPartGallery w:val="Page Numbers (Top of Page)"/>
        <w:docPartUnique/>
      </w:docPartObj>
    </w:sdtPr>
    <w:sdtEndPr/>
    <w:sdtContent>
      <w:p w:rsidR="006B4EEB" w:rsidRDefault="00BE302E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6807BE" w:rsidRPr="006807BE">
          <w:rPr>
            <w:noProof/>
            <w:sz w:val="18"/>
            <w:szCs w:val="18"/>
            <w:lang w:val="hu-HU"/>
          </w:rPr>
          <w:t>20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6040001"/>
    <w:multiLevelType w:val="hybridMultilevel"/>
    <w:tmpl w:val="A1CEF788"/>
    <w:lvl w:ilvl="0" w:tplc="95566DEE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14BCB"/>
    <w:multiLevelType w:val="hybridMultilevel"/>
    <w:tmpl w:val="D3F4B686"/>
    <w:lvl w:ilvl="0" w:tplc="D94001D4">
      <w:start w:val="23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-Roman" w:eastAsia="Times New Roman" w:hAnsi="Times-Roman" w:cs="Times-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703519"/>
    <w:multiLevelType w:val="hybridMultilevel"/>
    <w:tmpl w:val="5A6C3420"/>
    <w:lvl w:ilvl="0" w:tplc="ABD813A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1F01210E"/>
    <w:multiLevelType w:val="hybridMultilevel"/>
    <w:tmpl w:val="9A2E6B5C"/>
    <w:lvl w:ilvl="0" w:tplc="72B86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842F4"/>
    <w:multiLevelType w:val="hybridMultilevel"/>
    <w:tmpl w:val="BE8462A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537E2"/>
    <w:multiLevelType w:val="hybridMultilevel"/>
    <w:tmpl w:val="8F7E6156"/>
    <w:lvl w:ilvl="0" w:tplc="8CCE57E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63614"/>
    <w:multiLevelType w:val="hybridMultilevel"/>
    <w:tmpl w:val="A468DA78"/>
    <w:lvl w:ilvl="0" w:tplc="72B86D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8F2EEC"/>
    <w:multiLevelType w:val="hybridMultilevel"/>
    <w:tmpl w:val="BCB4DD6C"/>
    <w:lvl w:ilvl="0" w:tplc="1520C530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488A2E98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C840BF5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3314FBC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2698DAA4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66C8652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64F6BDE6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CB66B518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F0CC8852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8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F59E4"/>
    <w:multiLevelType w:val="hybridMultilevel"/>
    <w:tmpl w:val="8318B452"/>
    <w:lvl w:ilvl="0" w:tplc="95566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D204E"/>
    <w:multiLevelType w:val="hybridMultilevel"/>
    <w:tmpl w:val="199E40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10"/>
  </w:num>
  <w:num w:numId="4">
    <w:abstractNumId w:val="14"/>
  </w:num>
  <w:num w:numId="5">
    <w:abstractNumId w:val="20"/>
  </w:num>
  <w:num w:numId="6">
    <w:abstractNumId w:val="12"/>
  </w:num>
  <w:num w:numId="7">
    <w:abstractNumId w:val="18"/>
  </w:num>
  <w:num w:numId="8">
    <w:abstractNumId w:val="15"/>
  </w:num>
  <w:num w:numId="9">
    <w:abstractNumId w:val="16"/>
  </w:num>
  <w:num w:numId="10">
    <w:abstractNumId w:val="13"/>
  </w:num>
  <w:num w:numId="11">
    <w:abstractNumId w:val="11"/>
  </w:num>
  <w:num w:numId="1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6B4EEB"/>
    <w:rsid w:val="000B4819"/>
    <w:rsid w:val="006807BE"/>
    <w:rsid w:val="006B4EEB"/>
    <w:rsid w:val="00A55139"/>
    <w:rsid w:val="00AF2378"/>
    <w:rsid w:val="00BE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75A79CF5-F5EF-43C6-BCE2-82310462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table" w:styleId="Rcsostblzat">
    <w:name w:val="Table Grid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sakszveg">
    <w:name w:val="Plain Text"/>
    <w:basedOn w:val="Norml"/>
    <w:link w:val="CsakszvegChar"/>
    <w:pPr>
      <w:tabs>
        <w:tab w:val="clear" w:pos="567"/>
      </w:tabs>
      <w:spacing w:line="240" w:lineRule="auto"/>
    </w:pPr>
    <w:rPr>
      <w:rFonts w:ascii="Courier New" w:eastAsia="Times New Roman" w:hAnsi="Courier New"/>
      <w:snapToGrid/>
      <w:sz w:val="20"/>
      <w:lang w:eastAsia="sl-SI"/>
    </w:rPr>
  </w:style>
  <w:style w:type="character" w:customStyle="1" w:styleId="CsakszvegChar">
    <w:name w:val="Csak szöveg Char"/>
    <w:basedOn w:val="Bekezdsalapbettpusa"/>
    <w:link w:val="Csakszveg"/>
    <w:rPr>
      <w:rFonts w:ascii="Courier New" w:eastAsia="Times New Roman" w:hAnsi="Courier New"/>
      <w:lang w:eastAsia="sl-SI"/>
    </w:rPr>
  </w:style>
  <w:style w:type="paragraph" w:styleId="Kpalrs">
    <w:name w:val="caption"/>
    <w:basedOn w:val="Norml"/>
    <w:next w:val="Norml"/>
    <w:qFormat/>
    <w:pPr>
      <w:tabs>
        <w:tab w:val="clear" w:pos="567"/>
      </w:tabs>
      <w:spacing w:line="240" w:lineRule="auto"/>
      <w:jc w:val="both"/>
    </w:pPr>
    <w:rPr>
      <w:rFonts w:eastAsia="Times New Roman"/>
      <w:snapToGrid/>
      <w:sz w:val="24"/>
      <w:lang w:eastAsia="sl-SI"/>
    </w:rPr>
  </w:style>
  <w:style w:type="paragraph" w:customStyle="1" w:styleId="Naslov1">
    <w:name w:val="Naslov1"/>
    <w:basedOn w:val="Cmsor1"/>
    <w:pPr>
      <w:keepNext/>
      <w:numPr>
        <w:numId w:val="0"/>
      </w:numPr>
      <w:suppressAutoHyphens w:val="0"/>
      <w:spacing w:before="0" w:after="0" w:line="240" w:lineRule="auto"/>
    </w:pPr>
    <w:rPr>
      <w:caps w:val="0"/>
      <w:sz w:val="22"/>
      <w:u w:val="single"/>
      <w:lang w:val="sl-SI" w:eastAsia="sl-SI"/>
    </w:rPr>
  </w:style>
  <w:style w:type="paragraph" w:styleId="TJ1">
    <w:name w:val="toc 1"/>
    <w:basedOn w:val="Norml"/>
    <w:next w:val="Norml"/>
    <w:autoRedefine/>
    <w:pPr>
      <w:tabs>
        <w:tab w:val="clear" w:pos="567"/>
      </w:tabs>
      <w:spacing w:before="120" w:line="240" w:lineRule="auto"/>
    </w:pPr>
    <w:rPr>
      <w:rFonts w:eastAsia="Times New Roman"/>
      <w:b/>
      <w:bCs/>
      <w:i/>
      <w:iCs/>
      <w:snapToGrid/>
      <w:sz w:val="24"/>
      <w:szCs w:val="28"/>
      <w:lang w:val="sl-SI" w:eastAsia="sl-SI"/>
    </w:rPr>
  </w:style>
  <w:style w:type="paragraph" w:styleId="Szvegtrzs2">
    <w:name w:val="Body Text 2"/>
    <w:basedOn w:val="Norml"/>
    <w:link w:val="Szvegtrzs2Char"/>
    <w:pPr>
      <w:tabs>
        <w:tab w:val="clear" w:pos="567"/>
      </w:tabs>
      <w:spacing w:after="120" w:line="480" w:lineRule="auto"/>
    </w:pPr>
    <w:rPr>
      <w:rFonts w:eastAsia="Times New Roman"/>
      <w:snapToGrid/>
      <w:sz w:val="24"/>
      <w:lang w:val="sl-SI" w:eastAsia="sl-SI"/>
    </w:rPr>
  </w:style>
  <w:style w:type="character" w:customStyle="1" w:styleId="Szvegtrzs2Char">
    <w:name w:val="Szövegtörzs 2 Char"/>
    <w:basedOn w:val="Bekezdsalapbettpusa"/>
    <w:link w:val="Szvegtrzs2"/>
    <w:rPr>
      <w:rFonts w:eastAsia="Times New Roman"/>
      <w:sz w:val="24"/>
      <w:lang w:val="sl-SI" w:eastAsia="sl-SI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l-SI" w:eastAsia="sl-SI"/>
    </w:rPr>
  </w:style>
  <w:style w:type="table" w:customStyle="1" w:styleId="Tabela-mrea">
    <w:name w:val="Tabela - mreža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Pr>
      <w:snapToGrid w:val="0"/>
      <w:sz w:val="22"/>
      <w:lang w:eastAsia="zh-CN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Cm">
    <w:name w:val="Title"/>
    <w:basedOn w:val="Norml"/>
    <w:link w:val="CmChar"/>
    <w:qFormat/>
    <w:pPr>
      <w:tabs>
        <w:tab w:val="clear" w:pos="567"/>
      </w:tabs>
      <w:spacing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CmChar">
    <w:name w:val="Cím Char"/>
    <w:basedOn w:val="Bekezdsalapbettpusa"/>
    <w:link w:val="Cm"/>
    <w:rPr>
      <w:rFonts w:eastAsia="Times New Roman"/>
      <w:b/>
      <w:sz w:val="22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napToGrid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character" w:customStyle="1" w:styleId="JegyzetszvegChar">
    <w:name w:val="Jegyzetszöveg Char"/>
    <w:basedOn w:val="Bekezdsalapbettpusa"/>
    <w:link w:val="Jegyzetszveg"/>
    <w:rPr>
      <w:snapToGrid w:val="0"/>
      <w:lang w:eastAsia="zh-CN"/>
    </w:r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sl-SI" w:eastAsia="sl-SI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autoSpaceDE w:val="0"/>
      <w:spacing w:line="240" w:lineRule="auto"/>
    </w:pPr>
    <w:rPr>
      <w:rFonts w:eastAsia="Lucida Sans Unicode"/>
      <w:snapToGrid/>
      <w:sz w:val="20"/>
      <w:lang w:val="hu-HU" w:eastAsia="sl-SI"/>
    </w:rPr>
  </w:style>
  <w:style w:type="paragraph" w:styleId="Szvegtrzs3">
    <w:name w:val="Body Text 3"/>
    <w:basedOn w:val="Norml"/>
    <w:link w:val="Szvegtrzs3Char"/>
    <w:pPr>
      <w:tabs>
        <w:tab w:val="clear" w:pos="567"/>
      </w:tabs>
      <w:spacing w:after="120" w:line="240" w:lineRule="auto"/>
    </w:pPr>
    <w:rPr>
      <w:rFonts w:eastAsia="Times New Roman"/>
      <w:snapToGrid/>
      <w:sz w:val="16"/>
      <w:szCs w:val="16"/>
      <w:lang w:val="sl-SI" w:eastAsia="sl-SI"/>
    </w:rPr>
  </w:style>
  <w:style w:type="character" w:customStyle="1" w:styleId="Szvegtrzs3Char">
    <w:name w:val="Szövegtörzs 3 Char"/>
    <w:basedOn w:val="Bekezdsalapbettpusa"/>
    <w:link w:val="Szvegtrzs3"/>
    <w:rPr>
      <w:rFonts w:eastAsia="Times New Roman"/>
      <w:sz w:val="16"/>
      <w:szCs w:val="16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8475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631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5C8AD-C9DC-4FCA-922B-66358CD68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6719</Words>
  <Characters>52252</Characters>
  <Application>Microsoft Office Word</Application>
  <DocSecurity>0</DocSecurity>
  <Lines>435</Lines>
  <Paragraphs>117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 OGYI 49.1</cp:lastModifiedBy>
  <cp:revision>4</cp:revision>
  <dcterms:created xsi:type="dcterms:W3CDTF">2026-09-21T14:34:00Z</dcterms:created>
  <dcterms:modified xsi:type="dcterms:W3CDTF">2026-09-22T08:57:00Z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