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17F" w:rsidRDefault="00D96CC4">
      <w:pPr>
        <w:widowControl w:val="0"/>
        <w:spacing w:line="240" w:lineRule="auto"/>
        <w:rPr>
          <w:color w:val="008000"/>
          <w:lang w:val="hu-HU"/>
        </w:rPr>
      </w:pPr>
      <w:bookmarkStart w:id="0" w:name="_GoBack"/>
      <w:bookmarkEnd w:id="0"/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B6017F" w:rsidRDefault="00B6017F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lang w:val="hu-HU"/>
        </w:rPr>
      </w:pPr>
      <w:bookmarkStart w:id="1" w:name="_Hlk182207243"/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40 mg/1,5 mg módosított hatóanyag-leadású tabletta</w:t>
      </w:r>
    </w:p>
    <w:p w:rsidR="00B6017F" w:rsidRDefault="00D96CC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80 mg/1,5 mg módosított hatóanyag-leadású tabletta</w:t>
      </w:r>
    </w:p>
    <w:bookmarkEnd w:id="1"/>
    <w:p w:rsidR="00B6017F" w:rsidRDefault="00B6017F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B6017F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>MINŐSÉGI ÉS MENNYISÉGI ÖSSZETÉTEL</w:t>
      </w:r>
    </w:p>
    <w:p w:rsidR="00B6017F" w:rsidRDefault="00B6017F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40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80 mg </w:t>
      </w:r>
      <w:proofErr w:type="spellStart"/>
      <w:r>
        <w:rPr>
          <w:lang w:val="hu-HU"/>
        </w:rPr>
        <w:t>telmizartánt</w:t>
      </w:r>
      <w:proofErr w:type="spellEnd"/>
      <w:r>
        <w:rPr>
          <w:lang w:val="hu-HU"/>
        </w:rPr>
        <w:t xml:space="preserve"> és 1,5 mg </w:t>
      </w:r>
      <w:proofErr w:type="spellStart"/>
      <w:r>
        <w:rPr>
          <w:lang w:val="hu-HU"/>
        </w:rPr>
        <w:t>indapamidot</w:t>
      </w:r>
      <w:proofErr w:type="spellEnd"/>
      <w:r>
        <w:rPr>
          <w:lang w:val="hu-HU"/>
        </w:rPr>
        <w:t xml:space="preserve"> tartalmaz tablettánként.</w:t>
      </w:r>
    </w:p>
    <w:p w:rsidR="00B6017F" w:rsidRDefault="00B6017F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B6017F" w:rsidRDefault="00D96CC4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  <w:r>
        <w:rPr>
          <w:u w:val="single"/>
          <w:lang w:val="hu-HU"/>
        </w:rPr>
        <w:t>ok:</w:t>
      </w:r>
    </w:p>
    <w:p w:rsidR="00B6017F" w:rsidRDefault="00B6017F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89,02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146,02 mg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 tablettánként (</w:t>
      </w:r>
      <w:proofErr w:type="spellStart"/>
      <w:r>
        <w:rPr>
          <w:lang w:val="hu-HU"/>
        </w:rPr>
        <w:t>laktóz-monohidrát</w:t>
      </w:r>
      <w:proofErr w:type="spellEnd"/>
      <w:r>
        <w:rPr>
          <w:lang w:val="hu-HU"/>
        </w:rPr>
        <w:t xml:space="preserve"> formájában).</w:t>
      </w:r>
    </w:p>
    <w:p w:rsidR="00B6017F" w:rsidRDefault="00B6017F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:rsidR="00B6017F" w:rsidRDefault="00D96CC4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 pontban</w:t>
      </w:r>
      <w:r>
        <w:rPr>
          <w:bCs/>
          <w:noProof/>
          <w:szCs w:val="22"/>
          <w:lang w:val="hu-HU"/>
        </w:rPr>
        <w:t>.</w:t>
      </w:r>
    </w:p>
    <w:p w:rsidR="00B6017F" w:rsidRDefault="00B6017F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:rsidR="00B6017F" w:rsidRDefault="00B6017F">
      <w:pPr>
        <w:widowControl w:val="0"/>
        <w:spacing w:line="240" w:lineRule="auto"/>
        <w:rPr>
          <w:bCs/>
          <w:lang w:val="hu-HU"/>
        </w:rPr>
      </w:pPr>
    </w:p>
    <w:p w:rsidR="00B6017F" w:rsidRDefault="00D96CC4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:rsidR="00B6017F" w:rsidRDefault="00B6017F">
      <w:pPr>
        <w:spacing w:line="240" w:lineRule="auto"/>
        <w:ind w:left="567" w:hanging="567"/>
        <w:rPr>
          <w:b/>
          <w:lang w:val="hu-HU"/>
        </w:rPr>
      </w:pPr>
    </w:p>
    <w:p w:rsidR="00B6017F" w:rsidRDefault="00D96CC4">
      <w:pPr>
        <w:spacing w:line="240" w:lineRule="auto"/>
        <w:ind w:left="567" w:hanging="567"/>
        <w:rPr>
          <w:bCs/>
          <w:szCs w:val="22"/>
          <w:lang w:val="hu-HU" w:eastAsia="hu-HU"/>
        </w:rPr>
      </w:pPr>
      <w:r>
        <w:rPr>
          <w:bCs/>
          <w:szCs w:val="22"/>
          <w:lang w:val="hu-HU" w:eastAsia="hu-HU"/>
        </w:rPr>
        <w:t>Módosított hatóanyag-leadású tabletta (tabletta).</w:t>
      </w:r>
    </w:p>
    <w:p w:rsidR="00B6017F" w:rsidRDefault="00B6017F">
      <w:pPr>
        <w:spacing w:line="240" w:lineRule="auto"/>
        <w:ind w:left="567" w:hanging="567"/>
        <w:rPr>
          <w:b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B6017F" w:rsidRDefault="00D96CC4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narancssárga,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TI1 jelöléssel.</w:t>
      </w:r>
    </w:p>
    <w:p w:rsidR="00B6017F" w:rsidRDefault="00D96CC4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B6017F" w:rsidRDefault="00B6017F">
      <w:pPr>
        <w:spacing w:line="240" w:lineRule="auto"/>
        <w:ind w:left="567" w:hanging="567"/>
        <w:rPr>
          <w:bCs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B6017F" w:rsidRDefault="00D96CC4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Kapszula alakú, kétrétegű, mindkét oldalán domború tabletta. Az egyik réteg barnássárga, foltos. A másik réteg fehér vagy </w:t>
      </w:r>
      <w:proofErr w:type="spellStart"/>
      <w:r>
        <w:rPr>
          <w:bCs/>
          <w:lang w:val="hu-HU"/>
        </w:rPr>
        <w:t>barnássárgás</w:t>
      </w:r>
      <w:proofErr w:type="spellEnd"/>
      <w:r>
        <w:rPr>
          <w:bCs/>
          <w:lang w:val="hu-HU"/>
        </w:rPr>
        <w:t xml:space="preserve"> fehér, foltos, TI2 jelöléssel.</w:t>
      </w:r>
    </w:p>
    <w:p w:rsidR="00B6017F" w:rsidRDefault="00D96CC4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A tabletta mérete: körülbelül 18 mm × 8 mm.</w:t>
      </w:r>
    </w:p>
    <w:p w:rsidR="00B6017F" w:rsidRDefault="00B6017F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:rsidR="00B6017F" w:rsidRDefault="00B6017F">
      <w:pPr>
        <w:spacing w:line="240" w:lineRule="auto"/>
        <w:rPr>
          <w:szCs w:val="22"/>
          <w:lang w:val="hu-HU"/>
        </w:rPr>
      </w:pPr>
    </w:p>
    <w:p w:rsidR="00B6017F" w:rsidRDefault="00D96C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 esszenciális </w:t>
      </w:r>
      <w:proofErr w:type="spellStart"/>
      <w:r>
        <w:rPr>
          <w:szCs w:val="22"/>
          <w:lang w:val="hu-HU"/>
        </w:rPr>
        <w:t>hypertonia</w:t>
      </w:r>
      <w:proofErr w:type="spellEnd"/>
      <w:r>
        <w:rPr>
          <w:szCs w:val="22"/>
          <w:lang w:val="hu-HU"/>
        </w:rPr>
        <w:t xml:space="preserve"> kezelésére javallott szubsztitúciós terápiaként olyan felnőtt betegek kezelésére, akiknek a vérnyomása megfelelően be van állítva a kombinációval azonos </w:t>
      </w:r>
      <w:proofErr w:type="gramStart"/>
      <w:r>
        <w:rPr>
          <w:szCs w:val="22"/>
          <w:lang w:val="hu-HU"/>
        </w:rPr>
        <w:t>dózisban</w:t>
      </w:r>
      <w:proofErr w:type="gramEnd"/>
      <w:r>
        <w:rPr>
          <w:szCs w:val="22"/>
          <w:lang w:val="hu-HU"/>
        </w:rPr>
        <w:t xml:space="preserve">, de külön tablettaként adott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egyidejű alkalmazásával.</w:t>
      </w:r>
    </w:p>
    <w:p w:rsidR="00B6017F" w:rsidRDefault="00B6017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:rsidR="00B6017F" w:rsidRDefault="00B6017F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B6017F" w:rsidRDefault="00D96CC4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javasolt dózisa napi egy tabletta.</w:t>
      </w:r>
    </w:p>
    <w:p w:rsidR="00B6017F" w:rsidRDefault="00D96CC4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fix dózisú kombináció kezdeti terápiára nem alkalmas.</w:t>
      </w:r>
    </w:p>
    <w:p w:rsidR="00B6017F" w:rsidRDefault="00B6017F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B6017F" w:rsidRDefault="00D96CC4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Tedenomo-ra</w:t>
      </w:r>
      <w:proofErr w:type="spellEnd"/>
      <w:r>
        <w:rPr>
          <w:lang w:val="hu-HU"/>
        </w:rPr>
        <w:t xml:space="preserve"> történő áttérés előtt a betegek vérnyomása legyen megfelelően beállítva az azonos időben, külön készítményben bevett hatóanyagok</w:t>
      </w:r>
      <w:r>
        <w:t xml:space="preserve"> </w:t>
      </w:r>
      <w:r>
        <w:rPr>
          <w:lang w:val="hu-HU"/>
        </w:rPr>
        <w:t xml:space="preserve">stabil dózisaival. 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dózisának a kombináció egyes hatóanyagainak az áttérés időpontjában szedett dózisain kell alapulnia.</w:t>
      </w:r>
    </w:p>
    <w:p w:rsidR="00B6017F" w:rsidRDefault="00B6017F">
      <w:pPr>
        <w:autoSpaceDE w:val="0"/>
        <w:autoSpaceDN w:val="0"/>
        <w:adjustRightInd w:val="0"/>
        <w:rPr>
          <w:lang w:val="hu-HU"/>
        </w:rPr>
      </w:pPr>
    </w:p>
    <w:p w:rsidR="00B6017F" w:rsidRDefault="00D96CC4">
      <w:pPr>
        <w:autoSpaceDE w:val="0"/>
        <w:autoSpaceDN w:val="0"/>
        <w:adjustRightInd w:val="0"/>
        <w:rPr>
          <w:lang w:val="hu-HU"/>
        </w:rPr>
      </w:pPr>
      <w:r>
        <w:rPr>
          <w:lang w:val="hu-HU"/>
        </w:rPr>
        <w:t>Ha a dózis módosítására van szükség, azt a kombináció egyes hatóanyagainak külön-külön titrálásával kell elvégezni.</w:t>
      </w:r>
    </w:p>
    <w:p w:rsidR="00B6017F" w:rsidRDefault="00B6017F">
      <w:pPr>
        <w:autoSpaceDE w:val="0"/>
        <w:autoSpaceDN w:val="0"/>
        <w:adjustRightInd w:val="0"/>
        <w:rPr>
          <w:lang w:val="hu-HU"/>
        </w:rPr>
      </w:pPr>
    </w:p>
    <w:p w:rsidR="00B6017F" w:rsidRDefault="00D96CC4">
      <w:pPr>
        <w:autoSpaceDE w:val="0"/>
        <w:autoSpaceDN w:val="0"/>
        <w:adjustRightInd w:val="0"/>
        <w:rPr>
          <w:u w:val="single"/>
          <w:lang w:val="hu-HU"/>
        </w:rPr>
      </w:pPr>
      <w:r>
        <w:rPr>
          <w:u w:val="single"/>
          <w:lang w:val="hu-HU"/>
        </w:rPr>
        <w:t>Különleges betegcsoportok</w:t>
      </w:r>
    </w:p>
    <w:p w:rsidR="00B6017F" w:rsidRDefault="00B6017F">
      <w:pPr>
        <w:autoSpaceDE w:val="0"/>
        <w:autoSpaceDN w:val="0"/>
        <w:adjustRightInd w:val="0"/>
        <w:rPr>
          <w:lang w:val="hu-HU"/>
        </w:rPr>
      </w:pPr>
    </w:p>
    <w:p w:rsidR="00B6017F" w:rsidRDefault="00D96CC4">
      <w:pPr>
        <w:autoSpaceDE w:val="0"/>
        <w:autoSpaceDN w:val="0"/>
        <w:adjustRightInd w:val="0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Vesekárosodás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>Súlyos fokú vesekárosodás (30 ml/perc alatti kreatinin-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>) esetén a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>-</w:t>
      </w:r>
      <w:r>
        <w:rPr>
          <w:szCs w:val="22"/>
          <w:lang w:val="hu-HU"/>
        </w:rPr>
        <w:t xml:space="preserve">kezelés ellenjavallt (lásd 4.3 pont). Enyhe és közepesen súlyos vesekárosodásban szenvedő betegek esetén nincs szükség dózismódosításra, de 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normális, vagy csak minimális a vesekárosodás mértéke.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i/>
          <w:iCs/>
          <w:szCs w:val="22"/>
          <w:u w:val="single"/>
          <w:lang w:val="hu-HU"/>
        </w:rPr>
      </w:pPr>
      <w:proofErr w:type="spellStart"/>
      <w:r>
        <w:rPr>
          <w:i/>
          <w:iCs/>
          <w:szCs w:val="22"/>
          <w:u w:val="single"/>
          <w:lang w:val="hu-HU"/>
        </w:rPr>
        <w:t>Májkárododás</w:t>
      </w:r>
      <w:proofErr w:type="spellEnd"/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 súlyos májkárosodásban szenvedő betegek számára ellenjavalt (lásd 4.3 pont). Enyhe és közepesen súlyos májműködési zavar esetén a dózis nem haladhatja meg a 40 mg/1,5 mg-</w:t>
      </w:r>
      <w:proofErr w:type="spellStart"/>
      <w:r>
        <w:rPr>
          <w:szCs w:val="22"/>
          <w:lang w:val="hu-HU"/>
        </w:rPr>
        <w:t>ot</w:t>
      </w:r>
      <w:proofErr w:type="spellEnd"/>
      <w:r>
        <w:rPr>
          <w:szCs w:val="22"/>
          <w:lang w:val="hu-HU"/>
        </w:rPr>
        <w:t xml:space="preserve"> (lásd 4.4 pont).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i/>
          <w:iCs/>
          <w:szCs w:val="22"/>
          <w:u w:val="single"/>
          <w:lang w:val="hu-HU"/>
        </w:rPr>
      </w:pPr>
      <w:r>
        <w:rPr>
          <w:i/>
          <w:iCs/>
          <w:szCs w:val="22"/>
          <w:u w:val="single"/>
          <w:lang w:val="hu-HU"/>
        </w:rPr>
        <w:t>Idősek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Idősek esetében az adagoláson nem szükséges módosítani, de a plazmakreatinin-szintet korrigálni kell az életkortól, a testtömegtől és a nemtől függően. </w:t>
      </w:r>
      <w:r>
        <w:rPr>
          <w:szCs w:val="22"/>
          <w:lang w:val="hu-HU" w:eastAsia="ar-SA"/>
        </w:rPr>
        <w:t xml:space="preserve">Idősek csak akkor kezelhetők </w:t>
      </w:r>
      <w:proofErr w:type="spellStart"/>
      <w:r>
        <w:rPr>
          <w:lang w:val="hu-HU"/>
        </w:rPr>
        <w:t>Tedenomo</w:t>
      </w:r>
      <w:r>
        <w:rPr>
          <w:szCs w:val="22"/>
          <w:lang w:val="hu-HU" w:eastAsia="ar-SA"/>
        </w:rPr>
        <w:t>-val</w:t>
      </w:r>
      <w:proofErr w:type="spellEnd"/>
      <w:r>
        <w:rPr>
          <w:szCs w:val="22"/>
          <w:lang w:val="hu-HU" w:eastAsia="ar-SA"/>
        </w:rPr>
        <w:t>, ha a vesefunkció normális, vagy csak minimális a vesekárosodás mértéke.</w:t>
      </w:r>
    </w:p>
    <w:p w:rsidR="00B6017F" w:rsidRDefault="00B6017F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</w:pPr>
      <w:r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  <w:t>Gyermekek és serdülők</w:t>
      </w:r>
    </w:p>
    <w:p w:rsidR="00B6017F" w:rsidRDefault="00D96CC4">
      <w:pPr>
        <w:autoSpaceDE w:val="0"/>
        <w:autoSpaceDN w:val="0"/>
        <w:adjustRightInd w:val="0"/>
        <w:spacing w:line="240" w:lineRule="auto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 alkalmazása </w:t>
      </w:r>
      <w:r>
        <w:rPr>
          <w:szCs w:val="22"/>
          <w:lang w:val="hu-HU" w:eastAsia="en-US"/>
        </w:rPr>
        <w:t>nem javasolt 18</w:t>
      </w:r>
      <w:r>
        <w:rPr>
          <w:szCs w:val="22"/>
          <w:lang w:val="hu-HU"/>
        </w:rPr>
        <w:t> </w:t>
      </w:r>
      <w:r>
        <w:rPr>
          <w:szCs w:val="22"/>
          <w:lang w:val="hu-HU" w:eastAsia="en-US"/>
        </w:rPr>
        <w:t>évesnél fiatalabb gyermekek és serdülők esetén.</w:t>
      </w:r>
    </w:p>
    <w:p w:rsidR="00B6017F" w:rsidRDefault="00D96CC4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Tedenomo</w:t>
      </w:r>
      <w:proofErr w:type="spellEnd"/>
      <w:r>
        <w:rPr>
          <w:szCs w:val="22"/>
          <w:lang w:val="hu-HU"/>
        </w:rPr>
        <w:t xml:space="preserve"> biztonságosságát és hatásosságát ebben a populációban nem igazolták.</w:t>
      </w:r>
    </w:p>
    <w:p w:rsidR="00B6017F" w:rsidRDefault="00B6017F">
      <w:pPr>
        <w:spacing w:line="240" w:lineRule="auto"/>
        <w:rPr>
          <w:noProof/>
          <w:szCs w:val="24"/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Tedenomo</w:t>
      </w:r>
      <w:proofErr w:type="spellEnd"/>
      <w:r>
        <w:rPr>
          <w:lang w:val="hu-HU"/>
        </w:rPr>
        <w:t xml:space="preserve"> módosított hatóanyag-leadású tabletta naponta egyszeri, szájon át történő alkalmazásra szánt készítmény, lehetőleg reggel, folyadékkal, egészben kell lenyelni étkezés közben vagy attól függetlenül.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készítmény hatóanyagaival, egyéb szulfonamidokkal vagy a 6.1 pontban felsorolt bármely segédanyagával szembeni túlérzékenység;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a terhesség második és harmadik trimesztere (lásd 4.4 és 4.6 pont);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súlyos májkárosodás vagy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encephalopathia</w:t>
      </w:r>
      <w:proofErr w:type="spellEnd"/>
      <w:r>
        <w:rPr>
          <w:szCs w:val="22"/>
          <w:lang w:val="hu-HU"/>
        </w:rPr>
        <w:t>;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>súlyos vesekárosodás;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>;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az epeutak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rendellenességei.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78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egyidejű alkalmazása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>-tartalmú készítményekkel ellenjavallt diabetes mellitusban szenvedő vagy károsodott veseműködésű (GFR &lt;60 ml/perc/1,73 m</w:t>
      </w:r>
      <w:r>
        <w:rPr>
          <w:szCs w:val="22"/>
          <w:vertAlign w:val="superscript"/>
          <w:lang w:val="hu-HU"/>
        </w:rPr>
        <w:t>2</w:t>
      </w:r>
      <w:r>
        <w:rPr>
          <w:szCs w:val="22"/>
          <w:lang w:val="hu-HU"/>
        </w:rPr>
        <w:t>) betegeknél (lásd 4.5 és 5.1 pont).</w:t>
      </w:r>
    </w:p>
    <w:p w:rsidR="00B6017F" w:rsidRDefault="00B6017F">
      <w:pPr>
        <w:spacing w:line="240" w:lineRule="auto"/>
        <w:ind w:left="426" w:hanging="437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Terhesség</w:t>
      </w:r>
    </w:p>
    <w:p w:rsidR="00B6017F" w:rsidRDefault="00D96CC4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Terhesség alatt nem szabad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II-receptor-blokkoló- (ARB) kezelést elkezdeni. A terhességet tervező betegeket – kivéve, ha az ARB-kezelés folytatása feltétlenül szükséges – olyan másik </w:t>
      </w:r>
      <w:proofErr w:type="spellStart"/>
      <w:r>
        <w:rPr>
          <w:szCs w:val="22"/>
          <w:lang w:val="hu-HU"/>
        </w:rPr>
        <w:t>antihipertenzív</w:t>
      </w:r>
      <w:proofErr w:type="spellEnd"/>
      <w:r>
        <w:rPr>
          <w:szCs w:val="22"/>
          <w:lang w:val="hu-HU"/>
        </w:rPr>
        <w:t xml:space="preserve"> kezelésre kell átállítani, amelynek megvizsgálták a terhesség alatti alkalmazásra vonatkozó biztonságossági profilját. Terhesség megállapítása esetén az ARB-kezelést azonnal abba kell hagyni, és – amennyiben az megfelelő – terápiás alternatíva alkalmazását kell megkezdeni (lásd 4.3 és 4.6 pont).</w:t>
      </w:r>
    </w:p>
    <w:p w:rsidR="00B6017F" w:rsidRDefault="00B6017F">
      <w:pPr>
        <w:suppressAutoHyphens/>
        <w:rPr>
          <w:szCs w:val="22"/>
          <w:lang w:val="hu-HU"/>
        </w:rPr>
      </w:pPr>
    </w:p>
    <w:p w:rsidR="00B6017F" w:rsidRDefault="00D96CC4">
      <w:pPr>
        <w:suppressAutoHyphens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Májkárosodás</w:t>
      </w:r>
    </w:p>
    <w:p w:rsidR="00B6017F" w:rsidRDefault="00D96CC4">
      <w:pPr>
        <w:suppressAutoHyphens/>
        <w:rPr>
          <w:szCs w:val="22"/>
          <w:lang w:val="hu-HU"/>
        </w:rPr>
      </w:pPr>
      <w:r>
        <w:rPr>
          <w:szCs w:val="22"/>
          <w:lang w:val="hu-HU"/>
        </w:rPr>
        <w:t xml:space="preserve">Mivel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elsősorban az epén keresztül </w:t>
      </w:r>
      <w:proofErr w:type="spellStart"/>
      <w:r>
        <w:rPr>
          <w:szCs w:val="22"/>
          <w:lang w:val="hu-HU"/>
        </w:rPr>
        <w:t>eliminálódik</w:t>
      </w:r>
      <w:proofErr w:type="spellEnd"/>
      <w:r>
        <w:rPr>
          <w:szCs w:val="22"/>
          <w:lang w:val="hu-HU"/>
        </w:rPr>
        <w:t xml:space="preserve">,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 nem adható </w:t>
      </w:r>
      <w:proofErr w:type="spellStart"/>
      <w:r>
        <w:rPr>
          <w:szCs w:val="22"/>
          <w:lang w:val="hu-HU"/>
        </w:rPr>
        <w:t>cholestasisban</w:t>
      </w:r>
      <w:proofErr w:type="spellEnd"/>
      <w:r>
        <w:rPr>
          <w:szCs w:val="22"/>
          <w:lang w:val="hu-HU"/>
        </w:rPr>
        <w:t xml:space="preserve">, epeúti </w:t>
      </w:r>
      <w:proofErr w:type="spellStart"/>
      <w:r>
        <w:rPr>
          <w:szCs w:val="22"/>
          <w:lang w:val="hu-HU"/>
        </w:rPr>
        <w:t>obstruktív</w:t>
      </w:r>
      <w:proofErr w:type="spellEnd"/>
      <w:r>
        <w:rPr>
          <w:szCs w:val="22"/>
          <w:lang w:val="hu-HU"/>
        </w:rPr>
        <w:t xml:space="preserve"> rendellenességben vagy súlyos májkárosodásban szenvedő betegeknek (lásd 4.3 pont). Ezeknél a betegeknél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hepaticus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clearance</w:t>
      </w:r>
      <w:proofErr w:type="spellEnd"/>
      <w:r>
        <w:rPr>
          <w:szCs w:val="22"/>
          <w:lang w:val="hu-HU"/>
        </w:rPr>
        <w:t xml:space="preserve">-ének csökkenése várható.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kombinációt csak elővigyázatossággal szabad adni enyhe, illetve közepes fokú májkárosodás esetén.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Hepaticus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encephalopathia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Májkárosodás esetén a </w:t>
      </w:r>
      <w:proofErr w:type="spellStart"/>
      <w:r>
        <w:rPr>
          <w:lang w:val="hu-HU"/>
        </w:rPr>
        <w:t>tiaziddal</w:t>
      </w:r>
      <w:proofErr w:type="spellEnd"/>
      <w:r>
        <w:rPr>
          <w:lang w:val="hu-HU"/>
        </w:rPr>
        <w:t xml:space="preserve">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különösen elektrolitegyensúly-zavar esetén –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encephalopathiát</w:t>
      </w:r>
      <w:proofErr w:type="spellEnd"/>
      <w:r>
        <w:rPr>
          <w:lang w:val="hu-HU"/>
        </w:rPr>
        <w:t xml:space="preserve"> okozhatnak, amely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comáig</w:t>
      </w:r>
      <w:proofErr w:type="spellEnd"/>
      <w:r>
        <w:rPr>
          <w:lang w:val="hu-HU"/>
        </w:rPr>
        <w:t xml:space="preserve"> súlyosbodhat. Ha ez a hatás jelentkezik,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adását azonnal abba kell hagyni.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uppressAutoHyphens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Renovascularis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hypertensio</w:t>
      </w:r>
      <w:proofErr w:type="spellEnd"/>
    </w:p>
    <w:p w:rsidR="00B6017F" w:rsidRDefault="00D96C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Fokozódik a súlyos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és a veseelégtelenség kockázata kétoldali </w:t>
      </w:r>
      <w:proofErr w:type="spellStart"/>
      <w:r>
        <w:rPr>
          <w:szCs w:val="22"/>
          <w:lang w:val="hu-HU"/>
        </w:rPr>
        <w:t>arteria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renalis-stenosis</w:t>
      </w:r>
      <w:proofErr w:type="spellEnd"/>
      <w:r>
        <w:rPr>
          <w:szCs w:val="22"/>
          <w:lang w:val="hu-HU"/>
        </w:rPr>
        <w:t xml:space="preserve">, vagy az egyetlen működő vese </w:t>
      </w:r>
      <w:proofErr w:type="spellStart"/>
      <w:r>
        <w:rPr>
          <w:szCs w:val="22"/>
          <w:lang w:val="hu-HU"/>
        </w:rPr>
        <w:t>arteriostenosisa</w:t>
      </w:r>
      <w:proofErr w:type="spellEnd"/>
      <w:r>
        <w:rPr>
          <w:szCs w:val="22"/>
          <w:lang w:val="hu-HU"/>
        </w:rPr>
        <w:t xml:space="preserve"> esetén, ha az ilyen betegeket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rendszerre ható gyógyszerekkel kezelik.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Intravascularis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hypovolaemia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Symptomaticus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léphet fel – különösen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dózisa után – azon betegeknél, akiknél volumen- és/vagy nátriumhiány alakult ki nagy dózisú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kezelés, sószegény diéta, illetve hasmenés vagy hányás következtében.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adagolásának elkezdése előtt ezeket az állapotokat normalizálni kell.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adása előtt korrigálni kell a volumen- és/vagy nátriumhiányt.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 és vesetranszplantáció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Vesekárosodás esetén történő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-kezelésnél a betegek szérumkálium- és szérumkreatinin-szintjének rendszeres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 ajánlott. Nincs tapasztalat azon betegek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>-kezelésével kapcsolatban, akiknél a közelmúltban vesetranszplantációt végeztek.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Vesefunkció és </w:t>
      </w:r>
      <w:proofErr w:type="spellStart"/>
      <w:r>
        <w:rPr>
          <w:u w:val="single"/>
          <w:lang w:val="hu-HU"/>
        </w:rPr>
        <w:t>diuretikumok</w:t>
      </w:r>
      <w:proofErr w:type="spellEnd"/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tiazid</w:t>
      </w:r>
      <w:proofErr w:type="spellEnd"/>
      <w:r>
        <w:rPr>
          <w:szCs w:val="22"/>
          <w:lang w:val="hu-HU"/>
        </w:rPr>
        <w:t xml:space="preserve"> és rokon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csak akkor fejtik ki teljes hatásukat, ha a vesefunkció normális, vagy a vesekárosodás csak minimális mértékű (ha a plazma </w:t>
      </w:r>
      <w:proofErr w:type="spellStart"/>
      <w:r>
        <w:rPr>
          <w:szCs w:val="22"/>
          <w:lang w:val="hu-HU"/>
        </w:rPr>
        <w:t>kreatininszintjének</w:t>
      </w:r>
      <w:proofErr w:type="spellEnd"/>
      <w:r>
        <w:rPr>
          <w:szCs w:val="22"/>
          <w:lang w:val="hu-HU"/>
        </w:rPr>
        <w:t xml:space="preserve"> értéke felnőttnél &lt;25 mg/l, azaz &lt;220 </w:t>
      </w:r>
      <w:proofErr w:type="spellStart"/>
      <w:r>
        <w:rPr>
          <w:rFonts w:eastAsia="Calibri"/>
          <w:noProof/>
          <w:szCs w:val="22"/>
          <w:lang w:val="hu-HU" w:eastAsia="en-US"/>
        </w:rPr>
        <w:t>mikromol</w:t>
      </w:r>
      <w:proofErr w:type="spellEnd"/>
      <w:r>
        <w:rPr>
          <w:szCs w:val="22"/>
          <w:lang w:val="hu-HU"/>
        </w:rPr>
        <w:t xml:space="preserve">/l). Idősek esetében a plazma </w:t>
      </w:r>
      <w:proofErr w:type="spellStart"/>
      <w:r>
        <w:rPr>
          <w:szCs w:val="22"/>
          <w:lang w:val="hu-HU"/>
        </w:rPr>
        <w:t>kreatininszintjét</w:t>
      </w:r>
      <w:proofErr w:type="spellEnd"/>
      <w:r>
        <w:rPr>
          <w:szCs w:val="22"/>
          <w:lang w:val="hu-HU"/>
        </w:rPr>
        <w:t xml:space="preserve"> korrigálni kell az életkortól, a testtömegtől és a nemtől függően.</w:t>
      </w:r>
    </w:p>
    <w:p w:rsidR="00B6017F" w:rsidRDefault="00D96C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elkezdésekor a szer hatására, a nátrium- és vízvesztés következtében másodlagosan kialakuló </w:t>
      </w:r>
      <w:proofErr w:type="spellStart"/>
      <w:r>
        <w:rPr>
          <w:szCs w:val="22"/>
          <w:lang w:val="hu-HU"/>
        </w:rPr>
        <w:t>hypovolaemia</w:t>
      </w:r>
      <w:proofErr w:type="spellEnd"/>
      <w:r>
        <w:rPr>
          <w:szCs w:val="22"/>
          <w:lang w:val="hu-HU"/>
        </w:rPr>
        <w:t xml:space="preserve"> csökkent </w:t>
      </w:r>
      <w:proofErr w:type="spellStart"/>
      <w:r>
        <w:rPr>
          <w:szCs w:val="22"/>
          <w:lang w:val="hu-HU"/>
        </w:rPr>
        <w:t>glomerulusfiltrációt</w:t>
      </w:r>
      <w:proofErr w:type="spellEnd"/>
      <w:r>
        <w:rPr>
          <w:szCs w:val="22"/>
          <w:lang w:val="hu-HU"/>
        </w:rPr>
        <w:t xml:space="preserve"> okoz. Emiatt megemelkedhet a vérben a karbamidszint és a plazma </w:t>
      </w:r>
      <w:proofErr w:type="spellStart"/>
      <w:r>
        <w:rPr>
          <w:szCs w:val="22"/>
          <w:lang w:val="hu-HU"/>
        </w:rPr>
        <w:t>kreatininszintje</w:t>
      </w:r>
      <w:proofErr w:type="spellEnd"/>
      <w:r>
        <w:rPr>
          <w:szCs w:val="22"/>
          <w:lang w:val="hu-HU"/>
        </w:rPr>
        <w:t>. Ez az átmeneti funkcionális veseelégtelenség nem jár következményekkel normál veseműködésű egyének esetén, azonban a korábban fennálló vesekárosodást súlyosbíthatja.</w:t>
      </w:r>
    </w:p>
    <w:p w:rsidR="00B6017F" w:rsidRDefault="00B6017F">
      <w:pPr>
        <w:spacing w:line="240" w:lineRule="auto"/>
        <w:rPr>
          <w:szCs w:val="22"/>
          <w:lang w:val="hu-HU"/>
        </w:rPr>
      </w:pPr>
    </w:p>
    <w:p w:rsidR="00B6017F" w:rsidRDefault="00D96CC4">
      <w:pPr>
        <w:spacing w:line="240" w:lineRule="auto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Intestinalis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angiooedema</w:t>
      </w:r>
      <w:proofErr w:type="spellEnd"/>
    </w:p>
    <w:p w:rsidR="00B6017F" w:rsidRDefault="00D96CC4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Intestinalis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angiooedemáról</w:t>
      </w:r>
      <w:proofErr w:type="spellEnd"/>
      <w:r>
        <w:rPr>
          <w:szCs w:val="22"/>
          <w:lang w:val="hu-HU"/>
        </w:rPr>
        <w:t xml:space="preserve"> számoltak be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 II-receptor-blokkolóval kezelt betegeknél (lásd 4.8 pont). Ezeknél a betegeknél </w:t>
      </w:r>
      <w:proofErr w:type="spellStart"/>
      <w:r>
        <w:rPr>
          <w:szCs w:val="22"/>
          <w:lang w:val="hu-HU"/>
        </w:rPr>
        <w:t>abdominalis</w:t>
      </w:r>
      <w:proofErr w:type="spellEnd"/>
      <w:r>
        <w:rPr>
          <w:szCs w:val="22"/>
          <w:lang w:val="hu-HU"/>
        </w:rPr>
        <w:t xml:space="preserve"> fájdalom, hányinger, hányás és hasmenés jelentkezett. A tünetek 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 II-receptor-blokkolóval végzett kezelés leállítása után megszűntek. Amennyiben </w:t>
      </w:r>
      <w:proofErr w:type="spellStart"/>
      <w:r>
        <w:rPr>
          <w:szCs w:val="22"/>
          <w:lang w:val="hu-HU"/>
        </w:rPr>
        <w:t>intestinalis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angiooedemát</w:t>
      </w:r>
      <w:proofErr w:type="spellEnd"/>
      <w:r>
        <w:rPr>
          <w:szCs w:val="22"/>
          <w:lang w:val="hu-HU"/>
        </w:rPr>
        <w:t xml:space="preserve"> diagnosztizálnak,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-kezelést le kell állítani, és a beteget megfelelően </w:t>
      </w:r>
      <w:proofErr w:type="spellStart"/>
      <w:r>
        <w:rPr>
          <w:szCs w:val="22"/>
          <w:lang w:val="hu-HU"/>
        </w:rPr>
        <w:t>monitorozni</w:t>
      </w:r>
      <w:proofErr w:type="spellEnd"/>
      <w:r>
        <w:rPr>
          <w:szCs w:val="22"/>
          <w:lang w:val="hu-HU"/>
        </w:rPr>
        <w:t xml:space="preserve"> kell mindaddig, amíg a tünetek teljes mértékben meg nem szűnnek.</w:t>
      </w:r>
    </w:p>
    <w:p w:rsidR="00B6017F" w:rsidRDefault="00B6017F">
      <w:pPr>
        <w:spacing w:line="240" w:lineRule="auto"/>
        <w:rPr>
          <w:szCs w:val="22"/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szCs w:val="22"/>
          <w:u w:val="single"/>
          <w:lang w:val="hu-HU"/>
        </w:rPr>
        <w:t xml:space="preserve">A </w:t>
      </w:r>
      <w:proofErr w:type="spellStart"/>
      <w:r>
        <w:rPr>
          <w:szCs w:val="22"/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szCs w:val="22"/>
          <w:u w:val="single"/>
          <w:lang w:val="hu-HU"/>
        </w:rPr>
        <w:t>aldoszteron</w:t>
      </w:r>
      <w:proofErr w:type="spellEnd"/>
      <w:r>
        <w:rPr>
          <w:szCs w:val="22"/>
          <w:u w:val="single"/>
          <w:lang w:val="hu-HU"/>
        </w:rPr>
        <w:t xml:space="preserve"> rendszer (RAAS) kettős blokádja</w:t>
      </w:r>
    </w:p>
    <w:p w:rsidR="00B6017F" w:rsidRDefault="00D96CC4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Bizonyíték van rá, hogy az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vagy az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egyidejű alkalmazása fokozza a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hyperkalaemia</w:t>
      </w:r>
      <w:proofErr w:type="spellEnd"/>
      <w:r>
        <w:rPr>
          <w:szCs w:val="22"/>
          <w:lang w:val="hu-HU"/>
        </w:rPr>
        <w:t xml:space="preserve"> és csökkent veseműködés (beleértve az akut veseelégtelenség) kockázatát, ezért a RAAS – ACE-gátlók, ARB-k vagy </w:t>
      </w:r>
      <w:proofErr w:type="spellStart"/>
      <w:r>
        <w:rPr>
          <w:szCs w:val="22"/>
          <w:lang w:val="hu-HU"/>
        </w:rPr>
        <w:t>aliszkirén</w:t>
      </w:r>
      <w:proofErr w:type="spellEnd"/>
      <w:r>
        <w:rPr>
          <w:szCs w:val="22"/>
          <w:lang w:val="hu-HU"/>
        </w:rPr>
        <w:t xml:space="preserve"> kombinált alkalmazásával történő – kettős blokádja nem javasolt (lásd 4.5 és 5.1 pont).</w:t>
      </w:r>
    </w:p>
    <w:p w:rsidR="00B6017F" w:rsidRDefault="00D96C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Ha a kettősblokád-kezelést abszolút szükségesnek ítélik, ez csak szakorvos felügyeletével, a vesefunkció, az elektrolitszintek és a vérnyomás gyakori és szoros ellenőrzése mellett történhet.</w:t>
      </w:r>
    </w:p>
    <w:p w:rsidR="00B6017F" w:rsidRDefault="00D96CC4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Az ACE-gátlók és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 xml:space="preserve"> II-receptor-blokkolók nem alkalmazhatók egyidejűleg diabeteses </w:t>
      </w:r>
      <w:proofErr w:type="spellStart"/>
      <w:r>
        <w:rPr>
          <w:szCs w:val="22"/>
          <w:lang w:val="hu-HU"/>
        </w:rPr>
        <w:t>nephropathiában</w:t>
      </w:r>
      <w:proofErr w:type="spellEnd"/>
      <w:r>
        <w:rPr>
          <w:szCs w:val="22"/>
          <w:lang w:val="hu-HU"/>
        </w:rPr>
        <w:t xml:space="preserve"> szenvedő betegeknél.</w:t>
      </w:r>
    </w:p>
    <w:p w:rsidR="00B6017F" w:rsidRDefault="00B6017F">
      <w:pPr>
        <w:spacing w:line="240" w:lineRule="auto"/>
        <w:rPr>
          <w:szCs w:val="22"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Egyéb, 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szCs w:val="22"/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stimulációjával járó állapotok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A RAAS-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ható gyógyszeres kezeléssel (például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-kezelés) akut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hyperazotaemiát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oliguriát</w:t>
      </w:r>
      <w:proofErr w:type="spellEnd"/>
      <w:r>
        <w:rPr>
          <w:lang w:val="hu-HU"/>
        </w:rPr>
        <w:t xml:space="preserve">, vagy ritkán akut veseelégtelenséget hoztak összefüggésbe azoknál a betegeknél, akiknek a </w:t>
      </w:r>
      <w:proofErr w:type="spellStart"/>
      <w:r>
        <w:rPr>
          <w:lang w:val="hu-HU"/>
        </w:rPr>
        <w:t>vascularis</w:t>
      </w:r>
      <w:proofErr w:type="spellEnd"/>
      <w:r>
        <w:rPr>
          <w:lang w:val="hu-HU"/>
        </w:rPr>
        <w:t xml:space="preserve"> tónusa és vesefunkciója elsősorban a </w:t>
      </w:r>
      <w:proofErr w:type="spellStart"/>
      <w:r>
        <w:rPr>
          <w:lang w:val="hu-HU"/>
        </w:rPr>
        <w:t>renin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szCs w:val="22"/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 aktivitásától függ – például súlyos </w:t>
      </w:r>
      <w:proofErr w:type="spellStart"/>
      <w:r>
        <w:rPr>
          <w:lang w:val="hu-HU"/>
        </w:rPr>
        <w:t>pangásos</w:t>
      </w:r>
      <w:proofErr w:type="spellEnd"/>
      <w:r>
        <w:rPr>
          <w:lang w:val="hu-HU"/>
        </w:rPr>
        <w:t xml:space="preserve"> szívelégtelenség vagy fennálló vesebetegség esetén, ideértve az </w:t>
      </w:r>
      <w:proofErr w:type="spellStart"/>
      <w:r>
        <w:rPr>
          <w:lang w:val="hu-HU"/>
        </w:rPr>
        <w:t>arteria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stenosisát</w:t>
      </w:r>
      <w:proofErr w:type="spellEnd"/>
      <w:r>
        <w:rPr>
          <w:lang w:val="hu-HU"/>
        </w:rPr>
        <w:t xml:space="preserve"> is (lásd 4.8 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Primer </w:t>
      </w:r>
      <w:proofErr w:type="spellStart"/>
      <w:r>
        <w:rPr>
          <w:u w:val="single"/>
          <w:lang w:val="hu-HU"/>
        </w:rPr>
        <w:t>aldosteronismus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Primer </w:t>
      </w:r>
      <w:proofErr w:type="spellStart"/>
      <w:r>
        <w:rPr>
          <w:lang w:val="hu-HU"/>
        </w:rPr>
        <w:t>aldosteronismusban</w:t>
      </w:r>
      <w:proofErr w:type="spellEnd"/>
      <w:r>
        <w:rPr>
          <w:lang w:val="hu-HU"/>
        </w:rPr>
        <w:t xml:space="preserve"> szenvedő betegek általában nem reagálnak 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rendszer gátlása útján ható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gyógyszerekre, ezért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nem javasolt.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Aortastenosis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mitralis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stenosis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hypertrophiás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obstruktív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cardiomyopathia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Más </w:t>
      </w:r>
      <w:proofErr w:type="spellStart"/>
      <w:r>
        <w:rPr>
          <w:lang w:val="hu-HU"/>
        </w:rPr>
        <w:t>vasodilatatorokhoz</w:t>
      </w:r>
      <w:proofErr w:type="spellEnd"/>
      <w:r>
        <w:rPr>
          <w:lang w:val="hu-HU"/>
        </w:rPr>
        <w:t xml:space="preserve"> hasonlóan fokozott óvatosság ajánlott aorta- vagy </w:t>
      </w:r>
      <w:proofErr w:type="spellStart"/>
      <w:r>
        <w:rPr>
          <w:lang w:val="hu-HU"/>
        </w:rPr>
        <w:t>mitralis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hypertrophiás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obstruktív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 xml:space="preserve"> esetén.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Inzulinnal vagy </w:t>
      </w:r>
      <w:proofErr w:type="spellStart"/>
      <w:r>
        <w:rPr>
          <w:u w:val="single"/>
          <w:lang w:val="hu-HU"/>
        </w:rPr>
        <w:t>antidiabetikumokkal</w:t>
      </w:r>
      <w:proofErr w:type="spellEnd"/>
      <w:r>
        <w:rPr>
          <w:u w:val="single"/>
          <w:lang w:val="hu-HU"/>
        </w:rPr>
        <w:t xml:space="preserve"> kezelt cukorbetegek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Ezeknél a betegeknél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-kezelés alatt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léphet fel, ezért megfontolandó a vércukorszint megfelelő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 xml:space="preserve">; indokolt esetben pedig az inzulin vagy az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dózisának módosítása válhat szükségessé.</w:t>
      </w:r>
    </w:p>
    <w:p w:rsidR="00B6017F" w:rsidRDefault="00B6017F">
      <w:pPr>
        <w:spacing w:line="240" w:lineRule="auto"/>
        <w:rPr>
          <w:u w:val="single"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Fényérzékenység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adása során fényérzékenységi reakciókról számoltak be (lásd 4.8 pont). Ha a kezelés alatt fényérzékenységi reakció jelentkezik, a kezelés leállítása javasolt. Ha szükségesnek ítélik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újbóli adását, a napfénynek vagy a mesterséges UVA-sugaraknak kitett területek védelme javasolt.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Folyadék- és elektrolit-háztartás egyensúlya</w:t>
      </w: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nátrium plazmaszintje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kezelés megkezdése előtt, majd az alkalmazás ideje alatt rendszeresen ellenőrizni kell a plazma nátriumszintjét. A plazma nátriumszintjének esése kezdetben nem feltétlenül okoz tüneteket, ezért rendszeres ellenőrzése elengedhetetlen. Időseknél, illetve májcirrózisban szenvedő betegeknél ezt a szokásosnál sűrűbben kell ellenőrizni (lásd 4.8 és 4.9 pont). Bármilyen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okozhat </w:t>
      </w:r>
      <w:proofErr w:type="spellStart"/>
      <w:r>
        <w:rPr>
          <w:lang w:val="hu-HU"/>
        </w:rPr>
        <w:t>hyponatraemiát</w:t>
      </w:r>
      <w:proofErr w:type="spellEnd"/>
      <w:r>
        <w:rPr>
          <w:lang w:val="hu-HU"/>
        </w:rPr>
        <w:t xml:space="preserve">, amely néha nagyon súlyos következményekkel jár. A </w:t>
      </w:r>
      <w:proofErr w:type="spellStart"/>
      <w:r>
        <w:rPr>
          <w:lang w:val="hu-HU"/>
        </w:rPr>
        <w:t>hypovolaemiával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dehidrációt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orthostaticus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is kiválthat. Az egyidejű kloridionvesztés másodlagos, </w:t>
      </w:r>
      <w:proofErr w:type="spellStart"/>
      <w:r>
        <w:rPr>
          <w:lang w:val="hu-HU"/>
        </w:rPr>
        <w:t>kompenzatorikus</w:t>
      </w:r>
      <w:proofErr w:type="spellEnd"/>
      <w:r>
        <w:rPr>
          <w:lang w:val="hu-HU"/>
        </w:rPr>
        <w:t xml:space="preserve"> metabolikus </w:t>
      </w:r>
      <w:proofErr w:type="spellStart"/>
      <w:r>
        <w:rPr>
          <w:lang w:val="hu-HU"/>
        </w:rPr>
        <w:t>alkalosist</w:t>
      </w:r>
      <w:proofErr w:type="spellEnd"/>
      <w:r>
        <w:rPr>
          <w:lang w:val="hu-HU"/>
        </w:rPr>
        <w:t xml:space="preserve"> okozhat: ennek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és foka csekély.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>A kálium plazmaszintje</w:t>
      </w: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Hyperkalaemia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rendszerre ható gyógyszerek alkalmazása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okozhat.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Időseknél, veseelégtelenségben szenvedő betegeknél, cukorbetegeknél, egyidejűleg más, a szérumkáliumszintet potenciálisan emelő gyógyszert szedő betegeknél és/vagy </w:t>
      </w:r>
      <w:proofErr w:type="spellStart"/>
      <w:r>
        <w:rPr>
          <w:lang w:val="hu-HU"/>
        </w:rPr>
        <w:t>interkurrens</w:t>
      </w:r>
      <w:proofErr w:type="spellEnd"/>
      <w:r>
        <w:rPr>
          <w:lang w:val="hu-HU"/>
        </w:rPr>
        <w:t xml:space="preserve"> esemény esetén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halálos is lehet.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Mielőtt </w:t>
      </w:r>
      <w:proofErr w:type="spellStart"/>
      <w:r>
        <w:rPr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rendszert befolyásoló gyógyszer egyidejű alkalmazása szóba jönne, az előny/kockázat arány becslése szükséges.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vonatkozásában az alábbi főbb rizikófaktorok mérlegelendők: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Cukorbetegség, vesekárosodás, életkor (</w:t>
      </w:r>
      <w:proofErr w:type="gramStart"/>
      <w:r>
        <w:rPr>
          <w:szCs w:val="22"/>
          <w:lang w:val="hu-HU"/>
        </w:rPr>
        <w:t>&gt;70</w:t>
      </w:r>
      <w:proofErr w:type="gramEnd"/>
      <w:r>
        <w:rPr>
          <w:szCs w:val="22"/>
          <w:lang w:val="hu-HU"/>
        </w:rPr>
        <w:t xml:space="preserve"> év).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 vagy több, a </w:t>
      </w:r>
      <w:proofErr w:type="spellStart"/>
      <w:r>
        <w:rPr>
          <w:szCs w:val="22"/>
          <w:lang w:val="hu-HU"/>
        </w:rPr>
        <w:t>renin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lang w:val="hu-HU"/>
        </w:rPr>
        <w:t>–</w:t>
      </w:r>
      <w:proofErr w:type="spellStart"/>
      <w:r>
        <w:rPr>
          <w:szCs w:val="22"/>
          <w:lang w:val="hu-HU"/>
        </w:rPr>
        <w:t>aldoszteron</w:t>
      </w:r>
      <w:proofErr w:type="spellEnd"/>
      <w:r>
        <w:rPr>
          <w:szCs w:val="22"/>
          <w:lang w:val="hu-HU"/>
        </w:rPr>
        <w:t xml:space="preserve"> rendszert befolyásoló és/vagy káliumpótló gyógyszer egyidejű alkalmazása. A következő gyógyszerek, illetve gyógyszercsoportok idézhetnek elő </w:t>
      </w:r>
      <w:proofErr w:type="spellStart"/>
      <w:r>
        <w:rPr>
          <w:szCs w:val="22"/>
          <w:lang w:val="hu-HU"/>
        </w:rPr>
        <w:t>hyperkalaemiát</w:t>
      </w:r>
      <w:proofErr w:type="spellEnd"/>
      <w:r>
        <w:rPr>
          <w:szCs w:val="22"/>
          <w:lang w:val="hu-HU"/>
        </w:rPr>
        <w:t xml:space="preserve">: </w:t>
      </w:r>
      <w:proofErr w:type="spellStart"/>
      <w:r>
        <w:rPr>
          <w:szCs w:val="22"/>
          <w:lang w:val="hu-HU"/>
        </w:rPr>
        <w:t>káliumtartalmú</w:t>
      </w:r>
      <w:proofErr w:type="spellEnd"/>
      <w:r>
        <w:rPr>
          <w:szCs w:val="22"/>
          <w:lang w:val="hu-HU"/>
        </w:rPr>
        <w:t xml:space="preserve"> sópótló készítmények, káliummegtakarító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, ACE-gátlók,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, nem-szteroid gyulladáscsökkentő gyógyszerek (NSAID-ok, beleértve a szelektív COX-2-gátlókat), </w:t>
      </w:r>
      <w:proofErr w:type="spellStart"/>
      <w:r>
        <w:rPr>
          <w:szCs w:val="22"/>
          <w:lang w:val="hu-HU"/>
        </w:rPr>
        <w:t>heparin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immunszuppresszív</w:t>
      </w:r>
      <w:proofErr w:type="spellEnd"/>
      <w:r>
        <w:rPr>
          <w:szCs w:val="22"/>
          <w:lang w:val="hu-HU"/>
        </w:rPr>
        <w:t xml:space="preserve"> szerek (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takrolimusz</w:t>
      </w:r>
      <w:proofErr w:type="spellEnd"/>
      <w:r>
        <w:rPr>
          <w:szCs w:val="22"/>
          <w:lang w:val="hu-HU"/>
        </w:rPr>
        <w:t xml:space="preserve">), valamint a </w:t>
      </w:r>
      <w:proofErr w:type="spellStart"/>
      <w:r>
        <w:rPr>
          <w:szCs w:val="22"/>
          <w:lang w:val="hu-HU"/>
        </w:rPr>
        <w:t>trimetoprim</w:t>
      </w:r>
      <w:proofErr w:type="spellEnd"/>
      <w:r>
        <w:rPr>
          <w:szCs w:val="22"/>
          <w:lang w:val="hu-HU"/>
        </w:rPr>
        <w:t>.</w:t>
      </w:r>
    </w:p>
    <w:p w:rsidR="00B6017F" w:rsidRDefault="00D96CC4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lastRenderedPageBreak/>
        <w:t>Interkurrens</w:t>
      </w:r>
      <w:proofErr w:type="spellEnd"/>
      <w:r>
        <w:rPr>
          <w:szCs w:val="22"/>
          <w:lang w:val="hu-HU"/>
        </w:rPr>
        <w:t xml:space="preserve"> események, különösképpen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, akut </w:t>
      </w:r>
      <w:proofErr w:type="spellStart"/>
      <w:r>
        <w:rPr>
          <w:szCs w:val="22"/>
          <w:lang w:val="hu-HU"/>
        </w:rPr>
        <w:t>kardiális</w:t>
      </w:r>
      <w:proofErr w:type="spellEnd"/>
      <w:r>
        <w:rPr>
          <w:szCs w:val="22"/>
          <w:lang w:val="hu-HU"/>
        </w:rPr>
        <w:t xml:space="preserve"> dekompenzáció, metabolikus acidózis, vesefunkció-romlás, a vese állapotának hirtelen romlása (például fertőző betegség miatt), </w:t>
      </w:r>
      <w:proofErr w:type="spellStart"/>
      <w:r>
        <w:rPr>
          <w:szCs w:val="22"/>
          <w:lang w:val="hu-HU"/>
        </w:rPr>
        <w:t>sejtlízis</w:t>
      </w:r>
      <w:proofErr w:type="spellEnd"/>
      <w:r>
        <w:rPr>
          <w:szCs w:val="22"/>
          <w:lang w:val="hu-HU"/>
        </w:rPr>
        <w:t xml:space="preserve"> (például akut végtagi </w:t>
      </w:r>
      <w:proofErr w:type="spellStart"/>
      <w:r>
        <w:rPr>
          <w:szCs w:val="22"/>
          <w:lang w:val="hu-HU"/>
        </w:rPr>
        <w:t>ischaemia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rhabdomyolisis</w:t>
      </w:r>
      <w:proofErr w:type="spellEnd"/>
      <w:r>
        <w:rPr>
          <w:szCs w:val="22"/>
          <w:lang w:val="hu-HU"/>
        </w:rPr>
        <w:t>, kiterjedt trauma).</w:t>
      </w:r>
    </w:p>
    <w:p w:rsidR="00B6017F" w:rsidRDefault="00B6017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:rsidR="00B6017F" w:rsidRDefault="00D96CC4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kockázatnak kitett betegeknél a szérumkáliumszint szoros ellenőrzése javasolt (lásd 4.5 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Hypokalaemia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járó </w:t>
      </w:r>
      <w:proofErr w:type="spellStart"/>
      <w:r>
        <w:rPr>
          <w:lang w:val="hu-HU"/>
        </w:rPr>
        <w:t>káliumdepléció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alkalmazásának egyik fő kockázata.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izomműködési zavarokat okozhat. Több esetben </w:t>
      </w:r>
      <w:proofErr w:type="spellStart"/>
      <w:r>
        <w:rPr>
          <w:lang w:val="hu-HU"/>
        </w:rPr>
        <w:t>rhabdomyolysis</w:t>
      </w:r>
      <w:proofErr w:type="spellEnd"/>
      <w:r>
        <w:rPr>
          <w:lang w:val="hu-HU"/>
        </w:rPr>
        <w:t xml:space="preserve"> előfordulását jelentették, főleg súlyos </w:t>
      </w:r>
      <w:proofErr w:type="spellStart"/>
      <w:r>
        <w:rPr>
          <w:lang w:val="hu-HU"/>
        </w:rPr>
        <w:t>hypokalaemiával</w:t>
      </w:r>
      <w:proofErr w:type="spellEnd"/>
      <w:r>
        <w:rPr>
          <w:lang w:val="hu-HU"/>
        </w:rPr>
        <w:t xml:space="preserve"> összefüggésben.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(&lt;3,4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/l) kialakulásának kockázatát ki kell küszöbölni bizonyos nagy kockázatú betegcsoport esetében, így az időseknél, az </w:t>
      </w:r>
      <w:proofErr w:type="spellStart"/>
      <w:r>
        <w:rPr>
          <w:lang w:val="hu-HU"/>
        </w:rPr>
        <w:t>alultáplált</w:t>
      </w:r>
      <w:proofErr w:type="spellEnd"/>
      <w:r>
        <w:rPr>
          <w:lang w:val="hu-HU"/>
        </w:rPr>
        <w:t xml:space="preserve"> betegeknél és/vagy </w:t>
      </w:r>
      <w:proofErr w:type="spellStart"/>
      <w:r>
        <w:rPr>
          <w:lang w:val="hu-HU"/>
        </w:rPr>
        <w:t>polimedikáció</w:t>
      </w:r>
      <w:proofErr w:type="spellEnd"/>
      <w:r>
        <w:rPr>
          <w:lang w:val="hu-HU"/>
        </w:rPr>
        <w:t xml:space="preserve"> esetén, az ödémás és </w:t>
      </w:r>
      <w:proofErr w:type="spellStart"/>
      <w:r>
        <w:rPr>
          <w:lang w:val="hu-HU"/>
        </w:rPr>
        <w:t>asciteses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cirrózisos</w:t>
      </w:r>
      <w:proofErr w:type="spellEnd"/>
      <w:r>
        <w:rPr>
          <w:lang w:val="hu-HU"/>
        </w:rPr>
        <w:t xml:space="preserve"> betegeknél, a koszorúér-betegségben, illetve a szívelégtelenségben szenvedő betegeknél. Az utóbbi esetben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fokozza a </w:t>
      </w:r>
      <w:proofErr w:type="spellStart"/>
      <w:r>
        <w:rPr>
          <w:lang w:val="hu-HU"/>
        </w:rPr>
        <w:t>szívglikozidok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kardiotoxicitását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arrythmia</w:t>
      </w:r>
      <w:proofErr w:type="spellEnd"/>
      <w:r>
        <w:rPr>
          <w:lang w:val="hu-HU"/>
        </w:rPr>
        <w:t xml:space="preserve"> kockázatát.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Ugyancsak kockázatnak vannak kitéve az olyan egyének, akiknél hosszú a QT-szakasz, függetlenül a jelenség eredetétől (</w:t>
      </w:r>
      <w:proofErr w:type="spellStart"/>
      <w:r>
        <w:rPr>
          <w:lang w:val="hu-HU"/>
        </w:rPr>
        <w:t>congenitalis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iatrogén</w:t>
      </w:r>
      <w:proofErr w:type="spellEnd"/>
      <w:r>
        <w:rPr>
          <w:lang w:val="hu-HU"/>
        </w:rPr>
        <w:t xml:space="preserve">).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tehát, épp úgy, mint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prediszponáló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faktora</w:t>
      </w:r>
      <w:proofErr w:type="spellEnd"/>
      <w:r>
        <w:rPr>
          <w:lang w:val="hu-HU"/>
        </w:rPr>
        <w:t xml:space="preserve"> a súlyos ritmuszavarok, különösen a – potenciálisan halálos kimenetelű – </w:t>
      </w:r>
      <w:proofErr w:type="spellStart"/>
      <w:r>
        <w:rPr>
          <w:i/>
          <w:iCs/>
          <w:lang w:val="hu-HU"/>
        </w:rPr>
        <w:t>torsades</w:t>
      </w:r>
      <w:proofErr w:type="spellEnd"/>
      <w:r>
        <w:rPr>
          <w:i/>
          <w:iCs/>
          <w:lang w:val="hu-HU"/>
        </w:rPr>
        <w:t xml:space="preserve"> de </w:t>
      </w:r>
      <w:proofErr w:type="spellStart"/>
      <w:r>
        <w:rPr>
          <w:i/>
          <w:iCs/>
          <w:lang w:val="hu-HU"/>
        </w:rPr>
        <w:t>pointes</w:t>
      </w:r>
      <w:proofErr w:type="spellEnd"/>
      <w:r>
        <w:rPr>
          <w:lang w:val="hu-HU"/>
        </w:rPr>
        <w:t xml:space="preserve"> kialakulásának.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Minden fentebb szereplő esetben gyakrabban kell ellenőrizni a plazma káliumszintjét. A kezelés megkezdése utáni első héten el kell végezni a plazmakáliumszint első mérését.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hypokalaemiát</w:t>
      </w:r>
      <w:proofErr w:type="spellEnd"/>
      <w:r>
        <w:rPr>
          <w:lang w:val="hu-HU"/>
        </w:rPr>
        <w:t xml:space="preserve"> az észlelésekor korrigálni kell. Ha 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a magnézium alacsony szérumkoncentrációjával összefüggésben alakul ki, akkor terápiarezisztens lehet, ha a magnézium szérumszintjét nem korrigálják.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magnézium plazmaszintje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tiazidok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– többek között 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– bizonyítottan fokozzák a magnézium kiválasztását a vizelettel, ami </w:t>
      </w:r>
      <w:proofErr w:type="spellStart"/>
      <w:r>
        <w:rPr>
          <w:lang w:val="hu-HU"/>
        </w:rPr>
        <w:t>hypomagnesaemiát</w:t>
      </w:r>
      <w:proofErr w:type="spellEnd"/>
      <w:r>
        <w:rPr>
          <w:lang w:val="hu-HU"/>
        </w:rPr>
        <w:t xml:space="preserve"> okozhat (lásd 4.5 és 4.8 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 kalcium plazmaszintje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csökkenthetik a vizelettel történő kalciumürítést, ezáltal átmenetileg, kismértékben emelhetik a plazma kalciumszintjét. A valódi </w:t>
      </w:r>
      <w:proofErr w:type="spellStart"/>
      <w:r>
        <w:rPr>
          <w:lang w:val="hu-HU"/>
        </w:rPr>
        <w:t>hypercalcaemia</w:t>
      </w:r>
      <w:proofErr w:type="spellEnd"/>
      <w:r>
        <w:rPr>
          <w:lang w:val="hu-HU"/>
        </w:rPr>
        <w:t xml:space="preserve"> korábban fel nem ismert </w:t>
      </w:r>
      <w:proofErr w:type="spellStart"/>
      <w:r>
        <w:rPr>
          <w:lang w:val="hu-HU"/>
        </w:rPr>
        <w:t>hyperparathyreosis</w:t>
      </w:r>
      <w:proofErr w:type="spellEnd"/>
      <w:r>
        <w:rPr>
          <w:lang w:val="hu-HU"/>
        </w:rPr>
        <w:t xml:space="preserve"> tünete is lehet.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A kezelést a mellékpajzsmirigy működésének kivizsgálása előtt abba kell hagyni.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Vércukorszint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Cukorbetegek kezelésekor fontos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a vércukorszintet, különösen, ha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is fennáll.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Húgysav</w:t>
      </w:r>
    </w:p>
    <w:p w:rsidR="00B6017F" w:rsidRDefault="00D96CC4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Hyperurikaemiás</w:t>
      </w:r>
      <w:proofErr w:type="spellEnd"/>
      <w:r>
        <w:rPr>
          <w:lang w:val="hu-HU"/>
        </w:rPr>
        <w:t xml:space="preserve"> betegeknél a köszvényes rohamra való hajlam fokozottabb lehet.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bCs/>
          <w:u w:val="single"/>
          <w:lang w:val="hu-HU" w:eastAsia="nl-BE"/>
        </w:rPr>
      </w:pPr>
      <w:r>
        <w:rPr>
          <w:bCs/>
          <w:u w:val="single"/>
          <w:lang w:val="hu-HU" w:eastAsia="nl-BE"/>
        </w:rPr>
        <w:t>Etnikai különbségek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ACE-gátlóknál megfigyeltekhez hasonlóan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más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fekete bőrű betegek esetében kevésbé hatékonyan csökkentik a vérnyomást, mint nem fekete bőrű betegek esetében. Ennek az lehet az oka, hogy a fekete bőrű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magasabb az alacsony </w:t>
      </w:r>
      <w:proofErr w:type="spellStart"/>
      <w:r>
        <w:rPr>
          <w:lang w:val="hu-HU"/>
        </w:rPr>
        <w:t>reninszint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>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Chorioidealis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effusio</w:t>
      </w:r>
      <w:proofErr w:type="spellEnd"/>
      <w:r>
        <w:rPr>
          <w:u w:val="single"/>
          <w:lang w:val="hu-HU"/>
        </w:rPr>
        <w:t xml:space="preserve">, akut </w:t>
      </w:r>
      <w:proofErr w:type="spellStart"/>
      <w:r>
        <w:rPr>
          <w:u w:val="single"/>
          <w:lang w:val="hu-HU"/>
        </w:rPr>
        <w:t>myopia</w:t>
      </w:r>
      <w:proofErr w:type="spellEnd"/>
      <w:r>
        <w:rPr>
          <w:u w:val="single"/>
          <w:lang w:val="hu-HU"/>
        </w:rPr>
        <w:t xml:space="preserve"> és másodlagos zárt zugú glaukóma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szulfonamidok vagy szulfonamid-származékok idioszinkráziás reakciót válthatnak ki, amely látótérkieséssel járó </w:t>
      </w:r>
      <w:proofErr w:type="spellStart"/>
      <w:r>
        <w:rPr>
          <w:lang w:val="hu-HU"/>
        </w:rPr>
        <w:t>chorioidealis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effusiót</w:t>
      </w:r>
      <w:proofErr w:type="spellEnd"/>
      <w:r>
        <w:rPr>
          <w:lang w:val="hu-HU"/>
        </w:rPr>
        <w:t xml:space="preserve">, átmeneti </w:t>
      </w:r>
      <w:proofErr w:type="spellStart"/>
      <w:r>
        <w:rPr>
          <w:lang w:val="hu-HU"/>
        </w:rPr>
        <w:t>myopiát</w:t>
      </w:r>
      <w:proofErr w:type="spellEnd"/>
      <w:r>
        <w:rPr>
          <w:lang w:val="hu-HU"/>
        </w:rPr>
        <w:t xml:space="preserve"> és akut zárt zugú </w:t>
      </w:r>
      <w:proofErr w:type="spellStart"/>
      <w:r>
        <w:rPr>
          <w:lang w:val="hu-HU"/>
        </w:rPr>
        <w:t>glaucomát</w:t>
      </w:r>
      <w:proofErr w:type="spellEnd"/>
      <w:r>
        <w:rPr>
          <w:lang w:val="hu-HU"/>
        </w:rPr>
        <w:t xml:space="preserve"> okozhat. A tünetek közé tartozik a hirtelen jelentkező látásélesség-csökkenés vagy a szemfájdalom, és ezek jellemző módon a kezelés megkezdése után órákon vagy heteken belül jelentkeznek. A kezeletlen akut zárt zugú glaukóma maradandó látásvesztéshez vezethet. Az elsődleges kezelés a gyógyszer szedésének mielőbbi abbahagyása. Az azonnali orvosi vagy sebészi kezelés megfontolható, ha az </w:t>
      </w:r>
      <w:proofErr w:type="spellStart"/>
      <w:r>
        <w:rPr>
          <w:lang w:val="hu-HU"/>
        </w:rPr>
        <w:t>intraocularis</w:t>
      </w:r>
      <w:proofErr w:type="spellEnd"/>
      <w:r>
        <w:rPr>
          <w:lang w:val="hu-HU"/>
        </w:rPr>
        <w:t xml:space="preserve"> nyomás továbbra is </w:t>
      </w:r>
      <w:proofErr w:type="spellStart"/>
      <w:r>
        <w:rPr>
          <w:lang w:val="hu-HU"/>
        </w:rPr>
        <w:t>kontrollálatlan</w:t>
      </w:r>
      <w:proofErr w:type="spellEnd"/>
      <w:r>
        <w:rPr>
          <w:lang w:val="hu-HU"/>
        </w:rPr>
        <w:t xml:space="preserve"> marad. Az akut zárt zugú glaukóma kialakulásának kockázati tényezői közé tartozhat a kórelőzményben szereplő szulfonamid- vagy penicillinallergia.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Egyéb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Ahogyan más vérnyomáscsökkentő szerek esetében is, a vérnyomás túlzott csökkenése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vagy stroke kialakulásához vezethet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szívbetegség vagy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 esetén.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Laktóz</w:t>
      </w:r>
      <w:proofErr w:type="spellEnd"/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Ritkán előforduló, örökletes </w:t>
      </w:r>
      <w:proofErr w:type="spellStart"/>
      <w:r>
        <w:rPr>
          <w:lang w:val="hu-HU"/>
        </w:rPr>
        <w:t>galaktózintoleranciában</w:t>
      </w:r>
      <w:proofErr w:type="spellEnd"/>
      <w:r>
        <w:rPr>
          <w:lang w:val="hu-HU"/>
        </w:rPr>
        <w:t xml:space="preserve">, teljes </w:t>
      </w:r>
      <w:proofErr w:type="spellStart"/>
      <w:r>
        <w:rPr>
          <w:lang w:val="hu-HU"/>
        </w:rPr>
        <w:t>laktázhiányban</w:t>
      </w:r>
      <w:proofErr w:type="spellEnd"/>
      <w:r>
        <w:rPr>
          <w:lang w:val="hu-HU"/>
        </w:rPr>
        <w:t xml:space="preserve"> vagy glükóz-</w:t>
      </w:r>
      <w:proofErr w:type="spellStart"/>
      <w:r>
        <w:rPr>
          <w:lang w:val="hu-HU"/>
        </w:rPr>
        <w:t>galaktóz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malabszorpcióban</w:t>
      </w:r>
      <w:proofErr w:type="spellEnd"/>
      <w:r>
        <w:rPr>
          <w:lang w:val="hu-HU"/>
        </w:rPr>
        <w:t xml:space="preserve"> a készítmény nem szedhető.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készítmény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tablettánként, azaz gyakorlatilag „nátriummentes”.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 telmizartánnal összefüggő interakciók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Digoxin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Ha a telmizartánt digoxinnal adták együtt, a digoxin medián plazma-csúcskoncentrációjának (49%) és medián mélyponti koncentrációjának (20%) emelkedését figyelték meg. A telmizartán-kezelés elkezdésekor, dózismódosításakor és leállításakor a digoxinszintet monitorozni kell, hogy az a terápiás tartományban maradjon.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renin–angiotenzin–aldoszteron rendszerre ható más gyógyszerekhez hasonlóan a telmizartán is okozhat hyperkalaemiát (lásd 4.4 pont). Ennek kockázatát fokozza az olyan gyógyszerrel történő kombinálás, amely szintén okozhat hyperkalaemiát (káliumtartalmú sópótló készítmények, káliummegtakarító diuretikumok, ACE-gátlók, angiotenzin II-receptor-antagonisták, nem-szteroid gyulladáscsökkentők (NSAID-ok, beleértve a szelektiv COX-2-gátlókat), heparin, immunszuppresszív szerek [ciklosporin vagy takrolimusz], valamint a trimetoprim).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hyperkalaemia kialakulása a társuló rizikótényezőktől függ. Fokozott a kockázat a fent említett kombinációs terápiák esetén. A kockázat különösen nagy káliummegtakarító diuretikummal vagy káliumot tartalmazó sópótló készítménnyel történő együttadás esetén. Ugyanakkor az egyidejű alkalmazás például ACE-gátlóval vagy nem-szteroid gyulladáscsökkentőkkel kisebb kockázatot jelent – amennyiben az alkalmazással kapcsolatos óvintézkedéseket szigorúan betartják.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Káliummegtakarító diuretikumok vagy káliumpótló készítmények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angiotenzin II-receptor-antagonisták, így a telmizartán is, mérséklik a diuretikumok okozta káliumvesztést. A káliummegtakarító diuretikumok (mint például a spironolakton, eplerenon, triamteren vagy az amilorid), a káliumpótló vagy káliumot tartalmazó sópótló készítmények jelentősen megemelhetik a szérumkáliumszintet. Ha az egyidejű alkalmazás dokumentált hypokalaemia miatt indokolt, csak kellő óvatossággal és a szérumkáliumszint gyakori ellenőrzése mellett alkalmazhatók.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szérum lítiumkoncentrációjának reverzíbilis emelkedéséről és toxicitásról számoltak be, amikor a lítiumot ACE-gátlókkal, illetve angiotenzin II-receptor-antagonistákkal (köztük telmizartánnal) egyidejűleg alkalmazták. Amennyiben ilyen kombináció alkalmazása szükséges, a szérumlítiumszint szoros ellenőrzése javasolt.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Nem-szteroid gyulladáscsökkentők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A nem-szteroid gyulladáscsökkentők (például a gyulladáscsökkentő dózisban alkalmazott acetilszalicilsav, a COX-2-gátlók és a nem szelektív NSAID-ok) csökkenthetik az angiotenzin II-receptor-antagonisták antihipertenzív hatását.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Néhány károsodott vesefunkciójú betegnél (például dehidrált betegeknél, vesekárosodásban szenvedő idős betegeknél) az angiotenzin II-receptor-antagonisták és ciklooxigenáz-gátlók egyidejű alkalmazása a vesefunkció további romlását, esetleg akut veseelégtelenséget okozhat, mely általában reverzibilis. Emiatt a kombináció csak kellő óvatossággal alkalmazható, különösen időseknél. A betegeket megfelelően hidrálni kell, illetve megfontolandó a vesefunkció ellenőrzése az egyidejű kezelés megkezdését követően, majd azután rendszeresen.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 vizsgálatban a telmizartán és a ramipril együttadása a ramipril és a ramiprilát AUC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>0-24</w:t>
      </w:r>
      <w:r>
        <w:rPr>
          <w:rFonts w:eastAsia="Times New Roman"/>
          <w:noProof/>
          <w:snapToGrid/>
          <w:szCs w:val="22"/>
          <w:lang w:val="hu-HU" w:eastAsia="en-US"/>
        </w:rPr>
        <w:t>- és C</w:t>
      </w:r>
      <w:r>
        <w:rPr>
          <w:rFonts w:eastAsia="Times New Roman"/>
          <w:noProof/>
          <w:snapToGrid/>
          <w:szCs w:val="22"/>
          <w:vertAlign w:val="subscript"/>
          <w:lang w:val="hu-HU" w:eastAsia="en-US"/>
        </w:rPr>
        <w:t xml:space="preserve">max </w:t>
      </w:r>
      <w:r>
        <w:rPr>
          <w:rFonts w:eastAsia="Times New Roman"/>
          <w:noProof/>
          <w:snapToGrid/>
          <w:szCs w:val="22"/>
          <w:lang w:val="hu-HU" w:eastAsia="en-US"/>
        </w:rPr>
        <w:t>értékének 2,5-szeres növekedéséhez vezetett. A megfigyelés klinikai jelentősége nem ismert.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Diuretikumok (tiazidok és kacsdiuretikumok)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telmizartán-kezelés megkezdésekor az előzetes nagy dózisú diuretikus kezelés – mint például furoszemid- (kacsdiuretikum) és hidroklorotiazid- (tiazid diuretikum) kezelés – volumenvesztést, illetve esetlegesen hypotoniát okozhat.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alkalmazás, amelyet figyelembe kell venni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Egyéb vérnyomáscsökkentő szerek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 vérnyomáscsökkentő hatását más vérnyomáscsökkentő gyógyszerek egyidejű alkalmazása fokozhatja.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klinikai vizsgálati adatok azt mutatták, hogy a renin–angiotenzin–aldoszteron rendszer (RAAS) – ACE-gátlók, angiotenzin II-receptor-blokkolók vagy aliszkirén kombinációjával történő – kettős blokádja nagyobb gyakorisággal okoz mellékhatásokat, például hypotoniát, hyperkalaemiát vagy vesekárosodást (beleértve az akut veseelégtelenséget is), mint a csak egyféle RAAS-ra ható szer alkalmazása (lásd 4.3, 4.4 és 5.1 pont).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Farmakológiai tulajdonságaik alapján várható, hogy valamennyi típusú vérnyomáscsökkentő szer (köztük a telmizartán) antihipertenzív hatását fokozhatják a következő gyógyszerek: baklofén, amifosztin. Ezenkívül az alkohol, a barbiturátok, a narkotikumok, illetve az antidepresszánsok súlyosbíthatják az orthostaticus hypotoniát.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Kortikoszteroidok (szisztémás adagolás)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vérnyomáscsökkentő hatás csökken.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 indapamiddal összefüggő interakciók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Egyidejű alkalmazás nem javasolt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Lítium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Ahogy sómentes diéta esetén is (a lítium vizelettel történő csökkent kiválasztása miatt), megemelkedik a plazma lítiumkoncentrációja, ami túladagolási tünetekkel jár. Azonban – ha a diuretikus kezelés nem mellőzhető – szorosan ellenőrizni kell a plazma lítiumszintjét, és szükség szerint módosítani kell a dózist.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Óvatosságot igénylő egyidejű alkalmazás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u w:val="single"/>
          <w:lang w:val="hu-HU" w:eastAsia="en-US"/>
        </w:rPr>
        <w:t>-t előidéző szerek (például, de nem kizárólag az alábbiak):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Ia. osztályba tartozó antiaritmiás szerek (pl. kinidin, hidrokinidin, dizopiramid);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ab/>
        <w:t>III. osztályba tartozó antiaritmiás szerek (pl. amiodaron, szotalol, dofetilid, ibutilid, bretilium);</w:t>
      </w:r>
    </w:p>
    <w:p w:rsidR="00B6017F" w:rsidRDefault="00D96CC4">
      <w:pPr>
        <w:numPr>
          <w:ilvl w:val="0"/>
          <w:numId w:val="3"/>
        </w:numPr>
        <w:tabs>
          <w:tab w:val="clear" w:pos="397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néhány </w:t>
      </w:r>
      <w:proofErr w:type="spellStart"/>
      <w:r>
        <w:rPr>
          <w:szCs w:val="22"/>
          <w:lang w:val="hu-HU"/>
        </w:rPr>
        <w:t>antipszichotikum</w:t>
      </w:r>
      <w:proofErr w:type="spellEnd"/>
      <w:r>
        <w:rPr>
          <w:szCs w:val="22"/>
          <w:lang w:val="hu-HU"/>
        </w:rPr>
        <w:t>:</w:t>
      </w:r>
    </w:p>
    <w:p w:rsidR="00B6017F" w:rsidRDefault="00D96CC4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fenotiazinok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klórpromazin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ciamemazin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levomepromazin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tioridazin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trifluoperazin</w:t>
      </w:r>
      <w:proofErr w:type="spellEnd"/>
      <w:r>
        <w:rPr>
          <w:szCs w:val="22"/>
          <w:lang w:val="hu-HU"/>
        </w:rPr>
        <w:t xml:space="preserve">), </w:t>
      </w:r>
      <w:proofErr w:type="spellStart"/>
      <w:r>
        <w:rPr>
          <w:szCs w:val="22"/>
          <w:lang w:val="hu-HU"/>
        </w:rPr>
        <w:t>benzamidok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amiszulprid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szulpirid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szultoprid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tiaprid</w:t>
      </w:r>
      <w:proofErr w:type="spellEnd"/>
      <w:r>
        <w:rPr>
          <w:szCs w:val="22"/>
          <w:lang w:val="hu-HU"/>
        </w:rPr>
        <w:t>);</w:t>
      </w:r>
    </w:p>
    <w:p w:rsidR="00B6017F" w:rsidRDefault="00D96CC4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butirofenonok</w:t>
      </w:r>
      <w:proofErr w:type="spellEnd"/>
      <w:r>
        <w:rPr>
          <w:szCs w:val="22"/>
          <w:lang w:val="hu-HU"/>
        </w:rPr>
        <w:t xml:space="preserve"> (pl. </w:t>
      </w:r>
      <w:proofErr w:type="spellStart"/>
      <w:r>
        <w:rPr>
          <w:szCs w:val="22"/>
          <w:lang w:val="hu-HU"/>
        </w:rPr>
        <w:t>doperidol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haloperidol</w:t>
      </w:r>
      <w:proofErr w:type="spellEnd"/>
      <w:r>
        <w:rPr>
          <w:szCs w:val="22"/>
          <w:lang w:val="hu-HU"/>
        </w:rPr>
        <w:t>);</w:t>
      </w:r>
    </w:p>
    <w:p w:rsidR="00B6017F" w:rsidRDefault="00D96CC4">
      <w:pPr>
        <w:numPr>
          <w:ilvl w:val="0"/>
          <w:numId w:val="3"/>
        </w:numPr>
        <w:tabs>
          <w:tab w:val="clear" w:pos="397"/>
          <w:tab w:val="clear" w:pos="567"/>
          <w:tab w:val="num" w:pos="1134"/>
        </w:tabs>
        <w:suppressAutoHyphens/>
        <w:spacing w:line="240" w:lineRule="auto"/>
        <w:ind w:left="1134" w:hanging="567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egyéb </w:t>
      </w:r>
      <w:proofErr w:type="spellStart"/>
      <w:r>
        <w:rPr>
          <w:szCs w:val="22"/>
          <w:lang w:val="hu-HU"/>
        </w:rPr>
        <w:t>antipszichotikumok</w:t>
      </w:r>
      <w:proofErr w:type="spellEnd"/>
      <w:r>
        <w:rPr>
          <w:szCs w:val="22"/>
          <w:lang w:val="hu-HU"/>
        </w:rPr>
        <w:t xml:space="preserve"> (pl. pimozid);</w:t>
      </w:r>
    </w:p>
    <w:p w:rsidR="00B6017F" w:rsidRDefault="00D96CC4">
      <w:pPr>
        <w:numPr>
          <w:ilvl w:val="0"/>
          <w:numId w:val="3"/>
        </w:numPr>
        <w:tabs>
          <w:tab w:val="clear" w:pos="397"/>
          <w:tab w:val="clear" w:pos="567"/>
          <w:tab w:val="num" w:pos="709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egyéb hatóanyagok (pl. </w:t>
      </w:r>
      <w:proofErr w:type="spellStart"/>
      <w:r>
        <w:rPr>
          <w:szCs w:val="22"/>
          <w:lang w:val="hu-HU"/>
        </w:rPr>
        <w:t>bepridil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ciszaprid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difemanil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eritromicin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halofantrin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mizolasztin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pentamidin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sparfloxacin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moxifloxacin</w:t>
      </w:r>
      <w:proofErr w:type="spellEnd"/>
      <w:r>
        <w:rPr>
          <w:szCs w:val="22"/>
          <w:lang w:val="hu-HU"/>
        </w:rPr>
        <w:t xml:space="preserve">, iv. </w:t>
      </w:r>
      <w:proofErr w:type="spellStart"/>
      <w:r>
        <w:rPr>
          <w:szCs w:val="22"/>
          <w:lang w:val="hu-HU"/>
        </w:rPr>
        <w:t>vinkamin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metadon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asztemizol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terfenadin</w:t>
      </w:r>
      <w:proofErr w:type="spellEnd"/>
      <w:r>
        <w:rPr>
          <w:szCs w:val="22"/>
          <w:lang w:val="hu-HU"/>
        </w:rPr>
        <w:t>).</w:t>
      </w:r>
    </w:p>
    <w:p w:rsidR="00B6017F" w:rsidRDefault="00B6017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Fokozott a ventricularis arrhythmiák, különösen a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kockázata (rizikófaktor a hypokalaemia).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kombinációs készítmény alkalmazásának megkezdése előtt ellenőrizni kell, hogy nem áll-e fenn hypokalaemia, és szükség esetén azt korrigálni kell. Szükséges a klinikai ellenőrzés; a plazma elektrolitszintjeit és az EKG-t monitorozni kell.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Olyan készítményeket kell adni, melyek hypokalaemia fennállása esetén sem okozhatnak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torsades de pointes</w:t>
      </w:r>
      <w:r>
        <w:rPr>
          <w:rFonts w:eastAsia="Times New Roman"/>
          <w:noProof/>
          <w:snapToGrid/>
          <w:szCs w:val="22"/>
          <w:lang w:val="hu-HU" w:eastAsia="en-US"/>
        </w:rPr>
        <w:t>-t.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Nem-szteroid gyulladáscsökkentők (szisztémás kezelés), beleértve a szelektív COX</w:t>
      </w:r>
      <w:r>
        <w:rPr>
          <w:szCs w:val="22"/>
          <w:u w:val="single"/>
          <w:lang w:val="hu-HU"/>
        </w:rPr>
        <w:noBreakHyphen/>
        <w:t xml:space="preserve">2-gátlókat és a nagy dózisú </w:t>
      </w:r>
      <w:proofErr w:type="spellStart"/>
      <w:r>
        <w:rPr>
          <w:szCs w:val="22"/>
          <w:u w:val="single"/>
          <w:lang w:val="hu-HU"/>
        </w:rPr>
        <w:t>acetilszalicilsavat</w:t>
      </w:r>
      <w:proofErr w:type="spellEnd"/>
      <w:r>
        <w:rPr>
          <w:szCs w:val="22"/>
          <w:u w:val="single"/>
          <w:lang w:val="hu-HU"/>
        </w:rPr>
        <w:t xml:space="preserve"> (3 g/nap)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vérnyomáscsökkentő hatása csökkenhet. Dehidrált betegeknél fennáll az akut veseelégtelenség kockázata (csökkent glomerulusfiltráció). A betegeket hidrálni és a kezelés kezdetén a veseműködést ellenőrizni kell.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Angiotenzinkonvertálóenzim- (ACE) gátlók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Eleve fennálló nátriumhiány esetén (különösen arteria renalis-stenosisban szenvedő betegeknél) az ACE-gátló-kezelés elkezdésekor fennáll a hirtelen vérnyomásesés és/vagy az akut veseelégtelenség kialakulásának kockázata.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Hypertoniában, amikor a korábbi diuretikus kezelés okozhatott nátriumhiányt, a következőket szükséges tenni:</w:t>
      </w:r>
    </w:p>
    <w:p w:rsidR="00B6017F" w:rsidRDefault="00D96CC4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ACE-gátló-kezelés megkezdése előtt 3 nappal abba kell hagyni a diuretikum adását, majd – amennyiben szükséges – újra lehet kezdeni egy káliumürítő diuretikum adását;</w:t>
      </w:r>
    </w:p>
    <w:p w:rsidR="00B6017F" w:rsidRDefault="00D96CC4">
      <w:pPr>
        <w:pStyle w:val="Listaszerbekezds"/>
        <w:numPr>
          <w:ilvl w:val="0"/>
          <w:numId w:val="3"/>
        </w:numPr>
        <w:tabs>
          <w:tab w:val="clear" w:pos="397"/>
          <w:tab w:val="num" w:pos="567"/>
        </w:tabs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vagy az ACE-gátlót kis kezdő dózisban kell adni, és a dózist fokozatosan kell növelni.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Pangásos szívelégtelenség esetén rendkívül kis dózissal kell elkezdeni az ACE-gátló-kezelést, lehetőség szerint a káliumürítő diuretikum dózisának csökkentése után.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Minden esetben monitorozni kell a veseműködést (a plazma kreatininszintjét) az ACE-gátló-kezelés első néhány hetében.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Hypokalaemiát okozó egyéb készítmények: amfotericin B (iv.), glüko- és mineralokortikoidok (szisztémás kezelés), tetrakozaktid, bélfalizgató hatású hashajtók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hypokalaemia kialakulásának kockázata (additív hatás).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plazma káliumszintjét ellenőrizni és szükség esetén korrigálni kell. Erre különösen oda kell figyelni egyidejű digitáliszkezelés esetén. Nem bélfalizgató hatású hashajtót kell alkalmazni.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Baklofén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Fokozott a vérnyomáscsökkentő hatás.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beteg folyadékpótlását biztosítani, a veseműködést a kezelés kezdetén ellenőrizni kell.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Digitáliszkészítmények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hypokalaemia</w:t>
      </w:r>
      <w:proofErr w:type="spellEnd"/>
      <w:r>
        <w:rPr>
          <w:szCs w:val="22"/>
          <w:lang w:val="hu-HU"/>
        </w:rPr>
        <w:t xml:space="preserve"> és/vagy </w:t>
      </w:r>
      <w:proofErr w:type="spellStart"/>
      <w:r>
        <w:rPr>
          <w:szCs w:val="22"/>
          <w:lang w:val="hu-HU"/>
        </w:rPr>
        <w:t>hypomagnesaemia</w:t>
      </w:r>
      <w:proofErr w:type="spellEnd"/>
      <w:r>
        <w:rPr>
          <w:szCs w:val="22"/>
          <w:lang w:val="hu-HU"/>
        </w:rPr>
        <w:t xml:space="preserve"> hajlamosít a digitálisztoxicitás kialakulására. Ellenőrizni kell a plazma kálium- és magnéziumszintjét, valamint az EKG-t, és szükség szerint módosítani kell a kezelést.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bCs/>
          <w:i/>
          <w:iCs/>
          <w:szCs w:val="22"/>
          <w:u w:val="single"/>
          <w:lang w:val="hu-HU"/>
        </w:rPr>
      </w:pPr>
      <w:r>
        <w:rPr>
          <w:bCs/>
          <w:i/>
          <w:iCs/>
          <w:szCs w:val="22"/>
          <w:u w:val="single"/>
          <w:lang w:val="hu-HU"/>
        </w:rPr>
        <w:t>Különös odafigyelést igénylő kombinációk</w:t>
      </w:r>
    </w:p>
    <w:p w:rsidR="00B6017F" w:rsidRDefault="00B6017F">
      <w:pPr>
        <w:rPr>
          <w:b/>
          <w:i/>
          <w:iCs/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Allopurinol</w:t>
      </w:r>
      <w:proofErr w:type="spellEnd"/>
    </w:p>
    <w:p w:rsidR="00B6017F" w:rsidRDefault="00D96CC4">
      <w:pPr>
        <w:rPr>
          <w:iCs/>
          <w:szCs w:val="22"/>
          <w:lang w:val="hu-HU"/>
        </w:rPr>
      </w:pPr>
      <w:proofErr w:type="spellStart"/>
      <w:r>
        <w:rPr>
          <w:iCs/>
          <w:szCs w:val="22"/>
          <w:lang w:val="hu-HU"/>
        </w:rPr>
        <w:t>Indapamiddal</w:t>
      </w:r>
      <w:proofErr w:type="spellEnd"/>
      <w:r>
        <w:rPr>
          <w:iCs/>
          <w:szCs w:val="22"/>
          <w:lang w:val="hu-HU"/>
        </w:rPr>
        <w:t xml:space="preserve"> való együttes alkalmazás növelheti az </w:t>
      </w:r>
      <w:proofErr w:type="spellStart"/>
      <w:r>
        <w:rPr>
          <w:iCs/>
          <w:szCs w:val="22"/>
          <w:lang w:val="hu-HU"/>
        </w:rPr>
        <w:t>allopurinol</w:t>
      </w:r>
      <w:proofErr w:type="spellEnd"/>
      <w:r>
        <w:rPr>
          <w:iCs/>
          <w:szCs w:val="22"/>
          <w:lang w:val="hu-HU"/>
        </w:rPr>
        <w:t xml:space="preserve"> kiváltotta túlérzékenységi reakciók </w:t>
      </w:r>
      <w:proofErr w:type="spellStart"/>
      <w:r>
        <w:rPr>
          <w:iCs/>
          <w:szCs w:val="22"/>
          <w:lang w:val="hu-HU"/>
        </w:rPr>
        <w:t>incidenciáját</w:t>
      </w:r>
      <w:proofErr w:type="spellEnd"/>
      <w:r>
        <w:rPr>
          <w:iCs/>
          <w:szCs w:val="22"/>
          <w:lang w:val="hu-HU"/>
        </w:rPr>
        <w:t>.</w:t>
      </w:r>
    </w:p>
    <w:p w:rsidR="00B6017F" w:rsidRDefault="00B6017F">
      <w:pPr>
        <w:rPr>
          <w:iCs/>
          <w:szCs w:val="22"/>
          <w:lang w:val="hu-HU"/>
        </w:rPr>
      </w:pPr>
    </w:p>
    <w:p w:rsidR="00B6017F" w:rsidRDefault="00D96CC4">
      <w:pPr>
        <w:rPr>
          <w:i/>
          <w:szCs w:val="22"/>
          <w:u w:val="single"/>
          <w:lang w:val="hu-HU"/>
        </w:rPr>
      </w:pPr>
      <w:r>
        <w:rPr>
          <w:i/>
          <w:szCs w:val="22"/>
          <w:u w:val="single"/>
          <w:lang w:val="hu-HU"/>
        </w:rPr>
        <w:t>Mérlegelést igénylő kombinációk</w:t>
      </w:r>
    </w:p>
    <w:p w:rsidR="00B6017F" w:rsidRDefault="00B6017F">
      <w:pPr>
        <w:rPr>
          <w:iCs/>
          <w:szCs w:val="22"/>
          <w:lang w:val="hu-HU"/>
        </w:rPr>
      </w:pPr>
    </w:p>
    <w:p w:rsidR="00B6017F" w:rsidRDefault="00D96CC4">
      <w:pPr>
        <w:rPr>
          <w:iCs/>
          <w:szCs w:val="22"/>
          <w:u w:val="single"/>
          <w:lang w:val="hu-HU"/>
        </w:rPr>
      </w:pPr>
      <w:r>
        <w:rPr>
          <w:iCs/>
          <w:szCs w:val="22"/>
          <w:u w:val="single"/>
          <w:lang w:val="hu-HU"/>
        </w:rPr>
        <w:t xml:space="preserve">Káliummegtakarító </w:t>
      </w:r>
      <w:proofErr w:type="spellStart"/>
      <w:r>
        <w:rPr>
          <w:iCs/>
          <w:szCs w:val="22"/>
          <w:u w:val="single"/>
          <w:lang w:val="hu-HU"/>
        </w:rPr>
        <w:t>diuretikumok</w:t>
      </w:r>
      <w:proofErr w:type="spellEnd"/>
      <w:r>
        <w:rPr>
          <w:iCs/>
          <w:szCs w:val="22"/>
          <w:u w:val="single"/>
          <w:lang w:val="hu-HU"/>
        </w:rPr>
        <w:t xml:space="preserve"> (</w:t>
      </w:r>
      <w:proofErr w:type="spellStart"/>
      <w:r>
        <w:rPr>
          <w:iCs/>
          <w:szCs w:val="22"/>
          <w:u w:val="single"/>
          <w:lang w:val="hu-HU"/>
        </w:rPr>
        <w:t>amilorid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spironolakton</w:t>
      </w:r>
      <w:proofErr w:type="spellEnd"/>
      <w:r>
        <w:rPr>
          <w:iCs/>
          <w:szCs w:val="22"/>
          <w:u w:val="single"/>
          <w:lang w:val="hu-HU"/>
        </w:rPr>
        <w:t xml:space="preserve">, </w:t>
      </w:r>
      <w:proofErr w:type="spellStart"/>
      <w:r>
        <w:rPr>
          <w:iCs/>
          <w:szCs w:val="22"/>
          <w:u w:val="single"/>
          <w:lang w:val="hu-HU"/>
        </w:rPr>
        <w:t>triamteren</w:t>
      </w:r>
      <w:proofErr w:type="spellEnd"/>
      <w:r>
        <w:rPr>
          <w:iCs/>
          <w:szCs w:val="22"/>
          <w:u w:val="single"/>
          <w:lang w:val="hu-HU"/>
        </w:rPr>
        <w:t>)</w:t>
      </w:r>
    </w:p>
    <w:p w:rsidR="00B6017F" w:rsidRDefault="00D96CC4">
      <w:pPr>
        <w:rPr>
          <w:iCs/>
          <w:szCs w:val="22"/>
          <w:lang w:val="hu-HU"/>
        </w:rPr>
      </w:pPr>
      <w:r>
        <w:rPr>
          <w:iCs/>
          <w:szCs w:val="22"/>
          <w:lang w:val="hu-HU"/>
        </w:rPr>
        <w:lastRenderedPageBreak/>
        <w:t xml:space="preserve">Bár a racionális kombinációk egyes betegek számára előnyösek,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vagy </w:t>
      </w:r>
      <w:proofErr w:type="spellStart"/>
      <w:r>
        <w:rPr>
          <w:iCs/>
          <w:szCs w:val="22"/>
          <w:lang w:val="hu-HU"/>
        </w:rPr>
        <w:t>hyperkalaemia</w:t>
      </w:r>
      <w:proofErr w:type="spellEnd"/>
      <w:r>
        <w:rPr>
          <w:iCs/>
          <w:szCs w:val="22"/>
          <w:lang w:val="hu-HU"/>
        </w:rPr>
        <w:t xml:space="preserve"> (különösen a veseelégtelenségben vagy diabetesben szenvedő betegeknél) mégis előfordulhat. </w:t>
      </w:r>
      <w:proofErr w:type="spellStart"/>
      <w:r>
        <w:rPr>
          <w:iCs/>
          <w:szCs w:val="22"/>
          <w:lang w:val="hu-HU"/>
        </w:rPr>
        <w:t>Monitorozni</w:t>
      </w:r>
      <w:proofErr w:type="spellEnd"/>
      <w:r>
        <w:rPr>
          <w:iCs/>
          <w:szCs w:val="22"/>
          <w:lang w:val="hu-HU"/>
        </w:rPr>
        <w:t xml:space="preserve"> kell a plazma káliumszintjét és az EKG-t, és szükség szerint felül kell vizsgálni a kezelést.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Metformin</w:t>
      </w:r>
      <w:proofErr w:type="spellEnd"/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Fokozott a </w:t>
      </w:r>
      <w:proofErr w:type="spellStart"/>
      <w:r>
        <w:rPr>
          <w:szCs w:val="22"/>
          <w:lang w:val="hu-HU"/>
        </w:rPr>
        <w:t>metformin</w:t>
      </w:r>
      <w:proofErr w:type="spellEnd"/>
      <w:r>
        <w:rPr>
          <w:szCs w:val="22"/>
          <w:lang w:val="hu-HU"/>
        </w:rPr>
        <w:t xml:space="preserve"> okozta </w:t>
      </w:r>
      <w:proofErr w:type="spellStart"/>
      <w:r>
        <w:rPr>
          <w:szCs w:val="22"/>
          <w:lang w:val="hu-HU"/>
        </w:rPr>
        <w:t>laktátacidózis</w:t>
      </w:r>
      <w:proofErr w:type="spellEnd"/>
      <w:r>
        <w:rPr>
          <w:szCs w:val="22"/>
          <w:lang w:val="hu-HU"/>
        </w:rPr>
        <w:t xml:space="preserve"> kockázata a </w:t>
      </w:r>
      <w:proofErr w:type="spellStart"/>
      <w:r>
        <w:rPr>
          <w:szCs w:val="22"/>
          <w:lang w:val="hu-HU"/>
        </w:rPr>
        <w:t>diuretikumok</w:t>
      </w:r>
      <w:proofErr w:type="spellEnd"/>
      <w:r>
        <w:rPr>
          <w:szCs w:val="22"/>
          <w:lang w:val="hu-HU"/>
        </w:rPr>
        <w:t xml:space="preserve"> – és még valószínűbben a </w:t>
      </w:r>
      <w:proofErr w:type="spellStart"/>
      <w:r>
        <w:rPr>
          <w:szCs w:val="22"/>
          <w:lang w:val="hu-HU"/>
        </w:rPr>
        <w:t>kacsdiuretikumok</w:t>
      </w:r>
      <w:proofErr w:type="spellEnd"/>
      <w:r>
        <w:rPr>
          <w:szCs w:val="22"/>
          <w:lang w:val="hu-HU"/>
        </w:rPr>
        <w:t xml:space="preserve"> – alkalmazásához esetlegesen társuló funkcionális veseelégtelenség miatt. Ne alkalmazzon </w:t>
      </w:r>
      <w:proofErr w:type="spellStart"/>
      <w:r>
        <w:rPr>
          <w:szCs w:val="22"/>
          <w:lang w:val="hu-HU"/>
        </w:rPr>
        <w:t>metformint</w:t>
      </w:r>
      <w:proofErr w:type="spellEnd"/>
      <w:r>
        <w:rPr>
          <w:szCs w:val="22"/>
          <w:lang w:val="hu-HU"/>
        </w:rPr>
        <w:t>, ha a plazmakreatinin-szint férfiak esetén 15 mg/l (135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/l), nők esetén 12 mg/l (110 </w:t>
      </w:r>
      <w:proofErr w:type="spellStart"/>
      <w:r>
        <w:rPr>
          <w:szCs w:val="22"/>
          <w:lang w:val="hu-HU"/>
        </w:rPr>
        <w:t>mikromol</w:t>
      </w:r>
      <w:proofErr w:type="spellEnd"/>
      <w:r>
        <w:rPr>
          <w:szCs w:val="22"/>
          <w:lang w:val="hu-HU"/>
        </w:rPr>
        <w:t>/l) felett van.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Jódozott kontrasztanyagok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diuretikus</w:t>
      </w:r>
      <w:proofErr w:type="spellEnd"/>
      <w:r>
        <w:rPr>
          <w:szCs w:val="22"/>
          <w:lang w:val="hu-HU"/>
        </w:rPr>
        <w:t xml:space="preserve"> kezelés okozta </w:t>
      </w:r>
      <w:proofErr w:type="spellStart"/>
      <w:r>
        <w:rPr>
          <w:szCs w:val="22"/>
          <w:lang w:val="hu-HU"/>
        </w:rPr>
        <w:t>dehidráció</w:t>
      </w:r>
      <w:proofErr w:type="spellEnd"/>
      <w:r>
        <w:rPr>
          <w:szCs w:val="22"/>
          <w:lang w:val="hu-HU"/>
        </w:rPr>
        <w:t xml:space="preserve"> esetén fokozott az akut veseelégtelenség kialakulásának kockázata, különösen akkor, ha nagy dózisú jódozott kontrasztanyagot alkalmaznak.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jódtartalmú</w:t>
      </w:r>
      <w:proofErr w:type="spellEnd"/>
      <w:r>
        <w:rPr>
          <w:szCs w:val="22"/>
          <w:lang w:val="hu-HU"/>
        </w:rPr>
        <w:t xml:space="preserve"> készítmény beadása előtt </w:t>
      </w:r>
      <w:proofErr w:type="spellStart"/>
      <w:r>
        <w:rPr>
          <w:szCs w:val="22"/>
          <w:lang w:val="hu-HU"/>
        </w:rPr>
        <w:t>rehidráció</w:t>
      </w:r>
      <w:proofErr w:type="spellEnd"/>
      <w:r>
        <w:rPr>
          <w:szCs w:val="22"/>
          <w:lang w:val="hu-HU"/>
        </w:rPr>
        <w:t xml:space="preserve"> szükséges.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Imipramin</w:t>
      </w:r>
      <w:proofErr w:type="spellEnd"/>
      <w:r>
        <w:rPr>
          <w:szCs w:val="22"/>
          <w:u w:val="single"/>
          <w:lang w:val="hu-HU"/>
        </w:rPr>
        <w:t xml:space="preserve">-szerű antidepresszánsok, </w:t>
      </w:r>
      <w:proofErr w:type="spellStart"/>
      <w:r>
        <w:rPr>
          <w:szCs w:val="22"/>
          <w:u w:val="single"/>
          <w:lang w:val="hu-HU"/>
        </w:rPr>
        <w:t>neuroleptikumok</w:t>
      </w:r>
      <w:proofErr w:type="spellEnd"/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Vérnyomáscsökkentő hatás jelentkezhet, és az </w:t>
      </w:r>
      <w:proofErr w:type="spellStart"/>
      <w:r>
        <w:rPr>
          <w:szCs w:val="22"/>
          <w:lang w:val="hu-HU"/>
        </w:rPr>
        <w:t>orthostaticus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hypotonia</w:t>
      </w:r>
      <w:proofErr w:type="spellEnd"/>
      <w:r>
        <w:rPr>
          <w:szCs w:val="22"/>
          <w:lang w:val="hu-HU"/>
        </w:rPr>
        <w:t xml:space="preserve"> kockázata állhat fenn (additív hatás).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Kalcium (sók)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vizelettel történő kalciumürítés csökkenése miatt fokozódik a </w:t>
      </w:r>
      <w:proofErr w:type="spellStart"/>
      <w:r>
        <w:rPr>
          <w:szCs w:val="22"/>
          <w:lang w:val="hu-HU"/>
        </w:rPr>
        <w:t>hypercalcaemia</w:t>
      </w:r>
      <w:proofErr w:type="spellEnd"/>
      <w:r>
        <w:rPr>
          <w:szCs w:val="22"/>
          <w:lang w:val="hu-HU"/>
        </w:rPr>
        <w:t xml:space="preserve"> kialakulásának kockázata.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Ciklosporin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takrolimusz</w:t>
      </w:r>
      <w:proofErr w:type="spellEnd"/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Még folyadék-/nátriumhiány fennállása nélkül is – a keringő </w:t>
      </w:r>
      <w:proofErr w:type="spellStart"/>
      <w:r>
        <w:rPr>
          <w:szCs w:val="22"/>
          <w:lang w:val="hu-HU"/>
        </w:rPr>
        <w:t>ciklosporin</w:t>
      </w:r>
      <w:proofErr w:type="spellEnd"/>
      <w:r>
        <w:rPr>
          <w:szCs w:val="22"/>
          <w:lang w:val="hu-HU"/>
        </w:rPr>
        <w:t xml:space="preserve"> szintjének bármiféle változása nélkül – fennáll a plazmakreatinin-szint növekedésének kockázata.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Kortikoszteroidok</w:t>
      </w:r>
      <w:proofErr w:type="spellEnd"/>
      <w:r>
        <w:rPr>
          <w:szCs w:val="22"/>
          <w:u w:val="single"/>
          <w:lang w:val="hu-HU"/>
        </w:rPr>
        <w:t xml:space="preserve">, </w:t>
      </w:r>
      <w:proofErr w:type="spellStart"/>
      <w:r>
        <w:rPr>
          <w:szCs w:val="22"/>
          <w:u w:val="single"/>
          <w:lang w:val="hu-HU"/>
        </w:rPr>
        <w:t>tetrakozaktid</w:t>
      </w:r>
      <w:proofErr w:type="spellEnd"/>
      <w:r>
        <w:rPr>
          <w:szCs w:val="22"/>
          <w:u w:val="single"/>
          <w:lang w:val="hu-HU"/>
        </w:rPr>
        <w:t xml:space="preserve"> (szisztémás kezelés)</w:t>
      </w:r>
    </w:p>
    <w:p w:rsidR="00B6017F" w:rsidRDefault="00D96CC4">
      <w:pPr>
        <w:rPr>
          <w:szCs w:val="22"/>
          <w:lang w:val="hu-HU"/>
        </w:rPr>
      </w:pPr>
      <w:r>
        <w:rPr>
          <w:szCs w:val="22"/>
          <w:lang w:val="hu-HU"/>
        </w:rPr>
        <w:t xml:space="preserve">A vérnyomáscsökkentő hatás csökken (víz és nátriumretenció a </w:t>
      </w:r>
      <w:proofErr w:type="spellStart"/>
      <w:r>
        <w:rPr>
          <w:szCs w:val="22"/>
          <w:lang w:val="hu-HU"/>
        </w:rPr>
        <w:t>kortikoszteroid</w:t>
      </w:r>
      <w:proofErr w:type="spellEnd"/>
      <w:r>
        <w:rPr>
          <w:szCs w:val="22"/>
          <w:lang w:val="hu-HU"/>
        </w:rPr>
        <w:t>-hatás következtében).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:rsidR="00B6017F" w:rsidRDefault="00B6017F">
      <w:pPr>
        <w:spacing w:line="240" w:lineRule="auto"/>
        <w:rPr>
          <w:i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 xml:space="preserve">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nem javasolt a terhesség első trimeszterében (lásd 4.4 pont). Az </w:t>
      </w:r>
      <w:proofErr w:type="spellStart"/>
      <w:r>
        <w:rPr>
          <w:szCs w:val="22"/>
          <w:lang w:val="hu-HU"/>
        </w:rPr>
        <w:t>angiotenzin</w:t>
      </w:r>
      <w:proofErr w:type="spellEnd"/>
      <w:r>
        <w:rPr>
          <w:szCs w:val="22"/>
          <w:lang w:val="hu-HU"/>
        </w:rPr>
        <w:t> II-receptor-</w:t>
      </w:r>
      <w:proofErr w:type="spellStart"/>
      <w:r>
        <w:rPr>
          <w:szCs w:val="22"/>
          <w:lang w:val="hu-HU"/>
        </w:rPr>
        <w:t>antagonisták</w:t>
      </w:r>
      <w:proofErr w:type="spellEnd"/>
      <w:r>
        <w:rPr>
          <w:szCs w:val="22"/>
          <w:lang w:val="hu-HU"/>
        </w:rPr>
        <w:t xml:space="preserve"> alkalmazása ellenjavallt a terhesség második és harmadik trimeszterében (lásd 4.3 és 4.4 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terhes nőknél történő alkalmazásáról nincsenek megfelelő adatok. Az állatokkal végzett vizsgálatok reprodukciós toxicitást igazoltak (lásd 5.3 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terhesség első harmada alatti ACE-gátló-expozíciót követő </w:t>
      </w:r>
      <w:proofErr w:type="spellStart"/>
      <w:r>
        <w:rPr>
          <w:lang w:val="hu-HU"/>
        </w:rPr>
        <w:t>teratogenitási</w:t>
      </w:r>
      <w:proofErr w:type="spellEnd"/>
      <w:r>
        <w:rPr>
          <w:lang w:val="hu-HU"/>
        </w:rPr>
        <w:t xml:space="preserve"> kockázatra vonatkozó epidemiológiai bizonyíték nem volt meggyőző, a kockázat kismértékű növekedése azonban nem zárható ki. Mivel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(AT-II) -receptor-</w:t>
      </w:r>
      <w:proofErr w:type="spellStart"/>
      <w:r>
        <w:rPr>
          <w:lang w:val="hu-HU"/>
        </w:rPr>
        <w:t>antagonisták</w:t>
      </w:r>
      <w:proofErr w:type="spellEnd"/>
      <w:r>
        <w:rPr>
          <w:lang w:val="hu-HU"/>
        </w:rPr>
        <w:t xml:space="preserve"> alkalmazásával járó kockázatra vonatkozóan nem állnak rendelkezésre kontrollált epidemiológiai adatok, hasonló kockázattal lehet számolni </w:t>
      </w:r>
      <w:proofErr w:type="gramStart"/>
      <w:r>
        <w:rPr>
          <w:lang w:val="hu-HU"/>
        </w:rPr>
        <w:t>ezen</w:t>
      </w:r>
      <w:proofErr w:type="gramEnd"/>
      <w:r>
        <w:rPr>
          <w:lang w:val="hu-HU"/>
        </w:rPr>
        <w:t xml:space="preserve"> gyógyszercsoport esetén is. Hacsak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-receptor-blokkolóval történő kezelés folytatása nem elengedhetetlen, a terhességet tervező betegeket olyan más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a terhesség alatti alkalmazásra vonatkozó biztonságossági profilja megalapozott. Terhesség megállapítását követően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 szedését azonnal abba kell hagyni és amennyiben lehetséges, terápiás alternatíva alkalmazását kell elkezdeni.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-kezelés a terhesség második és harmadik harmadában ismerten magzati toxicitást (csökkent vesefunkció, </w:t>
      </w:r>
      <w:proofErr w:type="spellStart"/>
      <w:r>
        <w:rPr>
          <w:lang w:val="hu-HU"/>
        </w:rPr>
        <w:t>oligohydramnion</w:t>
      </w:r>
      <w:proofErr w:type="spellEnd"/>
      <w:r>
        <w:rPr>
          <w:lang w:val="hu-HU"/>
        </w:rPr>
        <w:t xml:space="preserve">, a koponyacsontosodás retardációja) és újszülöttkori toxicitást (veseelégtelenség,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>) okoz. (lásd 5.3 pont).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lastRenderedPageBreak/>
        <w:t>Amennyiben az AT-II-receptor-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>-expozíció a terhesség második trimeszterétől kezdve történt, a vesefunkció és a koponya ultrahangvizsgálata javasolt.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Ha az anya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</w:t>
      </w:r>
      <w:proofErr w:type="spellStart"/>
      <w:r>
        <w:rPr>
          <w:lang w:val="hu-HU"/>
        </w:rPr>
        <w:t>antagonistát</w:t>
      </w:r>
      <w:proofErr w:type="spellEnd"/>
      <w:r>
        <w:rPr>
          <w:lang w:val="hu-HU"/>
        </w:rPr>
        <w:t xml:space="preserve"> szedett, a csecsemőt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szempontjából szoros megfigyelés alatt kell tartani (lásd 4.3 és 4.4 pont).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szCs w:val="22"/>
          <w:lang w:val="pt-PT"/>
        </w:rPr>
        <w:t>A</w:t>
      </w:r>
      <w:r>
        <w:rPr>
          <w:iCs/>
          <w:szCs w:val="22"/>
          <w:lang w:val="fi-FI"/>
        </w:rPr>
        <w:t>z indapamid</w:t>
      </w:r>
      <w:r>
        <w:rPr>
          <w:szCs w:val="22"/>
          <w:lang w:val="fi-FI"/>
        </w:rPr>
        <w:t xml:space="preserve"> terhes nőknél történő alkalmazásáról nincsenek adatok, vagy korlátozott mennyiségű </w:t>
      </w:r>
      <w:r>
        <w:rPr>
          <w:lang w:val="hu-HU"/>
        </w:rPr>
        <w:t xml:space="preserve">(kevesebb mint 300 terhességből származó) adat áll rendelkezésre. A terhesség harmadik trimesztere alatti, hosszan tartó </w:t>
      </w:r>
      <w:proofErr w:type="spellStart"/>
      <w:r>
        <w:rPr>
          <w:lang w:val="hu-HU"/>
        </w:rPr>
        <w:t>tiazidexpozíció</w:t>
      </w:r>
      <w:proofErr w:type="spellEnd"/>
      <w:r>
        <w:rPr>
          <w:lang w:val="hu-HU"/>
        </w:rPr>
        <w:t xml:space="preserve"> csökkentheti az anyai plazmavolument és az </w:t>
      </w:r>
      <w:proofErr w:type="spellStart"/>
      <w:r>
        <w:rPr>
          <w:lang w:val="hu-HU"/>
        </w:rPr>
        <w:t>uteroplacentaris</w:t>
      </w:r>
      <w:proofErr w:type="spellEnd"/>
      <w:r>
        <w:rPr>
          <w:lang w:val="hu-HU"/>
        </w:rPr>
        <w:t xml:space="preserve"> véráramlást, ami </w:t>
      </w:r>
      <w:proofErr w:type="spellStart"/>
      <w:r>
        <w:rPr>
          <w:lang w:val="hu-HU"/>
        </w:rPr>
        <w:t>foetoplacentaris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ischaemiát</w:t>
      </w:r>
      <w:proofErr w:type="spellEnd"/>
      <w:r>
        <w:rPr>
          <w:lang w:val="hu-HU"/>
        </w:rPr>
        <w:t xml:space="preserve"> válthat ki, és a magzat </w:t>
      </w:r>
      <w:proofErr w:type="spellStart"/>
      <w:r>
        <w:rPr>
          <w:lang w:val="hu-HU"/>
        </w:rPr>
        <w:t>növekedésbeli</w:t>
      </w:r>
      <w:proofErr w:type="spellEnd"/>
      <w:r>
        <w:rPr>
          <w:lang w:val="hu-HU"/>
        </w:rPr>
        <w:t xml:space="preserve"> elmaradását idézheti elő.</w:t>
      </w:r>
    </w:p>
    <w:p w:rsidR="00B6017F" w:rsidRDefault="00D96CC4">
      <w:pPr>
        <w:rPr>
          <w:szCs w:val="22"/>
          <w:lang w:val="fi-FI"/>
        </w:rPr>
      </w:pPr>
      <w:r>
        <w:rPr>
          <w:szCs w:val="22"/>
          <w:lang w:val="fi-FI"/>
        </w:rPr>
        <w:t>Állatokkal végzett vizsgálatok nem igazoltak közvetlen vagy közvetett káros hatásokat a reprodukciós toxicitás tekintetében (lásd 5.3 pont).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alkalmazása elővigyázatosságból kerülendő a terhesség alatt.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:rsidR="00B6017F" w:rsidRDefault="00D96CC4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A </w:t>
      </w:r>
      <w:proofErr w:type="spellStart"/>
      <w:r>
        <w:rPr>
          <w:iCs/>
          <w:szCs w:val="22"/>
          <w:lang w:val="hu-HU"/>
        </w:rPr>
        <w:t>Tedenomo</w:t>
      </w:r>
      <w:proofErr w:type="spellEnd"/>
      <w:r>
        <w:rPr>
          <w:iCs/>
          <w:szCs w:val="22"/>
          <w:lang w:val="hu-HU"/>
        </w:rPr>
        <w:t xml:space="preserve"> alkalmazása nem ajánlott a szoptatás időszakában.</w:t>
      </w:r>
    </w:p>
    <w:p w:rsidR="00B6017F" w:rsidRDefault="00B6017F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B6017F" w:rsidRDefault="00D96CC4">
      <w:pPr>
        <w:autoSpaceDE w:val="0"/>
        <w:autoSpaceDN w:val="0"/>
        <w:adjustRightInd w:val="0"/>
        <w:rPr>
          <w:iCs/>
          <w:szCs w:val="22"/>
          <w:lang w:val="hu-HU"/>
        </w:rPr>
      </w:pPr>
      <w:r>
        <w:rPr>
          <w:iCs/>
          <w:szCs w:val="22"/>
          <w:lang w:val="hu-HU"/>
        </w:rPr>
        <w:t xml:space="preserve">Mivel nincsenek rendelkezésre álló adatok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szoptatás időszakában történő alkalmazásáról, a </w:t>
      </w:r>
      <w:proofErr w:type="spellStart"/>
      <w:r>
        <w:rPr>
          <w:iCs/>
          <w:szCs w:val="22"/>
          <w:lang w:val="hu-HU"/>
        </w:rPr>
        <w:t>telmizartán</w:t>
      </w:r>
      <w:proofErr w:type="spellEnd"/>
      <w:r>
        <w:rPr>
          <w:iCs/>
          <w:szCs w:val="22"/>
          <w:lang w:val="hu-HU"/>
        </w:rPr>
        <w:t xml:space="preserve"> szedése nem javasolt, és – különösen, ha és amíg a nő újszülöttet vagy koraszülöttet szoptat – olyan terápiás alternatívát kell előnyben részesíteni, amelynél a szoptatás alatti alkalmazásra vonatkozó biztonságossági profil jobban ismert.</w:t>
      </w:r>
    </w:p>
    <w:p w:rsidR="00B6017F" w:rsidRDefault="00B6017F">
      <w:pPr>
        <w:autoSpaceDE w:val="0"/>
        <w:autoSpaceDN w:val="0"/>
        <w:adjustRightInd w:val="0"/>
        <w:rPr>
          <w:iCs/>
          <w:szCs w:val="22"/>
          <w:lang w:val="hu-HU"/>
        </w:rPr>
      </w:pPr>
    </w:p>
    <w:p w:rsidR="00B6017F" w:rsidRDefault="00D96CC4">
      <w:pPr>
        <w:rPr>
          <w:szCs w:val="22"/>
          <w:lang w:val="fi-FI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és </w:t>
      </w:r>
      <w:proofErr w:type="spellStart"/>
      <w:r>
        <w:rPr>
          <w:iCs/>
          <w:szCs w:val="22"/>
          <w:lang w:val="hu-HU"/>
        </w:rPr>
        <w:t>metabolitjainak</w:t>
      </w:r>
      <w:proofErr w:type="spellEnd"/>
      <w:r>
        <w:rPr>
          <w:iCs/>
          <w:szCs w:val="22"/>
          <w:lang w:val="hu-HU"/>
        </w:rPr>
        <w:t xml:space="preserve"> humán anyatejbe történő kiválasztódásával kapcsolatban nem áll rendelkezésre elegendő mennyiségű információ.</w:t>
      </w:r>
      <w:r>
        <w:rPr>
          <w:szCs w:val="22"/>
          <w:lang w:val="fi-FI"/>
        </w:rPr>
        <w:t xml:space="preserve"> </w:t>
      </w:r>
      <w:r>
        <w:rPr>
          <w:iCs/>
          <w:szCs w:val="22"/>
          <w:lang w:val="hu-HU"/>
        </w:rPr>
        <w:t xml:space="preserve">Szulfonamid-származékokkal szembeni túlérzékenység és </w:t>
      </w:r>
      <w:proofErr w:type="spellStart"/>
      <w:r>
        <w:rPr>
          <w:iCs/>
          <w:szCs w:val="22"/>
          <w:lang w:val="hu-HU"/>
        </w:rPr>
        <w:t>hypokalaemia</w:t>
      </w:r>
      <w:proofErr w:type="spellEnd"/>
      <w:r>
        <w:rPr>
          <w:iCs/>
          <w:szCs w:val="22"/>
          <w:lang w:val="hu-HU"/>
        </w:rPr>
        <w:t xml:space="preserve"> is kialakulhat. Az újszülött/csecsemő vonatkozásában a kockázatot nem lehet kizárni.</w:t>
      </w:r>
    </w:p>
    <w:p w:rsidR="00B6017F" w:rsidRDefault="00D96CC4">
      <w:pPr>
        <w:autoSpaceDE w:val="0"/>
        <w:autoSpaceDN w:val="0"/>
        <w:adjustRightInd w:val="0"/>
        <w:rPr>
          <w:lang w:val="hu-HU"/>
        </w:rPr>
      </w:pPr>
      <w:r>
        <w:rPr>
          <w:iCs/>
          <w:szCs w:val="22"/>
          <w:lang w:val="hu-HU"/>
        </w:rPr>
        <w:t xml:space="preserve">Az </w:t>
      </w:r>
      <w:proofErr w:type="spellStart"/>
      <w:r>
        <w:rPr>
          <w:iCs/>
          <w:szCs w:val="22"/>
          <w:lang w:val="hu-HU"/>
        </w:rPr>
        <w:t>indapamid</w:t>
      </w:r>
      <w:proofErr w:type="spellEnd"/>
      <w:r>
        <w:rPr>
          <w:iCs/>
          <w:szCs w:val="22"/>
          <w:lang w:val="hu-HU"/>
        </w:rPr>
        <w:t xml:space="preserve">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diuretikumokkal</w:t>
      </w:r>
      <w:proofErr w:type="spellEnd"/>
      <w:r>
        <w:rPr>
          <w:iCs/>
          <w:szCs w:val="22"/>
          <w:lang w:val="hu-HU"/>
        </w:rPr>
        <w:t xml:space="preserve"> szoros rokonságban álló vegyület. A </w:t>
      </w:r>
      <w:proofErr w:type="spellStart"/>
      <w:r>
        <w:rPr>
          <w:iCs/>
          <w:szCs w:val="22"/>
          <w:lang w:val="hu-HU"/>
        </w:rPr>
        <w:t>tiazid</w:t>
      </w:r>
      <w:proofErr w:type="spellEnd"/>
      <w:r>
        <w:rPr>
          <w:iCs/>
          <w:szCs w:val="22"/>
          <w:lang w:val="hu-HU"/>
        </w:rPr>
        <w:t xml:space="preserve"> </w:t>
      </w:r>
      <w:proofErr w:type="spellStart"/>
      <w:r>
        <w:rPr>
          <w:iCs/>
          <w:szCs w:val="22"/>
          <w:lang w:val="hu-HU"/>
        </w:rPr>
        <w:t>diuretikumok</w:t>
      </w:r>
      <w:proofErr w:type="spellEnd"/>
      <w:r>
        <w:rPr>
          <w:iCs/>
          <w:szCs w:val="22"/>
          <w:lang w:val="hu-HU"/>
        </w:rPr>
        <w:t xml:space="preserve"> szoptatás alatti alkalmazásával összefüggő hatás a laktáció csökkenése, esetleg megszűnése.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esetében nem figyeltek meg női és férfi termékenységre kifejtett hatást a </w:t>
      </w:r>
      <w:proofErr w:type="spellStart"/>
      <w:r>
        <w:rPr>
          <w:lang w:val="hu-HU"/>
        </w:rPr>
        <w:t>preklinikai</w:t>
      </w:r>
      <w:proofErr w:type="spellEnd"/>
      <w:r>
        <w:rPr>
          <w:lang w:val="hu-HU"/>
        </w:rPr>
        <w:t xml:space="preserve"> vizsgálatok során.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indapamaidra</w:t>
      </w:r>
      <w:proofErr w:type="spellEnd"/>
      <w:r>
        <w:rPr>
          <w:lang w:val="hu-HU"/>
        </w:rPr>
        <w:t xml:space="preserve"> vonatkozóan a nőstény és hím patkányokkal végzett reproduktív toxicitási vizsgálatok nem igazoltak termékenységre gyakorolt hatást (lásd 5.3 pont). Humán termékenységre gyakorolt hatás nem várható.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:rsidR="00B6017F" w:rsidRDefault="00B6017F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telmizartán/indapamid kombináció alkalmazása a vérnyomáscsökkenéssel kapcsolatos, egyénileg eltérő reakciókat okozhat, különösen a kezelés kezdetén. Ezért a gépjárművezetéskor vagy gépek kezelésekor figyelembe kell venni, hogy szédülés vagy fáradtság előfordulhat.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A biztonságossági profil összefoglalása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Telmizartán</w:t>
      </w: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súlyos mellékhatások között szerepel a ritkán (≥1/10 000 – &lt;1/1000) előforduló </w:t>
      </w:r>
      <w:proofErr w:type="spellStart"/>
      <w:r>
        <w:rPr>
          <w:iCs/>
          <w:lang w:val="hu-HU"/>
        </w:rPr>
        <w:t>anaphylaxiás</w:t>
      </w:r>
      <w:proofErr w:type="spellEnd"/>
      <w:r>
        <w:rPr>
          <w:iCs/>
          <w:lang w:val="hu-HU"/>
        </w:rPr>
        <w:t xml:space="preserve"> reakció és az </w:t>
      </w:r>
      <w:proofErr w:type="spellStart"/>
      <w:r>
        <w:rPr>
          <w:iCs/>
          <w:lang w:val="hu-HU"/>
        </w:rPr>
        <w:t>angiooedema</w:t>
      </w:r>
      <w:proofErr w:type="spellEnd"/>
      <w:r>
        <w:rPr>
          <w:iCs/>
          <w:lang w:val="hu-HU"/>
        </w:rPr>
        <w:t>, valamint az akut veseelégtelenség.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betegeknél a kontrollos vizsgálatokban a nemkívánatos események teljes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általában hasonló volt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(41,4%) és a </w:t>
      </w:r>
      <w:proofErr w:type="spellStart"/>
      <w:r>
        <w:rPr>
          <w:iCs/>
          <w:lang w:val="hu-HU"/>
        </w:rPr>
        <w:t>placebóval</w:t>
      </w:r>
      <w:proofErr w:type="spellEnd"/>
      <w:r>
        <w:rPr>
          <w:iCs/>
          <w:lang w:val="hu-HU"/>
        </w:rPr>
        <w:t xml:space="preserve"> (43,9%) kezelt csoportban. A mellékhatások </w:t>
      </w:r>
      <w:proofErr w:type="spellStart"/>
      <w:r>
        <w:rPr>
          <w:iCs/>
          <w:lang w:val="hu-HU"/>
        </w:rPr>
        <w:t>incidenciája</w:t>
      </w:r>
      <w:proofErr w:type="spellEnd"/>
      <w:r>
        <w:rPr>
          <w:iCs/>
          <w:lang w:val="hu-HU"/>
        </w:rPr>
        <w:t xml:space="preserve"> független volt az alkalmazott dózis nagyságától, valamint a betegek nemétől, életkorától és </w:t>
      </w:r>
      <w:proofErr w:type="spellStart"/>
      <w:r>
        <w:rPr>
          <w:iCs/>
          <w:lang w:val="hu-HU"/>
        </w:rPr>
        <w:t>rasszbeli</w:t>
      </w:r>
      <w:proofErr w:type="spellEnd"/>
      <w:r>
        <w:rPr>
          <w:iCs/>
          <w:lang w:val="hu-HU"/>
        </w:rPr>
        <w:t xml:space="preserve"> sajátosságaitól is.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</w:t>
      </w:r>
      <w:r>
        <w:rPr>
          <w:iCs/>
          <w:lang w:val="hu-HU"/>
        </w:rPr>
        <w:lastRenderedPageBreak/>
        <w:t xml:space="preserve">érdekében kezelt betegeknél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biztonságossági profilja megegyezett a </w:t>
      </w:r>
      <w:proofErr w:type="spellStart"/>
      <w:r>
        <w:rPr>
          <w:iCs/>
          <w:lang w:val="hu-HU"/>
        </w:rPr>
        <w:t>hypertoniás</w:t>
      </w:r>
      <w:proofErr w:type="spellEnd"/>
      <w:r>
        <w:rPr>
          <w:iCs/>
          <w:lang w:val="hu-HU"/>
        </w:rPr>
        <w:t xml:space="preserve"> betegek esetében </w:t>
      </w:r>
      <w:proofErr w:type="spellStart"/>
      <w:r>
        <w:rPr>
          <w:iCs/>
          <w:lang w:val="hu-HU"/>
        </w:rPr>
        <w:t>észlelttel</w:t>
      </w:r>
      <w:proofErr w:type="spellEnd"/>
      <w:r>
        <w:rPr>
          <w:iCs/>
          <w:lang w:val="hu-HU"/>
        </w:rPr>
        <w:t>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következőkben felsorolt mellékhatások a </w:t>
      </w:r>
      <w:proofErr w:type="spellStart"/>
      <w:r>
        <w:rPr>
          <w:iCs/>
          <w:lang w:val="hu-HU"/>
        </w:rPr>
        <w:t>hypertonia</w:t>
      </w:r>
      <w:proofErr w:type="spellEnd"/>
      <w:r>
        <w:rPr>
          <w:iCs/>
          <w:lang w:val="hu-HU"/>
        </w:rPr>
        <w:t xml:space="preserve"> miatt kezelt betegek kontrollos klinikai vizsgálataiból és a forgalomba hozatalt követő jelentésekből származnak. A felsorolás figyelembe veszi azokat a súlyos mellékhatásokat és a kezelés megszakításához vezető mellékhatásokat is, amelyek három hosszú távú klinikai vizsgálatból származnak: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érdekében összesen 21 642 beteget kezeltek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>, akár 6 éven át.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/>
          <w:lang w:val="hu-HU"/>
        </w:rPr>
      </w:pPr>
      <w:proofErr w:type="spellStart"/>
      <w:r>
        <w:rPr>
          <w:i/>
          <w:lang w:val="hu-HU"/>
        </w:rPr>
        <w:t>Indapamid</w:t>
      </w:r>
      <w:proofErr w:type="spellEnd"/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leggyakrabban jelentett mellékhatások a </w:t>
      </w:r>
      <w:proofErr w:type="spellStart"/>
      <w:r>
        <w:rPr>
          <w:iCs/>
          <w:lang w:val="hu-HU"/>
        </w:rPr>
        <w:t>hypokalaemia</w:t>
      </w:r>
      <w:proofErr w:type="spellEnd"/>
      <w:r>
        <w:rPr>
          <w:iCs/>
          <w:lang w:val="hu-HU"/>
        </w:rPr>
        <w:t xml:space="preserve">, az elsősorban dermatológiai túlérzékenységi reakciók az allergiás és asztmatikus reakciókra hajlamos egyéneknél és a </w:t>
      </w:r>
      <w:proofErr w:type="spellStart"/>
      <w:r>
        <w:rPr>
          <w:iCs/>
          <w:lang w:val="hu-HU"/>
        </w:rPr>
        <w:t>maculopapulosus</w:t>
      </w:r>
      <w:proofErr w:type="spellEnd"/>
      <w:r>
        <w:rPr>
          <w:iCs/>
          <w:lang w:val="hu-HU"/>
        </w:rPr>
        <w:t xml:space="preserve"> kiütések.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A mellékhatások táblázatos összefoglalása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>A mellékhatásokat gyakoriság szerint, a következő egyezményes módon osztályoztuk: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1/10),</w:t>
      </w: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 – &lt;1/10),</w:t>
      </w: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1/1000 – &lt;1/100),</w:t>
      </w: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 1/10 000 – &lt;1/1000),</w:t>
      </w: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Nagyon ritka (&lt;1/10 000),</w:t>
      </w:r>
    </w:p>
    <w:p w:rsidR="00B6017F" w:rsidRDefault="00D96CC4">
      <w:pPr>
        <w:numPr>
          <w:ilvl w:val="0"/>
          <w:numId w:val="4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Nem ismert (a gyakoriság a rendelkezésre álló adatokból nem állapítható meg).</w:t>
      </w:r>
    </w:p>
    <w:p w:rsidR="00B6017F" w:rsidRDefault="00B6017F">
      <w:pPr>
        <w:spacing w:line="240" w:lineRule="auto"/>
        <w:rPr>
          <w:iCs/>
          <w:lang w:val="hu-H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39"/>
        <w:gridCol w:w="3403"/>
        <w:gridCol w:w="1810"/>
        <w:gridCol w:w="1809"/>
      </w:tblGrid>
      <w:tr w:rsidR="00B6017F">
        <w:trPr>
          <w:trHeight w:val="70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bookmarkStart w:id="2" w:name="_Hlk170898732"/>
            <w:proofErr w:type="spellStart"/>
            <w:r>
              <w:rPr>
                <w:b/>
                <w:szCs w:val="22"/>
                <w:lang w:val="hu-HU"/>
              </w:rPr>
              <w:t>MedDRA</w:t>
            </w:r>
            <w:proofErr w:type="spellEnd"/>
            <w:r>
              <w:rPr>
                <w:b/>
                <w:szCs w:val="22"/>
                <w:lang w:val="hu-HU"/>
              </w:rPr>
              <w:t xml:space="preserve"> szervrendszeri kategória</w:t>
            </w:r>
          </w:p>
        </w:tc>
        <w:tc>
          <w:tcPr>
            <w:tcW w:w="1878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szCs w:val="22"/>
                <w:lang w:val="hu-HU"/>
              </w:rPr>
              <w:t>Mellékhatások</w:t>
            </w:r>
          </w:p>
        </w:tc>
        <w:tc>
          <w:tcPr>
            <w:tcW w:w="1997" w:type="pct"/>
            <w:gridSpan w:val="2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Gyakoriság</w:t>
            </w:r>
          </w:p>
        </w:tc>
      </w:tr>
      <w:tr w:rsidR="00B6017F">
        <w:trPr>
          <w:trHeight w:val="688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999" w:type="pct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Telmizartán</w:t>
            </w:r>
          </w:p>
        </w:tc>
        <w:tc>
          <w:tcPr>
            <w:tcW w:w="998" w:type="pc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Indapamid</w:t>
            </w:r>
          </w:p>
        </w:tc>
      </w:tr>
      <w:tr w:rsidR="00B6017F">
        <w:trPr>
          <w:trHeight w:val="277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Fertőző betegségek és parazitafertőzések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Húgyúti fertőzések, beleértve a cystitist 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Felső légúti fertőzések, többek között pharyngitis és sinusitis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Szepszis, a halálos kimenetelű eseteket is beleértve</w:t>
            </w:r>
            <w:r>
              <w:rPr>
                <w:noProof/>
                <w:szCs w:val="24"/>
                <w:vertAlign w:val="superscript"/>
                <w:lang w:val="hu-HU"/>
              </w:rPr>
              <w:t>1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7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Vérképzőszervi és nyirokrendszeri betegségek és tüntek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Eosinophilia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Thrombocytopenia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Agranulocytosis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Aplasticus anaemia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8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Haemolyticus anaemia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Leukopenia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5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Immunrendszeri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Anaphylaxiás reakció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75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Túlérzékenység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49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bCs/>
                <w:noProof/>
                <w:szCs w:val="24"/>
                <w:lang w:val="hu-HU"/>
              </w:rPr>
            </w:pPr>
            <w:r>
              <w:rPr>
                <w:b/>
                <w:bCs/>
                <w:noProof/>
                <w:szCs w:val="24"/>
                <w:lang w:val="hu-HU"/>
              </w:rPr>
              <w:t>Anyagcsere- és táplálkozási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Hyperkalaemia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12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Hypoglykaemia (cukorbetegeknél)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8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Hypercalcaemia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915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Hypokalaemia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B6017F">
        <w:trPr>
          <w:trHeight w:val="16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Hyponatraemia (lásd 4.4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B6017F">
        <w:trPr>
          <w:trHeight w:val="16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Hypochloraemia</w:t>
            </w:r>
          </w:p>
        </w:tc>
        <w:tc>
          <w:tcPr>
            <w:tcW w:w="999" w:type="pct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16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Hypomagnesaemia</w:t>
            </w:r>
          </w:p>
        </w:tc>
        <w:tc>
          <w:tcPr>
            <w:tcW w:w="999" w:type="pct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143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 xml:space="preserve">Pszichiátriai </w:t>
            </w:r>
            <w:r>
              <w:rPr>
                <w:b/>
                <w:noProof/>
                <w:szCs w:val="24"/>
                <w:lang w:val="hu-HU"/>
              </w:rPr>
              <w:lastRenderedPageBreak/>
              <w:t>kórképek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lastRenderedPageBreak/>
              <w:t>Álmatlanság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106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Depresszió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37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Szorongás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80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Idegrendszeri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iCs/>
                <w:szCs w:val="22"/>
                <w:lang w:val="hu-HU"/>
              </w:rPr>
            </w:pPr>
            <w:r>
              <w:rPr>
                <w:iCs/>
                <w:szCs w:val="22"/>
                <w:lang w:val="hu-HU"/>
              </w:rPr>
              <w:t>Szédülés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</w:tr>
      <w:tr w:rsidR="00B6017F">
        <w:trPr>
          <w:trHeight w:val="280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iCs/>
                <w:szCs w:val="22"/>
                <w:lang w:val="hu-HU"/>
              </w:rPr>
              <w:t>Aluszékonyság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Fáradtság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58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Fejfájás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Paresthesia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Ájulás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4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Szembetegségek és szemészeti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Látászavar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Myopia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Homályos látás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Chorioidealis effusio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 xml:space="preserve">Akut zárt zugú </w:t>
            </w:r>
            <w:proofErr w:type="spellStart"/>
            <w:r>
              <w:rPr>
                <w:szCs w:val="22"/>
                <w:lang w:val="hu-HU"/>
              </w:rPr>
              <w:t>glaucoma</w:t>
            </w:r>
            <w:proofErr w:type="spellEnd"/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Látáskárosodás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3"/>
        </w:trPr>
        <w:tc>
          <w:tcPr>
            <w:tcW w:w="1125" w:type="pc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fül és az egyensúly-érzékelő szerv betegségei és tünetei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Vertigo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142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Szívbetegségek és szívvel kapcsolatos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Bradycardia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145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Tachycardia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145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Arrhythmia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506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i/>
                <w:szCs w:val="22"/>
                <w:lang w:val="hu-HU" w:eastAsia="fr-FR"/>
              </w:rPr>
              <w:t>Torsade</w:t>
            </w:r>
            <w:proofErr w:type="spellEnd"/>
            <w:r>
              <w:rPr>
                <w:i/>
                <w:szCs w:val="22"/>
                <w:lang w:val="hu-HU" w:eastAsia="fr-FR"/>
              </w:rPr>
              <w:t xml:space="preserve"> de </w:t>
            </w:r>
            <w:proofErr w:type="spellStart"/>
            <w:r>
              <w:rPr>
                <w:i/>
                <w:szCs w:val="22"/>
                <w:lang w:val="hu-HU" w:eastAsia="fr-FR"/>
              </w:rPr>
              <w:t>pointes</w:t>
            </w:r>
            <w:proofErr w:type="spellEnd"/>
            <w:r>
              <w:rPr>
                <w:szCs w:val="22"/>
                <w:lang w:val="hu-HU" w:eastAsia="fr-FR"/>
              </w:rPr>
              <w:t xml:space="preserve"> (potenciálisan halálos kimenetelű) (lásd 4.4 és 4.5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318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Érbetegségek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Hypotonia</w:t>
            </w:r>
            <w:r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318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Orthostaticus hypotonia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Légzőrendszeri, mellkasi és mediastinalis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Dyspnoe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Köhögés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Interstitialis tüdőbetegség</w:t>
            </w:r>
            <w:r>
              <w:rPr>
                <w:noProof/>
                <w:szCs w:val="24"/>
                <w:vertAlign w:val="superscript"/>
                <w:lang w:val="hu-HU"/>
              </w:rPr>
              <w:t>4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Emésztőrendszeri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Abdominalis fájdalom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Hasmenés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Emésztési zavar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Flatulentia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Hányás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Hasi diszkomfortérzés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Dysgeusia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Szájszárazság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Hányinger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89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Székrekedés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Pancreatitis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77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Máj- és epebetegségek, illetve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Kóros májfunkciós értékek / májbetegség</w:t>
            </w:r>
            <w:r>
              <w:rPr>
                <w:noProof/>
                <w:szCs w:val="24"/>
                <w:vertAlign w:val="superscript"/>
                <w:lang w:val="hu-HU"/>
              </w:rPr>
              <w:t>3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505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Májkárosodás esetén </w:t>
            </w:r>
            <w:proofErr w:type="spellStart"/>
            <w:r>
              <w:rPr>
                <w:szCs w:val="22"/>
                <w:lang w:val="hu-HU" w:eastAsia="fr-FR"/>
              </w:rPr>
              <w:t>hepaticus</w:t>
            </w:r>
            <w:proofErr w:type="spellEnd"/>
            <w:r>
              <w:rPr>
                <w:szCs w:val="22"/>
                <w:lang w:val="hu-HU" w:eastAsia="fr-FR"/>
              </w:rPr>
              <w:t xml:space="preserve"> </w:t>
            </w:r>
            <w:proofErr w:type="spellStart"/>
            <w:r>
              <w:rPr>
                <w:szCs w:val="22"/>
                <w:lang w:val="hu-HU" w:eastAsia="fr-FR"/>
              </w:rPr>
              <w:t>encephalopathia</w:t>
            </w:r>
            <w:proofErr w:type="spellEnd"/>
            <w:r>
              <w:rPr>
                <w:szCs w:val="22"/>
                <w:lang w:val="hu-HU" w:eastAsia="fr-FR"/>
              </w:rPr>
              <w:t xml:space="preserve"> alakulhat ki (lásd 4.3 és 4.4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78"/>
        </w:trPr>
        <w:tc>
          <w:tcPr>
            <w:tcW w:w="1125" w:type="pct"/>
            <w:vMerge/>
            <w:tcBorders>
              <w:top w:val="nil"/>
            </w:tcBorders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Hepatitis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4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bőr és a bőr alatti szövet betegségei és tünetei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 w:eastAsia="fr-FR"/>
              </w:rPr>
              <w:t>Maculopapulosus</w:t>
            </w:r>
            <w:proofErr w:type="spellEnd"/>
            <w:r>
              <w:rPr>
                <w:szCs w:val="22"/>
                <w:lang w:val="hu-HU" w:eastAsia="fr-FR"/>
              </w:rPr>
              <w:t xml:space="preserve"> kiütések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 xml:space="preserve">Túlérzékenységi reakció 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Gyakori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Pruritus 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Hyperhidrosis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tabs>
                <w:tab w:val="clear" w:pos="567"/>
                <w:tab w:val="center" w:pos="1593"/>
              </w:tabs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Bőrkiütés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Purpura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Ekzema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Erythema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Gyógyszerkiütés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4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Toxikus bőrkiütés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Angiooedema (a telmizartán esetében halálos kimenetelű is)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Urticaria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53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 xml:space="preserve">Toxicus </w:t>
            </w:r>
            <w:proofErr w:type="spellStart"/>
            <w:r>
              <w:rPr>
                <w:szCs w:val="22"/>
                <w:lang w:val="hu-HU"/>
              </w:rPr>
              <w:t>epidermalis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r>
              <w:rPr>
                <w:noProof/>
                <w:szCs w:val="24"/>
                <w:lang w:val="hu-HU"/>
              </w:rPr>
              <w:t>necrolysis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Stevens</w:t>
            </w:r>
            <w:proofErr w:type="spellEnd"/>
            <w:r>
              <w:rPr>
                <w:szCs w:val="22"/>
                <w:lang w:val="hu-HU"/>
              </w:rPr>
              <w:t>–Johnson-szindróma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Fényérzékenységi reakciók</w:t>
            </w:r>
            <w:r>
              <w:rPr>
                <w:szCs w:val="22"/>
                <w:lang w:val="hu-HU" w:eastAsia="fr-FR"/>
              </w:rPr>
              <w:t xml:space="preserve"> </w:t>
            </w:r>
            <w:r>
              <w:rPr>
                <w:szCs w:val="22"/>
                <w:lang w:val="hu-HU"/>
              </w:rPr>
              <w:t>(lásd 4.4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 w:val="restart"/>
            <w:shd w:val="clear" w:color="auto" w:fill="auto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Hátfájás (például ischias)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Izomgörcs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Myalgia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Ízületi fájdalom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Végtagfájdalom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Ínfájdalom (íngyulladásszerű tünetek)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Izomgyengeség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Rhabdomyolysis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shd w:val="clear" w:color="auto" w:fill="auto"/>
            <w:vAlign w:val="center"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shd w:val="clear" w:color="auto" w:fill="auto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Már fennálló akut, disszeminált lupus erythematosus lehetséges rosszabbodása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Vese- és húgyúti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Vesekárosodás, az akut veseelégtelenséget is beleértve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Veseelégtelenség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Nagyon ritka</w:t>
            </w:r>
          </w:p>
        </w:tc>
      </w:tr>
      <w:tr w:rsidR="00B6017F">
        <w:trPr>
          <w:trHeight w:val="251"/>
        </w:trPr>
        <w:tc>
          <w:tcPr>
            <w:tcW w:w="1125" w:type="pct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A nemi szervekkel és az emlőkkel kapcsolatos betegségek és tünetek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Erectilis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proofErr w:type="spellStart"/>
            <w:r>
              <w:rPr>
                <w:szCs w:val="22"/>
                <w:lang w:val="hu-HU"/>
              </w:rPr>
              <w:t>dysfunctio</w:t>
            </w:r>
            <w:proofErr w:type="spellEnd"/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</w:tr>
      <w:tr w:rsidR="00B6017F">
        <w:trPr>
          <w:trHeight w:val="251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Általános tünetek, az alkalmazás helyén fellépő reakciók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Mellkasi fájdalom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Asthenia (gyengeség)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  <w:vAlign w:val="center"/>
          </w:tcPr>
          <w:p w:rsidR="00B6017F" w:rsidRDefault="00B6017F">
            <w:pPr>
              <w:widowControl w:val="0"/>
              <w:rPr>
                <w:b/>
                <w:noProof/>
                <w:szCs w:val="24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Influenzaszerű megbetegedés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 w:val="restart"/>
            <w:vAlign w:val="center"/>
          </w:tcPr>
          <w:p w:rsidR="00B6017F" w:rsidRDefault="00D96CC4">
            <w:pPr>
              <w:widowControl w:val="0"/>
              <w:rPr>
                <w:b/>
                <w:noProof/>
                <w:szCs w:val="24"/>
                <w:lang w:val="hu-HU"/>
              </w:rPr>
            </w:pPr>
            <w:r>
              <w:rPr>
                <w:b/>
                <w:noProof/>
                <w:szCs w:val="24"/>
                <w:lang w:val="hu-HU"/>
              </w:rPr>
              <w:t>Laboratóriumi és egyéb vizsgálatok eredményei</w:t>
            </w: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kreatininszint a vérben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gyakori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Csökkent hemoglobinszint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húgysavszint a vérben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>Emelkedett májenzimszintek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Emelkedett kreatin-foszfokináz-szint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Ritka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 w:eastAsia="fr-FR"/>
              </w:rPr>
              <w:t>Megnyúlt QT-szakasz az EKG-n (lásd 4.4 és 4.5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  <w:tr w:rsidR="00B6017F">
        <w:trPr>
          <w:trHeight w:val="251"/>
        </w:trPr>
        <w:tc>
          <w:tcPr>
            <w:tcW w:w="1125" w:type="pct"/>
            <w:vMerge/>
          </w:tcPr>
          <w:p w:rsidR="00B6017F" w:rsidRDefault="00B6017F">
            <w:pPr>
              <w:widowControl w:val="0"/>
              <w:rPr>
                <w:noProof/>
                <w:szCs w:val="24"/>
                <w:vertAlign w:val="superscript"/>
                <w:lang w:val="hu-HU"/>
              </w:rPr>
            </w:pPr>
          </w:p>
        </w:tc>
        <w:tc>
          <w:tcPr>
            <w:tcW w:w="1878" w:type="pct"/>
            <w:vAlign w:val="center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szCs w:val="22"/>
                <w:lang w:val="hu-HU"/>
              </w:rPr>
              <w:t xml:space="preserve">Emelkedett vércukorszint </w:t>
            </w:r>
            <w:r>
              <w:rPr>
                <w:szCs w:val="22"/>
                <w:lang w:val="hu-HU" w:eastAsia="fr-FR"/>
              </w:rPr>
              <w:t>(lásd 4.4 pont)</w:t>
            </w:r>
          </w:p>
        </w:tc>
        <w:tc>
          <w:tcPr>
            <w:tcW w:w="999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–</w:t>
            </w:r>
          </w:p>
        </w:tc>
        <w:tc>
          <w:tcPr>
            <w:tcW w:w="998" w:type="pct"/>
          </w:tcPr>
          <w:p w:rsidR="00B6017F" w:rsidRDefault="00D96CC4">
            <w:pPr>
              <w:widowControl w:val="0"/>
              <w:rPr>
                <w:noProof/>
                <w:szCs w:val="24"/>
                <w:lang w:val="hu-HU"/>
              </w:rPr>
            </w:pPr>
            <w:r>
              <w:rPr>
                <w:noProof/>
                <w:szCs w:val="24"/>
                <w:lang w:val="hu-HU"/>
              </w:rPr>
              <w:t>Nem ismert</w:t>
            </w:r>
          </w:p>
        </w:tc>
      </w:tr>
    </w:tbl>
    <w:bookmarkEnd w:id="2"/>
    <w:p w:rsidR="00B6017F" w:rsidRDefault="00D96CC4">
      <w:pPr>
        <w:rPr>
          <w:szCs w:val="22"/>
          <w:lang w:val="hu-HU"/>
        </w:rPr>
      </w:pPr>
      <w:r>
        <w:rPr>
          <w:szCs w:val="22"/>
          <w:vertAlign w:val="superscript"/>
          <w:lang w:val="hu-HU"/>
        </w:rPr>
        <w:t>1, 2, 3, 4</w:t>
      </w:r>
      <w:r>
        <w:rPr>
          <w:szCs w:val="22"/>
          <w:lang w:val="hu-HU"/>
        </w:rPr>
        <w:t>: A további információkat lásd az „Egyes kiválasztott mellékhatások leírása” alpontban</w:t>
      </w:r>
    </w:p>
    <w:p w:rsidR="00B6017F" w:rsidRDefault="00B6017F">
      <w:pPr>
        <w:rPr>
          <w:szCs w:val="22"/>
          <w:lang w:val="hu-HU"/>
        </w:rPr>
      </w:pPr>
    </w:p>
    <w:p w:rsidR="00B6017F" w:rsidRDefault="00D96CC4">
      <w:pPr>
        <w:rPr>
          <w:u w:val="single"/>
          <w:lang w:val="hu-HU"/>
        </w:rPr>
      </w:pPr>
      <w:r>
        <w:rPr>
          <w:u w:val="single"/>
          <w:lang w:val="hu-HU"/>
        </w:rPr>
        <w:t>Egyes kiválasztott mellékhatások leírása</w:t>
      </w:r>
    </w:p>
    <w:p w:rsidR="00B6017F" w:rsidRDefault="00B6017F">
      <w:pPr>
        <w:rPr>
          <w:szCs w:val="22"/>
          <w:u w:val="single"/>
          <w:lang w:val="hu-HU"/>
        </w:rPr>
      </w:pPr>
    </w:p>
    <w:p w:rsidR="00B6017F" w:rsidRDefault="00D96CC4">
      <w:pPr>
        <w:rPr>
          <w:szCs w:val="22"/>
        </w:rPr>
      </w:pPr>
      <w:r>
        <w:rPr>
          <w:szCs w:val="22"/>
        </w:rPr>
        <w:t>A 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>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és 2,5 mg-</w:t>
      </w:r>
      <w:proofErr w:type="spellStart"/>
      <w:r>
        <w:rPr>
          <w:szCs w:val="22"/>
        </w:rPr>
        <w:t>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indapamid-dózist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összehasonlító</w:t>
      </w:r>
      <w:proofErr w:type="spellEnd"/>
      <w:r>
        <w:rPr>
          <w:szCs w:val="22"/>
        </w:rPr>
        <w:t xml:space="preserve"> II. </w:t>
      </w:r>
      <w:proofErr w:type="gramStart"/>
      <w:r>
        <w:rPr>
          <w:szCs w:val="22"/>
        </w:rPr>
        <w:t>és</w:t>
      </w:r>
      <w:proofErr w:type="gramEnd"/>
      <w:r>
        <w:rPr>
          <w:szCs w:val="22"/>
        </w:rPr>
        <w:t xml:space="preserve"> III. </w:t>
      </w:r>
      <w:proofErr w:type="spellStart"/>
      <w:proofErr w:type="gramStart"/>
      <w:r>
        <w:rPr>
          <w:szCs w:val="22"/>
        </w:rPr>
        <w:t>fázisú</w:t>
      </w:r>
      <w:proofErr w:type="spellEnd"/>
      <w:proofErr w:type="gram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során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plazma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káliumszintjének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elemzése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az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dózisfüggő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hatását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mutatta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ki</w:t>
      </w:r>
      <w:proofErr w:type="spellEnd"/>
      <w:r>
        <w:rPr>
          <w:szCs w:val="22"/>
        </w:rPr>
        <w:t>:</w:t>
      </w:r>
    </w:p>
    <w:p w:rsidR="00B6017F" w:rsidRDefault="00D96CC4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1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</w:t>
      </w:r>
      <w:r>
        <w:rPr>
          <w:szCs w:val="22"/>
        </w:rPr>
        <w:lastRenderedPageBreak/>
        <w:t>4%-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,23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B6017F" w:rsidRDefault="00D96CC4">
      <w:pPr>
        <w:numPr>
          <w:ilvl w:val="0"/>
          <w:numId w:val="5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2</w:t>
      </w:r>
      <w:proofErr w:type="gramStart"/>
      <w:r>
        <w:rPr>
          <w:szCs w:val="22"/>
        </w:rPr>
        <w:t>,5</w:t>
      </w:r>
      <w:proofErr w:type="gramEnd"/>
      <w:r>
        <w:rPr>
          <w:szCs w:val="22"/>
        </w:rPr>
        <w:t xml:space="preserve"> mg </w:t>
      </w:r>
      <w:proofErr w:type="spellStart"/>
      <w:r>
        <w:rPr>
          <w:szCs w:val="22"/>
        </w:rPr>
        <w:t>dózisú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indapamid</w:t>
      </w:r>
      <w:proofErr w:type="spellEnd"/>
      <w:r>
        <w:rPr>
          <w:szCs w:val="22"/>
        </w:rPr>
        <w:t xml:space="preserve">: A </w:t>
      </w:r>
      <w:proofErr w:type="spellStart"/>
      <w:r>
        <w:rPr>
          <w:szCs w:val="22"/>
        </w:rPr>
        <w:t>klinikai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vizsgálatok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alatt</w:t>
      </w:r>
      <w:proofErr w:type="spellEnd"/>
      <w:r>
        <w:rPr>
          <w:szCs w:val="22"/>
        </w:rPr>
        <w:t xml:space="preserve"> 4–6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hypokalaemiát</w:t>
      </w:r>
      <w:proofErr w:type="spellEnd"/>
      <w:r>
        <w:rPr>
          <w:szCs w:val="22"/>
        </w:rPr>
        <w:t xml:space="preserve"> (</w:t>
      </w:r>
      <w:proofErr w:type="spellStart"/>
      <w:r>
        <w:rPr>
          <w:szCs w:val="22"/>
        </w:rPr>
        <w:t>káliumszint</w:t>
      </w:r>
      <w:proofErr w:type="spellEnd"/>
      <w:r>
        <w:rPr>
          <w:szCs w:val="22"/>
        </w:rPr>
        <w:t xml:space="preserve"> &lt;3,4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/l)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25%-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észleltek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illetve</w:t>
      </w:r>
      <w:proofErr w:type="spellEnd"/>
      <w:r>
        <w:rPr>
          <w:szCs w:val="22"/>
        </w:rPr>
        <w:t xml:space="preserve"> &lt;3,2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 xml:space="preserve">/l  </w:t>
      </w:r>
      <w:proofErr w:type="spellStart"/>
      <w:r>
        <w:rPr>
          <w:szCs w:val="22"/>
        </w:rPr>
        <w:t>értéket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betegek</w:t>
      </w:r>
      <w:proofErr w:type="spellEnd"/>
      <w:r>
        <w:rPr>
          <w:szCs w:val="22"/>
        </w:rPr>
        <w:t xml:space="preserve"> 10%-</w:t>
      </w:r>
      <w:proofErr w:type="spellStart"/>
      <w:r>
        <w:rPr>
          <w:szCs w:val="22"/>
        </w:rPr>
        <w:t>ánál</w:t>
      </w:r>
      <w:proofErr w:type="spellEnd"/>
      <w:r>
        <w:rPr>
          <w:szCs w:val="22"/>
        </w:rPr>
        <w:t xml:space="preserve">. </w:t>
      </w:r>
      <w:proofErr w:type="spellStart"/>
      <w:r>
        <w:rPr>
          <w:szCs w:val="22"/>
        </w:rPr>
        <w:t>Tizenkét</w:t>
      </w:r>
      <w:proofErr w:type="spellEnd"/>
      <w:r>
        <w:rPr>
          <w:szCs w:val="22"/>
        </w:rPr>
        <w:t> </w:t>
      </w:r>
      <w:proofErr w:type="spellStart"/>
      <w:r>
        <w:rPr>
          <w:szCs w:val="22"/>
        </w:rPr>
        <w:t>hetes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kezelés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után</w:t>
      </w:r>
      <w:proofErr w:type="spellEnd"/>
      <w:r>
        <w:rPr>
          <w:szCs w:val="22"/>
        </w:rPr>
        <w:t xml:space="preserve"> a </w:t>
      </w:r>
      <w:proofErr w:type="spellStart"/>
      <w:r>
        <w:rPr>
          <w:szCs w:val="22"/>
        </w:rPr>
        <w:t>kálium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plazmaszintjének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átlagos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csökkenése</w:t>
      </w:r>
      <w:proofErr w:type="spellEnd"/>
      <w:r>
        <w:rPr>
          <w:szCs w:val="22"/>
        </w:rPr>
        <w:t xml:space="preserve"> 0</w:t>
      </w:r>
      <w:proofErr w:type="gramStart"/>
      <w:r>
        <w:rPr>
          <w:szCs w:val="22"/>
        </w:rPr>
        <w:t>,41</w:t>
      </w:r>
      <w:proofErr w:type="gramEnd"/>
      <w:r>
        <w:rPr>
          <w:szCs w:val="22"/>
        </w:rPr>
        <w:t> </w:t>
      </w:r>
      <w:proofErr w:type="spellStart"/>
      <w:r>
        <w:rPr>
          <w:szCs w:val="22"/>
        </w:rPr>
        <w:t>mmol</w:t>
      </w:r>
      <w:proofErr w:type="spellEnd"/>
      <w:r>
        <w:rPr>
          <w:szCs w:val="22"/>
        </w:rPr>
        <w:t>/l volt.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Szepszis</w:t>
      </w: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PRoFESS</w:t>
      </w:r>
      <w:proofErr w:type="spellEnd"/>
      <w:r>
        <w:rPr>
          <w:iCs/>
          <w:lang w:val="hu-HU"/>
        </w:rPr>
        <w:t xml:space="preserve"> vizsgálatban a szepszis </w:t>
      </w:r>
      <w:proofErr w:type="spellStart"/>
      <w:r>
        <w:rPr>
          <w:iCs/>
          <w:lang w:val="hu-HU"/>
        </w:rPr>
        <w:t>incidenciájának</w:t>
      </w:r>
      <w:proofErr w:type="spellEnd"/>
      <w:r>
        <w:rPr>
          <w:iCs/>
          <w:lang w:val="hu-HU"/>
        </w:rPr>
        <w:t xml:space="preserve"> növekedését figyelték meg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-kezelés esetén, a </w:t>
      </w:r>
      <w:proofErr w:type="spellStart"/>
      <w:r>
        <w:rPr>
          <w:iCs/>
          <w:lang w:val="hu-HU"/>
        </w:rPr>
        <w:t>placebóhoz</w:t>
      </w:r>
      <w:proofErr w:type="spellEnd"/>
      <w:r>
        <w:rPr>
          <w:iCs/>
          <w:lang w:val="hu-HU"/>
        </w:rPr>
        <w:t xml:space="preserve"> képest. A jelenség véletlen felfedezés vagy egy ez idáig ismeretlen mechanizmus következménye lehet (lásd 5.1 pont).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Hypotonia</w:t>
      </w:r>
      <w:proofErr w:type="spellEnd"/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Ez a mellékhatás gyakorinak bizonyult azoknál a kontrollált vérnyomású betegeknél, akiknek a </w:t>
      </w:r>
      <w:proofErr w:type="spellStart"/>
      <w:r>
        <w:rPr>
          <w:iCs/>
          <w:lang w:val="hu-HU"/>
        </w:rPr>
        <w:t>cardiovascularis</w:t>
      </w:r>
      <w:proofErr w:type="spellEnd"/>
      <w:r>
        <w:rPr>
          <w:iCs/>
          <w:lang w:val="hu-HU"/>
        </w:rPr>
        <w:t xml:space="preserve"> morbiditás csökkentése céljából adtak </w:t>
      </w:r>
      <w:proofErr w:type="spellStart"/>
      <w:r>
        <w:rPr>
          <w:iCs/>
          <w:lang w:val="hu-HU"/>
        </w:rPr>
        <w:t>telmizartánt</w:t>
      </w:r>
      <w:proofErr w:type="spellEnd"/>
      <w:r>
        <w:rPr>
          <w:iCs/>
          <w:lang w:val="hu-HU"/>
        </w:rPr>
        <w:t>, a standard kezelésen felül.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r>
        <w:rPr>
          <w:iCs/>
          <w:u w:val="single"/>
          <w:lang w:val="hu-HU"/>
        </w:rPr>
        <w:t>Kóros májfunkciós értékek / májbetegség</w:t>
      </w: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forgalomba hozatal után tapasztalt kóros májfunkciós értékek / májbetegség legtöbbször japán betegeknél fordultak elő. A </w:t>
      </w:r>
      <w:proofErr w:type="spellStart"/>
      <w:r>
        <w:rPr>
          <w:iCs/>
          <w:lang w:val="hu-HU"/>
        </w:rPr>
        <w:t>telmizartánnal</w:t>
      </w:r>
      <w:proofErr w:type="spellEnd"/>
      <w:r>
        <w:rPr>
          <w:iCs/>
          <w:lang w:val="hu-HU"/>
        </w:rPr>
        <w:t xml:space="preserve"> kezelt japán betegeknél ezek a mellékhatások nagyobb valószínűséggel alakulnak ki.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Interstitialis</w:t>
      </w:r>
      <w:proofErr w:type="spellEnd"/>
      <w:r>
        <w:rPr>
          <w:iCs/>
          <w:u w:val="single"/>
          <w:lang w:val="hu-HU"/>
        </w:rPr>
        <w:t xml:space="preserve"> tüdőbetegség</w:t>
      </w:r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gyógyszer forgalomba hozatalát követően, a </w:t>
      </w:r>
      <w:proofErr w:type="spellStart"/>
      <w:r>
        <w:rPr>
          <w:iCs/>
          <w:lang w:val="hu-HU"/>
        </w:rPr>
        <w:t>telmizartán</w:t>
      </w:r>
      <w:proofErr w:type="spellEnd"/>
      <w:r>
        <w:rPr>
          <w:iCs/>
          <w:lang w:val="hu-HU"/>
        </w:rPr>
        <w:t xml:space="preserve"> szedésével időbeli összefüggésben </w:t>
      </w:r>
      <w:proofErr w:type="spellStart"/>
      <w:r>
        <w:rPr>
          <w:iCs/>
          <w:lang w:val="hu-HU"/>
        </w:rPr>
        <w:t>interstitialis</w:t>
      </w:r>
      <w:proofErr w:type="spellEnd"/>
      <w:r>
        <w:rPr>
          <w:iCs/>
          <w:lang w:val="hu-HU"/>
        </w:rPr>
        <w:t xml:space="preserve"> tüdőbetegség eseteit jelentették, de ok–okozati kapcsolatot nem igazoltak.</w:t>
      </w:r>
    </w:p>
    <w:p w:rsidR="00B6017F" w:rsidRDefault="00B6017F">
      <w:pPr>
        <w:spacing w:line="240" w:lineRule="auto"/>
        <w:rPr>
          <w:iCs/>
          <w:lang w:val="hu-HU"/>
        </w:rPr>
      </w:pPr>
    </w:p>
    <w:p w:rsidR="00B6017F" w:rsidRDefault="00D96CC4">
      <w:pPr>
        <w:spacing w:line="240" w:lineRule="auto"/>
        <w:rPr>
          <w:iCs/>
          <w:u w:val="single"/>
          <w:lang w:val="hu-HU"/>
        </w:rPr>
      </w:pPr>
      <w:proofErr w:type="spellStart"/>
      <w:r>
        <w:rPr>
          <w:iCs/>
          <w:u w:val="single"/>
          <w:lang w:val="hu-HU"/>
        </w:rPr>
        <w:t>Intestinalis</w:t>
      </w:r>
      <w:proofErr w:type="spellEnd"/>
      <w:r>
        <w:rPr>
          <w:iCs/>
          <w:u w:val="single"/>
          <w:lang w:val="hu-HU"/>
        </w:rPr>
        <w:t xml:space="preserve"> </w:t>
      </w:r>
      <w:proofErr w:type="spellStart"/>
      <w:r>
        <w:rPr>
          <w:iCs/>
          <w:u w:val="single"/>
          <w:lang w:val="hu-HU"/>
        </w:rPr>
        <w:t>angiooedema</w:t>
      </w:r>
      <w:proofErr w:type="spellEnd"/>
    </w:p>
    <w:p w:rsidR="00B6017F" w:rsidRDefault="00D96CC4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Egyes esetekben </w:t>
      </w:r>
      <w:proofErr w:type="spellStart"/>
      <w:r>
        <w:rPr>
          <w:iCs/>
          <w:lang w:val="hu-HU"/>
        </w:rPr>
        <w:t>intestinalis</w:t>
      </w:r>
      <w:proofErr w:type="spellEnd"/>
      <w:r>
        <w:rPr>
          <w:iCs/>
          <w:lang w:val="hu-HU"/>
        </w:rPr>
        <w:t xml:space="preserve"> </w:t>
      </w:r>
      <w:proofErr w:type="spellStart"/>
      <w:r>
        <w:rPr>
          <w:iCs/>
          <w:lang w:val="hu-HU"/>
        </w:rPr>
        <w:t>angiooedemáról</w:t>
      </w:r>
      <w:proofErr w:type="spellEnd"/>
      <w:r>
        <w:rPr>
          <w:iCs/>
          <w:lang w:val="hu-HU"/>
        </w:rPr>
        <w:t xml:space="preserve"> számoltak be </w:t>
      </w:r>
      <w:proofErr w:type="spellStart"/>
      <w:r>
        <w:rPr>
          <w:iCs/>
          <w:lang w:val="hu-HU"/>
        </w:rPr>
        <w:t>angiotenzin</w:t>
      </w:r>
      <w:proofErr w:type="spellEnd"/>
      <w:r>
        <w:rPr>
          <w:iCs/>
          <w:lang w:val="hu-HU"/>
        </w:rPr>
        <w:t xml:space="preserve"> II-receptor-blokkoló alkalmazását követően (lásd 4.4 pont).</w:t>
      </w:r>
    </w:p>
    <w:p w:rsidR="00B6017F" w:rsidRDefault="00B6017F">
      <w:pPr>
        <w:spacing w:line="240" w:lineRule="auto"/>
        <w:rPr>
          <w:u w:val="single"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</w:t>
        </w:r>
        <w:bookmarkStart w:id="3" w:name="_Hlt352075914"/>
        <w:bookmarkStart w:id="4" w:name="_Hlt352075915"/>
        <w:r>
          <w:rPr>
            <w:rStyle w:val="Hiperhivatkozs"/>
            <w:highlight w:val="lightGray"/>
            <w:lang w:val="hu-HU"/>
          </w:rPr>
          <w:t>g</w:t>
        </w:r>
        <w:bookmarkEnd w:id="3"/>
        <w:bookmarkEnd w:id="4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:rsidR="00B6017F" w:rsidRDefault="00B6017F">
      <w:pPr>
        <w:spacing w:line="240" w:lineRule="auto"/>
        <w:rPr>
          <w:u w:val="single"/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A túladagolással kapcsolatos humán tapasztalatok korlátozottak.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Tünetek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-túladagolás legfeltűnőbb tünete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volt. Előfordult továbbá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>, szédülés, a szérumkreatinin-szint emelkedése és akut veseelégtelenség is.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indapamidnak</w:t>
      </w:r>
      <w:proofErr w:type="spellEnd"/>
      <w:r>
        <w:rPr>
          <w:lang w:val="hu-HU"/>
        </w:rPr>
        <w:t xml:space="preserve"> egészen 40 mg-ig (a terápiás dózis 27-szereséig) nem volt toxikus hatása. Az akut mérgezés jelei legfőképpen a folyadék-/elektrolit-egyensúly zavaraiban jelentkeznek (</w:t>
      </w:r>
      <w:proofErr w:type="spellStart"/>
      <w:r>
        <w:rPr>
          <w:lang w:val="hu-HU"/>
        </w:rPr>
        <w:t>hyponatraemia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). </w:t>
      </w:r>
      <w:proofErr w:type="spellStart"/>
      <w:r>
        <w:rPr>
          <w:lang w:val="hu-HU"/>
        </w:rPr>
        <w:t>Klinikailag</w:t>
      </w:r>
      <w:proofErr w:type="spellEnd"/>
      <w:r>
        <w:rPr>
          <w:lang w:val="hu-HU"/>
        </w:rPr>
        <w:t xml:space="preserve"> jelentkezhet hányinger, hányás,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izomgörcsök, forgó jellegű szédülés, álmosság, zavartság, </w:t>
      </w:r>
      <w:proofErr w:type="spellStart"/>
      <w:r>
        <w:rPr>
          <w:lang w:val="hu-HU"/>
        </w:rPr>
        <w:t>polyuria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oliguria</w:t>
      </w:r>
      <w:proofErr w:type="spellEnd"/>
      <w:r>
        <w:rPr>
          <w:lang w:val="hu-HU"/>
        </w:rPr>
        <w:t xml:space="preserve">, amely akár </w:t>
      </w:r>
      <w:proofErr w:type="spellStart"/>
      <w:r>
        <w:rPr>
          <w:lang w:val="hu-HU"/>
        </w:rPr>
        <w:t>anuriáig</w:t>
      </w:r>
      <w:proofErr w:type="spellEnd"/>
      <w:r>
        <w:rPr>
          <w:lang w:val="hu-HU"/>
        </w:rPr>
        <w:t xml:space="preserve"> is súlyosbodhat (a </w:t>
      </w:r>
      <w:proofErr w:type="spellStart"/>
      <w:r>
        <w:rPr>
          <w:lang w:val="hu-HU"/>
        </w:rPr>
        <w:t>hypovolaemia</w:t>
      </w:r>
      <w:proofErr w:type="spellEnd"/>
      <w:r>
        <w:rPr>
          <w:lang w:val="hu-HU"/>
        </w:rPr>
        <w:t xml:space="preserve"> miatt).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Kezelés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vonatkozóan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 nem távolítható el. A beteg állapotát szigorúan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kell, tüneti és szupportív kezelés szükséges. A kezelés függ a gyógyszer bevétele után eltelt időtől és a tünetek </w:t>
      </w:r>
      <w:r>
        <w:rPr>
          <w:lang w:val="hu-HU"/>
        </w:rPr>
        <w:lastRenderedPageBreak/>
        <w:t xml:space="preserve">súlyosságától. Ajánlott a hánytatás és/vagy a gyomormosás. Túladagolás esetén kedvező hatású lehet az aktív szén is. A szérumelektrolitok és a kreatinin szintjét célszerű gyakran ellenőrizni.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kialakulása esetén hanyatt kell fektetni a beteget, majd mihamarabb intravénás elektrolit- és folyadékpótlást kell alkalmazni.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Első lépésként a bevett szert kell mielőbb eltávolítani gyomormosással és/vagy aktív szén adásával, majd a folyadék-/elektrolit-egyensúly helyreállítása következik a megfelelő speciális centrumban.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B6017F">
      <w:pPr>
        <w:spacing w:line="240" w:lineRule="auto"/>
        <w:ind w:left="567" w:hanging="567"/>
        <w:outlineLvl w:val="0"/>
        <w:rPr>
          <w:rFonts w:eastAsia="Times New Roman"/>
          <w:bCs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:rsidR="00B6017F" w:rsidRDefault="00B6017F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a renin–angiotenzin rendszerre ható készítmények, </w:t>
      </w:r>
      <w:proofErr w:type="spellStart"/>
      <w:r>
        <w:rPr>
          <w:bCs/>
          <w:szCs w:val="22"/>
          <w:lang w:val="hu-HU"/>
        </w:rPr>
        <w:t>angiotenzin</w:t>
      </w:r>
      <w:proofErr w:type="spellEnd"/>
      <w:r>
        <w:rPr>
          <w:bCs/>
          <w:szCs w:val="22"/>
          <w:lang w:val="hu-HU"/>
        </w:rPr>
        <w:t xml:space="preserve"> II-receptor-blokkolók (ARB-k) és </w:t>
      </w:r>
      <w:proofErr w:type="spellStart"/>
      <w:r>
        <w:rPr>
          <w:bCs/>
          <w:szCs w:val="22"/>
          <w:lang w:val="hu-HU"/>
        </w:rPr>
        <w:t>diuretikumok</w:t>
      </w:r>
      <w:proofErr w:type="spellEnd"/>
      <w:r>
        <w:rPr>
          <w:bCs/>
          <w:szCs w:val="22"/>
          <w:lang w:val="hu-HU"/>
        </w:rPr>
        <w:t xml:space="preserve"> kombinációi, ATC-kód: C09DA07.</w:t>
      </w:r>
    </w:p>
    <w:p w:rsidR="00B6017F" w:rsidRDefault="00B6017F">
      <w:pPr>
        <w:autoSpaceDE w:val="0"/>
        <w:autoSpaceDN w:val="0"/>
        <w:adjustRightInd w:val="0"/>
        <w:spacing w:line="240" w:lineRule="auto"/>
        <w:jc w:val="both"/>
        <w:rPr>
          <w:i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r>
        <w:rPr>
          <w:i/>
          <w:iCs/>
          <w:lang w:val="hu-HU"/>
        </w:rPr>
        <w:t>per </w:t>
      </w:r>
      <w:proofErr w:type="spellStart"/>
      <w:r>
        <w:rPr>
          <w:i/>
          <w:iCs/>
          <w:lang w:val="hu-HU"/>
        </w:rPr>
        <w:t>os</w:t>
      </w:r>
      <w:proofErr w:type="spellEnd"/>
      <w:r>
        <w:rPr>
          <w:lang w:val="hu-HU"/>
        </w:rPr>
        <w:t xml:space="preserve"> adható, hatékony gyógyszer;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1-es típusú (AT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) receptorának specifikus </w:t>
      </w:r>
      <w:proofErr w:type="spellStart"/>
      <w:r>
        <w:rPr>
          <w:lang w:val="hu-HU"/>
        </w:rPr>
        <w:t>antagonistája</w:t>
      </w:r>
      <w:proofErr w:type="spellEnd"/>
      <w:r>
        <w:rPr>
          <w:lang w:val="hu-HU"/>
        </w:rPr>
        <w:t xml:space="preserve">. A receptorhoz nagy affinitással kötődő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leszorítja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II-t az annak ismert hatásait közvetítő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-receptor-altípusról.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fejt ki semmilyen parciális </w:t>
      </w:r>
      <w:proofErr w:type="spellStart"/>
      <w:r>
        <w:rPr>
          <w:lang w:val="hu-HU"/>
        </w:rPr>
        <w:t>agonista</w:t>
      </w:r>
      <w:proofErr w:type="spellEnd"/>
      <w:r>
        <w:rPr>
          <w:lang w:val="hu-HU"/>
        </w:rPr>
        <w:t xml:space="preserve"> hatást az AT1-receptoron.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szelektíven kötődik az AT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-receptorhoz, és ez a kötődés hosszú időtartamú.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nem mutat affinitást más receptorokhoz, például az AT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 vagy egyéb, kevésbé jellemzett AT-receptorokhoz. Az utóbbi receptorok funkcionális szerepe nem ismert, ahogyan az a hatás sem, amelyet a receptorok túlstimulálásával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– melynek szintjét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emeli – előidézhet.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csökkenti a plazma </w:t>
      </w:r>
      <w:proofErr w:type="spellStart"/>
      <w:r>
        <w:rPr>
          <w:lang w:val="hu-HU"/>
        </w:rPr>
        <w:t>aldoszteronszintjét</w:t>
      </w:r>
      <w:proofErr w:type="spellEnd"/>
      <w:r>
        <w:rPr>
          <w:lang w:val="hu-HU"/>
        </w:rPr>
        <w:t xml:space="preserve">; nem gátolja a humán </w:t>
      </w:r>
      <w:proofErr w:type="spellStart"/>
      <w:r>
        <w:rPr>
          <w:lang w:val="hu-HU"/>
        </w:rPr>
        <w:t>plazmarenin</w:t>
      </w:r>
      <w:proofErr w:type="spellEnd"/>
      <w:r>
        <w:rPr>
          <w:lang w:val="hu-HU"/>
        </w:rPr>
        <w:t xml:space="preserve"> aktivitását, és nem blokkol ioncsatornákat sem. Nem gátolja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lebontását is végző </w:t>
      </w:r>
      <w:proofErr w:type="spellStart"/>
      <w:r>
        <w:rPr>
          <w:lang w:val="hu-HU"/>
        </w:rPr>
        <w:t>angiotenzinkonvertáló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kinináz</w:t>
      </w:r>
      <w:proofErr w:type="spellEnd"/>
      <w:r>
        <w:rPr>
          <w:lang w:val="hu-HU"/>
        </w:rPr>
        <w:t xml:space="preserve">-II) enzimet, ezért várhatóan nem </w:t>
      </w:r>
      <w:proofErr w:type="spellStart"/>
      <w:r>
        <w:rPr>
          <w:lang w:val="hu-HU"/>
        </w:rPr>
        <w:t>potencírozza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bradykinin</w:t>
      </w:r>
      <w:proofErr w:type="spellEnd"/>
      <w:r>
        <w:rPr>
          <w:lang w:val="hu-HU"/>
        </w:rPr>
        <w:t xml:space="preserve"> közvetítette mellékhatásokat.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Embernél 80 mg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adásával szinte teljes mértékben kiküszöbölhető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 által kiváltott vérnyomás-emelkedés. Ez a gátló hatás 24</w:t>
      </w:r>
      <w:r>
        <w:t> </w:t>
      </w:r>
      <w:r>
        <w:rPr>
          <w:lang w:val="hu-HU"/>
        </w:rPr>
        <w:t>órán keresztül érvényesül és még 48 óra múlva is kimutatható.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egy </w:t>
      </w:r>
      <w:proofErr w:type="spellStart"/>
      <w:r>
        <w:rPr>
          <w:lang w:val="hu-HU"/>
        </w:rPr>
        <w:t>indolgyűrűt</w:t>
      </w:r>
      <w:proofErr w:type="spellEnd"/>
      <w:r>
        <w:rPr>
          <w:lang w:val="hu-HU"/>
        </w:rPr>
        <w:t xml:space="preserve"> tartalmazó szulfonamid-származék; </w:t>
      </w:r>
      <w:proofErr w:type="spellStart"/>
      <w:r>
        <w:rPr>
          <w:lang w:val="hu-HU"/>
        </w:rPr>
        <w:t>farmakológiailag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diuretikumokkal</w:t>
      </w:r>
      <w:proofErr w:type="spellEnd"/>
      <w:r>
        <w:rPr>
          <w:lang w:val="hu-HU"/>
        </w:rPr>
        <w:t xml:space="preserve"> rokon vegyület, amely a nátrium-</w:t>
      </w:r>
      <w:proofErr w:type="spellStart"/>
      <w:r>
        <w:rPr>
          <w:lang w:val="hu-HU"/>
        </w:rPr>
        <w:t>reabszorpció</w:t>
      </w:r>
      <w:proofErr w:type="spellEnd"/>
      <w:r>
        <w:rPr>
          <w:lang w:val="hu-HU"/>
        </w:rPr>
        <w:t xml:space="preserve"> gátlása révén, a </w:t>
      </w:r>
      <w:proofErr w:type="spellStart"/>
      <w:r>
        <w:rPr>
          <w:lang w:val="hu-HU"/>
        </w:rPr>
        <w:t>disztális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tubulusokban</w:t>
      </w:r>
      <w:proofErr w:type="spellEnd"/>
      <w:r>
        <w:rPr>
          <w:lang w:val="hu-HU"/>
        </w:rPr>
        <w:t xml:space="preserve"> hat. Fokozza a nátrium és a klorid vizelettel történő kiválasztását, és kisebb mértékben a kálium és a magnézium kiválasztását is, ezáltal növeli a vizelet mennyiségét, és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hatást vált ki.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és az </w:t>
      </w:r>
      <w:proofErr w:type="spellStart"/>
      <w:r>
        <w:rPr>
          <w:i/>
          <w:iCs/>
          <w:lang w:val="hu-HU"/>
        </w:rPr>
        <w:t>indapamidra</w:t>
      </w:r>
      <w:proofErr w:type="spellEnd"/>
      <w:r>
        <w:rPr>
          <w:i/>
          <w:iCs/>
          <w:lang w:val="hu-HU"/>
        </w:rPr>
        <w:t xml:space="preserve"> vonatkozóan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kombináció hatásosságát és biztonságosságát </w:t>
      </w:r>
      <w:r>
        <w:rPr>
          <w:szCs w:val="22"/>
          <w:lang w:val="hu-HU"/>
        </w:rPr>
        <w:t xml:space="preserve">esszenciális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betegeknél vizsgálták. Az eredmények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és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együttes alkalmazása szignifikánsan hatásosabb volt, ami a vérnyomáscsökkenést illeti, mint a </w:t>
      </w:r>
      <w:proofErr w:type="spellStart"/>
      <w:r>
        <w:rPr>
          <w:szCs w:val="22"/>
          <w:lang w:val="hu-HU"/>
        </w:rPr>
        <w:t>monoterápiában</w:t>
      </w:r>
      <w:proofErr w:type="spellEnd"/>
      <w:r>
        <w:rPr>
          <w:szCs w:val="22"/>
          <w:lang w:val="hu-HU"/>
        </w:rPr>
        <w:t xml:space="preserve"> alkalmazott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 vagy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. Összességében a klinikai vizsgálatok eredményei azt mutatták, hogy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>/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 xml:space="preserve"> kombinációval való kezelés nem növelte a mellékhatások kialakulásának kockázatát a </w:t>
      </w:r>
      <w:proofErr w:type="spellStart"/>
      <w:r>
        <w:rPr>
          <w:szCs w:val="22"/>
          <w:lang w:val="hu-HU"/>
        </w:rPr>
        <w:t>telmizartán</w:t>
      </w:r>
      <w:proofErr w:type="spellEnd"/>
      <w:r>
        <w:rPr>
          <w:szCs w:val="22"/>
          <w:lang w:val="hu-HU"/>
        </w:rPr>
        <w:t xml:space="preserve">- vagy az </w:t>
      </w:r>
      <w:proofErr w:type="spellStart"/>
      <w:proofErr w:type="gramStart"/>
      <w:r>
        <w:rPr>
          <w:szCs w:val="22"/>
          <w:lang w:val="hu-HU"/>
        </w:rPr>
        <w:t>indapamid-monoterápiához</w:t>
      </w:r>
      <w:proofErr w:type="spellEnd"/>
      <w:r>
        <w:rPr>
          <w:szCs w:val="22"/>
          <w:lang w:val="hu-HU"/>
        </w:rPr>
        <w:t xml:space="preserve"> ,</w:t>
      </w:r>
      <w:proofErr w:type="gramEnd"/>
      <w:r>
        <w:rPr>
          <w:szCs w:val="22"/>
          <w:lang w:val="hu-HU"/>
        </w:rPr>
        <w:t xml:space="preserve"> illetve a vérnyomáscsökkentők egyéb gyógyszercsoportjaihoz képest.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 </w:t>
      </w:r>
      <w:proofErr w:type="spellStart"/>
      <w:r>
        <w:rPr>
          <w:i/>
          <w:iCs/>
          <w:lang w:val="hu-HU"/>
        </w:rPr>
        <w:t>telmizartánra</w:t>
      </w:r>
      <w:proofErr w:type="spellEnd"/>
      <w:r>
        <w:rPr>
          <w:i/>
          <w:iCs/>
          <w:lang w:val="hu-HU"/>
        </w:rPr>
        <w:t xml:space="preserve"> </w:t>
      </w:r>
      <w:r>
        <w:rPr>
          <w:i/>
          <w:iCs/>
          <w:szCs w:val="22"/>
          <w:lang w:val="hu-HU"/>
        </w:rPr>
        <w:t>vonatkozóan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első dózisának alkalmazása után az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 fokozatosan, 3 órán belül nyilvánul meg. A maximális vérnyomáscsökkentő hatás rendszerint a kezdettől számítva 4–8 heti kezelés után tapasztalható, és hosszú távú kezelés esetén is fennmarad.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Ambuláns vérnyomás-</w:t>
      </w:r>
      <w:proofErr w:type="spellStart"/>
      <w:r>
        <w:rPr>
          <w:lang w:val="hu-HU"/>
        </w:rPr>
        <w:t>monitorozás</w:t>
      </w:r>
      <w:proofErr w:type="spellEnd"/>
      <w:r>
        <w:rPr>
          <w:lang w:val="hu-HU"/>
        </w:rPr>
        <w:t xml:space="preserve"> eredményei alapján a vérnyomáscsökkentő hatás konstans marad a bevételtől számítva 24 órán keresztül, így a következő dózis bevétele előtti utolsó 4 órában is. Ezt megerősítette, hogy a maradék és a csúcshatás aránya következetesen 80% felett maradt a placebokontrollos vizsgálatokban a 40 és a 80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>-dózis alkalmazása után is. Dózisfüggőnek tűnik, hogy a szisztolés vérnyomás (SBP) mennyi idő alatt tér vissza a kiindulási értékre. Ebben a tekintetben a diasztolés vérnyomásra (DBP) vonatkozó adatok nem egyértelműek.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hypertoniás</w:t>
      </w:r>
      <w:proofErr w:type="spellEnd"/>
      <w:r>
        <w:rPr>
          <w:lang w:val="hu-HU"/>
        </w:rPr>
        <w:t xml:space="preserve"> betegeknél a szisztolés és diasztolés vérnyomást egyaránt csökkenti, a szívfrekvenciát azonban nem módosítja. Tisztázásra szorul még, hogy a gyógyszer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natriureticus</w:t>
      </w:r>
      <w:proofErr w:type="spellEnd"/>
      <w:r>
        <w:rPr>
          <w:lang w:val="hu-HU"/>
        </w:rPr>
        <w:t xml:space="preserve"> hatása hogyan járul hozzá a vérnyomáscsökkentő hatáshoz.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hatásossága nem marad el a más gyógyszercsoportba tartozó </w:t>
      </w:r>
      <w:proofErr w:type="spellStart"/>
      <w:r>
        <w:rPr>
          <w:lang w:val="hu-HU"/>
        </w:rPr>
        <w:t>antihypertensivumokétól</w:t>
      </w:r>
      <w:proofErr w:type="spellEnd"/>
      <w:r>
        <w:rPr>
          <w:lang w:val="hu-HU"/>
        </w:rPr>
        <w:t xml:space="preserve"> (ezt igazolják 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amlodipin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atenolol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hidroklorotiazid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lizinopril</w:t>
      </w:r>
      <w:proofErr w:type="spellEnd"/>
      <w:r>
        <w:rPr>
          <w:lang w:val="hu-HU"/>
        </w:rPr>
        <w:t xml:space="preserve"> hatásosságát összehasonlító klinikai vizsgálatok eredményei).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telmizartán</w:t>
      </w:r>
      <w:proofErr w:type="spellEnd"/>
      <w:r>
        <w:rPr>
          <w:lang w:val="hu-HU"/>
        </w:rPr>
        <w:t xml:space="preserve"> adagolásának hirtelen abbahagyása után a vérnyomás fokozatosan, néhány nap alatt tér vissza a kezelés előtti értékre, nem lép fel </w:t>
      </w:r>
      <w:proofErr w:type="spellStart"/>
      <w:r>
        <w:rPr>
          <w:i/>
          <w:iCs/>
          <w:lang w:val="hu-HU"/>
        </w:rPr>
        <w:t>rebound</w:t>
      </w:r>
      <w:proofErr w:type="spellEnd"/>
      <w:r>
        <w:rPr>
          <w:lang w:val="hu-HU"/>
        </w:rPr>
        <w:t xml:space="preserve"> vérnyomás-emelkedés.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száraz köhögés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szignifikánsan alacsonyabb volt a </w:t>
      </w:r>
      <w:proofErr w:type="spellStart"/>
      <w:r>
        <w:rPr>
          <w:lang w:val="hu-HU"/>
        </w:rPr>
        <w:t>telmizartánnal</w:t>
      </w:r>
      <w:proofErr w:type="spellEnd"/>
      <w:r>
        <w:rPr>
          <w:lang w:val="hu-HU"/>
        </w:rPr>
        <w:t xml:space="preserve"> kezelt betegeknél, mint azoknál, akik ACE-gátlót szedtek a két vérnyomáscsökkentő kezelést közvetlenül összehasonlító klinikai vizsgálatok során.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renin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angiotenzin</w:t>
      </w:r>
      <w:proofErr w:type="spellEnd"/>
      <w:r>
        <w:rPr>
          <w:u w:val="single"/>
          <w:lang w:val="hu-HU"/>
        </w:rPr>
        <w:t>–</w:t>
      </w:r>
      <w:proofErr w:type="spellStart"/>
      <w:r>
        <w:rPr>
          <w:u w:val="single"/>
          <w:lang w:val="hu-HU"/>
        </w:rPr>
        <w:t>aldoszteron</w:t>
      </w:r>
      <w:proofErr w:type="spellEnd"/>
      <w:r>
        <w:rPr>
          <w:u w:val="single"/>
          <w:lang w:val="hu-HU"/>
        </w:rPr>
        <w:t xml:space="preserve"> rendszer (RAAS) kettős blokádja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Két nagy,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kontrollos vizsgálatban (ONTARGET [</w:t>
      </w:r>
      <w:proofErr w:type="spellStart"/>
      <w:r>
        <w:rPr>
          <w:lang w:val="hu-HU"/>
        </w:rPr>
        <w:t>ONgoing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Alone</w:t>
      </w:r>
      <w:proofErr w:type="spellEnd"/>
      <w:r>
        <w:rPr>
          <w:lang w:val="hu-HU"/>
        </w:rPr>
        <w:t xml:space="preserve"> and in </w:t>
      </w:r>
      <w:proofErr w:type="spellStart"/>
      <w:r>
        <w:rPr>
          <w:lang w:val="hu-HU"/>
        </w:rPr>
        <w:t>combination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 xml:space="preserve"> Global </w:t>
      </w:r>
      <w:proofErr w:type="spellStart"/>
      <w:r>
        <w:rPr>
          <w:lang w:val="hu-HU"/>
        </w:rPr>
        <w:t>Endpoint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] és VA NEPHRON-D [The </w:t>
      </w:r>
      <w:proofErr w:type="spellStart"/>
      <w:r>
        <w:rPr>
          <w:lang w:val="hu-HU"/>
        </w:rPr>
        <w:t>Veterans</w:t>
      </w:r>
      <w:proofErr w:type="spellEnd"/>
      <w:r>
        <w:rPr>
          <w:lang w:val="hu-HU"/>
        </w:rPr>
        <w:t xml:space="preserve"> Affairs </w:t>
      </w:r>
      <w:proofErr w:type="spellStart"/>
      <w:r>
        <w:rPr>
          <w:lang w:val="hu-HU"/>
        </w:rPr>
        <w:t>Nephropathy</w:t>
      </w:r>
      <w:proofErr w:type="spellEnd"/>
      <w:r>
        <w:rPr>
          <w:lang w:val="hu-HU"/>
        </w:rPr>
        <w:t xml:space="preserve"> in Diabetes]) vizsgálták az ACE-gátló és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 kombinált alkalmazását.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ONTARGET vizsgálatot olyan betegekkel végezték, akiknek az anamnézisében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cerebrovascularis</w:t>
      </w:r>
      <w:proofErr w:type="spellEnd"/>
      <w:r>
        <w:rPr>
          <w:lang w:val="hu-HU"/>
        </w:rPr>
        <w:t xml:space="preserve"> betegség, vagy szervkárosodással járó 2-es típusú diabetes mellitus szerepelt. A VA NEPHRON-D vizsgálatot 2-es típusú diabetesben és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betegekkel végezték.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Ezek a vizsgálatok nem mutattak ki szignifikánsan előnyös hatásokat a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kimenetel és a mortalitás vonatkozásában, miközben a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 megfigyelthez képest nőtt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akut veseelégtelenség és/vagy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kockázata. A hasonló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tulajdonságok alapján ezek az eredmények más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II-receptor-blokkolók esetében is relevánsak.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Ezért 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 receptor-blokkolók nem adhatók együtt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betegeknek.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>Az ALTITUDE (</w:t>
      </w:r>
      <w:proofErr w:type="spellStart"/>
      <w:r>
        <w:rPr>
          <w:lang w:val="hu-HU"/>
        </w:rPr>
        <w:t>Aliskiren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lang w:val="hu-HU"/>
        </w:rPr>
        <w:t xml:space="preserve"> in </w:t>
      </w:r>
      <w:proofErr w:type="spellStart"/>
      <w:r>
        <w:rPr>
          <w:lang w:val="hu-HU"/>
        </w:rPr>
        <w:t>Type</w:t>
      </w:r>
      <w:proofErr w:type="spellEnd"/>
      <w:r>
        <w:rPr>
          <w:lang w:val="hu-HU"/>
        </w:rPr>
        <w:t xml:space="preserve"> 2 Diabetes </w:t>
      </w:r>
      <w:proofErr w:type="spellStart"/>
      <w:r>
        <w:rPr>
          <w:lang w:val="hu-HU"/>
        </w:rPr>
        <w:t>Using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</w:t>
      </w:r>
      <w:proofErr w:type="spellEnd"/>
      <w:r>
        <w:rPr>
          <w:lang w:val="hu-HU"/>
        </w:rPr>
        <w:t xml:space="preserve"> and </w:t>
      </w:r>
      <w:proofErr w:type="spellStart"/>
      <w:r>
        <w:rPr>
          <w:lang w:val="hu-HU"/>
        </w:rPr>
        <w:t>Renal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Disease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Endpoints</w:t>
      </w:r>
      <w:proofErr w:type="spellEnd"/>
      <w:r>
        <w:rPr>
          <w:lang w:val="hu-HU"/>
        </w:rPr>
        <w:t xml:space="preserve">) vizsgálat célja az volt, hogy megállapítsák, előnyös-e a standard ACE-gátló vagy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 II-receptor-blokkoló-kezelés kiegészítése </w:t>
      </w:r>
      <w:proofErr w:type="spellStart"/>
      <w:r>
        <w:rPr>
          <w:lang w:val="hu-HU"/>
        </w:rPr>
        <w:t>aliszkirénnel</w:t>
      </w:r>
      <w:proofErr w:type="spellEnd"/>
      <w:r>
        <w:rPr>
          <w:lang w:val="hu-HU"/>
        </w:rPr>
        <w:t xml:space="preserve">, 2-es típusú diabetesben és krónikus vesebetegségben, illetve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eredetű halál és a stroke szám szerint gyakoribb volt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placebocsoportban, és a jelentős mellékhatások, illetve súlyos mellékhatások (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veseműködési zavar) is gyakoribbak voltak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>-csoportban, mint a placebocsoportban.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i/>
          <w:iCs/>
          <w:szCs w:val="22"/>
          <w:lang w:val="hu-HU"/>
        </w:rPr>
      </w:pPr>
      <w:r>
        <w:rPr>
          <w:i/>
          <w:iCs/>
          <w:szCs w:val="22"/>
          <w:lang w:val="hu-HU"/>
        </w:rPr>
        <w:t xml:space="preserve">Az </w:t>
      </w:r>
      <w:proofErr w:type="spellStart"/>
      <w:r>
        <w:rPr>
          <w:i/>
          <w:iCs/>
          <w:szCs w:val="22"/>
          <w:lang w:val="hu-HU"/>
        </w:rPr>
        <w:t>indapamidra</w:t>
      </w:r>
      <w:proofErr w:type="spellEnd"/>
      <w:r>
        <w:rPr>
          <w:i/>
          <w:iCs/>
          <w:szCs w:val="22"/>
          <w:lang w:val="hu-HU"/>
        </w:rPr>
        <w:t xml:space="preserve"> vonatkozóan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monoterápiát</w:t>
      </w:r>
      <w:proofErr w:type="spellEnd"/>
      <w:r>
        <w:rPr>
          <w:lang w:val="hu-HU"/>
        </w:rPr>
        <w:t xml:space="preserve"> alkalmazó II. és III. fázisú vizsgálatok 24 órán át tartó vérnyomáscsökkentő hatást mutattak ki. Ez olyan dózisok mellett is kialakult, melyek esetében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hatás kismértékű volt.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vérnyomáscsökkentő hatása összefügg az artériák </w:t>
      </w:r>
      <w:proofErr w:type="spellStart"/>
      <w:r>
        <w:rPr>
          <w:lang w:val="hu-HU"/>
        </w:rPr>
        <w:t>tágulékonyságának</w:t>
      </w:r>
      <w:proofErr w:type="spellEnd"/>
      <w:r>
        <w:rPr>
          <w:lang w:val="hu-HU"/>
        </w:rPr>
        <w:t xml:space="preserve"> javulásával és az </w:t>
      </w:r>
      <w:proofErr w:type="spellStart"/>
      <w:r>
        <w:rPr>
          <w:lang w:val="hu-HU"/>
        </w:rPr>
        <w:t>arteriolaris</w:t>
      </w:r>
      <w:proofErr w:type="spellEnd"/>
      <w:r>
        <w:rPr>
          <w:lang w:val="hu-HU"/>
        </w:rPr>
        <w:t xml:space="preserve"> és teljes perifériás rezisztencia csökkenésével.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indapamid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mérsékli</w:t>
      </w:r>
      <w:proofErr w:type="spellEnd"/>
      <w:r>
        <w:rPr>
          <w:lang w:val="hu-HU"/>
        </w:rPr>
        <w:t xml:space="preserve"> a balkamra-</w:t>
      </w:r>
      <w:proofErr w:type="spellStart"/>
      <w:r>
        <w:rPr>
          <w:lang w:val="hu-HU"/>
        </w:rPr>
        <w:t>hypertrophiát</w:t>
      </w:r>
      <w:proofErr w:type="spellEnd"/>
      <w:r>
        <w:rPr>
          <w:lang w:val="hu-HU"/>
        </w:rPr>
        <w:t>.</w:t>
      </w:r>
    </w:p>
    <w:p w:rsidR="00B6017F" w:rsidRDefault="00D96CC4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és rokon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terápiás hatása bizonyos dózis felett platót ér el, ugyanakkor mellékhatásaik tovább fokozódnak. Ha a kezelés nem hatásos, a dózist nem szabad növelni.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rPr>
          <w:szCs w:val="22"/>
          <w:lang w:val="hu-HU"/>
        </w:rPr>
      </w:pP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betegek esetén azt is kimutatták a rövid, közép- és hosszú távú kezelés során, hogy az </w:t>
      </w:r>
      <w:proofErr w:type="spellStart"/>
      <w:r>
        <w:rPr>
          <w:szCs w:val="22"/>
          <w:lang w:val="hu-HU"/>
        </w:rPr>
        <w:t>indapamid</w:t>
      </w:r>
      <w:proofErr w:type="spellEnd"/>
      <w:r>
        <w:rPr>
          <w:szCs w:val="22"/>
          <w:lang w:val="hu-HU"/>
        </w:rPr>
        <w:t>:</w:t>
      </w:r>
    </w:p>
    <w:p w:rsidR="00B6017F" w:rsidRDefault="00D96CC4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</w:t>
      </w:r>
      <w:proofErr w:type="spellStart"/>
      <w:r>
        <w:rPr>
          <w:szCs w:val="22"/>
          <w:lang w:val="hu-HU"/>
        </w:rPr>
        <w:t>lipidmetabolizmust</w:t>
      </w:r>
      <w:proofErr w:type="spellEnd"/>
      <w:r>
        <w:rPr>
          <w:szCs w:val="22"/>
          <w:lang w:val="hu-HU"/>
        </w:rPr>
        <w:t>: a trigliceridek szintjét, az LDL-koleszterin- és a HDL</w:t>
      </w:r>
      <w:r>
        <w:rPr>
          <w:szCs w:val="22"/>
          <w:lang w:val="hu-HU"/>
        </w:rPr>
        <w:noBreakHyphen/>
        <w:t>koleszterin-szintet;</w:t>
      </w:r>
    </w:p>
    <w:p w:rsidR="00B6017F" w:rsidRDefault="00D96CC4">
      <w:pPr>
        <w:numPr>
          <w:ilvl w:val="0"/>
          <w:numId w:val="6"/>
        </w:num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nem befolyásolja a szénhidrát-anyagcserét, még </w:t>
      </w:r>
      <w:proofErr w:type="spellStart"/>
      <w:r>
        <w:rPr>
          <w:szCs w:val="22"/>
          <w:lang w:val="hu-HU"/>
        </w:rPr>
        <w:t>hypertoniában</w:t>
      </w:r>
      <w:proofErr w:type="spellEnd"/>
      <w:r>
        <w:rPr>
          <w:szCs w:val="22"/>
          <w:lang w:val="hu-HU"/>
        </w:rPr>
        <w:t xml:space="preserve"> szenvedő diabeteses betegeknél sem.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</w:r>
      <w:proofErr w:type="spellStart"/>
      <w:r>
        <w:rPr>
          <w:b/>
          <w:lang w:val="hu-HU"/>
        </w:rPr>
        <w:t>Farmakokinetikai</w:t>
      </w:r>
      <w:proofErr w:type="spellEnd"/>
      <w:r>
        <w:rPr>
          <w:b/>
          <w:lang w:val="hu-HU"/>
        </w:rPr>
        <w:t xml:space="preserve"> tulajdonságok</w:t>
      </w:r>
    </w:p>
    <w:p w:rsidR="00B6017F" w:rsidRDefault="00B6017F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:rsidR="00B6017F" w:rsidRDefault="00D96CC4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rövid idő alatt, azonban változó mértékben szívódik fel; abszolút biohasznosulása átlagosan 50%-os. A telmizartánt étkezés közben bevéve körülbelül 6%-tól (40 mg-os dózis) körülbelül 19%-ig (160 mg-os dózis) terjedő mértékben csökken a plazmakoncentráció–idő görbe alatti terület (AUC</w:t>
      </w:r>
      <w:r>
        <w:rPr>
          <w:noProof/>
          <w:szCs w:val="24"/>
          <w:vertAlign w:val="subscript"/>
          <w:lang w:val="hu-HU"/>
        </w:rPr>
        <w:t>0-∞</w:t>
      </w:r>
      <w:r>
        <w:rPr>
          <w:noProof/>
          <w:szCs w:val="24"/>
          <w:lang w:val="hu-HU"/>
        </w:rPr>
        <w:t>). Három órával a bevétel után azonban már nem különbözik az éhgyomorra, illetve étkezés közben adott telmizartán plazmaszintje.</w:t>
      </w:r>
    </w:p>
    <w:p w:rsidR="00B6017F" w:rsidRDefault="00B6017F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tablettából kioldódó indapamid-mennyiség rövid idő alatt és szinte teljes mértékben felszívódik az emésztőrendszerből. Az étkezés kismértékben növeli a felszívódás sebességét, a felszívódó indapamid mennyiségét azonban nem befolyásolja. Egyszeri dózis alkalmazása után a szérumszint mintegy 12 óra múlva éri el a csúcskoncentrációt, az ismételt adagolás csökkenti a két dózis bevétele közötti szérumszint-ingadozásokat. Intraindividuális eltérések előfordulnak.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u w:val="single"/>
          <w:lang w:val="hu-HU"/>
        </w:rPr>
        <w:t>Linearitás/nemlinearitás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AUC csekély mértékű csökkenése várhatóan nem befolyásolja a telmizartán terápiás hatásosságát. Nincs egyenes arányosság a beadott dózis és a telmizartán plazmakoncentrációja között.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és kisebb mértékben az AUC aránytalanul megnő 40 mg feletti dózisok esetén.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nagymértékben (&gt;99,5%) kötődik a plazmafehérjékhez, elsősorban az albuminhoz és az α1 savanyú glikoproteinhez. A látszólagos eloszlási térfogat (V</w:t>
      </w:r>
      <w:r>
        <w:rPr>
          <w:noProof/>
          <w:szCs w:val="24"/>
          <w:vertAlign w:val="subscript"/>
          <w:lang w:val="hu-HU"/>
        </w:rPr>
        <w:t>dss</w:t>
      </w:r>
      <w:r>
        <w:rPr>
          <w:noProof/>
          <w:szCs w:val="24"/>
          <w:lang w:val="hu-HU"/>
        </w:rPr>
        <w:t>) átlaga hozzávetőleg 500 liter a dinamikus egyensúlyi állapotban.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79%-a kötődik plazmafehérjékhez. Eliminációs felezési ideje a plazmában 14–24 óra (átlagosan 18 óra). A dinamikus egyensúlyi állapot 7 nap alatt alakul ki. Az indapamid az ismétlődő adagolás során sem kumulálódik a szervezetben.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az anyavegyület glükuronid-konjugációjával metabolizálódik. A konjugált metabolit nem rendelkezik farmakológiai aktivitással.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Az indapamid kiválasztása főleg a vizelettel (a dózis kb.70%-a) és széklettel (22%) történik, inaktív metabolitok formájában.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Elimináció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eliminációja biexponenciálisan csökkenő farmakokinetikát mutat, terminális felezési ideje &gt;20 óra. A maximális plazmakoncentráció (C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>), és kisebb mértékben a plazmakoncentráció–idő görbe alatti terület (AUC) aránytalanul nő az alkalmazott dózis nagyságához képest. A javasolt dózis alkalmazásakor nem észlelték a telmizartán klinikailag releváns akkumulációját. Nők esetében magasabb plazmaszintet mértek, mint férfiaknál, ez azonban számottevően nem befolyásolta a hatásosságot.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lastRenderedPageBreak/>
        <w:t>Az orálisan (és intravénásan) alkalmazott telmizartán szinte kizárólagosan a széklettel ürül ki a szervezetből, javarészt változatlan formában. A vizeletben a telmizartán kiválasztott kumulatív mennyisége az alkalmazott dózis kevesebb mint 1%-a. A máj vérátáramlásához (körülbelül 1500 ml/perc) viszonyítva a teljesplazma-clearance (Cl</w:t>
      </w:r>
      <w:r>
        <w:rPr>
          <w:noProof/>
          <w:szCs w:val="24"/>
          <w:vertAlign w:val="subscript"/>
          <w:lang w:val="hu-HU"/>
        </w:rPr>
        <w:t>tot</w:t>
      </w:r>
      <w:r>
        <w:rPr>
          <w:noProof/>
          <w:szCs w:val="24"/>
          <w:lang w:val="hu-HU"/>
        </w:rPr>
        <w:t>) értéke magas (mintegy 1000 ml/perc).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lang w:val="hu-HU"/>
        </w:rPr>
      </w:pPr>
      <w:r>
        <w:rPr>
          <w:i/>
          <w:iCs/>
          <w:noProof/>
          <w:szCs w:val="24"/>
          <w:lang w:val="hu-HU"/>
        </w:rPr>
        <w:t>Különleges betegcsoportok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Gyermekek és serdülők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két dózisának farmakokinetikai jellemzőit mint másodlagos célkitűzést vizsgálták a 6– &lt;18 év közötti hypertoniás betegeknél (n = 57), négyhetes, 1 mg/ttkg vagy 2 mg/ttkg dózisban alkalmazott telmizartán-kezelést követően. A farmakokinetikai célok közé tartozott a dinamikus egyensúlyi állapotú telmizartán-érték meghatározása gyermekeknél és serdülőknél, valamint az életkorral összefüggő különbségek vizsgálata. Bár a vizsgálat túl kis betegszámú volt ahhoz, hogy a farmakokinetikáról érdemi értékelést lehessen készíteni a 12 év alatti gyermekeknél, az eredmények általánosságban konzisztensek voltak a felnőtteknél tapasztaltakkal, és megerősítették, hogy a telmizartán farmakokinetikája nemlineáris, különösen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vonatkozásában.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Nem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nemek között különbséget figyeltek meg a telmizartán plazmakoncentrációjában: a C</w:t>
      </w:r>
      <w:r>
        <w:rPr>
          <w:noProof/>
          <w:szCs w:val="24"/>
          <w:vertAlign w:val="subscript"/>
          <w:lang w:val="hu-HU"/>
        </w:rPr>
        <w:t>max</w:t>
      </w:r>
      <w:r>
        <w:rPr>
          <w:noProof/>
          <w:szCs w:val="24"/>
          <w:lang w:val="hu-HU"/>
        </w:rPr>
        <w:t xml:space="preserve"> körülbelül 3-szor, az AUC pedig 2-szer volt nagyobb nőknél, mint férfiaknál.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Idősek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A telmizartán farmakokinetikai jellemzői nem különböznek az idős, illetve a 65 évnél fiatalabb betegeknél.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Vesekárosodás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Enyhe, közepesen súlyos és súlyos vesekárosodásban szenvedő betegeknél a plazmakoncentrációk – a vizsgálatok szerint – megkétszereződtek, ugyanakkor a veseelégtelenség miatt hemodializált betegeknél alacsonyabb plazmaszinteket mértek. A telmizartán vesekárosodás esetén is nagymértékben kötődik a plazmafehérjékhez, ezért hemodialízissel nem távolítható el a keringésből. A telmizartán eliminációs felezési ideje nem változik vesekárosodás esetén.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Vesekárosodásban szenvedő betegeknél az indapamid farmakokinetikai paraméterei nem változnak.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Májkárosodás</w:t>
      </w:r>
    </w:p>
    <w:p w:rsidR="00B6017F" w:rsidRDefault="00D96CC4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>Farmakokinetikai vizsgálatok eredményei alapján közel 100%-ig fokozódhat a telmizartán abszolút biohasznosulása májkárosodásban szenvedő betegeknél. Az eliminációs felezési idő nem változik májkárosodás esetén.</w:t>
      </w:r>
    </w:p>
    <w:p w:rsidR="00B6017F" w:rsidRDefault="00B6017F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:rsidR="00B6017F" w:rsidRDefault="00B6017F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Normotenziós állatokkal végzett preklinikai, biztonságossági vizsgálatok során a klinikai terápiás tartománynak megfeleltethető telmizartán-dózisok a vörösvértest-jellemzők (erythrocytaszám, hemoglobin, hematokrit) csökkenését, a vese hemodinamikai paramétereinek változását (a vér karbamidnitrogén szintje és a kreatininszint emelkedett), valamint a szérum káliumszintjének emelkedését idézték elő. Kutyánál a vesetubulusok kitágulását és atrophiáját figyelték meg. A gyomornyálkahártya károsodását (erosio, fekélyek vagy gyulladás jelenléte) kutyánál és patkánynál is leírták. Mind az ACE-gátlókkal, mind az angiotenzin II-receptor-antagonistákkal végzett preklinikai vizsgálatokból már ismert volt ezeknek a farmakológiai eredetű mellékhatásoknak a kialakulása, amely orális sópótlással megelőzhető volt.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Mind a két állatfajban észlelték a plazma reninaktivitásának fokozódását, továbbá a vese juxtaglomerularis sejtjeinek hypertrophiáját és/vagy hyperplasiáját. Ezek úgyszintén az ACE-gátlók és más angiotenzin II-receptor-antagonisták gyógyszercsoportjára jellemző hatások, klinikai szempontból azonban, úgy tűnik, nincs jelentőségük.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teratogén hatást egyértelmű bizonyíték nem támasztja alá, azonban a telmizartán toxikus dózisszintje esetén megfigyeltek az utódok postnatalis fejlődésére kifejtett egyes hatásokat (például kisebb testtömeg és megkésett szemnyitás).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Nem igazoltak mutagenitást és jelentős clastogen aktivitást az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 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vizsgálatokban; karcinogenitás patkánynál és egérnél nem volt kimutatható.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indapamid vizsgálata nem mutatott ki mutagén vagy karcinogén tulajdonságot.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különböző állatfajoknak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per os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adott legnagyobb (a terápiás dózis 40–8000-szeresének megfelelő) dózisok hatásait tanulmányozva az indapamid diuretikus hatásának fokozódását észlelték. Az intravénásan vagy intraperitoneálisan adott indapamiddal végzett akut toxicitási vizsgálatokban az intoxicatio főbb tünetei, azaz a bradypnoe és a perifériás vasodilatatio, az indapamid farmakológiai hatásával voltak összefüggésben.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reproduktív toxicitási vizsgálatok nem igazoltak embryotoxicitást vagy teratogenitást.</w:t>
      </w: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termékenység nem károsodott sem hím, sem nőstény patkányoknál.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B6017F">
      <w:pPr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40 mg/1,5 mg módosított hatóanyag-leadású tabletta</w:t>
      </w: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B6017F" w:rsidRDefault="00D96CC4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B6017F" w:rsidRDefault="00D96CC4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vörös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B6017F" w:rsidRDefault="00D96CC4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B6017F" w:rsidRDefault="00B6017F">
      <w:pPr>
        <w:spacing w:line="240" w:lineRule="auto"/>
        <w:rPr>
          <w:szCs w:val="22"/>
          <w:lang w:val="hu-HU"/>
        </w:rPr>
      </w:pP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Tedenomo</w:t>
      </w:r>
      <w:proofErr w:type="spellEnd"/>
      <w:r>
        <w:rPr>
          <w:u w:val="single"/>
          <w:lang w:val="hu-HU"/>
        </w:rPr>
        <w:t xml:space="preserve"> 80 mg/1,5 mg módosított hatóanyag-leadású tabletta</w:t>
      </w:r>
    </w:p>
    <w:p w:rsidR="00B6017F" w:rsidRDefault="00D96CC4">
      <w:pPr>
        <w:spacing w:line="240" w:lineRule="auto"/>
        <w:rPr>
          <w:u w:val="single"/>
          <w:lang w:val="hu-HU"/>
        </w:rPr>
      </w:pPr>
      <w:proofErr w:type="spellStart"/>
      <w:proofErr w:type="gramStart"/>
      <w:r>
        <w:rPr>
          <w:szCs w:val="22"/>
        </w:rPr>
        <w:t>laktóz-monohidrát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meglumin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nátrium-hidroxid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povidon</w:t>
      </w:r>
      <w:proofErr w:type="spellEnd"/>
      <w:proofErr w:type="gramEnd"/>
      <w:r>
        <w:rPr>
          <w:szCs w:val="22"/>
        </w:rPr>
        <w:t> K30</w:t>
      </w:r>
    </w:p>
    <w:p w:rsidR="00B6017F" w:rsidRDefault="00D96CC4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>mikrokristályos</w:t>
      </w:r>
      <w:proofErr w:type="gramEnd"/>
      <w:r>
        <w:rPr>
          <w:szCs w:val="22"/>
          <w:lang w:val="hu-HU"/>
        </w:rPr>
        <w:t xml:space="preserve"> cellulóz</w:t>
      </w:r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kroszkarmellóz-nátrium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 w:eastAsia="de-DE"/>
        </w:rPr>
        <w:t>sárga</w:t>
      </w:r>
      <w:proofErr w:type="gramEnd"/>
      <w:r>
        <w:rPr>
          <w:szCs w:val="22"/>
          <w:lang w:val="hu-HU" w:eastAsia="de-DE"/>
        </w:rPr>
        <w:t xml:space="preserve"> vas-oxid </w:t>
      </w:r>
      <w:r>
        <w:rPr>
          <w:szCs w:val="22"/>
          <w:lang w:val="hu-HU"/>
        </w:rPr>
        <w:t>(E172)</w:t>
      </w:r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nátrium-sztearil-fumarát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magnézium-sztearát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</w:rPr>
        <w:t>hipromellóz</w:t>
      </w:r>
      <w:proofErr w:type="spellEnd"/>
      <w:proofErr w:type="gramEnd"/>
    </w:p>
    <w:p w:rsidR="00B6017F" w:rsidRDefault="00D96CC4">
      <w:pPr>
        <w:spacing w:line="240" w:lineRule="auto"/>
        <w:rPr>
          <w:szCs w:val="22"/>
        </w:rPr>
      </w:pPr>
      <w:proofErr w:type="gramStart"/>
      <w:r>
        <w:rPr>
          <w:szCs w:val="22"/>
          <w:lang w:val="hu-HU"/>
        </w:rPr>
        <w:t>vízmentes</w:t>
      </w:r>
      <w:proofErr w:type="gramEnd"/>
      <w:r>
        <w:rPr>
          <w:szCs w:val="22"/>
          <w:lang w:val="hu-HU"/>
        </w:rPr>
        <w:t xml:space="preserve"> kolloid szilícium-dioxid</w:t>
      </w:r>
    </w:p>
    <w:p w:rsidR="00B6017F" w:rsidRDefault="00D96CC4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karbomer</w:t>
      </w:r>
      <w:proofErr w:type="spellEnd"/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:rsidR="00B6017F" w:rsidRDefault="00B6017F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 év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t>A fénytől és a nedvességtől való védelem érdekében az eredeti csomagolásban tárolandó.</w:t>
      </w:r>
    </w:p>
    <w:p w:rsidR="00B6017F" w:rsidRDefault="00D96CC4">
      <w:pPr>
        <w:rPr>
          <w:szCs w:val="22"/>
          <w:lang w:val="hu-HU" w:eastAsia="hu-HU"/>
        </w:rPr>
      </w:pPr>
      <w:r>
        <w:rPr>
          <w:szCs w:val="22"/>
          <w:lang w:val="hu-HU" w:eastAsia="hu-HU"/>
        </w:rPr>
        <w:lastRenderedPageBreak/>
        <w:t>Ez a gyógyszer különleges tárolási hőmérsékletet nem igényel.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10, 30, 60, 90 és 100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buborékcsomagolásban és dobozban.</w:t>
      </w:r>
    </w:p>
    <w:p w:rsidR="00B6017F" w:rsidRDefault="00D96CC4">
      <w:pPr>
        <w:spacing w:line="240" w:lineRule="auto"/>
        <w:rPr>
          <w:lang w:val="hu-HU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14, 28, 56, 84 és 98 db </w:t>
      </w:r>
      <w:r>
        <w:rPr>
          <w:lang w:val="hu-HU"/>
        </w:rPr>
        <w:t>módosított hatóanyag-leadású tabletta OPA/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>/PVC//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naptárjelzéses buborékcsomagolásban és dobozban.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:rsidR="00B6017F" w:rsidRDefault="00B6017F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rPr>
          <w:szCs w:val="22"/>
        </w:rPr>
      </w:pPr>
      <w:proofErr w:type="spellStart"/>
      <w:r>
        <w:rPr>
          <w:b/>
          <w:szCs w:val="22"/>
        </w:rPr>
        <w:t>Megjegyzés</w:t>
      </w:r>
      <w:proofErr w:type="spellEnd"/>
      <w:r>
        <w:rPr>
          <w:b/>
          <w:szCs w:val="22"/>
        </w:rPr>
        <w:t xml:space="preserve">: </w:t>
      </w:r>
      <w:r>
        <w:rPr>
          <w:rFonts w:ascii="Wingdings" w:hAnsi="Wingdings"/>
          <w:szCs w:val="22"/>
        </w:rPr>
        <w:t>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egy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keresztes</w:t>
      </w:r>
      <w:proofErr w:type="spellEnd"/>
      <w:r>
        <w:rPr>
          <w:szCs w:val="22"/>
        </w:rPr>
        <w:t>)</w:t>
      </w:r>
    </w:p>
    <w:p w:rsidR="00B6017F" w:rsidRDefault="00D96CC4">
      <w:pPr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Osztályozás</w:t>
      </w:r>
      <w:proofErr w:type="spellEnd"/>
      <w:r>
        <w:rPr>
          <w:b/>
          <w:bCs/>
          <w:szCs w:val="22"/>
        </w:rPr>
        <w:t xml:space="preserve">: II. </w:t>
      </w:r>
      <w:proofErr w:type="spellStart"/>
      <w:proofErr w:type="gramStart"/>
      <w:r>
        <w:rPr>
          <w:b/>
          <w:bCs/>
          <w:szCs w:val="22"/>
        </w:rPr>
        <w:t>csoport</w:t>
      </w:r>
      <w:proofErr w:type="spellEnd"/>
      <w:proofErr w:type="gramEnd"/>
    </w:p>
    <w:p w:rsidR="00B6017F" w:rsidRDefault="00D96CC4">
      <w:pPr>
        <w:rPr>
          <w:bCs/>
          <w:szCs w:val="22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B6017F">
      <w:pPr>
        <w:spacing w:line="240" w:lineRule="auto"/>
        <w:ind w:left="567" w:hanging="567"/>
        <w:outlineLvl w:val="0"/>
        <w:rPr>
          <w:b/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:rsidR="00B6017F" w:rsidRDefault="00B6017F">
      <w:pPr>
        <w:spacing w:line="240" w:lineRule="auto"/>
        <w:ind w:left="567" w:hanging="567"/>
        <w:outlineLvl w:val="0"/>
        <w:rPr>
          <w:bCs/>
          <w:lang w:val="hu-HU"/>
        </w:rPr>
      </w:pP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KRKA, d.d., Novo mesto,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Šmarješka cesta 6,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8501 Novo mesto,</w:t>
      </w:r>
    </w:p>
    <w:p w:rsidR="00B6017F" w:rsidRDefault="00D96CC4">
      <w:pPr>
        <w:rPr>
          <w:szCs w:val="22"/>
        </w:rPr>
      </w:pPr>
      <w:r>
        <w:rPr>
          <w:noProof/>
          <w:szCs w:val="22"/>
        </w:rPr>
        <w:t>Szlovénia</w:t>
      </w:r>
    </w:p>
    <w:p w:rsidR="00B6017F" w:rsidRDefault="00B6017F">
      <w:pPr>
        <w:spacing w:line="240" w:lineRule="auto"/>
        <w:outlineLvl w:val="0"/>
        <w:rPr>
          <w:bCs/>
          <w:lang w:val="hu-HU"/>
        </w:rPr>
      </w:pPr>
    </w:p>
    <w:p w:rsidR="00B6017F" w:rsidRDefault="00B6017F">
      <w:pPr>
        <w:spacing w:line="240" w:lineRule="auto"/>
        <w:outlineLvl w:val="0"/>
        <w:rPr>
          <w:bCs/>
          <w:lang w:val="hu-HU"/>
        </w:rPr>
      </w:pPr>
    </w:p>
    <w:p w:rsidR="00B6017F" w:rsidRDefault="00D96CC4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B6017F" w:rsidRDefault="00B6017F">
      <w:pPr>
        <w:rPr>
          <w:noProof/>
          <w:szCs w:val="22"/>
        </w:rPr>
      </w:pPr>
    </w:p>
    <w:p w:rsidR="00B6017F" w:rsidRDefault="00D96CC4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Tedenomo 40 mg/1,5 mg módosított hatóanyag-leadású tabletta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 xml:space="preserve">OPA/Al/PVC//Al buborékcsomagolásban 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OGYI-T-24507/09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B6017F" w:rsidRDefault="00B6017F">
      <w:pPr>
        <w:rPr>
          <w:noProof/>
          <w:szCs w:val="22"/>
        </w:rPr>
      </w:pPr>
    </w:p>
    <w:p w:rsidR="00B6017F" w:rsidRDefault="00D96CC4">
      <w:pPr>
        <w:rPr>
          <w:noProof/>
          <w:szCs w:val="22"/>
          <w:u w:val="single"/>
        </w:rPr>
      </w:pPr>
      <w:r>
        <w:rPr>
          <w:noProof/>
          <w:szCs w:val="22"/>
          <w:u w:val="single"/>
        </w:rPr>
        <w:t>Tedenomo 80 mg/1,5 mg módosított hatóanyag-leadású tabletta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OGYI-T-24507/11</w:t>
      </w:r>
      <w:r>
        <w:rPr>
          <w:noProof/>
          <w:szCs w:val="22"/>
        </w:rPr>
        <w:tab/>
        <w:t>10×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OGYI-T-24507/12</w:t>
      </w:r>
      <w:r>
        <w:rPr>
          <w:noProof/>
          <w:szCs w:val="22"/>
        </w:rPr>
        <w:tab/>
        <w:t>14×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OGYI-T-24507/13</w:t>
      </w:r>
      <w:r>
        <w:rPr>
          <w:noProof/>
          <w:szCs w:val="22"/>
        </w:rPr>
        <w:tab/>
        <w:t>28×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OGYI-T-24507/14</w:t>
      </w:r>
      <w:r>
        <w:rPr>
          <w:noProof/>
          <w:szCs w:val="22"/>
        </w:rPr>
        <w:tab/>
        <w:t>30×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OGYI-T-24507/15</w:t>
      </w:r>
      <w:r>
        <w:rPr>
          <w:noProof/>
          <w:szCs w:val="22"/>
        </w:rPr>
        <w:tab/>
        <w:t>56×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OGYI-T-24507/16</w:t>
      </w:r>
      <w:r>
        <w:rPr>
          <w:noProof/>
          <w:szCs w:val="22"/>
        </w:rPr>
        <w:tab/>
        <w:t>60×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OGYI-T-24507/17</w:t>
      </w:r>
      <w:r>
        <w:rPr>
          <w:noProof/>
          <w:szCs w:val="22"/>
        </w:rPr>
        <w:tab/>
        <w:t>84×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OGYI-T-24507/18</w:t>
      </w:r>
      <w:r>
        <w:rPr>
          <w:noProof/>
          <w:szCs w:val="22"/>
        </w:rPr>
        <w:tab/>
        <w:t>90×</w:t>
      </w:r>
      <w:r>
        <w:rPr>
          <w:noProof/>
          <w:szCs w:val="22"/>
        </w:rPr>
        <w:tab/>
        <w:t>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OGYI-T-24507/19</w:t>
      </w:r>
      <w:r>
        <w:rPr>
          <w:noProof/>
          <w:szCs w:val="22"/>
        </w:rPr>
        <w:tab/>
        <w:t>98×</w:t>
      </w:r>
      <w:r>
        <w:rPr>
          <w:noProof/>
          <w:szCs w:val="22"/>
        </w:rPr>
        <w:tab/>
        <w:t>naptárjelzéses OPA/Al/PVC//Al buborékcsomagolásban</w:t>
      </w:r>
    </w:p>
    <w:p w:rsidR="00B6017F" w:rsidRDefault="00D96CC4">
      <w:pPr>
        <w:rPr>
          <w:noProof/>
          <w:szCs w:val="22"/>
        </w:rPr>
      </w:pPr>
      <w:r>
        <w:rPr>
          <w:noProof/>
          <w:szCs w:val="22"/>
        </w:rPr>
        <w:t>OGYI-T-24507/20</w:t>
      </w:r>
      <w:r>
        <w:rPr>
          <w:noProof/>
          <w:szCs w:val="22"/>
        </w:rPr>
        <w:tab/>
        <w:t>100×</w:t>
      </w:r>
      <w:r>
        <w:rPr>
          <w:noProof/>
          <w:szCs w:val="22"/>
        </w:rPr>
        <w:tab/>
        <w:t>OPA/Al/PVC//Al buborékcsomagolásban</w:t>
      </w:r>
    </w:p>
    <w:p w:rsidR="00B6017F" w:rsidRDefault="00B6017F">
      <w:pPr>
        <w:rPr>
          <w:noProof/>
          <w:szCs w:val="22"/>
        </w:rPr>
      </w:pPr>
    </w:p>
    <w:p w:rsidR="00B6017F" w:rsidRDefault="00B6017F">
      <w:pPr>
        <w:rPr>
          <w:noProof/>
          <w:szCs w:val="22"/>
        </w:rPr>
      </w:pPr>
    </w:p>
    <w:p w:rsidR="00B6017F" w:rsidRDefault="00D96CC4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 2025. január 10.</w:t>
      </w: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B6017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B6017F" w:rsidRDefault="00D96CC4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:rsidR="00B6017F" w:rsidRDefault="00B6017F">
      <w:pPr>
        <w:spacing w:line="240" w:lineRule="auto"/>
        <w:rPr>
          <w:lang w:val="hu-HU"/>
        </w:rPr>
      </w:pPr>
    </w:p>
    <w:p w:rsidR="00B6017F" w:rsidRDefault="00AB173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2026. szeptember 16</w:t>
      </w:r>
      <w:r w:rsidR="00D96CC4">
        <w:rPr>
          <w:rFonts w:eastAsia="Times New Roman"/>
          <w:noProof/>
          <w:snapToGrid/>
          <w:szCs w:val="22"/>
          <w:lang w:val="hu-HU" w:eastAsia="en-US"/>
        </w:rPr>
        <w:t>.</w:t>
      </w:r>
    </w:p>
    <w:sectPr w:rsidR="00B6017F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17F" w:rsidRDefault="00D96CC4">
      <w:pPr>
        <w:spacing w:line="240" w:lineRule="auto"/>
      </w:pPr>
      <w:r>
        <w:separator/>
      </w:r>
    </w:p>
  </w:endnote>
  <w:endnote w:type="continuationSeparator" w:id="0">
    <w:p w:rsidR="00B6017F" w:rsidRDefault="00D96C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17F" w:rsidRDefault="00B6017F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CC4" w:rsidRDefault="00D96CC4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96CC4">
      <w:rPr>
        <w:rFonts w:ascii="Times New Roman" w:hAnsi="Times New Roman"/>
        <w:sz w:val="18"/>
        <w:szCs w:val="18"/>
      </w:rPr>
      <w:t>NNGYK/ETGY/18834/2026</w:t>
    </w:r>
  </w:p>
  <w:p w:rsidR="00B6017F" w:rsidRDefault="00D96CC4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D96CC4">
      <w:rPr>
        <w:rFonts w:ascii="Times New Roman" w:hAnsi="Times New Roman"/>
        <w:sz w:val="18"/>
        <w:szCs w:val="18"/>
      </w:rPr>
      <w:t>NNGYK/ETGY/1883</w:t>
    </w:r>
    <w:r>
      <w:rPr>
        <w:rFonts w:ascii="Times New Roman" w:hAnsi="Times New Roman"/>
        <w:sz w:val="18"/>
        <w:szCs w:val="18"/>
      </w:rPr>
      <w:t>7</w:t>
    </w:r>
    <w:r w:rsidRPr="00D96CC4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17F" w:rsidRDefault="00D96CC4">
      <w:pPr>
        <w:spacing w:line="240" w:lineRule="auto"/>
      </w:pPr>
      <w:r>
        <w:separator/>
      </w:r>
    </w:p>
  </w:footnote>
  <w:footnote w:type="continuationSeparator" w:id="0">
    <w:p w:rsidR="00B6017F" w:rsidRDefault="00D96C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485798"/>
      <w:docPartObj>
        <w:docPartGallery w:val="Page Numbers (Top of Page)"/>
        <w:docPartUnique/>
      </w:docPartObj>
    </w:sdtPr>
    <w:sdtEndPr/>
    <w:sdtContent>
      <w:p w:rsidR="00B6017F" w:rsidRDefault="00D96CC4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BB5C05" w:rsidRPr="00BB5C05">
          <w:rPr>
            <w:noProof/>
            <w:sz w:val="18"/>
            <w:szCs w:val="18"/>
            <w:lang w:val="hu-HU"/>
          </w:rPr>
          <w:t>21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6040001"/>
    <w:multiLevelType w:val="hybridMultilevel"/>
    <w:tmpl w:val="A1CEF788"/>
    <w:lvl w:ilvl="0" w:tplc="95566DEE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14BCB"/>
    <w:multiLevelType w:val="hybridMultilevel"/>
    <w:tmpl w:val="D3F4B686"/>
    <w:lvl w:ilvl="0" w:tplc="D94001D4">
      <w:start w:val="23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-Roman" w:eastAsia="Times New Roman" w:hAnsi="Times-Roman" w:cs="Times-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703519"/>
    <w:multiLevelType w:val="hybridMultilevel"/>
    <w:tmpl w:val="5A6C3420"/>
    <w:lvl w:ilvl="0" w:tplc="ABD813A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1F01210E"/>
    <w:multiLevelType w:val="hybridMultilevel"/>
    <w:tmpl w:val="9A2E6B5C"/>
    <w:lvl w:ilvl="0" w:tplc="72B86D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842F4"/>
    <w:multiLevelType w:val="hybridMultilevel"/>
    <w:tmpl w:val="BE8462A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537E2"/>
    <w:multiLevelType w:val="hybridMultilevel"/>
    <w:tmpl w:val="8F7E6156"/>
    <w:lvl w:ilvl="0" w:tplc="8CCE57E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63614"/>
    <w:multiLevelType w:val="hybridMultilevel"/>
    <w:tmpl w:val="A468DA78"/>
    <w:lvl w:ilvl="0" w:tplc="72B86D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8F2EEC"/>
    <w:multiLevelType w:val="hybridMultilevel"/>
    <w:tmpl w:val="BCB4DD6C"/>
    <w:lvl w:ilvl="0" w:tplc="1520C530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488A2E98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C840BF5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3314FBC4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2698DAA4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66C8652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64F6BDE6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CB66B518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F0CC8852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8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F59E4"/>
    <w:multiLevelType w:val="hybridMultilevel"/>
    <w:tmpl w:val="8318B452"/>
    <w:lvl w:ilvl="0" w:tplc="95566D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6D204E"/>
    <w:multiLevelType w:val="hybridMultilevel"/>
    <w:tmpl w:val="199E40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10"/>
  </w:num>
  <w:num w:numId="4">
    <w:abstractNumId w:val="14"/>
  </w:num>
  <w:num w:numId="5">
    <w:abstractNumId w:val="20"/>
  </w:num>
  <w:num w:numId="6">
    <w:abstractNumId w:val="12"/>
  </w:num>
  <w:num w:numId="7">
    <w:abstractNumId w:val="18"/>
  </w:num>
  <w:num w:numId="8">
    <w:abstractNumId w:val="15"/>
  </w:num>
  <w:num w:numId="9">
    <w:abstractNumId w:val="16"/>
  </w:num>
  <w:num w:numId="10">
    <w:abstractNumId w:val="13"/>
  </w:num>
  <w:num w:numId="11">
    <w:abstractNumId w:val="11"/>
  </w:num>
  <w:num w:numId="1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6017F"/>
    <w:rsid w:val="006604E7"/>
    <w:rsid w:val="009966DC"/>
    <w:rsid w:val="00AB173B"/>
    <w:rsid w:val="00B6017F"/>
    <w:rsid w:val="00BB5C05"/>
    <w:rsid w:val="00D9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75A79CF5-F5EF-43C6-BCE2-82310462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paragraph" w:styleId="Listaszerbekezds">
    <w:name w:val="List Paragraph"/>
    <w:basedOn w:val="Norml"/>
    <w:uiPriority w:val="1"/>
    <w:qFormat/>
    <w:pPr>
      <w:ind w:left="720"/>
      <w:contextualSpacing/>
    </w:pPr>
  </w:style>
  <w:style w:type="table" w:styleId="Rcsostblzat">
    <w:name w:val="Table Grid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sakszveg">
    <w:name w:val="Plain Text"/>
    <w:basedOn w:val="Norml"/>
    <w:link w:val="CsakszvegChar"/>
    <w:pPr>
      <w:tabs>
        <w:tab w:val="clear" w:pos="567"/>
      </w:tabs>
      <w:spacing w:line="240" w:lineRule="auto"/>
    </w:pPr>
    <w:rPr>
      <w:rFonts w:ascii="Courier New" w:eastAsia="Times New Roman" w:hAnsi="Courier New"/>
      <w:snapToGrid/>
      <w:sz w:val="20"/>
      <w:lang w:eastAsia="sl-SI"/>
    </w:rPr>
  </w:style>
  <w:style w:type="character" w:customStyle="1" w:styleId="CsakszvegChar">
    <w:name w:val="Csak szöveg Char"/>
    <w:basedOn w:val="Bekezdsalapbettpusa"/>
    <w:link w:val="Csakszveg"/>
    <w:rPr>
      <w:rFonts w:ascii="Courier New" w:eastAsia="Times New Roman" w:hAnsi="Courier New"/>
      <w:lang w:eastAsia="sl-SI"/>
    </w:rPr>
  </w:style>
  <w:style w:type="paragraph" w:styleId="Kpalrs">
    <w:name w:val="caption"/>
    <w:basedOn w:val="Norml"/>
    <w:next w:val="Norml"/>
    <w:qFormat/>
    <w:pPr>
      <w:tabs>
        <w:tab w:val="clear" w:pos="567"/>
      </w:tabs>
      <w:spacing w:line="240" w:lineRule="auto"/>
      <w:jc w:val="both"/>
    </w:pPr>
    <w:rPr>
      <w:rFonts w:eastAsia="Times New Roman"/>
      <w:snapToGrid/>
      <w:sz w:val="24"/>
      <w:lang w:eastAsia="sl-SI"/>
    </w:rPr>
  </w:style>
  <w:style w:type="paragraph" w:customStyle="1" w:styleId="Naslov1">
    <w:name w:val="Naslov1"/>
    <w:basedOn w:val="Cmsor1"/>
    <w:pPr>
      <w:keepNext/>
      <w:numPr>
        <w:numId w:val="0"/>
      </w:numPr>
      <w:suppressAutoHyphens w:val="0"/>
      <w:spacing w:before="0" w:after="0" w:line="240" w:lineRule="auto"/>
    </w:pPr>
    <w:rPr>
      <w:caps w:val="0"/>
      <w:sz w:val="22"/>
      <w:u w:val="single"/>
      <w:lang w:val="sl-SI" w:eastAsia="sl-SI"/>
    </w:rPr>
  </w:style>
  <w:style w:type="paragraph" w:styleId="TJ1">
    <w:name w:val="toc 1"/>
    <w:basedOn w:val="Norml"/>
    <w:next w:val="Norml"/>
    <w:autoRedefine/>
    <w:pPr>
      <w:tabs>
        <w:tab w:val="clear" w:pos="567"/>
      </w:tabs>
      <w:spacing w:before="120" w:line="240" w:lineRule="auto"/>
    </w:pPr>
    <w:rPr>
      <w:rFonts w:eastAsia="Times New Roman"/>
      <w:b/>
      <w:bCs/>
      <w:i/>
      <w:iCs/>
      <w:snapToGrid/>
      <w:sz w:val="24"/>
      <w:szCs w:val="28"/>
      <w:lang w:val="sl-SI" w:eastAsia="sl-SI"/>
    </w:rPr>
  </w:style>
  <w:style w:type="paragraph" w:styleId="Szvegtrzs2">
    <w:name w:val="Body Text 2"/>
    <w:basedOn w:val="Norml"/>
    <w:link w:val="Szvegtrzs2Char"/>
    <w:pPr>
      <w:tabs>
        <w:tab w:val="clear" w:pos="567"/>
      </w:tabs>
      <w:spacing w:after="120" w:line="480" w:lineRule="auto"/>
    </w:pPr>
    <w:rPr>
      <w:rFonts w:eastAsia="Times New Roman"/>
      <w:snapToGrid/>
      <w:sz w:val="24"/>
      <w:lang w:val="sl-SI" w:eastAsia="sl-SI"/>
    </w:rPr>
  </w:style>
  <w:style w:type="character" w:customStyle="1" w:styleId="Szvegtrzs2Char">
    <w:name w:val="Szövegtörzs 2 Char"/>
    <w:basedOn w:val="Bekezdsalapbettpusa"/>
    <w:link w:val="Szvegtrzs2"/>
    <w:rPr>
      <w:rFonts w:eastAsia="Times New Roman"/>
      <w:sz w:val="24"/>
      <w:lang w:val="sl-SI" w:eastAsia="sl-SI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sl-SI" w:eastAsia="sl-SI"/>
    </w:rPr>
  </w:style>
  <w:style w:type="table" w:customStyle="1" w:styleId="Tabela-mrea">
    <w:name w:val="Tabela - mreža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Pr>
      <w:snapToGrid w:val="0"/>
      <w:sz w:val="22"/>
      <w:lang w:eastAsia="zh-CN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Cm">
    <w:name w:val="Title"/>
    <w:basedOn w:val="Norml"/>
    <w:link w:val="CmChar"/>
    <w:qFormat/>
    <w:pPr>
      <w:tabs>
        <w:tab w:val="clear" w:pos="567"/>
      </w:tabs>
      <w:spacing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CmChar">
    <w:name w:val="Cím Char"/>
    <w:basedOn w:val="Bekezdsalapbettpusa"/>
    <w:link w:val="Cm"/>
    <w:rPr>
      <w:rFonts w:eastAsia="Times New Roman"/>
      <w:b/>
      <w:sz w:val="22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napToGrid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character" w:customStyle="1" w:styleId="JegyzetszvegChar">
    <w:name w:val="Jegyzetszöveg Char"/>
    <w:basedOn w:val="Bekezdsalapbettpusa"/>
    <w:link w:val="Jegyzetszveg"/>
    <w:rPr>
      <w:snapToGrid w:val="0"/>
      <w:lang w:eastAsia="zh-CN"/>
    </w:rPr>
  </w:style>
  <w:style w:type="paragraph" w:customStyle="1" w:styleId="TableParagraph">
    <w:name w:val="Table Paragraph"/>
    <w:basedOn w:val="Norml"/>
    <w:uiPriority w:val="1"/>
    <w:qFormat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sl-SI" w:eastAsia="sl-SI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basedOn w:val="Norml"/>
    <w:pPr>
      <w:widowControl w:val="0"/>
      <w:tabs>
        <w:tab w:val="clear" w:pos="567"/>
      </w:tabs>
      <w:suppressAutoHyphens/>
      <w:autoSpaceDE w:val="0"/>
      <w:spacing w:line="240" w:lineRule="auto"/>
    </w:pPr>
    <w:rPr>
      <w:rFonts w:eastAsia="Lucida Sans Unicode"/>
      <w:snapToGrid/>
      <w:sz w:val="20"/>
      <w:lang w:val="hu-HU" w:eastAsia="sl-SI"/>
    </w:rPr>
  </w:style>
  <w:style w:type="paragraph" w:styleId="Szvegtrzs3">
    <w:name w:val="Body Text 3"/>
    <w:basedOn w:val="Norml"/>
    <w:link w:val="Szvegtrzs3Char"/>
    <w:pPr>
      <w:tabs>
        <w:tab w:val="clear" w:pos="567"/>
      </w:tabs>
      <w:spacing w:after="120" w:line="240" w:lineRule="auto"/>
    </w:pPr>
    <w:rPr>
      <w:rFonts w:eastAsia="Times New Roman"/>
      <w:snapToGrid/>
      <w:sz w:val="16"/>
      <w:szCs w:val="16"/>
      <w:lang w:val="sl-SI" w:eastAsia="sl-SI"/>
    </w:rPr>
  </w:style>
  <w:style w:type="character" w:customStyle="1" w:styleId="Szvegtrzs3Char">
    <w:name w:val="Szövegtörzs 3 Char"/>
    <w:basedOn w:val="Bekezdsalapbettpusa"/>
    <w:link w:val="Szvegtrzs3"/>
    <w:rPr>
      <w:rFonts w:eastAsia="Times New Roman"/>
      <w:sz w:val="16"/>
      <w:szCs w:val="16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8475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6313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7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6718F-B19C-477E-88CA-57DF5524A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7412</Words>
  <Characters>51145</Characters>
  <Application>Microsoft Office Word</Application>
  <DocSecurity>0</DocSecurity>
  <Lines>426</Lines>
  <Paragraphs>116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 OGYI 49.1</cp:lastModifiedBy>
  <cp:revision>4</cp:revision>
  <dcterms:created xsi:type="dcterms:W3CDTF">2026-09-21T14:33:00Z</dcterms:created>
  <dcterms:modified xsi:type="dcterms:W3CDTF">2026-09-22T09:12:00Z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