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1F0" w:rsidRDefault="004D44D3">
      <w:pPr>
        <w:widowControl w:val="0"/>
        <w:spacing w:line="240" w:lineRule="auto"/>
        <w:rPr>
          <w:color w:val="008000"/>
          <w:lang w:val="hu-HU"/>
        </w:rPr>
      </w:pPr>
      <w:bookmarkStart w:id="0" w:name="_GoBack"/>
      <w:bookmarkEnd w:id="0"/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E711F0" w:rsidRDefault="00E711F0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lang w:val="hu-HU"/>
        </w:rPr>
      </w:pPr>
      <w:bookmarkStart w:id="1" w:name="_Hlk182207243"/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40 mg/1,5 mg módosított hatóanyag-leadású tabletta</w:t>
      </w:r>
    </w:p>
    <w:p w:rsidR="00E711F0" w:rsidRDefault="004D44D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80 mg/1,5 mg módosított hatóanyag-leadású tabletta</w:t>
      </w:r>
    </w:p>
    <w:bookmarkEnd w:id="1"/>
    <w:p w:rsidR="00E711F0" w:rsidRDefault="00E711F0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E711F0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 xml:space="preserve">MINŐSÉGI </w:t>
      </w:r>
      <w:proofErr w:type="gramStart"/>
      <w:r>
        <w:rPr>
          <w:b/>
          <w:lang w:val="hu-HU"/>
        </w:rPr>
        <w:t>ÉS</w:t>
      </w:r>
      <w:proofErr w:type="gramEnd"/>
      <w:r>
        <w:rPr>
          <w:b/>
          <w:lang w:val="hu-HU"/>
        </w:rPr>
        <w:t xml:space="preserve"> MENNYISÉGI ÖSSZETÉTEL</w:t>
      </w:r>
    </w:p>
    <w:p w:rsidR="00E711F0" w:rsidRDefault="00E711F0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40 mg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1,5 mg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 xml:space="preserve"> tartalmaz tablettánként.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80 mg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1,5 mg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 xml:space="preserve"> tartalmaz tablettánként.</w:t>
      </w:r>
    </w:p>
    <w:p w:rsidR="00E711F0" w:rsidRDefault="00E711F0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E711F0" w:rsidRDefault="004D44D3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  <w:r>
        <w:rPr>
          <w:u w:val="single"/>
          <w:lang w:val="hu-HU"/>
        </w:rPr>
        <w:t>ok:</w:t>
      </w:r>
    </w:p>
    <w:p w:rsidR="00E711F0" w:rsidRDefault="00E711F0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89,02 mg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tablettánként (</w:t>
      </w:r>
      <w:proofErr w:type="spellStart"/>
      <w:r>
        <w:rPr>
          <w:lang w:val="hu-HU"/>
        </w:rPr>
        <w:t>laktóz-monohidrát</w:t>
      </w:r>
      <w:proofErr w:type="spellEnd"/>
      <w:r>
        <w:rPr>
          <w:lang w:val="hu-HU"/>
        </w:rPr>
        <w:t xml:space="preserve"> formájában).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146,02 mg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tablettánként (</w:t>
      </w:r>
      <w:proofErr w:type="spellStart"/>
      <w:r>
        <w:rPr>
          <w:lang w:val="hu-HU"/>
        </w:rPr>
        <w:t>laktóz-monohidrát</w:t>
      </w:r>
      <w:proofErr w:type="spellEnd"/>
      <w:r>
        <w:rPr>
          <w:lang w:val="hu-HU"/>
        </w:rPr>
        <w:t xml:space="preserve"> formájában).</w:t>
      </w:r>
    </w:p>
    <w:p w:rsidR="00E711F0" w:rsidRDefault="00E711F0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E711F0" w:rsidRDefault="004D44D3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>
        <w:rPr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lang w:val="hu-HU"/>
        </w:rPr>
        <w:t xml:space="preserve"> lásd a 6.1 pontban</w:t>
      </w:r>
      <w:r>
        <w:rPr>
          <w:bCs/>
          <w:noProof/>
          <w:szCs w:val="22"/>
          <w:lang w:val="hu-HU"/>
        </w:rPr>
        <w:t>.</w:t>
      </w:r>
    </w:p>
    <w:p w:rsidR="00E711F0" w:rsidRDefault="00E711F0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:rsidR="00E711F0" w:rsidRDefault="00E711F0">
      <w:pPr>
        <w:widowControl w:val="0"/>
        <w:spacing w:line="240" w:lineRule="auto"/>
        <w:rPr>
          <w:bCs/>
          <w:lang w:val="hu-HU"/>
        </w:rPr>
      </w:pPr>
    </w:p>
    <w:p w:rsidR="00E711F0" w:rsidRDefault="004D44D3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:rsidR="00E711F0" w:rsidRDefault="00E711F0">
      <w:pPr>
        <w:spacing w:line="240" w:lineRule="auto"/>
        <w:ind w:left="567" w:hanging="567"/>
        <w:rPr>
          <w:b/>
          <w:lang w:val="hu-HU"/>
        </w:rPr>
      </w:pPr>
    </w:p>
    <w:p w:rsidR="00E711F0" w:rsidRDefault="004D44D3">
      <w:pPr>
        <w:spacing w:line="240" w:lineRule="auto"/>
        <w:ind w:left="567" w:hanging="567"/>
        <w:rPr>
          <w:bCs/>
          <w:szCs w:val="22"/>
          <w:lang w:val="hu-HU" w:eastAsia="hu-HU"/>
        </w:rPr>
      </w:pPr>
      <w:r>
        <w:rPr>
          <w:bCs/>
          <w:szCs w:val="22"/>
          <w:lang w:val="hu-HU" w:eastAsia="hu-HU"/>
        </w:rPr>
        <w:t>Módosított hatóanyag-leadású tabletta (tabletta).</w:t>
      </w:r>
    </w:p>
    <w:p w:rsidR="00E711F0" w:rsidRDefault="00E711F0">
      <w:pPr>
        <w:spacing w:line="240" w:lineRule="auto"/>
        <w:ind w:left="567" w:hanging="567"/>
        <w:rPr>
          <w:b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E711F0" w:rsidRDefault="004D44D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narancssárga,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TI1 jelöléssel.</w:t>
      </w:r>
    </w:p>
    <w:p w:rsidR="00E711F0" w:rsidRDefault="004D44D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× 8 mm.</w:t>
      </w:r>
    </w:p>
    <w:p w:rsidR="00E711F0" w:rsidRDefault="00E711F0">
      <w:pPr>
        <w:spacing w:line="240" w:lineRule="auto"/>
        <w:ind w:left="567" w:hanging="567"/>
        <w:rPr>
          <w:bCs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E711F0" w:rsidRDefault="004D44D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barnássárga,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TI2 jelöléssel.</w:t>
      </w:r>
    </w:p>
    <w:p w:rsidR="00E711F0" w:rsidRDefault="004D44D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× 8 mm.</w:t>
      </w:r>
    </w:p>
    <w:p w:rsidR="00E711F0" w:rsidRDefault="00E711F0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:rsidR="00E711F0" w:rsidRDefault="00E711F0">
      <w:pPr>
        <w:spacing w:line="240" w:lineRule="auto"/>
        <w:rPr>
          <w:szCs w:val="22"/>
          <w:lang w:val="hu-HU"/>
        </w:rPr>
      </w:pPr>
    </w:p>
    <w:p w:rsidR="00E711F0" w:rsidRDefault="004D44D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Texolmid</w:t>
      </w:r>
      <w:proofErr w:type="spellEnd"/>
      <w:r>
        <w:rPr>
          <w:szCs w:val="22"/>
          <w:lang w:val="hu-HU"/>
        </w:rPr>
        <w:t xml:space="preserve"> esszenciális </w:t>
      </w:r>
      <w:proofErr w:type="spellStart"/>
      <w:r>
        <w:rPr>
          <w:szCs w:val="22"/>
          <w:lang w:val="hu-HU"/>
        </w:rPr>
        <w:t>hypertonia</w:t>
      </w:r>
      <w:proofErr w:type="spellEnd"/>
      <w:r>
        <w:rPr>
          <w:szCs w:val="22"/>
          <w:lang w:val="hu-HU"/>
        </w:rPr>
        <w:t xml:space="preserve"> kezelésére javallott szubsztitúciós terápiaként olyan felnőtt betegek kezelésére, akiknek a vérnyomása megfelelően be van állítva a kombinációval azonos </w:t>
      </w:r>
      <w:proofErr w:type="gramStart"/>
      <w:r>
        <w:rPr>
          <w:szCs w:val="22"/>
          <w:lang w:val="hu-HU"/>
        </w:rPr>
        <w:t>dózisban</w:t>
      </w:r>
      <w:proofErr w:type="gramEnd"/>
      <w:r>
        <w:rPr>
          <w:szCs w:val="22"/>
          <w:lang w:val="hu-HU"/>
        </w:rPr>
        <w:t xml:space="preserve">, de külön tablettaként adott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egyidejű alkalmazásával.</w:t>
      </w:r>
    </w:p>
    <w:p w:rsidR="00E711F0" w:rsidRDefault="00E711F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:rsidR="00E711F0" w:rsidRDefault="00E711F0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E711F0" w:rsidRDefault="004D44D3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javasolt </w:t>
      </w:r>
      <w:proofErr w:type="gramStart"/>
      <w:r>
        <w:rPr>
          <w:lang w:val="hu-HU"/>
        </w:rPr>
        <w:t>dózisa</w:t>
      </w:r>
      <w:proofErr w:type="gramEnd"/>
      <w:r>
        <w:rPr>
          <w:lang w:val="hu-HU"/>
        </w:rPr>
        <w:t xml:space="preserve"> napi egy tabletta.</w:t>
      </w:r>
    </w:p>
    <w:p w:rsidR="00E711F0" w:rsidRDefault="004D44D3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gramStart"/>
      <w:r>
        <w:rPr>
          <w:szCs w:val="22"/>
          <w:lang w:val="hu-HU"/>
        </w:rPr>
        <w:t>fix</w:t>
      </w:r>
      <w:proofErr w:type="gramEnd"/>
      <w:r>
        <w:rPr>
          <w:szCs w:val="22"/>
          <w:lang w:val="hu-HU"/>
        </w:rPr>
        <w:t xml:space="preserve"> dózisú kombináció kezdeti terápiára nem alkalmas.</w:t>
      </w:r>
    </w:p>
    <w:p w:rsidR="00E711F0" w:rsidRDefault="00E711F0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E711F0" w:rsidRDefault="004D44D3">
      <w:pPr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Texolmid-ra</w:t>
      </w:r>
      <w:proofErr w:type="spellEnd"/>
      <w:r>
        <w:rPr>
          <w:lang w:val="hu-HU"/>
        </w:rPr>
        <w:t xml:space="preserve"> történő áttérés előtt a betegek vérnyomása legyen megfelelően beállítva az azonos időben, külön készítményben bevett hatóanyagok</w:t>
      </w:r>
      <w:r>
        <w:t xml:space="preserve"> </w:t>
      </w:r>
      <w:proofErr w:type="gramStart"/>
      <w:r>
        <w:rPr>
          <w:lang w:val="hu-HU"/>
        </w:rPr>
        <w:t>stabil</w:t>
      </w:r>
      <w:proofErr w:type="gramEnd"/>
      <w:r>
        <w:rPr>
          <w:lang w:val="hu-HU"/>
        </w:rPr>
        <w:t xml:space="preserve"> dózisaival.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dózisának</w:t>
      </w:r>
      <w:proofErr w:type="gramEnd"/>
      <w:r>
        <w:rPr>
          <w:lang w:val="hu-HU"/>
        </w:rPr>
        <w:t xml:space="preserve"> a kombináció egyes hatóanyagainak az áttérés időpontjában szedett dózisain kell alapulnia.</w:t>
      </w:r>
    </w:p>
    <w:p w:rsidR="00E711F0" w:rsidRDefault="00E711F0">
      <w:pPr>
        <w:autoSpaceDE w:val="0"/>
        <w:autoSpaceDN w:val="0"/>
        <w:adjustRightInd w:val="0"/>
        <w:rPr>
          <w:lang w:val="hu-HU"/>
        </w:rPr>
      </w:pPr>
    </w:p>
    <w:p w:rsidR="00E711F0" w:rsidRDefault="004D44D3">
      <w:pPr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t xml:space="preserve">Ha a </w:t>
      </w:r>
      <w:proofErr w:type="gramStart"/>
      <w:r>
        <w:rPr>
          <w:lang w:val="hu-HU"/>
        </w:rPr>
        <w:t>dózis</w:t>
      </w:r>
      <w:proofErr w:type="gramEnd"/>
      <w:r>
        <w:rPr>
          <w:lang w:val="hu-HU"/>
        </w:rPr>
        <w:t xml:space="preserve"> módosítására van szükség, azt a kombináció egyes hatóanyagainak külön-külön titrálásával kell elvégezni.</w:t>
      </w:r>
    </w:p>
    <w:p w:rsidR="00E711F0" w:rsidRDefault="00E711F0">
      <w:pPr>
        <w:autoSpaceDE w:val="0"/>
        <w:autoSpaceDN w:val="0"/>
        <w:adjustRightInd w:val="0"/>
        <w:rPr>
          <w:lang w:val="hu-HU"/>
        </w:rPr>
      </w:pPr>
    </w:p>
    <w:p w:rsidR="00E711F0" w:rsidRDefault="004D44D3">
      <w:pPr>
        <w:autoSpaceDE w:val="0"/>
        <w:autoSpaceDN w:val="0"/>
        <w:adjustRightInd w:val="0"/>
        <w:rPr>
          <w:u w:val="single"/>
          <w:lang w:val="hu-HU"/>
        </w:rPr>
      </w:pPr>
      <w:r>
        <w:rPr>
          <w:u w:val="single"/>
          <w:lang w:val="hu-HU"/>
        </w:rPr>
        <w:t>Különleges betegcsoportok</w:t>
      </w:r>
    </w:p>
    <w:p w:rsidR="00E711F0" w:rsidRDefault="00E711F0">
      <w:pPr>
        <w:autoSpaceDE w:val="0"/>
        <w:autoSpaceDN w:val="0"/>
        <w:adjustRightInd w:val="0"/>
        <w:rPr>
          <w:lang w:val="hu-HU"/>
        </w:rPr>
      </w:pPr>
    </w:p>
    <w:p w:rsidR="00E711F0" w:rsidRDefault="004D44D3">
      <w:pPr>
        <w:autoSpaceDE w:val="0"/>
        <w:autoSpaceDN w:val="0"/>
        <w:adjustRightInd w:val="0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Vesekárosodás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>Súlyos fokú vesekárosodás (30 ml/perc alatti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>) esetén a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>-</w:t>
      </w:r>
      <w:r>
        <w:rPr>
          <w:szCs w:val="22"/>
          <w:lang w:val="hu-HU"/>
        </w:rPr>
        <w:t xml:space="preserve">kezelés ellenjavallt (lásd 4.3 pont). Enyhe és közepesen súlyos vesekárosodásban szenvedő betegek esetén nincs szükség dózismódosításra, de a </w:t>
      </w:r>
      <w:proofErr w:type="spellStart"/>
      <w:r>
        <w:rPr>
          <w:szCs w:val="22"/>
          <w:lang w:val="hu-HU"/>
        </w:rPr>
        <w:t>tiazid</w:t>
      </w:r>
      <w:proofErr w:type="spellEnd"/>
      <w:r>
        <w:rPr>
          <w:szCs w:val="22"/>
          <w:lang w:val="hu-HU"/>
        </w:rPr>
        <w:t xml:space="preserve"> és rokon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csak akkor fejtik ki teljes hatásukat, ha a vesefunkció </w:t>
      </w:r>
      <w:proofErr w:type="gramStart"/>
      <w:r>
        <w:rPr>
          <w:szCs w:val="22"/>
          <w:lang w:val="hu-HU"/>
        </w:rPr>
        <w:t>normális</w:t>
      </w:r>
      <w:proofErr w:type="gramEnd"/>
      <w:r>
        <w:rPr>
          <w:szCs w:val="22"/>
          <w:lang w:val="hu-HU"/>
        </w:rPr>
        <w:t>, vagy csak minimális a vesekárosodás mértéke.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i/>
          <w:iCs/>
          <w:szCs w:val="22"/>
          <w:u w:val="single"/>
          <w:lang w:val="hu-HU"/>
        </w:rPr>
      </w:pPr>
      <w:proofErr w:type="spellStart"/>
      <w:r>
        <w:rPr>
          <w:i/>
          <w:iCs/>
          <w:szCs w:val="22"/>
          <w:u w:val="single"/>
          <w:lang w:val="hu-HU"/>
        </w:rPr>
        <w:t>Májkárododás</w:t>
      </w:r>
      <w:proofErr w:type="spellEnd"/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Texolmid</w:t>
      </w:r>
      <w:proofErr w:type="spellEnd"/>
      <w:r>
        <w:rPr>
          <w:szCs w:val="22"/>
          <w:lang w:val="hu-HU"/>
        </w:rPr>
        <w:t xml:space="preserve"> súlyos májkárosodásban szenvedő betegek számára ellenjavalt (lásd 4.3 pont). Enyhe és közepesen súlyos májműködési zavar esetén a </w:t>
      </w:r>
      <w:proofErr w:type="gramStart"/>
      <w:r>
        <w:rPr>
          <w:szCs w:val="22"/>
          <w:lang w:val="hu-HU"/>
        </w:rPr>
        <w:t>dózis</w:t>
      </w:r>
      <w:proofErr w:type="gramEnd"/>
      <w:r>
        <w:rPr>
          <w:szCs w:val="22"/>
          <w:lang w:val="hu-HU"/>
        </w:rPr>
        <w:t xml:space="preserve"> nem haladhatja meg a 40 mg/1,5 mg-</w:t>
      </w:r>
      <w:proofErr w:type="spellStart"/>
      <w:r>
        <w:rPr>
          <w:szCs w:val="22"/>
          <w:lang w:val="hu-HU"/>
        </w:rPr>
        <w:t>ot</w:t>
      </w:r>
      <w:proofErr w:type="spellEnd"/>
      <w:r>
        <w:rPr>
          <w:szCs w:val="22"/>
          <w:lang w:val="hu-HU"/>
        </w:rPr>
        <w:t xml:space="preserve"> (lásd 4.4 pont).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Idősek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Idősek esetében az adagoláson nem szükséges módosítani, de a plazmakreatinin-szintet </w:t>
      </w:r>
      <w:proofErr w:type="gramStart"/>
      <w:r>
        <w:rPr>
          <w:szCs w:val="22"/>
          <w:lang w:val="hu-HU"/>
        </w:rPr>
        <w:t>korrigálni</w:t>
      </w:r>
      <w:proofErr w:type="gramEnd"/>
      <w:r>
        <w:rPr>
          <w:szCs w:val="22"/>
          <w:lang w:val="hu-HU"/>
        </w:rPr>
        <w:t xml:space="preserve"> kell az életkortól, a testtömegtől és a nemtől függően. </w:t>
      </w:r>
      <w:r>
        <w:rPr>
          <w:szCs w:val="22"/>
          <w:lang w:val="hu-HU" w:eastAsia="ar-SA"/>
        </w:rPr>
        <w:t xml:space="preserve">Idősek csak akkor kezelhetők </w:t>
      </w:r>
      <w:proofErr w:type="spellStart"/>
      <w:r>
        <w:rPr>
          <w:lang w:val="hu-HU"/>
        </w:rPr>
        <w:t>Texolmid</w:t>
      </w:r>
      <w:proofErr w:type="spellEnd"/>
      <w:r>
        <w:rPr>
          <w:szCs w:val="22"/>
          <w:lang w:val="hu-HU" w:eastAsia="ar-SA"/>
        </w:rPr>
        <w:t xml:space="preserve">-dal, ha a vesefunkció </w:t>
      </w:r>
      <w:proofErr w:type="gramStart"/>
      <w:r>
        <w:rPr>
          <w:szCs w:val="22"/>
          <w:lang w:val="hu-HU" w:eastAsia="ar-SA"/>
        </w:rPr>
        <w:t>normális</w:t>
      </w:r>
      <w:proofErr w:type="gramEnd"/>
      <w:r>
        <w:rPr>
          <w:szCs w:val="22"/>
          <w:lang w:val="hu-HU" w:eastAsia="ar-SA"/>
        </w:rPr>
        <w:t>, vagy csak minimális a vesekárosodás mértéke.</w:t>
      </w:r>
    </w:p>
    <w:p w:rsidR="00E711F0" w:rsidRDefault="00E711F0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E711F0" w:rsidRDefault="004D44D3">
      <w:pPr>
        <w:spacing w:line="240" w:lineRule="auto"/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</w:pPr>
      <w:r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  <w:t>Gyermekek és serdülők</w:t>
      </w:r>
    </w:p>
    <w:p w:rsidR="00E711F0" w:rsidRDefault="004D44D3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/>
        </w:rPr>
        <w:t>Texolmid</w:t>
      </w:r>
      <w:proofErr w:type="spellEnd"/>
      <w:r>
        <w:rPr>
          <w:szCs w:val="22"/>
          <w:lang w:val="hu-HU"/>
        </w:rPr>
        <w:t xml:space="preserve"> alkalmazása </w:t>
      </w:r>
      <w:r>
        <w:rPr>
          <w:szCs w:val="22"/>
          <w:lang w:val="hu-HU" w:eastAsia="en-US"/>
        </w:rPr>
        <w:t>nem javasolt 18</w:t>
      </w:r>
      <w:r>
        <w:rPr>
          <w:szCs w:val="22"/>
          <w:lang w:val="hu-HU"/>
        </w:rPr>
        <w:t> </w:t>
      </w:r>
      <w:r>
        <w:rPr>
          <w:szCs w:val="22"/>
          <w:lang w:val="hu-HU" w:eastAsia="en-US"/>
        </w:rPr>
        <w:t>évesnél fiatalabb gyermekek és serdülők esetén.</w:t>
      </w:r>
    </w:p>
    <w:p w:rsidR="00E711F0" w:rsidRDefault="004D44D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Texolmid</w:t>
      </w:r>
      <w:proofErr w:type="spellEnd"/>
      <w:r>
        <w:rPr>
          <w:szCs w:val="22"/>
          <w:lang w:val="hu-HU"/>
        </w:rPr>
        <w:t xml:space="preserve"> biztonságosságát és hatásosságát ebben a populációban nem igazolták.</w:t>
      </w:r>
    </w:p>
    <w:p w:rsidR="00E711F0" w:rsidRDefault="00E711F0">
      <w:pPr>
        <w:spacing w:line="240" w:lineRule="auto"/>
        <w:rPr>
          <w:noProof/>
          <w:szCs w:val="24"/>
          <w:lang w:val="hu-HU"/>
        </w:rPr>
      </w:pPr>
    </w:p>
    <w:p w:rsidR="00E711F0" w:rsidRDefault="004D44D3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módosított hatóanyag-leadású tabletta naponta egyszeri, szájon át történő alkalmazásra szánt készítmény, lehetőleg reggel, folyadékkal, egészben kell lenyelni étkezés közben vagy attól függetlenül.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A készítmény hatóanyagaival, egyéb szulfonamidokkal vagy a 6.1 pontban felsorolt bármely segédanyagával szembeni túlérzékenység;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a terhesség második és harmadik trimesztere (lásd 4.4 és 4.6 pont);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súlyos májkárosodás vagy </w:t>
      </w:r>
      <w:proofErr w:type="spellStart"/>
      <w:r>
        <w:rPr>
          <w:szCs w:val="22"/>
          <w:lang w:val="hu-HU"/>
        </w:rPr>
        <w:t>hepaticus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encephalopathia</w:t>
      </w:r>
      <w:proofErr w:type="spellEnd"/>
      <w:r>
        <w:rPr>
          <w:szCs w:val="22"/>
          <w:lang w:val="hu-HU"/>
        </w:rPr>
        <w:t>;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súlyos vesekárosodás;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hypokalaemia</w:t>
      </w:r>
      <w:proofErr w:type="spellEnd"/>
      <w:r>
        <w:rPr>
          <w:szCs w:val="22"/>
          <w:lang w:val="hu-HU"/>
        </w:rPr>
        <w:t>;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az epeutak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rendellenességei.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egyidejű alkalmazása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>-tartalmú készítményekkel ellenjavallt diabetes mellitusban szenvedő vagy károsodott veseműködésű (GFR &lt;60 ml/perc/1,73 m</w:t>
      </w:r>
      <w:r>
        <w:rPr>
          <w:szCs w:val="22"/>
          <w:vertAlign w:val="superscript"/>
          <w:lang w:val="hu-HU"/>
        </w:rPr>
        <w:t>2</w:t>
      </w:r>
      <w:r>
        <w:rPr>
          <w:szCs w:val="22"/>
          <w:lang w:val="hu-HU"/>
        </w:rPr>
        <w:t>) betegeknél (lásd 4.5 és 5.1 pont).</w:t>
      </w:r>
    </w:p>
    <w:p w:rsidR="00E711F0" w:rsidRDefault="00E711F0">
      <w:pPr>
        <w:spacing w:line="240" w:lineRule="auto"/>
        <w:ind w:left="426" w:hanging="437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Terhesség</w:t>
      </w:r>
    </w:p>
    <w:p w:rsidR="00E711F0" w:rsidRDefault="004D44D3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Terhesség alatt nem szabad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II-receptor-blokkoló- (ARB) kezelést elkezdeni. A terhességet tervező betegeket – kivéve, ha az ARB-kezelés folytatása feltétlenül szükséges – olyan másik </w:t>
      </w:r>
      <w:proofErr w:type="spellStart"/>
      <w:r>
        <w:rPr>
          <w:szCs w:val="22"/>
          <w:lang w:val="hu-HU"/>
        </w:rPr>
        <w:t>antihipertenzív</w:t>
      </w:r>
      <w:proofErr w:type="spellEnd"/>
      <w:r>
        <w:rPr>
          <w:szCs w:val="22"/>
          <w:lang w:val="hu-HU"/>
        </w:rPr>
        <w:t xml:space="preserve"> kezelésre kell átállítani, amelynek megvizsgálták a terhesség alatti alkalmazásra vonatkozó biztonságossági </w:t>
      </w:r>
      <w:proofErr w:type="gramStart"/>
      <w:r>
        <w:rPr>
          <w:szCs w:val="22"/>
          <w:lang w:val="hu-HU"/>
        </w:rPr>
        <w:t>profilját</w:t>
      </w:r>
      <w:proofErr w:type="gramEnd"/>
      <w:r>
        <w:rPr>
          <w:szCs w:val="22"/>
          <w:lang w:val="hu-HU"/>
        </w:rPr>
        <w:t>. Terhesség megállapítása esetén az ARB-kezelést azonnal abba kell hagyni, és – amennyiben az megfelelő – terápiás alternatíva alkalmazását kell megkezdeni (lásd 4.3 és 4.6 pont).</w:t>
      </w:r>
    </w:p>
    <w:p w:rsidR="00E711F0" w:rsidRDefault="00E711F0">
      <w:pPr>
        <w:suppressAutoHyphens/>
        <w:rPr>
          <w:szCs w:val="22"/>
          <w:lang w:val="hu-HU"/>
        </w:rPr>
      </w:pPr>
    </w:p>
    <w:p w:rsidR="00E711F0" w:rsidRDefault="004D44D3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Májkárosodás</w:t>
      </w:r>
    </w:p>
    <w:p w:rsidR="00E711F0" w:rsidRDefault="004D44D3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Mivel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elsősorban az epén keresztül </w:t>
      </w:r>
      <w:proofErr w:type="spellStart"/>
      <w:proofErr w:type="gramStart"/>
      <w:r>
        <w:rPr>
          <w:szCs w:val="22"/>
          <w:lang w:val="hu-HU"/>
        </w:rPr>
        <w:t>eliminálódik</w:t>
      </w:r>
      <w:proofErr w:type="spellEnd"/>
      <w:proofErr w:type="gramEnd"/>
      <w:r>
        <w:rPr>
          <w:szCs w:val="22"/>
          <w:lang w:val="hu-HU"/>
        </w:rPr>
        <w:t xml:space="preserve">,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 nem adható </w:t>
      </w:r>
      <w:proofErr w:type="spellStart"/>
      <w:r>
        <w:rPr>
          <w:szCs w:val="22"/>
          <w:lang w:val="hu-HU"/>
        </w:rPr>
        <w:t>cholestasisban</w:t>
      </w:r>
      <w:proofErr w:type="spellEnd"/>
      <w:r>
        <w:rPr>
          <w:szCs w:val="22"/>
          <w:lang w:val="hu-HU"/>
        </w:rPr>
        <w:t xml:space="preserve">, epeúti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rendellenességben vagy súlyos májkárosodásban szenvedő betegeknek (lásd 4.3 pont). Ezeknél a betegeknél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hepaticus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-ének csökkenése várható.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kombinációt csak elővigyázatossággal szabad adni enyhe, illetve közepes fokú májkárosodás esetén.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Hepaticus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encephalopathia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Májkárosodás esetén a </w:t>
      </w:r>
      <w:proofErr w:type="spellStart"/>
      <w:r>
        <w:rPr>
          <w:lang w:val="hu-HU"/>
        </w:rPr>
        <w:t>tiaziddal</w:t>
      </w:r>
      <w:proofErr w:type="spellEnd"/>
      <w:r>
        <w:rPr>
          <w:lang w:val="hu-HU"/>
        </w:rPr>
        <w:t xml:space="preserve">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– különösen elektrolitegyensúly-zavar esetén –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encephalopathiát</w:t>
      </w:r>
      <w:proofErr w:type="spellEnd"/>
      <w:r>
        <w:rPr>
          <w:lang w:val="hu-HU"/>
        </w:rPr>
        <w:t xml:space="preserve"> okozhatnak, amely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comáig</w:t>
      </w:r>
      <w:proofErr w:type="spellEnd"/>
      <w:r>
        <w:rPr>
          <w:lang w:val="hu-HU"/>
        </w:rPr>
        <w:t xml:space="preserve"> súlyosbodhat. Ha ez a hatás jelentkezik,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adását azonnal abba kell hagyni.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uppressAutoHyphens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Renovascularis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hypertensio</w:t>
      </w:r>
      <w:proofErr w:type="spellEnd"/>
    </w:p>
    <w:p w:rsidR="00E711F0" w:rsidRDefault="004D44D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Fokozódik a súlyos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 és a veseelégtelenség kockázata kétoldali </w:t>
      </w:r>
      <w:proofErr w:type="spellStart"/>
      <w:r>
        <w:rPr>
          <w:szCs w:val="22"/>
          <w:lang w:val="hu-HU"/>
        </w:rPr>
        <w:t>arteria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renalis-stenosis</w:t>
      </w:r>
      <w:proofErr w:type="spellEnd"/>
      <w:r>
        <w:rPr>
          <w:szCs w:val="22"/>
          <w:lang w:val="hu-HU"/>
        </w:rPr>
        <w:t xml:space="preserve">, vagy az egyetlen működő vese </w:t>
      </w:r>
      <w:proofErr w:type="spellStart"/>
      <w:r>
        <w:rPr>
          <w:szCs w:val="22"/>
          <w:lang w:val="hu-HU"/>
        </w:rPr>
        <w:t>arteriostenosisa</w:t>
      </w:r>
      <w:proofErr w:type="spellEnd"/>
      <w:r>
        <w:rPr>
          <w:szCs w:val="22"/>
          <w:lang w:val="hu-HU"/>
        </w:rPr>
        <w:t xml:space="preserve"> esetén, ha az ilyen betegeket a </w:t>
      </w:r>
      <w:proofErr w:type="spellStart"/>
      <w:r>
        <w:rPr>
          <w:szCs w:val="22"/>
          <w:lang w:val="hu-HU"/>
        </w:rPr>
        <w:t>renin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rendszerre ható gyógyszerekkel kezelik.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Intravascularis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hypovolaemia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Symptomaticus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léphet fel – különösen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első </w:t>
      </w:r>
      <w:proofErr w:type="gramStart"/>
      <w:r>
        <w:rPr>
          <w:lang w:val="hu-HU"/>
        </w:rPr>
        <w:t>dózisa</w:t>
      </w:r>
      <w:proofErr w:type="gramEnd"/>
      <w:r>
        <w:rPr>
          <w:lang w:val="hu-HU"/>
        </w:rPr>
        <w:t xml:space="preserve"> után – azon betegeknél, akiknél volumen- és/vagy nátriumhiány alakult ki nagy dózisú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kezelés, sószegény diéta, illetve hasmenés vagy hányás következtében.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adagolásának elkezdése előtt ezeket az állapotokat normalizálni kell.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adása előtt </w:t>
      </w:r>
      <w:proofErr w:type="gramStart"/>
      <w:r>
        <w:rPr>
          <w:lang w:val="hu-HU"/>
        </w:rPr>
        <w:t>korrigálni</w:t>
      </w:r>
      <w:proofErr w:type="gramEnd"/>
      <w:r>
        <w:rPr>
          <w:lang w:val="hu-HU"/>
        </w:rPr>
        <w:t xml:space="preserve"> kell a volumen- és/vagy nátriumhiányt.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 és vesetranszplantáció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Vesekárosodás esetén történő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-kezelésnél a betegek szérumkálium- és szérumkreatinin-szintjének rendszeres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 xml:space="preserve"> ajánlott. Nincs tapasztalat azon betegek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>-kezelésével kapcsolatban, akiknél a közelmúltban vesetranszplantációt végeztek.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Vesefunkció és </w:t>
      </w:r>
      <w:proofErr w:type="spellStart"/>
      <w:r>
        <w:rPr>
          <w:u w:val="single"/>
          <w:lang w:val="hu-HU"/>
        </w:rPr>
        <w:t>diuretikumok</w:t>
      </w:r>
      <w:proofErr w:type="spellEnd"/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tiazid</w:t>
      </w:r>
      <w:proofErr w:type="spellEnd"/>
      <w:r>
        <w:rPr>
          <w:szCs w:val="22"/>
          <w:lang w:val="hu-HU"/>
        </w:rPr>
        <w:t xml:space="preserve"> és rokon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csak akkor fejtik ki teljes hatásukat, ha a vesefunkció </w:t>
      </w:r>
      <w:proofErr w:type="gramStart"/>
      <w:r>
        <w:rPr>
          <w:szCs w:val="22"/>
          <w:lang w:val="hu-HU"/>
        </w:rPr>
        <w:t>normális</w:t>
      </w:r>
      <w:proofErr w:type="gramEnd"/>
      <w:r>
        <w:rPr>
          <w:szCs w:val="22"/>
          <w:lang w:val="hu-HU"/>
        </w:rPr>
        <w:t xml:space="preserve">, vagy a vesekárosodás csak minimális mértékű (ha a plazma </w:t>
      </w:r>
      <w:proofErr w:type="spellStart"/>
      <w:r>
        <w:rPr>
          <w:szCs w:val="22"/>
          <w:lang w:val="hu-HU"/>
        </w:rPr>
        <w:t>kreatininszintjének</w:t>
      </w:r>
      <w:proofErr w:type="spellEnd"/>
      <w:r>
        <w:rPr>
          <w:szCs w:val="22"/>
          <w:lang w:val="hu-HU"/>
        </w:rPr>
        <w:t xml:space="preserve"> értéke felnőttnél &lt;25 mg/l, azaz &lt;220 </w:t>
      </w:r>
      <w:proofErr w:type="spellStart"/>
      <w:r>
        <w:rPr>
          <w:rFonts w:eastAsia="Calibri"/>
          <w:noProof/>
          <w:szCs w:val="22"/>
          <w:lang w:val="hu-HU" w:eastAsia="en-US"/>
        </w:rPr>
        <w:t>mikromol</w:t>
      </w:r>
      <w:proofErr w:type="spellEnd"/>
      <w:r>
        <w:rPr>
          <w:szCs w:val="22"/>
          <w:lang w:val="hu-HU"/>
        </w:rPr>
        <w:t xml:space="preserve">/l). Idősek esetében a plazma </w:t>
      </w:r>
      <w:proofErr w:type="spellStart"/>
      <w:r>
        <w:rPr>
          <w:szCs w:val="22"/>
          <w:lang w:val="hu-HU"/>
        </w:rPr>
        <w:t>kreatininszintjét</w:t>
      </w:r>
      <w:proofErr w:type="spellEnd"/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korrigálni</w:t>
      </w:r>
      <w:proofErr w:type="gramEnd"/>
      <w:r>
        <w:rPr>
          <w:szCs w:val="22"/>
          <w:lang w:val="hu-HU"/>
        </w:rPr>
        <w:t xml:space="preserve"> kell az életkortól, a testtömegtől és a nemtől függően.</w:t>
      </w:r>
    </w:p>
    <w:p w:rsidR="00E711F0" w:rsidRDefault="004D44D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diuretikus</w:t>
      </w:r>
      <w:proofErr w:type="spellEnd"/>
      <w:r>
        <w:rPr>
          <w:szCs w:val="22"/>
          <w:lang w:val="hu-HU"/>
        </w:rPr>
        <w:t xml:space="preserve"> kezelés elkezdésekor a szer hatására, a nátrium- és vízvesztés következtében másodlagosan kialakuló </w:t>
      </w:r>
      <w:proofErr w:type="spellStart"/>
      <w:r>
        <w:rPr>
          <w:szCs w:val="22"/>
          <w:lang w:val="hu-HU"/>
        </w:rPr>
        <w:t>hypovolaemia</w:t>
      </w:r>
      <w:proofErr w:type="spellEnd"/>
      <w:r>
        <w:rPr>
          <w:szCs w:val="22"/>
          <w:lang w:val="hu-HU"/>
        </w:rPr>
        <w:t xml:space="preserve"> csökkent </w:t>
      </w:r>
      <w:proofErr w:type="spellStart"/>
      <w:r>
        <w:rPr>
          <w:szCs w:val="22"/>
          <w:lang w:val="hu-HU"/>
        </w:rPr>
        <w:t>glomerulusfiltrációt</w:t>
      </w:r>
      <w:proofErr w:type="spellEnd"/>
      <w:r>
        <w:rPr>
          <w:szCs w:val="22"/>
          <w:lang w:val="hu-HU"/>
        </w:rPr>
        <w:t xml:space="preserve"> okoz. Emiatt megemelkedhet a vérben a karbamidszint és a plazma </w:t>
      </w:r>
      <w:proofErr w:type="spellStart"/>
      <w:r>
        <w:rPr>
          <w:szCs w:val="22"/>
          <w:lang w:val="hu-HU"/>
        </w:rPr>
        <w:t>kreatininszintje</w:t>
      </w:r>
      <w:proofErr w:type="spellEnd"/>
      <w:r>
        <w:rPr>
          <w:szCs w:val="22"/>
          <w:lang w:val="hu-HU"/>
        </w:rPr>
        <w:t xml:space="preserve">. Ez az átmeneti </w:t>
      </w:r>
      <w:proofErr w:type="gramStart"/>
      <w:r>
        <w:rPr>
          <w:szCs w:val="22"/>
          <w:lang w:val="hu-HU"/>
        </w:rPr>
        <w:t>funkcionális</w:t>
      </w:r>
      <w:proofErr w:type="gramEnd"/>
      <w:r>
        <w:rPr>
          <w:szCs w:val="22"/>
          <w:lang w:val="hu-HU"/>
        </w:rPr>
        <w:t xml:space="preserve"> veseelégtelenség nem jár következményekkel normál veseműködésű egyének esetén, azonban a korábban fennálló vesekárosodást súlyosbíthatja.</w:t>
      </w:r>
    </w:p>
    <w:p w:rsidR="00E711F0" w:rsidRDefault="00E711F0">
      <w:pPr>
        <w:spacing w:line="240" w:lineRule="auto"/>
        <w:rPr>
          <w:szCs w:val="22"/>
          <w:lang w:val="hu-HU"/>
        </w:rPr>
      </w:pPr>
    </w:p>
    <w:p w:rsidR="00E711F0" w:rsidRDefault="004D44D3">
      <w:pPr>
        <w:spacing w:line="240" w:lineRule="auto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Intestinalis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angiooedema</w:t>
      </w:r>
      <w:proofErr w:type="spellEnd"/>
    </w:p>
    <w:p w:rsidR="00E711F0" w:rsidRDefault="004D44D3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Intestinalis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angiooedemáról</w:t>
      </w:r>
      <w:proofErr w:type="spellEnd"/>
      <w:r>
        <w:rPr>
          <w:szCs w:val="22"/>
          <w:lang w:val="hu-HU"/>
        </w:rPr>
        <w:t xml:space="preserve"> számoltak be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 II-receptor-blokkolóval kezelt betegeknél (lásd 4.8 pont). Ezeknél a betegeknél </w:t>
      </w:r>
      <w:proofErr w:type="spellStart"/>
      <w:r>
        <w:rPr>
          <w:szCs w:val="22"/>
          <w:lang w:val="hu-HU"/>
        </w:rPr>
        <w:t>abdominalis</w:t>
      </w:r>
      <w:proofErr w:type="spellEnd"/>
      <w:r>
        <w:rPr>
          <w:szCs w:val="22"/>
          <w:lang w:val="hu-HU"/>
        </w:rPr>
        <w:t xml:space="preserve"> fájdalom, hányinger, hányás és hasmenés jelentkezett. A tünetek 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 II-receptor-blokkolóval végzett kezelés leállítása után megszűntek. Amennyiben </w:t>
      </w:r>
      <w:proofErr w:type="spellStart"/>
      <w:r>
        <w:rPr>
          <w:szCs w:val="22"/>
          <w:lang w:val="hu-HU"/>
        </w:rPr>
        <w:t>intestinalis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angiooedemát</w:t>
      </w:r>
      <w:proofErr w:type="spellEnd"/>
      <w:r>
        <w:rPr>
          <w:szCs w:val="22"/>
          <w:lang w:val="hu-HU"/>
        </w:rPr>
        <w:t xml:space="preserve"> diagnosztizálnak,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-kezelést le kell állítani, és a beteget megfelelően </w:t>
      </w:r>
      <w:proofErr w:type="spellStart"/>
      <w:r>
        <w:rPr>
          <w:szCs w:val="22"/>
          <w:lang w:val="hu-HU"/>
        </w:rPr>
        <w:t>monitorozni</w:t>
      </w:r>
      <w:proofErr w:type="spellEnd"/>
      <w:r>
        <w:rPr>
          <w:szCs w:val="22"/>
          <w:lang w:val="hu-HU"/>
        </w:rPr>
        <w:t xml:space="preserve"> kell mindaddig, amíg a tünetek teljes mértékben meg nem szűnnek.</w:t>
      </w:r>
    </w:p>
    <w:p w:rsidR="00E711F0" w:rsidRDefault="00E711F0">
      <w:pPr>
        <w:spacing w:line="240" w:lineRule="auto"/>
        <w:rPr>
          <w:b/>
          <w:bCs/>
          <w:szCs w:val="22"/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szCs w:val="22"/>
          <w:u w:val="single"/>
          <w:lang w:val="hu-HU"/>
        </w:rPr>
        <w:t xml:space="preserve">A </w:t>
      </w:r>
      <w:proofErr w:type="spellStart"/>
      <w:r>
        <w:rPr>
          <w:szCs w:val="22"/>
          <w:u w:val="single"/>
          <w:lang w:val="hu-HU"/>
        </w:rPr>
        <w:t>renin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szCs w:val="22"/>
          <w:u w:val="single"/>
          <w:lang w:val="hu-HU"/>
        </w:rPr>
        <w:t>angiotenzin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szCs w:val="22"/>
          <w:u w:val="single"/>
          <w:lang w:val="hu-HU"/>
        </w:rPr>
        <w:t>aldoszteron</w:t>
      </w:r>
      <w:proofErr w:type="spellEnd"/>
      <w:r>
        <w:rPr>
          <w:szCs w:val="22"/>
          <w:u w:val="single"/>
          <w:lang w:val="hu-HU"/>
        </w:rPr>
        <w:t xml:space="preserve"> rendszer (RAAS) kettős </w:t>
      </w:r>
      <w:proofErr w:type="gramStart"/>
      <w:r>
        <w:rPr>
          <w:szCs w:val="22"/>
          <w:u w:val="single"/>
          <w:lang w:val="hu-HU"/>
        </w:rPr>
        <w:t>blokádja</w:t>
      </w:r>
      <w:proofErr w:type="gramEnd"/>
    </w:p>
    <w:p w:rsidR="00E711F0" w:rsidRDefault="004D44D3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Bizonyíték van rá, hogy az ACE-gátlók,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II-receptor-blokkolók vagy az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egyidejű alkalmazása fokozza a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hyperkalaemia</w:t>
      </w:r>
      <w:proofErr w:type="spellEnd"/>
      <w:r>
        <w:rPr>
          <w:szCs w:val="22"/>
          <w:lang w:val="hu-HU"/>
        </w:rPr>
        <w:t xml:space="preserve"> és csökkent veseműködés (beleértve az </w:t>
      </w:r>
      <w:proofErr w:type="gramStart"/>
      <w:r>
        <w:rPr>
          <w:szCs w:val="22"/>
          <w:lang w:val="hu-HU"/>
        </w:rPr>
        <w:t>akut</w:t>
      </w:r>
      <w:proofErr w:type="gramEnd"/>
      <w:r>
        <w:rPr>
          <w:szCs w:val="22"/>
          <w:lang w:val="hu-HU"/>
        </w:rPr>
        <w:t xml:space="preserve"> veseelégtelenség) kockázatát, ezért a RAAS – ACE-gátlók, ARB-k vagy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kombinált alkalmazásával történő – kettős blokádja nem javasolt (lásd 4.5 és 5.1 pont).</w:t>
      </w:r>
    </w:p>
    <w:p w:rsidR="00E711F0" w:rsidRDefault="004D44D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Ha a kettősblokád-kezelést </w:t>
      </w:r>
      <w:proofErr w:type="gramStart"/>
      <w:r>
        <w:rPr>
          <w:szCs w:val="22"/>
          <w:lang w:val="hu-HU"/>
        </w:rPr>
        <w:t>abszolút</w:t>
      </w:r>
      <w:proofErr w:type="gramEnd"/>
      <w:r>
        <w:rPr>
          <w:szCs w:val="22"/>
          <w:lang w:val="hu-HU"/>
        </w:rPr>
        <w:t xml:space="preserve"> szükségesnek ítélik, ez csak szakorvos felügyeletével, a vesefunkció, az elektrolitszintek és a vérnyomás gyakori és szoros ellenőrzése mellett történhet.</w:t>
      </w:r>
    </w:p>
    <w:p w:rsidR="00E711F0" w:rsidRDefault="004D44D3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ACE-gátlók és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II-receptor-blokkolók nem alkalmazhatók egyidejűleg diabeteses </w:t>
      </w:r>
      <w:proofErr w:type="spellStart"/>
      <w:r>
        <w:rPr>
          <w:szCs w:val="22"/>
          <w:lang w:val="hu-HU"/>
        </w:rPr>
        <w:t>nephropathiában</w:t>
      </w:r>
      <w:proofErr w:type="spellEnd"/>
      <w:r>
        <w:rPr>
          <w:szCs w:val="22"/>
          <w:lang w:val="hu-HU"/>
        </w:rPr>
        <w:t xml:space="preserve"> szenvedő betegeknél.</w:t>
      </w:r>
    </w:p>
    <w:p w:rsidR="00E711F0" w:rsidRDefault="00E711F0">
      <w:pPr>
        <w:spacing w:line="240" w:lineRule="auto"/>
        <w:rPr>
          <w:szCs w:val="22"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Egyéb, a </w:t>
      </w:r>
      <w:proofErr w:type="spellStart"/>
      <w:r>
        <w:rPr>
          <w:u w:val="single"/>
          <w:lang w:val="hu-HU"/>
        </w:rPr>
        <w:t>renin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angiotenzin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aldoszteron</w:t>
      </w:r>
      <w:proofErr w:type="spellEnd"/>
      <w:r>
        <w:rPr>
          <w:u w:val="single"/>
          <w:lang w:val="hu-HU"/>
        </w:rPr>
        <w:t xml:space="preserve"> rendszer stimulációjával járó állapotok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A RAAS-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ható gyógyszeres kezeléssel (például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-kezelés)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hyperazotaemiát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oliguriát</w:t>
      </w:r>
      <w:proofErr w:type="spellEnd"/>
      <w:r>
        <w:rPr>
          <w:lang w:val="hu-HU"/>
        </w:rPr>
        <w:t xml:space="preserve">, vagy ritkán akut veseelégtelenséget hoztak összefüggésbe azoknál a betegeknél, akiknek a </w:t>
      </w:r>
      <w:proofErr w:type="spellStart"/>
      <w:r>
        <w:rPr>
          <w:lang w:val="hu-HU"/>
        </w:rPr>
        <w:t>vascularis</w:t>
      </w:r>
      <w:proofErr w:type="spellEnd"/>
      <w:r>
        <w:rPr>
          <w:lang w:val="hu-HU"/>
        </w:rPr>
        <w:t xml:space="preserve"> tónusa és vesefunkciója elsősorban a </w:t>
      </w:r>
      <w:proofErr w:type="spellStart"/>
      <w:r>
        <w:rPr>
          <w:lang w:val="hu-HU"/>
        </w:rPr>
        <w:t>renin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 aktivitásától függ – például súlyos </w:t>
      </w:r>
      <w:proofErr w:type="spellStart"/>
      <w:r>
        <w:rPr>
          <w:lang w:val="hu-HU"/>
        </w:rPr>
        <w:t>pangásos</w:t>
      </w:r>
      <w:proofErr w:type="spellEnd"/>
      <w:r>
        <w:rPr>
          <w:lang w:val="hu-HU"/>
        </w:rPr>
        <w:t xml:space="preserve"> szívelégtelenség vagy fennálló vesebetegség esetén, ideértve az </w:t>
      </w:r>
      <w:proofErr w:type="spellStart"/>
      <w:r>
        <w:rPr>
          <w:lang w:val="hu-HU"/>
        </w:rPr>
        <w:t>arteria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stenosisát</w:t>
      </w:r>
      <w:proofErr w:type="spellEnd"/>
      <w:r>
        <w:rPr>
          <w:lang w:val="hu-HU"/>
        </w:rPr>
        <w:t xml:space="preserve"> is (lásd 4.8 pont).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gramStart"/>
      <w:r>
        <w:rPr>
          <w:u w:val="single"/>
          <w:lang w:val="hu-HU"/>
        </w:rPr>
        <w:t>Primer</w:t>
      </w:r>
      <w:proofErr w:type="gram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aldosteronismus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Primer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aldosteronismusban</w:t>
      </w:r>
      <w:proofErr w:type="spellEnd"/>
      <w:r>
        <w:rPr>
          <w:lang w:val="hu-HU"/>
        </w:rPr>
        <w:t xml:space="preserve"> szenvedő betegek általában nem reagálnak a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rendszer gátlása útján ható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gyógyszerekre, ezért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alkalmazása nem javasolt.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Aortastenosis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mitralis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stenosis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hypertrophiás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obstruktív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cardiomyopathia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Más </w:t>
      </w:r>
      <w:proofErr w:type="spellStart"/>
      <w:r>
        <w:rPr>
          <w:lang w:val="hu-HU"/>
        </w:rPr>
        <w:t>vasodilatatorokhoz</w:t>
      </w:r>
      <w:proofErr w:type="spellEnd"/>
      <w:r>
        <w:rPr>
          <w:lang w:val="hu-HU"/>
        </w:rPr>
        <w:t xml:space="preserve"> hasonlóan fokozott óvatosság ajánlott aorta- vagy </w:t>
      </w:r>
      <w:proofErr w:type="spellStart"/>
      <w:r>
        <w:rPr>
          <w:lang w:val="hu-HU"/>
        </w:rPr>
        <w:t>mitralis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hypertrophiás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obstruktív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cardiomyopathia</w:t>
      </w:r>
      <w:proofErr w:type="spellEnd"/>
      <w:r>
        <w:rPr>
          <w:lang w:val="hu-HU"/>
        </w:rPr>
        <w:t xml:space="preserve"> esetén.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Inzulinnal vagy </w:t>
      </w:r>
      <w:proofErr w:type="spellStart"/>
      <w:r>
        <w:rPr>
          <w:u w:val="single"/>
          <w:lang w:val="hu-HU"/>
        </w:rPr>
        <w:t>antidiabetikumokkal</w:t>
      </w:r>
      <w:proofErr w:type="spellEnd"/>
      <w:r>
        <w:rPr>
          <w:u w:val="single"/>
          <w:lang w:val="hu-HU"/>
        </w:rPr>
        <w:t xml:space="preserve"> kezelt cukorbetegek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Ezeknél a betegeknél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 alatt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léphet fel, ezért megfontolandó a vércukorszint megfelelő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 xml:space="preserve">; indokolt esetben pedig az inzulin vagy az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dózisának</w:t>
      </w:r>
      <w:proofErr w:type="gramEnd"/>
      <w:r>
        <w:rPr>
          <w:lang w:val="hu-HU"/>
        </w:rPr>
        <w:t xml:space="preserve"> módosítása válhat szükségessé.</w:t>
      </w:r>
    </w:p>
    <w:p w:rsidR="00E711F0" w:rsidRDefault="00E711F0">
      <w:pPr>
        <w:spacing w:line="240" w:lineRule="auto"/>
        <w:rPr>
          <w:u w:val="single"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Fényérzékenység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adása során fényérzékenységi reakciókról számoltak be (lásd 4.8 pont). Ha a kezelés alatt fényérzékenységi reakció jelentkezik, a kezelés leállítása javasolt. Ha szükségesnek ítélik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újbóli adását, a napfénynek vagy a mesterséges UVA-sugaraknak kitett területek védelme javasolt.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Folyadék- és elektrolit-háztartás egyensúlya</w:t>
      </w:r>
    </w:p>
    <w:p w:rsidR="00E711F0" w:rsidRDefault="004D44D3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nátrium plazmaszintje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kezelés megkezdése előtt, majd az alkalmazás ideje alatt rendszeresen ellenőrizni kell a plazma nátriumszintjét. A plazma nátriumszintjének esése kezdetben nem feltétlenül okoz tüneteket, ezért rendszeres ellenőrzése elengedhetetlen. Időseknél, illetve májcirrózisban szenvedő betegeknél ezt a szokásosnál sűrűbben kell ellenőrizni (lásd 4.8 és 4.9 pont). Bármilyen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okozhat </w:t>
      </w:r>
      <w:proofErr w:type="spellStart"/>
      <w:r>
        <w:rPr>
          <w:lang w:val="hu-HU"/>
        </w:rPr>
        <w:t>hyponatraemiát</w:t>
      </w:r>
      <w:proofErr w:type="spellEnd"/>
      <w:r>
        <w:rPr>
          <w:lang w:val="hu-HU"/>
        </w:rPr>
        <w:t xml:space="preserve">, amely néha nagyon súlyos következményekkel jár. A </w:t>
      </w:r>
      <w:proofErr w:type="spellStart"/>
      <w:r>
        <w:rPr>
          <w:lang w:val="hu-HU"/>
        </w:rPr>
        <w:t>hypovolaemiával</w:t>
      </w:r>
      <w:proofErr w:type="spellEnd"/>
      <w:r>
        <w:rPr>
          <w:lang w:val="hu-HU"/>
        </w:rPr>
        <w:t xml:space="preserve"> járó </w:t>
      </w:r>
      <w:proofErr w:type="spellStart"/>
      <w:r>
        <w:rPr>
          <w:lang w:val="hu-HU"/>
        </w:rPr>
        <w:t>hyponatraemia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dehidrációt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orthostaticus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is kiválthat. Az egyidejű kloridionvesztés másodlagos, </w:t>
      </w:r>
      <w:proofErr w:type="spellStart"/>
      <w:r>
        <w:rPr>
          <w:lang w:val="hu-HU"/>
        </w:rPr>
        <w:t>kompenzatorikus</w:t>
      </w:r>
      <w:proofErr w:type="spellEnd"/>
      <w:r>
        <w:rPr>
          <w:lang w:val="hu-HU"/>
        </w:rPr>
        <w:t xml:space="preserve"> metabolikus </w:t>
      </w:r>
      <w:proofErr w:type="spellStart"/>
      <w:r>
        <w:rPr>
          <w:lang w:val="hu-HU"/>
        </w:rPr>
        <w:t>alkalosist</w:t>
      </w:r>
      <w:proofErr w:type="spellEnd"/>
      <w:r>
        <w:rPr>
          <w:lang w:val="hu-HU"/>
        </w:rPr>
        <w:t xml:space="preserve"> okozhat: ennek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és foka csekély.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A kálium plazmaszintje</w:t>
      </w: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Hyperkalaemia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rendszerre ható gyógyszerek alkalmazása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okozhat.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Időseknél, veseelégtelenségben szenvedő betegeknél, cukorbetegeknél, egyidejűleg más, a szérumkáliumszintet </w:t>
      </w:r>
      <w:proofErr w:type="gramStart"/>
      <w:r>
        <w:rPr>
          <w:lang w:val="hu-HU"/>
        </w:rPr>
        <w:t>potenciálisan</w:t>
      </w:r>
      <w:proofErr w:type="gramEnd"/>
      <w:r>
        <w:rPr>
          <w:lang w:val="hu-HU"/>
        </w:rPr>
        <w:t xml:space="preserve"> emelő gyógyszert szedő betegeknél és/vagy </w:t>
      </w:r>
      <w:proofErr w:type="spellStart"/>
      <w:r>
        <w:rPr>
          <w:lang w:val="hu-HU"/>
        </w:rPr>
        <w:t>interkurrens</w:t>
      </w:r>
      <w:proofErr w:type="spellEnd"/>
      <w:r>
        <w:rPr>
          <w:lang w:val="hu-HU"/>
        </w:rPr>
        <w:t xml:space="preserve"> esemény esetén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halálos is lehet.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Mielőtt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rendszert befolyásoló gyógyszer egyidejű alkalmazása szóba jönne, az előny/kockázat arány becslése szükséges.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vonatkozásában az alábbi főbb rizikó</w:t>
      </w:r>
      <w:proofErr w:type="gramStart"/>
      <w:r>
        <w:rPr>
          <w:lang w:val="hu-HU"/>
        </w:rPr>
        <w:t>faktorok</w:t>
      </w:r>
      <w:proofErr w:type="gramEnd"/>
      <w:r>
        <w:rPr>
          <w:lang w:val="hu-HU"/>
        </w:rPr>
        <w:t xml:space="preserve"> mérlegelendők: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Cukorbetegség, vesekárosodás, életkor (</w:t>
      </w:r>
      <w:proofErr w:type="gramStart"/>
      <w:r>
        <w:rPr>
          <w:szCs w:val="22"/>
          <w:lang w:val="hu-HU"/>
        </w:rPr>
        <w:t>&gt;70</w:t>
      </w:r>
      <w:proofErr w:type="gramEnd"/>
      <w:r>
        <w:rPr>
          <w:szCs w:val="22"/>
          <w:lang w:val="hu-HU"/>
        </w:rPr>
        <w:t xml:space="preserve"> év).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 vagy több, a </w:t>
      </w:r>
      <w:proofErr w:type="spellStart"/>
      <w:r>
        <w:rPr>
          <w:szCs w:val="22"/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rendszert befolyásoló és/vagy káliumpótló gyógyszer egyidejű alkalmazása. A következő gyógyszerek, illetve gyógyszercsoportok idézhetnek elő </w:t>
      </w:r>
      <w:proofErr w:type="spellStart"/>
      <w:r>
        <w:rPr>
          <w:szCs w:val="22"/>
          <w:lang w:val="hu-HU"/>
        </w:rPr>
        <w:t>hyperkalaemiát</w:t>
      </w:r>
      <w:proofErr w:type="spellEnd"/>
      <w:r>
        <w:rPr>
          <w:szCs w:val="22"/>
          <w:lang w:val="hu-HU"/>
        </w:rPr>
        <w:t xml:space="preserve">: </w:t>
      </w:r>
      <w:proofErr w:type="spellStart"/>
      <w:r>
        <w:rPr>
          <w:szCs w:val="22"/>
          <w:lang w:val="hu-HU"/>
        </w:rPr>
        <w:t>káliumtartalmú</w:t>
      </w:r>
      <w:proofErr w:type="spellEnd"/>
      <w:r>
        <w:rPr>
          <w:szCs w:val="22"/>
          <w:lang w:val="hu-HU"/>
        </w:rPr>
        <w:t xml:space="preserve"> sópótló készítmények, káliummegtakarító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, ACE-gátlók,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, nem-szteroid gyulladáscsökkentő gyógyszerek (NSAID-ok, beleértve a szelektív COX-2-gátlókat),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immunszuppresszív</w:t>
      </w:r>
      <w:proofErr w:type="spellEnd"/>
      <w:r>
        <w:rPr>
          <w:szCs w:val="22"/>
          <w:lang w:val="hu-HU"/>
        </w:rPr>
        <w:t xml:space="preserve"> szerek (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takrolimusz</w:t>
      </w:r>
      <w:proofErr w:type="spellEnd"/>
      <w:r>
        <w:rPr>
          <w:szCs w:val="22"/>
          <w:lang w:val="hu-HU"/>
        </w:rPr>
        <w:t xml:space="preserve">), valamint a </w:t>
      </w:r>
      <w:proofErr w:type="spellStart"/>
      <w:r>
        <w:rPr>
          <w:szCs w:val="22"/>
          <w:lang w:val="hu-HU"/>
        </w:rPr>
        <w:t>trimetoprim</w:t>
      </w:r>
      <w:proofErr w:type="spellEnd"/>
      <w:r>
        <w:rPr>
          <w:szCs w:val="22"/>
          <w:lang w:val="hu-HU"/>
        </w:rPr>
        <w:t>.</w:t>
      </w:r>
    </w:p>
    <w:p w:rsidR="00E711F0" w:rsidRDefault="004D44D3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lastRenderedPageBreak/>
        <w:t>Interkurrens</w:t>
      </w:r>
      <w:proofErr w:type="spellEnd"/>
      <w:r>
        <w:rPr>
          <w:szCs w:val="22"/>
          <w:lang w:val="hu-HU"/>
        </w:rPr>
        <w:t xml:space="preserve"> események, különösképpen </w:t>
      </w:r>
      <w:proofErr w:type="spellStart"/>
      <w:r>
        <w:rPr>
          <w:szCs w:val="22"/>
          <w:lang w:val="hu-HU"/>
        </w:rPr>
        <w:t>dehidráció</w:t>
      </w:r>
      <w:proofErr w:type="spellEnd"/>
      <w:r>
        <w:rPr>
          <w:szCs w:val="22"/>
          <w:lang w:val="hu-HU"/>
        </w:rPr>
        <w:t xml:space="preserve">, </w:t>
      </w:r>
      <w:proofErr w:type="gramStart"/>
      <w:r>
        <w:rPr>
          <w:szCs w:val="22"/>
          <w:lang w:val="hu-HU"/>
        </w:rPr>
        <w:t>akut</w:t>
      </w:r>
      <w:proofErr w:type="gram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kardiális</w:t>
      </w:r>
      <w:proofErr w:type="spellEnd"/>
      <w:r>
        <w:rPr>
          <w:szCs w:val="22"/>
          <w:lang w:val="hu-HU"/>
        </w:rPr>
        <w:t xml:space="preserve"> dekompenzáció, metabolikus acidózis, vesefunkció-romlás, a vese állapotának hirtelen romlása (például fertőző betegség miatt), </w:t>
      </w:r>
      <w:proofErr w:type="spellStart"/>
      <w:r>
        <w:rPr>
          <w:szCs w:val="22"/>
          <w:lang w:val="hu-HU"/>
        </w:rPr>
        <w:t>sejtlízis</w:t>
      </w:r>
      <w:proofErr w:type="spellEnd"/>
      <w:r>
        <w:rPr>
          <w:szCs w:val="22"/>
          <w:lang w:val="hu-HU"/>
        </w:rPr>
        <w:t xml:space="preserve"> (például akut végtagi </w:t>
      </w:r>
      <w:proofErr w:type="spellStart"/>
      <w:r>
        <w:rPr>
          <w:szCs w:val="22"/>
          <w:lang w:val="hu-HU"/>
        </w:rPr>
        <w:t>ischaemia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rhabdomyolisis</w:t>
      </w:r>
      <w:proofErr w:type="spellEnd"/>
      <w:r>
        <w:rPr>
          <w:szCs w:val="22"/>
          <w:lang w:val="hu-HU"/>
        </w:rPr>
        <w:t>, kiterjedt trauma).</w:t>
      </w:r>
    </w:p>
    <w:p w:rsidR="00E711F0" w:rsidRDefault="00E711F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:rsidR="00E711F0" w:rsidRDefault="004D44D3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kockázatnak kitett betegeknél a szérumkáliumszint szoros ellenőrzése javasolt (lásd 4.5 pont).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Hypokalaemia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hypokalaemiával</w:t>
      </w:r>
      <w:proofErr w:type="spellEnd"/>
      <w:r>
        <w:rPr>
          <w:lang w:val="hu-HU"/>
        </w:rPr>
        <w:t xml:space="preserve"> járó </w:t>
      </w:r>
      <w:proofErr w:type="spellStart"/>
      <w:r>
        <w:rPr>
          <w:lang w:val="hu-HU"/>
        </w:rPr>
        <w:t>káliumdepléció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alkalmazásának egyik fő kockázata.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izomműködési zavarokat okozhat. Több esetben </w:t>
      </w:r>
      <w:proofErr w:type="spellStart"/>
      <w:r>
        <w:rPr>
          <w:lang w:val="hu-HU"/>
        </w:rPr>
        <w:t>rhabdomyolysis</w:t>
      </w:r>
      <w:proofErr w:type="spellEnd"/>
      <w:r>
        <w:rPr>
          <w:lang w:val="hu-HU"/>
        </w:rPr>
        <w:t xml:space="preserve"> előfordulását jelentették, főleg súlyos </w:t>
      </w:r>
      <w:proofErr w:type="spellStart"/>
      <w:r>
        <w:rPr>
          <w:lang w:val="hu-HU"/>
        </w:rPr>
        <w:t>hypokalaemiával</w:t>
      </w:r>
      <w:proofErr w:type="spellEnd"/>
      <w:r>
        <w:rPr>
          <w:lang w:val="hu-HU"/>
        </w:rPr>
        <w:t xml:space="preserve"> összefüggésben.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(&lt;3,4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/l) kialakulásának kockázatát ki kell küszöbölni bizonyos nagy kockázatú betegcsoport esetében, így az időseknél, az </w:t>
      </w:r>
      <w:proofErr w:type="spellStart"/>
      <w:r>
        <w:rPr>
          <w:lang w:val="hu-HU"/>
        </w:rPr>
        <w:t>alultáplált</w:t>
      </w:r>
      <w:proofErr w:type="spellEnd"/>
      <w:r>
        <w:rPr>
          <w:lang w:val="hu-HU"/>
        </w:rPr>
        <w:t xml:space="preserve"> betegeknél és/vagy </w:t>
      </w:r>
      <w:proofErr w:type="spellStart"/>
      <w:r>
        <w:rPr>
          <w:lang w:val="hu-HU"/>
        </w:rPr>
        <w:t>polimedikáció</w:t>
      </w:r>
      <w:proofErr w:type="spellEnd"/>
      <w:r>
        <w:rPr>
          <w:lang w:val="hu-HU"/>
        </w:rPr>
        <w:t xml:space="preserve"> esetén, az </w:t>
      </w:r>
      <w:proofErr w:type="gramStart"/>
      <w:r>
        <w:rPr>
          <w:lang w:val="hu-HU"/>
        </w:rPr>
        <w:t>ödémás</w:t>
      </w:r>
      <w:proofErr w:type="gramEnd"/>
      <w:r>
        <w:rPr>
          <w:lang w:val="hu-HU"/>
        </w:rPr>
        <w:t xml:space="preserve"> és </w:t>
      </w:r>
      <w:proofErr w:type="spellStart"/>
      <w:r>
        <w:rPr>
          <w:lang w:val="hu-HU"/>
        </w:rPr>
        <w:t>asciteses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cirrózisos</w:t>
      </w:r>
      <w:proofErr w:type="spellEnd"/>
      <w:r>
        <w:rPr>
          <w:lang w:val="hu-HU"/>
        </w:rPr>
        <w:t xml:space="preserve"> betegeknél, a koszorúér-betegségben, illetve a szívelégtelenségben szenvedő betegeknél. Az utóbbi esetben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fokozza a </w:t>
      </w:r>
      <w:proofErr w:type="spellStart"/>
      <w:r>
        <w:rPr>
          <w:lang w:val="hu-HU"/>
        </w:rPr>
        <w:t>szívglikozidok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kardiotoxicitását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arrythmia</w:t>
      </w:r>
      <w:proofErr w:type="spellEnd"/>
      <w:r>
        <w:rPr>
          <w:lang w:val="hu-HU"/>
        </w:rPr>
        <w:t xml:space="preserve"> kockázatát.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Ugyancsak kockázatnak vannak kitéve az olyan egyének, akiknél hosszú a QT-szakasz, függetlenül a jelenség eredetétől (</w:t>
      </w:r>
      <w:proofErr w:type="spellStart"/>
      <w:r>
        <w:rPr>
          <w:lang w:val="hu-HU"/>
        </w:rPr>
        <w:t>congenitalis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iatrogén</w:t>
      </w:r>
      <w:proofErr w:type="spellEnd"/>
      <w:r>
        <w:rPr>
          <w:lang w:val="hu-HU"/>
        </w:rPr>
        <w:t xml:space="preserve">).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tehát, épp úgy, mint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prediszponáló</w:t>
      </w:r>
      <w:proofErr w:type="spellEnd"/>
      <w:r>
        <w:rPr>
          <w:lang w:val="hu-HU"/>
        </w:rPr>
        <w:t xml:space="preserve"> </w:t>
      </w:r>
      <w:proofErr w:type="spellStart"/>
      <w:proofErr w:type="gramStart"/>
      <w:r>
        <w:rPr>
          <w:lang w:val="hu-HU"/>
        </w:rPr>
        <w:t>faktora</w:t>
      </w:r>
      <w:proofErr w:type="spellEnd"/>
      <w:proofErr w:type="gramEnd"/>
      <w:r>
        <w:rPr>
          <w:lang w:val="hu-HU"/>
        </w:rPr>
        <w:t xml:space="preserve"> a súlyos ritmuszavarok, különösen a – potenciálisan halálos kimenetelű – </w:t>
      </w:r>
      <w:proofErr w:type="spellStart"/>
      <w:r>
        <w:rPr>
          <w:i/>
          <w:iCs/>
          <w:lang w:val="hu-HU"/>
        </w:rPr>
        <w:t>torsades</w:t>
      </w:r>
      <w:proofErr w:type="spellEnd"/>
      <w:r>
        <w:rPr>
          <w:i/>
          <w:iCs/>
          <w:lang w:val="hu-HU"/>
        </w:rPr>
        <w:t xml:space="preserve"> de </w:t>
      </w:r>
      <w:proofErr w:type="spellStart"/>
      <w:r>
        <w:rPr>
          <w:i/>
          <w:iCs/>
          <w:lang w:val="hu-HU"/>
        </w:rPr>
        <w:t>pointes</w:t>
      </w:r>
      <w:proofErr w:type="spellEnd"/>
      <w:r>
        <w:rPr>
          <w:lang w:val="hu-HU"/>
        </w:rPr>
        <w:t xml:space="preserve"> kialakulásának.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Minden fentebb szereplő esetben gyakrabban kell ellenőrizni a plazma káliumszintjét. A kezelés megkezdése utáni első héten el kell végezni a plazmakáliumszint első mérését.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hypokalaemiát</w:t>
      </w:r>
      <w:proofErr w:type="spellEnd"/>
      <w:r>
        <w:rPr>
          <w:lang w:val="hu-HU"/>
        </w:rPr>
        <w:t xml:space="preserve"> az észlelésekor </w:t>
      </w:r>
      <w:proofErr w:type="gramStart"/>
      <w:r>
        <w:rPr>
          <w:lang w:val="hu-HU"/>
        </w:rPr>
        <w:t>korrigálni</w:t>
      </w:r>
      <w:proofErr w:type="gramEnd"/>
      <w:r>
        <w:rPr>
          <w:lang w:val="hu-HU"/>
        </w:rPr>
        <w:t xml:space="preserve"> kell. Ha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a magnézium alacsony szérum</w:t>
      </w:r>
      <w:proofErr w:type="gramStart"/>
      <w:r>
        <w:rPr>
          <w:lang w:val="hu-HU"/>
        </w:rPr>
        <w:t>koncentrációjával</w:t>
      </w:r>
      <w:proofErr w:type="gramEnd"/>
      <w:r>
        <w:rPr>
          <w:lang w:val="hu-HU"/>
        </w:rPr>
        <w:t xml:space="preserve"> összefüggésben alakul ki, akkor terápiarezisztens lehet, ha a magnézium szérumszintjét nem korrigálják.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magnézium plazmaszintje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tiazidok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– többek között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– bizonyítottan fokozzák a magnézium kiválasztását a vizelettel, ami </w:t>
      </w:r>
      <w:proofErr w:type="spellStart"/>
      <w:r>
        <w:rPr>
          <w:lang w:val="hu-HU"/>
        </w:rPr>
        <w:t>hypomagnesaemiát</w:t>
      </w:r>
      <w:proofErr w:type="spellEnd"/>
      <w:r>
        <w:rPr>
          <w:lang w:val="hu-HU"/>
        </w:rPr>
        <w:t xml:space="preserve"> okozhat (lásd 4.5 és 4.8 pont).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kalcium plazmaszintje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csökkenthetik a vizelettel történő kalciumürítést, ezáltal átmenetileg, kismértékben emelhetik a plazma kalciumszintjét. A valódi </w:t>
      </w:r>
      <w:proofErr w:type="spellStart"/>
      <w:r>
        <w:rPr>
          <w:lang w:val="hu-HU"/>
        </w:rPr>
        <w:t>hypercalcaemia</w:t>
      </w:r>
      <w:proofErr w:type="spellEnd"/>
      <w:r>
        <w:rPr>
          <w:lang w:val="hu-HU"/>
        </w:rPr>
        <w:t xml:space="preserve"> korábban fel nem ismert </w:t>
      </w:r>
      <w:proofErr w:type="spellStart"/>
      <w:r>
        <w:rPr>
          <w:lang w:val="hu-HU"/>
        </w:rPr>
        <w:t>hyperparathyreosis</w:t>
      </w:r>
      <w:proofErr w:type="spellEnd"/>
      <w:r>
        <w:rPr>
          <w:lang w:val="hu-HU"/>
        </w:rPr>
        <w:t xml:space="preserve"> tünete is lehet.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A kezelést a mellékpajzsmirigy működésének kivizsgálása előtt abba kell hagyni.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Vércukorszint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Cukorbetegek kezelésekor fontos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a vércukorszintet, különösen, ha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is fennáll.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Húgysav</w:t>
      </w:r>
    </w:p>
    <w:p w:rsidR="00E711F0" w:rsidRDefault="004D44D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Hyperurikaemiás</w:t>
      </w:r>
      <w:proofErr w:type="spellEnd"/>
      <w:r>
        <w:rPr>
          <w:lang w:val="hu-HU"/>
        </w:rPr>
        <w:t xml:space="preserve"> betegeknél a köszvényes rohamra való hajlam fokozottabb lehet.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bCs/>
          <w:u w:val="single"/>
          <w:lang w:val="hu-HU" w:eastAsia="nl-BE"/>
        </w:rPr>
      </w:pPr>
      <w:r>
        <w:rPr>
          <w:bCs/>
          <w:u w:val="single"/>
          <w:lang w:val="hu-HU" w:eastAsia="nl-BE"/>
        </w:rPr>
        <w:t>Etnikai különbségek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ACE-gátlóknál megfigyeltekhez hasonlóan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és más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antagonisták</w:t>
      </w:r>
      <w:proofErr w:type="spellEnd"/>
      <w:r>
        <w:rPr>
          <w:lang w:val="hu-HU"/>
        </w:rPr>
        <w:t xml:space="preserve"> fekete bőrű betegek esetében kevésbé hatékonyan csökkentik a vérnyomást, mint nem fekete bőrű betegek esetében. Ennek az lehet az oka, hogy a fekete bőrű </w:t>
      </w:r>
      <w:proofErr w:type="spellStart"/>
      <w:r>
        <w:rPr>
          <w:lang w:val="hu-HU"/>
        </w:rPr>
        <w:t>hypertoniás</w:t>
      </w:r>
      <w:proofErr w:type="spellEnd"/>
      <w:r>
        <w:rPr>
          <w:lang w:val="hu-HU"/>
        </w:rPr>
        <w:t xml:space="preserve"> betegeknél magasabb az alacsony </w:t>
      </w:r>
      <w:proofErr w:type="spellStart"/>
      <w:r>
        <w:rPr>
          <w:lang w:val="hu-HU"/>
        </w:rPr>
        <w:t>reninszint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>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Chorioidealis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effusio</w:t>
      </w:r>
      <w:proofErr w:type="spellEnd"/>
      <w:r>
        <w:rPr>
          <w:u w:val="single"/>
          <w:lang w:val="hu-HU"/>
        </w:rPr>
        <w:t xml:space="preserve">, </w:t>
      </w:r>
      <w:proofErr w:type="gramStart"/>
      <w:r>
        <w:rPr>
          <w:u w:val="single"/>
          <w:lang w:val="hu-HU"/>
        </w:rPr>
        <w:t>akut</w:t>
      </w:r>
      <w:proofErr w:type="gram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myopia</w:t>
      </w:r>
      <w:proofErr w:type="spellEnd"/>
      <w:r>
        <w:rPr>
          <w:u w:val="single"/>
          <w:lang w:val="hu-HU"/>
        </w:rPr>
        <w:t xml:space="preserve"> és másodlagos zárt zugú glaukóma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szulfonamidok vagy szulfonamid-származékok idioszinkráziás reakciót válthatnak ki, amely látótérkieséssel járó </w:t>
      </w:r>
      <w:proofErr w:type="spellStart"/>
      <w:r>
        <w:rPr>
          <w:lang w:val="hu-HU"/>
        </w:rPr>
        <w:t>chorioidealis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effusiót</w:t>
      </w:r>
      <w:proofErr w:type="spellEnd"/>
      <w:r>
        <w:rPr>
          <w:lang w:val="hu-HU"/>
        </w:rPr>
        <w:t xml:space="preserve">, átmeneti </w:t>
      </w:r>
      <w:proofErr w:type="spellStart"/>
      <w:r>
        <w:rPr>
          <w:lang w:val="hu-HU"/>
        </w:rPr>
        <w:t>myopiát</w:t>
      </w:r>
      <w:proofErr w:type="spellEnd"/>
      <w:r>
        <w:rPr>
          <w:lang w:val="hu-HU"/>
        </w:rPr>
        <w:t xml:space="preserve"> és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zárt zugú </w:t>
      </w:r>
      <w:proofErr w:type="spellStart"/>
      <w:r>
        <w:rPr>
          <w:lang w:val="hu-HU"/>
        </w:rPr>
        <w:t>glaucomát</w:t>
      </w:r>
      <w:proofErr w:type="spellEnd"/>
      <w:r>
        <w:rPr>
          <w:lang w:val="hu-HU"/>
        </w:rPr>
        <w:t xml:space="preserve"> okozhat. A tünetek közé tartozik a hirtelen jelentkező látásélesség-csökkenés vagy a szemfájdalom, és ezek jellemző módon a kezelés megkezdése után órákon vagy heteken belül jelentkeznek. A kezeletlen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zárt zugú glaukóma maradandó látásvesztéshez vezethet. Az elsődleges kezelés a gyógyszer szedésének mielőbbi abbahagyása. Az azonnali orvosi vagy sebészi kezelés megfontolható, ha az </w:t>
      </w:r>
      <w:proofErr w:type="spellStart"/>
      <w:r>
        <w:rPr>
          <w:lang w:val="hu-HU"/>
        </w:rPr>
        <w:t>intraocularis</w:t>
      </w:r>
      <w:proofErr w:type="spellEnd"/>
      <w:r>
        <w:rPr>
          <w:lang w:val="hu-HU"/>
        </w:rPr>
        <w:t xml:space="preserve"> nyomás továbbra is </w:t>
      </w:r>
      <w:proofErr w:type="spellStart"/>
      <w:proofErr w:type="gramStart"/>
      <w:r>
        <w:rPr>
          <w:lang w:val="hu-HU"/>
        </w:rPr>
        <w:t>kontrollálatlan</w:t>
      </w:r>
      <w:proofErr w:type="spellEnd"/>
      <w:proofErr w:type="gramEnd"/>
      <w:r>
        <w:rPr>
          <w:lang w:val="hu-HU"/>
        </w:rPr>
        <w:t xml:space="preserve"> marad.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zárt zugú glaukóma kialakulásának kockázati tényezői közé tartozhat a kórelőzményben szereplő szulfonamid- vagy penicillinallergia.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Egyéb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Ahogyan más vérnyomáscsökkentő szerek esetében is, a vérnyomás túlzott csökkenése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vagy stroke kialakulásához vezethet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szívbetegség vagy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betegség esetén.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Laktóz</w:t>
      </w:r>
      <w:proofErr w:type="spellEnd"/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 Ritkán előforduló, örökletes </w:t>
      </w:r>
      <w:proofErr w:type="spellStart"/>
      <w:r>
        <w:rPr>
          <w:lang w:val="hu-HU"/>
        </w:rPr>
        <w:t>galaktózintoleranciában</w:t>
      </w:r>
      <w:proofErr w:type="spellEnd"/>
      <w:r>
        <w:rPr>
          <w:lang w:val="hu-HU"/>
        </w:rPr>
        <w:t xml:space="preserve">, teljes </w:t>
      </w:r>
      <w:proofErr w:type="spellStart"/>
      <w:r>
        <w:rPr>
          <w:lang w:val="hu-HU"/>
        </w:rPr>
        <w:t>laktázhiányban</w:t>
      </w:r>
      <w:proofErr w:type="spellEnd"/>
      <w:r>
        <w:rPr>
          <w:lang w:val="hu-HU"/>
        </w:rPr>
        <w:t xml:space="preserve"> vagy glükóz-</w:t>
      </w:r>
      <w:proofErr w:type="spellStart"/>
      <w:r>
        <w:rPr>
          <w:lang w:val="hu-HU"/>
        </w:rPr>
        <w:t>galaktóz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malabszorpcióban</w:t>
      </w:r>
      <w:proofErr w:type="spellEnd"/>
      <w:r>
        <w:rPr>
          <w:lang w:val="hu-HU"/>
        </w:rPr>
        <w:t xml:space="preserve"> a készítmény nem szedhető.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tablettánként, azaz gyakorlatilag „nátriummentes”.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 telmizartánnal összefüggő interakciók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Digoxin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Ha a telmizartánt digoxinnal adták együtt, a digoxin medián plazma-csúcskoncentrációjának (49%) és medián mélyponti koncentrációjának (20%) emelkedését figyelték meg. A telmizartán-kezelés elkezdésekor, dózismódosításakor és leállításakor a digoxinszintet monitorozni kell, hogy az a terápiás tartományban maradjon.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renin–angiotenzin–aldoszteron rendszerre ható más gyógyszerekhez hasonlóan a telmizartán is okozhat hyperkalaemiát (lásd 4.4 pont). Ennek kockázatát fokozza az olyan gyógyszerrel történő kombinálás, amely szintén okozhat hyperkalaemiát (káliumtartalmú sópótló készítmények, káliummegtakarító diuretikumok, ACE-gátlók, angiotenzin II-receptor-antagonisták, nem-szteroid gyulladáscsökkentők (NSAID-ok, beleértve a szelektiv COX-2-gátlókat), heparin, immunszuppresszív szerek [ciklosporin vagy takrolimusz], valamint a trimetoprim).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hyperkalaemia kialakulása a társuló rizikótényezőktől függ. Fokozott a kockázat a fent említett kombinációs terápiák esetén. A kockázat különösen nagy káliummegtakarító diuretikummal vagy káliumot tartalmazó sópótló készítménnyel történő együttadás esetén. Ugyanakkor az egyidejű alkalmazás például ACE-gátlóval vagy nem-szteroid gyulladáscsökkentőkkel kisebb kockázatot jelent – amennyiben az alkalmazással kapcsolatos óvintézkedéseket szigorúan betartják.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 nem javasolt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Káliummegtakarító diuretikumok vagy káliumpótló készítmények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angiotenzin II-receptor-antagonisták, így a telmizartán is, mérséklik a diuretikumok okozta káliumvesztést. A káliummegtakarító diuretikumok (mint például a spironolakton, eplerenon, triamteren vagy az amilorid), a káliumpótló vagy káliumot tartalmazó sópótló készítmények jelentősen megemelhetik a szérumkáliumszintet. Ha az egyidejű alkalmazás dokumentált hypokalaemia miatt indokolt, csak kellő óvatossággal és a szérumkáliumszint gyakori ellenőrzése mellett alkalmazhatók.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szérum lítiumkoncentrációjának reverzíbilis emelkedéséről és toxicitásról számoltak be, amikor a lítiumot ACE-gátlókkal, illetve angiotenzin II-receptor-antagonistákkal (köztük telmizartánnal) egyidejűleg alkalmazták. Amennyiben ilyen kombináció alkalmazása szükséges, a szérumlítiumszint szoros ellenőrzése javasolt.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Óvatosságot igénylő egyidejű alkalmazás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Nem-szteroid gyulladáscsökkentők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A nem-szteroid gyulladáscsökkentők (például a gyulladáscsökkentő dózisban alkalmazott acetilszalicilsav, a COX-2-gátlók és a nem szelektív NSAID-ok) csökkenthetik az angiotenzin II-receptor-antagonisták antihipertenzív hatását.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Néhány károsodott vesefunkciójú betegnél (például dehidrált betegeknél, vesekárosodásban szenvedő idős betegeknél) az angiotenzin II-receptor-antagonisták és ciklooxigenáz-gátlók egyidejű alkalmazása a vesefunkció további romlását, esetleg akut veseelégtelenséget okozhat, mely általában reverzibilis. Emiatt a kombináció csak kellő óvatossággal alkalmazható, különösen időseknél. A betegeket megfelelően hidrálni kell, illetve megfontolandó a vesefunkció ellenőrzése az egyidejű kezelés megkezdését követően, majd azután rendszeresen.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Egy vizsgálatban a telmizartán és a ramipril együttadása a ramipril és a ramiprilát AUC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>0-24</w:t>
      </w:r>
      <w:r>
        <w:rPr>
          <w:rFonts w:eastAsia="Times New Roman"/>
          <w:noProof/>
          <w:snapToGrid/>
          <w:szCs w:val="22"/>
          <w:lang w:val="hu-HU" w:eastAsia="en-US"/>
        </w:rPr>
        <w:t>- és C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 xml:space="preserve">max </w:t>
      </w:r>
      <w:r>
        <w:rPr>
          <w:rFonts w:eastAsia="Times New Roman"/>
          <w:noProof/>
          <w:snapToGrid/>
          <w:szCs w:val="22"/>
          <w:lang w:val="hu-HU" w:eastAsia="en-US"/>
        </w:rPr>
        <w:t>értékének 2,5-szeres növekedéséhez vezetett. A megfigyelés klinikai jelentősége nem ismert.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Diuretikumok (tiazidok és kacsdiuretikumok)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telmizartán-kezelés megkezdésekor az előzetes nagy dózisú diuretikus kezelés – mint például furoszemid- (kacsdiuretikum) és hidroklorotiazid- (tiazid diuretikum) kezelés – volumenvesztést, illetve esetlegesen hypotoniát okozhat.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alkalmazás, amelyet figyelembe kell venni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Egyéb vérnyomáscsökkentő szerek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 vérnyomáscsökkentő hatását más vérnyomáscsökkentő gyógyszerek egyidejű alkalmazása fokozhatja.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klinikai vizsgálati adatok azt mutatták, hogy a renin–angiotenzin–aldoszteron rendszer (RAAS) – ACE-gátlók, angiotenzin II-receptor-blokkolók vagy aliszkirén kombinációjával történő – kettős blokádja nagyobb gyakorisággal okoz mellékhatásokat, például hypotoniát, hyperkalaemiát vagy vesekárosodást (beleértve az akut veseelégtelenséget is), mint a csak egyféle RAAS-ra ható szer alkalmazása (lásd 4.3, 4.4 és 5.1 pont).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Farmakológiai tulajdonságaik alapján várható, hogy valamennyi típusú vérnyomáscsökkentő szer (köztük a telmizartán) antihipertenzív hatását fokozhatják a következő gyógyszerek: baklofén, amifosztin. Ezenkívül az alkohol, a barbiturátok, a narkotikumok, illetve az antidepresszánsok súlyosbíthatják az orthostaticus hypotoniát.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Kortikoszteroidok (szisztémás adagolás)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vérnyomáscsökkentő hatás csökken.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Az indapamiddal összefüggő interakciók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 nem javasolt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Ahogy sómentes diéta esetén is (a lítium vizelettel történő csökkent kiválasztása miatt), megemelkedik a plazma lítiumkoncentrációja, ami túladagolási tünetekkel jár. Azonban – ha a diuretikus kezelés nem mellőzhető – szorosan ellenőrizni kell a plazma lítiumszintjét, és szükség szerint módosítani kell a dózist.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Óvatosságot igénylő egyidejű alkalmazás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u w:val="single"/>
          <w:lang w:val="hu-HU" w:eastAsia="en-US"/>
        </w:rPr>
        <w:t>-t előidéző szerek (például, de nem kizárólag az alábbiak):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ab/>
        <w:t>Ia. osztályba tartozó antiaritmiás szerek (pl. kinidin, hidrokinidin, dizopiramid);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ab/>
        <w:t>III. osztályba tartozó antiaritmiás szerek (pl. amiodaron, szotalol, dofetilid, ibutilid, bretilium);</w:t>
      </w:r>
    </w:p>
    <w:p w:rsidR="00E711F0" w:rsidRDefault="004D44D3">
      <w:pPr>
        <w:numPr>
          <w:ilvl w:val="0"/>
          <w:numId w:val="3"/>
        </w:numPr>
        <w:tabs>
          <w:tab w:val="clear" w:pos="397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néhány </w:t>
      </w:r>
      <w:proofErr w:type="spellStart"/>
      <w:r>
        <w:rPr>
          <w:szCs w:val="22"/>
          <w:lang w:val="hu-HU"/>
        </w:rPr>
        <w:t>antipszichotikum</w:t>
      </w:r>
      <w:proofErr w:type="spellEnd"/>
      <w:r>
        <w:rPr>
          <w:szCs w:val="22"/>
          <w:lang w:val="hu-HU"/>
        </w:rPr>
        <w:t>:</w:t>
      </w:r>
    </w:p>
    <w:p w:rsidR="00E711F0" w:rsidRDefault="004D44D3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fenotiazinok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klórpromazin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ciamemazin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levomepromazin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tioridazin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trifluoperazin</w:t>
      </w:r>
      <w:proofErr w:type="spellEnd"/>
      <w:r>
        <w:rPr>
          <w:szCs w:val="22"/>
          <w:lang w:val="hu-HU"/>
        </w:rPr>
        <w:t xml:space="preserve">), </w:t>
      </w:r>
      <w:proofErr w:type="spellStart"/>
      <w:r>
        <w:rPr>
          <w:szCs w:val="22"/>
          <w:lang w:val="hu-HU"/>
        </w:rPr>
        <w:t>benzamidok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amiszulprid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szulpirid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szultoprid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tiaprid</w:t>
      </w:r>
      <w:proofErr w:type="spellEnd"/>
      <w:r>
        <w:rPr>
          <w:szCs w:val="22"/>
          <w:lang w:val="hu-HU"/>
        </w:rPr>
        <w:t>);</w:t>
      </w:r>
    </w:p>
    <w:p w:rsidR="00E711F0" w:rsidRDefault="004D44D3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butirofenonok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doperidol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haloperidol</w:t>
      </w:r>
      <w:proofErr w:type="spellEnd"/>
      <w:r>
        <w:rPr>
          <w:szCs w:val="22"/>
          <w:lang w:val="hu-HU"/>
        </w:rPr>
        <w:t>);</w:t>
      </w:r>
    </w:p>
    <w:p w:rsidR="00E711F0" w:rsidRDefault="004D44D3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egyéb </w:t>
      </w:r>
      <w:proofErr w:type="spellStart"/>
      <w:r>
        <w:rPr>
          <w:szCs w:val="22"/>
          <w:lang w:val="hu-HU"/>
        </w:rPr>
        <w:t>antipszichotikumok</w:t>
      </w:r>
      <w:proofErr w:type="spellEnd"/>
      <w:r>
        <w:rPr>
          <w:szCs w:val="22"/>
          <w:lang w:val="hu-HU"/>
        </w:rPr>
        <w:t xml:space="preserve"> (pl. pimozid);</w:t>
      </w:r>
    </w:p>
    <w:p w:rsidR="00E711F0" w:rsidRDefault="004D44D3">
      <w:pPr>
        <w:numPr>
          <w:ilvl w:val="0"/>
          <w:numId w:val="3"/>
        </w:numPr>
        <w:tabs>
          <w:tab w:val="clear" w:pos="397"/>
          <w:tab w:val="clear" w:pos="567"/>
          <w:tab w:val="num" w:pos="709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egyéb hatóanyagok (pl. </w:t>
      </w:r>
      <w:proofErr w:type="spellStart"/>
      <w:r>
        <w:rPr>
          <w:szCs w:val="22"/>
          <w:lang w:val="hu-HU"/>
        </w:rPr>
        <w:t>bepridil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ciszaprid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difemanil</w:t>
      </w:r>
      <w:proofErr w:type="spellEnd"/>
      <w:r>
        <w:rPr>
          <w:szCs w:val="22"/>
          <w:lang w:val="hu-HU"/>
        </w:rPr>
        <w:t xml:space="preserve">, iv. </w:t>
      </w:r>
      <w:proofErr w:type="spellStart"/>
      <w:r>
        <w:rPr>
          <w:szCs w:val="22"/>
          <w:lang w:val="hu-HU"/>
        </w:rPr>
        <w:t>eritromicin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halofantrin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mizolasztin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pentamidin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sparfloxacin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moxifloxacin</w:t>
      </w:r>
      <w:proofErr w:type="spellEnd"/>
      <w:r>
        <w:rPr>
          <w:szCs w:val="22"/>
          <w:lang w:val="hu-HU"/>
        </w:rPr>
        <w:t xml:space="preserve">, iv. </w:t>
      </w:r>
      <w:proofErr w:type="spellStart"/>
      <w:r>
        <w:rPr>
          <w:szCs w:val="22"/>
          <w:lang w:val="hu-HU"/>
        </w:rPr>
        <w:t>vinkamin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metadon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asztemizol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terfenadin</w:t>
      </w:r>
      <w:proofErr w:type="spellEnd"/>
      <w:r>
        <w:rPr>
          <w:szCs w:val="22"/>
          <w:lang w:val="hu-HU"/>
        </w:rPr>
        <w:t>).</w:t>
      </w:r>
    </w:p>
    <w:p w:rsidR="00E711F0" w:rsidRDefault="00E711F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Fokozott a ventricularis arrhythmiák, különösen a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kockázata (rizikófaktor a hypokalaemia).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telmizartán/indapamid kombinációs készítmény alkalmazásának megkezdése előtt ellenőrizni kell, hogy nem áll-e fenn hypokalaemia, és szükség esetén azt korrigálni kell. Szükséges a klinikai ellenőrzés; a plazma elektrolitszintjeit és az EKG-t monitorozni kell.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Olyan készítményeket kell adni, melyek hypokalaemia fennállása esetén sem okozhatnak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lang w:val="hu-HU" w:eastAsia="en-US"/>
        </w:rPr>
        <w:t>-t.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Nem-szteroid gyulladáscsökkentők (</w:t>
      </w:r>
      <w:proofErr w:type="gramStart"/>
      <w:r>
        <w:rPr>
          <w:szCs w:val="22"/>
          <w:u w:val="single"/>
          <w:lang w:val="hu-HU"/>
        </w:rPr>
        <w:t>szisztémás</w:t>
      </w:r>
      <w:proofErr w:type="gramEnd"/>
      <w:r>
        <w:rPr>
          <w:szCs w:val="22"/>
          <w:u w:val="single"/>
          <w:lang w:val="hu-HU"/>
        </w:rPr>
        <w:t xml:space="preserve"> kezelés), beleértve a szelektív COX</w:t>
      </w:r>
      <w:r>
        <w:rPr>
          <w:szCs w:val="22"/>
          <w:u w:val="single"/>
          <w:lang w:val="hu-HU"/>
        </w:rPr>
        <w:noBreakHyphen/>
        <w:t xml:space="preserve">2-gátlókat és a nagy dózisú </w:t>
      </w:r>
      <w:proofErr w:type="spellStart"/>
      <w:r>
        <w:rPr>
          <w:szCs w:val="22"/>
          <w:u w:val="single"/>
          <w:lang w:val="hu-HU"/>
        </w:rPr>
        <w:t>acetilszalicilsavat</w:t>
      </w:r>
      <w:proofErr w:type="spellEnd"/>
      <w:r>
        <w:rPr>
          <w:szCs w:val="22"/>
          <w:u w:val="single"/>
          <w:lang w:val="hu-HU"/>
        </w:rPr>
        <w:t xml:space="preserve"> (3 g/nap)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indapamid vérnyomáscsökkentő hatása csökkenhet. Dehidrált betegeknél fennáll az akut veseelégtelenség kockázata (csökkent glomerulusfiltráció). A betegeket hidrálni és a kezelés kezdetén a veseműködést ellenőrizni kell.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Angiotenzinkonvertálóenzim- (ACE) gátlók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Eleve fennálló nátriumhiány esetén (különösen arteria renalis-stenosisban szenvedő betegeknél) az ACE-gátló-kezelés elkezdésekor fennáll a hirtelen vérnyomásesés és/vagy az akut veseelégtelenség kialakulásának kockázata.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Hypertoniában, amikor a korábbi diuretikus kezelés okozhatott nátriumhiányt, a következőket szükséges tenni:</w:t>
      </w:r>
    </w:p>
    <w:p w:rsidR="00E711F0" w:rsidRDefault="004D44D3">
      <w:pPr>
        <w:pStyle w:val="Listaszerbekezds"/>
        <w:numPr>
          <w:ilvl w:val="0"/>
          <w:numId w:val="3"/>
        </w:numPr>
        <w:tabs>
          <w:tab w:val="clear" w:pos="397"/>
          <w:tab w:val="num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vagy az ACE-gátló-kezelés megkezdése előtt 3 nappal abba kell hagyni a diuretikum adását, majd – amennyiben szükséges – újra lehet kezdeni egy káliumürítő diuretikum adását;</w:t>
      </w:r>
    </w:p>
    <w:p w:rsidR="00E711F0" w:rsidRDefault="004D44D3">
      <w:pPr>
        <w:pStyle w:val="Listaszerbekezds"/>
        <w:numPr>
          <w:ilvl w:val="0"/>
          <w:numId w:val="3"/>
        </w:numPr>
        <w:tabs>
          <w:tab w:val="clear" w:pos="397"/>
          <w:tab w:val="num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vagy az ACE-gátlót kis kezdő dózisban kell adni, és a dózist fokozatosan kell növelni.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Pangásos szívelégtelenség esetén rendkívül kis dózissal kell elkezdeni az ACE-gátló-kezelést, lehetőség szerint a káliumürítő diuretikum dózisának csökkentése után.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Minden esetben monitorozni kell a veseműködést (a plazma kreatininszintjét) az ACE-gátló-kezelés első néhány hetében.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Hypokalaemiát okozó egyéb készítmények: amfotericin B (iv.), glüko- és mineralokortikoidok (szisztémás kezelés), tetrakozaktid, bélfalizgató hatású hashajtók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Fokozott a hypokalaemia kialakulásának kockázata (additív hatás).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plazma káliumszintjét ellenőrizni és szükség esetén korrigálni kell. Erre különösen oda kell figyelni egyidejű digitáliszkezelés esetén. Nem bélfalizgató hatású hashajtót kell alkalmazni.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Baklofén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Fokozott a vérnyomáscsökkentő hatás.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beteg folyadékpótlását biztosítani, a veseműködést a kezelés kezdetén ellenőrizni kell.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Digitáliszkészítmények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hypokalaemia</w:t>
      </w:r>
      <w:proofErr w:type="spellEnd"/>
      <w:r>
        <w:rPr>
          <w:szCs w:val="22"/>
          <w:lang w:val="hu-HU"/>
        </w:rPr>
        <w:t xml:space="preserve"> és/vagy </w:t>
      </w:r>
      <w:proofErr w:type="spellStart"/>
      <w:r>
        <w:rPr>
          <w:szCs w:val="22"/>
          <w:lang w:val="hu-HU"/>
        </w:rPr>
        <w:t>hypomagnesaemia</w:t>
      </w:r>
      <w:proofErr w:type="spellEnd"/>
      <w:r>
        <w:rPr>
          <w:szCs w:val="22"/>
          <w:lang w:val="hu-HU"/>
        </w:rPr>
        <w:t xml:space="preserve"> hajlamosít a digitálisztoxicitás kialakulására. Ellenőrizni kell a plazma kálium- és magnéziumszintjét, valamint az EKG-t, és szükség szerint módosítani kell a kezelést.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bCs/>
          <w:i/>
          <w:iCs/>
          <w:szCs w:val="22"/>
          <w:u w:val="single"/>
          <w:lang w:val="hu-HU"/>
        </w:rPr>
      </w:pPr>
      <w:r>
        <w:rPr>
          <w:bCs/>
          <w:i/>
          <w:iCs/>
          <w:szCs w:val="22"/>
          <w:u w:val="single"/>
          <w:lang w:val="hu-HU"/>
        </w:rPr>
        <w:t>Különös odafigyelést igénylő kombinációk</w:t>
      </w:r>
    </w:p>
    <w:p w:rsidR="00E711F0" w:rsidRDefault="00E711F0">
      <w:pPr>
        <w:rPr>
          <w:b/>
          <w:i/>
          <w:iCs/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Allopurinol</w:t>
      </w:r>
      <w:proofErr w:type="spellEnd"/>
    </w:p>
    <w:p w:rsidR="00E711F0" w:rsidRDefault="004D44D3">
      <w:pPr>
        <w:rPr>
          <w:iCs/>
          <w:szCs w:val="22"/>
          <w:lang w:val="hu-HU"/>
        </w:rPr>
      </w:pPr>
      <w:proofErr w:type="spellStart"/>
      <w:r>
        <w:rPr>
          <w:iCs/>
          <w:szCs w:val="22"/>
          <w:lang w:val="hu-HU"/>
        </w:rPr>
        <w:t>Indapamiddal</w:t>
      </w:r>
      <w:proofErr w:type="spellEnd"/>
      <w:r>
        <w:rPr>
          <w:iCs/>
          <w:szCs w:val="22"/>
          <w:lang w:val="hu-HU"/>
        </w:rPr>
        <w:t xml:space="preserve"> való együttes alkalmazás növelheti az </w:t>
      </w:r>
      <w:proofErr w:type="spellStart"/>
      <w:r>
        <w:rPr>
          <w:iCs/>
          <w:szCs w:val="22"/>
          <w:lang w:val="hu-HU"/>
        </w:rPr>
        <w:t>allopurinol</w:t>
      </w:r>
      <w:proofErr w:type="spellEnd"/>
      <w:r>
        <w:rPr>
          <w:iCs/>
          <w:szCs w:val="22"/>
          <w:lang w:val="hu-HU"/>
        </w:rPr>
        <w:t xml:space="preserve"> kiváltotta túlérzékenységi reakciók </w:t>
      </w:r>
      <w:proofErr w:type="spellStart"/>
      <w:r>
        <w:rPr>
          <w:iCs/>
          <w:szCs w:val="22"/>
          <w:lang w:val="hu-HU"/>
        </w:rPr>
        <w:t>incidenciáját</w:t>
      </w:r>
      <w:proofErr w:type="spellEnd"/>
      <w:r>
        <w:rPr>
          <w:iCs/>
          <w:szCs w:val="22"/>
          <w:lang w:val="hu-HU"/>
        </w:rPr>
        <w:t>.</w:t>
      </w:r>
    </w:p>
    <w:p w:rsidR="00E711F0" w:rsidRDefault="00E711F0">
      <w:pPr>
        <w:rPr>
          <w:iCs/>
          <w:szCs w:val="22"/>
          <w:lang w:val="hu-HU"/>
        </w:rPr>
      </w:pPr>
    </w:p>
    <w:p w:rsidR="00E711F0" w:rsidRDefault="004D44D3">
      <w:pPr>
        <w:rPr>
          <w:i/>
          <w:szCs w:val="22"/>
          <w:u w:val="single"/>
          <w:lang w:val="hu-HU"/>
        </w:rPr>
      </w:pPr>
      <w:r>
        <w:rPr>
          <w:i/>
          <w:szCs w:val="22"/>
          <w:u w:val="single"/>
          <w:lang w:val="hu-HU"/>
        </w:rPr>
        <w:t>Mérlegelést igénylő kombinációk</w:t>
      </w:r>
    </w:p>
    <w:p w:rsidR="00E711F0" w:rsidRDefault="00E711F0">
      <w:pPr>
        <w:rPr>
          <w:iCs/>
          <w:szCs w:val="22"/>
          <w:lang w:val="hu-HU"/>
        </w:rPr>
      </w:pPr>
    </w:p>
    <w:p w:rsidR="00E711F0" w:rsidRDefault="004D44D3">
      <w:pPr>
        <w:rPr>
          <w:iCs/>
          <w:szCs w:val="22"/>
          <w:u w:val="single"/>
          <w:lang w:val="hu-HU"/>
        </w:rPr>
      </w:pPr>
      <w:r>
        <w:rPr>
          <w:iCs/>
          <w:szCs w:val="22"/>
          <w:u w:val="single"/>
          <w:lang w:val="hu-HU"/>
        </w:rPr>
        <w:t xml:space="preserve">Káliummegtakarító </w:t>
      </w:r>
      <w:proofErr w:type="spellStart"/>
      <w:r>
        <w:rPr>
          <w:iCs/>
          <w:szCs w:val="22"/>
          <w:u w:val="single"/>
          <w:lang w:val="hu-HU"/>
        </w:rPr>
        <w:t>diuretikumok</w:t>
      </w:r>
      <w:proofErr w:type="spellEnd"/>
      <w:r>
        <w:rPr>
          <w:iCs/>
          <w:szCs w:val="22"/>
          <w:u w:val="single"/>
          <w:lang w:val="hu-HU"/>
        </w:rPr>
        <w:t xml:space="preserve"> (</w:t>
      </w:r>
      <w:proofErr w:type="spellStart"/>
      <w:r>
        <w:rPr>
          <w:iCs/>
          <w:szCs w:val="22"/>
          <w:u w:val="single"/>
          <w:lang w:val="hu-HU"/>
        </w:rPr>
        <w:t>amilorid</w:t>
      </w:r>
      <w:proofErr w:type="spellEnd"/>
      <w:r>
        <w:rPr>
          <w:iCs/>
          <w:szCs w:val="22"/>
          <w:u w:val="single"/>
          <w:lang w:val="hu-HU"/>
        </w:rPr>
        <w:t xml:space="preserve">, </w:t>
      </w:r>
      <w:proofErr w:type="spellStart"/>
      <w:r>
        <w:rPr>
          <w:iCs/>
          <w:szCs w:val="22"/>
          <w:u w:val="single"/>
          <w:lang w:val="hu-HU"/>
        </w:rPr>
        <w:t>spironolakton</w:t>
      </w:r>
      <w:proofErr w:type="spellEnd"/>
      <w:r>
        <w:rPr>
          <w:iCs/>
          <w:szCs w:val="22"/>
          <w:u w:val="single"/>
          <w:lang w:val="hu-HU"/>
        </w:rPr>
        <w:t xml:space="preserve">, </w:t>
      </w:r>
      <w:proofErr w:type="spellStart"/>
      <w:r>
        <w:rPr>
          <w:iCs/>
          <w:szCs w:val="22"/>
          <w:u w:val="single"/>
          <w:lang w:val="hu-HU"/>
        </w:rPr>
        <w:t>triamteren</w:t>
      </w:r>
      <w:proofErr w:type="spellEnd"/>
      <w:r>
        <w:rPr>
          <w:iCs/>
          <w:szCs w:val="22"/>
          <w:u w:val="single"/>
          <w:lang w:val="hu-HU"/>
        </w:rPr>
        <w:t>)</w:t>
      </w:r>
    </w:p>
    <w:p w:rsidR="00E711F0" w:rsidRDefault="004D44D3">
      <w:pPr>
        <w:rPr>
          <w:iCs/>
          <w:szCs w:val="22"/>
          <w:lang w:val="hu-HU"/>
        </w:rPr>
      </w:pPr>
      <w:r>
        <w:rPr>
          <w:iCs/>
          <w:szCs w:val="22"/>
          <w:lang w:val="hu-HU"/>
        </w:rPr>
        <w:lastRenderedPageBreak/>
        <w:t xml:space="preserve">Bár a racionális kombinációk egyes betegek számára előnyösek, </w:t>
      </w:r>
      <w:proofErr w:type="spellStart"/>
      <w:r>
        <w:rPr>
          <w:iCs/>
          <w:szCs w:val="22"/>
          <w:lang w:val="hu-HU"/>
        </w:rPr>
        <w:t>hypokalaemia</w:t>
      </w:r>
      <w:proofErr w:type="spellEnd"/>
      <w:r>
        <w:rPr>
          <w:iCs/>
          <w:szCs w:val="22"/>
          <w:lang w:val="hu-HU"/>
        </w:rPr>
        <w:t xml:space="preserve"> vagy </w:t>
      </w:r>
      <w:proofErr w:type="spellStart"/>
      <w:r>
        <w:rPr>
          <w:iCs/>
          <w:szCs w:val="22"/>
          <w:lang w:val="hu-HU"/>
        </w:rPr>
        <w:t>hyperkalaemia</w:t>
      </w:r>
      <w:proofErr w:type="spellEnd"/>
      <w:r>
        <w:rPr>
          <w:iCs/>
          <w:szCs w:val="22"/>
          <w:lang w:val="hu-HU"/>
        </w:rPr>
        <w:t xml:space="preserve"> (különösen a veseelégtelenségben vagy diabetesben szenvedő betegeknél) mégis előfordulhat. </w:t>
      </w:r>
      <w:proofErr w:type="spellStart"/>
      <w:r>
        <w:rPr>
          <w:iCs/>
          <w:szCs w:val="22"/>
          <w:lang w:val="hu-HU"/>
        </w:rPr>
        <w:t>Monitorozni</w:t>
      </w:r>
      <w:proofErr w:type="spellEnd"/>
      <w:r>
        <w:rPr>
          <w:iCs/>
          <w:szCs w:val="22"/>
          <w:lang w:val="hu-HU"/>
        </w:rPr>
        <w:t xml:space="preserve"> kell a plazma káliumszintjét és az EKG-t, és szükség szerint felül kell vizsgálni a kezelést.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Metformin</w:t>
      </w:r>
      <w:proofErr w:type="spellEnd"/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Fokozott a </w:t>
      </w:r>
      <w:proofErr w:type="spellStart"/>
      <w:r>
        <w:rPr>
          <w:szCs w:val="22"/>
          <w:lang w:val="hu-HU"/>
        </w:rPr>
        <w:t>metformin</w:t>
      </w:r>
      <w:proofErr w:type="spellEnd"/>
      <w:r>
        <w:rPr>
          <w:szCs w:val="22"/>
          <w:lang w:val="hu-HU"/>
        </w:rPr>
        <w:t xml:space="preserve"> okozta </w:t>
      </w:r>
      <w:proofErr w:type="spellStart"/>
      <w:r>
        <w:rPr>
          <w:szCs w:val="22"/>
          <w:lang w:val="hu-HU"/>
        </w:rPr>
        <w:t>laktátacidózis</w:t>
      </w:r>
      <w:proofErr w:type="spellEnd"/>
      <w:r>
        <w:rPr>
          <w:szCs w:val="22"/>
          <w:lang w:val="hu-HU"/>
        </w:rPr>
        <w:t xml:space="preserve"> kockázata a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– és még valószínűbben a </w:t>
      </w:r>
      <w:proofErr w:type="spellStart"/>
      <w:r>
        <w:rPr>
          <w:szCs w:val="22"/>
          <w:lang w:val="hu-HU"/>
        </w:rPr>
        <w:t>kacsdiuretikumok</w:t>
      </w:r>
      <w:proofErr w:type="spellEnd"/>
      <w:r>
        <w:rPr>
          <w:szCs w:val="22"/>
          <w:lang w:val="hu-HU"/>
        </w:rPr>
        <w:t xml:space="preserve"> – alkalmazásához esetlegesen társuló </w:t>
      </w:r>
      <w:proofErr w:type="gramStart"/>
      <w:r>
        <w:rPr>
          <w:szCs w:val="22"/>
          <w:lang w:val="hu-HU"/>
        </w:rPr>
        <w:t>funkcionális</w:t>
      </w:r>
      <w:proofErr w:type="gramEnd"/>
      <w:r>
        <w:rPr>
          <w:szCs w:val="22"/>
          <w:lang w:val="hu-HU"/>
        </w:rPr>
        <w:t xml:space="preserve"> veseelégtelenség miatt. Ne alkalmazzon </w:t>
      </w:r>
      <w:proofErr w:type="spellStart"/>
      <w:r>
        <w:rPr>
          <w:szCs w:val="22"/>
          <w:lang w:val="hu-HU"/>
        </w:rPr>
        <w:t>metformint</w:t>
      </w:r>
      <w:proofErr w:type="spellEnd"/>
      <w:r>
        <w:rPr>
          <w:szCs w:val="22"/>
          <w:lang w:val="hu-HU"/>
        </w:rPr>
        <w:t>, ha a plazmakreatinin-szint férfiak esetén 15 mg/l (135 </w:t>
      </w:r>
      <w:proofErr w:type="spellStart"/>
      <w:r>
        <w:rPr>
          <w:szCs w:val="22"/>
          <w:lang w:val="hu-HU"/>
        </w:rPr>
        <w:t>mikromol</w:t>
      </w:r>
      <w:proofErr w:type="spellEnd"/>
      <w:r>
        <w:rPr>
          <w:szCs w:val="22"/>
          <w:lang w:val="hu-HU"/>
        </w:rPr>
        <w:t>/l), nők esetén 12 mg/l (110 </w:t>
      </w:r>
      <w:proofErr w:type="spellStart"/>
      <w:r>
        <w:rPr>
          <w:szCs w:val="22"/>
          <w:lang w:val="hu-HU"/>
        </w:rPr>
        <w:t>mikromol</w:t>
      </w:r>
      <w:proofErr w:type="spellEnd"/>
      <w:r>
        <w:rPr>
          <w:szCs w:val="22"/>
          <w:lang w:val="hu-HU"/>
        </w:rPr>
        <w:t>/l) felett van.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Jódozott kontrasztanyagok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diuretikus</w:t>
      </w:r>
      <w:proofErr w:type="spellEnd"/>
      <w:r>
        <w:rPr>
          <w:szCs w:val="22"/>
          <w:lang w:val="hu-HU"/>
        </w:rPr>
        <w:t xml:space="preserve"> kezelés okozta </w:t>
      </w:r>
      <w:proofErr w:type="spellStart"/>
      <w:r>
        <w:rPr>
          <w:szCs w:val="22"/>
          <w:lang w:val="hu-HU"/>
        </w:rPr>
        <w:t>dehidráció</w:t>
      </w:r>
      <w:proofErr w:type="spellEnd"/>
      <w:r>
        <w:rPr>
          <w:szCs w:val="22"/>
          <w:lang w:val="hu-HU"/>
        </w:rPr>
        <w:t xml:space="preserve"> esetén fokozott az </w:t>
      </w:r>
      <w:proofErr w:type="gramStart"/>
      <w:r>
        <w:rPr>
          <w:szCs w:val="22"/>
          <w:lang w:val="hu-HU"/>
        </w:rPr>
        <w:t>akut</w:t>
      </w:r>
      <w:proofErr w:type="gramEnd"/>
      <w:r>
        <w:rPr>
          <w:szCs w:val="22"/>
          <w:lang w:val="hu-HU"/>
        </w:rPr>
        <w:t xml:space="preserve"> veseelégtelenség kialakulásának kockázata, különösen akkor, ha nagy dózisú jódozott kontrasztanyagot alkalmaznak.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jódtartalmú</w:t>
      </w:r>
      <w:proofErr w:type="spellEnd"/>
      <w:r>
        <w:rPr>
          <w:szCs w:val="22"/>
          <w:lang w:val="hu-HU"/>
        </w:rPr>
        <w:t xml:space="preserve"> készítmény beadása előtt </w:t>
      </w:r>
      <w:proofErr w:type="spellStart"/>
      <w:r>
        <w:rPr>
          <w:szCs w:val="22"/>
          <w:lang w:val="hu-HU"/>
        </w:rPr>
        <w:t>rehidráció</w:t>
      </w:r>
      <w:proofErr w:type="spellEnd"/>
      <w:r>
        <w:rPr>
          <w:szCs w:val="22"/>
          <w:lang w:val="hu-HU"/>
        </w:rPr>
        <w:t xml:space="preserve"> szükséges.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Imipramin</w:t>
      </w:r>
      <w:proofErr w:type="spellEnd"/>
      <w:r>
        <w:rPr>
          <w:szCs w:val="22"/>
          <w:u w:val="single"/>
          <w:lang w:val="hu-HU"/>
        </w:rPr>
        <w:t xml:space="preserve">-szerű antidepresszánsok, </w:t>
      </w:r>
      <w:proofErr w:type="spellStart"/>
      <w:r>
        <w:rPr>
          <w:szCs w:val="22"/>
          <w:u w:val="single"/>
          <w:lang w:val="hu-HU"/>
        </w:rPr>
        <w:t>neuroleptikumok</w:t>
      </w:r>
      <w:proofErr w:type="spellEnd"/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Vérnyomáscsökkentő hatás jelentkezhet, és az </w:t>
      </w:r>
      <w:proofErr w:type="spellStart"/>
      <w:r>
        <w:rPr>
          <w:szCs w:val="22"/>
          <w:lang w:val="hu-HU"/>
        </w:rPr>
        <w:t>orthostaticus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 kockázata állhat fenn (</w:t>
      </w:r>
      <w:proofErr w:type="gramStart"/>
      <w:r>
        <w:rPr>
          <w:szCs w:val="22"/>
          <w:lang w:val="hu-HU"/>
        </w:rPr>
        <w:t>additív</w:t>
      </w:r>
      <w:proofErr w:type="gramEnd"/>
      <w:r>
        <w:rPr>
          <w:szCs w:val="22"/>
          <w:lang w:val="hu-HU"/>
        </w:rPr>
        <w:t xml:space="preserve"> hatás).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Kalcium (sók)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vizelettel történő kalciumürítés csökkenése miatt fokozódik a </w:t>
      </w:r>
      <w:proofErr w:type="spellStart"/>
      <w:r>
        <w:rPr>
          <w:szCs w:val="22"/>
          <w:lang w:val="hu-HU"/>
        </w:rPr>
        <w:t>hypercalcaemia</w:t>
      </w:r>
      <w:proofErr w:type="spellEnd"/>
      <w:r>
        <w:rPr>
          <w:szCs w:val="22"/>
          <w:lang w:val="hu-HU"/>
        </w:rPr>
        <w:t xml:space="preserve"> kialakulásának kockázata.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Ciklosporin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takrolimusz</w:t>
      </w:r>
      <w:proofErr w:type="spellEnd"/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Még folyadék-/nátriumhiány fennállása nélkül is – a keringő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szintjének bármiféle változása nélkül – fennáll a plazmakreatinin-szint növekedésének kockázata.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Kortikoszteroidok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tetrakozaktid</w:t>
      </w:r>
      <w:proofErr w:type="spellEnd"/>
      <w:r>
        <w:rPr>
          <w:szCs w:val="22"/>
          <w:u w:val="single"/>
          <w:lang w:val="hu-HU"/>
        </w:rPr>
        <w:t xml:space="preserve"> (</w:t>
      </w:r>
      <w:proofErr w:type="gramStart"/>
      <w:r>
        <w:rPr>
          <w:szCs w:val="22"/>
          <w:u w:val="single"/>
          <w:lang w:val="hu-HU"/>
        </w:rPr>
        <w:t>szisztémás</w:t>
      </w:r>
      <w:proofErr w:type="gramEnd"/>
      <w:r>
        <w:rPr>
          <w:szCs w:val="22"/>
          <w:u w:val="single"/>
          <w:lang w:val="hu-HU"/>
        </w:rPr>
        <w:t xml:space="preserve"> kezelés)</w:t>
      </w:r>
    </w:p>
    <w:p w:rsidR="00E711F0" w:rsidRDefault="004D44D3">
      <w:pPr>
        <w:rPr>
          <w:szCs w:val="22"/>
          <w:lang w:val="hu-HU"/>
        </w:rPr>
      </w:pPr>
      <w:r>
        <w:rPr>
          <w:szCs w:val="22"/>
          <w:lang w:val="hu-HU"/>
        </w:rPr>
        <w:t xml:space="preserve">A vérnyomáscsökkentő hatás csökken (víz és nátriumretenció a </w:t>
      </w:r>
      <w:proofErr w:type="spellStart"/>
      <w:r>
        <w:rPr>
          <w:szCs w:val="22"/>
          <w:lang w:val="hu-HU"/>
        </w:rPr>
        <w:t>kortikoszteroid</w:t>
      </w:r>
      <w:proofErr w:type="spellEnd"/>
      <w:r>
        <w:rPr>
          <w:szCs w:val="22"/>
          <w:lang w:val="hu-HU"/>
        </w:rPr>
        <w:t>-hatás következtében).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:rsidR="00E711F0" w:rsidRDefault="00E711F0">
      <w:pPr>
        <w:spacing w:line="240" w:lineRule="auto"/>
        <w:rPr>
          <w:i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 alkalmazása nem javasolt a terhesség első trimeszterében (lásd 4.4 pont). 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 alkalmazása ellenjavallt a terhesség második és harmadik trimeszterében (lásd 4.3 és 4.4 pont).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terhes nőknél történő alkalmazásáról nincsenek megfelelő adatok. Az állatokkal végzett vizsgálatok reprodukciós toxicitást igazoltak (lásd 5.3 pont).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terhesség első harmada alatti ACE-gátló-expozíciót követő </w:t>
      </w:r>
      <w:proofErr w:type="spellStart"/>
      <w:r>
        <w:rPr>
          <w:lang w:val="hu-HU"/>
        </w:rPr>
        <w:t>teratogenitási</w:t>
      </w:r>
      <w:proofErr w:type="spellEnd"/>
      <w:r>
        <w:rPr>
          <w:lang w:val="hu-HU"/>
        </w:rPr>
        <w:t xml:space="preserve"> kockázatra vonatkozó epidemiológiai bizonyíték nem volt meggyőző, a kockázat kismértékű növekedése azonban nem zárható ki. Mivel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(AT-II) -receptor-</w:t>
      </w:r>
      <w:proofErr w:type="spellStart"/>
      <w:r>
        <w:rPr>
          <w:lang w:val="hu-HU"/>
        </w:rPr>
        <w:t>antagonisták</w:t>
      </w:r>
      <w:proofErr w:type="spellEnd"/>
      <w:r>
        <w:rPr>
          <w:lang w:val="hu-HU"/>
        </w:rPr>
        <w:t xml:space="preserve"> alkalmazásával járó kockázatra vonatkozóan nem állnak rendelkezésre kontrollált epidemiológiai adatok, hasonló kockázattal lehet számolni </w:t>
      </w:r>
      <w:proofErr w:type="gramStart"/>
      <w:r>
        <w:rPr>
          <w:lang w:val="hu-HU"/>
        </w:rPr>
        <w:t>ezen</w:t>
      </w:r>
      <w:proofErr w:type="gramEnd"/>
      <w:r>
        <w:rPr>
          <w:lang w:val="hu-HU"/>
        </w:rPr>
        <w:t xml:space="preserve"> gyógyszercsoport esetén is. Hacsak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-receptor-blokkolóval történő kezelés folytatása nem elengedhetetlen, a terhességet tervező betegeket olyan más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a terhesség alatti alkalmazásra vonatkozó biztonságossági </w:t>
      </w:r>
      <w:proofErr w:type="gramStart"/>
      <w:r>
        <w:rPr>
          <w:lang w:val="hu-HU"/>
        </w:rPr>
        <w:t>profilja</w:t>
      </w:r>
      <w:proofErr w:type="gramEnd"/>
      <w:r>
        <w:rPr>
          <w:lang w:val="hu-HU"/>
        </w:rPr>
        <w:t xml:space="preserve"> megalapozott. Terhesség megállapítását követően az AT-II-receptor-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 szedését azonnal abba kell hagyni és amennyiben lehetséges, terápiás alternatíva alkalmazását kell elkezdeni.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-kezelés a terhesség második és harmadik harmadában ismerten magzati toxicitást (csökkent vesefunkció, </w:t>
      </w:r>
      <w:proofErr w:type="spellStart"/>
      <w:r>
        <w:rPr>
          <w:lang w:val="hu-HU"/>
        </w:rPr>
        <w:t>oligohydramnion</w:t>
      </w:r>
      <w:proofErr w:type="spellEnd"/>
      <w:r>
        <w:rPr>
          <w:lang w:val="hu-HU"/>
        </w:rPr>
        <w:t xml:space="preserve">, a koponyacsontosodás retardációja) és újszülöttkori toxicitást (veseelégtelenség,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>) okoz. (lásd 5.3 pont).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lastRenderedPageBreak/>
        <w:t>Amennyiben az AT-II-receptor-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>-expozíció a terhesség második trimeszterétől kezdve történt, a vesefunkció és a koponya ultrahangvizsgálata javasolt.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Ha az anya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antagonistát</w:t>
      </w:r>
      <w:proofErr w:type="spellEnd"/>
      <w:r>
        <w:rPr>
          <w:lang w:val="hu-HU"/>
        </w:rPr>
        <w:t xml:space="preserve"> szedett, a csecsemőt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kialakulása szempontjából szoros megfigyelés alatt kell tartani (lásd 4.3 és 4.4 pont).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szCs w:val="22"/>
          <w:lang w:val="pt-PT"/>
        </w:rPr>
        <w:t>A</w:t>
      </w:r>
      <w:r>
        <w:rPr>
          <w:iCs/>
          <w:szCs w:val="22"/>
          <w:lang w:val="fi-FI"/>
        </w:rPr>
        <w:t>z indapamid</w:t>
      </w:r>
      <w:r>
        <w:rPr>
          <w:szCs w:val="22"/>
          <w:lang w:val="fi-FI"/>
        </w:rPr>
        <w:t xml:space="preserve"> terhes nőknél történő alkalmazásáról nincsenek adatok, vagy korlátozott mennyiségű </w:t>
      </w:r>
      <w:r>
        <w:rPr>
          <w:lang w:val="hu-HU"/>
        </w:rPr>
        <w:t xml:space="preserve">(kevesebb mint 300 terhességből származó) adat áll rendelkezésre. A terhesség harmadik trimesztere alatti, hosszan tartó </w:t>
      </w:r>
      <w:proofErr w:type="spellStart"/>
      <w:r>
        <w:rPr>
          <w:lang w:val="hu-HU"/>
        </w:rPr>
        <w:t>tiazidexpozíció</w:t>
      </w:r>
      <w:proofErr w:type="spellEnd"/>
      <w:r>
        <w:rPr>
          <w:lang w:val="hu-HU"/>
        </w:rPr>
        <w:t xml:space="preserve"> csökkentheti az anyai plazmavolument és az </w:t>
      </w:r>
      <w:proofErr w:type="spellStart"/>
      <w:r>
        <w:rPr>
          <w:lang w:val="hu-HU"/>
        </w:rPr>
        <w:t>uteroplacentaris</w:t>
      </w:r>
      <w:proofErr w:type="spellEnd"/>
      <w:r>
        <w:rPr>
          <w:lang w:val="hu-HU"/>
        </w:rPr>
        <w:t xml:space="preserve"> véráramlást, ami </w:t>
      </w:r>
      <w:proofErr w:type="spellStart"/>
      <w:r>
        <w:rPr>
          <w:lang w:val="hu-HU"/>
        </w:rPr>
        <w:t>foetoplacentaris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ischaemiát</w:t>
      </w:r>
      <w:proofErr w:type="spellEnd"/>
      <w:r>
        <w:rPr>
          <w:lang w:val="hu-HU"/>
        </w:rPr>
        <w:t xml:space="preserve"> válthat ki, és a magzat </w:t>
      </w:r>
      <w:proofErr w:type="spellStart"/>
      <w:r>
        <w:rPr>
          <w:lang w:val="hu-HU"/>
        </w:rPr>
        <w:t>növekedésbeli</w:t>
      </w:r>
      <w:proofErr w:type="spellEnd"/>
      <w:r>
        <w:rPr>
          <w:lang w:val="hu-HU"/>
        </w:rPr>
        <w:t xml:space="preserve"> elmaradását idézheti elő.</w:t>
      </w:r>
    </w:p>
    <w:p w:rsidR="00E711F0" w:rsidRDefault="004D44D3">
      <w:pPr>
        <w:rPr>
          <w:szCs w:val="22"/>
          <w:lang w:val="fi-FI"/>
        </w:rPr>
      </w:pPr>
      <w:r>
        <w:rPr>
          <w:szCs w:val="22"/>
          <w:lang w:val="fi-FI"/>
        </w:rPr>
        <w:t>Állatokkal végzett vizsgálatok nem igazoltak közvetlen vagy közvetett káros hatásokat a reprodukciós toxicitás tekintetében (lásd 5.3 pont).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alkalmazása elővigyázatosságból kerülendő a terhesség alatt.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:rsidR="00E711F0" w:rsidRDefault="004D44D3">
      <w:pPr>
        <w:autoSpaceDE w:val="0"/>
        <w:autoSpaceDN w:val="0"/>
        <w:adjustRightInd w:val="0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A </w:t>
      </w:r>
      <w:proofErr w:type="spellStart"/>
      <w:r>
        <w:rPr>
          <w:iCs/>
          <w:szCs w:val="22"/>
          <w:lang w:val="hu-HU"/>
        </w:rPr>
        <w:t>Texolmid</w:t>
      </w:r>
      <w:proofErr w:type="spellEnd"/>
      <w:r>
        <w:rPr>
          <w:iCs/>
          <w:szCs w:val="22"/>
          <w:lang w:val="hu-HU"/>
        </w:rPr>
        <w:t xml:space="preserve"> alkalmazása nem ajánlott a szoptatás időszakában.</w:t>
      </w:r>
    </w:p>
    <w:p w:rsidR="00E711F0" w:rsidRDefault="00E711F0">
      <w:pPr>
        <w:autoSpaceDE w:val="0"/>
        <w:autoSpaceDN w:val="0"/>
        <w:adjustRightInd w:val="0"/>
        <w:rPr>
          <w:iCs/>
          <w:szCs w:val="22"/>
          <w:lang w:val="hu-HU"/>
        </w:rPr>
      </w:pPr>
    </w:p>
    <w:p w:rsidR="00E711F0" w:rsidRDefault="004D44D3">
      <w:pPr>
        <w:autoSpaceDE w:val="0"/>
        <w:autoSpaceDN w:val="0"/>
        <w:adjustRightInd w:val="0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Mivel nincsenek rendelkezésre álló adatok a </w:t>
      </w:r>
      <w:proofErr w:type="spellStart"/>
      <w:r>
        <w:rPr>
          <w:iCs/>
          <w:szCs w:val="22"/>
          <w:lang w:val="hu-HU"/>
        </w:rPr>
        <w:t>telmizartán</w:t>
      </w:r>
      <w:proofErr w:type="spellEnd"/>
      <w:r>
        <w:rPr>
          <w:iCs/>
          <w:szCs w:val="22"/>
          <w:lang w:val="hu-HU"/>
        </w:rPr>
        <w:t xml:space="preserve"> szoptatás időszakában történő alkalmazásáról, a </w:t>
      </w:r>
      <w:proofErr w:type="spellStart"/>
      <w:r>
        <w:rPr>
          <w:iCs/>
          <w:szCs w:val="22"/>
          <w:lang w:val="hu-HU"/>
        </w:rPr>
        <w:t>telmizartán</w:t>
      </w:r>
      <w:proofErr w:type="spellEnd"/>
      <w:r>
        <w:rPr>
          <w:iCs/>
          <w:szCs w:val="22"/>
          <w:lang w:val="hu-HU"/>
        </w:rPr>
        <w:t xml:space="preserve"> szedése nem javasolt, és – különösen, ha és amíg a nő újszülöttet vagy koraszülöttet szoptat – olyan terápiás alternatívát kell előnyben részesíteni, amelynél a szoptatás alatti alkalmazásra vonatkozó biztonságossági </w:t>
      </w:r>
      <w:proofErr w:type="gramStart"/>
      <w:r>
        <w:rPr>
          <w:iCs/>
          <w:szCs w:val="22"/>
          <w:lang w:val="hu-HU"/>
        </w:rPr>
        <w:t>profil</w:t>
      </w:r>
      <w:proofErr w:type="gramEnd"/>
      <w:r>
        <w:rPr>
          <w:iCs/>
          <w:szCs w:val="22"/>
          <w:lang w:val="hu-HU"/>
        </w:rPr>
        <w:t xml:space="preserve"> jobban ismert.</w:t>
      </w:r>
    </w:p>
    <w:p w:rsidR="00E711F0" w:rsidRDefault="00E711F0">
      <w:pPr>
        <w:autoSpaceDE w:val="0"/>
        <w:autoSpaceDN w:val="0"/>
        <w:adjustRightInd w:val="0"/>
        <w:rPr>
          <w:iCs/>
          <w:szCs w:val="22"/>
          <w:lang w:val="hu-HU"/>
        </w:rPr>
      </w:pPr>
    </w:p>
    <w:p w:rsidR="00E711F0" w:rsidRDefault="004D44D3">
      <w:pPr>
        <w:rPr>
          <w:szCs w:val="22"/>
          <w:lang w:val="fi-FI"/>
        </w:rPr>
      </w:pPr>
      <w:r>
        <w:rPr>
          <w:iCs/>
          <w:szCs w:val="22"/>
          <w:lang w:val="hu-HU"/>
        </w:rPr>
        <w:t xml:space="preserve">Az 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és </w:t>
      </w:r>
      <w:proofErr w:type="spellStart"/>
      <w:r>
        <w:rPr>
          <w:iCs/>
          <w:szCs w:val="22"/>
          <w:lang w:val="hu-HU"/>
        </w:rPr>
        <w:t>metabolitjainak</w:t>
      </w:r>
      <w:proofErr w:type="spellEnd"/>
      <w:r>
        <w:rPr>
          <w:iCs/>
          <w:szCs w:val="22"/>
          <w:lang w:val="hu-HU"/>
        </w:rPr>
        <w:t xml:space="preserve"> humán anyatejbe történő kiválasztódásával kapcsolatban nem áll rendelkezésre elegendő mennyiségű </w:t>
      </w:r>
      <w:proofErr w:type="gramStart"/>
      <w:r>
        <w:rPr>
          <w:iCs/>
          <w:szCs w:val="22"/>
          <w:lang w:val="hu-HU"/>
        </w:rPr>
        <w:t>információ</w:t>
      </w:r>
      <w:proofErr w:type="gramEnd"/>
      <w:r>
        <w:rPr>
          <w:iCs/>
          <w:szCs w:val="22"/>
          <w:lang w:val="hu-HU"/>
        </w:rPr>
        <w:t>.</w:t>
      </w:r>
      <w:r>
        <w:rPr>
          <w:szCs w:val="22"/>
          <w:lang w:val="fi-FI"/>
        </w:rPr>
        <w:t xml:space="preserve"> </w:t>
      </w:r>
      <w:r>
        <w:rPr>
          <w:iCs/>
          <w:szCs w:val="22"/>
          <w:lang w:val="hu-HU"/>
        </w:rPr>
        <w:t xml:space="preserve">Szulfonamid-származékokkal szembeni túlérzékenység és </w:t>
      </w:r>
      <w:proofErr w:type="spellStart"/>
      <w:r>
        <w:rPr>
          <w:iCs/>
          <w:szCs w:val="22"/>
          <w:lang w:val="hu-HU"/>
        </w:rPr>
        <w:t>hypokalaemia</w:t>
      </w:r>
      <w:proofErr w:type="spellEnd"/>
      <w:r>
        <w:rPr>
          <w:iCs/>
          <w:szCs w:val="22"/>
          <w:lang w:val="hu-HU"/>
        </w:rPr>
        <w:t xml:space="preserve"> is kialakulhat. Az újszülött/csecsemő vonatkozásában a kockázatot nem lehet kizárni.</w:t>
      </w:r>
    </w:p>
    <w:p w:rsidR="00E711F0" w:rsidRDefault="004D44D3">
      <w:pPr>
        <w:autoSpaceDE w:val="0"/>
        <w:autoSpaceDN w:val="0"/>
        <w:adjustRightInd w:val="0"/>
        <w:rPr>
          <w:lang w:val="hu-HU"/>
        </w:rPr>
      </w:pPr>
      <w:r>
        <w:rPr>
          <w:iCs/>
          <w:szCs w:val="22"/>
          <w:lang w:val="hu-HU"/>
        </w:rPr>
        <w:t xml:space="preserve">Az 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a </w:t>
      </w:r>
      <w:proofErr w:type="spellStart"/>
      <w:r>
        <w:rPr>
          <w:iCs/>
          <w:szCs w:val="22"/>
          <w:lang w:val="hu-HU"/>
        </w:rPr>
        <w:t>tiazid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diuretikumokkal</w:t>
      </w:r>
      <w:proofErr w:type="spellEnd"/>
      <w:r>
        <w:rPr>
          <w:iCs/>
          <w:szCs w:val="22"/>
          <w:lang w:val="hu-HU"/>
        </w:rPr>
        <w:t xml:space="preserve"> szoros rokonságban álló vegyület. A </w:t>
      </w:r>
      <w:proofErr w:type="spellStart"/>
      <w:r>
        <w:rPr>
          <w:iCs/>
          <w:szCs w:val="22"/>
          <w:lang w:val="hu-HU"/>
        </w:rPr>
        <w:t>tiazid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diuretikumok</w:t>
      </w:r>
      <w:proofErr w:type="spellEnd"/>
      <w:r>
        <w:rPr>
          <w:iCs/>
          <w:szCs w:val="22"/>
          <w:lang w:val="hu-HU"/>
        </w:rPr>
        <w:t xml:space="preserve"> szoptatás alatti alkalmazásával összefüggő hatás a laktáció csökkenése, esetleg megszűnése.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esetében nem figyeltek meg női és férfi termékenységre kifejtett hatást a </w:t>
      </w:r>
      <w:proofErr w:type="spellStart"/>
      <w:r>
        <w:rPr>
          <w:lang w:val="hu-HU"/>
        </w:rPr>
        <w:t>preklinikai</w:t>
      </w:r>
      <w:proofErr w:type="spellEnd"/>
      <w:r>
        <w:rPr>
          <w:lang w:val="hu-HU"/>
        </w:rPr>
        <w:t xml:space="preserve"> vizsgálatok során.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indapamaidra</w:t>
      </w:r>
      <w:proofErr w:type="spellEnd"/>
      <w:r>
        <w:rPr>
          <w:lang w:val="hu-HU"/>
        </w:rPr>
        <w:t xml:space="preserve"> vonatkozóan a nőstény és hím patkányokkal végzett reproduktív toxicitási vizsgálatok nem igazoltak termékenységre gyakorolt hatást (lásd 5.3 pont). Humán termékenységre gyakorolt hatás nem várható.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:rsidR="00E711F0" w:rsidRDefault="00E711F0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telmizartán/indapamid kombináció alkalmazása a vérnyomáscsökkenéssel kapcsolatos, egyénileg eltérő reakciókat okozhat, különösen a kezelés kezdetén. Ezért a gépjárművezetéskor vagy gépek kezelésekor figyelembe kell venni, hogy szédülés vagy fáradtság előfordulhat.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 xml:space="preserve">A biztonságossági </w:t>
      </w:r>
      <w:proofErr w:type="gramStart"/>
      <w:r>
        <w:rPr>
          <w:iCs/>
          <w:u w:val="single"/>
          <w:lang w:val="hu-HU"/>
        </w:rPr>
        <w:t>profil</w:t>
      </w:r>
      <w:proofErr w:type="gramEnd"/>
      <w:r>
        <w:rPr>
          <w:iCs/>
          <w:u w:val="single"/>
          <w:lang w:val="hu-HU"/>
        </w:rPr>
        <w:t xml:space="preserve"> összefoglalása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Telmizartán</w:t>
      </w: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súlyos mellékhatások között szerepel a ritkán (≥1/10 000 – &lt;1/1000) előforduló </w:t>
      </w:r>
      <w:proofErr w:type="spellStart"/>
      <w:r>
        <w:rPr>
          <w:iCs/>
          <w:lang w:val="hu-HU"/>
        </w:rPr>
        <w:t>anaphylaxiás</w:t>
      </w:r>
      <w:proofErr w:type="spellEnd"/>
      <w:r>
        <w:rPr>
          <w:iCs/>
          <w:lang w:val="hu-HU"/>
        </w:rPr>
        <w:t xml:space="preserve"> reakció és az </w:t>
      </w:r>
      <w:proofErr w:type="spellStart"/>
      <w:r>
        <w:rPr>
          <w:iCs/>
          <w:lang w:val="hu-HU"/>
        </w:rPr>
        <w:t>angiooedema</w:t>
      </w:r>
      <w:proofErr w:type="spellEnd"/>
      <w:r>
        <w:rPr>
          <w:iCs/>
          <w:lang w:val="hu-HU"/>
        </w:rPr>
        <w:t xml:space="preserve">, valamint az </w:t>
      </w:r>
      <w:proofErr w:type="gramStart"/>
      <w:r>
        <w:rPr>
          <w:iCs/>
          <w:lang w:val="hu-HU"/>
        </w:rPr>
        <w:t>akut</w:t>
      </w:r>
      <w:proofErr w:type="gramEnd"/>
      <w:r>
        <w:rPr>
          <w:iCs/>
          <w:lang w:val="hu-HU"/>
        </w:rPr>
        <w:t xml:space="preserve"> veseelégtelenség.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hypertonia</w:t>
      </w:r>
      <w:proofErr w:type="spellEnd"/>
      <w:r>
        <w:rPr>
          <w:iCs/>
          <w:lang w:val="hu-HU"/>
        </w:rPr>
        <w:t xml:space="preserve"> miatt kezelt betegeknél a </w:t>
      </w:r>
      <w:proofErr w:type="gramStart"/>
      <w:r>
        <w:rPr>
          <w:iCs/>
          <w:lang w:val="hu-HU"/>
        </w:rPr>
        <w:t>kontrollos</w:t>
      </w:r>
      <w:proofErr w:type="gramEnd"/>
      <w:r>
        <w:rPr>
          <w:iCs/>
          <w:lang w:val="hu-HU"/>
        </w:rPr>
        <w:t xml:space="preserve"> vizsgálatokban a nemkívánatos események teljes </w:t>
      </w:r>
      <w:proofErr w:type="spellStart"/>
      <w:r>
        <w:rPr>
          <w:iCs/>
          <w:lang w:val="hu-HU"/>
        </w:rPr>
        <w:t>incidenciája</w:t>
      </w:r>
      <w:proofErr w:type="spellEnd"/>
      <w:r>
        <w:rPr>
          <w:iCs/>
          <w:lang w:val="hu-HU"/>
        </w:rPr>
        <w:t xml:space="preserve"> általában hasonló volt a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 xml:space="preserve"> (41,4%) és a </w:t>
      </w:r>
      <w:proofErr w:type="spellStart"/>
      <w:r>
        <w:rPr>
          <w:iCs/>
          <w:lang w:val="hu-HU"/>
        </w:rPr>
        <w:t>placebóval</w:t>
      </w:r>
      <w:proofErr w:type="spellEnd"/>
      <w:r>
        <w:rPr>
          <w:iCs/>
          <w:lang w:val="hu-HU"/>
        </w:rPr>
        <w:t xml:space="preserve"> (43,9%) kezelt csoportban. A mellékhatások </w:t>
      </w:r>
      <w:proofErr w:type="spellStart"/>
      <w:r>
        <w:rPr>
          <w:iCs/>
          <w:lang w:val="hu-HU"/>
        </w:rPr>
        <w:t>incidenciája</w:t>
      </w:r>
      <w:proofErr w:type="spellEnd"/>
      <w:r>
        <w:rPr>
          <w:iCs/>
          <w:lang w:val="hu-HU"/>
        </w:rPr>
        <w:t xml:space="preserve"> független volt az alkalmazott </w:t>
      </w:r>
      <w:proofErr w:type="gramStart"/>
      <w:r>
        <w:rPr>
          <w:iCs/>
          <w:lang w:val="hu-HU"/>
        </w:rPr>
        <w:t>dózis</w:t>
      </w:r>
      <w:proofErr w:type="gramEnd"/>
      <w:r>
        <w:rPr>
          <w:iCs/>
          <w:lang w:val="hu-HU"/>
        </w:rPr>
        <w:t xml:space="preserve"> nagyságától, valamint a betegek nemétől, életkorától és </w:t>
      </w:r>
      <w:proofErr w:type="spellStart"/>
      <w:r>
        <w:rPr>
          <w:iCs/>
          <w:lang w:val="hu-HU"/>
        </w:rPr>
        <w:t>rasszbeli</w:t>
      </w:r>
      <w:proofErr w:type="spellEnd"/>
      <w:r>
        <w:rPr>
          <w:iCs/>
          <w:lang w:val="hu-HU"/>
        </w:rPr>
        <w:t xml:space="preserve"> sajátosságaitól is.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</w:t>
      </w:r>
      <w:r>
        <w:rPr>
          <w:iCs/>
          <w:lang w:val="hu-HU"/>
        </w:rPr>
        <w:lastRenderedPageBreak/>
        <w:t xml:space="preserve">érdekében kezelt betegeknél a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 biztonságossági </w:t>
      </w:r>
      <w:proofErr w:type="gramStart"/>
      <w:r>
        <w:rPr>
          <w:iCs/>
          <w:lang w:val="hu-HU"/>
        </w:rPr>
        <w:t>profilja</w:t>
      </w:r>
      <w:proofErr w:type="gramEnd"/>
      <w:r>
        <w:rPr>
          <w:iCs/>
          <w:lang w:val="hu-HU"/>
        </w:rPr>
        <w:t xml:space="preserve"> megegyezett a </w:t>
      </w:r>
      <w:proofErr w:type="spellStart"/>
      <w:r>
        <w:rPr>
          <w:iCs/>
          <w:lang w:val="hu-HU"/>
        </w:rPr>
        <w:t>hypertoniás</w:t>
      </w:r>
      <w:proofErr w:type="spellEnd"/>
      <w:r>
        <w:rPr>
          <w:iCs/>
          <w:lang w:val="hu-HU"/>
        </w:rPr>
        <w:t xml:space="preserve"> betegek esetében </w:t>
      </w:r>
      <w:proofErr w:type="spellStart"/>
      <w:r>
        <w:rPr>
          <w:iCs/>
          <w:lang w:val="hu-HU"/>
        </w:rPr>
        <w:t>észlelttel</w:t>
      </w:r>
      <w:proofErr w:type="spellEnd"/>
      <w:r>
        <w:rPr>
          <w:iCs/>
          <w:lang w:val="hu-HU"/>
        </w:rPr>
        <w:t>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következőkben felsorolt mellékhatások a </w:t>
      </w:r>
      <w:proofErr w:type="spellStart"/>
      <w:r>
        <w:rPr>
          <w:iCs/>
          <w:lang w:val="hu-HU"/>
        </w:rPr>
        <w:t>hypertonia</w:t>
      </w:r>
      <w:proofErr w:type="spellEnd"/>
      <w:r>
        <w:rPr>
          <w:iCs/>
          <w:lang w:val="hu-HU"/>
        </w:rPr>
        <w:t xml:space="preserve"> miatt kezelt betegek </w:t>
      </w:r>
      <w:proofErr w:type="gramStart"/>
      <w:r>
        <w:rPr>
          <w:iCs/>
          <w:lang w:val="hu-HU"/>
        </w:rPr>
        <w:t>kontrollos</w:t>
      </w:r>
      <w:proofErr w:type="gramEnd"/>
      <w:r>
        <w:rPr>
          <w:iCs/>
          <w:lang w:val="hu-HU"/>
        </w:rPr>
        <w:t xml:space="preserve"> klinikai vizsgálataiból és a forgalomba hozatalt követő jelentésekből származnak. A felsorolás figyelembe veszi azokat a súlyos mellékhatásokat és a kezelés megszakításához vezető mellékhatásokat is, amelyek három hosszú távú klinikai vizsgálatból származnak: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érdekében összesen 21 642 beteget kezeltek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>, akár 6 éven át.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/>
          <w:lang w:val="hu-HU"/>
        </w:rPr>
      </w:pPr>
      <w:proofErr w:type="spellStart"/>
      <w:r>
        <w:rPr>
          <w:i/>
          <w:lang w:val="hu-HU"/>
        </w:rPr>
        <w:t>Indapamid</w:t>
      </w:r>
      <w:proofErr w:type="spellEnd"/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leggyakrabban jelentett mellékhatások a </w:t>
      </w:r>
      <w:proofErr w:type="spellStart"/>
      <w:r>
        <w:rPr>
          <w:iCs/>
          <w:lang w:val="hu-HU"/>
        </w:rPr>
        <w:t>hypokalaemia</w:t>
      </w:r>
      <w:proofErr w:type="spellEnd"/>
      <w:r>
        <w:rPr>
          <w:iCs/>
          <w:lang w:val="hu-HU"/>
        </w:rPr>
        <w:t xml:space="preserve">, az elsősorban </w:t>
      </w:r>
      <w:proofErr w:type="gramStart"/>
      <w:r>
        <w:rPr>
          <w:iCs/>
          <w:lang w:val="hu-HU"/>
        </w:rPr>
        <w:t>dermatológiai</w:t>
      </w:r>
      <w:proofErr w:type="gramEnd"/>
      <w:r>
        <w:rPr>
          <w:iCs/>
          <w:lang w:val="hu-HU"/>
        </w:rPr>
        <w:t xml:space="preserve"> túlérzékenységi reakciók az allergiás és asztmatikus reakciókra hajlamos egyéneknél és a </w:t>
      </w:r>
      <w:proofErr w:type="spellStart"/>
      <w:r>
        <w:rPr>
          <w:iCs/>
          <w:lang w:val="hu-HU"/>
        </w:rPr>
        <w:t>maculopapulosus</w:t>
      </w:r>
      <w:proofErr w:type="spellEnd"/>
      <w:r>
        <w:rPr>
          <w:iCs/>
          <w:lang w:val="hu-HU"/>
        </w:rPr>
        <w:t xml:space="preserve"> kiütések.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A mellékhatások táblázatos összefoglalása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 mellékhatásokat gyakoriság szerint, a következő egyezményes módon osztályoztuk: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1/10),</w:t>
      </w:r>
    </w:p>
    <w:p w:rsidR="00E711F0" w:rsidRDefault="004D44D3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 – &lt;1/10),</w:t>
      </w:r>
    </w:p>
    <w:p w:rsidR="00E711F0" w:rsidRDefault="004D44D3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1/1000 – &lt;1/100),</w:t>
      </w:r>
    </w:p>
    <w:p w:rsidR="00E711F0" w:rsidRDefault="004D44D3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Ritka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1/10 000 – &lt;1/1000),</w:t>
      </w:r>
    </w:p>
    <w:p w:rsidR="00E711F0" w:rsidRDefault="004D44D3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ritka (&lt;1/10 000),</w:t>
      </w:r>
    </w:p>
    <w:p w:rsidR="00E711F0" w:rsidRDefault="004D44D3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ismert (a gyakoriság a rendelkezésre álló adatokból nem állapítható meg).</w:t>
      </w:r>
    </w:p>
    <w:p w:rsidR="00E711F0" w:rsidRDefault="00E711F0">
      <w:pPr>
        <w:spacing w:line="240" w:lineRule="auto"/>
        <w:rPr>
          <w:iCs/>
          <w:lang w:val="hu-H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39"/>
        <w:gridCol w:w="3403"/>
        <w:gridCol w:w="1810"/>
        <w:gridCol w:w="1809"/>
      </w:tblGrid>
      <w:tr w:rsidR="00E711F0">
        <w:trPr>
          <w:trHeight w:val="70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bookmarkStart w:id="2" w:name="_Hlk170898732"/>
            <w:proofErr w:type="spellStart"/>
            <w:r>
              <w:rPr>
                <w:b/>
                <w:szCs w:val="22"/>
                <w:lang w:val="hu-HU"/>
              </w:rPr>
              <w:t>MedDRA</w:t>
            </w:r>
            <w:proofErr w:type="spellEnd"/>
            <w:r>
              <w:rPr>
                <w:b/>
                <w:szCs w:val="22"/>
                <w:lang w:val="hu-HU"/>
              </w:rPr>
              <w:t xml:space="preserve"> szervrendszeri </w:t>
            </w:r>
            <w:proofErr w:type="gramStart"/>
            <w:r>
              <w:rPr>
                <w:b/>
                <w:szCs w:val="22"/>
                <w:lang w:val="hu-HU"/>
              </w:rPr>
              <w:t>kategória</w:t>
            </w:r>
            <w:proofErr w:type="gramEnd"/>
          </w:p>
        </w:tc>
        <w:tc>
          <w:tcPr>
            <w:tcW w:w="1878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szCs w:val="22"/>
                <w:lang w:val="hu-HU"/>
              </w:rPr>
              <w:t>Mellékhatások</w:t>
            </w:r>
          </w:p>
        </w:tc>
        <w:tc>
          <w:tcPr>
            <w:tcW w:w="1997" w:type="pct"/>
            <w:gridSpan w:val="2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Gyakoriság</w:t>
            </w:r>
          </w:p>
        </w:tc>
      </w:tr>
      <w:tr w:rsidR="00E711F0">
        <w:trPr>
          <w:trHeight w:val="688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999" w:type="pct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Telmizartán</w:t>
            </w:r>
          </w:p>
        </w:tc>
        <w:tc>
          <w:tcPr>
            <w:tcW w:w="998" w:type="pc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Indapamid</w:t>
            </w:r>
          </w:p>
        </w:tc>
      </w:tr>
      <w:tr w:rsidR="00E711F0">
        <w:trPr>
          <w:trHeight w:val="277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Fertőző betegségek és parazitafertőzések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Húgyúti fertőzések, beleértve a cystitist 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Felső légúti fertőzések, többek között pharyngitis és sinusitis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Szepszis, a halálos kimenetelű eseteket is beleértve</w:t>
            </w:r>
            <w:r>
              <w:rPr>
                <w:noProof/>
                <w:szCs w:val="24"/>
                <w:vertAlign w:val="superscript"/>
                <w:lang w:val="hu-HU"/>
              </w:rPr>
              <w:t>1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77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Vérképzőszervi és nyirokrendszeri betegségek és tüntek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Anaemia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Eosinophilia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Thrombocytopenia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Agranulocytosis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Aplasticus anaemia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78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Haemolyticus anaemia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7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Leukopenia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75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Immunrendszeri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Anaphylaxiás reakció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75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Túlérzékenység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49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bCs/>
                <w:noProof/>
                <w:szCs w:val="24"/>
                <w:lang w:val="hu-HU"/>
              </w:rPr>
            </w:pPr>
            <w:r>
              <w:rPr>
                <w:b/>
                <w:bCs/>
                <w:noProof/>
                <w:szCs w:val="24"/>
                <w:lang w:val="hu-HU"/>
              </w:rPr>
              <w:t>Anyagcsere- és táplálkozási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Hyperkalaemia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12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Hypoglykaemia (cukorbetegeknél)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8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Hypercalcaemia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915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Hypokalaemia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E711F0">
        <w:trPr>
          <w:trHeight w:val="16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Hyponatraemia (lásd 4.4 pont)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E711F0">
        <w:trPr>
          <w:trHeight w:val="16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Hypochloraemia</w:t>
            </w:r>
          </w:p>
        </w:tc>
        <w:tc>
          <w:tcPr>
            <w:tcW w:w="999" w:type="pct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16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Hypomagnesaemia</w:t>
            </w:r>
          </w:p>
        </w:tc>
        <w:tc>
          <w:tcPr>
            <w:tcW w:w="999" w:type="pct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143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 xml:space="preserve">Pszichiátriai </w:t>
            </w:r>
            <w:r>
              <w:rPr>
                <w:b/>
                <w:noProof/>
                <w:szCs w:val="24"/>
                <w:lang w:val="hu-HU"/>
              </w:rPr>
              <w:lastRenderedPageBreak/>
              <w:t>kórképek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lastRenderedPageBreak/>
              <w:t>Álmatlanság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106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Depresszió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37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Szorongás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80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Idegrendszeri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iCs/>
                <w:szCs w:val="22"/>
                <w:lang w:val="hu-HU"/>
              </w:rPr>
            </w:pPr>
            <w:r>
              <w:rPr>
                <w:iCs/>
                <w:szCs w:val="22"/>
                <w:lang w:val="hu-HU"/>
              </w:rPr>
              <w:t>Szédülés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</w:tr>
      <w:tr w:rsidR="00E711F0">
        <w:trPr>
          <w:trHeight w:val="280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iCs/>
                <w:szCs w:val="22"/>
                <w:lang w:val="hu-HU"/>
              </w:rPr>
              <w:t>Aluszékonyság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Fáradtság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258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Fejfájás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253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Paresthesia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Ájulás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4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Szembetegségek és szemészeti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Látászavar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Myopia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Homályos látás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Chorioidealis effusio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proofErr w:type="gramStart"/>
            <w:r>
              <w:rPr>
                <w:szCs w:val="22"/>
                <w:lang w:val="hu-HU"/>
              </w:rPr>
              <w:t>Akut</w:t>
            </w:r>
            <w:proofErr w:type="gramEnd"/>
            <w:r>
              <w:rPr>
                <w:szCs w:val="22"/>
                <w:lang w:val="hu-HU"/>
              </w:rPr>
              <w:t xml:space="preserve"> zárt zugú </w:t>
            </w:r>
            <w:proofErr w:type="spellStart"/>
            <w:r>
              <w:rPr>
                <w:szCs w:val="22"/>
                <w:lang w:val="hu-HU"/>
              </w:rPr>
              <w:t>glaucoma</w:t>
            </w:r>
            <w:proofErr w:type="spellEnd"/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3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Látáskárosodás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3"/>
        </w:trPr>
        <w:tc>
          <w:tcPr>
            <w:tcW w:w="1125" w:type="pc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fül és az egyensúly-érzékelő szerv betegségei és tünetei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Vertigo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142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Szívbetegségek és szívvel kapcsolatos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Bradycardia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145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Tachycardia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145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Arrhythmia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506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i/>
                <w:szCs w:val="22"/>
                <w:lang w:val="hu-HU" w:eastAsia="fr-FR"/>
              </w:rPr>
              <w:t>Torsade</w:t>
            </w:r>
            <w:proofErr w:type="spellEnd"/>
            <w:r>
              <w:rPr>
                <w:i/>
                <w:szCs w:val="22"/>
                <w:lang w:val="hu-HU" w:eastAsia="fr-FR"/>
              </w:rPr>
              <w:t xml:space="preserve"> de </w:t>
            </w:r>
            <w:proofErr w:type="spellStart"/>
            <w:r>
              <w:rPr>
                <w:i/>
                <w:szCs w:val="22"/>
                <w:lang w:val="hu-HU" w:eastAsia="fr-FR"/>
              </w:rPr>
              <w:t>pointes</w:t>
            </w:r>
            <w:proofErr w:type="spellEnd"/>
            <w:r>
              <w:rPr>
                <w:szCs w:val="22"/>
                <w:lang w:val="hu-HU" w:eastAsia="fr-FR"/>
              </w:rPr>
              <w:t xml:space="preserve"> (</w:t>
            </w:r>
            <w:proofErr w:type="gramStart"/>
            <w:r>
              <w:rPr>
                <w:szCs w:val="22"/>
                <w:lang w:val="hu-HU" w:eastAsia="fr-FR"/>
              </w:rPr>
              <w:t>potenciálisan</w:t>
            </w:r>
            <w:proofErr w:type="gramEnd"/>
            <w:r>
              <w:rPr>
                <w:szCs w:val="22"/>
                <w:lang w:val="hu-HU" w:eastAsia="fr-FR"/>
              </w:rPr>
              <w:t xml:space="preserve"> halálos kimenetelű) (lásd 4.4 és 4.5 pont)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318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Érbetegségek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Hypotonia</w:t>
            </w:r>
            <w:r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318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Orthostaticus hypotonia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Légzőrendszeri, mellkasi és mediastinalis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Dyspnoe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Köhögés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Interstitialis tüdőbetegség</w:t>
            </w:r>
            <w:r>
              <w:rPr>
                <w:noProof/>
                <w:szCs w:val="24"/>
                <w:vertAlign w:val="superscript"/>
                <w:lang w:val="hu-HU"/>
              </w:rPr>
              <w:t>4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Emésztőrendszeri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Abdominalis fájdalom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Hasmenés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Emésztési zavar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Flatulentia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Hányás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Hasi diszkomfortérzés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Dysgeusia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3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Szájszárazság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253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Hányinger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289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Székrekedés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Pancreatitis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77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Máj- és epebetegségek, illetve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Kóros májfunkciós értékek / májbetegség</w:t>
            </w:r>
            <w:r>
              <w:rPr>
                <w:noProof/>
                <w:szCs w:val="24"/>
                <w:vertAlign w:val="superscript"/>
                <w:lang w:val="hu-HU"/>
              </w:rPr>
              <w:t>3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505"/>
        </w:trPr>
        <w:tc>
          <w:tcPr>
            <w:tcW w:w="1125" w:type="pct"/>
            <w:vMerge/>
            <w:tcBorders>
              <w:top w:val="nil"/>
            </w:tcBorders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 xml:space="preserve">Májkárosodás esetén </w:t>
            </w:r>
            <w:proofErr w:type="spellStart"/>
            <w:r>
              <w:rPr>
                <w:szCs w:val="22"/>
                <w:lang w:val="hu-HU" w:eastAsia="fr-FR"/>
              </w:rPr>
              <w:t>hepaticus</w:t>
            </w:r>
            <w:proofErr w:type="spellEnd"/>
            <w:r>
              <w:rPr>
                <w:szCs w:val="22"/>
                <w:lang w:val="hu-HU" w:eastAsia="fr-FR"/>
              </w:rPr>
              <w:t xml:space="preserve"> </w:t>
            </w:r>
            <w:proofErr w:type="spellStart"/>
            <w:r>
              <w:rPr>
                <w:szCs w:val="22"/>
                <w:lang w:val="hu-HU" w:eastAsia="fr-FR"/>
              </w:rPr>
              <w:t>encephalopathia</w:t>
            </w:r>
            <w:proofErr w:type="spellEnd"/>
            <w:r>
              <w:rPr>
                <w:szCs w:val="22"/>
                <w:lang w:val="hu-HU" w:eastAsia="fr-FR"/>
              </w:rPr>
              <w:t xml:space="preserve"> alakulhat ki (lásd 4.3 és 4.4 pont)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78"/>
        </w:trPr>
        <w:tc>
          <w:tcPr>
            <w:tcW w:w="1125" w:type="pct"/>
            <w:vMerge/>
            <w:tcBorders>
              <w:top w:val="nil"/>
            </w:tcBorders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Hepatitis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4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bőr és a bőr alatti szövet betegségei és tünetei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 w:eastAsia="fr-FR"/>
              </w:rPr>
              <w:t>Maculopapulosus</w:t>
            </w:r>
            <w:proofErr w:type="spellEnd"/>
            <w:r>
              <w:rPr>
                <w:szCs w:val="22"/>
                <w:lang w:val="hu-HU" w:eastAsia="fr-FR"/>
              </w:rPr>
              <w:t xml:space="preserve"> kiütések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 xml:space="preserve">Túlérzékenységi reakció 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 xml:space="preserve">Pruritus 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Hyperhidrosis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tabs>
                <w:tab w:val="clear" w:pos="567"/>
                <w:tab w:val="center" w:pos="1593"/>
              </w:tabs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Bőrkiütés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Purpura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Ekzema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Erythema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Gyógyszerkiütés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4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Toxikus bőrkiütés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3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Angiooedema (a telmizartán esetében halálos kimenetelű is)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Urticaria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53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 xml:space="preserve">Toxicus </w:t>
            </w:r>
            <w:proofErr w:type="spellStart"/>
            <w:r>
              <w:rPr>
                <w:szCs w:val="22"/>
                <w:lang w:val="hu-HU"/>
              </w:rPr>
              <w:t>epidermalis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r>
              <w:rPr>
                <w:noProof/>
                <w:szCs w:val="24"/>
                <w:lang w:val="hu-HU"/>
              </w:rPr>
              <w:t>necrolysis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Stevens</w:t>
            </w:r>
            <w:proofErr w:type="spellEnd"/>
            <w:r>
              <w:rPr>
                <w:szCs w:val="22"/>
                <w:lang w:val="hu-HU"/>
              </w:rPr>
              <w:t>–Johnson-szindróma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Fényérzékenységi reakciók</w:t>
            </w:r>
            <w:r>
              <w:rPr>
                <w:szCs w:val="22"/>
                <w:lang w:val="hu-HU" w:eastAsia="fr-FR"/>
              </w:rPr>
              <w:t xml:space="preserve"> </w:t>
            </w:r>
            <w:r>
              <w:rPr>
                <w:szCs w:val="22"/>
                <w:lang w:val="hu-HU"/>
              </w:rPr>
              <w:t>(lásd 4.4 pont)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 w:val="restart"/>
            <w:shd w:val="clear" w:color="auto" w:fill="auto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Hátfájás (például ischias)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Izomgörcs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Myalgia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Ízületi fájdalom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Végtagfájdalom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Ínfájdalom (íngyulladásszerű tünetek)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Izomgyengeség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Rhabdomyolysis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Már fennálló akut, disszeminált lupus erythematosus lehetséges rosszabbodása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Vese- és húgyúti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Vesekárosodás, az akut veseelégtelenséget is beleértve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Veseelégtelenség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E711F0">
        <w:trPr>
          <w:trHeight w:val="251"/>
        </w:trPr>
        <w:tc>
          <w:tcPr>
            <w:tcW w:w="1125" w:type="pct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nemi szervekkel és az emlőkkel kapcsolatos betegségek és tünetek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Erectilis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proofErr w:type="spellStart"/>
            <w:r>
              <w:rPr>
                <w:szCs w:val="22"/>
                <w:lang w:val="hu-HU"/>
              </w:rPr>
              <w:t>dysfunctio</w:t>
            </w:r>
            <w:proofErr w:type="spellEnd"/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E711F0">
        <w:trPr>
          <w:trHeight w:val="251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Általános tünetek, az alkalmazás helyén fellépő reakciók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Mellkasi fájdalom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Asthenia (gyengeség)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  <w:vAlign w:val="center"/>
          </w:tcPr>
          <w:p w:rsidR="00E711F0" w:rsidRDefault="00E711F0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Influenzaszerű megbetegedés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 w:val="restart"/>
            <w:vAlign w:val="center"/>
          </w:tcPr>
          <w:p w:rsidR="00E711F0" w:rsidRDefault="004D44D3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Laboratóriumi és egyéb vizsgálatok eredményei</w:t>
            </w: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kreatininszint a vérben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Csökkent hemoglobinszint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húgysavszint a vérben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Emelkedett májenzimszintek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kreatin-foszfokináz-szint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>Megnyúlt QT-szakasz az EKG-n (lásd 4.4 és 4.5 pont)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E711F0">
        <w:trPr>
          <w:trHeight w:val="251"/>
        </w:trPr>
        <w:tc>
          <w:tcPr>
            <w:tcW w:w="1125" w:type="pct"/>
            <w:vMerge/>
          </w:tcPr>
          <w:p w:rsidR="00E711F0" w:rsidRDefault="00E711F0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 xml:space="preserve">Emelkedett vércukorszint </w:t>
            </w:r>
            <w:r>
              <w:rPr>
                <w:szCs w:val="22"/>
                <w:lang w:val="hu-HU" w:eastAsia="fr-FR"/>
              </w:rPr>
              <w:t>(lásd 4.4 pont)</w:t>
            </w:r>
          </w:p>
        </w:tc>
        <w:tc>
          <w:tcPr>
            <w:tcW w:w="999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E711F0" w:rsidRDefault="004D44D3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</w:tbl>
    <w:bookmarkEnd w:id="2"/>
    <w:p w:rsidR="00E711F0" w:rsidRDefault="004D44D3">
      <w:pPr>
        <w:rPr>
          <w:szCs w:val="22"/>
          <w:lang w:val="hu-HU"/>
        </w:rPr>
      </w:pPr>
      <w:r>
        <w:rPr>
          <w:szCs w:val="22"/>
          <w:vertAlign w:val="superscript"/>
          <w:lang w:val="hu-HU"/>
        </w:rPr>
        <w:t>1, 2, 3, 4</w:t>
      </w:r>
      <w:r>
        <w:rPr>
          <w:szCs w:val="22"/>
          <w:lang w:val="hu-HU"/>
        </w:rPr>
        <w:t xml:space="preserve">: A további </w:t>
      </w:r>
      <w:proofErr w:type="gramStart"/>
      <w:r>
        <w:rPr>
          <w:szCs w:val="22"/>
          <w:lang w:val="hu-HU"/>
        </w:rPr>
        <w:t>információkat</w:t>
      </w:r>
      <w:proofErr w:type="gramEnd"/>
      <w:r>
        <w:rPr>
          <w:szCs w:val="22"/>
          <w:lang w:val="hu-HU"/>
        </w:rPr>
        <w:t xml:space="preserve"> lásd az „Egyes kiválasztott mellékhatások leírása” alpontban</w:t>
      </w:r>
    </w:p>
    <w:p w:rsidR="00E711F0" w:rsidRDefault="00E711F0">
      <w:pPr>
        <w:rPr>
          <w:szCs w:val="22"/>
          <w:lang w:val="hu-HU"/>
        </w:rPr>
      </w:pPr>
    </w:p>
    <w:p w:rsidR="00E711F0" w:rsidRDefault="004D44D3">
      <w:pPr>
        <w:rPr>
          <w:u w:val="single"/>
          <w:lang w:val="hu-HU"/>
        </w:rPr>
      </w:pPr>
      <w:r>
        <w:rPr>
          <w:u w:val="single"/>
          <w:lang w:val="hu-HU"/>
        </w:rPr>
        <w:t>Egyes kiválasztott mellékhatások leírása</w:t>
      </w:r>
    </w:p>
    <w:p w:rsidR="00E711F0" w:rsidRDefault="00E711F0">
      <w:pPr>
        <w:rPr>
          <w:szCs w:val="22"/>
          <w:u w:val="single"/>
          <w:lang w:val="hu-HU"/>
        </w:rPr>
      </w:pPr>
    </w:p>
    <w:p w:rsidR="00E711F0" w:rsidRDefault="004D44D3">
      <w:pPr>
        <w:rPr>
          <w:szCs w:val="22"/>
        </w:rPr>
      </w:pPr>
      <w:r>
        <w:rPr>
          <w:szCs w:val="22"/>
        </w:rPr>
        <w:t>A 1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> mg-</w:t>
      </w:r>
      <w:proofErr w:type="spellStart"/>
      <w:r>
        <w:rPr>
          <w:szCs w:val="22"/>
        </w:rPr>
        <w:t>os</w:t>
      </w:r>
      <w:proofErr w:type="spellEnd"/>
      <w:r>
        <w:rPr>
          <w:szCs w:val="22"/>
        </w:rPr>
        <w:t xml:space="preserve"> és 2,5 mg-</w:t>
      </w:r>
      <w:proofErr w:type="spellStart"/>
      <w:r>
        <w:rPr>
          <w:szCs w:val="22"/>
        </w:rPr>
        <w:t>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indapamid-dózist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összehasonlító</w:t>
      </w:r>
      <w:proofErr w:type="spellEnd"/>
      <w:r>
        <w:rPr>
          <w:szCs w:val="22"/>
        </w:rPr>
        <w:t xml:space="preserve"> II. </w:t>
      </w:r>
      <w:proofErr w:type="gramStart"/>
      <w:r>
        <w:rPr>
          <w:szCs w:val="22"/>
        </w:rPr>
        <w:t>és</w:t>
      </w:r>
      <w:proofErr w:type="gramEnd"/>
      <w:r>
        <w:rPr>
          <w:szCs w:val="22"/>
        </w:rPr>
        <w:t xml:space="preserve"> III. </w:t>
      </w:r>
      <w:proofErr w:type="spellStart"/>
      <w:proofErr w:type="gramStart"/>
      <w:r>
        <w:rPr>
          <w:szCs w:val="22"/>
        </w:rPr>
        <w:t>fázisú</w:t>
      </w:r>
      <w:proofErr w:type="spellEnd"/>
      <w:proofErr w:type="gram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során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plazma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káliumszintjének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elemzése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dózisfüggő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hatását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mutatta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ki</w:t>
      </w:r>
      <w:proofErr w:type="spellEnd"/>
      <w:r>
        <w:rPr>
          <w:szCs w:val="22"/>
        </w:rPr>
        <w:t>:</w:t>
      </w:r>
    </w:p>
    <w:p w:rsidR="00E711F0" w:rsidRDefault="004D44D3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1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 xml:space="preserve"> mg </w:t>
      </w:r>
      <w:proofErr w:type="spellStart"/>
      <w:r>
        <w:rPr>
          <w:szCs w:val="22"/>
        </w:rPr>
        <w:t>dózisú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: A </w:t>
      </w:r>
      <w:proofErr w:type="spellStart"/>
      <w:r>
        <w:rPr>
          <w:szCs w:val="22"/>
        </w:rPr>
        <w:t>klinikai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</w:t>
      </w:r>
      <w:proofErr w:type="spellEnd"/>
      <w:r>
        <w:rPr>
          <w:szCs w:val="22"/>
        </w:rPr>
        <w:t xml:space="preserve"> 4–6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hypokalaemiát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káliumszint</w:t>
      </w:r>
      <w:proofErr w:type="spellEnd"/>
      <w:r>
        <w:rPr>
          <w:szCs w:val="22"/>
        </w:rPr>
        <w:t xml:space="preserve"> &lt;3,4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/l)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10%-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észleltek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illetve</w:t>
      </w:r>
      <w:proofErr w:type="spellEnd"/>
      <w:r>
        <w:rPr>
          <w:szCs w:val="22"/>
        </w:rPr>
        <w:t xml:space="preserve"> &lt;3,2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 </w:t>
      </w:r>
      <w:proofErr w:type="spellStart"/>
      <w:r>
        <w:rPr>
          <w:szCs w:val="22"/>
        </w:rPr>
        <w:t>értéket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</w:t>
      </w:r>
      <w:r>
        <w:rPr>
          <w:szCs w:val="22"/>
        </w:rPr>
        <w:lastRenderedPageBreak/>
        <w:t>4%-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Tizenkét</w:t>
      </w:r>
      <w:proofErr w:type="spellEnd"/>
      <w:r>
        <w:rPr>
          <w:szCs w:val="22"/>
        </w:rPr>
        <w:t>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kálium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plazmaszintjének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átlagos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csökkenése</w:t>
      </w:r>
      <w:proofErr w:type="spellEnd"/>
      <w:r>
        <w:rPr>
          <w:szCs w:val="22"/>
        </w:rPr>
        <w:t xml:space="preserve"> 0</w:t>
      </w:r>
      <w:proofErr w:type="gramStart"/>
      <w:r>
        <w:rPr>
          <w:szCs w:val="22"/>
        </w:rPr>
        <w:t>,23</w:t>
      </w:r>
      <w:proofErr w:type="gramEnd"/>
      <w:r>
        <w:rPr>
          <w:szCs w:val="22"/>
        </w:rPr>
        <w:t>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>/l volt.</w:t>
      </w:r>
    </w:p>
    <w:p w:rsidR="00E711F0" w:rsidRDefault="004D44D3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2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 xml:space="preserve"> mg </w:t>
      </w:r>
      <w:proofErr w:type="spellStart"/>
      <w:r>
        <w:rPr>
          <w:szCs w:val="22"/>
        </w:rPr>
        <w:t>dózisú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: A </w:t>
      </w:r>
      <w:proofErr w:type="spellStart"/>
      <w:r>
        <w:rPr>
          <w:szCs w:val="22"/>
        </w:rPr>
        <w:t>klinikai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</w:t>
      </w:r>
      <w:proofErr w:type="spellEnd"/>
      <w:r>
        <w:rPr>
          <w:szCs w:val="22"/>
        </w:rPr>
        <w:t xml:space="preserve"> 4–6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hypokalaemiát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káliumszint</w:t>
      </w:r>
      <w:proofErr w:type="spellEnd"/>
      <w:r>
        <w:rPr>
          <w:szCs w:val="22"/>
        </w:rPr>
        <w:t xml:space="preserve"> &lt;3,4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/l)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25%-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észleltek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illetve</w:t>
      </w:r>
      <w:proofErr w:type="spellEnd"/>
      <w:r>
        <w:rPr>
          <w:szCs w:val="22"/>
        </w:rPr>
        <w:t xml:space="preserve"> &lt;3,2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  </w:t>
      </w:r>
      <w:proofErr w:type="spellStart"/>
      <w:r>
        <w:rPr>
          <w:szCs w:val="22"/>
        </w:rPr>
        <w:t>értéket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10%-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Tizenkét</w:t>
      </w:r>
      <w:proofErr w:type="spellEnd"/>
      <w:r>
        <w:rPr>
          <w:szCs w:val="22"/>
        </w:rPr>
        <w:t>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kálium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plazmaszintjének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átlagos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csökkenése</w:t>
      </w:r>
      <w:proofErr w:type="spellEnd"/>
      <w:r>
        <w:rPr>
          <w:szCs w:val="22"/>
        </w:rPr>
        <w:t xml:space="preserve"> 0</w:t>
      </w:r>
      <w:proofErr w:type="gramStart"/>
      <w:r>
        <w:rPr>
          <w:szCs w:val="22"/>
        </w:rPr>
        <w:t>,41</w:t>
      </w:r>
      <w:proofErr w:type="gramEnd"/>
      <w:r>
        <w:rPr>
          <w:szCs w:val="22"/>
        </w:rPr>
        <w:t>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>/l volt.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Szepszis</w:t>
      </w: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PRoFESS</w:t>
      </w:r>
      <w:proofErr w:type="spellEnd"/>
      <w:r>
        <w:rPr>
          <w:iCs/>
          <w:lang w:val="hu-HU"/>
        </w:rPr>
        <w:t xml:space="preserve"> vizsgálatban a szepszis </w:t>
      </w:r>
      <w:proofErr w:type="spellStart"/>
      <w:r>
        <w:rPr>
          <w:iCs/>
          <w:lang w:val="hu-HU"/>
        </w:rPr>
        <w:t>incidenciájának</w:t>
      </w:r>
      <w:proofErr w:type="spellEnd"/>
      <w:r>
        <w:rPr>
          <w:iCs/>
          <w:lang w:val="hu-HU"/>
        </w:rPr>
        <w:t xml:space="preserve"> növekedését figyelték meg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-kezelés esetén, a </w:t>
      </w:r>
      <w:proofErr w:type="spellStart"/>
      <w:r>
        <w:rPr>
          <w:iCs/>
          <w:lang w:val="hu-HU"/>
        </w:rPr>
        <w:t>placebóhoz</w:t>
      </w:r>
      <w:proofErr w:type="spellEnd"/>
      <w:r>
        <w:rPr>
          <w:iCs/>
          <w:lang w:val="hu-HU"/>
        </w:rPr>
        <w:t xml:space="preserve"> képest. A jelenség véletlen felfedezés vagy egy ez idáig ismeretlen mechanizmus következménye lehet (lásd 5.1 pont).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Hypotonia</w:t>
      </w:r>
      <w:proofErr w:type="spellEnd"/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Ez a mellékhatás gyakorinak bizonyult azoknál a kontrollált vérnyomású betegeknél, akiknek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céljából adtak </w:t>
      </w:r>
      <w:proofErr w:type="spellStart"/>
      <w:r>
        <w:rPr>
          <w:iCs/>
          <w:lang w:val="hu-HU"/>
        </w:rPr>
        <w:t>telmizartánt</w:t>
      </w:r>
      <w:proofErr w:type="spellEnd"/>
      <w:r>
        <w:rPr>
          <w:iCs/>
          <w:lang w:val="hu-HU"/>
        </w:rPr>
        <w:t xml:space="preserve">, a </w:t>
      </w:r>
      <w:proofErr w:type="gramStart"/>
      <w:r>
        <w:rPr>
          <w:iCs/>
          <w:lang w:val="hu-HU"/>
        </w:rPr>
        <w:t>standard kezelésen</w:t>
      </w:r>
      <w:proofErr w:type="gramEnd"/>
      <w:r>
        <w:rPr>
          <w:iCs/>
          <w:lang w:val="hu-HU"/>
        </w:rPr>
        <w:t xml:space="preserve"> felül.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Kóros májfunkciós értékek / májbetegség</w:t>
      </w: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forgalomba hozatal után tapasztalt kóros májfunkciós értékek / májbetegség legtöbbször japán betegeknél fordultak elő. A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 xml:space="preserve"> kezelt japán betegeknél ezek a mellékhatások nagyobb valószínűséggel alakulnak ki.</w:t>
      </w:r>
    </w:p>
    <w:p w:rsidR="00E711F0" w:rsidRDefault="00E711F0">
      <w:pPr>
        <w:spacing w:line="240" w:lineRule="auto"/>
        <w:rPr>
          <w:iCs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Interstitialis</w:t>
      </w:r>
      <w:proofErr w:type="spellEnd"/>
      <w:r>
        <w:rPr>
          <w:iCs/>
          <w:u w:val="single"/>
          <w:lang w:val="hu-HU"/>
        </w:rPr>
        <w:t xml:space="preserve"> tüdőbetegség</w:t>
      </w:r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gyógyszer forgalomba hozatalát követően, a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 szedésével időbeli összefüggésben </w:t>
      </w:r>
      <w:proofErr w:type="spellStart"/>
      <w:r>
        <w:rPr>
          <w:iCs/>
          <w:lang w:val="hu-HU"/>
        </w:rPr>
        <w:t>interstitialis</w:t>
      </w:r>
      <w:proofErr w:type="spellEnd"/>
      <w:r>
        <w:rPr>
          <w:iCs/>
          <w:lang w:val="hu-HU"/>
        </w:rPr>
        <w:t xml:space="preserve"> tüdőbetegség eseteit jelentették, de ok–okozati kapcsolatot nem igazoltak.</w:t>
      </w:r>
    </w:p>
    <w:p w:rsidR="00E711F0" w:rsidRDefault="00E711F0">
      <w:pPr>
        <w:spacing w:line="240" w:lineRule="auto"/>
        <w:rPr>
          <w:u w:val="single"/>
          <w:lang w:val="hu-HU"/>
        </w:rPr>
      </w:pPr>
    </w:p>
    <w:p w:rsidR="00E711F0" w:rsidRDefault="004D44D3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Intestinalis</w:t>
      </w:r>
      <w:proofErr w:type="spellEnd"/>
      <w:r>
        <w:rPr>
          <w:iCs/>
          <w:u w:val="single"/>
          <w:lang w:val="hu-HU"/>
        </w:rPr>
        <w:t xml:space="preserve"> </w:t>
      </w:r>
      <w:proofErr w:type="spellStart"/>
      <w:r>
        <w:rPr>
          <w:iCs/>
          <w:u w:val="single"/>
          <w:lang w:val="hu-HU"/>
        </w:rPr>
        <w:t>angiooedema</w:t>
      </w:r>
      <w:proofErr w:type="spellEnd"/>
    </w:p>
    <w:p w:rsidR="00E711F0" w:rsidRDefault="004D44D3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Egyes esetekben </w:t>
      </w:r>
      <w:proofErr w:type="spellStart"/>
      <w:r>
        <w:rPr>
          <w:iCs/>
          <w:lang w:val="hu-HU"/>
        </w:rPr>
        <w:t>intestinalis</w:t>
      </w:r>
      <w:proofErr w:type="spellEnd"/>
      <w:r>
        <w:rPr>
          <w:iCs/>
          <w:lang w:val="hu-HU"/>
        </w:rPr>
        <w:t xml:space="preserve"> </w:t>
      </w:r>
      <w:proofErr w:type="spellStart"/>
      <w:r>
        <w:rPr>
          <w:iCs/>
          <w:lang w:val="hu-HU"/>
        </w:rPr>
        <w:t>angiooedemáról</w:t>
      </w:r>
      <w:proofErr w:type="spellEnd"/>
      <w:r>
        <w:rPr>
          <w:iCs/>
          <w:lang w:val="hu-HU"/>
        </w:rPr>
        <w:t xml:space="preserve"> számoltak be </w:t>
      </w:r>
      <w:proofErr w:type="spellStart"/>
      <w:r>
        <w:rPr>
          <w:iCs/>
          <w:lang w:val="hu-HU"/>
        </w:rPr>
        <w:t>angiotenzin</w:t>
      </w:r>
      <w:proofErr w:type="spellEnd"/>
      <w:r>
        <w:rPr>
          <w:iCs/>
          <w:lang w:val="hu-HU"/>
        </w:rPr>
        <w:t xml:space="preserve"> II-receptor-blokkoló alkalmazását követően (lásd 4.4 pont).</w:t>
      </w:r>
    </w:p>
    <w:p w:rsidR="00E711F0" w:rsidRDefault="00E711F0">
      <w:pPr>
        <w:spacing w:line="240" w:lineRule="auto"/>
        <w:rPr>
          <w:u w:val="single"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>
        <w:rPr>
          <w:lang w:val="hu-HU"/>
        </w:rPr>
        <w:t>profilját</w:t>
      </w:r>
      <w:proofErr w:type="gramEnd"/>
      <w:r>
        <w:rPr>
          <w:lang w:val="hu-HU"/>
        </w:rPr>
        <w:t xml:space="preserve"> folyamatosan figyelemmel lehessen kísérni. 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  <w:lang w:val="hu-HU"/>
          </w:rPr>
          <w:t>V. füg</w:t>
        </w:r>
        <w:bookmarkStart w:id="3" w:name="_Hlt352075914"/>
        <w:bookmarkStart w:id="4" w:name="_Hlt352075915"/>
        <w:r>
          <w:rPr>
            <w:rStyle w:val="Hiperhivatkozs"/>
            <w:highlight w:val="lightGray"/>
            <w:lang w:val="hu-HU"/>
          </w:rPr>
          <w:t>g</w:t>
        </w:r>
        <w:bookmarkEnd w:id="3"/>
        <w:bookmarkEnd w:id="4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:rsidR="00E711F0" w:rsidRDefault="00E711F0">
      <w:pPr>
        <w:spacing w:line="240" w:lineRule="auto"/>
        <w:rPr>
          <w:u w:val="single"/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A túladagolással kapcsolatos humán tapasztalatok korlátozottak.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Tünetek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vonatkozóan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-túladagolás legfeltűnőbb tünete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volt. Előfordult továbbá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, szédülés, a szérumkreatinin-szint emelkedése és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veseelégtelenség is.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indapamidnak</w:t>
      </w:r>
      <w:proofErr w:type="spellEnd"/>
      <w:r>
        <w:rPr>
          <w:lang w:val="hu-HU"/>
        </w:rPr>
        <w:t xml:space="preserve"> egészen 40 mg-ig (a terápiás </w:t>
      </w:r>
      <w:proofErr w:type="gramStart"/>
      <w:r>
        <w:rPr>
          <w:lang w:val="hu-HU"/>
        </w:rPr>
        <w:t>dózis</w:t>
      </w:r>
      <w:proofErr w:type="gramEnd"/>
      <w:r>
        <w:rPr>
          <w:lang w:val="hu-HU"/>
        </w:rPr>
        <w:t xml:space="preserve"> 27-szereséig) nem volt toxikus hatása.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mérgezés jelei legfőképpen a folyadék-/elektrolit-egyensúly zavaraiban jelentkeznek (</w:t>
      </w:r>
      <w:proofErr w:type="spellStart"/>
      <w:r>
        <w:rPr>
          <w:lang w:val="hu-HU"/>
        </w:rPr>
        <w:t>hyponatraemia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). </w:t>
      </w:r>
      <w:proofErr w:type="spellStart"/>
      <w:r>
        <w:rPr>
          <w:lang w:val="hu-HU"/>
        </w:rPr>
        <w:t>Klinikailag</w:t>
      </w:r>
      <w:proofErr w:type="spellEnd"/>
      <w:r>
        <w:rPr>
          <w:lang w:val="hu-HU"/>
        </w:rPr>
        <w:t xml:space="preserve"> jelentkezhet hányinger, hányás,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izomgörcsök, forgó jellegű szédülés, álmosság, zavartság, </w:t>
      </w:r>
      <w:proofErr w:type="spellStart"/>
      <w:r>
        <w:rPr>
          <w:lang w:val="hu-HU"/>
        </w:rPr>
        <w:t>polyuria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oliguria</w:t>
      </w:r>
      <w:proofErr w:type="spellEnd"/>
      <w:r>
        <w:rPr>
          <w:lang w:val="hu-HU"/>
        </w:rPr>
        <w:t xml:space="preserve">, amely akár </w:t>
      </w:r>
      <w:proofErr w:type="spellStart"/>
      <w:r>
        <w:rPr>
          <w:lang w:val="hu-HU"/>
        </w:rPr>
        <w:t>anuriáig</w:t>
      </w:r>
      <w:proofErr w:type="spellEnd"/>
      <w:r>
        <w:rPr>
          <w:lang w:val="hu-HU"/>
        </w:rPr>
        <w:t xml:space="preserve"> is súlyosbodhat (a </w:t>
      </w:r>
      <w:proofErr w:type="spellStart"/>
      <w:r>
        <w:rPr>
          <w:lang w:val="hu-HU"/>
        </w:rPr>
        <w:t>hypovolaemia</w:t>
      </w:r>
      <w:proofErr w:type="spellEnd"/>
      <w:r>
        <w:rPr>
          <w:lang w:val="hu-HU"/>
        </w:rPr>
        <w:t xml:space="preserve"> miatt).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Kezelés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vonatkozóan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hemodialízissel</w:t>
      </w:r>
      <w:proofErr w:type="spellEnd"/>
      <w:r>
        <w:rPr>
          <w:lang w:val="hu-HU"/>
        </w:rPr>
        <w:t xml:space="preserve"> nem távolítható el. A beteg állapotát szigorúan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kell, tüneti és szupportív kezelés szükséges. A kezelés függ a gyógyszer bevétele után eltelt időtől és a tünetek </w:t>
      </w:r>
      <w:r>
        <w:rPr>
          <w:lang w:val="hu-HU"/>
        </w:rPr>
        <w:lastRenderedPageBreak/>
        <w:t xml:space="preserve">súlyosságától. Ajánlott a hánytatás és/vagy a gyomormosás. Túladagolás esetén kedvező hatású lehet az </w:t>
      </w:r>
      <w:proofErr w:type="gramStart"/>
      <w:r>
        <w:rPr>
          <w:lang w:val="hu-HU"/>
        </w:rPr>
        <w:t>aktív</w:t>
      </w:r>
      <w:proofErr w:type="gramEnd"/>
      <w:r>
        <w:rPr>
          <w:lang w:val="hu-HU"/>
        </w:rPr>
        <w:t xml:space="preserve"> szén is. A szérumelektrolitok és a kreatinin szintjét célszerű gyakran ellenőrizni.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kialakulása esetén hanyatt kell fektetni a beteget, majd mihamarabb intravénás elektrolit- és folyadékpótlást kell alkalmazni.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Első lépésként a bevett szert kell mielőbb eltávolítani gyomormosással és/vagy </w:t>
      </w:r>
      <w:proofErr w:type="gramStart"/>
      <w:r>
        <w:rPr>
          <w:lang w:val="hu-HU"/>
        </w:rPr>
        <w:t>aktív</w:t>
      </w:r>
      <w:proofErr w:type="gramEnd"/>
      <w:r>
        <w:rPr>
          <w:lang w:val="hu-HU"/>
        </w:rPr>
        <w:t xml:space="preserve"> szén adásával, majd a folyadék-/elektrolit-egyensúly helyreállítása következik a megfelelő speciális centrumban.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E711F0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:rsidR="00E711F0" w:rsidRDefault="00E711F0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a renin–angiotenzin rendszerre ható készítmények, </w:t>
      </w:r>
      <w:proofErr w:type="spellStart"/>
      <w:r>
        <w:rPr>
          <w:bCs/>
          <w:szCs w:val="22"/>
          <w:lang w:val="hu-HU"/>
        </w:rPr>
        <w:t>angiotenzin</w:t>
      </w:r>
      <w:proofErr w:type="spellEnd"/>
      <w:r>
        <w:rPr>
          <w:bCs/>
          <w:szCs w:val="22"/>
          <w:lang w:val="hu-HU"/>
        </w:rPr>
        <w:t xml:space="preserve"> II-receptor-blokkolók (ARB-k) és </w:t>
      </w:r>
      <w:proofErr w:type="spellStart"/>
      <w:r>
        <w:rPr>
          <w:bCs/>
          <w:szCs w:val="22"/>
          <w:lang w:val="hu-HU"/>
        </w:rPr>
        <w:t>diuretikumok</w:t>
      </w:r>
      <w:proofErr w:type="spellEnd"/>
      <w:r>
        <w:rPr>
          <w:bCs/>
          <w:szCs w:val="22"/>
          <w:lang w:val="hu-HU"/>
        </w:rPr>
        <w:t xml:space="preserve"> kombinációi, ATC-kód: C09DA07.</w:t>
      </w:r>
    </w:p>
    <w:p w:rsidR="00E711F0" w:rsidRDefault="00E711F0">
      <w:pPr>
        <w:autoSpaceDE w:val="0"/>
        <w:autoSpaceDN w:val="0"/>
        <w:adjustRightInd w:val="0"/>
        <w:spacing w:line="240" w:lineRule="auto"/>
        <w:jc w:val="both"/>
        <w:rPr>
          <w:i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r>
        <w:rPr>
          <w:i/>
          <w:iCs/>
          <w:lang w:val="hu-HU"/>
        </w:rPr>
        <w:t>per </w:t>
      </w:r>
      <w:proofErr w:type="spellStart"/>
      <w:r>
        <w:rPr>
          <w:i/>
          <w:iCs/>
          <w:lang w:val="hu-HU"/>
        </w:rPr>
        <w:t>os</w:t>
      </w:r>
      <w:proofErr w:type="spellEnd"/>
      <w:r>
        <w:rPr>
          <w:lang w:val="hu-HU"/>
        </w:rPr>
        <w:t xml:space="preserve"> adható, hatékony gyógyszer;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1-es típusú (AT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) receptorának specifikus </w:t>
      </w:r>
      <w:proofErr w:type="spellStart"/>
      <w:r>
        <w:rPr>
          <w:lang w:val="hu-HU"/>
        </w:rPr>
        <w:t>antagonistája</w:t>
      </w:r>
      <w:proofErr w:type="spellEnd"/>
      <w:r>
        <w:rPr>
          <w:lang w:val="hu-HU"/>
        </w:rPr>
        <w:t xml:space="preserve">. A receptorhoz nagy </w:t>
      </w:r>
      <w:proofErr w:type="gramStart"/>
      <w:r>
        <w:rPr>
          <w:lang w:val="hu-HU"/>
        </w:rPr>
        <w:t>affinitással</w:t>
      </w:r>
      <w:proofErr w:type="gramEnd"/>
      <w:r>
        <w:rPr>
          <w:lang w:val="hu-HU"/>
        </w:rPr>
        <w:t xml:space="preserve"> kötődő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leszorítja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II-t az annak ismert hatásait közvetítő 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-receptor-altípusról.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fejt ki semmilyen parciális </w:t>
      </w:r>
      <w:proofErr w:type="spellStart"/>
      <w:r>
        <w:rPr>
          <w:lang w:val="hu-HU"/>
        </w:rPr>
        <w:t>agonista</w:t>
      </w:r>
      <w:proofErr w:type="spellEnd"/>
      <w:r>
        <w:rPr>
          <w:lang w:val="hu-HU"/>
        </w:rPr>
        <w:t xml:space="preserve"> hatást az AT1-receptoron.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szelektíven kötődik az 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-receptorhoz, és ez a kötődés hosszú időtartamú.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mutat </w:t>
      </w:r>
      <w:proofErr w:type="gramStart"/>
      <w:r>
        <w:rPr>
          <w:lang w:val="hu-HU"/>
        </w:rPr>
        <w:t>affinitást</w:t>
      </w:r>
      <w:proofErr w:type="gramEnd"/>
      <w:r>
        <w:rPr>
          <w:lang w:val="hu-HU"/>
        </w:rPr>
        <w:t xml:space="preserve"> más receptorokhoz, például az AT</w:t>
      </w:r>
      <w:r>
        <w:rPr>
          <w:vertAlign w:val="subscript"/>
          <w:lang w:val="hu-HU"/>
        </w:rPr>
        <w:t>2</w:t>
      </w:r>
      <w:r>
        <w:rPr>
          <w:lang w:val="hu-HU"/>
        </w:rPr>
        <w:t xml:space="preserve">- vagy egyéb, kevésbé jellemzett AT-receptorokhoz. Az utóbbi receptorok </w:t>
      </w:r>
      <w:proofErr w:type="gramStart"/>
      <w:r>
        <w:rPr>
          <w:lang w:val="hu-HU"/>
        </w:rPr>
        <w:t>funkcionális</w:t>
      </w:r>
      <w:proofErr w:type="gramEnd"/>
      <w:r>
        <w:rPr>
          <w:lang w:val="hu-HU"/>
        </w:rPr>
        <w:t xml:space="preserve"> szerepe nem ismert, ahogyan az a hatás sem, amelyet a receptorok túlstimulálásával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– melynek szintjét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emeli – előidézhet.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csökkenti a plazma </w:t>
      </w:r>
      <w:proofErr w:type="spellStart"/>
      <w:r>
        <w:rPr>
          <w:lang w:val="hu-HU"/>
        </w:rPr>
        <w:t>aldoszteronszintjét</w:t>
      </w:r>
      <w:proofErr w:type="spellEnd"/>
      <w:r>
        <w:rPr>
          <w:lang w:val="hu-HU"/>
        </w:rPr>
        <w:t xml:space="preserve">; nem gátolja a humán </w:t>
      </w:r>
      <w:proofErr w:type="spellStart"/>
      <w:r>
        <w:rPr>
          <w:lang w:val="hu-HU"/>
        </w:rPr>
        <w:t>plazmarenin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aktivitását</w:t>
      </w:r>
      <w:proofErr w:type="gramEnd"/>
      <w:r>
        <w:rPr>
          <w:lang w:val="hu-HU"/>
        </w:rPr>
        <w:t xml:space="preserve">, és nem blokkol ioncsatornákat sem. Nem gátolja a </w:t>
      </w:r>
      <w:proofErr w:type="spellStart"/>
      <w:r>
        <w:rPr>
          <w:lang w:val="hu-HU"/>
        </w:rPr>
        <w:t>bradykinin</w:t>
      </w:r>
      <w:proofErr w:type="spellEnd"/>
      <w:r>
        <w:rPr>
          <w:lang w:val="hu-HU"/>
        </w:rPr>
        <w:t xml:space="preserve"> lebontását is végző </w:t>
      </w:r>
      <w:proofErr w:type="spellStart"/>
      <w:r>
        <w:rPr>
          <w:lang w:val="hu-HU"/>
        </w:rPr>
        <w:t>angiotenzinkonvertáló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kinináz</w:t>
      </w:r>
      <w:proofErr w:type="spellEnd"/>
      <w:r>
        <w:rPr>
          <w:lang w:val="hu-HU"/>
        </w:rPr>
        <w:t xml:space="preserve">-II) enzimet, ezért várhatóan nem </w:t>
      </w:r>
      <w:proofErr w:type="spellStart"/>
      <w:r>
        <w:rPr>
          <w:lang w:val="hu-HU"/>
        </w:rPr>
        <w:t>potencírozza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bradykinin</w:t>
      </w:r>
      <w:proofErr w:type="spellEnd"/>
      <w:r>
        <w:rPr>
          <w:lang w:val="hu-HU"/>
        </w:rPr>
        <w:t xml:space="preserve"> közvetítette mellékhatásokat.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Embernél 80 mg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adásával szinte teljes mértékben kiküszöbölhető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által kiváltott vérnyomás-emelkedés. Ez a gátló hatás 24</w:t>
      </w:r>
      <w:r>
        <w:t> </w:t>
      </w:r>
      <w:r>
        <w:rPr>
          <w:lang w:val="hu-HU"/>
        </w:rPr>
        <w:t>órán keresztül érvényesül és még 48 óra múlva is kimutatható.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egy </w:t>
      </w:r>
      <w:proofErr w:type="spellStart"/>
      <w:r>
        <w:rPr>
          <w:lang w:val="hu-HU"/>
        </w:rPr>
        <w:t>indolgyűrűt</w:t>
      </w:r>
      <w:proofErr w:type="spellEnd"/>
      <w:r>
        <w:rPr>
          <w:lang w:val="hu-HU"/>
        </w:rPr>
        <w:t xml:space="preserve"> tartalmazó szulfonamid-származék; </w:t>
      </w:r>
      <w:proofErr w:type="spellStart"/>
      <w:proofErr w:type="gramStart"/>
      <w:r>
        <w:rPr>
          <w:lang w:val="hu-HU"/>
        </w:rPr>
        <w:t>farmakológiailag</w:t>
      </w:r>
      <w:proofErr w:type="spellEnd"/>
      <w:proofErr w:type="gramEnd"/>
      <w:r>
        <w:rPr>
          <w:lang w:val="hu-HU"/>
        </w:rPr>
        <w:t xml:space="preserve">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diuretikumokkal</w:t>
      </w:r>
      <w:proofErr w:type="spellEnd"/>
      <w:r>
        <w:rPr>
          <w:lang w:val="hu-HU"/>
        </w:rPr>
        <w:t xml:space="preserve"> rokon vegyület, amely a nátrium-</w:t>
      </w:r>
      <w:proofErr w:type="spellStart"/>
      <w:r>
        <w:rPr>
          <w:lang w:val="hu-HU"/>
        </w:rPr>
        <w:t>reabszorpció</w:t>
      </w:r>
      <w:proofErr w:type="spellEnd"/>
      <w:r>
        <w:rPr>
          <w:lang w:val="hu-HU"/>
        </w:rPr>
        <w:t xml:space="preserve"> gátlása révén, a </w:t>
      </w:r>
      <w:proofErr w:type="spellStart"/>
      <w:r>
        <w:rPr>
          <w:lang w:val="hu-HU"/>
        </w:rPr>
        <w:t>disztális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tubulusokban</w:t>
      </w:r>
      <w:proofErr w:type="spellEnd"/>
      <w:r>
        <w:rPr>
          <w:lang w:val="hu-HU"/>
        </w:rPr>
        <w:t xml:space="preserve"> hat. Fokozza a nátrium és a klorid vizelettel történő kiválasztását, és kisebb mértékben a kálium és a magnézium kiválasztását is, ezáltal növeli a vizelet mennyiségét, és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hatást vált ki.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és az </w:t>
      </w:r>
      <w:proofErr w:type="spellStart"/>
      <w:r>
        <w:rPr>
          <w:i/>
          <w:iCs/>
          <w:lang w:val="hu-HU"/>
        </w:rPr>
        <w:t>indapamidra</w:t>
      </w:r>
      <w:proofErr w:type="spellEnd"/>
      <w:r>
        <w:rPr>
          <w:i/>
          <w:iCs/>
          <w:lang w:val="hu-HU"/>
        </w:rPr>
        <w:t xml:space="preserve"> vonatkozóan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kombináció hatásosságát és biztonságosságát </w:t>
      </w:r>
      <w:r>
        <w:rPr>
          <w:szCs w:val="22"/>
          <w:lang w:val="hu-HU"/>
        </w:rPr>
        <w:t xml:space="preserve">esszenciális </w:t>
      </w: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betegeknél vizsgálták. Az eredmények azt mutatták, hogy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együttes alkalmazása szignifikánsan hatásosabb volt, ami a vérnyomáscsökkenést illeti, mint a </w:t>
      </w:r>
      <w:proofErr w:type="spellStart"/>
      <w:r>
        <w:rPr>
          <w:szCs w:val="22"/>
          <w:lang w:val="hu-HU"/>
        </w:rPr>
        <w:t>monoterápiában</w:t>
      </w:r>
      <w:proofErr w:type="spellEnd"/>
      <w:r>
        <w:rPr>
          <w:szCs w:val="22"/>
          <w:lang w:val="hu-HU"/>
        </w:rPr>
        <w:t xml:space="preserve"> alkalmazott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. Összességében a klinikai vizsgálatok eredményei azt mutatták, hogy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kombinációval való kezelés nem növelte a mellékhatások kialakulásának kockázatát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- vagy az </w:t>
      </w:r>
      <w:proofErr w:type="spellStart"/>
      <w:proofErr w:type="gramStart"/>
      <w:r>
        <w:rPr>
          <w:szCs w:val="22"/>
          <w:lang w:val="hu-HU"/>
        </w:rPr>
        <w:t>indapamid-monoterápiához</w:t>
      </w:r>
      <w:proofErr w:type="spellEnd"/>
      <w:r>
        <w:rPr>
          <w:szCs w:val="22"/>
          <w:lang w:val="hu-HU"/>
        </w:rPr>
        <w:t xml:space="preserve"> ,</w:t>
      </w:r>
      <w:proofErr w:type="gramEnd"/>
      <w:r>
        <w:rPr>
          <w:szCs w:val="22"/>
          <w:lang w:val="hu-HU"/>
        </w:rPr>
        <w:t xml:space="preserve"> illetve a vérnyomáscsökkentők egyéb gyógyszercsoportjaihoz képest.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</w:t>
      </w:r>
      <w:r>
        <w:rPr>
          <w:i/>
          <w:iCs/>
          <w:szCs w:val="22"/>
          <w:lang w:val="hu-HU"/>
        </w:rPr>
        <w:t>vonatkozóan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első </w:t>
      </w:r>
      <w:proofErr w:type="gramStart"/>
      <w:r>
        <w:rPr>
          <w:lang w:val="hu-HU"/>
        </w:rPr>
        <w:t>dózisának</w:t>
      </w:r>
      <w:proofErr w:type="gramEnd"/>
      <w:r>
        <w:rPr>
          <w:lang w:val="hu-HU"/>
        </w:rPr>
        <w:t xml:space="preserve"> alkalmazása után az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 fokozatosan, 3 órán belül nyilvánul meg. A maximális vérnyomáscsökkentő hatás rendszerint a kezdettől számítva 4–8 heti kezelés után tapasztalható, és hosszú távú kezelés esetén is fennmarad.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Ambuláns vérnyomás-</w:t>
      </w:r>
      <w:proofErr w:type="spellStart"/>
      <w:r>
        <w:rPr>
          <w:lang w:val="hu-HU"/>
        </w:rPr>
        <w:t>monitorozás</w:t>
      </w:r>
      <w:proofErr w:type="spellEnd"/>
      <w:r>
        <w:rPr>
          <w:lang w:val="hu-HU"/>
        </w:rPr>
        <w:t xml:space="preserve"> eredményei alapján a vérnyomáscsökkentő hatás </w:t>
      </w:r>
      <w:proofErr w:type="gramStart"/>
      <w:r>
        <w:rPr>
          <w:lang w:val="hu-HU"/>
        </w:rPr>
        <w:t>konstans</w:t>
      </w:r>
      <w:proofErr w:type="gramEnd"/>
      <w:r>
        <w:rPr>
          <w:lang w:val="hu-HU"/>
        </w:rPr>
        <w:t xml:space="preserve"> marad a bevételtől számítva 24 órán keresztül, így a következő dózis bevétele előtti utolsó 4 órában is. Ezt megerősítette, hogy a maradék és a csúcshatás aránya következetesen 80% felett maradt a placebokontrollos vizsgálatokban a 40 és a 80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-dózis alkalmazása után is. Dózisfüggőnek tűnik, hogy a szisztolés vérnyomás (SBP) mennyi idő alatt tér vissza a kiindulási értékre. Ebben a tekintetben a diasztolés vérnyomásra (DBP) vonatkozó adatok nem egyértelműek.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hypertoniás</w:t>
      </w:r>
      <w:proofErr w:type="spellEnd"/>
      <w:r>
        <w:rPr>
          <w:lang w:val="hu-HU"/>
        </w:rPr>
        <w:t xml:space="preserve"> betegeknél a szisztolés és diasztolés vérnyomást egyaránt csökkenti, a szívfrekvenciát azonban nem módosítja. Tisztázásra szorul még, hogy a gyógyszer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natriureticus</w:t>
      </w:r>
      <w:proofErr w:type="spellEnd"/>
      <w:r>
        <w:rPr>
          <w:lang w:val="hu-HU"/>
        </w:rPr>
        <w:t xml:space="preserve"> hatása hogyan járul hozzá a vérnyomáscsökkentő hatáshoz.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hatásossága nem marad el a más gyógyszercsoportba tartozó </w:t>
      </w:r>
      <w:proofErr w:type="spellStart"/>
      <w:r>
        <w:rPr>
          <w:lang w:val="hu-HU"/>
        </w:rPr>
        <w:t>antihypertensivumokétól</w:t>
      </w:r>
      <w:proofErr w:type="spellEnd"/>
      <w:r>
        <w:rPr>
          <w:lang w:val="hu-HU"/>
        </w:rPr>
        <w:t xml:space="preserve"> (ezt igazolják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amlodipin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atenolol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hidroklorotiazid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lizinopril</w:t>
      </w:r>
      <w:proofErr w:type="spellEnd"/>
      <w:r>
        <w:rPr>
          <w:lang w:val="hu-HU"/>
        </w:rPr>
        <w:t xml:space="preserve"> hatásosságát összehasonlító klinikai vizsgálatok eredményei).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adagolásának hirtelen abbahagyása után a vérnyomás fokozatosan, néhány nap alatt tér vissza a kezelés előtti értékre, nem lép fel </w:t>
      </w:r>
      <w:proofErr w:type="spellStart"/>
      <w:r>
        <w:rPr>
          <w:i/>
          <w:iCs/>
          <w:lang w:val="hu-HU"/>
        </w:rPr>
        <w:t>rebound</w:t>
      </w:r>
      <w:proofErr w:type="spellEnd"/>
      <w:r>
        <w:rPr>
          <w:lang w:val="hu-HU"/>
        </w:rPr>
        <w:t xml:space="preserve"> vérnyomás-emelkedés.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száraz köhögés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szignifikánsan alacsonyabb volt a </w:t>
      </w:r>
      <w:proofErr w:type="spellStart"/>
      <w:r>
        <w:rPr>
          <w:lang w:val="hu-HU"/>
        </w:rPr>
        <w:t>telmizartánnal</w:t>
      </w:r>
      <w:proofErr w:type="spellEnd"/>
      <w:r>
        <w:rPr>
          <w:lang w:val="hu-HU"/>
        </w:rPr>
        <w:t xml:space="preserve"> kezelt betegeknél, mint azoknál, akik ACE-gátlót szedtek a két vérnyomáscsökkentő kezelést közvetlenül összehasonlító klinikai vizsgálatok során.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renin</w:t>
      </w:r>
      <w:proofErr w:type="spellEnd"/>
      <w:r>
        <w:rPr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angiotenzin</w:t>
      </w:r>
      <w:proofErr w:type="spellEnd"/>
      <w:r>
        <w:rPr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aldoszteron</w:t>
      </w:r>
      <w:proofErr w:type="spellEnd"/>
      <w:r>
        <w:rPr>
          <w:u w:val="single"/>
          <w:lang w:val="hu-HU"/>
        </w:rPr>
        <w:t xml:space="preserve"> rendszer (RAAS) kettős </w:t>
      </w:r>
      <w:proofErr w:type="gramStart"/>
      <w:r>
        <w:rPr>
          <w:u w:val="single"/>
          <w:lang w:val="hu-HU"/>
        </w:rPr>
        <w:t>blokádja</w:t>
      </w:r>
      <w:proofErr w:type="gramEnd"/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Két nagy,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 xml:space="preserve">, </w:t>
      </w:r>
      <w:proofErr w:type="gramStart"/>
      <w:r>
        <w:rPr>
          <w:lang w:val="hu-HU"/>
        </w:rPr>
        <w:t>kontrollos</w:t>
      </w:r>
      <w:proofErr w:type="gramEnd"/>
      <w:r>
        <w:rPr>
          <w:lang w:val="hu-HU"/>
        </w:rPr>
        <w:t xml:space="preserve"> vizsgálatban (ONTARGET [</w:t>
      </w:r>
      <w:proofErr w:type="spellStart"/>
      <w:r>
        <w:rPr>
          <w:lang w:val="hu-HU"/>
        </w:rPr>
        <w:t>ONgoing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Alone</w:t>
      </w:r>
      <w:proofErr w:type="spellEnd"/>
      <w:r>
        <w:rPr>
          <w:lang w:val="hu-HU"/>
        </w:rPr>
        <w:t xml:space="preserve"> and in </w:t>
      </w:r>
      <w:proofErr w:type="spellStart"/>
      <w:r>
        <w:rPr>
          <w:lang w:val="hu-HU"/>
        </w:rPr>
        <w:t>combination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with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 xml:space="preserve"> Global </w:t>
      </w:r>
      <w:proofErr w:type="spellStart"/>
      <w:r>
        <w:rPr>
          <w:lang w:val="hu-HU"/>
        </w:rPr>
        <w:t>Endpoint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lang w:val="hu-HU"/>
        </w:rPr>
        <w:t xml:space="preserve">] és VA NEPHRON-D [The </w:t>
      </w:r>
      <w:proofErr w:type="spellStart"/>
      <w:r>
        <w:rPr>
          <w:lang w:val="hu-HU"/>
        </w:rPr>
        <w:t>Veterans</w:t>
      </w:r>
      <w:proofErr w:type="spellEnd"/>
      <w:r>
        <w:rPr>
          <w:lang w:val="hu-HU"/>
        </w:rPr>
        <w:t xml:space="preserve"> Affairs </w:t>
      </w:r>
      <w:proofErr w:type="spellStart"/>
      <w:r>
        <w:rPr>
          <w:lang w:val="hu-HU"/>
        </w:rPr>
        <w:t>Nephropathy</w:t>
      </w:r>
      <w:proofErr w:type="spellEnd"/>
      <w:r>
        <w:rPr>
          <w:lang w:val="hu-HU"/>
        </w:rPr>
        <w:t xml:space="preserve"> in Diabetes]) vizsgálták az ACE-gátló és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 kombinált alkalmazását.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ONTARGET vizsgálatot olyan betegekkel végezték, akiknek az anamnézisében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cerebrovascularis</w:t>
      </w:r>
      <w:proofErr w:type="spellEnd"/>
      <w:r>
        <w:rPr>
          <w:lang w:val="hu-HU"/>
        </w:rPr>
        <w:t xml:space="preserve"> betegség, vagy szervkárosodással járó 2-es típusú diabetes mellitus szerepelt. A VA NEPHRON-D vizsgálatot 2-es típusú diabetesben és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betegekkel végezték.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Ezek a vizsgálatok nem mutattak ki szignifikánsan előnyös hatásokat a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kimenetel és a </w:t>
      </w:r>
      <w:proofErr w:type="gramStart"/>
      <w:r>
        <w:rPr>
          <w:lang w:val="hu-HU"/>
        </w:rPr>
        <w:t>mortalitás</w:t>
      </w:r>
      <w:proofErr w:type="gramEnd"/>
      <w:r>
        <w:rPr>
          <w:lang w:val="hu-HU"/>
        </w:rPr>
        <w:t xml:space="preserve"> vonatkozásában, miközben a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 megfigyelthez képest nőtt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akut veseelégtelenség és/vagy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kockázata. A hasonló </w:t>
      </w: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tulajdonságok alapján ezek az eredmények más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II-receptor-blokkolók esetében is relevánsak.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Ezért 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receptor-blokkolók nem adhatók együtt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betegeknek.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>Az ALTITUDE (</w:t>
      </w:r>
      <w:proofErr w:type="spellStart"/>
      <w:r>
        <w:rPr>
          <w:lang w:val="hu-HU"/>
        </w:rPr>
        <w:t>Aliskiren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lang w:val="hu-HU"/>
        </w:rPr>
        <w:t xml:space="preserve"> in </w:t>
      </w:r>
      <w:proofErr w:type="spellStart"/>
      <w:r>
        <w:rPr>
          <w:lang w:val="hu-HU"/>
        </w:rPr>
        <w:t>Type</w:t>
      </w:r>
      <w:proofErr w:type="spellEnd"/>
      <w:r>
        <w:rPr>
          <w:lang w:val="hu-HU"/>
        </w:rPr>
        <w:t xml:space="preserve"> 2 Diabetes </w:t>
      </w:r>
      <w:proofErr w:type="spellStart"/>
      <w:r>
        <w:rPr>
          <w:lang w:val="hu-HU"/>
        </w:rPr>
        <w:t>Using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</w:t>
      </w:r>
      <w:proofErr w:type="spellEnd"/>
      <w:r>
        <w:rPr>
          <w:lang w:val="hu-HU"/>
        </w:rPr>
        <w:t xml:space="preserve"> and </w:t>
      </w:r>
      <w:proofErr w:type="spellStart"/>
      <w:r>
        <w:rPr>
          <w:lang w:val="hu-HU"/>
        </w:rPr>
        <w:t>Renal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Disease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Endpoints</w:t>
      </w:r>
      <w:proofErr w:type="spellEnd"/>
      <w:r>
        <w:rPr>
          <w:lang w:val="hu-HU"/>
        </w:rPr>
        <w:t xml:space="preserve">) vizsgálat célja az volt, hogy megállapítsák, előnyös-e a standard ACE-gátló vagy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II-receptor-blokkoló-kezelés kiegészítése </w:t>
      </w:r>
      <w:proofErr w:type="spellStart"/>
      <w:r>
        <w:rPr>
          <w:lang w:val="hu-HU"/>
        </w:rPr>
        <w:t>aliszkirénnel</w:t>
      </w:r>
      <w:proofErr w:type="spellEnd"/>
      <w:r>
        <w:rPr>
          <w:lang w:val="hu-HU"/>
        </w:rPr>
        <w:t xml:space="preserve">, 2-es típusú diabetesben és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vesebetegségben, illetve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betegségben vagy mindkettőben szenvedő betegeknél. A vizsgálatot idő előtt leállították, mert nőtt a mellékhatások kockázata.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eredetű halál és a stroke szám szerint gyakoribb volt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-csoportban, mint a placebocsoportban, és a jelentős mellékhatások, illetve súlyos mellékhatások (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veseműködési zavar) is gyakoribbak voltak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-csoportban, mint a placebocsoportban.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monoterápiát</w:t>
      </w:r>
      <w:proofErr w:type="spellEnd"/>
      <w:r>
        <w:rPr>
          <w:lang w:val="hu-HU"/>
        </w:rPr>
        <w:t xml:space="preserve"> alkalmazó II. és III. fázisú vizsgálatok 24 órán át tartó vérnyomáscsökkentő hatást mutattak ki. Ez olyan </w:t>
      </w:r>
      <w:proofErr w:type="gramStart"/>
      <w:r>
        <w:rPr>
          <w:lang w:val="hu-HU"/>
        </w:rPr>
        <w:t>dózisok</w:t>
      </w:r>
      <w:proofErr w:type="gramEnd"/>
      <w:r>
        <w:rPr>
          <w:lang w:val="hu-HU"/>
        </w:rPr>
        <w:t xml:space="preserve"> mellett is kialakult, melyek esetében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hatás kismértékű volt.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vérnyomáscsökkentő hatása összefügg az artériák </w:t>
      </w:r>
      <w:proofErr w:type="spellStart"/>
      <w:r>
        <w:rPr>
          <w:lang w:val="hu-HU"/>
        </w:rPr>
        <w:t>tágulékonyságának</w:t>
      </w:r>
      <w:proofErr w:type="spellEnd"/>
      <w:r>
        <w:rPr>
          <w:lang w:val="hu-HU"/>
        </w:rPr>
        <w:t xml:space="preserve"> javulásával és az </w:t>
      </w:r>
      <w:proofErr w:type="spellStart"/>
      <w:r>
        <w:rPr>
          <w:lang w:val="hu-HU"/>
        </w:rPr>
        <w:t>arteriolaris</w:t>
      </w:r>
      <w:proofErr w:type="spellEnd"/>
      <w:r>
        <w:rPr>
          <w:lang w:val="hu-HU"/>
        </w:rPr>
        <w:t xml:space="preserve"> és teljes perifériás rezisztencia csökkenésével.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mérsékli</w:t>
      </w:r>
      <w:proofErr w:type="spellEnd"/>
      <w:r>
        <w:rPr>
          <w:lang w:val="hu-HU"/>
        </w:rPr>
        <w:t xml:space="preserve"> a balkamra-</w:t>
      </w:r>
      <w:proofErr w:type="spellStart"/>
      <w:r>
        <w:rPr>
          <w:lang w:val="hu-HU"/>
        </w:rPr>
        <w:t>hypertrophiát</w:t>
      </w:r>
      <w:proofErr w:type="spellEnd"/>
      <w:r>
        <w:rPr>
          <w:lang w:val="hu-HU"/>
        </w:rPr>
        <w:t>.</w:t>
      </w:r>
    </w:p>
    <w:p w:rsidR="00E711F0" w:rsidRDefault="004D44D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terápiás hatása bizonyos </w:t>
      </w:r>
      <w:proofErr w:type="gramStart"/>
      <w:r>
        <w:rPr>
          <w:lang w:val="hu-HU"/>
        </w:rPr>
        <w:t>dózis</w:t>
      </w:r>
      <w:proofErr w:type="gramEnd"/>
      <w:r>
        <w:rPr>
          <w:lang w:val="hu-HU"/>
        </w:rPr>
        <w:t xml:space="preserve"> felett platót ér el, ugyanakkor mellékhatásaik tovább fokozódnak. Ha a kezelés nem hatásos, a </w:t>
      </w:r>
      <w:proofErr w:type="gramStart"/>
      <w:r>
        <w:rPr>
          <w:lang w:val="hu-HU"/>
        </w:rPr>
        <w:t>dózist</w:t>
      </w:r>
      <w:proofErr w:type="gramEnd"/>
      <w:r>
        <w:rPr>
          <w:lang w:val="hu-HU"/>
        </w:rPr>
        <w:t xml:space="preserve"> nem szabad növelni.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betegek esetén azt is kimutatták a rövid, közép- és hosszú távú kezelés során, hogy az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>:</w:t>
      </w:r>
    </w:p>
    <w:p w:rsidR="00E711F0" w:rsidRDefault="004D44D3">
      <w:pPr>
        <w:numPr>
          <w:ilvl w:val="0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nem befolyásolja a </w:t>
      </w:r>
      <w:proofErr w:type="spellStart"/>
      <w:r>
        <w:rPr>
          <w:szCs w:val="22"/>
          <w:lang w:val="hu-HU"/>
        </w:rPr>
        <w:t>lipidmetabolizmust</w:t>
      </w:r>
      <w:proofErr w:type="spellEnd"/>
      <w:r>
        <w:rPr>
          <w:szCs w:val="22"/>
          <w:lang w:val="hu-HU"/>
        </w:rPr>
        <w:t>: a trigliceridek szintjét, az LDL-koleszterin- és a HDL</w:t>
      </w:r>
      <w:r>
        <w:rPr>
          <w:szCs w:val="22"/>
          <w:lang w:val="hu-HU"/>
        </w:rPr>
        <w:noBreakHyphen/>
        <w:t>koleszterin-szintet;</w:t>
      </w:r>
    </w:p>
    <w:p w:rsidR="00E711F0" w:rsidRDefault="004D44D3">
      <w:pPr>
        <w:numPr>
          <w:ilvl w:val="0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nem befolyásolja a szénhidrát-anyagcserét, még </w:t>
      </w: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diabeteses betegeknél sem.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</w:r>
      <w:proofErr w:type="spellStart"/>
      <w:r>
        <w:rPr>
          <w:b/>
          <w:lang w:val="hu-HU"/>
        </w:rPr>
        <w:t>Farmakokinetikai</w:t>
      </w:r>
      <w:proofErr w:type="spellEnd"/>
      <w:r>
        <w:rPr>
          <w:b/>
          <w:lang w:val="hu-HU"/>
        </w:rPr>
        <w:t xml:space="preserve"> tulajdonságok</w:t>
      </w:r>
    </w:p>
    <w:p w:rsidR="00E711F0" w:rsidRDefault="00E711F0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Felszívódás</w:t>
      </w:r>
    </w:p>
    <w:p w:rsidR="00E711F0" w:rsidRDefault="004D44D3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rövid idő alatt, azonban változó mértékben szívódik fel; abszolút biohasznosulása átlagosan 50%-os. A telmizartánt étkezés közben bevéve körülbelül 6%-tól (40 mg-os dózis) körülbelül 19%-ig (160 mg-os dózis) terjedő mértékben csökken a plazmakoncentráció–idő görbe alatti terület (AUC</w:t>
      </w:r>
      <w:r>
        <w:rPr>
          <w:noProof/>
          <w:szCs w:val="24"/>
          <w:vertAlign w:val="subscript"/>
          <w:lang w:val="hu-HU"/>
        </w:rPr>
        <w:t>0-∞</w:t>
      </w:r>
      <w:r>
        <w:rPr>
          <w:noProof/>
          <w:szCs w:val="24"/>
          <w:lang w:val="hu-HU"/>
        </w:rPr>
        <w:t>). Három órával a bevétel után azonban már nem különbözik az éhgyomorra, illetve étkezés közben adott telmizartán plazmaszintje.</w:t>
      </w:r>
    </w:p>
    <w:p w:rsidR="00E711F0" w:rsidRDefault="00E711F0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tablettából kioldódó indapamid-mennyiség rövid idő alatt és szinte teljes mértékben felszívódik az emésztőrendszerből. Az étkezés kismértékben növeli a felszívódás sebességét, a felszívódó indapamid mennyiségét azonban nem befolyásolja. Egyszeri dózis alkalmazása után a szérumszint mintegy 12 óra múlva éri el a csúcskoncentrációt, az ismételt adagolás csökkenti a két dózis bevétele közötti szérumszint-ingadozásokat. Intraindividuális eltérések előfordulnak.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u w:val="single"/>
          <w:lang w:val="hu-HU"/>
        </w:rPr>
        <w:t>Linearitás/nemlinearitás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AUC csekély mértékű csökkenése várhatóan nem befolyásolja a telmizartán terápiás hatásosságát. Nincs egyenes arányosság a beadott dózis és a telmizartán plazmakoncentrációja között.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és kisebb mértékben az AUC aránytalanul megnő 40 mg feletti dózisok esetén.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Eloszlás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nagymértékben (&gt;99,5%) kötődik a plazmafehérjékhez, elsősorban az albuminhoz és az α1 savanyú glikoproteinhez. A látszólagos eloszlási térfogat (V</w:t>
      </w:r>
      <w:r>
        <w:rPr>
          <w:noProof/>
          <w:szCs w:val="24"/>
          <w:vertAlign w:val="subscript"/>
          <w:lang w:val="hu-HU"/>
        </w:rPr>
        <w:t>dss</w:t>
      </w:r>
      <w:r>
        <w:rPr>
          <w:noProof/>
          <w:szCs w:val="24"/>
          <w:lang w:val="hu-HU"/>
        </w:rPr>
        <w:t>) átlaga hozzávetőleg 500 liter a dinamikus egyensúlyi állapotban.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indapamid 79%-a kötődik plazmafehérjékhez. Eliminációs felezési ideje a plazmában 14–24 óra (átlagosan 18 óra). A dinamikus egyensúlyi állapot 7 nap alatt alakul ki. Az indapamid az ismétlődő adagolás során sem kumulálódik a szervezetben.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Biotranszformáció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az anyavegyület glükuronid-konjugációjával metabolizálódik. A konjugált metabolit nem rendelkezik farmakológiai aktivitással.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indapamid kiválasztása főleg a vizelettel (a dózis kb.70%-a) és széklettel (22%) történik, inaktív metabolitok formájában.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Elimináció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eliminációja biexponenciálisan csökkenő farmakokinetikát mutat, terminális felezési ideje &gt;20 óra. A maximális plazmakoncentráció (C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>), és kisebb mértékben a plazmakoncentráció–idő görbe alatti terület (AUC) aránytalanul nő az alkalmazott dózis nagyságához képest. A javasolt dózis alkalmazásakor nem észlelték a telmizartán klinikailag releváns akkumulációját. Nők esetében magasabb plazmaszintet mértek, mint férfiaknál, ez azonban számottevően nem befolyásolta a hatásosságot.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lastRenderedPageBreak/>
        <w:t>Az orálisan (és intravénásan) alkalmazott telmizartán szinte kizárólagosan a széklettel ürül ki a szervezetből, javarészt változatlan formában. A vizeletben a telmizartán kiválasztott kumulatív mennyisége az alkalmazott dózis kevesebb mint 1%-a. A máj vérátáramlásához (körülbelül 1500 ml/perc) viszonyítva a teljesplazma-clearance (Cl</w:t>
      </w:r>
      <w:r>
        <w:rPr>
          <w:noProof/>
          <w:szCs w:val="24"/>
          <w:vertAlign w:val="subscript"/>
          <w:lang w:val="hu-HU"/>
        </w:rPr>
        <w:t>tot</w:t>
      </w:r>
      <w:r>
        <w:rPr>
          <w:noProof/>
          <w:szCs w:val="24"/>
          <w:lang w:val="hu-HU"/>
        </w:rPr>
        <w:t>) értéke magas (mintegy 1000 ml/perc).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>
        <w:rPr>
          <w:i/>
          <w:iCs/>
          <w:noProof/>
          <w:szCs w:val="24"/>
          <w:lang w:val="hu-HU"/>
        </w:rPr>
        <w:t>Különleges betegcsoportok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Gyermekek és serdülők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két dózisának farmakokinetikai jellemzőit mint másodlagos célkitűzést vizsgálták a 6– &lt;18 év közötti hypertoniás betegeknél (n = 57), négyhetes, 1 mg/ttkg vagy 2 mg/ttkg dózisban alkalmazott telmizartán-kezelést követően. A farmakokinetikai célok közé tartozott a dinamikus egyensúlyi állapotú telmizartán-érték meghatározása gyermekeknél és serdülőknél, valamint az életkorral összefüggő különbségek vizsgálata. Bár a vizsgálat túl kis betegszámú volt ahhoz, hogy a farmakokinetikáról érdemi értékelést lehessen készíteni a 12 év alatti gyermekeknél, az eredmények általánosságban konzisztensek voltak a felnőtteknél tapasztaltakkal, és megerősítették, hogy a telmizartán farmakokinetikája nemlineáris, különösen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vonatkozásában.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Nem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nemek között különbséget figyeltek meg a telmizartán plazmakoncentrációjában: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körülbelül 3-szor, az AUC pedig 2-szer volt nagyobb nőknél, mint férfiaknál.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Idősek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farmakokinetikai jellemzői nem különböznek az idős, illetve a 65 évnél fiatalabb betegeknél.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Vesekárosodás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Enyhe, közepesen súlyos és súlyos vesekárosodásban szenvedő betegeknél a plazmakoncentrációk – a vizsgálatok szerint – megkétszereződtek, ugyanakkor a veseelégtelenség miatt hemodializált betegeknél alacsonyabb plazmaszinteket mértek. A telmizartán vesekárosodás esetén is nagymértékben kötődik a plazmafehérjékhez, ezért hemodialízissel nem távolítható el a keringésből. A telmizartán eliminációs felezési ideje nem változik vesekárosodás esetén.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Vesekárosodásban szenvedő betegeknél az indapamid farmakokinetikai paraméterei nem változnak.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Májkárosodás</w:t>
      </w:r>
    </w:p>
    <w:p w:rsidR="00E711F0" w:rsidRDefault="004D44D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Farmakokinetikai vizsgálatok eredményei alapján közel 100%-ig fokozódhat a telmizartán abszolút biohasznosulása májkárosodásban szenvedő betegeknél. Az eliminációs felezési idő nem változik májkárosodás esetén.</w:t>
      </w:r>
    </w:p>
    <w:p w:rsidR="00E711F0" w:rsidRDefault="00E711F0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:rsidR="00E711F0" w:rsidRDefault="00E711F0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Normotenziós állatokkal végzett preklinikai, biztonságossági vizsgálatok során a klinikai terápiás tartománynak megfeleltethető telmizartán-dózisok a vörösvértest-jellemzők (erythrocytaszám, hemoglobin, hematokrit) csökkenését, a vese hemodinamikai paramétereinek változását (a vér karbamidnitrogén szintje és a kreatininszint emelkedett), valamint a szérum káliumszintjének emelkedését idézték elő. Kutyánál a vesetubulusok kitágulását és atrophiáját figyelték meg. A gyomornyálkahártya károsodását (erosio, fekélyek vagy gyulladás jelenléte) kutyánál és patkánynál is leírták. Mind az ACE-gátlókkal, mind az angiotenzin II-receptor-antagonistákkal végzett preklinikai vizsgálatokból már ismert volt ezeknek a farmakológiai eredetű mellékhatásoknak a kialakulása, amely orális sópótlással megelőzhető volt.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Mind a két állatfajban észlelték a plazma reninaktivitásának fokozódását, továbbá a vese juxtaglomerularis sejtjeinek hypertrophiáját és/vagy hyperplasiáját. Ezek úgyszintén az ACE-gátlók és más angiotenzin II-receptor-antagonisták gyógyszercsoportjára jellemző hatások, klinikai szempontból azonban, úgy tűnik, nincs jelentőségük.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teratogén hatást egyértelmű bizonyíték nem támasztja alá, azonban a telmizartán toxikus dózisszintje esetén megfigyeltek az utódok postnatalis fejlődésére kifejtett egyes hatásokat (például kisebb testtömeg és megkésett szemnyitás).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 xml:space="preserve">Nem igazoltak mutagenitást és jelentős clastogen aktivitást az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 vitro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vizsgálatokban; karcinogenitás patkánynál és egérnél nem volt kimutatható.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indapamid vizsgálata nem mutatott ki mutagén vagy karcinogén tulajdonságot.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különböző állatfajoknak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per os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adott legnagyobb (a terápiás dózis 40–8000-szeresének megfelelő) dózisok hatásait tanulmányozva az indapamid diuretikus hatásának fokozódását észlelték. Az intravénásan vagy intraperitoneálisan adott indapamiddal végzett akut toxicitási vizsgálatokban az intoxicatio főbb tünetei, azaz a bradypnoe és a perifériás vasodilatatio, az indapamid farmakológiai hatásával voltak összefüggésben.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reproduktív toxicitási vizsgálatok nem igazoltak embryotoxicitást vagy teratogenitást.</w:t>
      </w: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termékenység nem károsodott sem hím, sem nőstény patkányoknál.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E711F0">
      <w:pPr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proofErr w:type="gramStart"/>
      <w:r>
        <w:rPr>
          <w:szCs w:val="22"/>
        </w:rPr>
        <w:t>laktóz-monohidrát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meglumin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nátrium-hidroxid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povidon</w:t>
      </w:r>
      <w:proofErr w:type="spellEnd"/>
      <w:proofErr w:type="gramEnd"/>
      <w:r>
        <w:rPr>
          <w:szCs w:val="22"/>
        </w:rPr>
        <w:t> K30</w:t>
      </w:r>
    </w:p>
    <w:p w:rsidR="00E711F0" w:rsidRDefault="004D44D3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mikrokristályos</w:t>
      </w:r>
      <w:proofErr w:type="gramEnd"/>
      <w:r>
        <w:rPr>
          <w:szCs w:val="22"/>
          <w:lang w:val="hu-HU"/>
        </w:rPr>
        <w:t xml:space="preserve"> cellulóz</w:t>
      </w:r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kroszkarmellóz-nátrium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sárga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E711F0" w:rsidRDefault="004D44D3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vörös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nátrium-sztearil-fumarát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magnézium-sztearát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hipromellóz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gramStart"/>
      <w:r>
        <w:rPr>
          <w:szCs w:val="22"/>
          <w:lang w:val="hu-HU"/>
        </w:rPr>
        <w:t>vízmentes</w:t>
      </w:r>
      <w:proofErr w:type="gramEnd"/>
      <w:r>
        <w:rPr>
          <w:szCs w:val="22"/>
          <w:lang w:val="hu-HU"/>
        </w:rPr>
        <w:t xml:space="preserve"> kolloid szilícium-dioxid</w:t>
      </w:r>
    </w:p>
    <w:p w:rsidR="00E711F0" w:rsidRDefault="004D44D3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karbomer</w:t>
      </w:r>
      <w:proofErr w:type="spellEnd"/>
    </w:p>
    <w:p w:rsidR="00E711F0" w:rsidRDefault="00E711F0">
      <w:pPr>
        <w:spacing w:line="240" w:lineRule="auto"/>
        <w:rPr>
          <w:szCs w:val="22"/>
          <w:lang w:val="hu-HU"/>
        </w:rPr>
      </w:pP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E711F0" w:rsidRDefault="004D44D3">
      <w:pPr>
        <w:spacing w:line="240" w:lineRule="auto"/>
        <w:rPr>
          <w:u w:val="single"/>
          <w:lang w:val="hu-HU"/>
        </w:rPr>
      </w:pPr>
      <w:proofErr w:type="spellStart"/>
      <w:proofErr w:type="gramStart"/>
      <w:r>
        <w:rPr>
          <w:szCs w:val="22"/>
        </w:rPr>
        <w:t>laktóz-monohidrát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meglumin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nátrium-hidroxid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povidon</w:t>
      </w:r>
      <w:proofErr w:type="spellEnd"/>
      <w:proofErr w:type="gramEnd"/>
      <w:r>
        <w:rPr>
          <w:szCs w:val="22"/>
        </w:rPr>
        <w:t> K30</w:t>
      </w:r>
    </w:p>
    <w:p w:rsidR="00E711F0" w:rsidRDefault="004D44D3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mikrokristályos</w:t>
      </w:r>
      <w:proofErr w:type="gramEnd"/>
      <w:r>
        <w:rPr>
          <w:szCs w:val="22"/>
          <w:lang w:val="hu-HU"/>
        </w:rPr>
        <w:t xml:space="preserve"> cellulóz</w:t>
      </w:r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kroszkarmellóz-nátrium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sárga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nátrium-sztearil-fumarát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magnézium-sztearát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hipromellóz</w:t>
      </w:r>
      <w:proofErr w:type="spellEnd"/>
      <w:proofErr w:type="gramEnd"/>
    </w:p>
    <w:p w:rsidR="00E711F0" w:rsidRDefault="004D44D3">
      <w:pPr>
        <w:spacing w:line="240" w:lineRule="auto"/>
        <w:rPr>
          <w:szCs w:val="22"/>
        </w:rPr>
      </w:pPr>
      <w:proofErr w:type="gramStart"/>
      <w:r>
        <w:rPr>
          <w:szCs w:val="22"/>
          <w:lang w:val="hu-HU"/>
        </w:rPr>
        <w:t>vízmentes</w:t>
      </w:r>
      <w:proofErr w:type="gramEnd"/>
      <w:r>
        <w:rPr>
          <w:szCs w:val="22"/>
          <w:lang w:val="hu-HU"/>
        </w:rPr>
        <w:t xml:space="preserve"> kolloid szilícium-dioxid</w:t>
      </w:r>
    </w:p>
    <w:p w:rsidR="00E711F0" w:rsidRDefault="004D44D3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karbomer</w:t>
      </w:r>
      <w:proofErr w:type="spellEnd"/>
    </w:p>
    <w:p w:rsidR="00E711F0" w:rsidRDefault="00E711F0">
      <w:pPr>
        <w:spacing w:line="240" w:lineRule="auto"/>
        <w:rPr>
          <w:lang w:val="hu-HU"/>
        </w:rPr>
      </w:pP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:rsidR="00E711F0" w:rsidRDefault="00E711F0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 év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lastRenderedPageBreak/>
        <w:t>A fénytől és a nedvességtől való védelem érdekében az eredeti csomagolásban tárolandó.</w:t>
      </w:r>
    </w:p>
    <w:p w:rsidR="00E711F0" w:rsidRDefault="004D44D3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t>Ez a gyógyszer különleges tárolási hőmérsékletet nem igényel.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10, 30, 60, 90 és 100 db </w:t>
      </w:r>
      <w:r>
        <w:rPr>
          <w:lang w:val="hu-HU"/>
        </w:rPr>
        <w:t>módosított hatóanyag-leadású tabletta 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 és dobozban.</w:t>
      </w:r>
    </w:p>
    <w:p w:rsidR="00E711F0" w:rsidRDefault="004D44D3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14, 28, 56, 84 és 98 db </w:t>
      </w:r>
      <w:r>
        <w:rPr>
          <w:lang w:val="hu-HU"/>
        </w:rPr>
        <w:t>módosított hatóanyag-leadású tabletta 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naptárjelzéses buborékcsomagolásban és dobozban.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:rsidR="00E711F0" w:rsidRDefault="00E711F0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rPr>
          <w:szCs w:val="22"/>
        </w:rPr>
      </w:pPr>
      <w:proofErr w:type="spellStart"/>
      <w:r>
        <w:rPr>
          <w:b/>
          <w:szCs w:val="22"/>
        </w:rPr>
        <w:t>Megjegyzés</w:t>
      </w:r>
      <w:proofErr w:type="spellEnd"/>
      <w:r>
        <w:rPr>
          <w:b/>
          <w:szCs w:val="22"/>
        </w:rPr>
        <w:t xml:space="preserve">: </w:t>
      </w:r>
      <w:r>
        <w:rPr>
          <w:rFonts w:ascii="Wingdings" w:hAnsi="Wingdings"/>
          <w:szCs w:val="22"/>
        </w:rPr>
        <w:t>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egy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keresztes</w:t>
      </w:r>
      <w:proofErr w:type="spellEnd"/>
      <w:r>
        <w:rPr>
          <w:szCs w:val="22"/>
        </w:rPr>
        <w:t>)</w:t>
      </w:r>
    </w:p>
    <w:p w:rsidR="00E711F0" w:rsidRDefault="004D44D3">
      <w:pPr>
        <w:rPr>
          <w:b/>
          <w:bCs/>
          <w:szCs w:val="22"/>
        </w:rPr>
      </w:pPr>
      <w:proofErr w:type="spellStart"/>
      <w:r>
        <w:rPr>
          <w:b/>
          <w:bCs/>
          <w:szCs w:val="22"/>
        </w:rPr>
        <w:t>Osztályozás</w:t>
      </w:r>
      <w:proofErr w:type="spellEnd"/>
      <w:r>
        <w:rPr>
          <w:b/>
          <w:bCs/>
          <w:szCs w:val="22"/>
        </w:rPr>
        <w:t xml:space="preserve">: II. </w:t>
      </w:r>
      <w:proofErr w:type="spellStart"/>
      <w:proofErr w:type="gramStart"/>
      <w:r>
        <w:rPr>
          <w:b/>
          <w:bCs/>
          <w:szCs w:val="22"/>
        </w:rPr>
        <w:t>csoport</w:t>
      </w:r>
      <w:proofErr w:type="spellEnd"/>
      <w:proofErr w:type="gramEnd"/>
    </w:p>
    <w:p w:rsidR="00E711F0" w:rsidRDefault="004D44D3">
      <w:pPr>
        <w:rPr>
          <w:bCs/>
          <w:szCs w:val="22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:rsidR="00E711F0" w:rsidRDefault="00E711F0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E711F0" w:rsidRDefault="004D44D3">
      <w:pPr>
        <w:rPr>
          <w:noProof/>
          <w:szCs w:val="22"/>
        </w:rPr>
      </w:pPr>
      <w:r>
        <w:rPr>
          <w:noProof/>
          <w:szCs w:val="22"/>
        </w:rPr>
        <w:t>KRKA, d.d., Novo mesto,</w:t>
      </w:r>
    </w:p>
    <w:p w:rsidR="00E711F0" w:rsidRDefault="004D44D3">
      <w:pPr>
        <w:rPr>
          <w:noProof/>
          <w:szCs w:val="22"/>
        </w:rPr>
      </w:pPr>
      <w:r>
        <w:rPr>
          <w:noProof/>
          <w:szCs w:val="22"/>
        </w:rPr>
        <w:t>Šmarješka cesta 6,</w:t>
      </w:r>
    </w:p>
    <w:p w:rsidR="00E711F0" w:rsidRDefault="004D44D3">
      <w:pPr>
        <w:rPr>
          <w:noProof/>
          <w:szCs w:val="22"/>
        </w:rPr>
      </w:pPr>
      <w:r>
        <w:rPr>
          <w:noProof/>
          <w:szCs w:val="22"/>
        </w:rPr>
        <w:t>8501 Novo mesto,</w:t>
      </w:r>
    </w:p>
    <w:p w:rsidR="00E711F0" w:rsidRDefault="004D44D3">
      <w:pPr>
        <w:rPr>
          <w:szCs w:val="22"/>
        </w:rPr>
      </w:pPr>
      <w:r>
        <w:rPr>
          <w:noProof/>
          <w:szCs w:val="22"/>
        </w:rPr>
        <w:t>Szlovénia</w:t>
      </w:r>
    </w:p>
    <w:p w:rsidR="00E711F0" w:rsidRDefault="00E711F0">
      <w:pPr>
        <w:spacing w:line="240" w:lineRule="auto"/>
        <w:outlineLvl w:val="0"/>
        <w:rPr>
          <w:bCs/>
          <w:lang w:val="hu-HU"/>
        </w:rPr>
      </w:pPr>
    </w:p>
    <w:p w:rsidR="00E711F0" w:rsidRDefault="00E711F0">
      <w:pPr>
        <w:spacing w:line="240" w:lineRule="auto"/>
        <w:outlineLvl w:val="0"/>
        <w:rPr>
          <w:bCs/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E711F0" w:rsidRDefault="00E711F0">
      <w:pPr>
        <w:spacing w:line="240" w:lineRule="auto"/>
        <w:outlineLvl w:val="0"/>
        <w:rPr>
          <w:b/>
          <w:lang w:val="hu-HU"/>
        </w:rPr>
      </w:pPr>
    </w:p>
    <w:p w:rsidR="00E711F0" w:rsidRDefault="004D44D3">
      <w:pPr>
        <w:rPr>
          <w:snapToGrid/>
          <w:color w:val="000000"/>
          <w:u w:val="single"/>
          <w:lang w:eastAsia="hu-HU"/>
        </w:rPr>
      </w:pPr>
      <w:proofErr w:type="spellStart"/>
      <w:r>
        <w:rPr>
          <w:color w:val="000000"/>
          <w:u w:val="single"/>
          <w:lang w:eastAsia="hu-HU"/>
        </w:rPr>
        <w:t>Texolmid</w:t>
      </w:r>
      <w:proofErr w:type="spellEnd"/>
      <w:r>
        <w:rPr>
          <w:color w:val="000000"/>
          <w:u w:val="single"/>
          <w:lang w:eastAsia="hu-HU"/>
        </w:rPr>
        <w:t xml:space="preserve"> 40 mg/1</w:t>
      </w:r>
      <w:proofErr w:type="gramStart"/>
      <w:r>
        <w:rPr>
          <w:color w:val="000000"/>
          <w:u w:val="single"/>
          <w:lang w:eastAsia="hu-HU"/>
        </w:rPr>
        <w:t>,5</w:t>
      </w:r>
      <w:proofErr w:type="gramEnd"/>
      <w:r>
        <w:rPr>
          <w:color w:val="000000"/>
          <w:u w:val="single"/>
          <w:lang w:eastAsia="hu-HU"/>
        </w:rPr>
        <w:t xml:space="preserve"> mg </w:t>
      </w:r>
      <w:proofErr w:type="spellStart"/>
      <w:r>
        <w:rPr>
          <w:color w:val="000000"/>
          <w:u w:val="single"/>
          <w:lang w:eastAsia="hu-HU"/>
        </w:rPr>
        <w:t>módosított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hatóanyag-leadású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tabletta</w:t>
      </w:r>
      <w:proofErr w:type="spellEnd"/>
    </w:p>
    <w:p w:rsidR="00E711F0" w:rsidRDefault="004D44D3">
      <w:pPr>
        <w:jc w:val="both"/>
        <w:rPr>
          <w:sz w:val="24"/>
          <w:szCs w:val="24"/>
          <w:lang w:eastAsia="hu-HU"/>
        </w:rPr>
      </w:pPr>
      <w:r>
        <w:t>OGYI-T-24506/01</w:t>
      </w:r>
      <w:r>
        <w:rPr>
          <w:b/>
          <w:bCs/>
        </w:rPr>
        <w:tab/>
      </w:r>
      <w:proofErr w:type="gramStart"/>
      <w:r>
        <w:t>10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  <w:rPr>
          <w:szCs w:val="22"/>
          <w:lang w:eastAsia="en-US"/>
        </w:rPr>
      </w:pPr>
      <w:r>
        <w:t>OGYI-T-24506/02</w:t>
      </w:r>
      <w:r>
        <w:tab/>
      </w:r>
      <w:proofErr w:type="gramStart"/>
      <w:r>
        <w:t>14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OGYI-T-24506/03</w:t>
      </w:r>
      <w:r>
        <w:tab/>
      </w:r>
      <w:proofErr w:type="gramStart"/>
      <w:r>
        <w:t>28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OGYI-T-24506/04</w:t>
      </w:r>
      <w:r>
        <w:tab/>
      </w:r>
      <w:proofErr w:type="gramStart"/>
      <w:r>
        <w:t>30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OGYI-T-24506/05</w:t>
      </w:r>
      <w:r>
        <w:tab/>
      </w:r>
      <w:proofErr w:type="gramStart"/>
      <w:r>
        <w:t>56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OGYI-T-24506/06</w:t>
      </w:r>
      <w:r>
        <w:tab/>
      </w:r>
      <w:proofErr w:type="gramStart"/>
      <w:r>
        <w:t>60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OGYI-T-24506/07</w:t>
      </w:r>
      <w:r>
        <w:tab/>
      </w:r>
      <w:proofErr w:type="gramStart"/>
      <w:r>
        <w:t>84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OGYI-T-24506/08</w:t>
      </w:r>
      <w:r>
        <w:tab/>
      </w:r>
      <w:proofErr w:type="gramStart"/>
      <w:r>
        <w:t>90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OGYI-T-24506/09</w:t>
      </w:r>
      <w:r>
        <w:tab/>
        <w:t>98×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OGYI-T-24506/10</w:t>
      </w:r>
      <w:r>
        <w:tab/>
      </w:r>
      <w:proofErr w:type="gramStart"/>
      <w:r>
        <w:t>100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E711F0">
      <w:pPr>
        <w:ind w:left="1276" w:hanging="916"/>
        <w:jc w:val="both"/>
      </w:pPr>
    </w:p>
    <w:p w:rsidR="00E711F0" w:rsidRDefault="004D44D3">
      <w:pPr>
        <w:jc w:val="both"/>
        <w:rPr>
          <w:u w:val="single"/>
        </w:rPr>
      </w:pPr>
      <w:proofErr w:type="spellStart"/>
      <w:r>
        <w:rPr>
          <w:color w:val="000000"/>
          <w:u w:val="single"/>
          <w:lang w:eastAsia="hu-HU"/>
        </w:rPr>
        <w:t>Texolmid</w:t>
      </w:r>
      <w:proofErr w:type="spellEnd"/>
      <w:r>
        <w:rPr>
          <w:color w:val="000000"/>
          <w:u w:val="single"/>
          <w:lang w:eastAsia="hu-HU"/>
        </w:rPr>
        <w:t xml:space="preserve"> 80 mg/1</w:t>
      </w:r>
      <w:proofErr w:type="gramStart"/>
      <w:r>
        <w:rPr>
          <w:color w:val="000000"/>
          <w:u w:val="single"/>
          <w:lang w:eastAsia="hu-HU"/>
        </w:rPr>
        <w:t>,5</w:t>
      </w:r>
      <w:proofErr w:type="gramEnd"/>
      <w:r>
        <w:rPr>
          <w:color w:val="000000"/>
          <w:u w:val="single"/>
          <w:lang w:eastAsia="hu-HU"/>
        </w:rPr>
        <w:t xml:space="preserve"> mg </w:t>
      </w:r>
      <w:proofErr w:type="spellStart"/>
      <w:r>
        <w:rPr>
          <w:color w:val="000000"/>
          <w:u w:val="single"/>
          <w:lang w:eastAsia="hu-HU"/>
        </w:rPr>
        <w:t>módosított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hatóanyag-leadású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tabletta</w:t>
      </w:r>
      <w:proofErr w:type="spellEnd"/>
    </w:p>
    <w:p w:rsidR="00E711F0" w:rsidRDefault="004D44D3">
      <w:pPr>
        <w:jc w:val="both"/>
        <w:rPr>
          <w:sz w:val="24"/>
          <w:szCs w:val="24"/>
          <w:lang w:eastAsia="hu-HU"/>
        </w:rPr>
      </w:pPr>
      <w:r>
        <w:t>OGYI-T-24506/11</w:t>
      </w:r>
      <w:r>
        <w:tab/>
      </w:r>
      <w:proofErr w:type="gramStart"/>
      <w:r>
        <w:t>10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  <w:rPr>
          <w:szCs w:val="22"/>
          <w:lang w:eastAsia="en-US"/>
        </w:rPr>
      </w:pPr>
      <w:r>
        <w:t>OGYI-T-24506/12</w:t>
      </w:r>
      <w:r>
        <w:tab/>
      </w:r>
      <w:proofErr w:type="gramStart"/>
      <w:r>
        <w:t>14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OGYI-T-24506/13</w:t>
      </w:r>
      <w:r>
        <w:tab/>
      </w:r>
      <w:proofErr w:type="gramStart"/>
      <w:r>
        <w:t>28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OGYI-T-24506/14</w:t>
      </w:r>
      <w:r>
        <w:tab/>
      </w:r>
      <w:proofErr w:type="gramStart"/>
      <w:r>
        <w:t>30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OGYI-T-24506/15</w:t>
      </w:r>
      <w:r>
        <w:tab/>
      </w:r>
      <w:proofErr w:type="gramStart"/>
      <w:r>
        <w:t>56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OGYI-T-24506/16</w:t>
      </w:r>
      <w:r>
        <w:tab/>
      </w:r>
      <w:proofErr w:type="gramStart"/>
      <w:r>
        <w:t>60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OGYI-T-24506/17</w:t>
      </w:r>
      <w:r>
        <w:tab/>
      </w:r>
      <w:proofErr w:type="gramStart"/>
      <w:r>
        <w:t>84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OGYI-T-24506/18</w:t>
      </w:r>
      <w:r>
        <w:tab/>
      </w:r>
      <w:proofErr w:type="gramStart"/>
      <w:r>
        <w:t>90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OGYI-T-24506/19</w:t>
      </w:r>
      <w:r>
        <w:tab/>
        <w:t>98×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:rsidR="00E711F0" w:rsidRDefault="004D44D3">
      <w:pPr>
        <w:jc w:val="both"/>
      </w:pPr>
      <w:r>
        <w:t>OGYI-T-24506/20</w:t>
      </w:r>
      <w:r>
        <w:tab/>
      </w:r>
      <w:proofErr w:type="gramStart"/>
      <w:r>
        <w:t>100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  <w:r>
        <w:t> </w:t>
      </w:r>
    </w:p>
    <w:p w:rsidR="00E711F0" w:rsidRDefault="00E711F0">
      <w:pPr>
        <w:jc w:val="both"/>
      </w:pPr>
    </w:p>
    <w:p w:rsidR="00E711F0" w:rsidRDefault="00E711F0">
      <w:pPr>
        <w:spacing w:line="240" w:lineRule="auto"/>
        <w:ind w:left="567" w:hanging="567"/>
        <w:outlineLvl w:val="0"/>
        <w:rPr>
          <w:b/>
          <w:lang w:val="hu-HU"/>
        </w:rPr>
      </w:pPr>
    </w:p>
    <w:p w:rsidR="00E711F0" w:rsidRDefault="004D44D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 2025. január 10.</w:t>
      </w: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E711F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711F0" w:rsidRDefault="004D44D3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:rsidR="00E711F0" w:rsidRDefault="00E711F0">
      <w:pPr>
        <w:spacing w:line="240" w:lineRule="auto"/>
        <w:rPr>
          <w:lang w:val="hu-HU"/>
        </w:rPr>
      </w:pPr>
    </w:p>
    <w:p w:rsidR="00E711F0" w:rsidRDefault="00F534B3" w:rsidP="008E0E02">
      <w:pPr>
        <w:spacing w:line="240" w:lineRule="auto"/>
        <w:ind w:left="567" w:hanging="567"/>
        <w:outlineLvl w:val="0"/>
        <w:rPr>
          <w:lang w:val="hu-HU"/>
        </w:rPr>
      </w:pPr>
      <w:r>
        <w:rPr>
          <w:rFonts w:eastAsia="Times New Roman"/>
          <w:bCs/>
          <w:noProof/>
          <w:snapToGrid/>
          <w:szCs w:val="22"/>
          <w:lang w:val="hu-HU" w:eastAsia="en-US"/>
        </w:rPr>
        <w:t>2026. szeptember 1</w:t>
      </w:r>
      <w:r w:rsidR="000D13A9">
        <w:rPr>
          <w:rFonts w:eastAsia="Times New Roman"/>
          <w:bCs/>
          <w:noProof/>
          <w:snapToGrid/>
          <w:szCs w:val="22"/>
          <w:lang w:val="hu-HU" w:eastAsia="en-US"/>
        </w:rPr>
        <w:t>6</w:t>
      </w:r>
      <w:r>
        <w:rPr>
          <w:rFonts w:eastAsia="Times New Roman"/>
          <w:bCs/>
          <w:noProof/>
          <w:snapToGrid/>
          <w:szCs w:val="22"/>
          <w:lang w:val="hu-HU" w:eastAsia="en-US"/>
        </w:rPr>
        <w:t>.</w:t>
      </w:r>
    </w:p>
    <w:sectPr w:rsidR="00E711F0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4D3" w:rsidRDefault="004D44D3">
      <w:pPr>
        <w:spacing w:line="240" w:lineRule="auto"/>
      </w:pPr>
      <w:r>
        <w:separator/>
      </w:r>
    </w:p>
  </w:endnote>
  <w:endnote w:type="continuationSeparator" w:id="0">
    <w:p w:rsidR="004D44D3" w:rsidRDefault="004D44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4D3" w:rsidRDefault="004D44D3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4D3" w:rsidRPr="00732918" w:rsidRDefault="004D44D3" w:rsidP="004D44D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  <w:lang w:val="hu-HU"/>
      </w:rPr>
    </w:pPr>
    <w:r w:rsidRPr="00732918">
      <w:rPr>
        <w:rFonts w:ascii="Times New Roman" w:hAnsi="Times New Roman"/>
        <w:sz w:val="18"/>
        <w:szCs w:val="18"/>
        <w:lang w:val="hu-HU"/>
      </w:rPr>
      <w:t>NNGYK/ETGY/18830/2026</w:t>
    </w:r>
  </w:p>
  <w:p w:rsidR="004D44D3" w:rsidRPr="004D44D3" w:rsidRDefault="004D44D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732918">
      <w:rPr>
        <w:rFonts w:ascii="Times New Roman" w:hAnsi="Times New Roman"/>
        <w:sz w:val="18"/>
        <w:szCs w:val="18"/>
        <w:lang w:val="hu-HU"/>
      </w:rPr>
      <w:t>NNGYK/ETGY/18832/2026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4D3" w:rsidRDefault="004D44D3">
      <w:pPr>
        <w:spacing w:line="240" w:lineRule="auto"/>
      </w:pPr>
      <w:r>
        <w:separator/>
      </w:r>
    </w:p>
  </w:footnote>
  <w:footnote w:type="continuationSeparator" w:id="0">
    <w:p w:rsidR="004D44D3" w:rsidRDefault="004D44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85798"/>
      <w:docPartObj>
        <w:docPartGallery w:val="Page Numbers (Top of Page)"/>
        <w:docPartUnique/>
      </w:docPartObj>
    </w:sdtPr>
    <w:sdtEndPr/>
    <w:sdtContent>
      <w:p w:rsidR="004D44D3" w:rsidRDefault="004D44D3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8E0E02" w:rsidRPr="008E0E02">
          <w:rPr>
            <w:noProof/>
            <w:sz w:val="18"/>
            <w:szCs w:val="18"/>
            <w:lang w:val="hu-HU"/>
          </w:rPr>
          <w:t>21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6040001"/>
    <w:multiLevelType w:val="hybridMultilevel"/>
    <w:tmpl w:val="A1CEF788"/>
    <w:lvl w:ilvl="0" w:tplc="95566DEE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14BCB"/>
    <w:multiLevelType w:val="hybridMultilevel"/>
    <w:tmpl w:val="D3F4B686"/>
    <w:lvl w:ilvl="0" w:tplc="D94001D4">
      <w:start w:val="23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-Roman" w:eastAsia="Times New Roman" w:hAnsi="Times-Roman" w:cs="Times-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703519"/>
    <w:multiLevelType w:val="hybridMultilevel"/>
    <w:tmpl w:val="5A6C3420"/>
    <w:lvl w:ilvl="0" w:tplc="ABD813A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1F01210E"/>
    <w:multiLevelType w:val="hybridMultilevel"/>
    <w:tmpl w:val="9A2E6B5C"/>
    <w:lvl w:ilvl="0" w:tplc="72B86D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842F4"/>
    <w:multiLevelType w:val="hybridMultilevel"/>
    <w:tmpl w:val="BE8462A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537E2"/>
    <w:multiLevelType w:val="hybridMultilevel"/>
    <w:tmpl w:val="8F7E6156"/>
    <w:lvl w:ilvl="0" w:tplc="8CCE57E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63614"/>
    <w:multiLevelType w:val="hybridMultilevel"/>
    <w:tmpl w:val="A468DA78"/>
    <w:lvl w:ilvl="0" w:tplc="72B86D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8F2EEC"/>
    <w:multiLevelType w:val="hybridMultilevel"/>
    <w:tmpl w:val="BCB4DD6C"/>
    <w:lvl w:ilvl="0" w:tplc="1520C530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488A2E98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C840BF58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3314FBC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2698DAA4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66C8652A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64F6BDE6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CB66B518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F0CC8852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18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F59E4"/>
    <w:multiLevelType w:val="hybridMultilevel"/>
    <w:tmpl w:val="8318B452"/>
    <w:lvl w:ilvl="0" w:tplc="95566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6D204E"/>
    <w:multiLevelType w:val="hybridMultilevel"/>
    <w:tmpl w:val="199E40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10"/>
  </w:num>
  <w:num w:numId="4">
    <w:abstractNumId w:val="14"/>
  </w:num>
  <w:num w:numId="5">
    <w:abstractNumId w:val="20"/>
  </w:num>
  <w:num w:numId="6">
    <w:abstractNumId w:val="12"/>
  </w:num>
  <w:num w:numId="7">
    <w:abstractNumId w:val="18"/>
  </w:num>
  <w:num w:numId="8">
    <w:abstractNumId w:val="15"/>
  </w:num>
  <w:num w:numId="9">
    <w:abstractNumId w:val="16"/>
  </w:num>
  <w:num w:numId="10">
    <w:abstractNumId w:val="13"/>
  </w:num>
  <w:num w:numId="11">
    <w:abstractNumId w:val="11"/>
  </w:num>
  <w:num w:numId="1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E711F0"/>
    <w:rsid w:val="000D13A9"/>
    <w:rsid w:val="004736C4"/>
    <w:rsid w:val="004D44D3"/>
    <w:rsid w:val="008E0E02"/>
    <w:rsid w:val="00CC6EF3"/>
    <w:rsid w:val="00E711F0"/>
    <w:rsid w:val="00F5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75A79CF5-F5EF-43C6-BCE2-82310462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table" w:styleId="Rcsostblzat">
    <w:name w:val="Table Grid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sakszveg">
    <w:name w:val="Plain Text"/>
    <w:basedOn w:val="Norml"/>
    <w:link w:val="CsakszvegChar"/>
    <w:pPr>
      <w:tabs>
        <w:tab w:val="clear" w:pos="567"/>
      </w:tabs>
      <w:spacing w:line="240" w:lineRule="auto"/>
    </w:pPr>
    <w:rPr>
      <w:rFonts w:ascii="Courier New" w:eastAsia="Times New Roman" w:hAnsi="Courier New"/>
      <w:snapToGrid/>
      <w:sz w:val="20"/>
      <w:lang w:eastAsia="sl-SI"/>
    </w:rPr>
  </w:style>
  <w:style w:type="character" w:customStyle="1" w:styleId="CsakszvegChar">
    <w:name w:val="Csak szöveg Char"/>
    <w:basedOn w:val="Bekezdsalapbettpusa"/>
    <w:link w:val="Csakszveg"/>
    <w:rPr>
      <w:rFonts w:ascii="Courier New" w:eastAsia="Times New Roman" w:hAnsi="Courier New"/>
      <w:lang w:eastAsia="sl-SI"/>
    </w:rPr>
  </w:style>
  <w:style w:type="paragraph" w:styleId="Kpalrs">
    <w:name w:val="caption"/>
    <w:basedOn w:val="Norml"/>
    <w:next w:val="Norml"/>
    <w:qFormat/>
    <w:pPr>
      <w:tabs>
        <w:tab w:val="clear" w:pos="567"/>
      </w:tabs>
      <w:spacing w:line="240" w:lineRule="auto"/>
      <w:jc w:val="both"/>
    </w:pPr>
    <w:rPr>
      <w:rFonts w:eastAsia="Times New Roman"/>
      <w:snapToGrid/>
      <w:sz w:val="24"/>
      <w:lang w:eastAsia="sl-SI"/>
    </w:rPr>
  </w:style>
  <w:style w:type="paragraph" w:customStyle="1" w:styleId="Naslov1">
    <w:name w:val="Naslov1"/>
    <w:basedOn w:val="Cmsor1"/>
    <w:pPr>
      <w:keepNext/>
      <w:numPr>
        <w:numId w:val="0"/>
      </w:numPr>
      <w:suppressAutoHyphens w:val="0"/>
      <w:spacing w:before="0" w:after="0" w:line="240" w:lineRule="auto"/>
    </w:pPr>
    <w:rPr>
      <w:caps w:val="0"/>
      <w:sz w:val="22"/>
      <w:u w:val="single"/>
      <w:lang w:val="sl-SI" w:eastAsia="sl-SI"/>
    </w:rPr>
  </w:style>
  <w:style w:type="paragraph" w:styleId="TJ1">
    <w:name w:val="toc 1"/>
    <w:basedOn w:val="Norml"/>
    <w:next w:val="Norml"/>
    <w:autoRedefine/>
    <w:pPr>
      <w:tabs>
        <w:tab w:val="clear" w:pos="567"/>
      </w:tabs>
      <w:spacing w:before="120" w:line="240" w:lineRule="auto"/>
    </w:pPr>
    <w:rPr>
      <w:rFonts w:eastAsia="Times New Roman"/>
      <w:b/>
      <w:bCs/>
      <w:i/>
      <w:iCs/>
      <w:snapToGrid/>
      <w:sz w:val="24"/>
      <w:szCs w:val="28"/>
      <w:lang w:val="sl-SI" w:eastAsia="sl-SI"/>
    </w:rPr>
  </w:style>
  <w:style w:type="paragraph" w:styleId="Szvegtrzs2">
    <w:name w:val="Body Text 2"/>
    <w:basedOn w:val="Norml"/>
    <w:link w:val="Szvegtrzs2Char"/>
    <w:pPr>
      <w:tabs>
        <w:tab w:val="clear" w:pos="567"/>
      </w:tabs>
      <w:spacing w:after="120" w:line="480" w:lineRule="auto"/>
    </w:pPr>
    <w:rPr>
      <w:rFonts w:eastAsia="Times New Roman"/>
      <w:snapToGrid/>
      <w:sz w:val="24"/>
      <w:lang w:val="sl-SI" w:eastAsia="sl-SI"/>
    </w:rPr>
  </w:style>
  <w:style w:type="character" w:customStyle="1" w:styleId="Szvegtrzs2Char">
    <w:name w:val="Szövegtörzs 2 Char"/>
    <w:basedOn w:val="Bekezdsalapbettpusa"/>
    <w:link w:val="Szvegtrzs2"/>
    <w:rPr>
      <w:rFonts w:eastAsia="Times New Roman"/>
      <w:sz w:val="24"/>
      <w:lang w:val="sl-SI" w:eastAsia="sl-SI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sl-SI" w:eastAsia="sl-SI"/>
    </w:rPr>
  </w:style>
  <w:style w:type="table" w:customStyle="1" w:styleId="Tabela-mrea">
    <w:name w:val="Tabela - mreža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Pr>
      <w:snapToGrid w:val="0"/>
      <w:sz w:val="22"/>
      <w:lang w:eastAsia="zh-CN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Cm">
    <w:name w:val="Title"/>
    <w:basedOn w:val="Norml"/>
    <w:link w:val="CmChar"/>
    <w:qFormat/>
    <w:pPr>
      <w:tabs>
        <w:tab w:val="clear" w:pos="567"/>
      </w:tabs>
      <w:spacing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CmChar">
    <w:name w:val="Cím Char"/>
    <w:basedOn w:val="Bekezdsalapbettpusa"/>
    <w:link w:val="Cm"/>
    <w:rPr>
      <w:rFonts w:eastAsia="Times New Roman"/>
      <w:b/>
      <w:sz w:val="22"/>
      <w:lang w:eastAsia="en-US"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napToGrid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character" w:customStyle="1" w:styleId="JegyzetszvegChar">
    <w:name w:val="Jegyzetszöveg Char"/>
    <w:basedOn w:val="Bekezdsalapbettpusa"/>
    <w:link w:val="Jegyzetszveg"/>
    <w:rPr>
      <w:snapToGrid w:val="0"/>
      <w:lang w:eastAsia="zh-CN"/>
    </w:rPr>
  </w:style>
  <w:style w:type="paragraph" w:customStyle="1" w:styleId="TableParagraph">
    <w:name w:val="Table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sl-SI" w:eastAsia="sl-SI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autoSpaceDE w:val="0"/>
      <w:spacing w:line="240" w:lineRule="auto"/>
    </w:pPr>
    <w:rPr>
      <w:rFonts w:eastAsia="Lucida Sans Unicode"/>
      <w:snapToGrid/>
      <w:sz w:val="20"/>
      <w:lang w:val="hu-HU" w:eastAsia="sl-SI"/>
    </w:rPr>
  </w:style>
  <w:style w:type="paragraph" w:styleId="Szvegtrzs3">
    <w:name w:val="Body Text 3"/>
    <w:basedOn w:val="Norml"/>
    <w:link w:val="Szvegtrzs3Char"/>
    <w:pPr>
      <w:tabs>
        <w:tab w:val="clear" w:pos="567"/>
      </w:tabs>
      <w:spacing w:after="120" w:line="240" w:lineRule="auto"/>
    </w:pPr>
    <w:rPr>
      <w:rFonts w:eastAsia="Times New Roman"/>
      <w:snapToGrid/>
      <w:sz w:val="16"/>
      <w:szCs w:val="16"/>
      <w:lang w:val="sl-SI" w:eastAsia="sl-SI"/>
    </w:rPr>
  </w:style>
  <w:style w:type="character" w:customStyle="1" w:styleId="Szvegtrzs3Char">
    <w:name w:val="Szövegtörzs 3 Char"/>
    <w:basedOn w:val="Bekezdsalapbettpusa"/>
    <w:link w:val="Szvegtrzs3"/>
    <w:rPr>
      <w:rFonts w:eastAsia="Times New Roman"/>
      <w:sz w:val="16"/>
      <w:szCs w:val="16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8475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631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47047-98CD-40A6-9B2A-02AFEDDB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6696</Words>
  <Characters>51862</Characters>
  <Application>Microsoft Office Word</Application>
  <DocSecurity>0</DocSecurity>
  <Lines>432</Lines>
  <Paragraphs>116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 OGYI 49.1</cp:lastModifiedBy>
  <cp:revision>4</cp:revision>
  <dcterms:created xsi:type="dcterms:W3CDTF">2026-09-21T14:31:00Z</dcterms:created>
  <dcterms:modified xsi:type="dcterms:W3CDTF">2026-09-22T09:04:00Z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